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729" w14:textId="77777777" w:rsidR="00C118A9" w:rsidRDefault="00C118A9" w:rsidP="00C118A9">
      <w:pPr>
        <w:pStyle w:val="Nadpis11"/>
        <w:spacing w:after="120"/>
      </w:pPr>
      <w:bookmarkStart w:id="0" w:name="_Toc74643859"/>
      <w:bookmarkStart w:id="1" w:name="_Toc90395915"/>
      <w:bookmarkStart w:id="2" w:name="_Toc98245446"/>
      <w:bookmarkStart w:id="3" w:name="_Toc74643860"/>
      <w:bookmarkStart w:id="4" w:name="_Toc114134049"/>
      <w:r w:rsidRPr="00B43216">
        <w:t>6. Trh práce</w:t>
      </w:r>
      <w:bookmarkEnd w:id="4"/>
    </w:p>
    <w:tbl>
      <w:tblPr>
        <w:tblW w:w="9674" w:type="dxa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16"/>
        <w:gridCol w:w="7743"/>
      </w:tblGrid>
      <w:tr w:rsidR="00C118A9" w:rsidRPr="009F0D7F" w14:paraId="2FB18B8A" w14:textId="77777777" w:rsidTr="007B54AE">
        <w:trPr>
          <w:trHeight w:val="15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771BBB1F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Trh práce v Česku se ve 2. čtvrtletí dále rozvíjel, poptávka po pracovnících zůstávala vysoká.</w:t>
            </w:r>
          </w:p>
          <w:p w14:paraId="7DE67C2F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0E3714E2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Hospodářskou situaci podniků i kupní sílu mezd zásadně ovlivňoval nebývale vysoký růst cen prostupující celou ekonomikou. 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7228D4AD" w14:textId="77777777" w:rsidR="00C118A9" w:rsidRPr="009F0D7F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373E1FE" w14:textId="77777777" w:rsidR="00C118A9" w:rsidRPr="00382549" w:rsidRDefault="00C118A9" w:rsidP="00621190">
            <w:pPr>
              <w:rPr>
                <w:color w:val="0D0D0D" w:themeColor="text1" w:themeTint="F2"/>
                <w:spacing w:val="-5"/>
              </w:rPr>
            </w:pPr>
            <w:r w:rsidRPr="00382549">
              <w:rPr>
                <w:color w:val="0D0D0D" w:themeColor="text1" w:themeTint="F2"/>
                <w:spacing w:val="-5"/>
              </w:rPr>
              <w:t>Ve 2. čtvrtletí 2022 se tuzemský pracovní trh dále rozvíjel. Podílelo se na tom pokračující zotavování části služeb zasažených útlumem spotřeby v období pandemie, během jara se navíc zmírnily problémy s dodávkami výrobních komponent v části průmyslu. K oživení pracovního trhu nepochybně přispěla i početná uprchlická vlna z Ukrajiny, byť začleňování těchto osob do pracovního procesu probíhalo pozvolněji. Poptávka podniků po pracovní</w:t>
            </w:r>
            <w:r>
              <w:rPr>
                <w:color w:val="0D0D0D" w:themeColor="text1" w:themeTint="F2"/>
                <w:spacing w:val="-5"/>
              </w:rPr>
              <w:t>cí</w:t>
            </w:r>
            <w:r w:rsidRPr="00382549">
              <w:rPr>
                <w:color w:val="0D0D0D" w:themeColor="text1" w:themeTint="F2"/>
                <w:spacing w:val="-5"/>
              </w:rPr>
              <w:t>ch zůstávala i na počátku léta vysoká, jejich nedostatek představoval v řadě odvětví významnou růstovou bariéru. Nezaměstnanost se tak pohybovala blízko svého historického minima, a to zejména u mužů. Na rozdíl od předpandemického období ovšem letos došlo k významném</w:t>
            </w:r>
            <w:r>
              <w:rPr>
                <w:color w:val="0D0D0D" w:themeColor="text1" w:themeTint="F2"/>
                <w:spacing w:val="-5"/>
              </w:rPr>
              <w:t xml:space="preserve">u propadu kupní síly </w:t>
            </w:r>
            <w:r w:rsidRPr="00382549">
              <w:rPr>
                <w:color w:val="0D0D0D" w:themeColor="text1" w:themeTint="F2"/>
                <w:spacing w:val="-5"/>
              </w:rPr>
              <w:t xml:space="preserve">mezd. Ten již v 1. čtvrtletí </w:t>
            </w:r>
            <w:r>
              <w:rPr>
                <w:color w:val="0D0D0D" w:themeColor="text1" w:themeTint="F2"/>
                <w:spacing w:val="-5"/>
              </w:rPr>
              <w:t>docílil</w:t>
            </w:r>
            <w:r w:rsidRPr="00382549">
              <w:rPr>
                <w:color w:val="0D0D0D" w:themeColor="text1" w:themeTint="F2"/>
                <w:spacing w:val="-5"/>
              </w:rPr>
              <w:t xml:space="preserve"> nejvyšší</w:t>
            </w:r>
            <w:r>
              <w:rPr>
                <w:color w:val="0D0D0D" w:themeColor="text1" w:themeTint="F2"/>
                <w:spacing w:val="-5"/>
              </w:rPr>
              <w:t>ho tempa</w:t>
            </w:r>
            <w:r w:rsidRPr="00382549">
              <w:rPr>
                <w:color w:val="0D0D0D" w:themeColor="text1" w:themeTint="F2"/>
                <w:spacing w:val="-5"/>
              </w:rPr>
              <w:t xml:space="preserve"> v současném miléniu, v následujícím období vlivem prudké akcelerace spotřebitelské inflace dosáhl intenzity, jež je v historii samostatné ČR zcela bezprecedentní. Sníženou kupní silou mezd tak byla postižena nejen veškerá hlavní odvětví ekonom</w:t>
            </w:r>
            <w:r>
              <w:rPr>
                <w:color w:val="0D0D0D" w:themeColor="text1" w:themeTint="F2"/>
                <w:spacing w:val="-5"/>
              </w:rPr>
              <w:t>i</w:t>
            </w:r>
            <w:r w:rsidRPr="00382549">
              <w:rPr>
                <w:color w:val="0D0D0D" w:themeColor="text1" w:themeTint="F2"/>
                <w:spacing w:val="-5"/>
              </w:rPr>
              <w:t xml:space="preserve">ky, ale patrně </w:t>
            </w:r>
            <w:r>
              <w:rPr>
                <w:color w:val="0D0D0D" w:themeColor="text1" w:themeTint="F2"/>
                <w:spacing w:val="-5"/>
              </w:rPr>
              <w:t xml:space="preserve">i </w:t>
            </w:r>
            <w:r w:rsidRPr="00382549">
              <w:rPr>
                <w:color w:val="0D0D0D" w:themeColor="text1" w:themeTint="F2"/>
                <w:spacing w:val="-5"/>
              </w:rPr>
              <w:t>drtivá většina zaměstnanců v nich.</w:t>
            </w:r>
          </w:p>
        </w:tc>
      </w:tr>
      <w:tr w:rsidR="00C118A9" w:rsidRPr="009F0D7F" w14:paraId="5B42C948" w14:textId="77777777" w:rsidTr="007B54AE">
        <w:trPr>
          <w:trHeight w:val="15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494304CC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Zaměstnanost rostla svižně v meziročním i mezikvartálním pohledu. Počet pracujících byl ve 2. čtvrtletí rekordní.</w:t>
            </w:r>
          </w:p>
          <w:p w14:paraId="2B1BF3E2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6A67DC8C" w14:textId="77777777" w:rsidR="00C118A9" w:rsidRPr="009F0D7F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D84D096" w14:textId="77777777" w:rsidR="00C118A9" w:rsidRPr="006C529B" w:rsidRDefault="00C118A9" w:rsidP="00621190">
            <w:pPr>
              <w:rPr>
                <w:color w:val="0D0D0D" w:themeColor="text1" w:themeTint="F2"/>
                <w:spacing w:val="-5"/>
              </w:rPr>
            </w:pPr>
            <w:r w:rsidRPr="006C529B">
              <w:rPr>
                <w:color w:val="0D0D0D" w:themeColor="text1" w:themeTint="F2"/>
                <w:spacing w:val="-5"/>
              </w:rPr>
              <w:t>Růst zaměstnanosti</w:t>
            </w:r>
            <w:r w:rsidRPr="006C529B">
              <w:rPr>
                <w:color w:val="0D0D0D" w:themeColor="text1" w:themeTint="F2"/>
                <w:spacing w:val="-5"/>
                <w:vertAlign w:val="superscript"/>
              </w:rPr>
              <w:footnoteReference w:id="1"/>
            </w:r>
            <w:r w:rsidRPr="006C529B">
              <w:rPr>
                <w:color w:val="0D0D0D" w:themeColor="text1" w:themeTint="F2"/>
                <w:spacing w:val="-5"/>
              </w:rPr>
              <w:t xml:space="preserve"> ve 2. čtvrtletí 2022 zrychlil, mezikvartálně docílil svižných 1,6 %. Nejvíce se o to zasloužilo uskupení obchod, doprava, ubytování a pohostinství, významně přispěl rovněž zpracovatelský průmysl. Ožila ale prakticky všechna hlavní odvětví. </w:t>
            </w:r>
            <w:r w:rsidRPr="006C529B">
              <w:rPr>
                <w:spacing w:val="-5"/>
              </w:rPr>
              <w:t>Celkový počet pracovníků v celé ekonomice dosáhl 5,48 mil. a poprvé překonal rekordn</w:t>
            </w:r>
            <w:r>
              <w:rPr>
                <w:spacing w:val="-5"/>
              </w:rPr>
              <w:t>í úroveň z roku 2019. Oproti 2.</w:t>
            </w:r>
            <w:r w:rsidRPr="006C529B">
              <w:rPr>
                <w:spacing w:val="-5"/>
              </w:rPr>
              <w:t> čtvrtletí loňského roku pracovalo o 2,5 % osob více.</w:t>
            </w:r>
            <w:r>
              <w:rPr>
                <w:spacing w:val="-5"/>
              </w:rPr>
              <w:t xml:space="preserve"> Je pozitivní, že na tomto</w:t>
            </w:r>
            <w:r w:rsidRPr="006C529B">
              <w:rPr>
                <w:spacing w:val="-5"/>
              </w:rPr>
              <w:t xml:space="preserve"> růstu participovali jak zaměstnanci, tak sebezaměstnané osoby, jichž přibylo poprvé od roku 2017. </w:t>
            </w:r>
          </w:p>
        </w:tc>
      </w:tr>
      <w:tr w:rsidR="00C118A9" w:rsidRPr="009F0D7F" w14:paraId="34903DB1" w14:textId="77777777" w:rsidTr="007B54AE">
        <w:trPr>
          <w:trHeight w:val="15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2C30B13D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Nová pracovní místa vznikala nejvíce ve službách, především </w:t>
            </w:r>
            <w:r>
              <w:rPr>
                <w:color w:val="0D0D0D" w:themeColor="text1" w:themeTint="F2"/>
                <w:spacing w:val="-4"/>
              </w:rPr>
              <w:br/>
              <w:t xml:space="preserve">v oblasti obchodu a aktivit souvisejících </w:t>
            </w:r>
            <w:r>
              <w:rPr>
                <w:color w:val="0D0D0D" w:themeColor="text1" w:themeTint="F2"/>
                <w:spacing w:val="-4"/>
              </w:rPr>
              <w:br/>
              <w:t>s cestovním ruchem a s nemovitostmi.</w:t>
            </w:r>
          </w:p>
          <w:p w14:paraId="630C4215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850000F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01F36E2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8896A79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3AC66CCA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9484A23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155108DE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0CDF28E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57DF1D7B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57AE71B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Zaměstnanost se ve zpracovatelském průmyslu zvyšovala pozvolněji, situace se lišila na úrovni dílčích odvětví.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7700AE1A" w14:textId="77777777" w:rsidR="00C118A9" w:rsidRPr="009F0D7F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70241D98" w14:textId="171CA03B" w:rsidR="00C118A9" w:rsidRDefault="00C118A9" w:rsidP="00CF35A7">
            <w:pPr>
              <w:spacing w:after="0"/>
              <w:rPr>
                <w:color w:val="0D0D0D" w:themeColor="text1" w:themeTint="F2"/>
                <w:spacing w:val="-4"/>
              </w:rPr>
            </w:pPr>
            <w:r>
              <w:rPr>
                <w:spacing w:val="-4"/>
              </w:rPr>
              <w:t xml:space="preserve">Nová pracovní místa vznikala především ve službách, meziročně zde ve 2. čtvrtletí pracovalo o 90 tis. osob více – </w:t>
            </w:r>
            <w:r>
              <w:rPr>
                <w:color w:val="0D0D0D" w:themeColor="text1" w:themeTint="F2"/>
                <w:spacing w:val="-4"/>
              </w:rPr>
              <w:t>zčásti šlo o očekávaný efekt pokrizového oživení</w:t>
            </w:r>
            <w:r>
              <w:rPr>
                <w:spacing w:val="-4"/>
              </w:rPr>
              <w:t xml:space="preserve">. Podobně jako v úhrnu za celý loňský rok se nejvíce dařilo činnostem v oblasti nemovitostí (+6,4 %). Pro celý terciární sektor bylo ovšem rozhodující razantní zotavení v oblasti </w:t>
            </w:r>
            <w:r>
              <w:rPr>
                <w:color w:val="0D0D0D" w:themeColor="text1" w:themeTint="F2"/>
                <w:spacing w:val="-4"/>
              </w:rPr>
              <w:t>o</w:t>
            </w:r>
            <w:r w:rsidRPr="00342097">
              <w:rPr>
                <w:color w:val="0D0D0D" w:themeColor="text1" w:themeTint="F2"/>
                <w:spacing w:val="-4"/>
              </w:rPr>
              <w:t>bchod</w:t>
            </w:r>
            <w:r>
              <w:rPr>
                <w:color w:val="0D0D0D" w:themeColor="text1" w:themeTint="F2"/>
                <w:spacing w:val="-4"/>
              </w:rPr>
              <w:t>u, dopravy</w:t>
            </w:r>
            <w:r w:rsidRPr="00342097">
              <w:rPr>
                <w:color w:val="0D0D0D" w:themeColor="text1" w:themeTint="F2"/>
                <w:spacing w:val="-4"/>
              </w:rPr>
              <w:t>, ubytování a pohostinství</w:t>
            </w:r>
            <w:r>
              <w:rPr>
                <w:color w:val="0D0D0D" w:themeColor="text1" w:themeTint="F2"/>
                <w:spacing w:val="-4"/>
              </w:rPr>
              <w:t>, kde se stavy zaměstnaných navýšily o 4,1 % a mírně překonaly i</w:t>
            </w:r>
            <w:r w:rsidR="00CF35A7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dosud nejvyšší hodnotu z předkrizového období. </w:t>
            </w:r>
            <w:r>
              <w:rPr>
                <w:spacing w:val="-4"/>
              </w:rPr>
              <w:t>V dlouhodobě rostoucích veřejných službách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 xml:space="preserve"> růst zaměstnanosti lehce zrychlil (na rovná 2 %). Obdobně jako v předchozích letech zde stát reagoval na zvýšenou poptávku hlavně v oblasti vzdělávání a zdravotní i sociální péče. V dlouhodobě prosperujících informačních a komunikačních činnostech pracovalo meziročně o 3,3 % osob více, letos však výhradně vlivem vyššího počtu zaměstnanců. Postupující digitalizace si v posledních letech vybírá daň na zaměstnanosti ve finančnictví, relativně více zde ubývá pozic pro drobné podnikatele. Mimo terciární sféru se dařilo nejvíce stavebnictví, kde se vysoká zásoba veřejných za</w:t>
            </w:r>
            <w:r w:rsidR="00770AB9">
              <w:rPr>
                <w:spacing w:val="-4"/>
              </w:rPr>
              <w:t>kázek ve 2. čtvrtletí promítla také</w:t>
            </w:r>
            <w:r>
              <w:rPr>
                <w:spacing w:val="-4"/>
              </w:rPr>
              <w:t xml:space="preserve"> do vyšší zaměstnanosti (+3,8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 xml:space="preserve">%), podpořené i nárůstem počtu sebezaměstnaných. Pracovníků ve zpracovatelském průmyslu přibývalo sice již od poloviny loňského roku, avšak spíše mírnějším tempem, což platilo i pro 2. čtvrtletí (+1,6 %). Situace v jednotlivých průmyslových oborech se lišila, vedle současné poptávky </w:t>
            </w:r>
            <w:r w:rsidR="00770AB9">
              <w:rPr>
                <w:spacing w:val="-4"/>
              </w:rPr>
              <w:t>po produkci patrně hrála roli i</w:t>
            </w:r>
            <w:r w:rsidR="00770AB9" w:rsidRPr="00A02A50">
              <w:rPr>
                <w:bCs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 xml:space="preserve">energetická náročnost výroby i obchodní strategie jednotlivých podniků v oblasti zajištění dodávek energií. </w:t>
            </w:r>
            <w:r>
              <w:rPr>
                <w:color w:val="0D0D0D" w:themeColor="text1" w:themeTint="F2"/>
                <w:spacing w:val="-4"/>
              </w:rPr>
              <w:t>Podniky v průmyslu, stavebnictví i v některých „nízkovýděl</w:t>
            </w:r>
            <w:r w:rsidR="007B54AE">
              <w:rPr>
                <w:color w:val="0D0D0D" w:themeColor="text1" w:themeTint="F2"/>
                <w:spacing w:val="-4"/>
              </w:rPr>
              <w:t xml:space="preserve">kových“ odvětvích služeb </w:t>
            </w:r>
            <w:r>
              <w:rPr>
                <w:color w:val="0D0D0D" w:themeColor="text1" w:themeTint="F2"/>
                <w:spacing w:val="-4"/>
              </w:rPr>
              <w:t xml:space="preserve">z významné části saturovaly poptávku po volné pracovní síle </w:t>
            </w:r>
            <w:r>
              <w:rPr>
                <w:spacing w:val="-4"/>
              </w:rPr>
              <w:t xml:space="preserve">náborem </w:t>
            </w:r>
            <w:r w:rsidRPr="003278DA">
              <w:rPr>
                <w:color w:val="0D0D0D" w:themeColor="text1" w:themeTint="F2"/>
                <w:spacing w:val="-4"/>
              </w:rPr>
              <w:t>ze zahraničí</w:t>
            </w:r>
            <w:r w:rsidRPr="003278DA">
              <w:rPr>
                <w:rStyle w:val="Znakapoznpodarou"/>
                <w:color w:val="0D0D0D" w:themeColor="text1" w:themeTint="F2"/>
                <w:spacing w:val="-4"/>
              </w:rPr>
              <w:footnoteReference w:id="3"/>
            </w:r>
            <w:r>
              <w:rPr>
                <w:color w:val="0D0D0D" w:themeColor="text1" w:themeTint="F2"/>
                <w:spacing w:val="-4"/>
              </w:rPr>
              <w:t>, neboť rezervoár potenciální pracovní síly z tuzemska se takřka vyčerpal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4"/>
            </w:r>
            <w:r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C118A9" w:rsidRPr="009F0D7F" w14:paraId="083B68D4" w14:textId="77777777" w:rsidTr="007B54AE">
        <w:trPr>
          <w:trHeight w:val="15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1C9B7151" w14:textId="77777777" w:rsidR="00C118A9" w:rsidRPr="009F0D7F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Počet odpracovaných hodin ve srovnání s počátkem roku pouze stagnoval.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1256E4E1" w14:textId="77777777" w:rsidR="00C118A9" w:rsidRPr="009F0D7F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A9744E9" w14:textId="48F60CA1" w:rsidR="00C118A9" w:rsidRPr="009F0D7F" w:rsidRDefault="00C118A9" w:rsidP="00621190">
            <w:pPr>
              <w:rPr>
                <w:color w:val="0D0D0D" w:themeColor="text1" w:themeTint="F2"/>
                <w:spacing w:val="-4"/>
              </w:rPr>
            </w:pPr>
            <w:r>
              <w:rPr>
                <w:spacing w:val="-4"/>
              </w:rPr>
              <w:t xml:space="preserve">Počet </w:t>
            </w:r>
            <w:r w:rsidRPr="00726C29">
              <w:rPr>
                <w:color w:val="0D0D0D" w:themeColor="text1" w:themeTint="F2"/>
                <w:spacing w:val="-4"/>
              </w:rPr>
              <w:t xml:space="preserve">odpracovaných hodin </w:t>
            </w:r>
            <w:r>
              <w:rPr>
                <w:spacing w:val="-4"/>
              </w:rPr>
              <w:t xml:space="preserve">v celé ekonomice ve 2. čtvrtletí 2022 oproti předchozímu kvartálu stagnoval. K růstu zaměstnanosti (u fyzických osob) tak patrně docházelo vyšší nabídkou </w:t>
            </w:r>
            <w:r w:rsidR="00464BF5">
              <w:rPr>
                <w:spacing w:val="-4"/>
              </w:rPr>
              <w:t>zkrácených úvazků, popř. dalších forem (např. dohod</w:t>
            </w:r>
            <w:r>
              <w:rPr>
                <w:spacing w:val="-4"/>
              </w:rPr>
              <w:t xml:space="preserve"> o pracovní činnosti), což mohlo souviset se zapojováním uprchlíků na pracovní trh. V meziročním srovnání byl růst odpracované doby oproti zaměstnanosti skoro dvojnásobný (4,8 %), neboť loni na jaře ještě část služeb trpěla, vlivem dozvuků protipandemických opatření, slabou poptávkou</w:t>
            </w:r>
            <w:r>
              <w:rPr>
                <w:rStyle w:val="Znakapoznpodarou"/>
                <w:spacing w:val="-4"/>
              </w:rPr>
              <w:footnoteReference w:id="5"/>
            </w:r>
            <w:r>
              <w:rPr>
                <w:spacing w:val="-4"/>
              </w:rPr>
              <w:t xml:space="preserve">. </w:t>
            </w:r>
          </w:p>
        </w:tc>
      </w:tr>
      <w:tr w:rsidR="00C118A9" w:rsidRPr="009F2A8A" w14:paraId="4A8BBBE3" w14:textId="77777777" w:rsidTr="007B54AE">
        <w:trPr>
          <w:trHeight w:val="155"/>
        </w:trPr>
        <w:tc>
          <w:tcPr>
            <w:tcW w:w="1803" w:type="dxa"/>
            <w:vMerge w:val="restart"/>
            <w:shd w:val="clear" w:color="auto" w:fill="auto"/>
            <w:tcMar>
              <w:left w:w="0" w:type="dxa"/>
            </w:tcMar>
          </w:tcPr>
          <w:p w14:paraId="6A3139BF" w14:textId="77777777" w:rsidR="00C118A9" w:rsidRPr="00B43216" w:rsidRDefault="00C118A9" w:rsidP="0062119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7" w:type="dxa"/>
            <w:vMerge w:val="restart"/>
            <w:shd w:val="clear" w:color="auto" w:fill="auto"/>
            <w:tcMar>
              <w:left w:w="0" w:type="dxa"/>
            </w:tcMar>
          </w:tcPr>
          <w:p w14:paraId="7D813F15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625DFBA4" w14:textId="77777777" w:rsidR="00C118A9" w:rsidRPr="00CA5850" w:rsidRDefault="00C118A9" w:rsidP="00621190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13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C118A9" w:rsidRPr="00B43216" w14:paraId="530245E7" w14:textId="77777777" w:rsidTr="007B54AE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803" w:type="dxa"/>
            <w:vMerge/>
            <w:shd w:val="clear" w:color="auto" w:fill="auto"/>
          </w:tcPr>
          <w:p w14:paraId="6DB3D039" w14:textId="77777777" w:rsidR="00C118A9" w:rsidRPr="00B43216" w:rsidRDefault="00C118A9" w:rsidP="0062119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264815F7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</w:tcPr>
          <w:p w14:paraId="367F76ED" w14:textId="77777777" w:rsidR="00C118A9" w:rsidRPr="00B43216" w:rsidRDefault="00C118A9" w:rsidP="00621190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011B7B44" wp14:editId="301569DF">
                  <wp:extent cx="4828032" cy="3364992"/>
                  <wp:effectExtent l="0" t="0" r="0" b="6985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118A9" w:rsidRPr="00485ED5" w14:paraId="6D35B739" w14:textId="77777777" w:rsidTr="007B54AE">
        <w:trPr>
          <w:trHeight w:val="671"/>
        </w:trPr>
        <w:tc>
          <w:tcPr>
            <w:tcW w:w="1803" w:type="dxa"/>
            <w:vMerge/>
            <w:shd w:val="clear" w:color="auto" w:fill="auto"/>
            <w:tcMar>
              <w:left w:w="0" w:type="dxa"/>
            </w:tcMar>
          </w:tcPr>
          <w:p w14:paraId="194086A9" w14:textId="77777777" w:rsidR="00C118A9" w:rsidRPr="00B43216" w:rsidRDefault="00C118A9" w:rsidP="0062119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7" w:type="dxa"/>
            <w:vMerge/>
            <w:shd w:val="clear" w:color="auto" w:fill="auto"/>
            <w:tcMar>
              <w:left w:w="0" w:type="dxa"/>
            </w:tcMar>
          </w:tcPr>
          <w:p w14:paraId="5B7ACFC5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11819242" w14:textId="77777777" w:rsidR="00C118A9" w:rsidRDefault="00C118A9" w:rsidP="00621190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32D4B1B6" w14:textId="77777777" w:rsidR="00C118A9" w:rsidRDefault="00C118A9" w:rsidP="00621190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24B274C0" w14:textId="77777777" w:rsidR="00C118A9" w:rsidRPr="00485ED5" w:rsidRDefault="00C118A9" w:rsidP="00621190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ČSÚ, Eurostat (VŠPS, konjunkturální průzkumy)</w:t>
            </w:r>
          </w:p>
        </w:tc>
      </w:tr>
      <w:tr w:rsidR="00C118A9" w:rsidRPr="00D82DBD" w14:paraId="79E657FA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40C2FEDE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spacing w:val="-4"/>
              </w:rPr>
              <w:t>Zaměstnanost v EU rostla ve 2. čtvrtletí 2022 obdobně jako v ČR, za celé pandemické období se ale zotavovala rychleji.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13B8598D" w14:textId="77777777" w:rsidR="00C118A9" w:rsidRPr="00BC6AA8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25033F7" w14:textId="20309B51" w:rsidR="00C118A9" w:rsidRPr="00A21D51" w:rsidRDefault="00C118A9" w:rsidP="00621190">
            <w:pPr>
              <w:spacing w:after="200"/>
              <w:rPr>
                <w:color w:val="1D1B11" w:themeColor="background2" w:themeShade="1A"/>
                <w:spacing w:val="-4"/>
              </w:rPr>
            </w:pPr>
            <w:r>
              <w:rPr>
                <w:spacing w:val="-4"/>
              </w:rPr>
              <w:t>Obnovený hospodářský růst doprovázený vysokou poptávkou podniků po pracovní síle se letos pozitivně odrazil v zaměstnanosti i v EU. Ta se ve 2. čtvrtletí mezikvartálně zvýšila o 0,5 % a oproti shodnému období loňského roku o 2,2 %. Meziročně vzrostla nejvíce v Irsku (8,8 %), Litvě (6,6 %) a Estonsku (5,6 %), z významnějších</w:t>
            </w:r>
            <w:r w:rsidR="00464BF5">
              <w:rPr>
                <w:spacing w:val="-4"/>
              </w:rPr>
              <w:t xml:space="preserve"> ekonomik pak ve Španělsku (3,8 </w:t>
            </w:r>
            <w:r>
              <w:rPr>
                <w:spacing w:val="-4"/>
              </w:rPr>
              <w:t>%), nejméně naopak v Polsku (1,0 %), Litvě (1,2 %) a Německu (1,5 %). Navzdory relativně nízké váze služeb patřila česká ekonomika v rámci Unie k výrazné menšině, v níž došlo k překonání předkrizové úrovně zaměstnanosti (z roku 2019) až v letošním roce (to se dosud nezdařilo jen Slovensku, Lotyšsku a Bulharsku). I tak si však Česko udrželo v EU čelní postavení z pohledu participace populace na pracovním trhu</w:t>
            </w:r>
            <w:r>
              <w:rPr>
                <w:rStyle w:val="Znakapoznpodarou"/>
                <w:spacing w:val="-4"/>
              </w:rPr>
              <w:footnoteReference w:id="6"/>
            </w:r>
            <w:r>
              <w:rPr>
                <w:spacing w:val="-4"/>
              </w:rPr>
              <w:t xml:space="preserve">. </w:t>
            </w:r>
          </w:p>
        </w:tc>
      </w:tr>
      <w:tr w:rsidR="00C118A9" w:rsidRPr="00D82DBD" w14:paraId="6622A5AE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14CA1C71" w14:textId="77777777" w:rsidR="00C118A9" w:rsidRPr="00BC6AA8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Očekávání podniků v oblasti vlastní zaměstnanosti se letos postupně mírně zhoršovala. Nejvyšší optimismus si udržovaly firmy v obchodu.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28B1D007" w14:textId="77777777" w:rsidR="00C118A9" w:rsidRPr="00BC6AA8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48866021" w14:textId="47713242" w:rsidR="00C118A9" w:rsidRPr="00A21D51" w:rsidRDefault="00C118A9" w:rsidP="00621190">
            <w:pPr>
              <w:spacing w:after="200"/>
              <w:rPr>
                <w:color w:val="1D1B11" w:themeColor="background2" w:themeShade="1A"/>
                <w:spacing w:val="-4"/>
              </w:rPr>
            </w:pPr>
            <w:r w:rsidRPr="00A21D51">
              <w:rPr>
                <w:color w:val="1D1B11" w:themeColor="background2" w:themeShade="1A"/>
                <w:spacing w:val="-4"/>
              </w:rPr>
              <w:t>Krátkodobá očekávání podniků v</w:t>
            </w:r>
            <w:r>
              <w:rPr>
                <w:color w:val="1D1B11" w:themeColor="background2" w:themeShade="1A"/>
                <w:spacing w:val="-4"/>
              </w:rPr>
              <w:t xml:space="preserve"> celé </w:t>
            </w:r>
            <w:r w:rsidRPr="00A21D51">
              <w:rPr>
                <w:color w:val="1D1B11" w:themeColor="background2" w:themeShade="1A"/>
                <w:spacing w:val="-4"/>
              </w:rPr>
              <w:t>ekonomice v oblasti zaměstnanosti se po optimistických výhledech z počátku letošního roku později mírně zhoršila. I tak zůstala v srpnu přízni</w:t>
            </w:r>
            <w:r w:rsidR="00464BF5">
              <w:rPr>
                <w:color w:val="1D1B11" w:themeColor="background2" w:themeShade="1A"/>
                <w:spacing w:val="-4"/>
              </w:rPr>
              <w:t>vější než v období těsně před za</w:t>
            </w:r>
            <w:r w:rsidRPr="00A21D51">
              <w:rPr>
                <w:color w:val="1D1B11" w:themeColor="background2" w:themeShade="1A"/>
                <w:spacing w:val="-4"/>
              </w:rPr>
              <w:t>čátkem pandemie</w:t>
            </w:r>
            <w:r>
              <w:rPr>
                <w:color w:val="1D1B11" w:themeColor="background2" w:themeShade="1A"/>
                <w:spacing w:val="-4"/>
              </w:rPr>
              <w:t>. Největší optimismus si udržely</w:t>
            </w:r>
            <w:r w:rsidRPr="00A21D51">
              <w:rPr>
                <w:color w:val="1D1B11" w:themeColor="background2" w:themeShade="1A"/>
                <w:spacing w:val="-4"/>
              </w:rPr>
              <w:t xml:space="preserve"> podniky v obchodu. Nová pracovní místa plánovalo v </w:t>
            </w:r>
            <w:r w:rsidR="00464BF5">
              <w:rPr>
                <w:color w:val="1D1B11" w:themeColor="background2" w:themeShade="1A"/>
                <w:spacing w:val="-4"/>
              </w:rPr>
              <w:t>příštích 3 měsících vytvářet 15</w:t>
            </w:r>
            <w:r w:rsidR="00464BF5">
              <w:rPr>
                <w:spacing w:val="-4"/>
              </w:rPr>
              <w:t> </w:t>
            </w:r>
            <w:r w:rsidRPr="00A21D51">
              <w:rPr>
                <w:color w:val="1D1B11" w:themeColor="background2" w:themeShade="1A"/>
                <w:spacing w:val="-4"/>
              </w:rPr>
              <w:t xml:space="preserve">% z nich, snižování stavů zaměstnanců pak 10 %. V průmyslu i stavebnictví byl podíl </w:t>
            </w:r>
            <w:r w:rsidRPr="00A21D51">
              <w:rPr>
                <w:color w:val="1D1B11" w:themeColor="background2" w:themeShade="1A"/>
                <w:spacing w:val="-4"/>
              </w:rPr>
              <w:lastRenderedPageBreak/>
              <w:t>obou výše uvedených kategorií srovnatelný (vždy lehce převyšoval 10 %)</w:t>
            </w:r>
            <w:r w:rsidRPr="00A21D51">
              <w:rPr>
                <w:rStyle w:val="Znakapoznpodarou"/>
                <w:color w:val="1D1B11" w:themeColor="background2" w:themeShade="1A"/>
                <w:spacing w:val="-4"/>
              </w:rPr>
              <w:footnoteReference w:id="7"/>
            </w:r>
            <w:r w:rsidRPr="00A21D51">
              <w:rPr>
                <w:color w:val="1D1B11" w:themeColor="background2" w:themeShade="1A"/>
                <w:spacing w:val="-4"/>
              </w:rPr>
              <w:t>. Ve službách se loňský pesimismus citelně snížil, i</w:t>
            </w:r>
            <w:r>
              <w:rPr>
                <w:color w:val="1D1B11" w:themeColor="background2" w:themeShade="1A"/>
                <w:spacing w:val="-4"/>
              </w:rPr>
              <w:t> </w:t>
            </w:r>
            <w:r w:rsidRPr="00A21D51">
              <w:rPr>
                <w:color w:val="1D1B11" w:themeColor="background2" w:themeShade="1A"/>
                <w:spacing w:val="-4"/>
              </w:rPr>
              <w:t>tak zde převažovalo očekávání další redukce (16 %) nad růstem (10 %)</w:t>
            </w:r>
            <w:r w:rsidRPr="00A21D51">
              <w:rPr>
                <w:rStyle w:val="Znakapoznpodarou"/>
                <w:color w:val="1D1B11" w:themeColor="background2" w:themeShade="1A"/>
                <w:spacing w:val="-4"/>
              </w:rPr>
              <w:footnoteReference w:id="8"/>
            </w:r>
            <w:r w:rsidRPr="00A21D51">
              <w:rPr>
                <w:color w:val="1D1B11" w:themeColor="background2" w:themeShade="1A"/>
                <w:spacing w:val="-4"/>
              </w:rPr>
              <w:t>. Na jaře i v létě došlo letos</w:t>
            </w:r>
            <w:r>
              <w:rPr>
                <w:color w:val="1D1B11" w:themeColor="background2" w:themeShade="1A"/>
                <w:spacing w:val="-4"/>
              </w:rPr>
              <w:t>,</w:t>
            </w:r>
            <w:r w:rsidRPr="00A21D51">
              <w:rPr>
                <w:color w:val="1D1B11" w:themeColor="background2" w:themeShade="1A"/>
                <w:spacing w:val="-4"/>
              </w:rPr>
              <w:t xml:space="preserve"> v souvislosti se zhoršením celkových ekonomických výhledů v některých odvětvích</w:t>
            </w:r>
            <w:r>
              <w:rPr>
                <w:color w:val="1D1B11" w:themeColor="background2" w:themeShade="1A"/>
                <w:spacing w:val="-4"/>
              </w:rPr>
              <w:t xml:space="preserve">, </w:t>
            </w:r>
            <w:r w:rsidRPr="00A21D51">
              <w:rPr>
                <w:color w:val="1D1B11" w:themeColor="background2" w:themeShade="1A"/>
                <w:spacing w:val="-4"/>
              </w:rPr>
              <w:t>k mírnému poklesu podílu podniků, pro něž představuje nedostatek pracovní síly jednu z</w:t>
            </w:r>
            <w:r>
              <w:rPr>
                <w:color w:val="1D1B11" w:themeColor="background2" w:themeShade="1A"/>
                <w:spacing w:val="-4"/>
              </w:rPr>
              <w:t> </w:t>
            </w:r>
            <w:r w:rsidRPr="00A21D51">
              <w:rPr>
                <w:color w:val="1D1B11" w:themeColor="background2" w:themeShade="1A"/>
                <w:spacing w:val="-4"/>
              </w:rPr>
              <w:t>významných růstových bariér. Zejména ve stavebnictví ovšem zůstával tento problém nadále klíčový, neboť stále limitoval okolo 40 % podniků. Nevyhýbal se ani některým dílčím oborům v průmyslu či službách, zejména těm s nízkou úrovní výdělků.</w:t>
            </w:r>
          </w:p>
        </w:tc>
      </w:tr>
      <w:tr w:rsidR="00C118A9" w:rsidRPr="00D82DBD" w14:paraId="75C9C131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5A3B004A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 xml:space="preserve">Míra nezaměstnanosti se meziročně lehce snížila, rychleji klesala u mužů. Dlouhodobě nezaměstnaných ovšem mírně přibylo. </w:t>
            </w:r>
          </w:p>
          <w:p w14:paraId="24870F4B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6C62861D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1ABFE685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EFB4A04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19536328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2F0FB7FE" w14:textId="77777777" w:rsidR="00C118A9" w:rsidRPr="00814249" w:rsidRDefault="00C118A9" w:rsidP="00621190">
            <w:pPr>
              <w:pStyle w:val="Marginlie"/>
              <w:rPr>
                <w:color w:val="0D0D0D" w:themeColor="text1" w:themeTint="F2"/>
              </w:rPr>
            </w:pPr>
            <w:r w:rsidRPr="00814249">
              <w:rPr>
                <w:color w:val="0D0D0D" w:themeColor="text1" w:themeTint="F2"/>
              </w:rPr>
              <w:t>O</w:t>
            </w:r>
            <w:r>
              <w:rPr>
                <w:color w:val="0D0D0D" w:themeColor="text1" w:themeTint="F2"/>
              </w:rPr>
              <w:t xml:space="preserve">bavy lidí </w:t>
            </w:r>
            <w:r w:rsidRPr="00814249">
              <w:rPr>
                <w:color w:val="0D0D0D" w:themeColor="text1" w:themeTint="F2"/>
              </w:rPr>
              <w:t>z růstu nezaměstnanosti se začaly pozvolna zvyšovat.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09126989" w14:textId="77777777" w:rsidR="00C118A9" w:rsidRPr="00EA508C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2677394" w14:textId="1CDEFCE5" w:rsidR="00C118A9" w:rsidRPr="00A21D51" w:rsidRDefault="00C118A9" w:rsidP="00621190">
            <w:pPr>
              <w:spacing w:after="200"/>
              <w:rPr>
                <w:color w:val="1D1B11" w:themeColor="background2" w:themeShade="1A"/>
                <w:spacing w:val="-4"/>
              </w:rPr>
            </w:pPr>
            <w:r w:rsidRPr="00A21D51">
              <w:rPr>
                <w:color w:val="1D1B11" w:themeColor="background2" w:themeShade="1A"/>
                <w:spacing w:val="-4"/>
              </w:rPr>
              <w:t>Obecná míra nezaměstnanosti</w:t>
            </w:r>
            <w:r w:rsidRPr="00A21D51">
              <w:rPr>
                <w:rStyle w:val="Znakapoznpodarou"/>
                <w:color w:val="1D1B11" w:themeColor="background2" w:themeShade="1A"/>
                <w:spacing w:val="-4"/>
              </w:rPr>
              <w:footnoteReference w:id="9"/>
            </w:r>
            <w:r w:rsidRPr="00A21D51">
              <w:rPr>
                <w:color w:val="1D1B11" w:themeColor="background2" w:themeShade="1A"/>
                <w:spacing w:val="-4"/>
              </w:rPr>
              <w:t xml:space="preserve"> (</w:t>
            </w:r>
            <w:r>
              <w:rPr>
                <w:color w:val="1D1B11" w:themeColor="background2" w:themeShade="1A"/>
                <w:spacing w:val="-4"/>
              </w:rPr>
              <w:t xml:space="preserve">osob </w:t>
            </w:r>
            <w:r w:rsidRPr="00A21D51">
              <w:rPr>
                <w:color w:val="1D1B11" w:themeColor="background2" w:themeShade="1A"/>
                <w:spacing w:val="-4"/>
              </w:rPr>
              <w:t>ve věku 15 až 64 let)</w:t>
            </w:r>
            <w:r w:rsidR="00DB13EF">
              <w:rPr>
                <w:color w:val="1D1B11" w:themeColor="background2" w:themeShade="1A"/>
                <w:spacing w:val="-4"/>
              </w:rPr>
              <w:t xml:space="preserve"> činila v letošním červenci</w:t>
            </w:r>
            <w:r>
              <w:rPr>
                <w:color w:val="1D1B11" w:themeColor="background2" w:themeShade="1A"/>
                <w:spacing w:val="-4"/>
              </w:rPr>
              <w:t xml:space="preserve"> 2,3</w:t>
            </w:r>
            <w:r w:rsidR="00DB13EF" w:rsidRPr="00A21D51">
              <w:rPr>
                <w:color w:val="1D1B11" w:themeColor="background2" w:themeShade="1A"/>
                <w:spacing w:val="-4"/>
              </w:rPr>
              <w:t> </w:t>
            </w:r>
            <w:r>
              <w:rPr>
                <w:color w:val="1D1B11" w:themeColor="background2" w:themeShade="1A"/>
                <w:spacing w:val="-4"/>
              </w:rPr>
              <w:t>%. Meziročně mírně klesla, převážně zásluhou příznivějšího vývoje ve 2. pololetí 2021. Svižněji se snižovala u mužů (o 0,5 p</w:t>
            </w:r>
            <w:r w:rsidR="00DB13EF">
              <w:rPr>
                <w:color w:val="1D1B11" w:themeColor="background2" w:themeShade="1A"/>
                <w:spacing w:val="-4"/>
              </w:rPr>
              <w:t>. b., na 1,8 %) než u žen (o 0,1</w:t>
            </w:r>
            <w:r>
              <w:rPr>
                <w:color w:val="1D1B11" w:themeColor="background2" w:themeShade="1A"/>
                <w:spacing w:val="-4"/>
              </w:rPr>
              <w:t xml:space="preserve"> p. b., na 3,0 %). Tento vývoj stvrzují také údaje o počtech registrovaných uchazečů o práci. Míra nezaměstnanosti žen se </w:t>
            </w:r>
            <w:r>
              <w:rPr>
                <w:color w:val="0D0D0D" w:themeColor="text1" w:themeTint="F2"/>
                <w:spacing w:val="-4"/>
              </w:rPr>
              <w:t>stále držela lehce nad úrovní z vrcholu předpandemické konjunktury, což souviselo s</w:t>
            </w:r>
            <w:r>
              <w:rPr>
                <w:color w:val="1D1B11" w:themeColor="background2" w:themeShade="1A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pomalejším zotavováním zaměstnanosti v některých oborech služeb silně zasažených propadem poptávky za pandemie a dále i s nedostatečnou nabídkou zkrácených pracovních úvazků. Dlouhodobě nezaměstnaných meziročně mírně přibylo. Více než rok bez práce tak bylo ve 2. čtvrtletí 40 % všech nezaměstnaných, tedy zhruba </w:t>
            </w:r>
            <w:r w:rsidR="00464BF5">
              <w:rPr>
                <w:color w:val="0D0D0D" w:themeColor="text1" w:themeTint="F2"/>
                <w:spacing w:val="-4"/>
              </w:rPr>
              <w:t xml:space="preserve">o </w:t>
            </w:r>
            <w:r>
              <w:rPr>
                <w:color w:val="0D0D0D" w:themeColor="text1" w:themeTint="F2"/>
                <w:spacing w:val="-4"/>
              </w:rPr>
              <w:t>10 p. b. více než v roce 2019. Počet domácností očekávajících v nejbližších 12 měsících zhoršení hospodářské situace v ČR se během letošního jara výrazně zvýšil, což se promítlo i do mírnějšího nárůstu obav lidí ze zvýšení nezaměstnanosti. Ty byly letos v srpnu silnější než v roce 2019, ale zdaleka zatím nedosahovaly intenzity z akutních fází pandemie ani z předchozích období hospodářské recese.</w:t>
            </w:r>
          </w:p>
        </w:tc>
      </w:tr>
      <w:tr w:rsidR="00C118A9" w:rsidRPr="00B43216" w14:paraId="70E62B14" w14:textId="77777777" w:rsidTr="007B54AE">
        <w:trPr>
          <w:trHeight w:val="155"/>
        </w:trPr>
        <w:tc>
          <w:tcPr>
            <w:tcW w:w="1803" w:type="dxa"/>
            <w:vMerge w:val="restart"/>
            <w:shd w:val="clear" w:color="auto" w:fill="auto"/>
            <w:tcMar>
              <w:left w:w="0" w:type="dxa"/>
            </w:tcMar>
          </w:tcPr>
          <w:p w14:paraId="58055921" w14:textId="77777777" w:rsidR="00C118A9" w:rsidRPr="00B43216" w:rsidRDefault="00C118A9" w:rsidP="0062119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7" w:type="dxa"/>
            <w:vMerge w:val="restart"/>
            <w:shd w:val="clear" w:color="auto" w:fill="auto"/>
            <w:tcMar>
              <w:left w:w="0" w:type="dxa"/>
            </w:tcMar>
          </w:tcPr>
          <w:p w14:paraId="60392938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0BEF2835" w14:textId="77777777" w:rsidR="00C118A9" w:rsidRPr="009C410C" w:rsidRDefault="00C118A9" w:rsidP="00621190">
            <w:pPr>
              <w:spacing w:after="0"/>
              <w:rPr>
                <w:b/>
                <w:spacing w:val="-4"/>
              </w:rPr>
            </w:pPr>
            <w:r>
              <w:rPr>
                <w:b/>
                <w:spacing w:val="-4"/>
              </w:rPr>
              <w:t>Graf č. 14</w:t>
            </w:r>
            <w:r w:rsidRPr="009C410C">
              <w:rPr>
                <w:b/>
                <w:spacing w:val="-4"/>
              </w:rPr>
              <w:t xml:space="preserve"> </w:t>
            </w:r>
            <w:r w:rsidRPr="009C410C">
              <w:rPr>
                <w:rFonts w:cs="Arial"/>
                <w:b/>
                <w:spacing w:val="-4"/>
              </w:rPr>
              <w:t xml:space="preserve">Obecná míra nezaměstnanosti </w:t>
            </w:r>
            <w:r w:rsidRPr="009C410C">
              <w:rPr>
                <w:rFonts w:cs="Arial"/>
                <w:bCs/>
                <w:spacing w:val="-4"/>
              </w:rPr>
              <w:t>(v %</w:t>
            </w:r>
            <w:r>
              <w:rPr>
                <w:rFonts w:cs="Arial"/>
                <w:bCs/>
                <w:spacing w:val="-4"/>
              </w:rPr>
              <w:t>, věk 15 až 64 let</w:t>
            </w:r>
            <w:r w:rsidRPr="009C410C">
              <w:rPr>
                <w:rFonts w:cs="Arial"/>
                <w:bCs/>
                <w:spacing w:val="-4"/>
              </w:rPr>
              <w:t>)</w:t>
            </w:r>
            <w:r w:rsidRPr="009C410C">
              <w:rPr>
                <w:rFonts w:cs="Arial"/>
                <w:b/>
                <w:spacing w:val="-4"/>
              </w:rPr>
              <w:t xml:space="preserve">, </w:t>
            </w:r>
            <w:r>
              <w:rPr>
                <w:rFonts w:cs="Arial"/>
                <w:b/>
                <w:spacing w:val="-4"/>
              </w:rPr>
              <w:t>míra ekonomické aktivity</w:t>
            </w:r>
            <w:r>
              <w:rPr>
                <w:rFonts w:cs="Arial"/>
                <w:bCs/>
                <w:spacing w:val="-4"/>
              </w:rPr>
              <w:t xml:space="preserve"> (v %, věk 15 až 64 let)</w:t>
            </w:r>
            <w:r w:rsidRPr="009C410C">
              <w:rPr>
                <w:rFonts w:cs="Arial"/>
                <w:b/>
                <w:spacing w:val="-4"/>
              </w:rPr>
              <w:t xml:space="preserve">, ekonomicky neaktivní chtějící pracovat </w:t>
            </w:r>
            <w:r w:rsidRPr="009C410C">
              <w:rPr>
                <w:rFonts w:cs="Arial"/>
                <w:bCs/>
                <w:spacing w:val="-4"/>
              </w:rPr>
              <w:t>(v tis.</w:t>
            </w:r>
            <w:r>
              <w:rPr>
                <w:rFonts w:cs="Arial"/>
                <w:bCs/>
                <w:spacing w:val="-4"/>
              </w:rPr>
              <w:t xml:space="preserve"> osob</w:t>
            </w:r>
            <w:r w:rsidRPr="009C410C">
              <w:rPr>
                <w:rFonts w:cs="Arial"/>
                <w:bCs/>
                <w:spacing w:val="-4"/>
              </w:rPr>
              <w:t xml:space="preserve">)* </w:t>
            </w:r>
            <w:r w:rsidRPr="009C410C">
              <w:rPr>
                <w:rFonts w:cs="Arial"/>
                <w:b/>
                <w:bCs/>
                <w:spacing w:val="-4"/>
              </w:rPr>
              <w:t>a očekávání nezaměstnanosti u domácností</w:t>
            </w:r>
            <w:r w:rsidRPr="009C410C">
              <w:rPr>
                <w:rFonts w:cs="Arial"/>
                <w:bCs/>
                <w:spacing w:val="-4"/>
              </w:rPr>
              <w:t xml:space="preserve"> (v p. b.)**</w:t>
            </w:r>
          </w:p>
        </w:tc>
      </w:tr>
      <w:tr w:rsidR="00C118A9" w:rsidRPr="00B43216" w14:paraId="534B8E66" w14:textId="77777777" w:rsidTr="007B54AE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803" w:type="dxa"/>
            <w:vMerge/>
            <w:shd w:val="clear" w:color="auto" w:fill="auto"/>
          </w:tcPr>
          <w:p w14:paraId="490F9673" w14:textId="77777777" w:rsidR="00C118A9" w:rsidRPr="00B43216" w:rsidRDefault="00C118A9" w:rsidP="0062119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760BA11A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</w:tcPr>
          <w:p w14:paraId="37304ECB" w14:textId="77777777" w:rsidR="00C118A9" w:rsidRPr="00B43216" w:rsidRDefault="00C118A9" w:rsidP="00621190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54041A7" wp14:editId="41CDF87B">
                  <wp:extent cx="4732935" cy="3321101"/>
                  <wp:effectExtent l="0" t="0" r="0" b="0"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118A9" w:rsidRPr="00B43216" w14:paraId="3A60583F" w14:textId="77777777" w:rsidTr="007B54AE">
        <w:trPr>
          <w:trHeight w:val="132"/>
        </w:trPr>
        <w:tc>
          <w:tcPr>
            <w:tcW w:w="1803" w:type="dxa"/>
            <w:vMerge/>
            <w:shd w:val="clear" w:color="auto" w:fill="auto"/>
            <w:tcMar>
              <w:left w:w="0" w:type="dxa"/>
            </w:tcMar>
          </w:tcPr>
          <w:p w14:paraId="14A2B1EE" w14:textId="77777777" w:rsidR="00C118A9" w:rsidRPr="00B43216" w:rsidRDefault="00C118A9" w:rsidP="00621190">
            <w:pPr>
              <w:pStyle w:val="Marginlie"/>
              <w:rPr>
                <w:spacing w:val="-4"/>
              </w:rPr>
            </w:pPr>
          </w:p>
        </w:tc>
        <w:tc>
          <w:tcPr>
            <w:tcW w:w="227" w:type="dxa"/>
            <w:vMerge/>
            <w:shd w:val="clear" w:color="auto" w:fill="auto"/>
            <w:tcMar>
              <w:left w:w="0" w:type="dxa"/>
            </w:tcMar>
          </w:tcPr>
          <w:p w14:paraId="4090A6E4" w14:textId="77777777" w:rsidR="00C118A9" w:rsidRPr="00B43216" w:rsidRDefault="00C118A9" w:rsidP="00621190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085F51D9" w14:textId="77777777" w:rsidR="00C118A9" w:rsidRPr="004E68B1" w:rsidRDefault="00C118A9" w:rsidP="00621190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Pozn.: Údaje o mírách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nezaměstnanosti </w:t>
            </w: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i ekonomické aktivity 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jsou po sezónním oči</w:t>
            </w: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štění.</w:t>
            </w:r>
          </w:p>
          <w:p w14:paraId="4BD39D37" w14:textId="77777777" w:rsidR="00C118A9" w:rsidRDefault="00C118A9" w:rsidP="00621190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4E68B1"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Jde o osoby, které nepracují, aktivně práci nehledají,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ale přitom uvádějí, že by chtěly pracovat.</w:t>
            </w:r>
          </w:p>
          <w:p w14:paraId="10432757" w14:textId="77777777" w:rsidR="00C118A9" w:rsidRDefault="00C118A9" w:rsidP="00621190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**Sezónně očištěné saldo očekávání nezaměstnanosti v nejbližších 12 měsících (rozdíl mezi procentuální četností odpovědí domácností, růst a pokles vyjádřený v procentních bodech). Vztahuje se k prostřednímu měsíci daného čtvrtletí.</w:t>
            </w:r>
          </w:p>
          <w:p w14:paraId="7B48FEB5" w14:textId="77777777" w:rsidR="00C118A9" w:rsidRPr="00485ED5" w:rsidRDefault="00C118A9" w:rsidP="00621190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</w:t>
            </w:r>
          </w:p>
        </w:tc>
      </w:tr>
      <w:tr w:rsidR="00C118A9" w:rsidRPr="00B43216" w14:paraId="73E670F1" w14:textId="77777777" w:rsidTr="007B54AE">
        <w:trPr>
          <w:trHeight w:val="671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1D263158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>Nabídka volných míst na ÚP pro osoby s nižší kvalifikací se od jara začala snižovat.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5D3FC93F" w14:textId="77777777" w:rsidR="00C118A9" w:rsidRPr="009D39B6" w:rsidRDefault="00C118A9" w:rsidP="00621190">
            <w:pPr>
              <w:pStyle w:val="Textpoznpodarou"/>
              <w:spacing w:line="276" w:lineRule="auto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73184C47" w14:textId="3EF6B32E" w:rsidR="00C118A9" w:rsidRDefault="00C118A9" w:rsidP="00621190">
            <w:pPr>
              <w:spacing w:after="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Růst počtu volných pracovních míst nabízených ÚP se letos v květnu zastavil. V červnu dosáhl 319 tis.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0"/>
            </w:r>
            <w:r>
              <w:rPr>
                <w:color w:val="0D0D0D" w:themeColor="text1" w:themeTint="F2"/>
                <w:spacing w:val="-4"/>
              </w:rPr>
              <w:t xml:space="preserve"> a byl meziročně již o desetinu nižší. Zatímco počet míst vyžadujících terciární vzdělání stagnoval (na 16 tis.) a nabídka pro matura</w:t>
            </w:r>
            <w:r w:rsidR="00770AB9">
              <w:rPr>
                <w:color w:val="0D0D0D" w:themeColor="text1" w:themeTint="F2"/>
                <w:spacing w:val="-4"/>
              </w:rPr>
              <w:t>nty mírně vzrostla (+5 %, na 25</w:t>
            </w:r>
            <w:r w:rsidR="00770AB9" w:rsidRPr="00A02A50">
              <w:rPr>
                <w:bCs/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>tis.), míst pro středoškoláky bez maturity ubylo o 5 % a nejméně kvalifikovaných pozic dokonce o 13 % (ty přesto tvořily stále více než 70 % celkové nabídky míst ÚP). Lze předpokládat, že část méně kvalifikovaných míst mohli během jara obsadit uprchlíci z Ukrajiny. Převis veškeré nabídky volných míst nad počtem registrovaných uchazečů o práci nastal letos v červenci skoro ve dvou třetinách krajů ČR a více než v polovině okresů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>
              <w:rPr>
                <w:color w:val="0D0D0D" w:themeColor="text1" w:themeTint="F2"/>
                <w:spacing w:val="-4"/>
              </w:rPr>
              <w:t xml:space="preserve">. </w:t>
            </w:r>
          </w:p>
          <w:p w14:paraId="06332A32" w14:textId="77777777" w:rsidR="00C118A9" w:rsidRDefault="00C118A9" w:rsidP="00621190">
            <w:pPr>
              <w:spacing w:after="0"/>
              <w:rPr>
                <w:color w:val="0D0D0D" w:themeColor="text1" w:themeTint="F2"/>
                <w:spacing w:val="-4"/>
              </w:rPr>
            </w:pPr>
          </w:p>
        </w:tc>
      </w:tr>
      <w:tr w:rsidR="00C118A9" w:rsidRPr="00B43216" w14:paraId="0C6E3E3D" w14:textId="77777777" w:rsidTr="007B54AE">
        <w:trPr>
          <w:trHeight w:val="671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6A87B0E7" w14:textId="77777777" w:rsidR="00C118A9" w:rsidRDefault="00C118A9" w:rsidP="0062119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Za zpomalením meziročního růstu mezd stál efekt vysoké loňské základny způsobený výplatou mimořádných odměn ve zdravotnictví.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729A88B9" w14:textId="77777777" w:rsidR="00C118A9" w:rsidRPr="00B43216" w:rsidRDefault="00C118A9" w:rsidP="00621190">
            <w:pPr>
              <w:pStyle w:val="Textpoznpodarou"/>
              <w:spacing w:line="276" w:lineRule="auto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D7C163F" w14:textId="5BAE2D6D" w:rsidR="00C118A9" w:rsidRPr="00431E91" w:rsidRDefault="00C118A9" w:rsidP="00621190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D0406A">
              <w:rPr>
                <w:color w:val="0D0D0D" w:themeColor="text1" w:themeTint="F2"/>
                <w:spacing w:val="-5"/>
              </w:rPr>
              <w:t>Průměrná hrubá měsíční nominální mzda (na zaměstnance</w:t>
            </w:r>
            <w:r>
              <w:rPr>
                <w:color w:val="0D0D0D" w:themeColor="text1" w:themeTint="F2"/>
                <w:spacing w:val="-5"/>
              </w:rPr>
              <w:t>,</w:t>
            </w:r>
            <w:r w:rsidRPr="00D0406A">
              <w:rPr>
                <w:color w:val="0D0D0D" w:themeColor="text1" w:themeTint="F2"/>
                <w:spacing w:val="-5"/>
              </w:rPr>
              <w:t xml:space="preserve"> </w:t>
            </w:r>
            <w:r w:rsidRPr="00535525">
              <w:rPr>
                <w:color w:val="0D0D0D" w:themeColor="text1" w:themeTint="F2"/>
                <w:spacing w:val="-5"/>
              </w:rPr>
              <w:t>při zohlednění délky úvazku</w:t>
            </w:r>
            <w:r>
              <w:rPr>
                <w:color w:val="0D0D0D" w:themeColor="text1" w:themeTint="F2"/>
                <w:spacing w:val="-5"/>
              </w:rPr>
              <w:t>) vystoupala ve 2. čtvrtletí 2022 těsně nad hranici 40 tis. korun. Její meziroční růst zvolnil na 4,4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5"/>
              </w:rPr>
              <w:t xml:space="preserve">%. (ze 7,3 % v 1. čtvrtletí). Avšak po vyloučení odvětví zdravotní a sociální péče, do jehož vývoje se zásadně promítlo vyplacení mimořádných kumulativních „covidových“ odměn loni na jaře, se mzdový růst pohyboval mírně nad 7,5 % – tedy na podobné hodnotě jako na počátku letošního roku. </w:t>
            </w:r>
            <w:r w:rsidRPr="00535525">
              <w:rPr>
                <w:spacing w:val="-5"/>
              </w:rPr>
              <w:t>Mzda po očištění od sezónních vlivů</w:t>
            </w:r>
            <w:r>
              <w:rPr>
                <w:spacing w:val="-5"/>
              </w:rPr>
              <w:t xml:space="preserve"> se ve 2. čtvrtletí mezikvartálně navý</w:t>
            </w:r>
            <w:r w:rsidR="00464BF5">
              <w:rPr>
                <w:spacing w:val="-5"/>
              </w:rPr>
              <w:t xml:space="preserve">šila </w:t>
            </w:r>
            <w:r>
              <w:rPr>
                <w:spacing w:val="-5"/>
              </w:rPr>
              <w:t xml:space="preserve">o 1,3 % a také toto tempo výrazně nevybočovalo z vývoje z nedávného období. </w:t>
            </w:r>
          </w:p>
        </w:tc>
      </w:tr>
      <w:tr w:rsidR="00C118A9" w:rsidRPr="00B43216" w14:paraId="2452AD31" w14:textId="77777777" w:rsidTr="007B54AE">
        <w:trPr>
          <w:trHeight w:val="671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7C566B58" w14:textId="77777777" w:rsidR="00C118A9" w:rsidRDefault="00C118A9" w:rsidP="00621190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>Za mzdovým růstem stála hlavně tržní odvětví. V odvětvích s dominancí státu se projevil vliv úsporných opatření.</w:t>
            </w:r>
          </w:p>
          <w:p w14:paraId="1A611039" w14:textId="77777777" w:rsidR="00C118A9" w:rsidRDefault="00C118A9" w:rsidP="00621190">
            <w:pPr>
              <w:pStyle w:val="Marginlie"/>
              <w:rPr>
                <w:spacing w:val="-4"/>
              </w:rPr>
            </w:pPr>
          </w:p>
          <w:p w14:paraId="18B81AEC" w14:textId="77777777" w:rsidR="00C118A9" w:rsidRDefault="00C118A9" w:rsidP="00621190">
            <w:pPr>
              <w:pStyle w:val="Marginlie"/>
              <w:rPr>
                <w:spacing w:val="-4"/>
              </w:rPr>
            </w:pPr>
          </w:p>
          <w:p w14:paraId="69ED9CC2" w14:textId="77777777" w:rsidR="00C118A9" w:rsidRDefault="00C118A9" w:rsidP="00621190">
            <w:pPr>
              <w:pStyle w:val="Marginlie"/>
              <w:rPr>
                <w:spacing w:val="-4"/>
              </w:rPr>
            </w:pPr>
          </w:p>
          <w:p w14:paraId="5BA3B430" w14:textId="77777777" w:rsidR="00C118A9" w:rsidRDefault="00C118A9" w:rsidP="00621190">
            <w:pPr>
              <w:pStyle w:val="Marginlie"/>
              <w:rPr>
                <w:spacing w:val="-4"/>
              </w:rPr>
            </w:pPr>
          </w:p>
          <w:p w14:paraId="32447CFD" w14:textId="77777777" w:rsidR="00C118A9" w:rsidRDefault="00C118A9" w:rsidP="00621190">
            <w:pPr>
              <w:pStyle w:val="Marginlie"/>
              <w:rPr>
                <w:spacing w:val="-4"/>
              </w:rPr>
            </w:pPr>
          </w:p>
          <w:p w14:paraId="087BD0CD" w14:textId="77777777" w:rsidR="00C118A9" w:rsidRDefault="00C118A9" w:rsidP="00621190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>Prostor pro větší navýšení mezd snižoval podnikům rychlý a do budoucna obtížně odhadnutelný růst výrobních nákladů.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1106089D" w14:textId="77777777" w:rsidR="00C118A9" w:rsidRPr="00B43216" w:rsidRDefault="00C118A9" w:rsidP="00621190">
            <w:pPr>
              <w:pStyle w:val="Textpoznpodarou"/>
              <w:spacing w:line="276" w:lineRule="auto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F853518" w14:textId="31DCED7F" w:rsidR="00C118A9" w:rsidRPr="002A696C" w:rsidRDefault="00C118A9" w:rsidP="00621190">
            <w:pPr>
              <w:spacing w:after="220"/>
              <w:rPr>
                <w:spacing w:val="-4"/>
              </w:rPr>
            </w:pPr>
            <w:r w:rsidRPr="002A696C">
              <w:rPr>
                <w:spacing w:val="-4"/>
              </w:rPr>
              <w:t xml:space="preserve">Meziroční mzdové tempo </w:t>
            </w:r>
            <w:r w:rsidRPr="002A696C">
              <w:rPr>
                <w:color w:val="0D0D0D" w:themeColor="text1" w:themeTint="F2"/>
                <w:spacing w:val="-4"/>
              </w:rPr>
              <w:t xml:space="preserve">ve 2. čtvrtletí </w:t>
            </w:r>
            <w:r w:rsidRPr="002A696C">
              <w:rPr>
                <w:spacing w:val="-4"/>
              </w:rPr>
              <w:t>odráželo pokračující zotavování ekonomiky (zejména některých služeb) vyjádřené i svižným růstem počtu odpracovaných hodin. Prorůstově působilo i napětí na pracovním trhu spojené s nízkou nezaměstnaností, stále vysokým počtem volných míst i faktem, že nedostatek zaměstnanců limitoval produkci v řadě významných odvětví. Hlavně v odvětvích s nízkou úr</w:t>
            </w:r>
            <w:r w:rsidR="00770AB9">
              <w:rPr>
                <w:spacing w:val="-4"/>
              </w:rPr>
              <w:t>ovní výdělků mělo dílčí dopad i</w:t>
            </w:r>
            <w:r w:rsidR="00770AB9" w:rsidRPr="00A02A50">
              <w:rPr>
                <w:bCs/>
                <w:color w:val="0D0D0D" w:themeColor="text1" w:themeTint="F2"/>
                <w:spacing w:val="-4"/>
              </w:rPr>
              <w:t> </w:t>
            </w:r>
            <w:r w:rsidRPr="002A696C">
              <w:rPr>
                <w:spacing w:val="-4"/>
              </w:rPr>
              <w:t xml:space="preserve">pokračující navyšování minimální mzdy. Naopak příchod ukrajinských uprchlíků úroveň průměrných mezd ani v těchto odvětvích zatím prakticky neovlivnil, neboť tyto osoby se na pracovní trh zapojovaly pozvolna a často zřejmě prostřednictvím zkrácených úvazků či pouze formou různých dohod. Růst mezd v celé ekonomice byl brzděn zejména nastavením platových tarifů v rozpočtové sféře (zmrazení či jen velmi mírný růst u většiny skupin pracovníků). Vysoká inflační očekávání se zatím ve mzdové oblasti projevovala nejednoznačně. Vedla sice k rostoucímu tlaku zaměstnanců na svižnější mzdový růst, ten ovšem narážel na obtížnou situaci zaměstnavatelů. Tlak na růst nemzdových výrobních nákladů vlivem významného navýšení cen prakticky všech mezivstupů v posledních čtvrtletích citelně zesílil a byl ještě umocněn značnými nejistotami ohledně budoucího vývoje cen i samotné dostupnosti energií. Situace podniků se však značně lišila, a to i v rámci jednotlivých odvětví. </w:t>
            </w:r>
          </w:p>
        </w:tc>
      </w:tr>
      <w:tr w:rsidR="00C118A9" w:rsidRPr="00191C35" w14:paraId="0A06FD59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12CAF19E" w14:textId="77777777" w:rsidR="00C118A9" w:rsidRDefault="00C118A9" w:rsidP="00621190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Hluboký reálný pokles průměrné mzdy pokračoval třetí kvartál v řadě.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0EA3F273" w14:textId="77777777" w:rsidR="00C118A9" w:rsidRPr="00EA508C" w:rsidRDefault="00C118A9" w:rsidP="0062119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4298D428" w14:textId="4A852189" w:rsidR="00C118A9" w:rsidRPr="00464BF5" w:rsidRDefault="00C118A9" w:rsidP="00621190">
            <w:pPr>
              <w:spacing w:after="0"/>
              <w:rPr>
                <w:spacing w:val="-5"/>
              </w:rPr>
            </w:pPr>
            <w:r w:rsidRPr="00464BF5">
              <w:rPr>
                <w:spacing w:val="-5"/>
              </w:rPr>
              <w:t>Reálný pokles průměrných mezd pokračoval tře</w:t>
            </w:r>
            <w:r w:rsidR="00464BF5" w:rsidRPr="00464BF5">
              <w:rPr>
                <w:spacing w:val="-5"/>
              </w:rPr>
              <w:t xml:space="preserve">tí kvartál v řadě. Vlivem </w:t>
            </w:r>
            <w:r w:rsidRPr="00464BF5">
              <w:rPr>
                <w:spacing w:val="-5"/>
              </w:rPr>
              <w:t>akcelerace růstu spotřebitelských cen se tento pokles</w:t>
            </w:r>
            <w:r w:rsidR="00464BF5" w:rsidRPr="00464BF5">
              <w:rPr>
                <w:spacing w:val="-5"/>
              </w:rPr>
              <w:t xml:space="preserve"> ve 2. čtvrtletí prohloubil (</w:t>
            </w:r>
            <w:r w:rsidRPr="00464BF5">
              <w:rPr>
                <w:spacing w:val="-5"/>
              </w:rPr>
              <w:t>na 9,8 %). Ten byl přitom již v předchozím čtvrtletí ne</w:t>
            </w:r>
            <w:r w:rsidR="00CE7562">
              <w:rPr>
                <w:spacing w:val="-5"/>
              </w:rPr>
              <w:t>jhlubší v současném miléniu (3,5</w:t>
            </w:r>
            <w:r w:rsidRPr="00464BF5">
              <w:rPr>
                <w:spacing w:val="-5"/>
              </w:rPr>
              <w:t xml:space="preserve"> %) a postihl drtivou většinu odvětví. Zároveň se zásadně podepsal i na snížení celkové kupní síly tuzemských domácností</w:t>
            </w:r>
            <w:r w:rsidRPr="00464BF5">
              <w:rPr>
                <w:rStyle w:val="Znakapoznpodarou"/>
                <w:spacing w:val="-5"/>
              </w:rPr>
              <w:footnoteReference w:id="12"/>
            </w:r>
            <w:r w:rsidRPr="00464BF5">
              <w:rPr>
                <w:spacing w:val="-5"/>
              </w:rPr>
              <w:t>.</w:t>
            </w:r>
          </w:p>
          <w:p w14:paraId="7C0FED13" w14:textId="77777777" w:rsidR="00C118A9" w:rsidRPr="00A01519" w:rsidRDefault="00C118A9" w:rsidP="00621190">
            <w:pPr>
              <w:spacing w:after="0"/>
              <w:rPr>
                <w:spacing w:val="-4"/>
              </w:rPr>
            </w:pPr>
          </w:p>
        </w:tc>
      </w:tr>
      <w:tr w:rsidR="00C118A9" w:rsidRPr="00191C35" w14:paraId="1B7BF757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4931F428" w14:textId="77777777" w:rsidR="00C118A9" w:rsidRDefault="00C118A9" w:rsidP="00621190">
            <w:pPr>
              <w:pStyle w:val="Marginlie"/>
              <w:spacing w:after="120"/>
            </w:pPr>
            <w:r>
              <w:t xml:space="preserve">Nejvyšším tempem vzrostly průměrné mzdy v ubytování, stravování </w:t>
            </w:r>
            <w:r>
              <w:br/>
              <w:t xml:space="preserve">a pohostinství. Svižného tempa dosáhla i drtivá většina ostatních tržních služeb. </w:t>
            </w:r>
          </w:p>
          <w:p w14:paraId="1C707E8C" w14:textId="77777777" w:rsidR="00C118A9" w:rsidRDefault="00C118A9" w:rsidP="00621190">
            <w:pPr>
              <w:pStyle w:val="Marginlie"/>
              <w:spacing w:after="120"/>
            </w:pPr>
            <w:r>
              <w:lastRenderedPageBreak/>
              <w:t>V průmyslu i stavebnictví mzdový růst během 1. pololetí zrychloval. Výše průměrných výdělků zde ale úrovně celé ekonomiky nedosáhla.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22B3766F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59D3554B" w14:textId="2290FF64" w:rsidR="00C118A9" w:rsidRPr="00464BF5" w:rsidRDefault="00C118A9" w:rsidP="00621190">
            <w:pPr>
              <w:rPr>
                <w:spacing w:val="-6"/>
              </w:rPr>
            </w:pPr>
            <w:r w:rsidRPr="00464BF5">
              <w:rPr>
                <w:spacing w:val="-6"/>
              </w:rPr>
              <w:t xml:space="preserve">Ve 2. čtvrtletí rostly nejvyšším meziročním tempem průměrné mzdy v odvětví ubytování, stravování a pohostinství (11,3 %). Jejich výše nedosáhla ani tří pětin úrovně celé ekonomiky </w:t>
            </w:r>
            <w:r w:rsidRPr="00464BF5">
              <w:rPr>
                <w:spacing w:val="-6"/>
              </w:rPr>
              <w:br/>
              <w:t xml:space="preserve">a stále se tak jednalo o odvětví s nejnižší hladinou mezd. Z pokrizového oživení poptávky související i s realizací odložené soukromé spotřeby těžila také váhově významná odvětví obchodu či dopravy a skladování, v nichž výdělky posílily skoro o 9 %. To platilo o i kulturních, zábavních a rekreačních činnostech (9,6 %), kde byl ovšem mzdový růst brzděn vývojem </w:t>
            </w:r>
            <w:r w:rsidRPr="00464BF5">
              <w:rPr>
                <w:spacing w:val="-6"/>
              </w:rPr>
              <w:br/>
              <w:t xml:space="preserve">v segmentu veřejných kulturních organizací. Rozpočtová úsporná opatření stála i za nižším </w:t>
            </w:r>
            <w:r w:rsidRPr="00464BF5">
              <w:rPr>
                <w:spacing w:val="-6"/>
              </w:rPr>
              <w:lastRenderedPageBreak/>
              <w:t xml:space="preserve">růstem ve vzdělávání (2,6 %) a též v odvětví veřejné správy, obrany a sociálního zabezpečení (3,8 %), v němž navíc rostly výdělky podprůměrným tempem i po celý loňský rok. Naopak ve svižném růstu pokračovalo prosperující odvětví informačních a komunikačních činností </w:t>
            </w:r>
            <w:r w:rsidRPr="00464BF5">
              <w:rPr>
                <w:spacing w:val="-6"/>
              </w:rPr>
              <w:br/>
              <w:t>(11,0 %) a průměrná měsíční mzda se zde přiblížila 70tis. hranici. S obdobnými průměrnými výdělky mohli počítat i</w:t>
            </w:r>
            <w:r w:rsidR="00464BF5">
              <w:rPr>
                <w:spacing w:val="-6"/>
              </w:rPr>
              <w:t xml:space="preserve"> zaměstnanci ve finančnictví</w:t>
            </w:r>
            <w:r w:rsidR="00464BF5" w:rsidRPr="00464BF5">
              <w:rPr>
                <w:spacing w:val="-6"/>
              </w:rPr>
              <w:t>, růst mezd zde ale</w:t>
            </w:r>
            <w:r w:rsidRPr="00464BF5">
              <w:rPr>
                <w:spacing w:val="-6"/>
              </w:rPr>
              <w:t xml:space="preserve"> ve srovnání s oblastí ICT v letech 2020 i 2021 viditelně zaostával. V klíčovém odvětví – zpracovatelském průmyslu –  mzdový růst ve 2. čtvrtletí zrychlil na rovných 8 %, a to zejména díky výrobě motorových vozidel, kde měsíční výd</w:t>
            </w:r>
            <w:r w:rsidR="00464BF5">
              <w:rPr>
                <w:spacing w:val="-6"/>
              </w:rPr>
              <w:t xml:space="preserve">ělky dosáhly v průměru bezmála </w:t>
            </w:r>
            <w:r w:rsidRPr="00464BF5">
              <w:rPr>
                <w:spacing w:val="-6"/>
              </w:rPr>
              <w:t>51 tis. korun. Celému odvětví se přitom dařilo i loni na jaře, což se tehdy pozitivně odrazilo i ve mzdové oblasti. Navzdory tomu zůstaly i letos průměrné mzdy v celém průmyslu stále pod úro</w:t>
            </w:r>
            <w:r w:rsidR="00464BF5">
              <w:rPr>
                <w:spacing w:val="-6"/>
              </w:rPr>
              <w:t>vní národního hospodářství (o</w:t>
            </w:r>
            <w:r w:rsidR="00464BF5" w:rsidRPr="00464BF5">
              <w:rPr>
                <w:spacing w:val="-6"/>
              </w:rPr>
              <w:t> </w:t>
            </w:r>
            <w:r w:rsidR="00464BF5">
              <w:rPr>
                <w:spacing w:val="-6"/>
              </w:rPr>
              <w:t>1</w:t>
            </w:r>
            <w:r w:rsidR="00464BF5" w:rsidRPr="00464BF5">
              <w:rPr>
                <w:spacing w:val="-6"/>
              </w:rPr>
              <w:t xml:space="preserve">  </w:t>
            </w:r>
            <w:r w:rsidRPr="00464BF5">
              <w:rPr>
                <w:spacing w:val="-6"/>
              </w:rPr>
              <w:t>%). Stejné platilo ještě ve</w:t>
            </w:r>
            <w:r w:rsidR="00464BF5">
              <w:rPr>
                <w:spacing w:val="-6"/>
              </w:rPr>
              <w:t xml:space="preserve"> větší míře i pro stavebnictví </w:t>
            </w:r>
            <w:r w:rsidRPr="00464BF5">
              <w:rPr>
                <w:spacing w:val="-6"/>
              </w:rPr>
              <w:t>(</w:t>
            </w:r>
            <w:r w:rsidRPr="00464BF5">
              <w:rPr>
                <w:i/>
                <w:iCs/>
                <w:spacing w:val="-6"/>
              </w:rPr>
              <w:t>–</w:t>
            </w:r>
            <w:r w:rsidRPr="00464BF5">
              <w:rPr>
                <w:spacing w:val="-6"/>
              </w:rPr>
              <w:t>14 %), které se z pandemické recese zotavovalo pozvolně. Letos zde ale mzdový růst zrychloval a ve 2. čtvrtletí činil 7,8 %.</w:t>
            </w:r>
          </w:p>
        </w:tc>
      </w:tr>
      <w:tr w:rsidR="00C118A9" w:rsidRPr="00191C35" w14:paraId="4CD528D7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7DCC76F4" w14:textId="77777777" w:rsidR="00C118A9" w:rsidRDefault="00C118A9" w:rsidP="00621190">
            <w:pPr>
              <w:pStyle w:val="Marginlie"/>
              <w:spacing w:after="120"/>
            </w:pPr>
            <w:r>
              <w:lastRenderedPageBreak/>
              <w:t>Nadprůměrný mzdový růst v Praze odrážel oživení většiny tržních služeb.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27FC713E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1A912214" w14:textId="6655DBB8" w:rsidR="00C118A9" w:rsidRPr="009321EE" w:rsidRDefault="00C118A9" w:rsidP="00621190">
            <w:pPr>
              <w:rPr>
                <w:spacing w:val="-5"/>
              </w:rPr>
            </w:pPr>
            <w:r>
              <w:rPr>
                <w:spacing w:val="-5"/>
              </w:rPr>
              <w:t>Na průměrné mzdě si nejvíce ve 2. čtvrtletí meziročně polep</w:t>
            </w:r>
            <w:r w:rsidR="00B80D44">
              <w:rPr>
                <w:spacing w:val="-5"/>
              </w:rPr>
              <w:t>šili zaměstnanci v Praze (o</w:t>
            </w:r>
            <w:r w:rsidR="00B80D44" w:rsidRPr="00A02A50">
              <w:rPr>
                <w:bCs/>
                <w:color w:val="0D0D0D" w:themeColor="text1" w:themeTint="F2"/>
                <w:spacing w:val="-4"/>
              </w:rPr>
              <w:t> </w:t>
            </w:r>
            <w:r w:rsidR="00770AB9">
              <w:rPr>
                <w:spacing w:val="-5"/>
              </w:rPr>
              <w:t>5,7</w:t>
            </w:r>
            <w:r w:rsidR="00770AB9" w:rsidRPr="00A02A50">
              <w:rPr>
                <w:bCs/>
                <w:color w:val="0D0D0D" w:themeColor="text1" w:themeTint="F2"/>
                <w:spacing w:val="-4"/>
              </w:rPr>
              <w:t> </w:t>
            </w:r>
            <w:r>
              <w:rPr>
                <w:spacing w:val="-5"/>
              </w:rPr>
              <w:t>%), nejméně v Ústeckém kraji (1,6 %). Do vyššího mzdového tempa v metropoli se patrně promítla zlepšená ekonomická situace v odvětvích tržních služeb (soustředěných zde více než v jiných regionech). Růst mezd v Praze byl tradičně podpořen příznivějším vývojem v zaměstnanosti. V Moravskoslezském, Ústeckém a Karlovarském kraji se negativně projevoval pokračující útlum těžebního průmyslu, byť méně výrazně než vloni. Výše průměrných mezd na Karlovarsku patřila mezi kraji k nejnižším, neboť za celorepublikovou úrovní zaostávala o 13 %. Tu naopak mzdy v Praze o 23 % převyšovaly. Obdobně tomu bylo v předpandemickém roce 2019.</w:t>
            </w:r>
          </w:p>
        </w:tc>
      </w:tr>
      <w:tr w:rsidR="00C118A9" w:rsidRPr="00191C35" w14:paraId="0EBFA331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288C9633" w14:textId="77777777" w:rsidR="00C118A9" w:rsidRDefault="00C118A9" w:rsidP="00621190">
            <w:pPr>
              <w:pStyle w:val="Marginlie"/>
              <w:spacing w:after="120"/>
            </w:pPr>
            <w:r>
              <w:t>Mzdová diferenciace se letos meziročně snižovala.</w:t>
            </w: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346AF10E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05AE675A" w14:textId="2EB434A2" w:rsidR="00C118A9" w:rsidRPr="00A119B6" w:rsidRDefault="00C118A9" w:rsidP="00621190">
            <w:pPr>
              <w:rPr>
                <w:spacing w:val="-4"/>
              </w:rPr>
            </w:pPr>
            <w:r w:rsidRPr="00A02A50">
              <w:rPr>
                <w:bCs/>
                <w:color w:val="0D0D0D" w:themeColor="text1" w:themeTint="F2"/>
                <w:spacing w:val="-4"/>
              </w:rPr>
              <w:t xml:space="preserve">Medián mezd </w:t>
            </w:r>
            <w:r>
              <w:rPr>
                <w:bCs/>
                <w:color w:val="0D0D0D" w:themeColor="text1" w:themeTint="F2"/>
                <w:spacing w:val="-4"/>
              </w:rPr>
              <w:t>vystoupal</w:t>
            </w:r>
            <w:r w:rsidRPr="00A02A50">
              <w:rPr>
                <w:bCs/>
                <w:color w:val="0D0D0D" w:themeColor="text1" w:themeTint="F2"/>
                <w:spacing w:val="-4"/>
              </w:rPr>
              <w:t xml:space="preserve"> ve 2. čtvrtletí </w:t>
            </w:r>
            <w:r w:rsidRPr="009005A1">
              <w:rPr>
                <w:bCs/>
                <w:color w:val="0D0D0D" w:themeColor="text1" w:themeTint="F2"/>
                <w:spacing w:val="-4"/>
              </w:rPr>
              <w:t xml:space="preserve">2022 </w:t>
            </w:r>
            <w:r>
              <w:rPr>
                <w:bCs/>
                <w:spacing w:val="-4"/>
              </w:rPr>
              <w:t>u mužů na 36,9 tis. korun, u žen na 31,2</w:t>
            </w:r>
            <w:r w:rsidRPr="002A22E5">
              <w:rPr>
                <w:bCs/>
                <w:spacing w:val="-4"/>
              </w:rPr>
              <w:t> tis. koru</w:t>
            </w:r>
            <w:r>
              <w:rPr>
                <w:bCs/>
                <w:spacing w:val="-4"/>
              </w:rPr>
              <w:t xml:space="preserve">n. Na rozdíl od předchozích let </w:t>
            </w:r>
            <w:r w:rsidRPr="002A22E5">
              <w:rPr>
                <w:bCs/>
                <w:spacing w:val="-4"/>
              </w:rPr>
              <w:t>se</w:t>
            </w:r>
            <w:r>
              <w:rPr>
                <w:bCs/>
                <w:spacing w:val="-4"/>
              </w:rPr>
              <w:t xml:space="preserve"> meziročně zvýšil víc</w:t>
            </w:r>
            <w:r w:rsidR="00770AB9">
              <w:rPr>
                <w:bCs/>
                <w:spacing w:val="-4"/>
              </w:rPr>
              <w:t>e u mužů (7,3 %) než u žen (3,7</w:t>
            </w:r>
            <w:r w:rsidR="00770AB9" w:rsidRPr="00A02A50">
              <w:rPr>
                <w:bCs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>%). Mzdová distribuce u mužů se meziročně nezměnila. Růst výdělků žen byl ve větší míře tažen posílením podprůměrných mezd (ve vazbě na oživení většiny odvětví tržních služeb), zatímco průměrné a nadprůměrné mzdy se zvyšovaly relativně pomaleji (zejména kvůli citelnému zvolnění růstu ve vzdělávání a zdravotní a sociální péči). Celková mzdová distribuce se v letošním 1. i 2. čtvrtletí ve srovnání s loňským rokem zúžila.</w:t>
            </w:r>
          </w:p>
        </w:tc>
      </w:tr>
      <w:tr w:rsidR="00C118A9" w:rsidRPr="00191C35" w14:paraId="22EAB61B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68E44AD1" w14:textId="77777777" w:rsidR="00C118A9" w:rsidRDefault="00C118A9" w:rsidP="00621190">
            <w:pPr>
              <w:pStyle w:val="Marginlie"/>
              <w:spacing w:after="120"/>
            </w:pP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191720B9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274F2928" w14:textId="77777777" w:rsidR="00C118A9" w:rsidRPr="00716203" w:rsidRDefault="00C118A9" w:rsidP="00621190">
            <w:pPr>
              <w:spacing w:after="0"/>
              <w:rPr>
                <w:spacing w:val="-4"/>
              </w:rPr>
            </w:pPr>
            <w:r>
              <w:rPr>
                <w:b/>
                <w:spacing w:val="-4"/>
              </w:rPr>
              <w:t>Graf č. 15</w:t>
            </w:r>
            <w:r w:rsidRPr="003E01D3">
              <w:rPr>
                <w:b/>
                <w:spacing w:val="-4"/>
              </w:rPr>
              <w:t xml:space="preserve"> Průměrná nominální</w:t>
            </w:r>
            <w:r>
              <w:rPr>
                <w:b/>
                <w:spacing w:val="-4"/>
              </w:rPr>
              <w:t xml:space="preserve"> a </w:t>
            </w:r>
            <w:r w:rsidRPr="003E01D3">
              <w:rPr>
                <w:b/>
                <w:spacing w:val="-4"/>
              </w:rPr>
              <w:t>reálná mzda a</w:t>
            </w:r>
            <w:r>
              <w:rPr>
                <w:b/>
                <w:spacing w:val="-4"/>
              </w:rPr>
              <w:t> </w:t>
            </w:r>
            <w:r w:rsidRPr="003E01D3">
              <w:rPr>
                <w:b/>
                <w:spacing w:val="-4"/>
              </w:rPr>
              <w:t>mzdový medián</w:t>
            </w:r>
            <w:r>
              <w:rPr>
                <w:spacing w:val="-4"/>
              </w:rPr>
              <w:t xml:space="preserve"> </w:t>
            </w:r>
            <w:r w:rsidRPr="003E01D3">
              <w:rPr>
                <w:spacing w:val="-4"/>
              </w:rPr>
              <w:t>(meziročně, v %)</w:t>
            </w:r>
          </w:p>
        </w:tc>
      </w:tr>
      <w:tr w:rsidR="00C118A9" w:rsidRPr="00191C35" w14:paraId="54988777" w14:textId="77777777" w:rsidTr="007B54AE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803" w:type="dxa"/>
            <w:shd w:val="clear" w:color="auto" w:fill="auto"/>
          </w:tcPr>
          <w:p w14:paraId="2158E3BB" w14:textId="77777777" w:rsidR="00C118A9" w:rsidRDefault="00C118A9" w:rsidP="00621190">
            <w:pPr>
              <w:pStyle w:val="Marginlie"/>
              <w:spacing w:after="120"/>
            </w:pPr>
          </w:p>
        </w:tc>
        <w:tc>
          <w:tcPr>
            <w:tcW w:w="227" w:type="dxa"/>
            <w:shd w:val="clear" w:color="auto" w:fill="auto"/>
          </w:tcPr>
          <w:p w14:paraId="6A254011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</w:tcPr>
          <w:p w14:paraId="3217C2CA" w14:textId="77777777" w:rsidR="00C118A9" w:rsidRPr="003E01D3" w:rsidRDefault="00C118A9" w:rsidP="00621190">
            <w:pPr>
              <w:spacing w:after="0"/>
              <w:rPr>
                <w:b/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649CF0EB" wp14:editId="4D142317">
                  <wp:extent cx="4747565" cy="3269895"/>
                  <wp:effectExtent l="0" t="0" r="0" b="6985"/>
                  <wp:docPr id="20" name="Graf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118A9" w:rsidRPr="00191C35" w14:paraId="5639B9F2" w14:textId="77777777" w:rsidTr="007B54AE">
        <w:trPr>
          <w:trHeight w:val="145"/>
        </w:trPr>
        <w:tc>
          <w:tcPr>
            <w:tcW w:w="1803" w:type="dxa"/>
            <w:shd w:val="clear" w:color="auto" w:fill="auto"/>
            <w:tcMar>
              <w:left w:w="0" w:type="dxa"/>
            </w:tcMar>
          </w:tcPr>
          <w:p w14:paraId="7A91B007" w14:textId="77777777" w:rsidR="00C118A9" w:rsidRDefault="00C118A9" w:rsidP="00621190">
            <w:pPr>
              <w:pStyle w:val="Marginlie"/>
              <w:spacing w:after="120"/>
            </w:pPr>
          </w:p>
        </w:tc>
        <w:tc>
          <w:tcPr>
            <w:tcW w:w="227" w:type="dxa"/>
            <w:shd w:val="clear" w:color="auto" w:fill="auto"/>
            <w:tcMar>
              <w:left w:w="0" w:type="dxa"/>
            </w:tcMar>
          </w:tcPr>
          <w:p w14:paraId="421AE78A" w14:textId="77777777" w:rsidR="00C118A9" w:rsidRPr="00B43216" w:rsidRDefault="00C118A9" w:rsidP="0062119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09" w:type="dxa"/>
            <w:shd w:val="clear" w:color="auto" w:fill="auto"/>
            <w:tcMar>
              <w:left w:w="0" w:type="dxa"/>
            </w:tcMar>
          </w:tcPr>
          <w:p w14:paraId="1D3181A9" w14:textId="77777777" w:rsidR="00C118A9" w:rsidRDefault="00C118A9" w:rsidP="00621190">
            <w:pPr>
              <w:tabs>
                <w:tab w:val="right" w:pos="7683"/>
              </w:tabs>
              <w:spacing w:after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Poznámka: Údaje jsou uvedeny za jednotlivá pololetí.</w:t>
            </w:r>
          </w:p>
          <w:p w14:paraId="0F47F2C9" w14:textId="77777777" w:rsidR="00C118A9" w:rsidRPr="00F6560A" w:rsidRDefault="00C118A9" w:rsidP="00621190">
            <w:pPr>
              <w:tabs>
                <w:tab w:val="right" w:pos="7683"/>
              </w:tabs>
              <w:spacing w:after="0"/>
              <w:rPr>
                <w:noProof/>
                <w:sz w:val="14"/>
                <w:szCs w:val="14"/>
              </w:rPr>
            </w:pPr>
            <w:r w:rsidRPr="00F6560A">
              <w:rPr>
                <w:bCs/>
                <w:sz w:val="14"/>
                <w:szCs w:val="14"/>
              </w:rPr>
              <w:t>*Zahrnuje odvětví s významnou rolí státu: Veřejná správa a obrana, povinné sociální zabezpečení; Vzdělávání; Zdravotní a sociální péče; Kulturní, zábavní a rekreační činnosti.</w:t>
            </w:r>
            <w:r w:rsidRPr="00F6560A">
              <w:rPr>
                <w:bCs/>
                <w:sz w:val="14"/>
                <w:szCs w:val="14"/>
              </w:rPr>
              <w:tab/>
            </w:r>
            <w:r w:rsidRPr="00F6560A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</w:t>
            </w:r>
          </w:p>
        </w:tc>
      </w:tr>
    </w:tbl>
    <w:p w14:paraId="5BAB8EA3" w14:textId="3E49B7A0" w:rsidR="000663F0" w:rsidRPr="00E42054" w:rsidRDefault="000663F0" w:rsidP="009301EF">
      <w:pPr>
        <w:pStyle w:val="Nadpis11"/>
        <w:spacing w:after="120"/>
        <w:rPr>
          <w:b w:val="0"/>
          <w:sz w:val="2"/>
          <w:szCs w:val="2"/>
        </w:rPr>
      </w:pPr>
      <w:bookmarkStart w:id="5" w:name="_GoBack"/>
      <w:bookmarkEnd w:id="0"/>
      <w:bookmarkEnd w:id="1"/>
      <w:bookmarkEnd w:id="2"/>
      <w:bookmarkEnd w:id="3"/>
      <w:bookmarkEnd w:id="5"/>
    </w:p>
    <w:sectPr w:rsidR="000663F0" w:rsidRPr="00E42054" w:rsidSect="009301EF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A40B" w14:textId="77777777" w:rsidR="00AF7698" w:rsidRDefault="00AF7698" w:rsidP="00E71A58">
      <w:r>
        <w:separator/>
      </w:r>
    </w:p>
  </w:endnote>
  <w:endnote w:type="continuationSeparator" w:id="0">
    <w:p w14:paraId="2270ECAC" w14:textId="77777777" w:rsidR="00AF7698" w:rsidRDefault="00AF769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4ED7ED41" w:rsidR="00CF35A7" w:rsidRPr="00932443" w:rsidRDefault="00CF35A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301EF">
      <w:rPr>
        <w:szCs w:val="16"/>
      </w:rPr>
      <w:t>30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1F12F966" w:rsidR="00CF35A7" w:rsidRPr="00932443" w:rsidRDefault="00CF35A7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301EF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DFC1" w14:textId="77777777" w:rsidR="00AF7698" w:rsidRDefault="00AF7698" w:rsidP="00A21B4D">
      <w:pPr>
        <w:spacing w:after="0"/>
      </w:pPr>
      <w:r>
        <w:separator/>
      </w:r>
    </w:p>
  </w:footnote>
  <w:footnote w:type="continuationSeparator" w:id="0">
    <w:p w14:paraId="38845624" w14:textId="77777777" w:rsidR="00AF7698" w:rsidRDefault="00AF7698" w:rsidP="00E71A58">
      <w:r>
        <w:continuationSeparator/>
      </w:r>
    </w:p>
  </w:footnote>
  <w:footnote w:id="1">
    <w:p w14:paraId="0AF240DC" w14:textId="77777777" w:rsidR="00CF35A7" w:rsidRPr="00F72E52" w:rsidRDefault="00CF35A7" w:rsidP="00955BAD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F72E52">
        <w:rPr>
          <w:color w:val="0D0D0D" w:themeColor="text1" w:themeTint="F2"/>
          <w:spacing w:val="-2"/>
          <w:sz w:val="16"/>
          <w:szCs w:val="16"/>
        </w:rPr>
        <w:t xml:space="preserve"> Údaje </w:t>
      </w:r>
      <w:r>
        <w:rPr>
          <w:color w:val="0D0D0D" w:themeColor="text1" w:themeTint="F2"/>
          <w:spacing w:val="-2"/>
          <w:sz w:val="16"/>
          <w:szCs w:val="16"/>
        </w:rPr>
        <w:t xml:space="preserve">o zaměstnanosti </w:t>
      </w:r>
      <w:r w:rsidRPr="00F72E52">
        <w:rPr>
          <w:color w:val="0D0D0D" w:themeColor="text1" w:themeTint="F2"/>
          <w:spacing w:val="-2"/>
          <w:sz w:val="16"/>
          <w:szCs w:val="16"/>
        </w:rPr>
        <w:t>vycház</w:t>
      </w:r>
      <w:r>
        <w:rPr>
          <w:color w:val="0D0D0D" w:themeColor="text1" w:themeTint="F2"/>
          <w:spacing w:val="-2"/>
          <w:sz w:val="16"/>
          <w:szCs w:val="16"/>
        </w:rPr>
        <w:t>ej</w:t>
      </w:r>
      <w:r w:rsidRPr="00F72E52">
        <w:rPr>
          <w:color w:val="0D0D0D" w:themeColor="text1" w:themeTint="F2"/>
          <w:spacing w:val="-2"/>
          <w:sz w:val="16"/>
          <w:szCs w:val="16"/>
        </w:rPr>
        <w:t>í z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pojetí národních účtů. Jsou vyjádřeny ve fyzických osobách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očištěny o sezónní vlivy.</w:t>
      </w:r>
    </w:p>
  </w:footnote>
  <w:footnote w:id="2">
    <w:p w14:paraId="0AAEFDAF" w14:textId="77777777" w:rsidR="00CF35A7" w:rsidRPr="00F72E52" w:rsidRDefault="00CF35A7" w:rsidP="00955BAD">
      <w:pPr>
        <w:pStyle w:val="Textpoznpodarou"/>
        <w:rPr>
          <w:color w:val="0D0D0D" w:themeColor="text1" w:themeTint="F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z w:val="16"/>
          <w:szCs w:val="16"/>
        </w:rPr>
        <w:footnoteRef/>
      </w:r>
      <w:r w:rsidRPr="00F72E52">
        <w:rPr>
          <w:color w:val="0D0D0D" w:themeColor="text1" w:themeTint="F2"/>
          <w:sz w:val="16"/>
          <w:szCs w:val="16"/>
        </w:rPr>
        <w:t xml:space="preserve"> Odvětví s </w:t>
      </w:r>
      <w:r w:rsidRPr="009910EC">
        <w:rPr>
          <w:color w:val="0D0D0D" w:themeColor="text1" w:themeTint="F2"/>
          <w:sz w:val="16"/>
          <w:szCs w:val="16"/>
        </w:rPr>
        <w:t xml:space="preserve">převahou veřejných služeb, zahrnující veřejnou správu, obranu a sociální zabezpečení a také </w:t>
      </w:r>
      <w:r w:rsidRPr="009910EC">
        <w:rPr>
          <w:spacing w:val="-4"/>
          <w:sz w:val="16"/>
          <w:szCs w:val="16"/>
        </w:rPr>
        <w:t xml:space="preserve">vzdělávání i zdravotní a sociální péči, </w:t>
      </w:r>
      <w:r w:rsidRPr="009910EC">
        <w:rPr>
          <w:color w:val="0D0D0D" w:themeColor="text1" w:themeTint="F2"/>
          <w:sz w:val="16"/>
          <w:szCs w:val="16"/>
        </w:rPr>
        <w:t>působila</w:t>
      </w:r>
      <w:r w:rsidRPr="00F72E52">
        <w:rPr>
          <w:color w:val="0D0D0D" w:themeColor="text1" w:themeTint="F2"/>
          <w:sz w:val="16"/>
          <w:szCs w:val="16"/>
        </w:rPr>
        <w:t xml:space="preserve"> na celkovou zaměstnanost prorůstově nejvíce ze všech </w:t>
      </w:r>
      <w:r>
        <w:rPr>
          <w:color w:val="0D0D0D" w:themeColor="text1" w:themeTint="F2"/>
          <w:sz w:val="16"/>
          <w:szCs w:val="16"/>
        </w:rPr>
        <w:t xml:space="preserve">hlavních </w:t>
      </w:r>
      <w:r w:rsidRPr="00F72E52">
        <w:rPr>
          <w:color w:val="0D0D0D" w:themeColor="text1" w:themeTint="F2"/>
          <w:sz w:val="16"/>
          <w:szCs w:val="16"/>
        </w:rPr>
        <w:t xml:space="preserve">odvětví </w:t>
      </w:r>
      <w:r>
        <w:rPr>
          <w:color w:val="0D0D0D" w:themeColor="text1" w:themeTint="F2"/>
          <w:sz w:val="16"/>
          <w:szCs w:val="16"/>
        </w:rPr>
        <w:t>i po celé</w:t>
      </w:r>
      <w:r w:rsidRPr="00F72E52">
        <w:rPr>
          <w:color w:val="0D0D0D" w:themeColor="text1" w:themeTint="F2"/>
          <w:sz w:val="16"/>
          <w:szCs w:val="16"/>
        </w:rPr>
        <w:t xml:space="preserve"> období let 2020 a</w:t>
      </w:r>
      <w:r>
        <w:rPr>
          <w:color w:val="0D0D0D" w:themeColor="text1" w:themeTint="F2"/>
          <w:sz w:val="16"/>
          <w:szCs w:val="16"/>
        </w:rPr>
        <w:t> </w:t>
      </w:r>
      <w:r w:rsidRPr="00F72E52">
        <w:rPr>
          <w:color w:val="0D0D0D" w:themeColor="text1" w:themeTint="F2"/>
          <w:sz w:val="16"/>
          <w:szCs w:val="16"/>
        </w:rPr>
        <w:t>2021.</w:t>
      </w:r>
    </w:p>
  </w:footnote>
  <w:footnote w:id="3">
    <w:p w14:paraId="7646DA2B" w14:textId="77777777" w:rsidR="00CF35A7" w:rsidRPr="00F41731" w:rsidRDefault="00CF35A7" w:rsidP="00955BAD">
      <w:pPr>
        <w:pStyle w:val="Textpoznpodarou"/>
        <w:rPr>
          <w:color w:val="0D0D0D" w:themeColor="text1" w:themeTint="F2"/>
          <w:spacing w:val="-6"/>
          <w:sz w:val="16"/>
          <w:szCs w:val="16"/>
        </w:rPr>
      </w:pPr>
      <w:r w:rsidRPr="00F41731">
        <w:rPr>
          <w:rStyle w:val="Znakapoznpodarou"/>
          <w:color w:val="0D0D0D" w:themeColor="text1" w:themeTint="F2"/>
          <w:spacing w:val="-6"/>
          <w:sz w:val="16"/>
          <w:szCs w:val="16"/>
        </w:rPr>
        <w:footnoteRef/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Růst počtu cizinců pracujících v Česku letos během jara zřetelně zrychlil. Pomohla tomu počínající integrace uprchlíků z Ukrajiny, řádově menší vliv měla pokračující ekonomická migrace z hospodářsky slabších regionů EU i ze států mimo EU. Letos v červenci registrovaly úřady práce (ÚP) 767 tis. cizích státních příslušníků v zaměstnaneckém postavení na území ČR. To bylo o 9 % více než na konci roku 2021 (a o 12 % více než loni v červenci). Vedle toho působili v ČR i cizinci, kteří jsou držiteli živnostenských oprávnění (106 tis.). Ti meziročně přibývali pomaleji (+6 %), neboť jde primárně o dlouhodobě usazené cizince (převážně z Ukrajiny, Slovenska a Vietnamu). K růstu počtu cizinců v zaměstnaneckých pozicích přispěli od ledna do července 2022 z více než 80 % pracovníci z Ukrajiny, jichž přibylo o více než čtvrtinu (na 249 tis., z nichž již nepatrně převažovaly ženy). Slováci, tvořící druhou nejpočetnější cizineckou skupinu, početně spíše stagnovali (211 tis.), stejně jako Poláci (48 tis.) a Rumuni (47 tis.). Bulharských či běloruských zaměstnanců dokonce mírně ubylo (na 37 tis., resp. 6 tis.). Z významnějších skupin cizinců relativně nejvíce posílili ti z Moldavska (na 6 tis.) a Kazachstánu (5 tis.). V Praze bylo registrováno 31 % všech cizinců v zaměstnaneckém postavení v tuzemsku, ve Středočeském kraji (17 %). Jejich počty v těchto krajích dosud letos vzrostly „jen“ o 5 %, naopak v krajích střední Moravy o 22 %. </w:t>
      </w:r>
    </w:p>
  </w:footnote>
  <w:footnote w:id="4">
    <w:p w14:paraId="172C9B49" w14:textId="77777777" w:rsidR="00CF35A7" w:rsidRPr="006C529B" w:rsidRDefault="00CF35A7" w:rsidP="00955BAD">
      <w:pPr>
        <w:pStyle w:val="Textpoznpodarou"/>
        <w:rPr>
          <w:sz w:val="16"/>
          <w:szCs w:val="16"/>
        </w:rPr>
      </w:pPr>
      <w:r w:rsidRPr="006C529B">
        <w:rPr>
          <w:rStyle w:val="Znakapoznpodarou"/>
          <w:sz w:val="16"/>
          <w:szCs w:val="16"/>
        </w:rPr>
        <w:footnoteRef/>
      </w:r>
      <w:r w:rsidRPr="006C529B">
        <w:rPr>
          <w:sz w:val="16"/>
          <w:szCs w:val="16"/>
        </w:rPr>
        <w:t xml:space="preserve"> To dokládá i počet ekonomicky neaktivních osob</w:t>
      </w:r>
      <w:r>
        <w:rPr>
          <w:sz w:val="16"/>
          <w:szCs w:val="16"/>
        </w:rPr>
        <w:t xml:space="preserve"> uvádějících zájem pracovat, jenž ve 2. čtvrtletí nedosahoval ani 60 tis.</w:t>
      </w:r>
    </w:p>
  </w:footnote>
  <w:footnote w:id="5">
    <w:p w14:paraId="254DF625" w14:textId="77777777" w:rsidR="00CF35A7" w:rsidRPr="006076B0" w:rsidRDefault="00CF35A7" w:rsidP="00955BAD">
      <w:pPr>
        <w:spacing w:after="0" w:line="240" w:lineRule="auto"/>
        <w:jc w:val="left"/>
        <w:rPr>
          <w:spacing w:val="-4"/>
          <w:sz w:val="16"/>
          <w:szCs w:val="16"/>
        </w:rPr>
      </w:pPr>
      <w:r w:rsidRPr="006076B0">
        <w:rPr>
          <w:rStyle w:val="Znakapoznpodarou"/>
          <w:sz w:val="16"/>
          <w:szCs w:val="16"/>
        </w:rPr>
        <w:footnoteRef/>
      </w:r>
      <w:r w:rsidRPr="006076B0">
        <w:rPr>
          <w:sz w:val="16"/>
          <w:szCs w:val="16"/>
        </w:rPr>
        <w:t xml:space="preserve"> V </w:t>
      </w:r>
      <w:r w:rsidRPr="006076B0">
        <w:rPr>
          <w:spacing w:val="-4"/>
          <w:sz w:val="16"/>
          <w:szCs w:val="16"/>
        </w:rPr>
        <w:t>odvětví ost</w:t>
      </w:r>
      <w:r>
        <w:rPr>
          <w:spacing w:val="-4"/>
          <w:sz w:val="16"/>
          <w:szCs w:val="16"/>
        </w:rPr>
        <w:t>atní činnosti služeb, které zahrnuje</w:t>
      </w:r>
      <w:r w:rsidRPr="006076B0">
        <w:rPr>
          <w:spacing w:val="-4"/>
          <w:sz w:val="16"/>
          <w:szCs w:val="16"/>
        </w:rPr>
        <w:t xml:space="preserve"> především kulturu, zábavní a rekreační činnosti či osobní služby zejména pro domácnosti</w:t>
      </w:r>
      <w:r>
        <w:rPr>
          <w:spacing w:val="-4"/>
          <w:sz w:val="16"/>
          <w:szCs w:val="16"/>
        </w:rPr>
        <w:t>,</w:t>
      </w:r>
      <w:r w:rsidRPr="006076B0">
        <w:rPr>
          <w:spacing w:val="-4"/>
          <w:sz w:val="16"/>
          <w:szCs w:val="16"/>
        </w:rPr>
        <w:t xml:space="preserve"> tak </w:t>
      </w:r>
      <w:r>
        <w:rPr>
          <w:spacing w:val="-4"/>
          <w:sz w:val="16"/>
          <w:szCs w:val="16"/>
        </w:rPr>
        <w:t xml:space="preserve">v </w:t>
      </w:r>
      <w:r w:rsidRPr="006076B0">
        <w:rPr>
          <w:spacing w:val="-4"/>
          <w:sz w:val="16"/>
          <w:szCs w:val="16"/>
        </w:rPr>
        <w:t>letošním 2. čtvrtletí vzrostla odpr</w:t>
      </w:r>
      <w:r>
        <w:rPr>
          <w:spacing w:val="-4"/>
          <w:sz w:val="16"/>
          <w:szCs w:val="16"/>
        </w:rPr>
        <w:t>acovaná doba meziročně o 14,5 %. Z</w:t>
      </w:r>
      <w:r w:rsidRPr="006076B0">
        <w:rPr>
          <w:spacing w:val="-4"/>
          <w:sz w:val="16"/>
          <w:szCs w:val="16"/>
        </w:rPr>
        <w:t>a odpov</w:t>
      </w:r>
      <w:r>
        <w:rPr>
          <w:spacing w:val="-4"/>
          <w:sz w:val="16"/>
          <w:szCs w:val="16"/>
        </w:rPr>
        <w:t>ídající úrovní z roku 2019 ale</w:t>
      </w:r>
      <w:r w:rsidRPr="006076B0">
        <w:rPr>
          <w:spacing w:val="-4"/>
          <w:sz w:val="16"/>
          <w:szCs w:val="16"/>
        </w:rPr>
        <w:t xml:space="preserve"> stále skoro o desetinu zaostávala. </w:t>
      </w:r>
    </w:p>
  </w:footnote>
  <w:footnote w:id="6">
    <w:p w14:paraId="3AE8ACE1" w14:textId="77777777" w:rsidR="00CF35A7" w:rsidRPr="006076B0" w:rsidRDefault="00CF35A7" w:rsidP="00955BAD">
      <w:pPr>
        <w:pStyle w:val="Textpoznpodarou"/>
        <w:rPr>
          <w:sz w:val="16"/>
          <w:szCs w:val="16"/>
        </w:rPr>
      </w:pPr>
      <w:r w:rsidRPr="006076B0">
        <w:rPr>
          <w:rStyle w:val="Znakapoznpodarou"/>
          <w:sz w:val="16"/>
          <w:szCs w:val="16"/>
        </w:rPr>
        <w:footnoteRef/>
      </w:r>
      <w:r w:rsidRPr="006076B0">
        <w:rPr>
          <w:sz w:val="16"/>
          <w:szCs w:val="16"/>
        </w:rPr>
        <w:t xml:space="preserve"> </w:t>
      </w:r>
      <w:r w:rsidRPr="006076B0">
        <w:rPr>
          <w:spacing w:val="-4"/>
          <w:sz w:val="16"/>
          <w:szCs w:val="16"/>
        </w:rPr>
        <w:t>Dle aktuálních údajů z 1. čtvrtletí 2022 vykázaly vyšší míru zaměstnanosti (obyvatel ve věku 20 až 64 let) než v ČR (80,8 %) jen Nizozemsko (82,4 %), Estonsko (82 %) a Švédsko (80,9 %). Česko drží unijní primát v zaměstnanosti mužů, resp. všech osob ve věkové skupině 45 až 59 let, participace u žen, resp. osob nad 60 let překračuje úroveň EU jen mírně. Podprůměrná zůstáv</w:t>
      </w:r>
      <w:r>
        <w:rPr>
          <w:spacing w:val="-4"/>
          <w:sz w:val="16"/>
          <w:szCs w:val="16"/>
        </w:rPr>
        <w:t xml:space="preserve">á zaměstnanost u </w:t>
      </w:r>
      <w:r w:rsidRPr="006076B0">
        <w:rPr>
          <w:spacing w:val="-4"/>
          <w:sz w:val="16"/>
          <w:szCs w:val="16"/>
        </w:rPr>
        <w:t>mladých do 25 let a také ve skupině 30 až 34 let (zde výhradně u žen).</w:t>
      </w:r>
      <w:r>
        <w:rPr>
          <w:spacing w:val="-4"/>
          <w:sz w:val="16"/>
          <w:szCs w:val="16"/>
        </w:rPr>
        <w:t xml:space="preserve"> Míra zaměstnanosti mladých zůstávala v Česku, na rozdíl od EU, stále pod úrovní roku 2019.</w:t>
      </w:r>
    </w:p>
  </w:footnote>
  <w:footnote w:id="7">
    <w:p w14:paraId="0B3CF980" w14:textId="77777777" w:rsidR="00CF35A7" w:rsidRPr="00CC045D" w:rsidRDefault="00CF35A7" w:rsidP="00955BAD">
      <w:pPr>
        <w:pStyle w:val="Textpoznpodarou"/>
        <w:rPr>
          <w:sz w:val="16"/>
          <w:szCs w:val="16"/>
        </w:rPr>
      </w:pPr>
      <w:r w:rsidRPr="00CC045D">
        <w:rPr>
          <w:rStyle w:val="Znakapoznpodarou"/>
          <w:sz w:val="16"/>
          <w:szCs w:val="16"/>
        </w:rPr>
        <w:footnoteRef/>
      </w:r>
      <w:r w:rsidRPr="00CC045D">
        <w:rPr>
          <w:sz w:val="16"/>
          <w:szCs w:val="16"/>
        </w:rPr>
        <w:t xml:space="preserve"> Snižování zaměstnanosti očekávaly zejména podniky v textilním a oděvním průmyslu, v hutnictví, gumárenství a plastikářství, petrochemii a také v opravách strojů a zařízení.</w:t>
      </w:r>
    </w:p>
  </w:footnote>
  <w:footnote w:id="8">
    <w:p w14:paraId="3D3C5B19" w14:textId="1549195E" w:rsidR="00CF35A7" w:rsidRPr="00067320" w:rsidRDefault="00CF35A7" w:rsidP="00955BAD">
      <w:pPr>
        <w:pStyle w:val="Textpoznpodarou"/>
        <w:rPr>
          <w:sz w:val="16"/>
          <w:szCs w:val="16"/>
        </w:rPr>
      </w:pPr>
      <w:r w:rsidRPr="00067320">
        <w:rPr>
          <w:rStyle w:val="Znakapoznpodarou"/>
          <w:sz w:val="16"/>
          <w:szCs w:val="16"/>
        </w:rPr>
        <w:footnoteRef/>
      </w:r>
      <w:r w:rsidRPr="00067320">
        <w:rPr>
          <w:sz w:val="16"/>
          <w:szCs w:val="16"/>
        </w:rPr>
        <w:t xml:space="preserve"> </w:t>
      </w:r>
      <w:r>
        <w:rPr>
          <w:sz w:val="16"/>
          <w:szCs w:val="16"/>
        </w:rPr>
        <w:t>Negativní očekávání</w:t>
      </w:r>
      <w:r w:rsidRPr="00067320">
        <w:rPr>
          <w:sz w:val="16"/>
          <w:szCs w:val="16"/>
        </w:rPr>
        <w:t xml:space="preserve"> zaměstnanosti převládaly v letecké dopravě, poštovních a kurýrních činnostech</w:t>
      </w:r>
      <w:r>
        <w:rPr>
          <w:sz w:val="16"/>
          <w:szCs w:val="16"/>
        </w:rPr>
        <w:t>, vydavatelských činnostech</w:t>
      </w:r>
      <w:r w:rsidRPr="00067320">
        <w:rPr>
          <w:sz w:val="16"/>
          <w:szCs w:val="16"/>
        </w:rPr>
        <w:t xml:space="preserve"> a také v peněžnictví. </w:t>
      </w:r>
    </w:p>
  </w:footnote>
  <w:footnote w:id="9">
    <w:p w14:paraId="4F7F9F61" w14:textId="77777777" w:rsidR="00CF35A7" w:rsidRPr="004E68B1" w:rsidRDefault="00CF35A7" w:rsidP="00955BAD">
      <w:pPr>
        <w:pStyle w:val="Textpoznpodarou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(dle metodiky ILO) a jsou očištěny o sezónní vlivy.</w:t>
      </w:r>
    </w:p>
  </w:footnote>
  <w:footnote w:id="10">
    <w:p w14:paraId="6E122926" w14:textId="77777777" w:rsidR="00CF35A7" w:rsidRPr="00B222D0" w:rsidRDefault="00CF35A7" w:rsidP="00955BAD">
      <w:pPr>
        <w:pStyle w:val="Textpoznpodarou"/>
        <w:rPr>
          <w:sz w:val="16"/>
          <w:szCs w:val="16"/>
        </w:rPr>
      </w:pPr>
      <w:r w:rsidRPr="00B222D0">
        <w:rPr>
          <w:rStyle w:val="Znakapoznpodarou"/>
          <w:sz w:val="16"/>
          <w:szCs w:val="16"/>
        </w:rPr>
        <w:footnoteRef/>
      </w:r>
      <w:r w:rsidRPr="00B222D0">
        <w:rPr>
          <w:sz w:val="16"/>
          <w:szCs w:val="16"/>
        </w:rPr>
        <w:t xml:space="preserve"> </w:t>
      </w:r>
      <w:r w:rsidRPr="00B222D0">
        <w:rPr>
          <w:color w:val="0D0D0D" w:themeColor="text1" w:themeTint="F2"/>
          <w:sz w:val="16"/>
          <w:szCs w:val="16"/>
        </w:rPr>
        <w:t xml:space="preserve">Významnou část míst ovšem nelze z různých důvodů považovat za aktivní. </w:t>
      </w:r>
      <w:r w:rsidRPr="00B222D0">
        <w:rPr>
          <w:sz w:val="16"/>
          <w:szCs w:val="16"/>
        </w:rPr>
        <w:t>Jde např. o pozice nabízené firmami, jež ukončily svou činnost, dále o místa, kter</w:t>
      </w:r>
      <w:r>
        <w:rPr>
          <w:sz w:val="16"/>
          <w:szCs w:val="16"/>
        </w:rPr>
        <w:t>á</w:t>
      </w:r>
      <w:r w:rsidRPr="00B222D0">
        <w:rPr>
          <w:sz w:val="16"/>
          <w:szCs w:val="16"/>
        </w:rPr>
        <w:t xml:space="preserve"> již nejso</w:t>
      </w:r>
      <w:r>
        <w:rPr>
          <w:sz w:val="16"/>
          <w:szCs w:val="16"/>
        </w:rPr>
        <w:t>u aktuální, ale z nabídky nebyla stažena</w:t>
      </w:r>
      <w:r w:rsidRPr="00B222D0">
        <w:rPr>
          <w:sz w:val="16"/>
          <w:szCs w:val="16"/>
        </w:rPr>
        <w:t>, či o pozice značně neatraktivní (kombinace velmi nízkého výdělku a relativně vyšších nároků na uchazeče) zůstávající dlouhodobě neobsazeny</w:t>
      </w:r>
      <w:r>
        <w:rPr>
          <w:color w:val="0D0D0D" w:themeColor="text1" w:themeTint="F2"/>
          <w:sz w:val="16"/>
          <w:szCs w:val="16"/>
        </w:rPr>
        <w:t>.</w:t>
      </w:r>
      <w:r w:rsidRPr="00B222D0">
        <w:rPr>
          <w:color w:val="0D0D0D" w:themeColor="text1" w:themeTint="F2"/>
          <w:sz w:val="16"/>
          <w:szCs w:val="16"/>
        </w:rPr>
        <w:t xml:space="preserve"> </w:t>
      </w:r>
      <w:r w:rsidRPr="00B222D0">
        <w:rPr>
          <w:sz w:val="16"/>
          <w:szCs w:val="16"/>
        </w:rPr>
        <w:t xml:space="preserve">Za skutečně aktivní lze </w:t>
      </w:r>
      <w:r>
        <w:rPr>
          <w:sz w:val="16"/>
          <w:szCs w:val="16"/>
        </w:rPr>
        <w:t>proto</w:t>
      </w:r>
      <w:r w:rsidRPr="00B222D0">
        <w:rPr>
          <w:sz w:val="16"/>
          <w:szCs w:val="16"/>
        </w:rPr>
        <w:t xml:space="preserve"> považovat pouze část veškeré nabídky</w:t>
      </w:r>
      <w:r>
        <w:rPr>
          <w:sz w:val="16"/>
          <w:szCs w:val="16"/>
        </w:rPr>
        <w:t xml:space="preserve"> míst. Počet pozic, které</w:t>
      </w:r>
      <w:r w:rsidRPr="00B222D0">
        <w:rPr>
          <w:sz w:val="16"/>
          <w:szCs w:val="16"/>
        </w:rPr>
        <w:t xml:space="preserve"> byly nabízeny méně než půl roku, činil na konci 2. čtvrtletí jen 163 tis.</w:t>
      </w:r>
    </w:p>
  </w:footnote>
  <w:footnote w:id="11">
    <w:p w14:paraId="49C179A3" w14:textId="77777777" w:rsidR="00CF35A7" w:rsidRPr="00D74B6C" w:rsidRDefault="00CF35A7" w:rsidP="00955BAD">
      <w:pPr>
        <w:pStyle w:val="Textpoznpodarou"/>
        <w:rPr>
          <w:sz w:val="16"/>
          <w:szCs w:val="16"/>
        </w:rPr>
      </w:pPr>
      <w:r w:rsidRPr="00D74B6C">
        <w:rPr>
          <w:rStyle w:val="Znakapoznpodarou"/>
          <w:sz w:val="16"/>
          <w:szCs w:val="16"/>
        </w:rPr>
        <w:footnoteRef/>
      </w:r>
      <w:r w:rsidRPr="00D74B6C">
        <w:rPr>
          <w:sz w:val="16"/>
          <w:szCs w:val="16"/>
        </w:rPr>
        <w:t xml:space="preserve"> </w:t>
      </w:r>
      <w:r w:rsidRPr="00D74B6C">
        <w:rPr>
          <w:color w:val="0D0D0D" w:themeColor="text1" w:themeTint="F2"/>
          <w:spacing w:val="-4"/>
          <w:sz w:val="16"/>
          <w:szCs w:val="16"/>
        </w:rPr>
        <w:t>Více než 2,5 uchazečů na volné místo připadalo jen v okresech Karviná (9,6), Ústí nad Labem (4,4), Most (4,0), Bruntál (3,8), Děčín (2,8), Sokolov (2,7) a Opava (2,6). Obdobně na tom byl celý Moravskoslezský kraj (2,8).</w:t>
      </w:r>
    </w:p>
  </w:footnote>
  <w:footnote w:id="12">
    <w:p w14:paraId="1E642C2C" w14:textId="77777777" w:rsidR="00CF35A7" w:rsidRPr="004E1C86" w:rsidRDefault="00CF35A7" w:rsidP="00955BAD">
      <w:pPr>
        <w:pStyle w:val="Textpoznpodarou"/>
        <w:rPr>
          <w:sz w:val="16"/>
          <w:szCs w:val="16"/>
        </w:rPr>
      </w:pPr>
      <w:r w:rsidRPr="004E1C86">
        <w:rPr>
          <w:rStyle w:val="Znakapoznpodarou"/>
          <w:sz w:val="16"/>
          <w:szCs w:val="16"/>
        </w:rPr>
        <w:footnoteRef/>
      </w:r>
      <w:r w:rsidRPr="004E1C86">
        <w:rPr>
          <w:sz w:val="16"/>
          <w:szCs w:val="16"/>
        </w:rPr>
        <w:t xml:space="preserve"> Hrubý disponibilní důchod domácností se v reálném vyjádření v 1. čtvrtletí 2022 meziročně snížil o 2 %. Ten přitom vedle mezd </w:t>
      </w:r>
      <w:r>
        <w:rPr>
          <w:sz w:val="16"/>
          <w:szCs w:val="16"/>
        </w:rPr>
        <w:t>a</w:t>
      </w:r>
      <w:r w:rsidRPr="004E1C86">
        <w:rPr>
          <w:sz w:val="16"/>
          <w:szCs w:val="16"/>
        </w:rPr>
        <w:t> </w:t>
      </w:r>
      <w:r>
        <w:rPr>
          <w:sz w:val="16"/>
          <w:szCs w:val="16"/>
        </w:rPr>
        <w:t xml:space="preserve">platů </w:t>
      </w:r>
      <w:r>
        <w:rPr>
          <w:spacing w:val="-4"/>
          <w:sz w:val="16"/>
          <w:szCs w:val="16"/>
        </w:rPr>
        <w:t>zohledňuje i další faktory (</w:t>
      </w:r>
      <w:r w:rsidRPr="004E1C86">
        <w:rPr>
          <w:spacing w:val="-4"/>
          <w:sz w:val="16"/>
          <w:szCs w:val="16"/>
        </w:rPr>
        <w:t xml:space="preserve">šedou ekonomiku, </w:t>
      </w:r>
      <w:r>
        <w:rPr>
          <w:spacing w:val="-4"/>
          <w:sz w:val="16"/>
          <w:szCs w:val="16"/>
        </w:rPr>
        <w:t xml:space="preserve">možné </w:t>
      </w:r>
      <w:r w:rsidRPr="004E1C86">
        <w:rPr>
          <w:spacing w:val="-4"/>
          <w:sz w:val="16"/>
          <w:szCs w:val="16"/>
        </w:rPr>
        <w:t>zvýšení ekonomické aktivity</w:t>
      </w:r>
      <w:r>
        <w:rPr>
          <w:spacing w:val="-4"/>
          <w:sz w:val="16"/>
          <w:szCs w:val="16"/>
        </w:rPr>
        <w:t xml:space="preserve"> obyvatel</w:t>
      </w:r>
      <w:r w:rsidRPr="004E1C86">
        <w:rPr>
          <w:spacing w:val="-4"/>
          <w:sz w:val="16"/>
          <w:szCs w:val="16"/>
        </w:rPr>
        <w:t>, např. formou druhých zaměst</w:t>
      </w:r>
      <w:r>
        <w:rPr>
          <w:spacing w:val="-4"/>
          <w:sz w:val="16"/>
          <w:szCs w:val="16"/>
        </w:rPr>
        <w:t>nání, dohod o</w:t>
      </w:r>
      <w:r w:rsidRPr="004E1C86">
        <w:rPr>
          <w:sz w:val="16"/>
          <w:szCs w:val="16"/>
        </w:rPr>
        <w:t> </w:t>
      </w:r>
      <w:r>
        <w:rPr>
          <w:spacing w:val="-4"/>
          <w:sz w:val="16"/>
          <w:szCs w:val="16"/>
        </w:rPr>
        <w:t>provedení práce</w:t>
      </w:r>
      <w:r w:rsidRPr="004E1C86">
        <w:rPr>
          <w:spacing w:val="-4"/>
          <w:sz w:val="16"/>
          <w:szCs w:val="16"/>
        </w:rPr>
        <w:t xml:space="preserve">, </w:t>
      </w:r>
      <w:r>
        <w:rPr>
          <w:spacing w:val="-4"/>
          <w:sz w:val="16"/>
          <w:szCs w:val="16"/>
        </w:rPr>
        <w:t xml:space="preserve">dále i </w:t>
      </w:r>
      <w:r w:rsidRPr="004E1C86">
        <w:rPr>
          <w:spacing w:val="-4"/>
          <w:sz w:val="16"/>
          <w:szCs w:val="16"/>
        </w:rPr>
        <w:t xml:space="preserve">příjmy plynoucí z podnikání či </w:t>
      </w:r>
      <w:r>
        <w:rPr>
          <w:spacing w:val="-4"/>
          <w:sz w:val="16"/>
          <w:szCs w:val="16"/>
        </w:rPr>
        <w:t>z vlastnictví kapitálu a také sociální transfery</w:t>
      </w:r>
      <w:r w:rsidRPr="004E1C86">
        <w:rPr>
          <w:spacing w:val="-4"/>
          <w:sz w:val="16"/>
          <w:szCs w:val="16"/>
        </w:rPr>
        <w:t xml:space="preserve"> od státu, vč. </w:t>
      </w:r>
      <w:r>
        <w:rPr>
          <w:spacing w:val="-4"/>
          <w:sz w:val="16"/>
          <w:szCs w:val="16"/>
        </w:rPr>
        <w:t xml:space="preserve">starobních </w:t>
      </w:r>
      <w:r w:rsidRPr="004E1C86">
        <w:rPr>
          <w:spacing w:val="-4"/>
          <w:sz w:val="16"/>
          <w:szCs w:val="16"/>
        </w:rPr>
        <w:t>důchodů).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F35A7" w:rsidRDefault="00CF35A7" w:rsidP="00937AE2">
    <w:pPr>
      <w:pStyle w:val="Zhlav"/>
    </w:pPr>
    <w:r>
      <w:t>Vývoj ekonomiky České republiky</w:t>
    </w:r>
  </w:p>
  <w:p w14:paraId="3E881AB3" w14:textId="77777777" w:rsidR="00CF35A7" w:rsidRPr="006F5416" w:rsidRDefault="00CF35A7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F35A7" w:rsidRDefault="00CF35A7" w:rsidP="00937AE2">
    <w:pPr>
      <w:pStyle w:val="Zhlav"/>
    </w:pPr>
    <w:r>
      <w:t>Vývoj ekonomiky České republiky</w:t>
    </w:r>
  </w:p>
  <w:p w14:paraId="57266714" w14:textId="77777777" w:rsidR="00CF35A7" w:rsidRPr="006F5416" w:rsidRDefault="00CF35A7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CD3"/>
    <w:rsid w:val="001F75DA"/>
    <w:rsid w:val="001F7931"/>
    <w:rsid w:val="001F7CE0"/>
    <w:rsid w:val="00200085"/>
    <w:rsid w:val="00201633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120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1EF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15D0"/>
    <w:rsid w:val="00A3279E"/>
    <w:rsid w:val="00A33DB1"/>
    <w:rsid w:val="00A33EEB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AF7698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4E72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8A9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-makro-2022\TRH%20PR&#193;CE-2q\Grafy-trh%20pr&#225;ce-2q-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-makro-2022\TRH%20PR&#193;CE-2q\Grafy-trh%20pr&#225;ce-2q-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-makro-2022\TRH%20PR&#193;CE-2q\Grafy-trh%20pr&#225;ce-2q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1993E-2"/>
          <c:y val="1.4522051060224654E-2"/>
          <c:w val="0.8449512157496093"/>
          <c:h val="0.675571307394596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1-SNÚ'!$AC$28:$AC$58</c:f>
              <c:numCache>
                <c:formatCode>#\ ##0.0</c:formatCode>
                <c:ptCount val="31"/>
                <c:pt idx="0">
                  <c:v>-5.6991893197978323E-2</c:v>
                </c:pt>
                <c:pt idx="1">
                  <c:v>-5.3077004431979158E-2</c:v>
                </c:pt>
                <c:pt idx="2">
                  <c:v>-6.9683605158033388E-2</c:v>
                </c:pt>
                <c:pt idx="3">
                  <c:v>-0.13993931548915461</c:v>
                </c:pt>
                <c:pt idx="4">
                  <c:v>-0.12488466174466099</c:v>
                </c:pt>
                <c:pt idx="5">
                  <c:v>-3.2025271621926851E-2</c:v>
                </c:pt>
                <c:pt idx="6">
                  <c:v>-4.5209168072263287E-2</c:v>
                </c:pt>
                <c:pt idx="7">
                  <c:v>5.8178231424048286E-2</c:v>
                </c:pt>
                <c:pt idx="8">
                  <c:v>9.8473168738459183E-2</c:v>
                </c:pt>
                <c:pt idx="9">
                  <c:v>3.5827695758654132E-2</c:v>
                </c:pt>
                <c:pt idx="10">
                  <c:v>1.9597324357556151E-2</c:v>
                </c:pt>
                <c:pt idx="11">
                  <c:v>-9.3256093124704453E-2</c:v>
                </c:pt>
                <c:pt idx="12">
                  <c:v>2.8281779223500551E-2</c:v>
                </c:pt>
                <c:pt idx="13">
                  <c:v>3.1385538570036606E-2</c:v>
                </c:pt>
                <c:pt idx="14">
                  <c:v>1.6521075080556499E-2</c:v>
                </c:pt>
                <c:pt idx="15">
                  <c:v>8.339836020489598E-2</c:v>
                </c:pt>
                <c:pt idx="16">
                  <c:v>-3.2066957439228154E-2</c:v>
                </c:pt>
                <c:pt idx="17">
                  <c:v>-9.1886912097250723E-2</c:v>
                </c:pt>
                <c:pt idx="18">
                  <c:v>-0.12544281535318705</c:v>
                </c:pt>
                <c:pt idx="19">
                  <c:v>-0.13296546528421771</c:v>
                </c:pt>
                <c:pt idx="20">
                  <c:v>-8.0149764825409739E-2</c:v>
                </c:pt>
                <c:pt idx="21">
                  <c:v>1.2847127079559923E-4</c:v>
                </c:pt>
                <c:pt idx="22">
                  <c:v>9.2281662728676869E-2</c:v>
                </c:pt>
                <c:pt idx="23">
                  <c:v>7.8785121950452452E-2</c:v>
                </c:pt>
                <c:pt idx="24">
                  <c:v>4.1598401435506201E-2</c:v>
                </c:pt>
                <c:pt idx="25">
                  <c:v>-3.2565664084423795E-2</c:v>
                </c:pt>
                <c:pt idx="26">
                  <c:v>-6.3926765857289541E-2</c:v>
                </c:pt>
                <c:pt idx="27">
                  <c:v>-1.9048828497047487E-2</c:v>
                </c:pt>
                <c:pt idx="28">
                  <c:v>-2.2904557386353195E-2</c:v>
                </c:pt>
                <c:pt idx="29">
                  <c:v>8.8702864459856062E-2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E9-48DA-9D62-81059E281327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1-SNÚ'!$AD$28:$AD$58</c:f>
              <c:numCache>
                <c:formatCode>#\ ##0.0</c:formatCode>
                <c:ptCount val="31"/>
                <c:pt idx="0">
                  <c:v>0.88197902580416188</c:v>
                </c:pt>
                <c:pt idx="1">
                  <c:v>0.93619594656509786</c:v>
                </c:pt>
                <c:pt idx="2">
                  <c:v>0.7938067010022134</c:v>
                </c:pt>
                <c:pt idx="3">
                  <c:v>0.92941048859384778</c:v>
                </c:pt>
                <c:pt idx="4">
                  <c:v>0.86436958871149239</c:v>
                </c:pt>
                <c:pt idx="5">
                  <c:v>0.6430697678543803</c:v>
                </c:pt>
                <c:pt idx="6">
                  <c:v>0.67102358376255722</c:v>
                </c:pt>
                <c:pt idx="7">
                  <c:v>0.51768439491468099</c:v>
                </c:pt>
                <c:pt idx="8">
                  <c:v>0.27352595704925403</c:v>
                </c:pt>
                <c:pt idx="9">
                  <c:v>0.40495174469100209</c:v>
                </c:pt>
                <c:pt idx="10">
                  <c:v>0.48296390541252476</c:v>
                </c:pt>
                <c:pt idx="11">
                  <c:v>0.47073561501166572</c:v>
                </c:pt>
                <c:pt idx="12">
                  <c:v>0.35993792705298533</c:v>
                </c:pt>
                <c:pt idx="13">
                  <c:v>0.28632749685910491</c:v>
                </c:pt>
                <c:pt idx="14">
                  <c:v>9.320344949617218E-2</c:v>
                </c:pt>
                <c:pt idx="15">
                  <c:v>8.6360902490994762E-2</c:v>
                </c:pt>
                <c:pt idx="16">
                  <c:v>0.14709256185686431</c:v>
                </c:pt>
                <c:pt idx="17">
                  <c:v>-2.0854942188738998E-2</c:v>
                </c:pt>
                <c:pt idx="18">
                  <c:v>-0.16258097669671442</c:v>
                </c:pt>
                <c:pt idx="19">
                  <c:v>-0.55102805433099233</c:v>
                </c:pt>
                <c:pt idx="20">
                  <c:v>-0.82136508594643143</c:v>
                </c:pt>
                <c:pt idx="21">
                  <c:v>-1.0952359365711681</c:v>
                </c:pt>
                <c:pt idx="22">
                  <c:v>-1.0796051443294794</c:v>
                </c:pt>
                <c:pt idx="23">
                  <c:v>-0.9131415766236638</c:v>
                </c:pt>
                <c:pt idx="24">
                  <c:v>-0.48276380890898796</c:v>
                </c:pt>
                <c:pt idx="25">
                  <c:v>-6.9783565895193841E-2</c:v>
                </c:pt>
                <c:pt idx="26">
                  <c:v>0.17800799169008091</c:v>
                </c:pt>
                <c:pt idx="27">
                  <c:v>0.30784267481835675</c:v>
                </c:pt>
                <c:pt idx="28">
                  <c:v>7.5821983072065724E-2</c:v>
                </c:pt>
                <c:pt idx="29">
                  <c:v>0.41229644392682435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E9-48DA-9D62-81059E281327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1-SNÚ'!$AE$28:$AE$58</c:f>
              <c:numCache>
                <c:formatCode>#\ ##0.0</c:formatCode>
                <c:ptCount val="31"/>
                <c:pt idx="0">
                  <c:v>-0.11535945278349405</c:v>
                </c:pt>
                <c:pt idx="1">
                  <c:v>-0.10277905701098219</c:v>
                </c:pt>
                <c:pt idx="2">
                  <c:v>-0.15744780912986225</c:v>
                </c:pt>
                <c:pt idx="3">
                  <c:v>-0.17964656072744936</c:v>
                </c:pt>
                <c:pt idx="4">
                  <c:v>-0.1120525831789497</c:v>
                </c:pt>
                <c:pt idx="5">
                  <c:v>-0.12466911878830758</c:v>
                </c:pt>
                <c:pt idx="6">
                  <c:v>-2.5910926178730025E-2</c:v>
                </c:pt>
                <c:pt idx="7">
                  <c:v>9.6483224892210812E-3</c:v>
                </c:pt>
                <c:pt idx="8">
                  <c:v>-9.8473168738459193E-3</c:v>
                </c:pt>
                <c:pt idx="9">
                  <c:v>1.9091640634913781E-2</c:v>
                </c:pt>
                <c:pt idx="10">
                  <c:v>7.2407555983877492E-2</c:v>
                </c:pt>
                <c:pt idx="11">
                  <c:v>-7.2320666550757626E-2</c:v>
                </c:pt>
                <c:pt idx="12">
                  <c:v>0.10670200915568527</c:v>
                </c:pt>
                <c:pt idx="13">
                  <c:v>7.1029443792451546E-2</c:v>
                </c:pt>
                <c:pt idx="14">
                  <c:v>5.9006500400454326E-2</c:v>
                </c:pt>
                <c:pt idx="15">
                  <c:v>0.11179404853203211</c:v>
                </c:pt>
                <c:pt idx="16">
                  <c:v>3.5683531586509519E-2</c:v>
                </c:pt>
                <c:pt idx="17">
                  <c:v>8.4487365089419286E-2</c:v>
                </c:pt>
                <c:pt idx="18">
                  <c:v>9.8622860864049297E-2</c:v>
                </c:pt>
                <c:pt idx="19">
                  <c:v>0.12706817507064183</c:v>
                </c:pt>
                <c:pt idx="20">
                  <c:v>1.7073866434947422E-2</c:v>
                </c:pt>
                <c:pt idx="21">
                  <c:v>-0.21562985151107072</c:v>
                </c:pt>
                <c:pt idx="22">
                  <c:v>-0.10234473200166617</c:v>
                </c:pt>
                <c:pt idx="23">
                  <c:v>-5.2591242475965305E-2</c:v>
                </c:pt>
                <c:pt idx="24">
                  <c:v>-5.8182173945429606E-2</c:v>
                </c:pt>
                <c:pt idx="25">
                  <c:v>0.13802889189699899</c:v>
                </c:pt>
                <c:pt idx="26">
                  <c:v>-3.0171482095251407E-2</c:v>
                </c:pt>
                <c:pt idx="27">
                  <c:v>6.6122867967429694E-2</c:v>
                </c:pt>
                <c:pt idx="28">
                  <c:v>0.25181849586260746</c:v>
                </c:pt>
                <c:pt idx="29">
                  <c:v>0.28916237070548689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E9-48DA-9D62-81059E281327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1-SNÚ'!$AF$28:$AF$58</c:f>
              <c:numCache>
                <c:formatCode>#\ ##0.0</c:formatCode>
                <c:ptCount val="31"/>
                <c:pt idx="0">
                  <c:v>0.23291997178704801</c:v>
                </c:pt>
                <c:pt idx="1">
                  <c:v>0.49484250453607481</c:v>
                </c:pt>
                <c:pt idx="2">
                  <c:v>0.32328110679066313</c:v>
                </c:pt>
                <c:pt idx="3">
                  <c:v>0.1631521827397909</c:v>
                </c:pt>
                <c:pt idx="4">
                  <c:v>8.7514387555562262E-2</c:v>
                </c:pt>
                <c:pt idx="5">
                  <c:v>0.23539827888748027</c:v>
                </c:pt>
                <c:pt idx="6">
                  <c:v>-1.012145553856642E-2</c:v>
                </c:pt>
                <c:pt idx="7">
                  <c:v>6.4501534410011899E-2</c:v>
                </c:pt>
                <c:pt idx="8">
                  <c:v>0.17491894128532515</c:v>
                </c:pt>
                <c:pt idx="9">
                  <c:v>5.3760540295329376E-3</c:v>
                </c:pt>
                <c:pt idx="10">
                  <c:v>0.35548634881148361</c:v>
                </c:pt>
                <c:pt idx="11">
                  <c:v>0.17830036428397431</c:v>
                </c:pt>
                <c:pt idx="12">
                  <c:v>0.15887539134747283</c:v>
                </c:pt>
                <c:pt idx="13">
                  <c:v>0.40293713210708676</c:v>
                </c:pt>
                <c:pt idx="14">
                  <c:v>0.21063905082977832</c:v>
                </c:pt>
                <c:pt idx="15">
                  <c:v>0.22355083238122023</c:v>
                </c:pt>
                <c:pt idx="16">
                  <c:v>0.4391448341504014</c:v>
                </c:pt>
                <c:pt idx="17">
                  <c:v>0.11318361828645726</c:v>
                </c:pt>
                <c:pt idx="18">
                  <c:v>-1.4877414534236133E-2</c:v>
                </c:pt>
                <c:pt idx="19">
                  <c:v>-4.6754453974505922E-2</c:v>
                </c:pt>
                <c:pt idx="20">
                  <c:v>-0.115969964698082</c:v>
                </c:pt>
                <c:pt idx="21">
                  <c:v>-0.57289010255494699</c:v>
                </c:pt>
                <c:pt idx="22">
                  <c:v>-0.41512925330551581</c:v>
                </c:pt>
                <c:pt idx="23">
                  <c:v>-0.99009534683119649</c:v>
                </c:pt>
                <c:pt idx="24">
                  <c:v>-0.85525942764305551</c:v>
                </c:pt>
                <c:pt idx="25">
                  <c:v>-0.16068979178984688</c:v>
                </c:pt>
                <c:pt idx="26">
                  <c:v>0.24223497129956198</c:v>
                </c:pt>
                <c:pt idx="27">
                  <c:v>0.73670588306438423</c:v>
                </c:pt>
                <c:pt idx="28">
                  <c:v>0.44199402036851015</c:v>
                </c:pt>
                <c:pt idx="29">
                  <c:v>0.93220209157916911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E9-48DA-9D62-81059E281327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1-SNÚ'!$AG$28:$AG$58</c:f>
              <c:numCache>
                <c:formatCode>#\ ##0.0</c:formatCode>
                <c:ptCount val="31"/>
                <c:pt idx="0">
                  <c:v>1.2223778472118113E-2</c:v>
                </c:pt>
                <c:pt idx="1">
                  <c:v>6.0238966213004064E-2</c:v>
                </c:pt>
                <c:pt idx="2">
                  <c:v>7.0191816584150843E-2</c:v>
                </c:pt>
                <c:pt idx="3">
                  <c:v>9.7973099947945522E-2</c:v>
                </c:pt>
                <c:pt idx="4">
                  <c:v>0.11574107777423741</c:v>
                </c:pt>
                <c:pt idx="5">
                  <c:v>0.11485523362541726</c:v>
                </c:pt>
                <c:pt idx="6">
                  <c:v>0.13512625118059429</c:v>
                </c:pt>
                <c:pt idx="7">
                  <c:v>0.16390616372126982</c:v>
                </c:pt>
                <c:pt idx="8">
                  <c:v>0.13639011895367548</c:v>
                </c:pt>
                <c:pt idx="9">
                  <c:v>0.13690890950828224</c:v>
                </c:pt>
                <c:pt idx="10">
                  <c:v>0.13784590844137606</c:v>
                </c:pt>
                <c:pt idx="11">
                  <c:v>0.11872218009337369</c:v>
                </c:pt>
                <c:pt idx="12">
                  <c:v>0.12284956731327347</c:v>
                </c:pt>
                <c:pt idx="13">
                  <c:v>0.1377705293912645</c:v>
                </c:pt>
                <c:pt idx="14">
                  <c:v>0.12183128760081174</c:v>
                </c:pt>
                <c:pt idx="15">
                  <c:v>0.14710233552673227</c:v>
                </c:pt>
                <c:pt idx="16">
                  <c:v>0.15146954390177922</c:v>
                </c:pt>
                <c:pt idx="17">
                  <c:v>8.5481334090471192E-2</c:v>
                </c:pt>
                <c:pt idx="18">
                  <c:v>0.13044502296953692</c:v>
                </c:pt>
                <c:pt idx="19">
                  <c:v>0.14053979740227923</c:v>
                </c:pt>
                <c:pt idx="20">
                  <c:v>0.1289269892800389</c:v>
                </c:pt>
                <c:pt idx="21">
                  <c:v>8.7929408340245138E-2</c:v>
                </c:pt>
                <c:pt idx="22">
                  <c:v>0.10800290465149717</c:v>
                </c:pt>
                <c:pt idx="23">
                  <c:v>7.23106460916456E-2</c:v>
                </c:pt>
                <c:pt idx="24">
                  <c:v>7.0059490346391529E-2</c:v>
                </c:pt>
                <c:pt idx="25">
                  <c:v>0.12448487722594252</c:v>
                </c:pt>
                <c:pt idx="26">
                  <c:v>9.5824477027642477E-2</c:v>
                </c:pt>
                <c:pt idx="27">
                  <c:v>2.9990566294458662E-2</c:v>
                </c:pt>
                <c:pt idx="28">
                  <c:v>0.11495530320425044</c:v>
                </c:pt>
                <c:pt idx="29">
                  <c:v>0.10663773174744272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E9-48DA-9D62-81059E281327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1-SNÚ'!$AH$28:$AH$58</c:f>
              <c:numCache>
                <c:formatCode>#\ ##0.0</c:formatCode>
                <c:ptCount val="31"/>
                <c:pt idx="0">
                  <c:v>0.10850077322277187</c:v>
                </c:pt>
                <c:pt idx="1">
                  <c:v>0.12304838994193759</c:v>
                </c:pt>
                <c:pt idx="2">
                  <c:v>0.25299155723995115</c:v>
                </c:pt>
                <c:pt idx="3">
                  <c:v>0.35101672163818687</c:v>
                </c:pt>
                <c:pt idx="4">
                  <c:v>0.24190700606252472</c:v>
                </c:pt>
                <c:pt idx="5">
                  <c:v>0.24438309320163906</c:v>
                </c:pt>
                <c:pt idx="6">
                  <c:v>0.25066507602369625</c:v>
                </c:pt>
                <c:pt idx="7">
                  <c:v>0.26288795818240246</c:v>
                </c:pt>
                <c:pt idx="8">
                  <c:v>0.40909387284647242</c:v>
                </c:pt>
                <c:pt idx="9">
                  <c:v>0.3560353520194568</c:v>
                </c:pt>
                <c:pt idx="10">
                  <c:v>0.31414586903784059</c:v>
                </c:pt>
                <c:pt idx="11">
                  <c:v>0.14060149424955432</c:v>
                </c:pt>
                <c:pt idx="12">
                  <c:v>0.17385474809809426</c:v>
                </c:pt>
                <c:pt idx="13">
                  <c:v>0.14777045635809005</c:v>
                </c:pt>
                <c:pt idx="14">
                  <c:v>9.3482836335189487E-2</c:v>
                </c:pt>
                <c:pt idx="15">
                  <c:v>0.1886897215806482</c:v>
                </c:pt>
                <c:pt idx="16">
                  <c:v>-9.6071046579064082E-3</c:v>
                </c:pt>
                <c:pt idx="17">
                  <c:v>-3.2359213034248151E-2</c:v>
                </c:pt>
                <c:pt idx="18">
                  <c:v>-2.9422579116094791E-2</c:v>
                </c:pt>
                <c:pt idx="19">
                  <c:v>-0.2039356671982194</c:v>
                </c:pt>
                <c:pt idx="20">
                  <c:v>-0.16053845350835921</c:v>
                </c:pt>
                <c:pt idx="21">
                  <c:v>-0.28764717531134665</c:v>
                </c:pt>
                <c:pt idx="22">
                  <c:v>-0.41553472496120397</c:v>
                </c:pt>
                <c:pt idx="23">
                  <c:v>-0.19227343450410958</c:v>
                </c:pt>
                <c:pt idx="24">
                  <c:v>-0.18494148985647557</c:v>
                </c:pt>
                <c:pt idx="25">
                  <c:v>8.2989918150628353E-2</c:v>
                </c:pt>
                <c:pt idx="26">
                  <c:v>0.18710822105338745</c:v>
                </c:pt>
                <c:pt idx="27">
                  <c:v>8.3338624674582723E-2</c:v>
                </c:pt>
                <c:pt idx="28">
                  <c:v>7.8003369489813665E-2</c:v>
                </c:pt>
                <c:pt idx="29">
                  <c:v>4.6387786953206125E-2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E9-48DA-9D62-81059E281327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1-SNÚ'!$AI$28:$AI$58</c:f>
              <c:numCache>
                <c:formatCode>#\ ##0.0</c:formatCode>
                <c:ptCount val="31"/>
                <c:pt idx="0">
                  <c:v>0.22356544035179371</c:v>
                </c:pt>
                <c:pt idx="1">
                  <c:v>0.22121632087472576</c:v>
                </c:pt>
                <c:pt idx="2">
                  <c:v>0.12507865060484016</c:v>
                </c:pt>
                <c:pt idx="3">
                  <c:v>0.12632707202590387</c:v>
                </c:pt>
                <c:pt idx="4">
                  <c:v>0.32907195728800714</c:v>
                </c:pt>
                <c:pt idx="5">
                  <c:v>0.33515671077902126</c:v>
                </c:pt>
                <c:pt idx="6">
                  <c:v>0.44146897214787145</c:v>
                </c:pt>
                <c:pt idx="7">
                  <c:v>0.55904533116329436</c:v>
                </c:pt>
                <c:pt idx="8">
                  <c:v>0.45377965834973044</c:v>
                </c:pt>
                <c:pt idx="9">
                  <c:v>0.48758720415555445</c:v>
                </c:pt>
                <c:pt idx="10">
                  <c:v>0.52434236449693783</c:v>
                </c:pt>
                <c:pt idx="11">
                  <c:v>0.53403271627626758</c:v>
                </c:pt>
                <c:pt idx="12">
                  <c:v>0.43792479194710193</c:v>
                </c:pt>
                <c:pt idx="13">
                  <c:v>0.46550221824222554</c:v>
                </c:pt>
                <c:pt idx="14">
                  <c:v>0.29622455251541197</c:v>
                </c:pt>
                <c:pt idx="15">
                  <c:v>0.24393461389689408</c:v>
                </c:pt>
                <c:pt idx="16">
                  <c:v>0.2079251936675458</c:v>
                </c:pt>
                <c:pt idx="17">
                  <c:v>0.13389130580837377</c:v>
                </c:pt>
                <c:pt idx="18">
                  <c:v>0.1488479786651119</c:v>
                </c:pt>
                <c:pt idx="19">
                  <c:v>0.16857035494868172</c:v>
                </c:pt>
                <c:pt idx="20">
                  <c:v>0.34228599406292876</c:v>
                </c:pt>
                <c:pt idx="21">
                  <c:v>0.2712212056881948</c:v>
                </c:pt>
                <c:pt idx="22">
                  <c:v>0.38125393952574582</c:v>
                </c:pt>
                <c:pt idx="23">
                  <c:v>0.32350181091089747</c:v>
                </c:pt>
                <c:pt idx="24">
                  <c:v>0.17065535733675366</c:v>
                </c:pt>
                <c:pt idx="25">
                  <c:v>0.2872569205787911</c:v>
                </c:pt>
                <c:pt idx="26">
                  <c:v>0.28479027067271512</c:v>
                </c:pt>
                <c:pt idx="27">
                  <c:v>0.33911828113047343</c:v>
                </c:pt>
                <c:pt idx="28">
                  <c:v>0.4280030592064028</c:v>
                </c:pt>
                <c:pt idx="29">
                  <c:v>0.39256808991047926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E9-48DA-9D62-81059E281327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1-SNÚ'!$AJ$28:$AJ$58</c:f>
              <c:numCache>
                <c:formatCode>#\ ##0.0</c:formatCode>
                <c:ptCount val="31"/>
                <c:pt idx="0">
                  <c:v>-5.443708419255177E-2</c:v>
                </c:pt>
                <c:pt idx="1">
                  <c:v>8.9416602290768546E-2</c:v>
                </c:pt>
                <c:pt idx="2">
                  <c:v>4.9980639099324368E-2</c:v>
                </c:pt>
                <c:pt idx="3">
                  <c:v>-2.6133949538887483E-2</c:v>
                </c:pt>
                <c:pt idx="4">
                  <c:v>0.12610768889994067</c:v>
                </c:pt>
                <c:pt idx="5">
                  <c:v>7.9147344977730072E-2</c:v>
                </c:pt>
                <c:pt idx="6">
                  <c:v>0.10645843330278804</c:v>
                </c:pt>
                <c:pt idx="7">
                  <c:v>0.17588007788617954</c:v>
                </c:pt>
                <c:pt idx="8">
                  <c:v>-5.5355305533561015E-2</c:v>
                </c:pt>
                <c:pt idx="9">
                  <c:v>-2.8874919169222957E-3</c:v>
                </c:pt>
                <c:pt idx="10">
                  <c:v>4.6771521213818605E-2</c:v>
                </c:pt>
                <c:pt idx="11">
                  <c:v>4.0303999761385413E-2</c:v>
                </c:pt>
                <c:pt idx="12">
                  <c:v>0.20445408817735139</c:v>
                </c:pt>
                <c:pt idx="13">
                  <c:v>0.1937064504585076</c:v>
                </c:pt>
                <c:pt idx="14">
                  <c:v>1.6316191398610486E-2</c:v>
                </c:pt>
                <c:pt idx="15">
                  <c:v>1.8371488642097283E-2</c:v>
                </c:pt>
                <c:pt idx="16">
                  <c:v>-2.6762648689882144E-2</c:v>
                </c:pt>
                <c:pt idx="17">
                  <c:v>2.1167858355736844E-2</c:v>
                </c:pt>
                <c:pt idx="18">
                  <c:v>0.10524940158091123</c:v>
                </c:pt>
                <c:pt idx="19">
                  <c:v>0.12295850095305616</c:v>
                </c:pt>
                <c:pt idx="20">
                  <c:v>-0.12300902911636498</c:v>
                </c:pt>
                <c:pt idx="21">
                  <c:v>-0.3520846941346823</c:v>
                </c:pt>
                <c:pt idx="22">
                  <c:v>-0.34275256276516947</c:v>
                </c:pt>
                <c:pt idx="23">
                  <c:v>-0.43863649018293682</c:v>
                </c:pt>
                <c:pt idx="24">
                  <c:v>-0.16726448541573033</c:v>
                </c:pt>
                <c:pt idx="25">
                  <c:v>4.1738826375485566E-2</c:v>
                </c:pt>
                <c:pt idx="26">
                  <c:v>-1.3959939476907397E-2</c:v>
                </c:pt>
                <c:pt idx="27">
                  <c:v>0.11555911335262435</c:v>
                </c:pt>
                <c:pt idx="28">
                  <c:v>0.10577843620544883</c:v>
                </c:pt>
                <c:pt idx="29">
                  <c:v>0.19119315814704438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9E9-48DA-9D62-81059E281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106249216"/>
        <c:axId val="106284544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1-SNÚ'!$AK$28:$AK$58</c:f>
              <c:numCache>
                <c:formatCode>#\ ##0.0</c:formatCode>
                <c:ptCount val="31"/>
                <c:pt idx="0">
                  <c:v>1.2324005594638696</c:v>
                </c:pt>
                <c:pt idx="1">
                  <c:v>1.7691026689786471</c:v>
                </c:pt>
                <c:pt idx="2">
                  <c:v>1.3881990570332476</c:v>
                </c:pt>
                <c:pt idx="3">
                  <c:v>1.322159739190184</c:v>
                </c:pt>
                <c:pt idx="4">
                  <c:v>1.5277744613681534</c:v>
                </c:pt>
                <c:pt idx="5">
                  <c:v>1.4953160389154334</c:v>
                </c:pt>
                <c:pt idx="6">
                  <c:v>1.5235007666279472</c:v>
                </c:pt>
                <c:pt idx="7">
                  <c:v>1.811732014191108</c:v>
                </c:pt>
                <c:pt idx="8">
                  <c:v>1.4809790948155097</c:v>
                </c:pt>
                <c:pt idx="9">
                  <c:v>1.4428911088804734</c:v>
                </c:pt>
                <c:pt idx="10">
                  <c:v>1.9535607977554144</c:v>
                </c:pt>
                <c:pt idx="11">
                  <c:v>1.3171196100007592</c:v>
                </c:pt>
                <c:pt idx="12">
                  <c:v>1.5928803023154638</c:v>
                </c:pt>
                <c:pt idx="13">
                  <c:v>1.7364292657787674</c:v>
                </c:pt>
                <c:pt idx="14">
                  <c:v>0.90722494365698481</c:v>
                </c:pt>
                <c:pt idx="15">
                  <c:v>1.1032023032555145</c:v>
                </c:pt>
                <c:pt idx="16">
                  <c:v>0.91287895437608335</c:v>
                </c:pt>
                <c:pt idx="17">
                  <c:v>0.29311041431022045</c:v>
                </c:pt>
                <c:pt idx="18">
                  <c:v>0.15084147837937684</c:v>
                </c:pt>
                <c:pt idx="19">
                  <c:v>-0.37554681241327625</c:v>
                </c:pt>
                <c:pt idx="20">
                  <c:v>-0.8127454483167329</c:v>
                </c:pt>
                <c:pt idx="21">
                  <c:v>-2.1642086747839784</c:v>
                </c:pt>
                <c:pt idx="22">
                  <c:v>-1.7738279104571146</c:v>
                </c:pt>
                <c:pt idx="23">
                  <c:v>-2.112140511664875</c:v>
                </c:pt>
                <c:pt idx="24">
                  <c:v>-1.4660981366510275</c:v>
                </c:pt>
                <c:pt idx="25">
                  <c:v>0.41146041245838205</c:v>
                </c:pt>
                <c:pt idx="26">
                  <c:v>0.8799077443139397</c:v>
                </c:pt>
                <c:pt idx="27">
                  <c:v>1.6596291828052614</c:v>
                </c:pt>
                <c:pt idx="28">
                  <c:v>1.4734701100227454</c:v>
                </c:pt>
                <c:pt idx="29">
                  <c:v>2.4591505374295077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9E9-48DA-9D62-81059E281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49216"/>
        <c:axId val="106284544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1-SNÚ'!$AL$28:$AL$58</c:f>
              <c:numCache>
                <c:formatCode>General</c:formatCode>
                <c:ptCount val="3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9E9-48DA-9D62-81059E281327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1-SNÚ'!$AM$28:$AM$58</c:f>
              <c:numCache>
                <c:formatCode>#\ ##0.0</c:formatCode>
                <c:ptCount val="31"/>
                <c:pt idx="0">
                  <c:v>-3</c:v>
                </c:pt>
                <c:pt idx="1">
                  <c:v>4.3</c:v>
                </c:pt>
                <c:pt idx="2">
                  <c:v>5.5</c:v>
                </c:pt>
                <c:pt idx="3">
                  <c:v>7.8</c:v>
                </c:pt>
                <c:pt idx="4">
                  <c:v>8.2000000000000011</c:v>
                </c:pt>
                <c:pt idx="5">
                  <c:v>9.9</c:v>
                </c:pt>
                <c:pt idx="6">
                  <c:v>3.8</c:v>
                </c:pt>
                <c:pt idx="7">
                  <c:v>9.5</c:v>
                </c:pt>
                <c:pt idx="8">
                  <c:v>11.1</c:v>
                </c:pt>
                <c:pt idx="9">
                  <c:v>5.7</c:v>
                </c:pt>
                <c:pt idx="10">
                  <c:v>8.2000000000000011</c:v>
                </c:pt>
                <c:pt idx="11">
                  <c:v>7.3</c:v>
                </c:pt>
                <c:pt idx="12">
                  <c:v>9.8000000000000007</c:v>
                </c:pt>
                <c:pt idx="13">
                  <c:v>9.4</c:v>
                </c:pt>
                <c:pt idx="14">
                  <c:v>6.2</c:v>
                </c:pt>
                <c:pt idx="15">
                  <c:v>6.3</c:v>
                </c:pt>
                <c:pt idx="16">
                  <c:v>2.5</c:v>
                </c:pt>
                <c:pt idx="17">
                  <c:v>2.6</c:v>
                </c:pt>
                <c:pt idx="18">
                  <c:v>0.5</c:v>
                </c:pt>
                <c:pt idx="19">
                  <c:v>-2.8</c:v>
                </c:pt>
                <c:pt idx="20">
                  <c:v>2.9</c:v>
                </c:pt>
                <c:pt idx="21">
                  <c:v>-19</c:v>
                </c:pt>
                <c:pt idx="22">
                  <c:v>-10.9</c:v>
                </c:pt>
                <c:pt idx="23">
                  <c:v>-3.5</c:v>
                </c:pt>
                <c:pt idx="24">
                  <c:v>4.4000000000000004</c:v>
                </c:pt>
                <c:pt idx="25">
                  <c:v>8.6</c:v>
                </c:pt>
                <c:pt idx="26">
                  <c:v>4.7</c:v>
                </c:pt>
                <c:pt idx="27">
                  <c:v>1.8</c:v>
                </c:pt>
                <c:pt idx="28">
                  <c:v>11.2</c:v>
                </c:pt>
                <c:pt idx="29">
                  <c:v>2.2999999999999998</c:v>
                </c:pt>
                <c:pt idx="30">
                  <c:v>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9E9-48DA-9D62-81059E281327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1-SNÚ'!$AN$28:$AN$58</c:f>
              <c:numCache>
                <c:formatCode>#\ ##0.0</c:formatCode>
                <c:ptCount val="31"/>
                <c:pt idx="0">
                  <c:v>-4.2</c:v>
                </c:pt>
                <c:pt idx="1">
                  <c:v>7.4</c:v>
                </c:pt>
                <c:pt idx="2">
                  <c:v>1</c:v>
                </c:pt>
                <c:pt idx="3">
                  <c:v>-0.1</c:v>
                </c:pt>
                <c:pt idx="4">
                  <c:v>-3.5</c:v>
                </c:pt>
                <c:pt idx="5">
                  <c:v>-6.4</c:v>
                </c:pt>
                <c:pt idx="6">
                  <c:v>-4.7</c:v>
                </c:pt>
                <c:pt idx="7">
                  <c:v>-6.9</c:v>
                </c:pt>
                <c:pt idx="8">
                  <c:v>-7.5</c:v>
                </c:pt>
                <c:pt idx="9">
                  <c:v>-12.2</c:v>
                </c:pt>
                <c:pt idx="10">
                  <c:v>-6.2</c:v>
                </c:pt>
                <c:pt idx="11">
                  <c:v>-2.8</c:v>
                </c:pt>
                <c:pt idx="12">
                  <c:v>4.3</c:v>
                </c:pt>
                <c:pt idx="13">
                  <c:v>5.5</c:v>
                </c:pt>
                <c:pt idx="14">
                  <c:v>8.8000000000000007</c:v>
                </c:pt>
                <c:pt idx="15">
                  <c:v>9.6</c:v>
                </c:pt>
                <c:pt idx="16">
                  <c:v>6.4</c:v>
                </c:pt>
                <c:pt idx="17">
                  <c:v>9.6</c:v>
                </c:pt>
                <c:pt idx="18">
                  <c:v>3.8</c:v>
                </c:pt>
                <c:pt idx="19">
                  <c:v>10.7</c:v>
                </c:pt>
                <c:pt idx="20">
                  <c:v>5.5</c:v>
                </c:pt>
                <c:pt idx="21">
                  <c:v>-4.2</c:v>
                </c:pt>
                <c:pt idx="22">
                  <c:v>1.1000000000000001</c:v>
                </c:pt>
                <c:pt idx="23">
                  <c:v>-1.3</c:v>
                </c:pt>
                <c:pt idx="24">
                  <c:v>3.1</c:v>
                </c:pt>
                <c:pt idx="25">
                  <c:v>3.9</c:v>
                </c:pt>
                <c:pt idx="26">
                  <c:v>4.4000000000000004</c:v>
                </c:pt>
                <c:pt idx="27">
                  <c:v>9.2000000000000011</c:v>
                </c:pt>
                <c:pt idx="28">
                  <c:v>8.9</c:v>
                </c:pt>
                <c:pt idx="29">
                  <c:v>6.8</c:v>
                </c:pt>
                <c:pt idx="30">
                  <c:v>1.7000000000000002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9E9-48DA-9D62-81059E281327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1-SNÚ'!$AO$28:$AO$58</c:f>
              <c:numCache>
                <c:formatCode>#\ ##0.0</c:formatCode>
                <c:ptCount val="31"/>
                <c:pt idx="0">
                  <c:v>11.9</c:v>
                </c:pt>
                <c:pt idx="1">
                  <c:v>3.7</c:v>
                </c:pt>
                <c:pt idx="2">
                  <c:v>0.8</c:v>
                </c:pt>
                <c:pt idx="3">
                  <c:v>2.2999999999999998</c:v>
                </c:pt>
                <c:pt idx="4">
                  <c:v>14.8</c:v>
                </c:pt>
                <c:pt idx="5">
                  <c:v>18.2</c:v>
                </c:pt>
                <c:pt idx="6">
                  <c:v>18.7</c:v>
                </c:pt>
                <c:pt idx="7">
                  <c:v>21.4</c:v>
                </c:pt>
                <c:pt idx="8">
                  <c:v>14.5</c:v>
                </c:pt>
                <c:pt idx="9">
                  <c:v>17.100000000000001</c:v>
                </c:pt>
                <c:pt idx="10">
                  <c:v>18.8</c:v>
                </c:pt>
                <c:pt idx="11">
                  <c:v>15.3</c:v>
                </c:pt>
                <c:pt idx="12">
                  <c:v>29.9</c:v>
                </c:pt>
                <c:pt idx="13">
                  <c:v>32.5</c:v>
                </c:pt>
                <c:pt idx="14">
                  <c:v>27.1</c:v>
                </c:pt>
                <c:pt idx="15">
                  <c:v>15.3</c:v>
                </c:pt>
                <c:pt idx="16">
                  <c:v>11.9</c:v>
                </c:pt>
                <c:pt idx="17">
                  <c:v>15.9</c:v>
                </c:pt>
                <c:pt idx="18">
                  <c:v>13.7</c:v>
                </c:pt>
                <c:pt idx="19">
                  <c:v>13</c:v>
                </c:pt>
                <c:pt idx="20">
                  <c:v>11.4</c:v>
                </c:pt>
                <c:pt idx="21">
                  <c:v>-5.9</c:v>
                </c:pt>
                <c:pt idx="22">
                  <c:v>-3.5</c:v>
                </c:pt>
                <c:pt idx="23">
                  <c:v>0.70000000000000018</c:v>
                </c:pt>
                <c:pt idx="24">
                  <c:v>5.6</c:v>
                </c:pt>
                <c:pt idx="25">
                  <c:v>13.3</c:v>
                </c:pt>
                <c:pt idx="26">
                  <c:v>10.8</c:v>
                </c:pt>
                <c:pt idx="27">
                  <c:v>9.5</c:v>
                </c:pt>
                <c:pt idx="28">
                  <c:v>10</c:v>
                </c:pt>
                <c:pt idx="29">
                  <c:v>3.1</c:v>
                </c:pt>
                <c:pt idx="3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A9E9-48DA-9D62-81059E281327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1-SNÚ'!$AA$28:$AB$58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1-SNÚ'!$AP$28:$AP$58</c:f>
              <c:numCache>
                <c:formatCode>#\ ##0.0</c:formatCode>
                <c:ptCount val="31"/>
                <c:pt idx="0">
                  <c:v>-16.2</c:v>
                </c:pt>
                <c:pt idx="1">
                  <c:v>-24.6</c:v>
                </c:pt>
                <c:pt idx="2">
                  <c:v>5.2</c:v>
                </c:pt>
                <c:pt idx="3">
                  <c:v>5.2</c:v>
                </c:pt>
                <c:pt idx="4">
                  <c:v>2.8</c:v>
                </c:pt>
                <c:pt idx="5">
                  <c:v>21.8</c:v>
                </c:pt>
                <c:pt idx="6">
                  <c:v>-4.8</c:v>
                </c:pt>
                <c:pt idx="7">
                  <c:v>7.9</c:v>
                </c:pt>
                <c:pt idx="8">
                  <c:v>11.1</c:v>
                </c:pt>
                <c:pt idx="9">
                  <c:v>11</c:v>
                </c:pt>
                <c:pt idx="10">
                  <c:v>19.7</c:v>
                </c:pt>
                <c:pt idx="11">
                  <c:v>3.1</c:v>
                </c:pt>
                <c:pt idx="12">
                  <c:v>15.7</c:v>
                </c:pt>
                <c:pt idx="13">
                  <c:v>10.5</c:v>
                </c:pt>
                <c:pt idx="14">
                  <c:v>9.5</c:v>
                </c:pt>
                <c:pt idx="15">
                  <c:v>-7.6</c:v>
                </c:pt>
                <c:pt idx="16">
                  <c:v>-6.5</c:v>
                </c:pt>
                <c:pt idx="17">
                  <c:v>-1.1000000000000001</c:v>
                </c:pt>
                <c:pt idx="18">
                  <c:v>-4.5999999999999996</c:v>
                </c:pt>
                <c:pt idx="19">
                  <c:v>-15.4</c:v>
                </c:pt>
                <c:pt idx="20">
                  <c:v>-20.5</c:v>
                </c:pt>
                <c:pt idx="21">
                  <c:v>-32.300000000000004</c:v>
                </c:pt>
                <c:pt idx="22">
                  <c:v>-28.6</c:v>
                </c:pt>
                <c:pt idx="23">
                  <c:v>-30.1</c:v>
                </c:pt>
                <c:pt idx="24">
                  <c:v>-27</c:v>
                </c:pt>
                <c:pt idx="25">
                  <c:v>-27.7</c:v>
                </c:pt>
                <c:pt idx="26">
                  <c:v>-12.1</c:v>
                </c:pt>
                <c:pt idx="27">
                  <c:v>-15.8</c:v>
                </c:pt>
                <c:pt idx="28">
                  <c:v>-6.8</c:v>
                </c:pt>
                <c:pt idx="29">
                  <c:v>-3.5</c:v>
                </c:pt>
                <c:pt idx="30">
                  <c:v>-6.1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9E9-48DA-9D62-81059E281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026880"/>
        <c:axId val="106286464"/>
      </c:lineChart>
      <c:catAx>
        <c:axId val="10624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6284544"/>
        <c:crosses val="autoZero"/>
        <c:auto val="1"/>
        <c:lblAlgn val="ctr"/>
        <c:lblOffset val="10"/>
        <c:noMultiLvlLbl val="0"/>
      </c:catAx>
      <c:valAx>
        <c:axId val="106284544"/>
        <c:scaling>
          <c:orientation val="minMax"/>
          <c:max val="2.5"/>
          <c:min val="-4.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6249216"/>
        <c:crosses val="autoZero"/>
        <c:crossBetween val="between"/>
        <c:majorUnit val="0.5"/>
      </c:valAx>
      <c:valAx>
        <c:axId val="106286464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08026880"/>
        <c:crosses val="max"/>
        <c:crossBetween val="between"/>
        <c:majorUnit val="10"/>
      </c:valAx>
      <c:catAx>
        <c:axId val="108026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6286464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5472441370721636E-2"/>
          <c:y val="0.77992823117070775"/>
          <c:w val="0.96005692595618608"/>
          <c:h val="0.2119461831534996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366722205919E-2"/>
          <c:y val="1.6081916099773243E-2"/>
          <c:w val="0.83584199323559016"/>
          <c:h val="0.7611346371882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práce-2b'!$A$30</c:f>
              <c:strCache>
                <c:ptCount val="1"/>
                <c:pt idx="0">
                  <c:v>Míra nezaměstnanosti mužů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práce-2b'!$B$28:$AF$29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práce-2b'!$B$30:$AF$30</c:f>
              <c:numCache>
                <c:formatCode>0.0</c:formatCode>
                <c:ptCount val="31"/>
                <c:pt idx="0">
                  <c:v>5.0156540485171792</c:v>
                </c:pt>
                <c:pt idx="1">
                  <c:v>4.3097576556402704</c:v>
                </c:pt>
                <c:pt idx="2">
                  <c:v>4.0655681201340776</c:v>
                </c:pt>
                <c:pt idx="3">
                  <c:v>3.79427398622953</c:v>
                </c:pt>
                <c:pt idx="4">
                  <c:v>3.6458927178551099</c:v>
                </c:pt>
                <c:pt idx="5">
                  <c:v>3.5600663439817914</c:v>
                </c:pt>
                <c:pt idx="6">
                  <c:v>3.396681962723894</c:v>
                </c:pt>
                <c:pt idx="7">
                  <c:v>3.158306340940995</c:v>
                </c:pt>
                <c:pt idx="8">
                  <c:v>2.6907735187377986</c:v>
                </c:pt>
                <c:pt idx="9">
                  <c:v>2.4844729762431403</c:v>
                </c:pt>
                <c:pt idx="10">
                  <c:v>2.2541146548508895</c:v>
                </c:pt>
                <c:pt idx="11">
                  <c:v>2.0844989615311071</c:v>
                </c:pt>
                <c:pt idx="12">
                  <c:v>1.8921664936774079</c:v>
                </c:pt>
                <c:pt idx="13">
                  <c:v>1.825304181170899</c:v>
                </c:pt>
                <c:pt idx="14">
                  <c:v>1.8923026100268117</c:v>
                </c:pt>
                <c:pt idx="15">
                  <c:v>1.6805633468354062</c:v>
                </c:pt>
                <c:pt idx="16">
                  <c:v>1.798143467322288</c:v>
                </c:pt>
                <c:pt idx="17">
                  <c:v>1.6709373739843822</c:v>
                </c:pt>
                <c:pt idx="18">
                  <c:v>1.7718707799478584</c:v>
                </c:pt>
                <c:pt idx="19">
                  <c:v>1.8586210130494654</c:v>
                </c:pt>
                <c:pt idx="20">
                  <c:v>1.8378192431811542</c:v>
                </c:pt>
                <c:pt idx="21">
                  <c:v>2.2740678125371314</c:v>
                </c:pt>
                <c:pt idx="22">
                  <c:v>2.5211333527129365</c:v>
                </c:pt>
                <c:pt idx="23">
                  <c:v>2.5659832731129106</c:v>
                </c:pt>
                <c:pt idx="24">
                  <c:v>2.6467614065388472</c:v>
                </c:pt>
                <c:pt idx="25">
                  <c:v>2.5439048372684452</c:v>
                </c:pt>
                <c:pt idx="26">
                  <c:v>2.2920203777413222</c:v>
                </c:pt>
                <c:pt idx="27">
                  <c:v>1.9614098256765344</c:v>
                </c:pt>
                <c:pt idx="28">
                  <c:v>1.9688028992968991</c:v>
                </c:pt>
                <c:pt idx="29">
                  <c:v>1.8893890946399734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7-408C-8B16-6BEDE9810760}"/>
            </c:ext>
          </c:extLst>
        </c:ser>
        <c:ser>
          <c:idx val="1"/>
          <c:order val="1"/>
          <c:tx>
            <c:strRef>
              <c:f>'Trh práce-2b'!$A$31</c:f>
              <c:strCache>
                <c:ptCount val="1"/>
                <c:pt idx="0">
                  <c:v>Míra nezaměstnanosti žen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práce-2b'!$B$28:$AF$29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práce-2b'!$B$31:$AF$31</c:f>
              <c:numCache>
                <c:formatCode>0.0</c:formatCode>
                <c:ptCount val="31"/>
                <c:pt idx="0">
                  <c:v>6.9307524048123561</c:v>
                </c:pt>
                <c:pt idx="1">
                  <c:v>6.170287809061648</c:v>
                </c:pt>
                <c:pt idx="2">
                  <c:v>5.9684614161324854</c:v>
                </c:pt>
                <c:pt idx="3">
                  <c:v>5.6750494734064985</c:v>
                </c:pt>
                <c:pt idx="4">
                  <c:v>5.0626344937886811</c:v>
                </c:pt>
                <c:pt idx="5">
                  <c:v>4.8137920103526479</c:v>
                </c:pt>
                <c:pt idx="6">
                  <c:v>4.7932172322640154</c:v>
                </c:pt>
                <c:pt idx="7">
                  <c:v>4.3581087136248824</c:v>
                </c:pt>
                <c:pt idx="8">
                  <c:v>4.2722649585445325</c:v>
                </c:pt>
                <c:pt idx="9">
                  <c:v>3.8986997207042662</c:v>
                </c:pt>
                <c:pt idx="10">
                  <c:v>3.3997973083172801</c:v>
                </c:pt>
                <c:pt idx="11">
                  <c:v>3.0210636946051377</c:v>
                </c:pt>
                <c:pt idx="12">
                  <c:v>2.9353495299400323</c:v>
                </c:pt>
                <c:pt idx="13">
                  <c:v>2.9016029826574883</c:v>
                </c:pt>
                <c:pt idx="14">
                  <c:v>2.8567684802621813</c:v>
                </c:pt>
                <c:pt idx="15">
                  <c:v>2.6652081854271841</c:v>
                </c:pt>
                <c:pt idx="16">
                  <c:v>2.2535438463231396</c:v>
                </c:pt>
                <c:pt idx="17">
                  <c:v>2.4783929533714257</c:v>
                </c:pt>
                <c:pt idx="18">
                  <c:v>2.5556154696354931</c:v>
                </c:pt>
                <c:pt idx="19">
                  <c:v>2.4620142655386039</c:v>
                </c:pt>
                <c:pt idx="20">
                  <c:v>2.0419389490922581</c:v>
                </c:pt>
                <c:pt idx="21">
                  <c:v>2.8214373755515005</c:v>
                </c:pt>
                <c:pt idx="22">
                  <c:v>3.359161484136767</c:v>
                </c:pt>
                <c:pt idx="23">
                  <c:v>3.9035735007845163</c:v>
                </c:pt>
                <c:pt idx="24">
                  <c:v>4.1366528600647818</c:v>
                </c:pt>
                <c:pt idx="25">
                  <c:v>3.9150477411484572</c:v>
                </c:pt>
                <c:pt idx="26">
                  <c:v>3.2720348359242539</c:v>
                </c:pt>
                <c:pt idx="27">
                  <c:v>2.711425100054385</c:v>
                </c:pt>
                <c:pt idx="28">
                  <c:v>3.010592420594485</c:v>
                </c:pt>
                <c:pt idx="29">
                  <c:v>3.2171550315577093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17-408C-8B16-6BEDE9810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14476544"/>
        <c:axId val="125505920"/>
      </c:barChart>
      <c:lineChart>
        <c:grouping val="standard"/>
        <c:varyColors val="0"/>
        <c:ser>
          <c:idx val="2"/>
          <c:order val="2"/>
          <c:tx>
            <c:strRef>
              <c:f>'Trh práce-2b'!$A$32</c:f>
              <c:strCache>
                <c:ptCount val="1"/>
                <c:pt idx="0">
                  <c:v>Míra ekonomické aktivity mužů</c:v>
                </c:pt>
              </c:strCache>
            </c:strRef>
          </c:tx>
          <c:spPr>
            <a:ln w="19050">
              <a:solidFill>
                <a:srgbClr val="4FD1FF"/>
              </a:solidFill>
              <a:prstDash val="solid"/>
            </a:ln>
          </c:spPr>
          <c:marker>
            <c:symbol val="none"/>
          </c:marker>
          <c:cat>
            <c:multiLvlStrRef>
              <c:f>'Trh práce-2b'!$B$28:$AF$29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práce-2b'!$B$32:$AF$32</c:f>
              <c:numCache>
                <c:formatCode>0.0</c:formatCode>
                <c:ptCount val="31"/>
                <c:pt idx="0">
                  <c:v>81.413481997639408</c:v>
                </c:pt>
                <c:pt idx="1">
                  <c:v>81.419110594189576</c:v>
                </c:pt>
                <c:pt idx="2">
                  <c:v>81.349582359517356</c:v>
                </c:pt>
                <c:pt idx="3">
                  <c:v>81.513665177863871</c:v>
                </c:pt>
                <c:pt idx="4">
                  <c:v>81.95464671816957</c:v>
                </c:pt>
                <c:pt idx="5">
                  <c:v>82.083249820800901</c:v>
                </c:pt>
                <c:pt idx="6">
                  <c:v>82.176405797492109</c:v>
                </c:pt>
                <c:pt idx="7">
                  <c:v>82.467848071365196</c:v>
                </c:pt>
                <c:pt idx="8">
                  <c:v>82.727860041774363</c:v>
                </c:pt>
                <c:pt idx="9">
                  <c:v>82.857472384057957</c:v>
                </c:pt>
                <c:pt idx="10">
                  <c:v>83.019684737731751</c:v>
                </c:pt>
                <c:pt idx="11">
                  <c:v>83.176217916023987</c:v>
                </c:pt>
                <c:pt idx="12">
                  <c:v>83.366789147231728</c:v>
                </c:pt>
                <c:pt idx="13">
                  <c:v>83.412777616074408</c:v>
                </c:pt>
                <c:pt idx="14">
                  <c:v>83.227918264119168</c:v>
                </c:pt>
                <c:pt idx="15">
                  <c:v>83.42960666985536</c:v>
                </c:pt>
                <c:pt idx="16">
                  <c:v>83.682240247092309</c:v>
                </c:pt>
                <c:pt idx="17">
                  <c:v>83.455854890894571</c:v>
                </c:pt>
                <c:pt idx="18">
                  <c:v>83.299122325687904</c:v>
                </c:pt>
                <c:pt idx="19">
                  <c:v>83.581723193428701</c:v>
                </c:pt>
                <c:pt idx="20">
                  <c:v>83.439582450321751</c:v>
                </c:pt>
                <c:pt idx="21">
                  <c:v>83.067870438412911</c:v>
                </c:pt>
                <c:pt idx="22">
                  <c:v>83.403417829033472</c:v>
                </c:pt>
                <c:pt idx="23">
                  <c:v>83.153717731021871</c:v>
                </c:pt>
                <c:pt idx="24">
                  <c:v>83.010063903932448</c:v>
                </c:pt>
                <c:pt idx="25">
                  <c:v>83.038079834738454</c:v>
                </c:pt>
                <c:pt idx="26">
                  <c:v>83.320133785020033</c:v>
                </c:pt>
                <c:pt idx="27">
                  <c:v>83.526405769654943</c:v>
                </c:pt>
                <c:pt idx="28">
                  <c:v>83.959192743558788</c:v>
                </c:pt>
                <c:pt idx="29">
                  <c:v>83.759674916867979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17-408C-8B16-6BEDE9810760}"/>
            </c:ext>
          </c:extLst>
        </c:ser>
        <c:ser>
          <c:idx val="3"/>
          <c:order val="3"/>
          <c:tx>
            <c:strRef>
              <c:f>'Trh práce-2b'!$A$33</c:f>
              <c:strCache>
                <c:ptCount val="1"/>
                <c:pt idx="0">
                  <c:v>Míra ekonomické aktivity žen</c:v>
                </c:pt>
              </c:strCache>
            </c:strRef>
          </c:tx>
          <c:spPr>
            <a:ln w="19050">
              <a:solidFill>
                <a:schemeClr val="accent2">
                  <a:lumMod val="60000"/>
                  <a:lumOff val="40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'Trh práce-2b'!$B$28:$AF$29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práce-2b'!$B$33:$AF$33</c:f>
              <c:numCache>
                <c:formatCode>0.0</c:formatCode>
                <c:ptCount val="31"/>
                <c:pt idx="0">
                  <c:v>66.54252814007161</c:v>
                </c:pt>
                <c:pt idx="1">
                  <c:v>66.666431768491407</c:v>
                </c:pt>
                <c:pt idx="2">
                  <c:v>66.654792914968937</c:v>
                </c:pt>
                <c:pt idx="3">
                  <c:v>66.418889866464625</c:v>
                </c:pt>
                <c:pt idx="4">
                  <c:v>67.04627543928467</c:v>
                </c:pt>
                <c:pt idx="5">
                  <c:v>67.710621614993428</c:v>
                </c:pt>
                <c:pt idx="6">
                  <c:v>67.837768163348073</c:v>
                </c:pt>
                <c:pt idx="7">
                  <c:v>68.456265295297314</c:v>
                </c:pt>
                <c:pt idx="8">
                  <c:v>68.697468612411924</c:v>
                </c:pt>
                <c:pt idx="9">
                  <c:v>68.713756307271581</c:v>
                </c:pt>
                <c:pt idx="10">
                  <c:v>69.103189641889657</c:v>
                </c:pt>
                <c:pt idx="11">
                  <c:v>68.910813934937721</c:v>
                </c:pt>
                <c:pt idx="12">
                  <c:v>69.340516941843688</c:v>
                </c:pt>
                <c:pt idx="13">
                  <c:v>69.81384857147701</c:v>
                </c:pt>
                <c:pt idx="14">
                  <c:v>69.950002702371663</c:v>
                </c:pt>
                <c:pt idx="15">
                  <c:v>70.044975969350276</c:v>
                </c:pt>
                <c:pt idx="16">
                  <c:v>70.049718587143374</c:v>
                </c:pt>
                <c:pt idx="17">
                  <c:v>69.833313596022052</c:v>
                </c:pt>
                <c:pt idx="18">
                  <c:v>69.925958459528303</c:v>
                </c:pt>
                <c:pt idx="19">
                  <c:v>69.668015731742173</c:v>
                </c:pt>
                <c:pt idx="20">
                  <c:v>69.333922930053163</c:v>
                </c:pt>
                <c:pt idx="21">
                  <c:v>68.928487762383341</c:v>
                </c:pt>
                <c:pt idx="22">
                  <c:v>68.946784735681518</c:v>
                </c:pt>
                <c:pt idx="23">
                  <c:v>69.349546510975912</c:v>
                </c:pt>
                <c:pt idx="24">
                  <c:v>69.435569826158229</c:v>
                </c:pt>
                <c:pt idx="25">
                  <c:v>69.026293063886072</c:v>
                </c:pt>
                <c:pt idx="26">
                  <c:v>69.917521283014139</c:v>
                </c:pt>
                <c:pt idx="27">
                  <c:v>69.887382577566541</c:v>
                </c:pt>
                <c:pt idx="28">
                  <c:v>70.21792226777346</c:v>
                </c:pt>
                <c:pt idx="29">
                  <c:v>70.575580111173366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017-408C-8B16-6BEDE9810760}"/>
            </c:ext>
          </c:extLst>
        </c:ser>
        <c:ser>
          <c:idx val="4"/>
          <c:order val="4"/>
          <c:tx>
            <c:strRef>
              <c:f>'Trh práce-2b'!$A$34</c:f>
              <c:strCache>
                <c:ptCount val="1"/>
                <c:pt idx="0">
                  <c:v>Ekon. neaktivní chtějící pracovat</c:v>
                </c:pt>
              </c:strCache>
            </c:strRef>
          </c:tx>
          <c:spPr>
            <a:ln w="19050">
              <a:solidFill>
                <a:schemeClr val="bg2">
                  <a:lumMod val="5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práce-2b'!$B$28:$AF$29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práce-2b'!$B$34:$AF$34</c:f>
              <c:numCache>
                <c:formatCode>0.0</c:formatCode>
                <c:ptCount val="31"/>
                <c:pt idx="0">
                  <c:v>138.5</c:v>
                </c:pt>
                <c:pt idx="1">
                  <c:v>141.4</c:v>
                </c:pt>
                <c:pt idx="2">
                  <c:v>137.1</c:v>
                </c:pt>
                <c:pt idx="3">
                  <c:v>130.4</c:v>
                </c:pt>
                <c:pt idx="4">
                  <c:v>141</c:v>
                </c:pt>
                <c:pt idx="5">
                  <c:v>126.4</c:v>
                </c:pt>
                <c:pt idx="6">
                  <c:v>129.69999999999999</c:v>
                </c:pt>
                <c:pt idx="7">
                  <c:v>127.1</c:v>
                </c:pt>
                <c:pt idx="8">
                  <c:v>133.1</c:v>
                </c:pt>
                <c:pt idx="9">
                  <c:v>120.1</c:v>
                </c:pt>
                <c:pt idx="10">
                  <c:v>121.3</c:v>
                </c:pt>
                <c:pt idx="11">
                  <c:v>119.1</c:v>
                </c:pt>
                <c:pt idx="12">
                  <c:v>113.5</c:v>
                </c:pt>
                <c:pt idx="13">
                  <c:v>108.4</c:v>
                </c:pt>
                <c:pt idx="14">
                  <c:v>110.3</c:v>
                </c:pt>
                <c:pt idx="15">
                  <c:v>101.7</c:v>
                </c:pt>
                <c:pt idx="16">
                  <c:v>104.6</c:v>
                </c:pt>
                <c:pt idx="17">
                  <c:v>104.6</c:v>
                </c:pt>
                <c:pt idx="18">
                  <c:v>97.6</c:v>
                </c:pt>
                <c:pt idx="19">
                  <c:v>99.9</c:v>
                </c:pt>
                <c:pt idx="20">
                  <c:v>93.4</c:v>
                </c:pt>
                <c:pt idx="21">
                  <c:v>109.3</c:v>
                </c:pt>
                <c:pt idx="22">
                  <c:v>98.8</c:v>
                </c:pt>
                <c:pt idx="23">
                  <c:v>95.7</c:v>
                </c:pt>
                <c:pt idx="24">
                  <c:v>108</c:v>
                </c:pt>
                <c:pt idx="25">
                  <c:v>113.5</c:v>
                </c:pt>
                <c:pt idx="26">
                  <c:v>66</c:v>
                </c:pt>
                <c:pt idx="27">
                  <c:v>64.5</c:v>
                </c:pt>
                <c:pt idx="28">
                  <c:v>67</c:v>
                </c:pt>
                <c:pt idx="29">
                  <c:v>58.7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017-408C-8B16-6BEDE9810760}"/>
            </c:ext>
          </c:extLst>
        </c:ser>
        <c:ser>
          <c:idx val="5"/>
          <c:order val="5"/>
          <c:tx>
            <c:strRef>
              <c:f>'Trh práce-2b'!$A$35</c:f>
              <c:strCache>
                <c:ptCount val="1"/>
                <c:pt idx="0">
                  <c:v>Očekávání vývoje nezaměstnanosti</c:v>
                </c:pt>
              </c:strCache>
            </c:strRef>
          </c:tx>
          <c:spPr>
            <a:ln w="15875">
              <a:solidFill>
                <a:srgbClr val="FFC000"/>
              </a:solidFill>
              <a:prstDash val="sysDot"/>
            </a:ln>
          </c:spPr>
          <c:marker>
            <c:symbol val="diamond"/>
            <c:size val="5"/>
            <c:spPr>
              <a:ln>
                <a:noFill/>
              </a:ln>
            </c:spPr>
          </c:marker>
          <c:cat>
            <c:multiLvlStrRef>
              <c:f>'Trh práce-2b'!$B$28:$AF$29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práce-2b'!$B$35:$AF$35</c:f>
              <c:numCache>
                <c:formatCode>0.0</c:formatCode>
                <c:ptCount val="31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-3</c:v>
                </c:pt>
                <c:pt idx="10">
                  <c:v>0</c:v>
                </c:pt>
                <c:pt idx="11">
                  <c:v>-1</c:v>
                </c:pt>
                <c:pt idx="12">
                  <c:v>-1</c:v>
                </c:pt>
                <c:pt idx="13">
                  <c:v>-2</c:v>
                </c:pt>
                <c:pt idx="14">
                  <c:v>-2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12</c:v>
                </c:pt>
                <c:pt idx="20">
                  <c:v>18</c:v>
                </c:pt>
                <c:pt idx="21">
                  <c:v>49</c:v>
                </c:pt>
                <c:pt idx="22">
                  <c:v>46</c:v>
                </c:pt>
                <c:pt idx="23">
                  <c:v>60</c:v>
                </c:pt>
                <c:pt idx="24">
                  <c:v>57</c:v>
                </c:pt>
                <c:pt idx="25">
                  <c:v>24</c:v>
                </c:pt>
                <c:pt idx="26">
                  <c:v>16</c:v>
                </c:pt>
                <c:pt idx="27">
                  <c:v>20</c:v>
                </c:pt>
                <c:pt idx="28">
                  <c:v>14</c:v>
                </c:pt>
                <c:pt idx="29">
                  <c:v>20</c:v>
                </c:pt>
                <c:pt idx="30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017-408C-8B16-6BEDE9810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680192"/>
        <c:axId val="125508224"/>
      </c:lineChart>
      <c:catAx>
        <c:axId val="11447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25505920"/>
        <c:crossesAt val="-50"/>
        <c:auto val="1"/>
        <c:lblAlgn val="ctr"/>
        <c:lblOffset val="0"/>
        <c:noMultiLvlLbl val="0"/>
      </c:catAx>
      <c:valAx>
        <c:axId val="125505920"/>
        <c:scaling>
          <c:orientation val="minMax"/>
          <c:max val="7.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 nezaměstnanosti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4476544"/>
        <c:crosses val="autoZero"/>
        <c:crossBetween val="between"/>
        <c:majorUnit val="0.5"/>
      </c:valAx>
      <c:valAx>
        <c:axId val="125508224"/>
        <c:scaling>
          <c:orientation val="minMax"/>
          <c:max val="142"/>
          <c:min val="-1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</a:t>
                </a:r>
                <a:r>
                  <a:rPr lang="cs-CZ" sz="700" b="0" i="1" baseline="0"/>
                  <a:t> ekonomické aktivity, e</a:t>
                </a:r>
                <a:r>
                  <a:rPr lang="cs-CZ" sz="700" b="0" i="1"/>
                  <a:t>kon. neaktivní, očekávání nezam.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36680192"/>
        <c:crosses val="max"/>
        <c:crossBetween val="between"/>
        <c:majorUnit val="10"/>
      </c:valAx>
      <c:catAx>
        <c:axId val="136680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5508224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7707837000111996E-2"/>
          <c:y val="0.88202044534108193"/>
          <c:w val="0.83964940085847384"/>
          <c:h val="0.11038376417097003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11162452186125E-2"/>
          <c:y val="1.6620151538667773E-2"/>
          <c:w val="0.94100987714831741"/>
          <c:h val="0.76753601512564729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3'!$D$62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'Trh práce 3'!$A$63:$B$91</c:f>
              <c:multiLvlStrCache>
                <c:ptCount val="29"/>
                <c:lvl>
                  <c:pt idx="0">
                    <c:v>1p</c:v>
                  </c:pt>
                  <c:pt idx="1">
                    <c:v>2p</c:v>
                  </c:pt>
                  <c:pt idx="2">
                    <c:v>1p</c:v>
                  </c:pt>
                  <c:pt idx="3">
                    <c:v>2p</c:v>
                  </c:pt>
                  <c:pt idx="4">
                    <c:v>1p</c:v>
                  </c:pt>
                  <c:pt idx="5">
                    <c:v>2p</c:v>
                  </c:pt>
                  <c:pt idx="6">
                    <c:v>1p</c:v>
                  </c:pt>
                  <c:pt idx="7">
                    <c:v>2p</c:v>
                  </c:pt>
                  <c:pt idx="8">
                    <c:v>1p</c:v>
                  </c:pt>
                  <c:pt idx="9">
                    <c:v>2p</c:v>
                  </c:pt>
                  <c:pt idx="10">
                    <c:v>1p</c:v>
                  </c:pt>
                  <c:pt idx="11">
                    <c:v>2p</c:v>
                  </c:pt>
                  <c:pt idx="12">
                    <c:v>1p</c:v>
                  </c:pt>
                  <c:pt idx="13">
                    <c:v>2p</c:v>
                  </c:pt>
                  <c:pt idx="14">
                    <c:v>1p</c:v>
                  </c:pt>
                  <c:pt idx="15">
                    <c:v>2p</c:v>
                  </c:pt>
                  <c:pt idx="16">
                    <c:v>1p</c:v>
                  </c:pt>
                  <c:pt idx="17">
                    <c:v>2p</c:v>
                  </c:pt>
                  <c:pt idx="18">
                    <c:v>1p</c:v>
                  </c:pt>
                  <c:pt idx="19">
                    <c:v>2p</c:v>
                  </c:pt>
                  <c:pt idx="20">
                    <c:v>1p</c:v>
                  </c:pt>
                  <c:pt idx="21">
                    <c:v>2p</c:v>
                  </c:pt>
                  <c:pt idx="22">
                    <c:v>1p</c:v>
                  </c:pt>
                  <c:pt idx="23">
                    <c:v>2p</c:v>
                  </c:pt>
                  <c:pt idx="24">
                    <c:v>1p</c:v>
                  </c:pt>
                  <c:pt idx="25">
                    <c:v>2p</c:v>
                  </c:pt>
                  <c:pt idx="26">
                    <c:v>1p</c:v>
                  </c:pt>
                  <c:pt idx="27">
                    <c:v>2p</c:v>
                  </c:pt>
                  <c:pt idx="28">
                    <c:v>1p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3'!$D$63:$D$91</c:f>
              <c:numCache>
                <c:formatCode>0.0</c:formatCode>
                <c:ptCount val="29"/>
                <c:pt idx="0">
                  <c:v>1.3999999999999981</c:v>
                </c:pt>
                <c:pt idx="1">
                  <c:v>1.5</c:v>
                </c:pt>
                <c:pt idx="2">
                  <c:v>0.59999999999999432</c:v>
                </c:pt>
                <c:pt idx="3">
                  <c:v>4.1000000000000005</c:v>
                </c:pt>
                <c:pt idx="4">
                  <c:v>2</c:v>
                </c:pt>
                <c:pt idx="5">
                  <c:v>-0.55000000000000449</c:v>
                </c:pt>
                <c:pt idx="6">
                  <c:v>0.94999999999999574</c:v>
                </c:pt>
                <c:pt idx="7">
                  <c:v>0.14999999999999869</c:v>
                </c:pt>
                <c:pt idx="8">
                  <c:v>-0.89999999999999869</c:v>
                </c:pt>
                <c:pt idx="9">
                  <c:v>-0.69999999999999574</c:v>
                </c:pt>
                <c:pt idx="10">
                  <c:v>-1.4500000000000028</c:v>
                </c:pt>
                <c:pt idx="11">
                  <c:v>-1.5499999999999965</c:v>
                </c:pt>
                <c:pt idx="12">
                  <c:v>3.1499999999999986</c:v>
                </c:pt>
                <c:pt idx="13">
                  <c:v>1.9499999999999953</c:v>
                </c:pt>
                <c:pt idx="14">
                  <c:v>2.3999999999999977</c:v>
                </c:pt>
                <c:pt idx="15">
                  <c:v>3.3499999999999943</c:v>
                </c:pt>
                <c:pt idx="16">
                  <c:v>4</c:v>
                </c:pt>
                <c:pt idx="17">
                  <c:v>3.6000000000000014</c:v>
                </c:pt>
                <c:pt idx="18">
                  <c:v>3.75</c:v>
                </c:pt>
                <c:pt idx="19">
                  <c:v>4.5999999999999943</c:v>
                </c:pt>
                <c:pt idx="20">
                  <c:v>6.3999999999999986</c:v>
                </c:pt>
                <c:pt idx="21">
                  <c:v>5.4000000000000075</c:v>
                </c:pt>
                <c:pt idx="22">
                  <c:v>5.2999999999999972</c:v>
                </c:pt>
                <c:pt idx="23">
                  <c:v>4.6499999999999986</c:v>
                </c:pt>
                <c:pt idx="24">
                  <c:v>-0.14999999999999869</c:v>
                </c:pt>
                <c:pt idx="25">
                  <c:v>3</c:v>
                </c:pt>
                <c:pt idx="26">
                  <c:v>3.2999999999999972</c:v>
                </c:pt>
                <c:pt idx="27">
                  <c:v>-1.3500000000000019</c:v>
                </c:pt>
                <c:pt idx="28">
                  <c:v>-6.6499999999999986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10-4FAF-8AEC-7011C537C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106143104"/>
        <c:axId val="106153088"/>
      </c:barChart>
      <c:lineChart>
        <c:grouping val="standard"/>
        <c:varyColors val="0"/>
        <c:ser>
          <c:idx val="0"/>
          <c:order val="0"/>
          <c:tx>
            <c:strRef>
              <c:f>'Trh práce 3'!$C$62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 3'!$A$63:$B$91</c:f>
              <c:multiLvlStrCache>
                <c:ptCount val="29"/>
                <c:lvl>
                  <c:pt idx="0">
                    <c:v>1p</c:v>
                  </c:pt>
                  <c:pt idx="1">
                    <c:v>2p</c:v>
                  </c:pt>
                  <c:pt idx="2">
                    <c:v>1p</c:v>
                  </c:pt>
                  <c:pt idx="3">
                    <c:v>2p</c:v>
                  </c:pt>
                  <c:pt idx="4">
                    <c:v>1p</c:v>
                  </c:pt>
                  <c:pt idx="5">
                    <c:v>2p</c:v>
                  </c:pt>
                  <c:pt idx="6">
                    <c:v>1p</c:v>
                  </c:pt>
                  <c:pt idx="7">
                    <c:v>2p</c:v>
                  </c:pt>
                  <c:pt idx="8">
                    <c:v>1p</c:v>
                  </c:pt>
                  <c:pt idx="9">
                    <c:v>2p</c:v>
                  </c:pt>
                  <c:pt idx="10">
                    <c:v>1p</c:v>
                  </c:pt>
                  <c:pt idx="11">
                    <c:v>2p</c:v>
                  </c:pt>
                  <c:pt idx="12">
                    <c:v>1p</c:v>
                  </c:pt>
                  <c:pt idx="13">
                    <c:v>2p</c:v>
                  </c:pt>
                  <c:pt idx="14">
                    <c:v>1p</c:v>
                  </c:pt>
                  <c:pt idx="15">
                    <c:v>2p</c:v>
                  </c:pt>
                  <c:pt idx="16">
                    <c:v>1p</c:v>
                  </c:pt>
                  <c:pt idx="17">
                    <c:v>2p</c:v>
                  </c:pt>
                  <c:pt idx="18">
                    <c:v>1p</c:v>
                  </c:pt>
                  <c:pt idx="19">
                    <c:v>2p</c:v>
                  </c:pt>
                  <c:pt idx="20">
                    <c:v>1p</c:v>
                  </c:pt>
                  <c:pt idx="21">
                    <c:v>2p</c:v>
                  </c:pt>
                  <c:pt idx="22">
                    <c:v>1p</c:v>
                  </c:pt>
                  <c:pt idx="23">
                    <c:v>2p</c:v>
                  </c:pt>
                  <c:pt idx="24">
                    <c:v>1p</c:v>
                  </c:pt>
                  <c:pt idx="25">
                    <c:v>2p</c:v>
                  </c:pt>
                  <c:pt idx="26">
                    <c:v>1p</c:v>
                  </c:pt>
                  <c:pt idx="27">
                    <c:v>2p</c:v>
                  </c:pt>
                  <c:pt idx="28">
                    <c:v>1p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3'!$C$63:$C$91</c:f>
              <c:numCache>
                <c:formatCode>0.0</c:formatCode>
                <c:ptCount val="29"/>
                <c:pt idx="0">
                  <c:v>8.6000000000000014</c:v>
                </c:pt>
                <c:pt idx="1">
                  <c:v>7.2000000000000028</c:v>
                </c:pt>
                <c:pt idx="2">
                  <c:v>2.3500000000000005</c:v>
                </c:pt>
                <c:pt idx="3">
                  <c:v>4.3499999999999943</c:v>
                </c:pt>
                <c:pt idx="4">
                  <c:v>2.9499999999999957</c:v>
                </c:pt>
                <c:pt idx="5">
                  <c:v>1.4500000000000028</c:v>
                </c:pt>
                <c:pt idx="6">
                  <c:v>2.6999999999999957</c:v>
                </c:pt>
                <c:pt idx="7">
                  <c:v>2.25</c:v>
                </c:pt>
                <c:pt idx="8">
                  <c:v>2.6499999999999986</c:v>
                </c:pt>
                <c:pt idx="9">
                  <c:v>2.3000000000000043</c:v>
                </c:pt>
                <c:pt idx="10">
                  <c:v>0.20000000000000284</c:v>
                </c:pt>
                <c:pt idx="11">
                  <c:v>-0.39999999999999886</c:v>
                </c:pt>
                <c:pt idx="12">
                  <c:v>3.3500000000000005</c:v>
                </c:pt>
                <c:pt idx="13">
                  <c:v>2.5</c:v>
                </c:pt>
                <c:pt idx="14">
                  <c:v>2.7999999999999972</c:v>
                </c:pt>
                <c:pt idx="15">
                  <c:v>3.6000000000000014</c:v>
                </c:pt>
                <c:pt idx="16">
                  <c:v>4.3500000000000005</c:v>
                </c:pt>
                <c:pt idx="17">
                  <c:v>4.5500000000000043</c:v>
                </c:pt>
                <c:pt idx="18">
                  <c:v>6.1499999999999986</c:v>
                </c:pt>
                <c:pt idx="19">
                  <c:v>7.25</c:v>
                </c:pt>
                <c:pt idx="20">
                  <c:v>8.6000000000000014</c:v>
                </c:pt>
                <c:pt idx="21">
                  <c:v>7.75</c:v>
                </c:pt>
                <c:pt idx="22">
                  <c:v>8.15</c:v>
                </c:pt>
                <c:pt idx="23">
                  <c:v>7.6499999999999986</c:v>
                </c:pt>
                <c:pt idx="24">
                  <c:v>3.2000000000000037</c:v>
                </c:pt>
                <c:pt idx="25">
                  <c:v>6.0500000000000043</c:v>
                </c:pt>
                <c:pt idx="26">
                  <c:v>5.9499999999999975</c:v>
                </c:pt>
                <c:pt idx="27">
                  <c:v>3.6500000000000057</c:v>
                </c:pt>
                <c:pt idx="28">
                  <c:v>5.8500000000000005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10-4FAF-8AEC-7011C537CA33}"/>
            </c:ext>
          </c:extLst>
        </c:ser>
        <c:ser>
          <c:idx val="5"/>
          <c:order val="2"/>
          <c:tx>
            <c:strRef>
              <c:f>'Trh práce 3'!$E$62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'Trh práce 3'!$A$63:$B$91</c:f>
              <c:multiLvlStrCache>
                <c:ptCount val="29"/>
                <c:lvl>
                  <c:pt idx="0">
                    <c:v>1p</c:v>
                  </c:pt>
                  <c:pt idx="1">
                    <c:v>2p</c:v>
                  </c:pt>
                  <c:pt idx="2">
                    <c:v>1p</c:v>
                  </c:pt>
                  <c:pt idx="3">
                    <c:v>2p</c:v>
                  </c:pt>
                  <c:pt idx="4">
                    <c:v>1p</c:v>
                  </c:pt>
                  <c:pt idx="5">
                    <c:v>2p</c:v>
                  </c:pt>
                  <c:pt idx="6">
                    <c:v>1p</c:v>
                  </c:pt>
                  <c:pt idx="7">
                    <c:v>2p</c:v>
                  </c:pt>
                  <c:pt idx="8">
                    <c:v>1p</c:v>
                  </c:pt>
                  <c:pt idx="9">
                    <c:v>2p</c:v>
                  </c:pt>
                  <c:pt idx="10">
                    <c:v>1p</c:v>
                  </c:pt>
                  <c:pt idx="11">
                    <c:v>2p</c:v>
                  </c:pt>
                  <c:pt idx="12">
                    <c:v>1p</c:v>
                  </c:pt>
                  <c:pt idx="13">
                    <c:v>2p</c:v>
                  </c:pt>
                  <c:pt idx="14">
                    <c:v>1p</c:v>
                  </c:pt>
                  <c:pt idx="15">
                    <c:v>2p</c:v>
                  </c:pt>
                  <c:pt idx="16">
                    <c:v>1p</c:v>
                  </c:pt>
                  <c:pt idx="17">
                    <c:v>2p</c:v>
                  </c:pt>
                  <c:pt idx="18">
                    <c:v>1p</c:v>
                  </c:pt>
                  <c:pt idx="19">
                    <c:v>2p</c:v>
                  </c:pt>
                  <c:pt idx="20">
                    <c:v>1p</c:v>
                  </c:pt>
                  <c:pt idx="21">
                    <c:v>2p</c:v>
                  </c:pt>
                  <c:pt idx="22">
                    <c:v>1p</c:v>
                  </c:pt>
                  <c:pt idx="23">
                    <c:v>2p</c:v>
                  </c:pt>
                  <c:pt idx="24">
                    <c:v>1p</c:v>
                  </c:pt>
                  <c:pt idx="25">
                    <c:v>2p</c:v>
                  </c:pt>
                  <c:pt idx="26">
                    <c:v>1p</c:v>
                  </c:pt>
                  <c:pt idx="27">
                    <c:v>2p</c:v>
                  </c:pt>
                  <c:pt idx="28">
                    <c:v>1p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3'!$E$63:$E$91</c:f>
              <c:numCache>
                <c:formatCode>0.0</c:formatCode>
                <c:ptCount val="29"/>
                <c:pt idx="0">
                  <c:v>10.965779626599348</c:v>
                </c:pt>
                <c:pt idx="1">
                  <c:v>7.2045848058037167</c:v>
                </c:pt>
                <c:pt idx="2">
                  <c:v>-0.10207158875207512</c:v>
                </c:pt>
                <c:pt idx="3">
                  <c:v>4.7756787985471796</c:v>
                </c:pt>
                <c:pt idx="4">
                  <c:v>5.2247862331461388</c:v>
                </c:pt>
                <c:pt idx="5">
                  <c:v>3.4322578877170637</c:v>
                </c:pt>
                <c:pt idx="6">
                  <c:v>4.0718748809917713</c:v>
                </c:pt>
                <c:pt idx="7">
                  <c:v>2.4423868557449282</c:v>
                </c:pt>
                <c:pt idx="8">
                  <c:v>3.3491932249592722</c:v>
                </c:pt>
                <c:pt idx="9">
                  <c:v>2.7243464773580337</c:v>
                </c:pt>
                <c:pt idx="10">
                  <c:v>0.82649064706659936</c:v>
                </c:pt>
                <c:pt idx="11">
                  <c:v>0.83258081439371545</c:v>
                </c:pt>
                <c:pt idx="12">
                  <c:v>3.8171645430344086</c:v>
                </c:pt>
                <c:pt idx="13">
                  <c:v>2.8172030641298553</c:v>
                </c:pt>
                <c:pt idx="14">
                  <c:v>2.1650997607555396</c:v>
                </c:pt>
                <c:pt idx="15">
                  <c:v>2.9944452782884237</c:v>
                </c:pt>
                <c:pt idx="16">
                  <c:v>4.2995514923439959</c:v>
                </c:pt>
                <c:pt idx="17">
                  <c:v>4.275871439841552</c:v>
                </c:pt>
                <c:pt idx="18">
                  <c:v>6.6237644181187676</c:v>
                </c:pt>
                <c:pt idx="19">
                  <c:v>6.957870030534707</c:v>
                </c:pt>
                <c:pt idx="20">
                  <c:v>8.0477489864729357</c:v>
                </c:pt>
                <c:pt idx="21">
                  <c:v>7.4868067232467439</c:v>
                </c:pt>
                <c:pt idx="22">
                  <c:v>7.1445354202982436</c:v>
                </c:pt>
                <c:pt idx="23">
                  <c:v>6.1891260339134462</c:v>
                </c:pt>
                <c:pt idx="24">
                  <c:v>0.68490810298792559</c:v>
                </c:pt>
                <c:pt idx="25">
                  <c:v>3.4815846936054058</c:v>
                </c:pt>
                <c:pt idx="26">
                  <c:v>5.0285029740175897</c:v>
                </c:pt>
                <c:pt idx="27">
                  <c:v>3.247167859794041</c:v>
                </c:pt>
                <c:pt idx="28">
                  <c:v>7.3543755971112645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10-4FAF-8AEC-7011C537CA33}"/>
            </c:ext>
          </c:extLst>
        </c:ser>
        <c:ser>
          <c:idx val="1"/>
          <c:order val="3"/>
          <c:tx>
            <c:strRef>
              <c:f>'Trh práce 3'!$F$62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multiLvlStrRef>
              <c:f>'Trh práce 3'!$A$63:$B$91</c:f>
              <c:multiLvlStrCache>
                <c:ptCount val="29"/>
                <c:lvl>
                  <c:pt idx="0">
                    <c:v>1p</c:v>
                  </c:pt>
                  <c:pt idx="1">
                    <c:v>2p</c:v>
                  </c:pt>
                  <c:pt idx="2">
                    <c:v>1p</c:v>
                  </c:pt>
                  <c:pt idx="3">
                    <c:v>2p</c:v>
                  </c:pt>
                  <c:pt idx="4">
                    <c:v>1p</c:v>
                  </c:pt>
                  <c:pt idx="5">
                    <c:v>2p</c:v>
                  </c:pt>
                  <c:pt idx="6">
                    <c:v>1p</c:v>
                  </c:pt>
                  <c:pt idx="7">
                    <c:v>2p</c:v>
                  </c:pt>
                  <c:pt idx="8">
                    <c:v>1p</c:v>
                  </c:pt>
                  <c:pt idx="9">
                    <c:v>2p</c:v>
                  </c:pt>
                  <c:pt idx="10">
                    <c:v>1p</c:v>
                  </c:pt>
                  <c:pt idx="11">
                    <c:v>2p</c:v>
                  </c:pt>
                  <c:pt idx="12">
                    <c:v>1p</c:v>
                  </c:pt>
                  <c:pt idx="13">
                    <c:v>2p</c:v>
                  </c:pt>
                  <c:pt idx="14">
                    <c:v>1p</c:v>
                  </c:pt>
                  <c:pt idx="15">
                    <c:v>2p</c:v>
                  </c:pt>
                  <c:pt idx="16">
                    <c:v>1p</c:v>
                  </c:pt>
                  <c:pt idx="17">
                    <c:v>2p</c:v>
                  </c:pt>
                  <c:pt idx="18">
                    <c:v>1p</c:v>
                  </c:pt>
                  <c:pt idx="19">
                    <c:v>2p</c:v>
                  </c:pt>
                  <c:pt idx="20">
                    <c:v>1p</c:v>
                  </c:pt>
                  <c:pt idx="21">
                    <c:v>2p</c:v>
                  </c:pt>
                  <c:pt idx="22">
                    <c:v>1p</c:v>
                  </c:pt>
                  <c:pt idx="23">
                    <c:v>2p</c:v>
                  </c:pt>
                  <c:pt idx="24">
                    <c:v>1p</c:v>
                  </c:pt>
                  <c:pt idx="25">
                    <c:v>2p</c:v>
                  </c:pt>
                  <c:pt idx="26">
                    <c:v>1p</c:v>
                  </c:pt>
                  <c:pt idx="27">
                    <c:v>2p</c:v>
                  </c:pt>
                  <c:pt idx="28">
                    <c:v>1p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3'!$F$63:$F$91</c:f>
              <c:numCache>
                <c:formatCode>0.0</c:formatCode>
                <c:ptCount val="29"/>
                <c:pt idx="0">
                  <c:v>9.523628167059341</c:v>
                </c:pt>
                <c:pt idx="1">
                  <c:v>6.1173932151438422</c:v>
                </c:pt>
                <c:pt idx="2">
                  <c:v>-0.56987922579376971</c:v>
                </c:pt>
                <c:pt idx="3">
                  <c:v>0.86090696307550751</c:v>
                </c:pt>
                <c:pt idx="4">
                  <c:v>3.1242388374649588</c:v>
                </c:pt>
                <c:pt idx="5">
                  <c:v>3.1449702537917483</c:v>
                </c:pt>
                <c:pt idx="6">
                  <c:v>3.4890379198127093</c:v>
                </c:pt>
                <c:pt idx="7">
                  <c:v>3.5017847929104722</c:v>
                </c:pt>
                <c:pt idx="8">
                  <c:v>2.4115907095162972</c:v>
                </c:pt>
                <c:pt idx="9">
                  <c:v>2.0776709847314265</c:v>
                </c:pt>
                <c:pt idx="10">
                  <c:v>0.23379388629743414</c:v>
                </c:pt>
                <c:pt idx="11">
                  <c:v>-1.6674125328935225</c:v>
                </c:pt>
                <c:pt idx="12">
                  <c:v>3.8180889226283043</c:v>
                </c:pt>
                <c:pt idx="13">
                  <c:v>2.8255381000689113</c:v>
                </c:pt>
                <c:pt idx="14">
                  <c:v>3.5098256642731642</c:v>
                </c:pt>
                <c:pt idx="15">
                  <c:v>4.8703883325637864</c:v>
                </c:pt>
                <c:pt idx="16">
                  <c:v>4.8006939294931383</c:v>
                </c:pt>
                <c:pt idx="17">
                  <c:v>4.7464148837768363</c:v>
                </c:pt>
                <c:pt idx="18">
                  <c:v>6.7757963852022378</c:v>
                </c:pt>
                <c:pt idx="19">
                  <c:v>8.0429381053703288</c:v>
                </c:pt>
                <c:pt idx="20">
                  <c:v>7.1404329368525392</c:v>
                </c:pt>
                <c:pt idx="21">
                  <c:v>6.7676237129747063</c:v>
                </c:pt>
                <c:pt idx="22">
                  <c:v>8.4786853865892535</c:v>
                </c:pt>
                <c:pt idx="23">
                  <c:v>7.2323783679736398</c:v>
                </c:pt>
                <c:pt idx="24">
                  <c:v>3.6410633902801086</c:v>
                </c:pt>
                <c:pt idx="25">
                  <c:v>3.5929532276403506</c:v>
                </c:pt>
                <c:pt idx="26">
                  <c:v>2.6725531445379791</c:v>
                </c:pt>
                <c:pt idx="27">
                  <c:v>4.3382070725182231</c:v>
                </c:pt>
                <c:pt idx="28">
                  <c:v>9.1726109535131517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10-4FAF-8AEC-7011C537CA33}"/>
            </c:ext>
          </c:extLst>
        </c:ser>
        <c:ser>
          <c:idx val="2"/>
          <c:order val="4"/>
          <c:tx>
            <c:strRef>
              <c:f>'Trh práce 3'!$G$62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'Trh práce 3'!$A$63:$B$91</c:f>
              <c:multiLvlStrCache>
                <c:ptCount val="29"/>
                <c:lvl>
                  <c:pt idx="0">
                    <c:v>1p</c:v>
                  </c:pt>
                  <c:pt idx="1">
                    <c:v>2p</c:v>
                  </c:pt>
                  <c:pt idx="2">
                    <c:v>1p</c:v>
                  </c:pt>
                  <c:pt idx="3">
                    <c:v>2p</c:v>
                  </c:pt>
                  <c:pt idx="4">
                    <c:v>1p</c:v>
                  </c:pt>
                  <c:pt idx="5">
                    <c:v>2p</c:v>
                  </c:pt>
                  <c:pt idx="6">
                    <c:v>1p</c:v>
                  </c:pt>
                  <c:pt idx="7">
                    <c:v>2p</c:v>
                  </c:pt>
                  <c:pt idx="8">
                    <c:v>1p</c:v>
                  </c:pt>
                  <c:pt idx="9">
                    <c:v>2p</c:v>
                  </c:pt>
                  <c:pt idx="10">
                    <c:v>1p</c:v>
                  </c:pt>
                  <c:pt idx="11">
                    <c:v>2p</c:v>
                  </c:pt>
                  <c:pt idx="12">
                    <c:v>1p</c:v>
                  </c:pt>
                  <c:pt idx="13">
                    <c:v>2p</c:v>
                  </c:pt>
                  <c:pt idx="14">
                    <c:v>1p</c:v>
                  </c:pt>
                  <c:pt idx="15">
                    <c:v>2p</c:v>
                  </c:pt>
                  <c:pt idx="16">
                    <c:v>1p</c:v>
                  </c:pt>
                  <c:pt idx="17">
                    <c:v>2p</c:v>
                  </c:pt>
                  <c:pt idx="18">
                    <c:v>1p</c:v>
                  </c:pt>
                  <c:pt idx="19">
                    <c:v>2p</c:v>
                  </c:pt>
                  <c:pt idx="20">
                    <c:v>1p</c:v>
                  </c:pt>
                  <c:pt idx="21">
                    <c:v>2p</c:v>
                  </c:pt>
                  <c:pt idx="22">
                    <c:v>1p</c:v>
                  </c:pt>
                  <c:pt idx="23">
                    <c:v>2p</c:v>
                  </c:pt>
                  <c:pt idx="24">
                    <c:v>1p</c:v>
                  </c:pt>
                  <c:pt idx="25">
                    <c:v>2p</c:v>
                  </c:pt>
                  <c:pt idx="26">
                    <c:v>1p</c:v>
                  </c:pt>
                  <c:pt idx="27">
                    <c:v>2p</c:v>
                  </c:pt>
                  <c:pt idx="28">
                    <c:v>1p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3'!$G$63:$G$91</c:f>
              <c:numCache>
                <c:formatCode>0.0</c:formatCode>
                <c:ptCount val="29"/>
                <c:pt idx="0">
                  <c:v>3.5657045736146955</c:v>
                </c:pt>
                <c:pt idx="1">
                  <c:v>5.2706415907605848</c:v>
                </c:pt>
                <c:pt idx="2">
                  <c:v>4.9793477923024518</c:v>
                </c:pt>
                <c:pt idx="3">
                  <c:v>6.1469428778748973</c:v>
                </c:pt>
                <c:pt idx="4">
                  <c:v>2.8386853624388513</c:v>
                </c:pt>
                <c:pt idx="5">
                  <c:v>-2.1753764637075372</c:v>
                </c:pt>
                <c:pt idx="6">
                  <c:v>0.19348481132529829</c:v>
                </c:pt>
                <c:pt idx="7">
                  <c:v>2.4787428508100575</c:v>
                </c:pt>
                <c:pt idx="8">
                  <c:v>2.4926987811426713</c:v>
                </c:pt>
                <c:pt idx="9">
                  <c:v>1.4759480783641117</c:v>
                </c:pt>
                <c:pt idx="10">
                  <c:v>0.81328517016101642</c:v>
                </c:pt>
                <c:pt idx="11">
                  <c:v>0.40922312282597778</c:v>
                </c:pt>
                <c:pt idx="12">
                  <c:v>2.027470310250437</c:v>
                </c:pt>
                <c:pt idx="13">
                  <c:v>3.0167538052527467</c:v>
                </c:pt>
                <c:pt idx="14">
                  <c:v>3.8030490245786117</c:v>
                </c:pt>
                <c:pt idx="15">
                  <c:v>3.7263593007908247</c:v>
                </c:pt>
                <c:pt idx="16">
                  <c:v>4.2239545746046758</c:v>
                </c:pt>
                <c:pt idx="17">
                  <c:v>5.4939178255430079</c:v>
                </c:pt>
                <c:pt idx="18">
                  <c:v>6.3879284532635694</c:v>
                </c:pt>
                <c:pt idx="19">
                  <c:v>9.2411219451734024</c:v>
                </c:pt>
                <c:pt idx="20">
                  <c:v>12.035938363262254</c:v>
                </c:pt>
                <c:pt idx="21">
                  <c:v>8.7447651066878613</c:v>
                </c:pt>
                <c:pt idx="22">
                  <c:v>9.3592646182937322</c:v>
                </c:pt>
                <c:pt idx="23">
                  <c:v>9.7167924346275427</c:v>
                </c:pt>
                <c:pt idx="24">
                  <c:v>5.1117019583667993</c:v>
                </c:pt>
                <c:pt idx="25">
                  <c:v>11.379812548838135</c:v>
                </c:pt>
                <c:pt idx="26">
                  <c:v>10.563785027997934</c:v>
                </c:pt>
                <c:pt idx="27">
                  <c:v>1.9562483068278671</c:v>
                </c:pt>
                <c:pt idx="28">
                  <c:v>-1.4985318004633539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410-4FAF-8AEC-7011C537CA33}"/>
            </c:ext>
          </c:extLst>
        </c:ser>
        <c:ser>
          <c:idx val="3"/>
          <c:order val="5"/>
          <c:tx>
            <c:strRef>
              <c:f>'Trh práce 3'!$H$62</c:f>
              <c:strCache>
                <c:ptCount val="1"/>
                <c:pt idx="0">
                  <c:v>Mediánová mzda celkem (nominálně)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'Trh práce 3'!$A$63:$B$91</c:f>
              <c:multiLvlStrCache>
                <c:ptCount val="29"/>
                <c:lvl>
                  <c:pt idx="0">
                    <c:v>1p</c:v>
                  </c:pt>
                  <c:pt idx="1">
                    <c:v>2p</c:v>
                  </c:pt>
                  <c:pt idx="2">
                    <c:v>1p</c:v>
                  </c:pt>
                  <c:pt idx="3">
                    <c:v>2p</c:v>
                  </c:pt>
                  <c:pt idx="4">
                    <c:v>1p</c:v>
                  </c:pt>
                  <c:pt idx="5">
                    <c:v>2p</c:v>
                  </c:pt>
                  <c:pt idx="6">
                    <c:v>1p</c:v>
                  </c:pt>
                  <c:pt idx="7">
                    <c:v>2p</c:v>
                  </c:pt>
                  <c:pt idx="8">
                    <c:v>1p</c:v>
                  </c:pt>
                  <c:pt idx="9">
                    <c:v>2p</c:v>
                  </c:pt>
                  <c:pt idx="10">
                    <c:v>1p</c:v>
                  </c:pt>
                  <c:pt idx="11">
                    <c:v>2p</c:v>
                  </c:pt>
                  <c:pt idx="12">
                    <c:v>1p</c:v>
                  </c:pt>
                  <c:pt idx="13">
                    <c:v>2p</c:v>
                  </c:pt>
                  <c:pt idx="14">
                    <c:v>1p</c:v>
                  </c:pt>
                  <c:pt idx="15">
                    <c:v>2p</c:v>
                  </c:pt>
                  <c:pt idx="16">
                    <c:v>1p</c:v>
                  </c:pt>
                  <c:pt idx="17">
                    <c:v>2p</c:v>
                  </c:pt>
                  <c:pt idx="18">
                    <c:v>1p</c:v>
                  </c:pt>
                  <c:pt idx="19">
                    <c:v>2p</c:v>
                  </c:pt>
                  <c:pt idx="20">
                    <c:v>1p</c:v>
                  </c:pt>
                  <c:pt idx="21">
                    <c:v>2p</c:v>
                  </c:pt>
                  <c:pt idx="22">
                    <c:v>1p</c:v>
                  </c:pt>
                  <c:pt idx="23">
                    <c:v>2p</c:v>
                  </c:pt>
                  <c:pt idx="24">
                    <c:v>1p</c:v>
                  </c:pt>
                  <c:pt idx="25">
                    <c:v>2p</c:v>
                  </c:pt>
                  <c:pt idx="26">
                    <c:v>1p</c:v>
                  </c:pt>
                  <c:pt idx="27">
                    <c:v>2p</c:v>
                  </c:pt>
                  <c:pt idx="28">
                    <c:v>1p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3'!$H$63:$H$91</c:f>
              <c:numCache>
                <c:formatCode>0.0</c:formatCode>
                <c:ptCount val="29"/>
                <c:pt idx="0">
                  <c:v>12</c:v>
                </c:pt>
                <c:pt idx="1">
                  <c:v>10.15</c:v>
                </c:pt>
                <c:pt idx="2">
                  <c:v>1.75</c:v>
                </c:pt>
                <c:pt idx="3">
                  <c:v>2.5499999999999972</c:v>
                </c:pt>
                <c:pt idx="4">
                  <c:v>2.9162760982735056</c:v>
                </c:pt>
                <c:pt idx="5">
                  <c:v>2.3089257581483844</c:v>
                </c:pt>
                <c:pt idx="6">
                  <c:v>2.5007792207792288</c:v>
                </c:pt>
                <c:pt idx="7">
                  <c:v>1.9472597611490277</c:v>
                </c:pt>
                <c:pt idx="8">
                  <c:v>1.3750905629096977</c:v>
                </c:pt>
                <c:pt idx="9">
                  <c:v>-0.49938151970518185</c:v>
                </c:pt>
                <c:pt idx="10">
                  <c:v>0.95995909481522568</c:v>
                </c:pt>
                <c:pt idx="11">
                  <c:v>1.741774582579942</c:v>
                </c:pt>
                <c:pt idx="12">
                  <c:v>3.9948634729861108</c:v>
                </c:pt>
                <c:pt idx="13">
                  <c:v>2.4651824421704598</c:v>
                </c:pt>
                <c:pt idx="14">
                  <c:v>1.5</c:v>
                </c:pt>
                <c:pt idx="15">
                  <c:v>4.25</c:v>
                </c:pt>
                <c:pt idx="16">
                  <c:v>5.6499999999999986</c:v>
                </c:pt>
                <c:pt idx="17">
                  <c:v>5.75</c:v>
                </c:pt>
                <c:pt idx="18">
                  <c:v>6.3000000000000043</c:v>
                </c:pt>
                <c:pt idx="19">
                  <c:v>7.9500000000000028</c:v>
                </c:pt>
                <c:pt idx="20">
                  <c:v>9.2000000000000011</c:v>
                </c:pt>
                <c:pt idx="21">
                  <c:v>8</c:v>
                </c:pt>
                <c:pt idx="22">
                  <c:v>6.8000000000000043</c:v>
                </c:pt>
                <c:pt idx="23">
                  <c:v>6.8500000000000005</c:v>
                </c:pt>
                <c:pt idx="24">
                  <c:v>4.2000000000000028</c:v>
                </c:pt>
                <c:pt idx="25">
                  <c:v>6.7000000000000028</c:v>
                </c:pt>
                <c:pt idx="26">
                  <c:v>5.25</c:v>
                </c:pt>
                <c:pt idx="27">
                  <c:v>3.8999999999999977</c:v>
                </c:pt>
                <c:pt idx="28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410-4FAF-8AEC-7011C537C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143104"/>
        <c:axId val="106153088"/>
      </c:lineChart>
      <c:catAx>
        <c:axId val="10614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6153088"/>
        <c:crosses val="autoZero"/>
        <c:auto val="1"/>
        <c:lblAlgn val="ctr"/>
        <c:lblOffset val="0"/>
        <c:tickMarkSkip val="1"/>
        <c:noMultiLvlLbl val="0"/>
      </c:catAx>
      <c:valAx>
        <c:axId val="106153088"/>
        <c:scaling>
          <c:orientation val="minMax"/>
          <c:max val="14"/>
          <c:min val="-8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6143104"/>
        <c:crosses val="autoZero"/>
        <c:crossBetween val="midCat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8.0256821829855531E-3"/>
          <c:y val="0.87578175045503959"/>
          <c:w val="0.98119673243091809"/>
          <c:h val="0.1134189342403627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FF74-0E79-481B-AC6C-3868CEC0C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B782D-81EE-4991-8B82-D02F7A01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26</TotalTime>
  <Pages>1</Pages>
  <Words>2429</Words>
  <Characters>14333</Characters>
  <Application>Microsoft Office Word</Application>
  <DocSecurity>0</DocSecurity>
  <Lines>119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16729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6</cp:revision>
  <cp:lastPrinted>2019-04-08T10:52:00Z</cp:lastPrinted>
  <dcterms:created xsi:type="dcterms:W3CDTF">2022-09-15T09:40:00Z</dcterms:created>
  <dcterms:modified xsi:type="dcterms:W3CDTF">2022-09-15T10:02:00Z</dcterms:modified>
</cp:coreProperties>
</file>