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7B7498" w:rsidRDefault="007B7498" w:rsidP="007B7498">
      <w:pPr>
        <w:pStyle w:val="Nadpis1"/>
      </w:pPr>
      <w:r>
        <w:t>Starobní důchodci podle výše plného starobního důchodu sólo k 31. 12. 2019</w:t>
      </w:r>
    </w:p>
    <w:p w:rsidR="007B7498" w:rsidRDefault="007B7498" w:rsidP="007B74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(Graf </w:t>
      </w:r>
      <w:r w:rsidR="00815698">
        <w:rPr>
          <w:rFonts w:ascii="Arial" w:hAnsi="Arial" w:cs="Arial"/>
          <w:i/>
          <w:iCs/>
          <w:color w:val="000000"/>
          <w:sz w:val="20"/>
          <w:szCs w:val="16"/>
        </w:rPr>
        <w:t>24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a, b)</w:t>
      </w:r>
    </w:p>
    <w:p w:rsidR="007B7498" w:rsidRDefault="007B7498" w:rsidP="007B74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7B7498" w:rsidRDefault="007B7498" w:rsidP="007B749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Zdroj: </w:t>
      </w:r>
      <w:r>
        <w:rPr>
          <w:rFonts w:ascii="Arial" w:hAnsi="Arial" w:cs="Arial"/>
          <w:color w:val="000000"/>
          <w:sz w:val="20"/>
          <w:szCs w:val="16"/>
        </w:rPr>
        <w:t>MPSV ČR (ČSSZ), 31. 12. 2019</w:t>
      </w:r>
    </w:p>
    <w:p w:rsidR="007B7498" w:rsidRDefault="007B7498" w:rsidP="007B7498">
      <w:pPr>
        <w:pStyle w:val="Zkladntextodsazen"/>
        <w:rPr>
          <w:iCs/>
        </w:rPr>
      </w:pPr>
      <w:r w:rsidRPr="007B7498">
        <w:t xml:space="preserve">Důchodové pojištění zajišťuje občany pro případ stáří, invalidity nebo při ztrátě živitele. </w:t>
      </w:r>
      <w:r w:rsidRPr="007B7498">
        <w:rPr>
          <w:iCs/>
        </w:rPr>
        <w:t>V rámci důchodového pojištění se poskytují důchody starobní, invalidní, vdovské, vdovecké a sirotčí (zákon č. 155/1995 Sb., o důchodovém pojištění, ve znění pozdějších předpisů).</w:t>
      </w:r>
    </w:p>
    <w:p w:rsidR="007B7498" w:rsidRPr="007B7498" w:rsidRDefault="007B7498" w:rsidP="007B7498">
      <w:pPr>
        <w:pStyle w:val="Zkladntextodsazen"/>
        <w:rPr>
          <w:color w:val="000000"/>
          <w:szCs w:val="16"/>
        </w:rPr>
      </w:pPr>
    </w:p>
    <w:p w:rsidR="004721BB" w:rsidRDefault="007B7498" w:rsidP="004721BB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 w:rsidRPr="00D37217">
        <w:rPr>
          <w:rFonts w:ascii="Arial" w:hAnsi="Arial" w:cs="Arial"/>
          <w:i/>
          <w:sz w:val="20"/>
          <w:szCs w:val="20"/>
        </w:rPr>
        <w:t xml:space="preserve">Starobní důchody pobírají častěji ženy než muži a pobírají je déle. Výše důchodů žen je ale v průměru nižší než výše důchodu mužů. </w:t>
      </w:r>
      <w:r w:rsidRPr="00D37217">
        <w:rPr>
          <w:rFonts w:ascii="Arial" w:hAnsi="Arial" w:cs="Arial"/>
          <w:i/>
          <w:sz w:val="20"/>
          <w:szCs w:val="20"/>
        </w:rPr>
        <w:br/>
        <w:t xml:space="preserve"> Ženy odcházejí do důchodu </w:t>
      </w:r>
      <w:r>
        <w:rPr>
          <w:rFonts w:ascii="Arial" w:hAnsi="Arial" w:cs="Arial"/>
          <w:i/>
          <w:sz w:val="20"/>
          <w:szCs w:val="20"/>
        </w:rPr>
        <w:t xml:space="preserve">stále ještě </w:t>
      </w:r>
      <w:r w:rsidRPr="00D37217">
        <w:rPr>
          <w:rFonts w:ascii="Arial" w:hAnsi="Arial" w:cs="Arial"/>
          <w:i/>
          <w:sz w:val="20"/>
          <w:szCs w:val="20"/>
        </w:rPr>
        <w:t>o něco dříve</w:t>
      </w:r>
      <w:r w:rsidR="00825B57">
        <w:rPr>
          <w:rFonts w:ascii="Arial" w:hAnsi="Arial" w:cs="Arial"/>
          <w:i/>
          <w:sz w:val="20"/>
          <w:szCs w:val="20"/>
        </w:rPr>
        <w:t xml:space="preserve"> než muži</w:t>
      </w:r>
      <w:r w:rsidRPr="00D37217">
        <w:rPr>
          <w:rFonts w:ascii="Arial" w:hAnsi="Arial" w:cs="Arial"/>
          <w:i/>
          <w:sz w:val="20"/>
          <w:szCs w:val="20"/>
        </w:rPr>
        <w:t>. Celkově pobíralo k 31. 12. 201</w:t>
      </w:r>
      <w:r w:rsidR="004721BB">
        <w:rPr>
          <w:rFonts w:ascii="Arial" w:hAnsi="Arial" w:cs="Arial"/>
          <w:i/>
          <w:sz w:val="20"/>
          <w:szCs w:val="20"/>
        </w:rPr>
        <w:t>9</w:t>
      </w:r>
      <w:r w:rsidRPr="00D37217">
        <w:rPr>
          <w:rFonts w:ascii="Arial" w:hAnsi="Arial" w:cs="Arial"/>
          <w:i/>
          <w:sz w:val="20"/>
          <w:szCs w:val="20"/>
        </w:rPr>
        <w:t xml:space="preserve"> starobní důchod</w:t>
      </w:r>
      <w:r w:rsidR="004721BB">
        <w:rPr>
          <w:rFonts w:ascii="Arial" w:hAnsi="Arial" w:cs="Arial"/>
          <w:i/>
          <w:sz w:val="20"/>
          <w:szCs w:val="20"/>
        </w:rPr>
        <w:t xml:space="preserve"> </w:t>
      </w:r>
      <w:r w:rsidR="004721BB" w:rsidRPr="00EE41EC">
        <w:rPr>
          <w:rFonts w:ascii="Arial" w:hAnsi="Arial" w:cs="Arial"/>
          <w:i/>
          <w:sz w:val="20"/>
          <w:szCs w:val="20"/>
        </w:rPr>
        <w:t>sólo</w:t>
      </w:r>
      <w:r w:rsidRPr="00D37217">
        <w:rPr>
          <w:rFonts w:ascii="Arial" w:hAnsi="Arial" w:cs="Arial"/>
          <w:i/>
          <w:sz w:val="20"/>
          <w:szCs w:val="20"/>
        </w:rPr>
        <w:t xml:space="preserve"> 1 </w:t>
      </w:r>
      <w:r w:rsidR="004721BB">
        <w:rPr>
          <w:rFonts w:ascii="Arial" w:hAnsi="Arial" w:cs="Arial"/>
          <w:i/>
          <w:sz w:val="20"/>
          <w:szCs w:val="20"/>
        </w:rPr>
        <w:t>817</w:t>
      </w:r>
      <w:r w:rsidRPr="00D37217">
        <w:rPr>
          <w:rFonts w:ascii="Arial" w:hAnsi="Arial" w:cs="Arial"/>
          <w:i/>
          <w:sz w:val="20"/>
          <w:szCs w:val="20"/>
        </w:rPr>
        <w:t> </w:t>
      </w:r>
      <w:r w:rsidR="004721BB">
        <w:rPr>
          <w:rFonts w:ascii="Arial" w:hAnsi="Arial" w:cs="Arial"/>
          <w:i/>
          <w:sz w:val="20"/>
          <w:szCs w:val="20"/>
        </w:rPr>
        <w:t>406</w:t>
      </w:r>
      <w:r w:rsidRPr="00D37217">
        <w:rPr>
          <w:rFonts w:ascii="Arial" w:hAnsi="Arial" w:cs="Arial"/>
          <w:i/>
          <w:sz w:val="20"/>
          <w:szCs w:val="20"/>
        </w:rPr>
        <w:t xml:space="preserve"> osob (z toho 5</w:t>
      </w:r>
      <w:r w:rsidR="004721BB">
        <w:rPr>
          <w:rFonts w:ascii="Arial" w:hAnsi="Arial" w:cs="Arial"/>
          <w:i/>
          <w:sz w:val="20"/>
          <w:szCs w:val="20"/>
        </w:rPr>
        <w:t>2</w:t>
      </w:r>
      <w:r w:rsidRPr="00D37217">
        <w:rPr>
          <w:rFonts w:ascii="Arial" w:hAnsi="Arial" w:cs="Arial"/>
          <w:i/>
          <w:sz w:val="20"/>
          <w:szCs w:val="20"/>
        </w:rPr>
        <w:t>,</w:t>
      </w:r>
      <w:r w:rsidR="004721BB">
        <w:rPr>
          <w:rFonts w:ascii="Arial" w:hAnsi="Arial" w:cs="Arial"/>
          <w:i/>
          <w:sz w:val="20"/>
          <w:szCs w:val="20"/>
        </w:rPr>
        <w:t>5</w:t>
      </w:r>
      <w:r w:rsidRPr="00D37217">
        <w:rPr>
          <w:rFonts w:ascii="Arial" w:hAnsi="Arial" w:cs="Arial"/>
          <w:i/>
          <w:sz w:val="20"/>
          <w:szCs w:val="20"/>
        </w:rPr>
        <w:t xml:space="preserve"> % žen). </w:t>
      </w:r>
    </w:p>
    <w:p w:rsidR="007B7498" w:rsidRPr="00EE41EC" w:rsidRDefault="007B7498" w:rsidP="004721BB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 w:rsidRPr="003C079B">
        <w:rPr>
          <w:rFonts w:ascii="Arial" w:hAnsi="Arial" w:cs="Arial"/>
          <w:i/>
          <w:sz w:val="20"/>
          <w:szCs w:val="20"/>
        </w:rPr>
        <w:t>Podíváme-li se na průměrnou měsíční výši starobních důchodů, zjistíme, že důchody do 1</w:t>
      </w:r>
      <w:r w:rsidR="004721BB">
        <w:rPr>
          <w:rFonts w:ascii="Arial" w:hAnsi="Arial" w:cs="Arial"/>
          <w:i/>
          <w:sz w:val="20"/>
          <w:szCs w:val="20"/>
        </w:rPr>
        <w:t>3</w:t>
      </w:r>
      <w:r w:rsidRPr="003C079B">
        <w:rPr>
          <w:rFonts w:ascii="Arial" w:hAnsi="Arial" w:cs="Arial"/>
          <w:i/>
          <w:sz w:val="20"/>
          <w:szCs w:val="20"/>
        </w:rPr>
        <w:t> 999 Kč pobírají častěji ženy. Muži zase převažují mezi příjemci důchodů vyšších než 1</w:t>
      </w:r>
      <w:r w:rsidR="009D3269">
        <w:rPr>
          <w:rFonts w:ascii="Arial" w:hAnsi="Arial" w:cs="Arial"/>
          <w:i/>
          <w:sz w:val="20"/>
          <w:szCs w:val="20"/>
        </w:rPr>
        <w:t>4</w:t>
      </w:r>
      <w:r w:rsidRPr="003C079B">
        <w:rPr>
          <w:rFonts w:ascii="Arial" w:hAnsi="Arial" w:cs="Arial"/>
          <w:i/>
          <w:sz w:val="20"/>
          <w:szCs w:val="20"/>
        </w:rPr>
        <w:t> 000 Kč. Podíl žen mezi pobírateli průměrného měsíčního</w:t>
      </w:r>
      <w:r w:rsidR="009D3269">
        <w:rPr>
          <w:rFonts w:ascii="Arial" w:hAnsi="Arial" w:cs="Arial"/>
          <w:i/>
          <w:sz w:val="20"/>
          <w:szCs w:val="20"/>
        </w:rPr>
        <w:t xml:space="preserve"> starobního </w:t>
      </w:r>
      <w:r w:rsidR="009D3269" w:rsidRPr="00EE41EC">
        <w:rPr>
          <w:rFonts w:ascii="Arial" w:hAnsi="Arial" w:cs="Arial"/>
          <w:i/>
          <w:sz w:val="20"/>
          <w:szCs w:val="20"/>
        </w:rPr>
        <w:t>sólo</w:t>
      </w:r>
      <w:r w:rsidRPr="003C079B">
        <w:rPr>
          <w:rFonts w:ascii="Arial" w:hAnsi="Arial" w:cs="Arial"/>
          <w:i/>
          <w:sz w:val="20"/>
          <w:szCs w:val="20"/>
        </w:rPr>
        <w:t xml:space="preserve"> důchodu do </w:t>
      </w:r>
      <w:r w:rsidR="009D3269">
        <w:rPr>
          <w:rFonts w:ascii="Arial" w:hAnsi="Arial" w:cs="Arial"/>
          <w:i/>
          <w:sz w:val="20"/>
          <w:szCs w:val="20"/>
        </w:rPr>
        <w:t>13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C079B">
        <w:rPr>
          <w:rFonts w:ascii="Arial" w:hAnsi="Arial" w:cs="Arial"/>
          <w:i/>
          <w:sz w:val="20"/>
          <w:szCs w:val="20"/>
        </w:rPr>
        <w:t xml:space="preserve">999 Kč činil </w:t>
      </w:r>
      <w:r w:rsidR="009D3269">
        <w:rPr>
          <w:rFonts w:ascii="Arial" w:hAnsi="Arial" w:cs="Arial"/>
          <w:i/>
          <w:sz w:val="20"/>
          <w:szCs w:val="20"/>
        </w:rPr>
        <w:t>téměř 70</w:t>
      </w:r>
      <w:r w:rsidRPr="003C079B">
        <w:rPr>
          <w:rFonts w:ascii="Arial" w:hAnsi="Arial" w:cs="Arial"/>
          <w:i/>
          <w:sz w:val="20"/>
          <w:szCs w:val="20"/>
        </w:rPr>
        <w:t xml:space="preserve"> %. Zaměříme-li se na průměrné měsíční důchody ve výši 1</w:t>
      </w:r>
      <w:r w:rsidR="009D3269">
        <w:rPr>
          <w:rFonts w:ascii="Arial" w:hAnsi="Arial" w:cs="Arial"/>
          <w:i/>
          <w:sz w:val="20"/>
          <w:szCs w:val="20"/>
        </w:rPr>
        <w:t>4</w:t>
      </w:r>
      <w:r w:rsidRPr="003C079B">
        <w:rPr>
          <w:rFonts w:ascii="Arial" w:hAnsi="Arial" w:cs="Arial"/>
          <w:i/>
          <w:sz w:val="20"/>
          <w:szCs w:val="20"/>
        </w:rPr>
        <w:t xml:space="preserve"> 000 a více korun, zjišťujeme, že se poměr obou pohlaví otáčí. V případě takto vysokých důchodů představuje podíl žen již jen </w:t>
      </w:r>
      <w:r w:rsidR="009D3269">
        <w:rPr>
          <w:rFonts w:ascii="Arial" w:hAnsi="Arial" w:cs="Arial"/>
          <w:i/>
          <w:sz w:val="20"/>
          <w:szCs w:val="20"/>
        </w:rPr>
        <w:t>28</w:t>
      </w:r>
      <w:r w:rsidRPr="003C079B">
        <w:rPr>
          <w:rFonts w:ascii="Arial" w:hAnsi="Arial" w:cs="Arial"/>
          <w:i/>
          <w:sz w:val="20"/>
          <w:szCs w:val="20"/>
        </w:rPr>
        <w:t xml:space="preserve"> %. Vůbec nejvyšší podíl žen (</w:t>
      </w:r>
      <w:r w:rsidR="009D3269">
        <w:rPr>
          <w:rFonts w:ascii="Arial" w:hAnsi="Arial" w:cs="Arial"/>
          <w:i/>
          <w:sz w:val="20"/>
          <w:szCs w:val="20"/>
        </w:rPr>
        <w:t>přibližně</w:t>
      </w:r>
      <w:r w:rsidRPr="003C079B">
        <w:rPr>
          <w:rFonts w:ascii="Arial" w:hAnsi="Arial" w:cs="Arial"/>
          <w:i/>
          <w:sz w:val="20"/>
          <w:szCs w:val="20"/>
        </w:rPr>
        <w:t xml:space="preserve"> 8</w:t>
      </w:r>
      <w:r w:rsidR="009D3269">
        <w:rPr>
          <w:rFonts w:ascii="Arial" w:hAnsi="Arial" w:cs="Arial"/>
          <w:i/>
          <w:sz w:val="20"/>
          <w:szCs w:val="20"/>
        </w:rPr>
        <w:t>4</w:t>
      </w:r>
      <w:r w:rsidRPr="003C079B">
        <w:rPr>
          <w:rFonts w:ascii="Arial" w:hAnsi="Arial" w:cs="Arial"/>
          <w:i/>
          <w:sz w:val="20"/>
          <w:szCs w:val="20"/>
        </w:rPr>
        <w:t>%) byl zjištěn u příjemců starobních důchodů</w:t>
      </w:r>
      <w:r w:rsidR="009D3269">
        <w:rPr>
          <w:rFonts w:ascii="Arial" w:hAnsi="Arial" w:cs="Arial"/>
          <w:i/>
          <w:sz w:val="20"/>
          <w:szCs w:val="20"/>
        </w:rPr>
        <w:t xml:space="preserve"> </w:t>
      </w:r>
      <w:r w:rsidR="009D3269" w:rsidRPr="00EE41EC">
        <w:rPr>
          <w:rFonts w:ascii="Arial" w:hAnsi="Arial" w:cs="Arial"/>
          <w:i/>
          <w:sz w:val="20"/>
          <w:szCs w:val="20"/>
        </w:rPr>
        <w:t>sólo</w:t>
      </w:r>
      <w:r w:rsidRPr="00EE41EC">
        <w:rPr>
          <w:rFonts w:ascii="Arial" w:hAnsi="Arial" w:cs="Arial"/>
          <w:i/>
          <w:sz w:val="20"/>
          <w:szCs w:val="20"/>
        </w:rPr>
        <w:t xml:space="preserve"> v</w:t>
      </w:r>
      <w:r w:rsidRPr="003C079B">
        <w:rPr>
          <w:rFonts w:ascii="Arial" w:hAnsi="Arial" w:cs="Arial"/>
          <w:i/>
          <w:sz w:val="20"/>
          <w:szCs w:val="20"/>
        </w:rPr>
        <w:t xml:space="preserve"> průměrné výši od </w:t>
      </w:r>
      <w:r w:rsidR="009D3269">
        <w:rPr>
          <w:rFonts w:ascii="Arial" w:hAnsi="Arial" w:cs="Arial"/>
          <w:i/>
          <w:sz w:val="20"/>
          <w:szCs w:val="20"/>
        </w:rPr>
        <w:t>9</w:t>
      </w:r>
      <w:r w:rsidRPr="003C079B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>0</w:t>
      </w:r>
      <w:r w:rsidRPr="003C079B">
        <w:rPr>
          <w:rFonts w:ascii="Arial" w:hAnsi="Arial" w:cs="Arial"/>
          <w:i/>
          <w:sz w:val="20"/>
          <w:szCs w:val="20"/>
        </w:rPr>
        <w:t xml:space="preserve">00 do </w:t>
      </w:r>
      <w:r w:rsidR="009D3269">
        <w:rPr>
          <w:rFonts w:ascii="Arial" w:hAnsi="Arial" w:cs="Arial"/>
          <w:i/>
          <w:sz w:val="20"/>
          <w:szCs w:val="20"/>
        </w:rPr>
        <w:t>9</w:t>
      </w:r>
      <w:r w:rsidRPr="003C079B">
        <w:rPr>
          <w:rFonts w:ascii="Arial" w:hAnsi="Arial" w:cs="Arial"/>
          <w:i/>
          <w:sz w:val="20"/>
          <w:szCs w:val="20"/>
        </w:rPr>
        <w:t> 999 Kč</w:t>
      </w:r>
      <w:r w:rsidR="009D3269">
        <w:rPr>
          <w:rFonts w:ascii="Arial" w:hAnsi="Arial" w:cs="Arial"/>
          <w:i/>
          <w:sz w:val="20"/>
          <w:szCs w:val="20"/>
        </w:rPr>
        <w:t xml:space="preserve">, ale i v následující kategorii, tedy od </w:t>
      </w:r>
      <w:r w:rsidR="00A56244">
        <w:rPr>
          <w:rFonts w:ascii="Arial" w:hAnsi="Arial" w:cs="Arial"/>
          <w:i/>
          <w:sz w:val="20"/>
          <w:szCs w:val="20"/>
        </w:rPr>
        <w:t xml:space="preserve">10 </w:t>
      </w:r>
      <w:r w:rsidR="009D3269">
        <w:rPr>
          <w:rFonts w:ascii="Arial" w:hAnsi="Arial" w:cs="Arial"/>
          <w:i/>
          <w:sz w:val="20"/>
          <w:szCs w:val="20"/>
        </w:rPr>
        <w:t>0</w:t>
      </w:r>
      <w:r w:rsidR="009D3269" w:rsidRPr="003C079B">
        <w:rPr>
          <w:rFonts w:ascii="Arial" w:hAnsi="Arial" w:cs="Arial"/>
          <w:i/>
          <w:sz w:val="20"/>
          <w:szCs w:val="20"/>
        </w:rPr>
        <w:t xml:space="preserve">00 do </w:t>
      </w:r>
      <w:r w:rsidR="00A56244">
        <w:rPr>
          <w:rFonts w:ascii="Arial" w:hAnsi="Arial" w:cs="Arial"/>
          <w:i/>
          <w:sz w:val="20"/>
          <w:szCs w:val="20"/>
        </w:rPr>
        <w:t>10</w:t>
      </w:r>
      <w:r w:rsidR="009D3269" w:rsidRPr="003C079B">
        <w:rPr>
          <w:rFonts w:ascii="Arial" w:hAnsi="Arial" w:cs="Arial"/>
          <w:i/>
          <w:sz w:val="20"/>
          <w:szCs w:val="20"/>
        </w:rPr>
        <w:t> 999 Kč</w:t>
      </w:r>
      <w:r w:rsidRPr="003C079B">
        <w:rPr>
          <w:rFonts w:ascii="Arial" w:hAnsi="Arial" w:cs="Arial"/>
          <w:i/>
          <w:sz w:val="20"/>
          <w:szCs w:val="20"/>
        </w:rPr>
        <w:t>. Nejnižší podíly žen potom vykazovali senioři se starobním důchodem</w:t>
      </w:r>
      <w:r w:rsidR="00A56244">
        <w:rPr>
          <w:rFonts w:ascii="Arial" w:hAnsi="Arial" w:cs="Arial"/>
          <w:i/>
          <w:sz w:val="20"/>
          <w:szCs w:val="20"/>
        </w:rPr>
        <w:t xml:space="preserve"> </w:t>
      </w:r>
      <w:r w:rsidR="00A56244" w:rsidRPr="00EE41EC">
        <w:rPr>
          <w:rFonts w:ascii="Arial" w:hAnsi="Arial" w:cs="Arial"/>
          <w:i/>
          <w:sz w:val="20"/>
          <w:szCs w:val="20"/>
        </w:rPr>
        <w:t>sólo</w:t>
      </w:r>
      <w:r w:rsidRPr="00EE41EC">
        <w:rPr>
          <w:rFonts w:ascii="Arial" w:hAnsi="Arial" w:cs="Arial"/>
          <w:i/>
          <w:sz w:val="20"/>
          <w:szCs w:val="20"/>
        </w:rPr>
        <w:t xml:space="preserve"> v průměrné výši od 1</w:t>
      </w:r>
      <w:r w:rsidR="00A56244" w:rsidRPr="00EE41EC">
        <w:rPr>
          <w:rFonts w:ascii="Arial" w:hAnsi="Arial" w:cs="Arial"/>
          <w:i/>
          <w:sz w:val="20"/>
          <w:szCs w:val="20"/>
        </w:rPr>
        <w:t>7</w:t>
      </w:r>
      <w:r w:rsidRPr="00EE41EC">
        <w:rPr>
          <w:rFonts w:ascii="Arial" w:hAnsi="Arial" w:cs="Arial"/>
          <w:i/>
          <w:sz w:val="20"/>
          <w:szCs w:val="20"/>
        </w:rPr>
        <w:t> 000 do 1</w:t>
      </w:r>
      <w:r w:rsidR="00A56244" w:rsidRPr="00EE41EC">
        <w:rPr>
          <w:rFonts w:ascii="Arial" w:hAnsi="Arial" w:cs="Arial"/>
          <w:i/>
          <w:sz w:val="20"/>
          <w:szCs w:val="20"/>
        </w:rPr>
        <w:t>7</w:t>
      </w:r>
      <w:r w:rsidRPr="00EE41EC">
        <w:rPr>
          <w:rFonts w:ascii="Arial" w:hAnsi="Arial" w:cs="Arial"/>
          <w:i/>
          <w:sz w:val="20"/>
          <w:szCs w:val="20"/>
        </w:rPr>
        <w:t> 999 korun (1</w:t>
      </w:r>
      <w:r w:rsidR="00A56244" w:rsidRPr="00EE41EC">
        <w:rPr>
          <w:rFonts w:ascii="Arial" w:hAnsi="Arial" w:cs="Arial"/>
          <w:i/>
          <w:sz w:val="20"/>
          <w:szCs w:val="20"/>
        </w:rPr>
        <w:t>5</w:t>
      </w:r>
      <w:r w:rsidRPr="00EE41EC">
        <w:rPr>
          <w:rFonts w:ascii="Arial" w:hAnsi="Arial" w:cs="Arial"/>
          <w:i/>
          <w:sz w:val="20"/>
          <w:szCs w:val="20"/>
        </w:rPr>
        <w:t>%</w:t>
      </w:r>
      <w:r w:rsidR="00A56244" w:rsidRPr="00EE41EC">
        <w:rPr>
          <w:rFonts w:ascii="Arial" w:hAnsi="Arial" w:cs="Arial"/>
          <w:i/>
          <w:sz w:val="20"/>
          <w:szCs w:val="20"/>
        </w:rPr>
        <w:t xml:space="preserve"> podíl</w:t>
      </w:r>
      <w:r w:rsidRPr="00EE41EC">
        <w:rPr>
          <w:rFonts w:ascii="Arial" w:hAnsi="Arial" w:cs="Arial"/>
          <w:i/>
          <w:sz w:val="20"/>
          <w:szCs w:val="20"/>
        </w:rPr>
        <w:t>).</w:t>
      </w:r>
    </w:p>
    <w:p w:rsidR="00F73AD9" w:rsidRDefault="00F73AD9" w:rsidP="004721BB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EE41EC">
        <w:rPr>
          <w:rFonts w:ascii="Arial" w:hAnsi="Arial" w:cs="Arial"/>
          <w:i/>
          <w:sz w:val="20"/>
          <w:szCs w:val="20"/>
        </w:rPr>
        <w:t xml:space="preserve"> Podíl žen pobírajících starobní důchod sólo ve výši 15 000 a více korun činí necelých 23 %. Výše důchodů sice v poslední době stoupala – ale vidíme</w:t>
      </w:r>
      <w:r>
        <w:rPr>
          <w:rFonts w:ascii="Arial" w:hAnsi="Arial" w:cs="Arial"/>
          <w:i/>
          <w:sz w:val="20"/>
          <w:szCs w:val="20"/>
        </w:rPr>
        <w:t xml:space="preserve">, že zvláště v případě vyšších důchodů </w:t>
      </w:r>
      <w:r w:rsidR="00BB0F84">
        <w:rPr>
          <w:rFonts w:ascii="Arial" w:hAnsi="Arial" w:cs="Arial"/>
          <w:i/>
          <w:sz w:val="20"/>
          <w:szCs w:val="20"/>
        </w:rPr>
        <w:t>je Gender Pension Gap stále velice výrazný</w:t>
      </w:r>
      <w:r>
        <w:rPr>
          <w:rFonts w:ascii="Arial" w:hAnsi="Arial" w:cs="Arial"/>
          <w:i/>
          <w:sz w:val="20"/>
          <w:szCs w:val="20"/>
        </w:rPr>
        <w:t xml:space="preserve">. </w:t>
      </w:r>
    </w:p>
    <w:p w:rsidR="00170E4E" w:rsidRDefault="00170E4E" w:rsidP="005E1FD5">
      <w:pPr>
        <w:pStyle w:val="Bezmezer"/>
        <w:rPr>
          <w:rFonts w:ascii="Arial" w:hAnsi="Arial" w:cs="Arial"/>
        </w:rPr>
      </w:pPr>
    </w:p>
    <w:p w:rsidR="007B7498" w:rsidRDefault="008A2CE8" w:rsidP="005E1FD5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9EF484B">
            <wp:extent cx="3667125" cy="25229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63" cy="2526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498" w:rsidRDefault="008A2CE8" w:rsidP="005E1FD5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4BDC30C">
            <wp:extent cx="3435389" cy="2374265"/>
            <wp:effectExtent l="0" t="0" r="0" b="698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643" cy="238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498" w:rsidRDefault="007B7498" w:rsidP="005E1FD5">
      <w:pPr>
        <w:pStyle w:val="Bezmezer"/>
        <w:rPr>
          <w:rFonts w:ascii="Arial" w:hAnsi="Arial" w:cs="Arial"/>
        </w:rPr>
      </w:pPr>
    </w:p>
    <w:p w:rsidR="00A9768B" w:rsidRDefault="00A9768B" w:rsidP="005E1FD5">
      <w:pPr>
        <w:pStyle w:val="Bezmezer"/>
        <w:rPr>
          <w:rFonts w:ascii="Arial" w:hAnsi="Arial" w:cs="Arial"/>
        </w:rPr>
      </w:pPr>
    </w:p>
    <w:p w:rsidR="00A9768B" w:rsidRDefault="00A9768B" w:rsidP="00A9768B">
      <w:pPr>
        <w:pStyle w:val="Nadpis1"/>
        <w:spacing w:line="288" w:lineRule="auto"/>
      </w:pPr>
      <w:r>
        <w:t>Invalidní důchody podle stupňů nemohoucnosti a průměrné měsíční výše důchodu (struktura podle pohlaví) k 31. 12. 2019</w:t>
      </w:r>
    </w:p>
    <w:p w:rsidR="00A9768B" w:rsidRDefault="00A9768B" w:rsidP="00A9768B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(Graf </w:t>
      </w:r>
      <w:r w:rsidR="00815698" w:rsidRPr="00815698">
        <w:rPr>
          <w:rFonts w:ascii="Arial" w:hAnsi="Arial" w:cs="Arial"/>
          <w:i/>
          <w:iCs/>
          <w:color w:val="000000"/>
          <w:sz w:val="20"/>
          <w:szCs w:val="16"/>
        </w:rPr>
        <w:t>2</w:t>
      </w:r>
      <w:r w:rsidR="00815698">
        <w:rPr>
          <w:rFonts w:ascii="Arial" w:hAnsi="Arial" w:cs="Arial"/>
          <w:i/>
          <w:iCs/>
          <w:color w:val="000000"/>
          <w:sz w:val="20"/>
          <w:szCs w:val="16"/>
        </w:rPr>
        <w:t>5 a, b</w:t>
      </w:r>
      <w:r w:rsidRPr="00815698">
        <w:rPr>
          <w:rFonts w:ascii="Arial" w:hAnsi="Arial" w:cs="Arial"/>
          <w:i/>
          <w:iCs/>
          <w:color w:val="000000"/>
          <w:sz w:val="20"/>
          <w:szCs w:val="16"/>
        </w:rPr>
        <w:t>)</w:t>
      </w: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Zdroj: </w:t>
      </w:r>
      <w:r>
        <w:rPr>
          <w:rFonts w:ascii="Arial" w:hAnsi="Arial" w:cs="Arial"/>
          <w:color w:val="000000"/>
          <w:sz w:val="20"/>
          <w:szCs w:val="16"/>
        </w:rPr>
        <w:t>Česká správa sociálního zabezpečení (ČSSZ), 31. 12. 2019</w:t>
      </w: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 w:rsidRPr="00897BEA">
        <w:rPr>
          <w:rFonts w:ascii="Arial" w:hAnsi="Arial" w:cs="Arial"/>
          <w:iCs/>
          <w:sz w:val="20"/>
          <w:szCs w:val="20"/>
        </w:rPr>
        <w:t>S účinností od 1. ledna 2010 došlo k zavedení třístupňové invalidity a místo plných invalidních a částečných invalidních důchodů začaly být vypláceny invalidní důchody pro invaliditu I., II., a III. stupně (zákon č. 306/2008 Sb.).</w:t>
      </w:r>
      <w:r>
        <w:rPr>
          <w:rFonts w:ascii="Arial" w:hAnsi="Arial" w:cs="Arial"/>
          <w:iCs/>
          <w:sz w:val="20"/>
          <w:szCs w:val="20"/>
        </w:rPr>
        <w:t xml:space="preserve"> I. stupeň znamená pokles pracovní schopnosti nejméně o 35 %, u II. stupně se jedná nejméně o 50% a u III. nejméně o 70% pokles pracovní neschopnosti. </w:t>
      </w:r>
      <w:r>
        <w:rPr>
          <w:rFonts w:ascii="Arial" w:hAnsi="Arial" w:cs="Arial"/>
          <w:color w:val="000000"/>
          <w:sz w:val="20"/>
          <w:szCs w:val="16"/>
        </w:rPr>
        <w:t>Data jsou uváděna k 31. 12.</w:t>
      </w:r>
      <w:r w:rsidR="00F849CC">
        <w:rPr>
          <w:rFonts w:ascii="Arial" w:hAnsi="Arial" w:cs="Arial"/>
          <w:color w:val="000000"/>
          <w:sz w:val="20"/>
          <w:szCs w:val="16"/>
        </w:rPr>
        <w:t xml:space="preserve"> </w:t>
      </w:r>
      <w:r w:rsidR="00EE41EC">
        <w:rPr>
          <w:rFonts w:ascii="Arial" w:hAnsi="Arial" w:cs="Arial"/>
          <w:color w:val="000000"/>
          <w:sz w:val="20"/>
          <w:szCs w:val="16"/>
        </w:rPr>
        <w:t>daného roku.</w:t>
      </w:r>
      <w:r>
        <w:rPr>
          <w:rFonts w:ascii="Arial" w:hAnsi="Arial" w:cs="Arial"/>
          <w:color w:val="000000"/>
          <w:sz w:val="20"/>
          <w:szCs w:val="16"/>
        </w:rPr>
        <w:t xml:space="preserve"> </w:t>
      </w: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K 31. 12. 2019 byla nějaká z forem invalidního důchodu vyplacena </w:t>
      </w:r>
      <w:r w:rsidR="00C87D44">
        <w:rPr>
          <w:rFonts w:ascii="Arial" w:hAnsi="Arial" w:cs="Arial"/>
          <w:i/>
          <w:iCs/>
          <w:color w:val="000000"/>
          <w:sz w:val="20"/>
          <w:szCs w:val="16"/>
        </w:rPr>
        <w:t>412 925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osobám. Invalidní důchod pobírali </w:t>
      </w:r>
      <w:r w:rsidR="00BB0F84">
        <w:rPr>
          <w:rFonts w:ascii="Arial" w:hAnsi="Arial" w:cs="Arial"/>
          <w:i/>
          <w:iCs/>
          <w:color w:val="000000"/>
          <w:sz w:val="20"/>
          <w:szCs w:val="16"/>
        </w:rPr>
        <w:t>muži z 52 a ženy ze 48 %</w:t>
      </w:r>
      <w:r>
        <w:rPr>
          <w:rFonts w:ascii="Arial" w:hAnsi="Arial" w:cs="Arial"/>
          <w:i/>
          <w:iCs/>
          <w:color w:val="000000"/>
          <w:sz w:val="20"/>
          <w:szCs w:val="16"/>
        </w:rPr>
        <w:t>.</w:t>
      </w: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Podíl žen se v</w:t>
      </w:r>
      <w:r w:rsidR="00BB0F84">
        <w:rPr>
          <w:rFonts w:ascii="Arial" w:hAnsi="Arial" w:cs="Arial"/>
          <w:i/>
          <w:iCs/>
          <w:color w:val="000000"/>
          <w:sz w:val="20"/>
          <w:szCs w:val="16"/>
        </w:rPr>
        <w:t> ani jednom stupni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nemohoucnosti příliš nemění. </w:t>
      </w:r>
    </w:p>
    <w:p w:rsidR="00263BA1" w:rsidRDefault="00F849CC" w:rsidP="00E02BE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V</w:t>
      </w:r>
      <w:r w:rsidR="00A9768B">
        <w:rPr>
          <w:rFonts w:ascii="Arial" w:hAnsi="Arial" w:cs="Arial"/>
          <w:i/>
          <w:iCs/>
          <w:color w:val="000000"/>
          <w:sz w:val="20"/>
          <w:szCs w:val="16"/>
        </w:rPr>
        <w:t>iditelně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se </w:t>
      </w:r>
      <w:r w:rsidRPr="00EE41EC">
        <w:rPr>
          <w:rFonts w:ascii="Arial" w:hAnsi="Arial" w:cs="Arial"/>
          <w:i/>
          <w:iCs/>
          <w:color w:val="000000"/>
          <w:sz w:val="20"/>
          <w:szCs w:val="16"/>
        </w:rPr>
        <w:t>však</w:t>
      </w:r>
      <w:r w:rsidR="00A9768B">
        <w:rPr>
          <w:rFonts w:ascii="Arial" w:hAnsi="Arial" w:cs="Arial"/>
          <w:i/>
          <w:iCs/>
          <w:color w:val="000000"/>
          <w:sz w:val="20"/>
          <w:szCs w:val="16"/>
        </w:rPr>
        <w:t xml:space="preserve"> mění v závislosti na průměrné výši příjmu důchodu. Ženy převažují mezi příjemci důchodů</w:t>
      </w:r>
      <w:r w:rsidR="00263BA1">
        <w:rPr>
          <w:rFonts w:ascii="Arial" w:hAnsi="Arial" w:cs="Arial"/>
          <w:i/>
          <w:iCs/>
          <w:color w:val="000000"/>
          <w:sz w:val="20"/>
          <w:szCs w:val="16"/>
        </w:rPr>
        <w:t xml:space="preserve"> I. stupně do jeho výše 7 999 Kč. V případě obou vyšších stupňů invalidity ženy mezi jejich příjemci převládají až do výše důchodu 9 999 Kč.  </w:t>
      </w:r>
      <w:r w:rsidR="00A9768B"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</w:p>
    <w:p w:rsidR="00A9768B" w:rsidRDefault="00A9768B" w:rsidP="00E02BE8">
      <w:pPr>
        <w:autoSpaceDE w:val="0"/>
        <w:autoSpaceDN w:val="0"/>
        <w:adjustRightInd w:val="0"/>
        <w:ind w:firstLine="567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V</w:t>
      </w:r>
      <w:r w:rsidR="00263BA1">
        <w:rPr>
          <w:rFonts w:ascii="Arial" w:hAnsi="Arial" w:cs="Arial"/>
          <w:i/>
          <w:iCs/>
          <w:color w:val="000000"/>
          <w:sz w:val="20"/>
          <w:szCs w:val="16"/>
        </w:rPr>
        <w:t> případě osob pobírajících invalidní důchod do 9 999 Kč je však třeba dodat,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že se nejedná o příliš početné soubory osob</w:t>
      </w:r>
      <w:r w:rsidR="00263BA1">
        <w:rPr>
          <w:rFonts w:ascii="Arial" w:hAnsi="Arial" w:cs="Arial"/>
          <w:i/>
          <w:iCs/>
          <w:color w:val="000000"/>
          <w:sz w:val="20"/>
          <w:szCs w:val="16"/>
        </w:rPr>
        <w:t>, zejména u II. a III. stupně invalidity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.  </w:t>
      </w: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Příjemci invalidního důchodu pobírali nejčastěji invalidní důchod III. stupně, kde se jednalo o více než 70% pokles pracovní neschopnosti. Představovali </w:t>
      </w:r>
      <w:r w:rsidR="001679F2">
        <w:rPr>
          <w:rFonts w:ascii="Arial" w:hAnsi="Arial" w:cs="Arial"/>
          <w:i/>
          <w:iCs/>
          <w:color w:val="000000"/>
          <w:sz w:val="20"/>
          <w:szCs w:val="16"/>
        </w:rPr>
        <w:t>46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 všech příjemců invalidního důchodu</w:t>
      </w:r>
      <w:r w:rsidR="001679F2">
        <w:rPr>
          <w:rFonts w:ascii="Arial" w:hAnsi="Arial" w:cs="Arial"/>
          <w:i/>
          <w:iCs/>
          <w:color w:val="000000"/>
          <w:sz w:val="20"/>
          <w:szCs w:val="16"/>
        </w:rPr>
        <w:t xml:space="preserve"> (což je pokles o 8 procentních bodů oproti stavu k 31. 12. 2010)</w:t>
      </w:r>
      <w:r>
        <w:rPr>
          <w:rFonts w:ascii="Arial" w:hAnsi="Arial" w:cs="Arial"/>
          <w:i/>
          <w:iCs/>
          <w:color w:val="000000"/>
          <w:sz w:val="20"/>
          <w:szCs w:val="16"/>
        </w:rPr>
        <w:t>. Na druhém místě figurovali ti, kteří pobírali invalidní důchody s prvním stupněm nemohoucnosti (3</w:t>
      </w:r>
      <w:r w:rsidR="006D0E59">
        <w:rPr>
          <w:rFonts w:ascii="Arial" w:hAnsi="Arial" w:cs="Arial"/>
          <w:i/>
          <w:iCs/>
          <w:color w:val="000000"/>
          <w:sz w:val="20"/>
          <w:szCs w:val="16"/>
        </w:rPr>
        <w:t>8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%).</w:t>
      </w:r>
      <w:r w:rsidR="006D0E59">
        <w:rPr>
          <w:rFonts w:ascii="Arial" w:hAnsi="Arial" w:cs="Arial"/>
          <w:i/>
          <w:iCs/>
          <w:color w:val="000000"/>
          <w:sz w:val="20"/>
          <w:szCs w:val="16"/>
        </w:rPr>
        <w:t xml:space="preserve"> Zde se naopak podíl o šest procentních bodů oproti stavu k 31. 12. 2010 zvýšil.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Rozdíly podle pohlaví byly </w:t>
      </w:r>
      <w:r w:rsidR="006D0E59">
        <w:rPr>
          <w:rFonts w:ascii="Arial" w:hAnsi="Arial" w:cs="Arial"/>
          <w:i/>
          <w:iCs/>
          <w:color w:val="000000"/>
          <w:sz w:val="20"/>
          <w:szCs w:val="16"/>
        </w:rPr>
        <w:t>v obou případech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zanedbatelné.</w:t>
      </w: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Kromě toho, že muži pobírají invalidní důchody častěji než </w:t>
      </w:r>
      <w:r w:rsidRPr="00EE41EC">
        <w:rPr>
          <w:rFonts w:ascii="Arial" w:hAnsi="Arial" w:cs="Arial"/>
          <w:i/>
          <w:iCs/>
          <w:color w:val="000000"/>
          <w:sz w:val="20"/>
          <w:szCs w:val="16"/>
        </w:rPr>
        <w:t>ženy a že se tato jejich převaha ještě zvýrazňuje u nejvyššího stupně nemohoucnosti</w:t>
      </w:r>
      <w:r w:rsidR="00EE41EC">
        <w:rPr>
          <w:rFonts w:ascii="Arial" w:hAnsi="Arial" w:cs="Arial"/>
          <w:i/>
          <w:iCs/>
          <w:color w:val="000000"/>
          <w:sz w:val="20"/>
          <w:szCs w:val="16"/>
        </w:rPr>
        <w:t xml:space="preserve">, </w:t>
      </w:r>
      <w:r>
        <w:rPr>
          <w:rFonts w:ascii="Arial" w:hAnsi="Arial" w:cs="Arial"/>
          <w:i/>
          <w:iCs/>
          <w:color w:val="000000"/>
          <w:sz w:val="20"/>
          <w:szCs w:val="16"/>
        </w:rPr>
        <w:t>mají</w:t>
      </w:r>
      <w:r w:rsidR="00BB0F84">
        <w:rPr>
          <w:rFonts w:ascii="Arial" w:hAnsi="Arial" w:cs="Arial"/>
          <w:i/>
          <w:iCs/>
          <w:color w:val="000000"/>
          <w:sz w:val="20"/>
          <w:szCs w:val="16"/>
        </w:rPr>
        <w:t xml:space="preserve"> také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v průměru tyto důchody vyšší.</w:t>
      </w:r>
    </w:p>
    <w:p w:rsidR="00A9768B" w:rsidRDefault="00A9768B" w:rsidP="00A976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Podíváme- li se na invalidní důchody třetího stupně nemohoucnosti podle průměrné výše důchodu, zjišťujeme, že do </w:t>
      </w:r>
      <w:r w:rsidR="008F71F6">
        <w:rPr>
          <w:rFonts w:ascii="Arial" w:hAnsi="Arial" w:cs="Arial"/>
          <w:i/>
          <w:iCs/>
          <w:color w:val="000000"/>
          <w:sz w:val="20"/>
          <w:szCs w:val="16"/>
        </w:rPr>
        <w:t xml:space="preserve">13 </w:t>
      </w:r>
      <w:r>
        <w:rPr>
          <w:rFonts w:ascii="Arial" w:hAnsi="Arial" w:cs="Arial"/>
          <w:i/>
          <w:iCs/>
          <w:color w:val="000000"/>
          <w:sz w:val="20"/>
          <w:szCs w:val="16"/>
        </w:rPr>
        <w:t>999 Kč pobírá tyto důchody více žen než mužů</w:t>
      </w:r>
      <w:r w:rsidR="008F71F6">
        <w:rPr>
          <w:rFonts w:ascii="Arial" w:hAnsi="Arial" w:cs="Arial"/>
          <w:i/>
          <w:iCs/>
          <w:color w:val="000000"/>
          <w:sz w:val="20"/>
          <w:szCs w:val="16"/>
        </w:rPr>
        <w:t xml:space="preserve"> (56:44 %)</w:t>
      </w:r>
      <w:r>
        <w:rPr>
          <w:rFonts w:ascii="Arial" w:hAnsi="Arial" w:cs="Arial"/>
          <w:i/>
          <w:iCs/>
          <w:color w:val="000000"/>
          <w:sz w:val="20"/>
          <w:szCs w:val="16"/>
        </w:rPr>
        <w:t>, od 1</w:t>
      </w:r>
      <w:r w:rsidR="008F71F6">
        <w:rPr>
          <w:rFonts w:ascii="Arial" w:hAnsi="Arial" w:cs="Arial"/>
          <w:i/>
          <w:iCs/>
          <w:color w:val="000000"/>
          <w:sz w:val="20"/>
          <w:szCs w:val="16"/>
        </w:rPr>
        <w:t>4</w:t>
      </w:r>
      <w:r>
        <w:rPr>
          <w:rFonts w:ascii="Arial" w:hAnsi="Arial" w:cs="Arial"/>
          <w:i/>
          <w:iCs/>
          <w:color w:val="000000"/>
          <w:sz w:val="20"/>
          <w:szCs w:val="16"/>
        </w:rPr>
        <w:t> 000 Kč jsou mezi příjemci těchto důchodů převážně muži</w:t>
      </w:r>
      <w:r w:rsidR="008F71F6">
        <w:rPr>
          <w:rFonts w:ascii="Arial" w:hAnsi="Arial" w:cs="Arial"/>
          <w:i/>
          <w:iCs/>
          <w:color w:val="000000"/>
          <w:sz w:val="20"/>
          <w:szCs w:val="16"/>
        </w:rPr>
        <w:t xml:space="preserve"> (</w:t>
      </w:r>
      <w:r w:rsidR="006F151A">
        <w:rPr>
          <w:rFonts w:ascii="Arial" w:hAnsi="Arial" w:cs="Arial"/>
          <w:i/>
          <w:iCs/>
          <w:color w:val="000000"/>
          <w:sz w:val="20"/>
          <w:szCs w:val="16"/>
        </w:rPr>
        <w:t>57 % mužů)</w:t>
      </w:r>
      <w:r>
        <w:rPr>
          <w:rFonts w:ascii="Arial" w:hAnsi="Arial" w:cs="Arial"/>
          <w:i/>
          <w:iCs/>
          <w:color w:val="000000"/>
          <w:sz w:val="20"/>
          <w:szCs w:val="16"/>
        </w:rPr>
        <w:t>.</w:t>
      </w:r>
    </w:p>
    <w:p w:rsidR="00A9768B" w:rsidRDefault="00A9768B" w:rsidP="00A9768B">
      <w:pPr>
        <w:pStyle w:val="Bezmez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V případě invalidních důchodů prvního</w:t>
      </w:r>
      <w:r w:rsidR="006F151A">
        <w:rPr>
          <w:rFonts w:ascii="Arial" w:hAnsi="Arial" w:cs="Arial"/>
          <w:i/>
          <w:iCs/>
          <w:color w:val="000000"/>
          <w:sz w:val="20"/>
          <w:szCs w:val="16"/>
        </w:rPr>
        <w:t xml:space="preserve"> a druhého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stupně invalidity </w:t>
      </w:r>
      <w:r w:rsidR="006F151A">
        <w:rPr>
          <w:rFonts w:ascii="Arial" w:hAnsi="Arial" w:cs="Arial"/>
          <w:i/>
          <w:iCs/>
          <w:color w:val="000000"/>
          <w:sz w:val="20"/>
          <w:szCs w:val="16"/>
        </w:rPr>
        <w:t>jsou mezi příjemci početněji zastoupeni muži. Se zvyšující se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výší důchodů můžeme pozorovat</w:t>
      </w:r>
      <w:r w:rsidR="006F151A">
        <w:rPr>
          <w:rFonts w:ascii="Arial" w:hAnsi="Arial" w:cs="Arial"/>
          <w:i/>
          <w:iCs/>
          <w:color w:val="000000"/>
          <w:sz w:val="20"/>
          <w:szCs w:val="16"/>
        </w:rPr>
        <w:t xml:space="preserve"> rovněž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dominanci mužů</w:t>
      </w:r>
      <w:r w:rsidR="006F151A">
        <w:rPr>
          <w:rFonts w:ascii="Arial" w:hAnsi="Arial" w:cs="Arial"/>
          <w:i/>
          <w:iCs/>
          <w:color w:val="000000"/>
          <w:sz w:val="20"/>
          <w:szCs w:val="16"/>
        </w:rPr>
        <w:t xml:space="preserve"> mezi těmi, kdo tyto dávky pobírají.</w:t>
      </w:r>
    </w:p>
    <w:p w:rsidR="00A9768B" w:rsidRDefault="00A9768B" w:rsidP="005E1FD5">
      <w:pPr>
        <w:pStyle w:val="Bezmezer"/>
        <w:rPr>
          <w:rFonts w:ascii="Arial" w:hAnsi="Arial" w:cs="Arial"/>
        </w:rPr>
      </w:pPr>
    </w:p>
    <w:p w:rsidR="00A9768B" w:rsidRDefault="00A9768B" w:rsidP="005E1FD5">
      <w:pPr>
        <w:pStyle w:val="Bezmezer"/>
        <w:rPr>
          <w:rFonts w:ascii="Arial" w:hAnsi="Arial" w:cs="Arial"/>
        </w:rPr>
      </w:pPr>
    </w:p>
    <w:p w:rsidR="00A9768B" w:rsidRDefault="008A2CE8" w:rsidP="005E1FD5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7C169891">
            <wp:extent cx="4091940" cy="2308860"/>
            <wp:effectExtent l="0" t="0" r="381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23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68B" w:rsidRDefault="008A2CE8" w:rsidP="005E1FD5">
      <w:pPr>
        <w:pStyle w:val="Bezmez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2DB8A903">
            <wp:extent cx="4366260" cy="2407920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768B" w:rsidRDefault="00A9768B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C91C97" w:rsidRDefault="00C91C97" w:rsidP="005E1FD5">
      <w:pPr>
        <w:pStyle w:val="Bezmezer"/>
        <w:rPr>
          <w:rFonts w:ascii="Arial" w:hAnsi="Arial" w:cs="Arial"/>
        </w:rPr>
      </w:pPr>
    </w:p>
    <w:p w:rsidR="003611A3" w:rsidRDefault="003611A3" w:rsidP="005E1FD5">
      <w:pPr>
        <w:pStyle w:val="Bezmezer"/>
        <w:rPr>
          <w:rFonts w:ascii="Arial" w:hAnsi="Arial" w:cs="Arial"/>
        </w:rPr>
      </w:pPr>
      <w:bookmarkStart w:id="0" w:name="_GoBack"/>
      <w:bookmarkEnd w:id="0"/>
    </w:p>
    <w:sectPr w:rsidR="003611A3" w:rsidSect="00FE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5"/>
    <w:rsid w:val="00000395"/>
    <w:rsid w:val="00006E74"/>
    <w:rsid w:val="00034A27"/>
    <w:rsid w:val="00056055"/>
    <w:rsid w:val="000A43F5"/>
    <w:rsid w:val="000B0AED"/>
    <w:rsid w:val="000E0E1E"/>
    <w:rsid w:val="000E674F"/>
    <w:rsid w:val="0010376B"/>
    <w:rsid w:val="00113EA3"/>
    <w:rsid w:val="001679F2"/>
    <w:rsid w:val="00170E4E"/>
    <w:rsid w:val="00195BFD"/>
    <w:rsid w:val="001B5DB9"/>
    <w:rsid w:val="001C5B34"/>
    <w:rsid w:val="001C7169"/>
    <w:rsid w:val="001C73E4"/>
    <w:rsid w:val="00207E33"/>
    <w:rsid w:val="00227636"/>
    <w:rsid w:val="002572EE"/>
    <w:rsid w:val="00260292"/>
    <w:rsid w:val="00263BA1"/>
    <w:rsid w:val="00275CF2"/>
    <w:rsid w:val="0030316D"/>
    <w:rsid w:val="00311F8F"/>
    <w:rsid w:val="003611A3"/>
    <w:rsid w:val="00364F17"/>
    <w:rsid w:val="003733D0"/>
    <w:rsid w:val="00381EB7"/>
    <w:rsid w:val="0042021C"/>
    <w:rsid w:val="004631E3"/>
    <w:rsid w:val="004721BB"/>
    <w:rsid w:val="004C5BDD"/>
    <w:rsid w:val="004D1342"/>
    <w:rsid w:val="004D7114"/>
    <w:rsid w:val="00517F26"/>
    <w:rsid w:val="00531C5D"/>
    <w:rsid w:val="00536320"/>
    <w:rsid w:val="005372DE"/>
    <w:rsid w:val="00561DF4"/>
    <w:rsid w:val="00573001"/>
    <w:rsid w:val="00585854"/>
    <w:rsid w:val="0059751A"/>
    <w:rsid w:val="005A488A"/>
    <w:rsid w:val="005E1FD5"/>
    <w:rsid w:val="005F0EF9"/>
    <w:rsid w:val="0064603F"/>
    <w:rsid w:val="00686332"/>
    <w:rsid w:val="006C2C20"/>
    <w:rsid w:val="006D0E59"/>
    <w:rsid w:val="006F151A"/>
    <w:rsid w:val="00716689"/>
    <w:rsid w:val="007256EE"/>
    <w:rsid w:val="00727D33"/>
    <w:rsid w:val="00757A5D"/>
    <w:rsid w:val="007B2117"/>
    <w:rsid w:val="007B5A9B"/>
    <w:rsid w:val="007B7498"/>
    <w:rsid w:val="007C0D6B"/>
    <w:rsid w:val="007E3904"/>
    <w:rsid w:val="00815698"/>
    <w:rsid w:val="00825B57"/>
    <w:rsid w:val="00846CE0"/>
    <w:rsid w:val="008834EC"/>
    <w:rsid w:val="008924EE"/>
    <w:rsid w:val="008A2CE8"/>
    <w:rsid w:val="008C37A3"/>
    <w:rsid w:val="008C52A6"/>
    <w:rsid w:val="008C5818"/>
    <w:rsid w:val="008F71F6"/>
    <w:rsid w:val="0090145E"/>
    <w:rsid w:val="00992964"/>
    <w:rsid w:val="009B3F74"/>
    <w:rsid w:val="009D3269"/>
    <w:rsid w:val="009D7E93"/>
    <w:rsid w:val="009E079A"/>
    <w:rsid w:val="009E5696"/>
    <w:rsid w:val="009E6DD4"/>
    <w:rsid w:val="009F050C"/>
    <w:rsid w:val="00A1546E"/>
    <w:rsid w:val="00A24931"/>
    <w:rsid w:val="00A278A4"/>
    <w:rsid w:val="00A56244"/>
    <w:rsid w:val="00A62603"/>
    <w:rsid w:val="00A86306"/>
    <w:rsid w:val="00A9768B"/>
    <w:rsid w:val="00B233A0"/>
    <w:rsid w:val="00B8271C"/>
    <w:rsid w:val="00B87C4E"/>
    <w:rsid w:val="00BA3F40"/>
    <w:rsid w:val="00BB0F84"/>
    <w:rsid w:val="00BC01E2"/>
    <w:rsid w:val="00C34D7D"/>
    <w:rsid w:val="00C379C6"/>
    <w:rsid w:val="00C80A7C"/>
    <w:rsid w:val="00C87D44"/>
    <w:rsid w:val="00C91C50"/>
    <w:rsid w:val="00C91C97"/>
    <w:rsid w:val="00C97C4F"/>
    <w:rsid w:val="00CC0A28"/>
    <w:rsid w:val="00CD1DE0"/>
    <w:rsid w:val="00CF30B8"/>
    <w:rsid w:val="00D01B70"/>
    <w:rsid w:val="00D049DE"/>
    <w:rsid w:val="00D13091"/>
    <w:rsid w:val="00D44F30"/>
    <w:rsid w:val="00D67CF3"/>
    <w:rsid w:val="00D73D1B"/>
    <w:rsid w:val="00DA1ED7"/>
    <w:rsid w:val="00DA3C17"/>
    <w:rsid w:val="00DB2EAC"/>
    <w:rsid w:val="00E02BE8"/>
    <w:rsid w:val="00E100E5"/>
    <w:rsid w:val="00E32548"/>
    <w:rsid w:val="00E63EDB"/>
    <w:rsid w:val="00E67961"/>
    <w:rsid w:val="00E76714"/>
    <w:rsid w:val="00E7715D"/>
    <w:rsid w:val="00E85C4E"/>
    <w:rsid w:val="00EA3697"/>
    <w:rsid w:val="00EB260D"/>
    <w:rsid w:val="00EE41EC"/>
    <w:rsid w:val="00F23A2E"/>
    <w:rsid w:val="00F26E2B"/>
    <w:rsid w:val="00F37C99"/>
    <w:rsid w:val="00F44479"/>
    <w:rsid w:val="00F60A2E"/>
    <w:rsid w:val="00F70918"/>
    <w:rsid w:val="00F73AD9"/>
    <w:rsid w:val="00F827CE"/>
    <w:rsid w:val="00F849CC"/>
    <w:rsid w:val="00F9444B"/>
    <w:rsid w:val="00FA3343"/>
    <w:rsid w:val="00FE0F23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689B-B878-4101-A135-8E8161B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7498"/>
    <w:pPr>
      <w:keepNext/>
      <w:autoSpaceDE w:val="0"/>
      <w:autoSpaceDN w:val="0"/>
      <w:adjustRightInd w:val="0"/>
      <w:ind w:firstLine="567"/>
      <w:jc w:val="both"/>
      <w:outlineLvl w:val="0"/>
    </w:pPr>
    <w:rPr>
      <w:rFonts w:ascii="Arial" w:hAnsi="Arial" w:cs="Arial"/>
      <w:b/>
      <w:bCs/>
      <w:color w:val="00A9EC"/>
      <w:sz w:val="20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F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1F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F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FD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7498"/>
    <w:rPr>
      <w:rFonts w:ascii="Arial" w:eastAsia="Times New Roman" w:hAnsi="Arial" w:cs="Arial"/>
      <w:b/>
      <w:bCs/>
      <w:color w:val="00A9EC"/>
      <w:sz w:val="20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B7498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749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3C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3C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ln"/>
    <w:rsid w:val="00531C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531C5D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80A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0A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F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6A407-F623-4349-8AB5-B3F15B45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rezanka7131</cp:lastModifiedBy>
  <cp:revision>3</cp:revision>
  <dcterms:created xsi:type="dcterms:W3CDTF">2020-12-15T09:37:00Z</dcterms:created>
  <dcterms:modified xsi:type="dcterms:W3CDTF">2020-12-15T09:56:00Z</dcterms:modified>
</cp:coreProperties>
</file>