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5594F" w14:textId="77777777" w:rsidR="004E7C6B" w:rsidRDefault="004E7C6B" w:rsidP="004E7C6B">
      <w:pPr>
        <w:pStyle w:val="Nadpis1"/>
      </w:pPr>
      <w:bookmarkStart w:id="0" w:name="_Toc137233031"/>
      <w:bookmarkStart w:id="1" w:name="_Toc185241003"/>
      <w:bookmarkStart w:id="2" w:name="_Toc169258116"/>
      <w:bookmarkStart w:id="3" w:name="_Toc153531176"/>
      <w:bookmarkStart w:id="4" w:name="_Toc176767107"/>
      <w:bookmarkStart w:id="5" w:name="_Toc161914427"/>
      <w:bookmarkStart w:id="6" w:name="_GoBack"/>
      <w:bookmarkEnd w:id="6"/>
      <w:r>
        <w:rPr>
          <w:szCs w:val="32"/>
        </w:rPr>
        <w:t>3</w:t>
      </w:r>
      <w:r>
        <w:t>. Výkonnost odvětví</w:t>
      </w:r>
      <w:bookmarkEnd w:id="1"/>
    </w:p>
    <w:p w14:paraId="1F0FCD6B" w14:textId="77777777" w:rsidR="004E7C6B" w:rsidRDefault="004E7C6B" w:rsidP="004E7C6B">
      <w:pPr>
        <w:spacing w:after="0" w:line="240" w:lineRule="auto"/>
        <w:jc w:val="left"/>
        <w:rPr>
          <w:rFonts w:eastAsia="MS Gothic"/>
          <w:b/>
          <w:bCs/>
          <w:color w:val="71818C"/>
          <w:sz w:val="2"/>
          <w:szCs w:val="2"/>
        </w:rPr>
      </w:pPr>
    </w:p>
    <w:p w14:paraId="3C4851AC" w14:textId="77777777" w:rsidR="004E7C6B" w:rsidRDefault="004E7C6B" w:rsidP="004E7C6B">
      <w:pPr>
        <w:spacing w:after="0" w:line="240" w:lineRule="auto"/>
        <w:jc w:val="left"/>
        <w:rPr>
          <w:rFonts w:eastAsia="MS Gothic"/>
          <w:b/>
          <w:bCs/>
          <w:color w:val="71818C"/>
          <w:sz w:val="2"/>
          <w:szCs w:val="2"/>
        </w:rPr>
      </w:pPr>
    </w:p>
    <w:p w14:paraId="3D71F81F" w14:textId="77777777" w:rsidR="004E7C6B" w:rsidRDefault="004E7C6B" w:rsidP="004E7C6B">
      <w:pPr>
        <w:spacing w:after="0" w:line="240" w:lineRule="auto"/>
        <w:jc w:val="left"/>
        <w:rPr>
          <w:rFonts w:eastAsia="MS Gothic"/>
          <w:b/>
          <w:bCs/>
          <w:color w:val="71818C"/>
          <w:sz w:val="2"/>
          <w:szCs w:val="2"/>
        </w:rPr>
      </w:pPr>
    </w:p>
    <w:p w14:paraId="58487F6C" w14:textId="77777777" w:rsidR="004E7C6B" w:rsidRDefault="004E7C6B" w:rsidP="004E7C6B">
      <w:pPr>
        <w:spacing w:after="0" w:line="240" w:lineRule="auto"/>
        <w:jc w:val="left"/>
        <w:rPr>
          <w:rFonts w:eastAsia="MS Gothic"/>
          <w:b/>
          <w:bCs/>
          <w:color w:val="71818C"/>
          <w:sz w:val="2"/>
          <w:szCs w:val="2"/>
        </w:rPr>
      </w:pPr>
    </w:p>
    <w:p w14:paraId="704D3AFB" w14:textId="77777777" w:rsidR="004E7C6B" w:rsidRDefault="004E7C6B" w:rsidP="004E7C6B">
      <w:pPr>
        <w:spacing w:after="0" w:line="240" w:lineRule="auto"/>
        <w:jc w:val="left"/>
        <w:rPr>
          <w:rFonts w:eastAsia="MS Gothic"/>
          <w:b/>
          <w:bCs/>
          <w:color w:val="71818C"/>
          <w:sz w:val="2"/>
          <w:szCs w:val="2"/>
        </w:rPr>
      </w:pPr>
    </w:p>
    <w:tbl>
      <w:tblPr>
        <w:tblW w:w="0" w:type="dxa"/>
        <w:tblInd w:w="-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14"/>
        <w:gridCol w:w="229"/>
        <w:gridCol w:w="7596"/>
      </w:tblGrid>
      <w:tr w:rsidR="004E7C6B" w14:paraId="453EC388" w14:textId="77777777" w:rsidTr="004E7C6B">
        <w:trPr>
          <w:trHeight w:val="145"/>
        </w:trPr>
        <w:tc>
          <w:tcPr>
            <w:tcW w:w="1814" w:type="dxa"/>
            <w:hideMark/>
          </w:tcPr>
          <w:p w14:paraId="5DDCACD6" w14:textId="77777777" w:rsidR="004E7C6B" w:rsidRDefault="004E7C6B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Mezikvartální růst HPH se během letošního roku postupně mírně zvyšoval a ve 3. čtvrtletí již prostupoval skoro všemi klíčovými odvětvími.</w:t>
            </w:r>
          </w:p>
        </w:tc>
        <w:tc>
          <w:tcPr>
            <w:tcW w:w="229" w:type="dxa"/>
          </w:tcPr>
          <w:p w14:paraId="75DF7F1B" w14:textId="77777777" w:rsidR="004E7C6B" w:rsidRDefault="004E7C6B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1A1C2832" w14:textId="77777777" w:rsidR="004E7C6B" w:rsidRDefault="004E7C6B">
            <w:pPr>
              <w:spacing w:after="200"/>
              <w:rPr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>Výkon všech odvětví národního hospodářství zachycený pomocí ukazatele hrubé přidané hodnoty (HPH)</w:t>
            </w:r>
            <w:r>
              <w:rPr>
                <w:rStyle w:val="Znakapoznpodarou"/>
                <w:color w:val="0D0D0D" w:themeColor="text1" w:themeTint="F2"/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footnoteReference w:id="1"/>
            </w:r>
            <w:r>
              <w:rPr>
                <w:lang w:eastAsia="en-US"/>
              </w:rPr>
              <w:t xml:space="preserve"> se v průběhu roku 2024 postupně zotavoval z loňské recese. Na počátku roku výkon mezikvartálně pouze stagnoval, když z hlavních odvětví rostla svižněji HPH jen ve finančnictví. V následujícím kvartálu se mírný růst celkové HPH po roční odluce obnovil (+0,3 %), byť k němu přispěly téměř výhradně služby (zejména obchod či služby pro podniky). Během 3. čtvrtletí pak růst HPH posílil na 0,8 % (nejvíce za poslední tři roky) a k alespoň mírnému oživení došlo téměř ve všech odvětvích. Oproti stejnému období konjunkturního roku 2019 byl aktuální souhrnný výkon odvětví vyšší o 2,5 %, výhradně jen ve službách</w:t>
            </w:r>
            <w:r>
              <w:rPr>
                <w:rStyle w:val="Znakapoznpodarou"/>
                <w:lang w:eastAsia="en-US"/>
              </w:rPr>
              <w:footnoteReference w:id="2"/>
            </w:r>
            <w:r>
              <w:rPr>
                <w:lang w:eastAsia="en-US"/>
              </w:rPr>
              <w:t>.</w:t>
            </w:r>
          </w:p>
        </w:tc>
      </w:tr>
      <w:tr w:rsidR="004E7C6B" w14:paraId="36A9E64C" w14:textId="77777777" w:rsidTr="004E7C6B">
        <w:trPr>
          <w:trHeight w:val="145"/>
        </w:trPr>
        <w:tc>
          <w:tcPr>
            <w:tcW w:w="1814" w:type="dxa"/>
            <w:hideMark/>
          </w:tcPr>
          <w:p w14:paraId="13E0092F" w14:textId="77777777" w:rsidR="004E7C6B" w:rsidRDefault="004E7C6B">
            <w:pPr>
              <w:pStyle w:val="Marginlie"/>
              <w:spacing w:after="240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 xml:space="preserve">V úhrnu od počátku roku meziročně stagnovala přidaná hodnota. Dařilo se službám – zejména finančnictví, obchodu </w:t>
            </w:r>
            <w:r>
              <w:rPr>
                <w:color w:val="0D0D0D" w:themeColor="text1" w:themeTint="F2"/>
                <w:spacing w:val="-4"/>
                <w:lang w:eastAsia="en-US"/>
              </w:rPr>
              <w:br/>
              <w:t xml:space="preserve">a aktivitám spojeným s cestovním ruchem. </w:t>
            </w:r>
            <w:r>
              <w:rPr>
                <w:color w:val="0D0D0D" w:themeColor="text1" w:themeTint="F2"/>
                <w:spacing w:val="-4"/>
                <w:lang w:eastAsia="en-US"/>
              </w:rPr>
              <w:br/>
              <w:t>V průmyslu i stavebnictví výkon nadále klesal.</w:t>
            </w:r>
          </w:p>
        </w:tc>
        <w:tc>
          <w:tcPr>
            <w:tcW w:w="229" w:type="dxa"/>
          </w:tcPr>
          <w:p w14:paraId="14CCFC36" w14:textId="77777777" w:rsidR="004E7C6B" w:rsidRDefault="004E7C6B">
            <w:pPr>
              <w:pStyle w:val="Textpoznpodarou"/>
              <w:spacing w:after="240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16F45692" w14:textId="77777777" w:rsidR="004E7C6B" w:rsidRDefault="004E7C6B">
            <w:pPr>
              <w:spacing w:after="200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lang w:eastAsia="en-US"/>
              </w:rPr>
              <w:t xml:space="preserve">V úhrnu za 1. až 3. čtvrtletí 2024 HPH meziročně stagnovala, když byl růst napříč téměř všemi službami kompenzován útlumem tradičních výrobních odvětví primárního i sekundárního sektoru. Ekonomiku nejvíce brzdil zpracovatelský průmysl (příspěvek </w:t>
            </w:r>
            <w:r>
              <w:rPr>
                <w:color w:val="0D0D0D" w:themeColor="text1" w:themeTint="F2"/>
                <w:spacing w:val="-4"/>
                <w:lang w:eastAsia="en-US"/>
              </w:rPr>
              <w:t>−</w:t>
            </w:r>
            <w:r>
              <w:rPr>
                <w:lang w:eastAsia="en-US"/>
              </w:rPr>
              <w:t>0,3 p. b.), v němž HPH klesla o 1,6 % (odhlédneme-li od pandemického roku 2020, šlo o nejhorší výsledek po roce 2012). Nedařilo se ani ostatní části průmyslu (zahrnující zejména těžbu a energetiku), kde výkon klesl třetí rok v řadě (letos o 3,4 %). Ve stavebnictví trvá pokles HPH ještě déle (šestý rok), letošní útlum byl ale v tomto kontextu nejmenší (</w:t>
            </w:r>
            <w:r>
              <w:rPr>
                <w:color w:val="0D0D0D" w:themeColor="text1" w:themeTint="F2"/>
                <w:spacing w:val="-4"/>
                <w:lang w:eastAsia="en-US"/>
              </w:rPr>
              <w:t>−</w:t>
            </w:r>
            <w:r>
              <w:rPr>
                <w:lang w:eastAsia="en-US"/>
              </w:rPr>
              <w:t>1,8 %). Obdobně jako loni se mírně snížil i výkon primárního sektoru (</w:t>
            </w:r>
            <w:r>
              <w:rPr>
                <w:color w:val="0D0D0D" w:themeColor="text1" w:themeTint="F2"/>
                <w:spacing w:val="-4"/>
                <w:lang w:eastAsia="en-US"/>
              </w:rPr>
              <w:t>−</w:t>
            </w:r>
            <w:r>
              <w:rPr>
                <w:lang w:eastAsia="en-US"/>
              </w:rPr>
              <w:t>1,6 %), do letošního výsledku se promítá slabší sklizeň klíčových plodin</w:t>
            </w:r>
            <w:r>
              <w:rPr>
                <w:rStyle w:val="Znakapoznpodarou"/>
                <w:lang w:eastAsia="en-US"/>
              </w:rPr>
              <w:footnoteReference w:id="3"/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>i přetrvávající pokles těžby dřeva. Službám se letos dařilo, byť souhrnný růst jejich HPH (1,1 %) nedosáhl tempa z předešlých třech let, kdy některá z těchto odvětví stále ještě doháněla ztráty z pandemického období. Stejně jako po většinu loňského roku byly služby poháněny především odvětvím obchod, doprava, ubytování a pohostinství, které těžily z obnoveného růstu kupní síly tuzemských domácností i pokračujícího rozvoje turismu. Nejvíce se ovšem zvýšila HPH v peněžnictví a pojišťovnictví (+3,5 %).</w:t>
            </w:r>
          </w:p>
        </w:tc>
      </w:tr>
      <w:tr w:rsidR="004E7C6B" w14:paraId="5D0A61E0" w14:textId="77777777" w:rsidTr="004E7C6B">
        <w:trPr>
          <w:trHeight w:val="145"/>
        </w:trPr>
        <w:tc>
          <w:tcPr>
            <w:tcW w:w="1814" w:type="dxa"/>
            <w:hideMark/>
          </w:tcPr>
          <w:p w14:paraId="2EF4C17C" w14:textId="77777777" w:rsidR="004E7C6B" w:rsidRDefault="004E7C6B">
            <w:pPr>
              <w:pStyle w:val="Marginlie"/>
              <w:spacing w:after="240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 xml:space="preserve">Průmyslová produkce letos mezikvartálně klesala. Projevovala se slabá zahraniční poptávka i doznívající efekt zvýšených výrobních nákladů z období energetické krize. </w:t>
            </w:r>
          </w:p>
        </w:tc>
        <w:tc>
          <w:tcPr>
            <w:tcW w:w="229" w:type="dxa"/>
          </w:tcPr>
          <w:p w14:paraId="7EAF7DA5" w14:textId="77777777" w:rsidR="004E7C6B" w:rsidRDefault="004E7C6B">
            <w:pPr>
              <w:pStyle w:val="Textpoznpodarou"/>
              <w:spacing w:after="240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2D742DB6" w14:textId="77777777" w:rsidR="004E7C6B" w:rsidRDefault="004E7C6B">
            <w:pPr>
              <w:spacing w:after="200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 xml:space="preserve">Výše uvedený souhrnný pohled dále rozvádějí podstatně detailnější podnikové statistiky. Tuzemský průmysl byl od počátku letošního roku zasažen recesí a brzdila ho především přetrvávající slabá zahraniční poptávka. Ekonomiky klíčových obchodních partnerů Česka v eurozóně totiž čelily cyklickým i dlouhodobějším strukturálním problémům. Ty se projevují současně také v tuzemsku. Zejména většina energeticky náročných oborů stále pociťuje dopady zvýšených cen vstupů. Řada dalších nosných oborů je pak limitována pokračující slabší investiční aktivitou v ekonomice pramenící z oslabené podnikatelské i spotřebitelské důvěry umocněné přetrvávajícími ztíženými možnostmi úvěrového financování investic. Po krátkodobém oživení na konci roku 2023, za nímž stáli převážně výrobci dopravních </w:t>
            </w:r>
            <w:r>
              <w:rPr>
                <w:color w:val="0D0D0D" w:themeColor="text1" w:themeTint="F2"/>
                <w:spacing w:val="-4"/>
                <w:lang w:eastAsia="en-US"/>
              </w:rPr>
              <w:lastRenderedPageBreak/>
              <w:t>prostředků (vč. jejich subdodavatelů), se průmyslová produkce</w:t>
            </w:r>
            <w:r>
              <w:rPr>
                <w:rStyle w:val="Znakapoznpodarou"/>
                <w:color w:val="0D0D0D" w:themeColor="text1" w:themeTint="F2"/>
                <w:spacing w:val="-4"/>
                <w:lang w:eastAsia="en-US"/>
              </w:rPr>
              <w:footnoteReference w:id="4"/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 v Česku v 1. čtvrtletí 2024 mezikvartálně opět snížila (−0,8 %). V následujícím období se její pokles mírně prohloubil a ani 3. čtvrtletí nepřineslo zřetelný obrat (+0,1 %), neboť klíčové, investičně zaměřené obory výrazněji nepodpořily </w:t>
            </w:r>
            <w:r>
              <w:rPr>
                <w:color w:val="0D0D0D" w:themeColor="text1" w:themeTint="F2"/>
                <w:spacing w:val="-6"/>
                <w:lang w:eastAsia="en-US"/>
              </w:rPr>
              <w:t>výkon průmyslu. Celková průmyslová produkce za svým vrcholem z období předpandemické konjunktury (2. čtvrtletí 2019) mírně zaostala (o</w:t>
            </w:r>
            <w:r>
              <w:rPr>
                <w:spacing w:val="-6"/>
                <w:lang w:eastAsia="en-US"/>
              </w:rPr>
              <w:t> </w:t>
            </w:r>
            <w:r>
              <w:rPr>
                <w:color w:val="0D0D0D" w:themeColor="text1" w:themeTint="F2"/>
                <w:spacing w:val="-6"/>
                <w:lang w:eastAsia="en-US"/>
              </w:rPr>
              <w:t>2,7 %)</w:t>
            </w:r>
            <w:r>
              <w:rPr>
                <w:rStyle w:val="Znakapoznpodarou"/>
                <w:color w:val="0D0D0D" w:themeColor="text1" w:themeTint="F2"/>
                <w:spacing w:val="-6"/>
                <w:lang w:eastAsia="en-US"/>
              </w:rPr>
              <w:footnoteReference w:id="5"/>
            </w:r>
            <w:r>
              <w:rPr>
                <w:color w:val="0D0D0D" w:themeColor="text1" w:themeTint="F2"/>
                <w:spacing w:val="-6"/>
                <w:lang w:eastAsia="en-US"/>
              </w:rPr>
              <w:t>.</w:t>
            </w:r>
          </w:p>
        </w:tc>
      </w:tr>
      <w:tr w:rsidR="004E7C6B" w14:paraId="642B6403" w14:textId="77777777" w:rsidTr="004E7C6B">
        <w:trPr>
          <w:trHeight w:val="145"/>
        </w:trPr>
        <w:tc>
          <w:tcPr>
            <w:tcW w:w="1814" w:type="dxa"/>
            <w:hideMark/>
          </w:tcPr>
          <w:p w14:paraId="7259C881" w14:textId="77777777" w:rsidR="004E7C6B" w:rsidRDefault="004E7C6B">
            <w:pPr>
              <w:pStyle w:val="Marginlie"/>
              <w:spacing w:after="240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lastRenderedPageBreak/>
              <w:t>Mírný meziroční pokles průmyslu pokračoval druhým rokem v řadě. Letos k němu přispěly hlavně strojírenství, hutnictví a těžba, v nichž produkce shodně propadla o desetinu.</w:t>
            </w:r>
          </w:p>
        </w:tc>
        <w:tc>
          <w:tcPr>
            <w:tcW w:w="229" w:type="dxa"/>
          </w:tcPr>
          <w:p w14:paraId="796DFFE9" w14:textId="77777777" w:rsidR="004E7C6B" w:rsidRDefault="004E7C6B">
            <w:pPr>
              <w:pStyle w:val="Textpoznpodarou"/>
              <w:spacing w:after="240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0BFF8203" w14:textId="77777777" w:rsidR="004E7C6B" w:rsidRDefault="004E7C6B">
            <w:pPr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>V úhrnu za 1. až 3. čtvrtletí 2024 se průmyslová produkce meziročně snížila o 0,9 %</w:t>
            </w:r>
            <w:r>
              <w:rPr>
                <w:rStyle w:val="Znakapoznpodarou"/>
                <w:color w:val="0D0D0D" w:themeColor="text1" w:themeTint="F2"/>
                <w:spacing w:val="-4"/>
                <w:lang w:eastAsia="en-US"/>
              </w:rPr>
              <w:footnoteReference w:id="6"/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 (identický výsledek zaznamenala i ve stejném období loni). Letos se negativně projevil zejména citelný útlum nosného odvětví strojírenství (pokles produkce o 10,8 %, příspěvek k vývoji celého průmyslu −0,9 p. b.)</w:t>
            </w:r>
            <w:r>
              <w:rPr>
                <w:rStyle w:val="Znakapoznpodarou"/>
                <w:color w:val="0D0D0D" w:themeColor="text1" w:themeTint="F2"/>
                <w:spacing w:val="-4"/>
                <w:lang w:eastAsia="en-US"/>
              </w:rPr>
              <w:footnoteReference w:id="7"/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 v důsledku slabé poptávky, zejména z tuzemska. Útlum se zde týká např. výroby čerpadel, zemědělských nebo kovoobráběcích strojů, nižší produkci lze však v tomto jinak dosti diverzifikovaném oboru vystopovat již v zásadě napříč celým odvětvím. O bezmála desetinu se snížila produkce ve výrobě základních kovů, hutnictví a slévárenství (příspěvek k růstu průmyslu −0,3 p. b.). Odbytové potíže v Česku </w:t>
            </w:r>
            <w:r>
              <w:rPr>
                <w:color w:val="0D0D0D" w:themeColor="text1" w:themeTint="F2"/>
                <w:spacing w:val="-4"/>
                <w:lang w:eastAsia="en-US"/>
              </w:rPr>
              <w:br/>
              <w:t>i zahraničí má tento značně energeticky náročný obor již třetí rok v řadě</w:t>
            </w:r>
            <w:r>
              <w:rPr>
                <w:rStyle w:val="Znakapoznpodarou"/>
                <w:color w:val="0D0D0D" w:themeColor="text1" w:themeTint="F2"/>
                <w:spacing w:val="-4"/>
                <w:lang w:eastAsia="en-US"/>
              </w:rPr>
              <w:footnoteReference w:id="8"/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. Dlouhodobě se projevuje slabší poptávka po oceli, hlavně ze stavebnictví, automobilového průmyslu či strojírenství. Hluboké problémy se nevyhýbají ani dlouhodobě upadající těžbě </w:t>
            </w:r>
            <w:r>
              <w:rPr>
                <w:color w:val="0D0D0D" w:themeColor="text1" w:themeTint="F2"/>
                <w:spacing w:val="-6"/>
                <w:lang w:eastAsia="en-US"/>
              </w:rPr>
              <w:t xml:space="preserve">i dobývání (meziroční pokles produkce o 9,7 %, příspěvek </w:t>
            </w:r>
            <w:r>
              <w:rPr>
                <w:color w:val="0D0D0D" w:themeColor="text1" w:themeTint="F2"/>
                <w:spacing w:val="-4"/>
                <w:lang w:eastAsia="en-US"/>
              </w:rPr>
              <w:t>−</w:t>
            </w:r>
            <w:r>
              <w:rPr>
                <w:color w:val="0D0D0D" w:themeColor="text1" w:themeTint="F2"/>
                <w:spacing w:val="-6"/>
                <w:lang w:eastAsia="en-US"/>
              </w:rPr>
              <w:t>0,2 p. b.).</w:t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 Jako loni se zde i letos projevuje nejen řízený útlum v dominantním, ale stále méně rentabilním segmentu těžby uhlí, ale </w:t>
            </w:r>
            <w:r>
              <w:rPr>
                <w:color w:val="0D0D0D" w:themeColor="text1" w:themeTint="F2"/>
                <w:spacing w:val="-4"/>
                <w:lang w:eastAsia="en-US"/>
              </w:rPr>
              <w:br/>
              <w:t xml:space="preserve">i </w:t>
            </w:r>
            <w:r>
              <w:rPr>
                <w:color w:val="0D0D0D" w:themeColor="text1" w:themeTint="F2"/>
                <w:spacing w:val="-6"/>
                <w:lang w:eastAsia="en-US"/>
              </w:rPr>
              <w:t>nižší těžba stavebních materiálů (−4,1 %). Ta vyvěrá z přetrvávající slabé domácí poptávky a projevuje se také v navazujícím oboru výroby nekovových minerálních produktů (−0,5 %).</w:t>
            </w:r>
          </w:p>
        </w:tc>
      </w:tr>
      <w:tr w:rsidR="004E7C6B" w14:paraId="7F220EEB" w14:textId="77777777" w:rsidTr="004E7C6B">
        <w:trPr>
          <w:trHeight w:val="145"/>
        </w:trPr>
        <w:tc>
          <w:tcPr>
            <w:tcW w:w="1814" w:type="dxa"/>
            <w:hideMark/>
          </w:tcPr>
          <w:p w14:paraId="6FA8A665" w14:textId="77777777" w:rsidR="004E7C6B" w:rsidRDefault="004E7C6B">
            <w:pPr>
              <w:pStyle w:val="Marginlie"/>
              <w:spacing w:after="240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>Vysoké tempo výroby z předchozích let neudržel automobilový průmysl, což mělo dopad i na nejbližší subdodavatelské obory.</w:t>
            </w:r>
          </w:p>
        </w:tc>
        <w:tc>
          <w:tcPr>
            <w:tcW w:w="229" w:type="dxa"/>
          </w:tcPr>
          <w:p w14:paraId="340472B1" w14:textId="77777777" w:rsidR="004E7C6B" w:rsidRDefault="004E7C6B">
            <w:pPr>
              <w:pStyle w:val="Textpoznpodarou"/>
              <w:spacing w:after="240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29B0CFD6" w14:textId="77777777" w:rsidR="004E7C6B" w:rsidRDefault="004E7C6B">
            <w:pPr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>Na recesi průmyslu měla letos podíl i výroba motorových vozidel (příspěvek −0,1 p. b., pokles produkce odvětví o 0,8 %</w:t>
            </w:r>
            <w:r>
              <w:rPr>
                <w:rStyle w:val="Znakapoznpodarou"/>
                <w:color w:val="0D0D0D" w:themeColor="text1" w:themeTint="F2"/>
                <w:spacing w:val="-4"/>
                <w:lang w:eastAsia="en-US"/>
              </w:rPr>
              <w:footnoteReference w:id="9"/>
            </w:r>
            <w:r>
              <w:rPr>
                <w:color w:val="0D0D0D" w:themeColor="text1" w:themeTint="F2"/>
                <w:spacing w:val="-4"/>
                <w:lang w:eastAsia="en-US"/>
              </w:rPr>
              <w:t>). Odhlédneme-li od specifického „pandemického roku“ 2020 (poznamenaném nucenými uzávěry provozoven), jde v tomto klíčovém odvětví i přes relativně mělký pokles o nejhorší výsledek po roce 2013</w:t>
            </w:r>
            <w:r>
              <w:rPr>
                <w:rStyle w:val="Znakapoznpodarou"/>
                <w:color w:val="0D0D0D" w:themeColor="text1" w:themeTint="F2"/>
                <w:spacing w:val="-4"/>
                <w:lang w:eastAsia="en-US"/>
              </w:rPr>
              <w:footnoteReference w:id="10"/>
            </w:r>
            <w:r>
              <w:rPr>
                <w:color w:val="0D0D0D" w:themeColor="text1" w:themeTint="F2"/>
                <w:spacing w:val="-4"/>
                <w:lang w:eastAsia="en-US"/>
              </w:rPr>
              <w:t>. Aktuální dynamika tohoto oboru je přitom v Česku, podobně jako ve většině novějších členských států, oproti jádrovým zemím EU relativně příznivější</w:t>
            </w:r>
            <w:r>
              <w:rPr>
                <w:rStyle w:val="Znakapoznpodarou"/>
                <w:color w:val="0D0D0D" w:themeColor="text1" w:themeTint="F2"/>
                <w:spacing w:val="-4"/>
                <w:lang w:eastAsia="en-US"/>
              </w:rPr>
              <w:footnoteReference w:id="11"/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. Vedle nižších pracovních nákladů zde hraje roli i dosud menší zastoupení elektrických a hybridních vozů v produkci (jejich odbyt se potýká s problémy kvůli narůstající asijské konkurenci i nižší dotační podpoře v zemích Unie). Tyto vnější okolnosti se odrazily i v nevýrazných výsledcích nejbližších subdodavatelských oborů – produkce ve výrobě elektrických zařízení se letos meziročně snížila o 0,5 %, </w:t>
            </w:r>
            <w:r>
              <w:rPr>
                <w:color w:val="0D0D0D" w:themeColor="text1" w:themeTint="F2"/>
                <w:spacing w:val="-4"/>
                <w:lang w:eastAsia="en-US"/>
              </w:rPr>
              <w:lastRenderedPageBreak/>
              <w:t xml:space="preserve">v gumárenství a plastikářství sice mírně ožila (+1,3 %), to je však do značné míry důsledek slabší loňské výroby. </w:t>
            </w:r>
          </w:p>
        </w:tc>
      </w:tr>
      <w:tr w:rsidR="004E7C6B" w14:paraId="3F93CF1D" w14:textId="77777777" w:rsidTr="004E7C6B">
        <w:trPr>
          <w:trHeight w:val="145"/>
        </w:trPr>
        <w:tc>
          <w:tcPr>
            <w:tcW w:w="1814" w:type="dxa"/>
            <w:hideMark/>
          </w:tcPr>
          <w:p w14:paraId="58A346D4" w14:textId="77777777" w:rsidR="004E7C6B" w:rsidRDefault="004E7C6B">
            <w:pPr>
              <w:pStyle w:val="Marginlie"/>
              <w:spacing w:after="240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lastRenderedPageBreak/>
              <w:t xml:space="preserve">Pokles produkce energetiky se letos zmírnil. Nadále se projevovala slabší poptávka vlivem teplejšího počasí, úsporných opatření ve firmách a domácnostech i poklesu ekonomické aktivity v průmyslu i stavebnictví. </w:t>
            </w:r>
          </w:p>
        </w:tc>
        <w:tc>
          <w:tcPr>
            <w:tcW w:w="229" w:type="dxa"/>
          </w:tcPr>
          <w:p w14:paraId="0AE11DCB" w14:textId="77777777" w:rsidR="004E7C6B" w:rsidRDefault="004E7C6B">
            <w:pPr>
              <w:pStyle w:val="Textpoznpodarou"/>
              <w:spacing w:after="240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7940A200" w14:textId="77777777" w:rsidR="004E7C6B" w:rsidRDefault="004E7C6B">
            <w:pPr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>Po hlubokém rekordním 11% propadu za celý loňský rok se letos za tři kvartály snížila produkce v odvětví energetiky o 1,4 %. Nadále se projevovala slabší poptávka po elektřině, plynu i teplu, a to zejména vlivem teplejšího počasí</w:t>
            </w:r>
            <w:r>
              <w:rPr>
                <w:rStyle w:val="Znakapoznpodarou"/>
                <w:color w:val="0D0D0D" w:themeColor="text1" w:themeTint="F2"/>
                <w:spacing w:val="-4"/>
                <w:lang w:eastAsia="en-US"/>
              </w:rPr>
              <w:footnoteReference w:id="12"/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 po většinu období, vlivem </w:t>
            </w:r>
            <w:r>
              <w:rPr>
                <w:color w:val="0D0D0D" w:themeColor="text1" w:themeTint="F2"/>
                <w:spacing w:val="-6"/>
                <w:lang w:eastAsia="en-US"/>
              </w:rPr>
              <w:t xml:space="preserve">poklesu ekonomické aktivity v průmyslu a stavebnictví a rovněž díky pokračujícím úsporným opatřením na straně spotřeby ve firmách a domácnostech. </w:t>
            </w:r>
            <w:r>
              <w:rPr>
                <w:color w:val="0D0D0D" w:themeColor="text1" w:themeTint="F2"/>
                <w:spacing w:val="-5"/>
                <w:lang w:eastAsia="en-US"/>
              </w:rPr>
              <w:t>Za nižší výrobou elektřiny stály letos všechny klíčové zdroje</w:t>
            </w:r>
            <w:r>
              <w:rPr>
                <w:rStyle w:val="Znakapoznpodarou"/>
                <w:color w:val="0D0D0D" w:themeColor="text1" w:themeTint="F2"/>
                <w:spacing w:val="-5"/>
                <w:lang w:eastAsia="en-US"/>
              </w:rPr>
              <w:footnoteReference w:id="13"/>
            </w:r>
            <w:r>
              <w:rPr>
                <w:color w:val="0D0D0D" w:themeColor="text1" w:themeTint="F2"/>
                <w:spacing w:val="-5"/>
                <w:lang w:eastAsia="en-US"/>
              </w:rPr>
              <w:t>, což v zásadě platí i v případě vyrobeného tepla</w:t>
            </w:r>
            <w:r>
              <w:rPr>
                <w:rStyle w:val="Znakapoznpodarou"/>
                <w:color w:val="0D0D0D" w:themeColor="text1" w:themeTint="F2"/>
                <w:spacing w:val="-5"/>
                <w:lang w:eastAsia="en-US"/>
              </w:rPr>
              <w:footnoteReference w:id="14"/>
            </w:r>
            <w:r>
              <w:rPr>
                <w:color w:val="0D0D0D" w:themeColor="text1" w:themeTint="F2"/>
                <w:spacing w:val="-5"/>
                <w:lang w:eastAsia="en-US"/>
              </w:rPr>
              <w:t xml:space="preserve">. Hrubá tuzemská spotřeba elektřiny klesla letos za tři čtvrtletí meziročně o 1,6 %, u zemního plynu činil pokles 6,1 % (po přepočtu na dlouhodobý teplotní normál ale jen 0,6 %). V samotném 3. čtvrtletí vzrostla skutečná spotřeba plynu o 1,8 % (meziročně se navýšila poprvé po třech letech, výhradně vlivem chladnějšího počasí v druhé půli měsíce), a to hlavně u domácností a drobných podnikatelů, naopak u velkoodběratelů se mírně snížila (o 2 %). Zvýšená poptávka po plynu ve 3. čtvrtletí se odrazila v produkci celého odvětví energetiky, jež meziročně posílila o 2,4 % (vzrostla poprvé za posledních osm kvartálů). </w:t>
            </w:r>
          </w:p>
        </w:tc>
      </w:tr>
      <w:tr w:rsidR="004E7C6B" w14:paraId="7C58303A" w14:textId="77777777" w:rsidTr="004E7C6B">
        <w:trPr>
          <w:trHeight w:val="145"/>
        </w:trPr>
        <w:tc>
          <w:tcPr>
            <w:tcW w:w="1814" w:type="dxa"/>
          </w:tcPr>
          <w:p w14:paraId="247D61C8" w14:textId="77777777" w:rsidR="004E7C6B" w:rsidRDefault="004E7C6B">
            <w:pPr>
              <w:pStyle w:val="Marginlie"/>
              <w:spacing w:after="240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>Proti hlubšímu útlumu průmyslu působila zejména většina oborů vyrábějících produkty krátkodobé spotřeby.</w:t>
            </w:r>
          </w:p>
          <w:p w14:paraId="791CEBC0" w14:textId="77777777" w:rsidR="004E7C6B" w:rsidRDefault="004E7C6B">
            <w:pPr>
              <w:pStyle w:val="Marginlie"/>
              <w:spacing w:after="240"/>
              <w:rPr>
                <w:color w:val="0D0D0D" w:themeColor="text1" w:themeTint="F2"/>
                <w:spacing w:val="-4"/>
                <w:lang w:eastAsia="en-US"/>
              </w:rPr>
            </w:pPr>
          </w:p>
        </w:tc>
        <w:tc>
          <w:tcPr>
            <w:tcW w:w="229" w:type="dxa"/>
          </w:tcPr>
          <w:p w14:paraId="658D2A7F" w14:textId="77777777" w:rsidR="004E7C6B" w:rsidRDefault="004E7C6B">
            <w:pPr>
              <w:pStyle w:val="Textpoznpodarou"/>
              <w:spacing w:after="240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73A42CD0" w14:textId="77777777" w:rsidR="004E7C6B" w:rsidRDefault="004E7C6B">
            <w:pPr>
              <w:spacing w:after="200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 xml:space="preserve">Proti hlubšímu poklesu výkonu průmyslu působily letos zejména obory zaměřené na produkci zboží krátkodobé spotřeby. V potravinářství se v 1. až 3. čtvrtletí produkce meziročně zvýšila poprvé za poslední tři roky (+3,7 %, příspěvek k růstu celého průmyslu +0,2 p. b.). Z obnoveného růstu kupní síly domácností i rozvíjejícího turismu těžili také výrobci nápojů (+5,0 %), na rozdíl od potravinářství však jejich produkce ještě nepřekonala vrchol z období poslední předpandemické konjunktury. To platí i pro oděvnictví, jehož produkce byla hlavně zásluhou vyšší zahraniční poptávky meziročně vyšší o 2,7 %, a také obuvnický a kožedělný průmysl, za jehož bezmála 8% růstem (nejvyšším mezi všemi průmyslovými obory) stála naopak oživená domácí poptávka. V dlouhodobě se rozvíjejícím a výrazně proexportně zaměřeném farmaceutickém průmyslu sice růst produkce ve srovnání se </w:t>
            </w:r>
            <w:r>
              <w:rPr>
                <w:color w:val="0D0D0D" w:themeColor="text1" w:themeTint="F2"/>
                <w:spacing w:val="-5"/>
                <w:lang w:eastAsia="en-US"/>
              </w:rPr>
              <w:t>svižným loňským tempem zvolnil (na 2,7 %), přetrvával ale již od roku 2013</w:t>
            </w:r>
            <w:r>
              <w:rPr>
                <w:color w:val="0D0D0D" w:themeColor="text1" w:themeTint="F2"/>
                <w:spacing w:val="-4"/>
                <w:lang w:eastAsia="en-US"/>
              </w:rPr>
              <w:t>. K prosperujícím oborům, k jejichž útlumu nedošlo ani za pandemie, patří rovněž ostatní zpracovatelský průmysl (zahrnující mj. i výrobu sportovních potřeb, her a hraček). Jeho produkce díky vyšší poptávce z tuzemska i zahraničí letos meziročně posílila o 5,4 %. Naopak u některých produktů dlouhodobější spotřeby (např. nábytek) domácnosti nákupy nadále odkládaly</w:t>
            </w:r>
            <w:r>
              <w:rPr>
                <w:rStyle w:val="Znakapoznpodarou"/>
                <w:color w:val="0D0D0D" w:themeColor="text1" w:themeTint="F2"/>
                <w:spacing w:val="-4"/>
                <w:lang w:eastAsia="en-US"/>
              </w:rPr>
              <w:footnoteReference w:id="15"/>
            </w:r>
            <w:r>
              <w:rPr>
                <w:color w:val="0D0D0D" w:themeColor="text1" w:themeTint="F2"/>
                <w:spacing w:val="-4"/>
                <w:lang w:eastAsia="en-US"/>
              </w:rPr>
              <w:t>.</w:t>
            </w:r>
          </w:p>
        </w:tc>
      </w:tr>
      <w:tr w:rsidR="004E7C6B" w14:paraId="2C43E5AA" w14:textId="77777777" w:rsidTr="004E7C6B">
        <w:trPr>
          <w:trHeight w:val="145"/>
        </w:trPr>
        <w:tc>
          <w:tcPr>
            <w:tcW w:w="1814" w:type="dxa"/>
          </w:tcPr>
          <w:p w14:paraId="5E3F2D42" w14:textId="77777777" w:rsidR="004E7C6B" w:rsidRDefault="004E7C6B">
            <w:pPr>
              <w:pStyle w:val="Marginlie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 xml:space="preserve">K pozitivnímu obratu však došlo díky oživení domácí poptávky v chemickém průmyslu. K oživení došlo </w:t>
            </w:r>
            <w:r>
              <w:rPr>
                <w:color w:val="0D0D0D" w:themeColor="text1" w:themeTint="F2"/>
                <w:spacing w:val="-4"/>
                <w:lang w:eastAsia="en-US"/>
              </w:rPr>
              <w:br/>
              <w:t>i v kovodělném průmyslu.</w:t>
            </w:r>
          </w:p>
          <w:p w14:paraId="38B8377C" w14:textId="77777777" w:rsidR="004E7C6B" w:rsidRDefault="004E7C6B">
            <w:pPr>
              <w:pStyle w:val="Marginlie"/>
              <w:rPr>
                <w:color w:val="0D0D0D" w:themeColor="text1" w:themeTint="F2"/>
                <w:spacing w:val="-4"/>
                <w:lang w:eastAsia="en-US"/>
              </w:rPr>
            </w:pPr>
          </w:p>
          <w:p w14:paraId="0E356937" w14:textId="77777777" w:rsidR="004E7C6B" w:rsidRDefault="004E7C6B">
            <w:pPr>
              <w:pStyle w:val="Marginlie"/>
              <w:rPr>
                <w:color w:val="0D0D0D" w:themeColor="text1" w:themeTint="F2"/>
                <w:spacing w:val="-4"/>
                <w:lang w:eastAsia="en-US"/>
              </w:rPr>
            </w:pPr>
          </w:p>
          <w:p w14:paraId="32121C4D" w14:textId="77777777" w:rsidR="004E7C6B" w:rsidRDefault="004E7C6B">
            <w:pPr>
              <w:pStyle w:val="Marginlie"/>
              <w:rPr>
                <w:color w:val="0D0D0D" w:themeColor="text1" w:themeTint="F2"/>
                <w:spacing w:val="-4"/>
                <w:lang w:eastAsia="en-US"/>
              </w:rPr>
            </w:pPr>
          </w:p>
          <w:p w14:paraId="7BD48E16" w14:textId="77777777" w:rsidR="004E7C6B" w:rsidRDefault="004E7C6B">
            <w:pPr>
              <w:pStyle w:val="Marginlie"/>
              <w:rPr>
                <w:color w:val="0D0D0D" w:themeColor="text1" w:themeTint="F2"/>
                <w:spacing w:val="-4"/>
                <w:lang w:eastAsia="en-US"/>
              </w:rPr>
            </w:pPr>
          </w:p>
          <w:p w14:paraId="245BD336" w14:textId="77777777" w:rsidR="004E7C6B" w:rsidRDefault="004E7C6B">
            <w:pPr>
              <w:pStyle w:val="Marginlie"/>
              <w:rPr>
                <w:color w:val="0D0D0D" w:themeColor="text1" w:themeTint="F2"/>
                <w:spacing w:val="-4"/>
                <w:lang w:eastAsia="en-US"/>
              </w:rPr>
            </w:pPr>
          </w:p>
          <w:p w14:paraId="71C283C6" w14:textId="77777777" w:rsidR="004E7C6B" w:rsidRDefault="004E7C6B">
            <w:pPr>
              <w:pStyle w:val="Marginlie"/>
              <w:spacing w:after="240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 xml:space="preserve">I díky rozvoji fotovoltaiky pokračoval růst elektronického průmyslu. Domácí poptávka stimulovala také další </w:t>
            </w:r>
            <w:r>
              <w:rPr>
                <w:color w:val="0D0D0D" w:themeColor="text1" w:themeTint="F2"/>
                <w:spacing w:val="-4"/>
                <w:lang w:eastAsia="en-US"/>
              </w:rPr>
              <w:lastRenderedPageBreak/>
              <w:t>rozvoj výroby kolejových dopravních prostředků.</w:t>
            </w:r>
          </w:p>
        </w:tc>
        <w:tc>
          <w:tcPr>
            <w:tcW w:w="229" w:type="dxa"/>
          </w:tcPr>
          <w:p w14:paraId="4E4635DF" w14:textId="77777777" w:rsidR="004E7C6B" w:rsidRDefault="004E7C6B">
            <w:pPr>
              <w:pStyle w:val="Textpoznpodarou"/>
              <w:spacing w:after="240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768D7810" w14:textId="77777777" w:rsidR="004E7C6B" w:rsidRDefault="004E7C6B">
            <w:pPr>
              <w:spacing w:after="200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 xml:space="preserve">Po loňském propadu došlo k oživení některých energeticky náročnějších oborů zaměřených na výrobu meziproduktů. Jde o zejména o chemický průmysl, k jehož meziročnímu růstu (+1,1 %) přispěla zotavující se domácí poptávka. Podobně posílil také dřevozpracující průmysl, v němž postupný útlum v předchozích třech letech úzce souvisel s ústupem kůrovcové kalamity a návratem k běžnému režimu těžby dřeva. Svižněji letos vzrostla produkce v papírenském průmyslu (+5,9 %), primárně díky vyššímu odbytu v zahraničí. Dařilo se i některým vesměs menším průmyslovým oborům specializovaným na investiční produkci – čtvrtým rokem pokračoval mírný růst ve výrobě počítačů, elektronických a optických přístrojů a zařízení. Ten letos činil 3,1 %, pozitivně se v něm projevila zejména tuzemská poptávka (zčásti spojená i s rozvojem fotovoltaiky). Ta nadále výrazně pomáhá i výrobě ostatních (zejména kolejových) dopravních prostředků. Po </w:t>
            </w:r>
            <w:r>
              <w:rPr>
                <w:color w:val="0D0D0D" w:themeColor="text1" w:themeTint="F2"/>
                <w:spacing w:val="-4"/>
                <w:lang w:eastAsia="en-US"/>
              </w:rPr>
              <w:lastRenderedPageBreak/>
              <w:t>nebývale silném loňském roce zde ovšem růst produkce citelně zvolnil (na 1,1 %)</w:t>
            </w:r>
            <w:r>
              <w:rPr>
                <w:rStyle w:val="Znakapoznpodarou"/>
                <w:color w:val="0D0D0D" w:themeColor="text1" w:themeTint="F2"/>
                <w:spacing w:val="-4"/>
                <w:lang w:eastAsia="en-US"/>
              </w:rPr>
              <w:footnoteReference w:id="16"/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. Naopak po dvou slabších letech došlo letos k mírnému oživení v energeticky náročnějších oborech </w:t>
            </w:r>
            <w:r>
              <w:rPr>
                <w:color w:val="0D0D0D" w:themeColor="text1" w:themeTint="F2"/>
                <w:spacing w:val="-6"/>
                <w:lang w:eastAsia="en-US"/>
              </w:rPr>
              <w:t>kovodělného průmyslu (+0,4 %), k čemuž pomohla vyšší zahraniční poptávka. Pozitivně</w:t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 se v tomto oboru projevuje i malý, ale dynamicky rostoucí segment zbrojní výroby.</w:t>
            </w:r>
          </w:p>
        </w:tc>
      </w:tr>
      <w:tr w:rsidR="004E7C6B" w14:paraId="5DF18172" w14:textId="77777777" w:rsidTr="004E7C6B">
        <w:trPr>
          <w:trHeight w:val="170"/>
        </w:trPr>
        <w:tc>
          <w:tcPr>
            <w:tcW w:w="1814" w:type="dxa"/>
            <w:vMerge w:val="restart"/>
          </w:tcPr>
          <w:p w14:paraId="43CE7B4E" w14:textId="77777777" w:rsidR="004E7C6B" w:rsidRDefault="004E7C6B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  <w:vMerge w:val="restart"/>
          </w:tcPr>
          <w:p w14:paraId="635D434A" w14:textId="77777777" w:rsidR="004E7C6B" w:rsidRDefault="004E7C6B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0BEB5390" w14:textId="77777777" w:rsidR="004E7C6B" w:rsidRDefault="004E7C6B">
            <w:pPr>
              <w:spacing w:after="0"/>
              <w:rPr>
                <w:spacing w:val="-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pacing w:val="-2"/>
                <w:szCs w:val="20"/>
                <w:lang w:eastAsia="en-US"/>
              </w:rPr>
              <w:t xml:space="preserve">Graf č. 4 </w:t>
            </w:r>
            <w:r>
              <w:rPr>
                <w:b/>
                <w:spacing w:val="-2"/>
                <w:lang w:eastAsia="en-US"/>
              </w:rPr>
              <w:t xml:space="preserve">Příspěvky dílčích odvětví k meziroční změně průmyslové produkce v ČR </w:t>
            </w:r>
            <w:r>
              <w:rPr>
                <w:spacing w:val="-2"/>
                <w:lang w:eastAsia="en-US"/>
              </w:rPr>
              <w:t xml:space="preserve">(očištěno o kalendářní vlivy, reálně, v p. b.) </w:t>
            </w:r>
            <w:r>
              <w:rPr>
                <w:b/>
                <w:spacing w:val="-2"/>
                <w:lang w:eastAsia="en-US"/>
              </w:rPr>
              <w:t xml:space="preserve">a produkce v celém průmyslu v ČR, Německu a EU27 </w:t>
            </w:r>
            <w:r>
              <w:rPr>
                <w:spacing w:val="-2"/>
                <w:lang w:eastAsia="en-US"/>
              </w:rPr>
              <w:t>(sezónně očištěno, úroveň roku 2021=100, pravá osa)</w:t>
            </w:r>
          </w:p>
        </w:tc>
      </w:tr>
      <w:tr w:rsidR="004E7C6B" w14:paraId="16B4827F" w14:textId="77777777" w:rsidTr="004E7C6B">
        <w:trPr>
          <w:trHeight w:val="170"/>
        </w:trPr>
        <w:tc>
          <w:tcPr>
            <w:tcW w:w="1814" w:type="dxa"/>
            <w:vMerge/>
            <w:vAlign w:val="center"/>
            <w:hideMark/>
          </w:tcPr>
          <w:p w14:paraId="14FFCCDB" w14:textId="77777777" w:rsidR="004E7C6B" w:rsidRDefault="004E7C6B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3462AA40" w14:textId="77777777" w:rsidR="004E7C6B" w:rsidRDefault="004E7C6B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5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2A3809" w14:textId="5CBCD39D" w:rsidR="004E7C6B" w:rsidRDefault="004E7C6B">
            <w:pPr>
              <w:spacing w:after="0"/>
              <w:rPr>
                <w:spacing w:val="-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75F3757" wp14:editId="03AE9CAA">
                  <wp:extent cx="4733925" cy="3581400"/>
                  <wp:effectExtent l="0" t="0" r="0" b="0"/>
                  <wp:docPr id="44" name="Graf 4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4E7C6B" w14:paraId="1BC13FB0" w14:textId="77777777" w:rsidTr="004E7C6B">
        <w:trPr>
          <w:trHeight w:val="170"/>
        </w:trPr>
        <w:tc>
          <w:tcPr>
            <w:tcW w:w="1814" w:type="dxa"/>
            <w:vMerge/>
            <w:vAlign w:val="center"/>
            <w:hideMark/>
          </w:tcPr>
          <w:p w14:paraId="25FEF1B8" w14:textId="77777777" w:rsidR="004E7C6B" w:rsidRDefault="004E7C6B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408BE06F" w14:textId="77777777" w:rsidR="004E7C6B" w:rsidRDefault="004E7C6B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596" w:type="dxa"/>
            <w:hideMark/>
          </w:tcPr>
          <w:p w14:paraId="512DCBD4" w14:textId="77777777" w:rsidR="004E7C6B" w:rsidRDefault="004E7C6B">
            <w:pPr>
              <w:tabs>
                <w:tab w:val="right" w:pos="7683"/>
              </w:tabs>
              <w:spacing w:after="0" w:line="240" w:lineRule="auto"/>
              <w:jc w:val="left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spacing w:val="-2"/>
                <w:sz w:val="14"/>
                <w:szCs w:val="14"/>
                <w:lang w:eastAsia="en-US"/>
              </w:rPr>
              <w:t>*Příspěvek zbývajícího zpracovatelského průmyslu zahrnuje i vliv celkové metodické diskrepance pramenící ze změny vah.</w:t>
            </w:r>
          </w:p>
          <w:p w14:paraId="64F1651F" w14:textId="77777777" w:rsidR="004E7C6B" w:rsidRDefault="004E7C6B">
            <w:pPr>
              <w:tabs>
                <w:tab w:val="right" w:pos="7683"/>
              </w:tabs>
              <w:spacing w:after="200" w:line="240" w:lineRule="auto"/>
              <w:jc w:val="left"/>
              <w:rPr>
                <w:spacing w:val="-2"/>
                <w:sz w:val="14"/>
                <w:szCs w:val="14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Zdroj: ČSÚ, Eurostat</w:t>
            </w:r>
          </w:p>
        </w:tc>
      </w:tr>
      <w:tr w:rsidR="004E7C6B" w14:paraId="0B4C6CF6" w14:textId="77777777" w:rsidTr="004E7C6B">
        <w:trPr>
          <w:trHeight w:val="134"/>
        </w:trPr>
        <w:tc>
          <w:tcPr>
            <w:tcW w:w="1814" w:type="dxa"/>
          </w:tcPr>
          <w:p w14:paraId="5FB50C37" w14:textId="77777777" w:rsidR="004E7C6B" w:rsidRDefault="004E7C6B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Hodnota zakázek ve výrobě dopravních prostředků nadále rostla, ve 3. čtvrtletí ovšem slabším tempem.</w:t>
            </w:r>
          </w:p>
          <w:p w14:paraId="3FA28C8C" w14:textId="77777777" w:rsidR="004E7C6B" w:rsidRDefault="004E7C6B">
            <w:pPr>
              <w:pStyle w:val="Marginlie"/>
              <w:rPr>
                <w:lang w:eastAsia="en-US"/>
              </w:rPr>
            </w:pPr>
          </w:p>
          <w:p w14:paraId="59F6A648" w14:textId="77777777" w:rsidR="004E7C6B" w:rsidRDefault="004E7C6B">
            <w:pPr>
              <w:pStyle w:val="Marginlie"/>
              <w:rPr>
                <w:lang w:eastAsia="en-US"/>
              </w:rPr>
            </w:pPr>
          </w:p>
          <w:p w14:paraId="665606AC" w14:textId="77777777" w:rsidR="004E7C6B" w:rsidRDefault="004E7C6B">
            <w:pPr>
              <w:pStyle w:val="Marginlie"/>
              <w:rPr>
                <w:lang w:eastAsia="en-US"/>
              </w:rPr>
            </w:pPr>
          </w:p>
          <w:p w14:paraId="0D4AF19E" w14:textId="77777777" w:rsidR="004E7C6B" w:rsidRDefault="004E7C6B">
            <w:pPr>
              <w:pStyle w:val="Marginlie"/>
              <w:rPr>
                <w:lang w:eastAsia="en-US"/>
              </w:rPr>
            </w:pPr>
          </w:p>
          <w:p w14:paraId="0F23FAEA" w14:textId="77777777" w:rsidR="004E7C6B" w:rsidRDefault="004E7C6B">
            <w:pPr>
              <w:pStyle w:val="Marginlie"/>
              <w:rPr>
                <w:lang w:eastAsia="en-US"/>
              </w:rPr>
            </w:pPr>
          </w:p>
          <w:p w14:paraId="725DA58B" w14:textId="77777777" w:rsidR="004E7C6B" w:rsidRDefault="004E7C6B">
            <w:pPr>
              <w:pStyle w:val="Marginlie"/>
              <w:rPr>
                <w:lang w:eastAsia="en-US"/>
              </w:rPr>
            </w:pPr>
          </w:p>
          <w:p w14:paraId="0DA4AABA" w14:textId="77777777" w:rsidR="004E7C6B" w:rsidRDefault="004E7C6B">
            <w:pPr>
              <w:pStyle w:val="Marginlie"/>
              <w:rPr>
                <w:lang w:eastAsia="en-US"/>
              </w:rPr>
            </w:pPr>
          </w:p>
          <w:p w14:paraId="01366456" w14:textId="77777777" w:rsidR="004E7C6B" w:rsidRDefault="004E7C6B">
            <w:pPr>
              <w:pStyle w:val="Marginlie"/>
              <w:rPr>
                <w:lang w:eastAsia="en-US"/>
              </w:rPr>
            </w:pPr>
          </w:p>
          <w:p w14:paraId="1EB3E4A7" w14:textId="77777777" w:rsidR="004E7C6B" w:rsidRDefault="004E7C6B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V hutnictví, strojírenství, kovodělném a textilním průmyslu však přetrvávala slabá poptávka.</w:t>
            </w:r>
          </w:p>
        </w:tc>
        <w:tc>
          <w:tcPr>
            <w:tcW w:w="229" w:type="dxa"/>
          </w:tcPr>
          <w:p w14:paraId="765790FD" w14:textId="77777777" w:rsidR="004E7C6B" w:rsidRDefault="004E7C6B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186239B4" w14:textId="77777777" w:rsidR="004E7C6B" w:rsidRDefault="004E7C6B">
            <w:pPr>
              <w:spacing w:after="220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>Dynamika nových průmyslových zakázek letos naznačovala mírné oživení.  Zatímco po většinu loňského roku se nominální hodnota zakázek ve sledovaných průmyslových oborech</w:t>
            </w:r>
            <w:r>
              <w:rPr>
                <w:rStyle w:val="Znakapoznpodarou"/>
                <w:color w:val="0D0D0D" w:themeColor="text1" w:themeTint="F2"/>
                <w:spacing w:val="-4"/>
                <w:lang w:eastAsia="en-US"/>
              </w:rPr>
              <w:footnoteReference w:id="17"/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 meziročně snižovala, za 1. až 3. čtvrtletí 2024 vzrostla o 3,7 % (srovnatelného tempa dosáhla ve všech dosavadních letošních kvartálech). To lze s ohledem na letošní stagnaci cen průmyslových výrobců považovat za náznak budoucího mírného hospodářského oživení celého odvětví. Takřka identický růst signalizovaly jak objednávky z tuzemska, tak ze zahraničí. Ve směru růstu celkových zakázek nejvíce působila (stejně jako po celý loňský rok) vyšší poptávka po motorových vozidlech (s růstem o 7 %</w:t>
            </w:r>
            <w:r>
              <w:rPr>
                <w:rStyle w:val="Znakapoznpodarou"/>
                <w:color w:val="0D0D0D" w:themeColor="text1" w:themeTint="F2"/>
                <w:spacing w:val="-4"/>
                <w:lang w:eastAsia="en-US"/>
              </w:rPr>
              <w:footnoteReference w:id="18"/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), dařilo se i návazné výrobě elektrických zařízení (+5 %). Pozitivní vyhlídky byly patrné také v elektronickém průmyslu a zejména ve výrobě ostatních dopravních prostředků (+25 %). Další oživení některých menších oborů předznamenávají vyšší nasmlouvané objednávky v oděvnictví, papírenství či farmacii. Řada klíčových zpracovatelských oborů byla ovšem stále limitovaná slabou poptávkou. Ta v hutnictví propadla meziročně o 13 %, ve strojírenství o 4 % a </w:t>
            </w:r>
            <w:r>
              <w:rPr>
                <w:spacing w:val="-4"/>
                <w:lang w:eastAsia="en-US"/>
              </w:rPr>
              <w:t xml:space="preserve">v kovodělném průmyslu v důsledku stále slabší tuzemské poptávky výše celkových zakázek fakticky stagnovala. Druhý rok v řadě strádala i textilní výroba, v níž byl klíčový segment produkce technických textilií nadále limitován slabší domácí poptávkou ze strany návazného odvětví stavebnictví. </w:t>
            </w:r>
          </w:p>
        </w:tc>
      </w:tr>
      <w:tr w:rsidR="004E7C6B" w14:paraId="37245522" w14:textId="77777777" w:rsidTr="004E7C6B">
        <w:trPr>
          <w:trHeight w:val="134"/>
        </w:trPr>
        <w:tc>
          <w:tcPr>
            <w:tcW w:w="1814" w:type="dxa"/>
          </w:tcPr>
          <w:p w14:paraId="0DFCC02F" w14:textId="77777777" w:rsidR="004E7C6B" w:rsidRDefault="004E7C6B">
            <w:pPr>
              <w:pStyle w:val="Marginlie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Důvěra podniků v průmyslu byla nadále nízká. Skoro polovinu firem trápí nedostatečná poptávka. Aktuální i očekávaný vývoj zaměstnanosti zůstává nepříznivý.</w:t>
            </w:r>
          </w:p>
          <w:p w14:paraId="346581FF" w14:textId="77777777" w:rsidR="004E7C6B" w:rsidRDefault="004E7C6B">
            <w:pPr>
              <w:pStyle w:val="Marginlie"/>
              <w:rPr>
                <w:color w:val="0D0D0D" w:themeColor="text1" w:themeTint="F2"/>
                <w:lang w:eastAsia="en-US"/>
              </w:rPr>
            </w:pPr>
          </w:p>
          <w:p w14:paraId="3538F2F2" w14:textId="77777777" w:rsidR="004E7C6B" w:rsidRDefault="004E7C6B">
            <w:pPr>
              <w:pStyle w:val="Marginlie"/>
              <w:rPr>
                <w:color w:val="0D0D0D" w:themeColor="text1" w:themeTint="F2"/>
                <w:lang w:eastAsia="en-US"/>
              </w:rPr>
            </w:pPr>
          </w:p>
          <w:p w14:paraId="64CD098D" w14:textId="77777777" w:rsidR="004E7C6B" w:rsidRDefault="004E7C6B">
            <w:pPr>
              <w:pStyle w:val="Marginlie"/>
              <w:rPr>
                <w:color w:val="0D0D0D" w:themeColor="text1" w:themeTint="F2"/>
                <w:lang w:eastAsia="en-US"/>
              </w:rPr>
            </w:pPr>
          </w:p>
          <w:p w14:paraId="28F445AF" w14:textId="77777777" w:rsidR="004E7C6B" w:rsidRDefault="004E7C6B">
            <w:pPr>
              <w:pStyle w:val="Marginlie"/>
              <w:rPr>
                <w:color w:val="0D0D0D" w:themeColor="text1" w:themeTint="F2"/>
                <w:lang w:eastAsia="en-US"/>
              </w:rPr>
            </w:pPr>
          </w:p>
          <w:p w14:paraId="3E220DC9" w14:textId="77777777" w:rsidR="004E7C6B" w:rsidRDefault="004E7C6B">
            <w:pPr>
              <w:pStyle w:val="Marginlie"/>
              <w:rPr>
                <w:color w:val="0D0D0D" w:themeColor="text1" w:themeTint="F2"/>
                <w:lang w:eastAsia="en-US"/>
              </w:rPr>
            </w:pPr>
          </w:p>
          <w:p w14:paraId="3B77AF3D" w14:textId="77777777" w:rsidR="004E7C6B" w:rsidRDefault="004E7C6B">
            <w:pPr>
              <w:pStyle w:val="Marginlie"/>
              <w:rPr>
                <w:color w:val="0D0D0D" w:themeColor="text1" w:themeTint="F2"/>
                <w:lang w:eastAsia="en-US"/>
              </w:rPr>
            </w:pPr>
          </w:p>
          <w:p w14:paraId="798A7B1E" w14:textId="77777777" w:rsidR="004E7C6B" w:rsidRDefault="004E7C6B">
            <w:pPr>
              <w:pStyle w:val="Marginlie"/>
              <w:rPr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Využití výrobních kapacit průmyslu nedosahuje úrovně období let 2015 až 2019. Ve výrobě motorových vozidel bylo však využití vysoké.</w:t>
            </w:r>
          </w:p>
        </w:tc>
        <w:tc>
          <w:tcPr>
            <w:tcW w:w="229" w:type="dxa"/>
          </w:tcPr>
          <w:p w14:paraId="50A2246F" w14:textId="77777777" w:rsidR="004E7C6B" w:rsidRDefault="004E7C6B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775C9DF2" w14:textId="77777777" w:rsidR="004E7C6B" w:rsidRDefault="004E7C6B">
            <w:pPr>
              <w:spacing w:after="220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3"/>
                <w:lang w:eastAsia="en-US"/>
              </w:rPr>
              <w:t>Důvěra podnikatelů v průmyslu se přes určité kolísání v posledních dvou letech významně neměnila. Nadále setrvává v negativním pásmu a letos v listopadu se nacházela skoro o</w:t>
            </w:r>
            <w:r>
              <w:rPr>
                <w:spacing w:val="-4"/>
                <w:lang w:eastAsia="en-US"/>
              </w:rPr>
              <w:t> </w:t>
            </w:r>
            <w:r>
              <w:rPr>
                <w:color w:val="0D0D0D" w:themeColor="text1" w:themeTint="F2"/>
                <w:spacing w:val="-3"/>
                <w:lang w:eastAsia="en-US"/>
              </w:rPr>
              <w:t>desetinu pod svým dlouhodobým průměrem. Přestože u nákladových tlaků došlo k</w:t>
            </w:r>
            <w:r>
              <w:rPr>
                <w:spacing w:val="-4"/>
                <w:lang w:eastAsia="en-US"/>
              </w:rPr>
              <w:t> </w:t>
            </w:r>
            <w:r>
              <w:rPr>
                <w:color w:val="0D0D0D" w:themeColor="text1" w:themeTint="F2"/>
                <w:spacing w:val="-3"/>
                <w:lang w:eastAsia="en-US"/>
              </w:rPr>
              <w:t>částečné stabilizaci (v listopadu plánovala v krátkodobém horizontu zvýšit ceny své produkce necelá čtvrtina podniků) a do normálu se vrátil i objem naskladněných zásob, podniky napříč většinou odvětví stále limituje nedostatečná poptávka. Ta i přes drobné zlepšení na počátku 4. čtvrtletí 2024 stále limitovala skoro polovinu z nich</w:t>
            </w:r>
            <w:r>
              <w:rPr>
                <w:rStyle w:val="Znakapoznpodarou"/>
                <w:color w:val="0D0D0D" w:themeColor="text1" w:themeTint="F2"/>
                <w:spacing w:val="-3"/>
                <w:lang w:eastAsia="en-US"/>
              </w:rPr>
              <w:footnoteReference w:id="19"/>
            </w:r>
            <w:r>
              <w:rPr>
                <w:color w:val="0D0D0D" w:themeColor="text1" w:themeTint="F2"/>
                <w:spacing w:val="-3"/>
                <w:lang w:eastAsia="en-US"/>
              </w:rPr>
              <w:t>. Naopak nedostatek zaměstnanců sužoval šestinu podniků</w:t>
            </w:r>
            <w:r>
              <w:rPr>
                <w:rStyle w:val="Znakapoznpodarou"/>
                <w:color w:val="0D0D0D" w:themeColor="text1" w:themeTint="F2"/>
                <w:spacing w:val="-3"/>
                <w:lang w:eastAsia="en-US"/>
              </w:rPr>
              <w:footnoteReference w:id="20"/>
            </w:r>
            <w:r>
              <w:rPr>
                <w:color w:val="0D0D0D" w:themeColor="text1" w:themeTint="F2"/>
                <w:spacing w:val="-3"/>
                <w:lang w:eastAsia="en-US"/>
              </w:rPr>
              <w:t xml:space="preserve">. To bylo sice letos nejvíce, ve srovnání s loňským listopadem jde však o mírně nižší podíl. Firmy navíc plánují v nejbližším kvartálu lidi spíše propouštět (17 %) než přijímat (6 %), což souzní i s reálným vývojem v posledních měsících (evidenční počet zaměstnanců v průmyslu se v 1. až </w:t>
            </w:r>
            <w:r>
              <w:rPr>
                <w:color w:val="0D0D0D" w:themeColor="text1" w:themeTint="F2"/>
                <w:spacing w:val="-3"/>
                <w:lang w:eastAsia="en-US"/>
              </w:rPr>
              <w:br/>
              <w:t xml:space="preserve">3. čtvrtletí 2024 meziročně snížil o 2 %). Krátkodobá očekávání výroby byla na sklonku roku mírně negativní a lehký optimismus týkající se zlepšení celkové vlastní ekonomické situace podniku, jenž přetrvával téměř po celý letošní rok, firmy v listopadu opustil. </w:t>
            </w:r>
            <w:r>
              <w:rPr>
                <w:color w:val="0D0D0D" w:themeColor="text1" w:themeTint="F2"/>
                <w:spacing w:val="-4"/>
                <w:lang w:eastAsia="en-US"/>
              </w:rPr>
              <w:t>Využití výrobních kapacit dosahovalo 82,5 % (o 2 p. b. méně než v průměru za konjunkturní období let 2015 až 2019), v samotném automobilovém průmyslu byla však situace vcelku příznivá (92,9 %), využití zde převyšovalo úroveň z období poslední konjunktury.</w:t>
            </w:r>
          </w:p>
        </w:tc>
      </w:tr>
      <w:tr w:rsidR="004E7C6B" w14:paraId="0E90FB15" w14:textId="77777777" w:rsidTr="004E7C6B">
        <w:trPr>
          <w:trHeight w:val="134"/>
        </w:trPr>
        <w:tc>
          <w:tcPr>
            <w:tcW w:w="1814" w:type="dxa"/>
            <w:vMerge w:val="restart"/>
          </w:tcPr>
          <w:p w14:paraId="07E2DBE3" w14:textId="77777777" w:rsidR="004E7C6B" w:rsidRDefault="004E7C6B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  <w:vMerge w:val="restart"/>
          </w:tcPr>
          <w:p w14:paraId="251A4179" w14:textId="77777777" w:rsidR="004E7C6B" w:rsidRDefault="004E7C6B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7B4E86A9" w14:textId="77777777" w:rsidR="004E7C6B" w:rsidRDefault="004E7C6B">
            <w:pPr>
              <w:spacing w:after="0"/>
              <w:rPr>
                <w:color w:val="0D0D0D" w:themeColor="text1" w:themeTint="F2"/>
                <w:spacing w:val="-5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 xml:space="preserve">Graf č. 5  Nové zakázky v průmyslu </w:t>
            </w:r>
            <w:r>
              <w:rPr>
                <w:bCs/>
                <w:spacing w:val="-2"/>
                <w:lang w:eastAsia="en-US"/>
              </w:rPr>
              <w:t xml:space="preserve">(nominálně, </w:t>
            </w:r>
            <w:r>
              <w:rPr>
                <w:spacing w:val="-2"/>
                <w:lang w:eastAsia="en-US"/>
              </w:rPr>
              <w:t>meziročně,</w:t>
            </w:r>
            <w:r>
              <w:rPr>
                <w:bCs/>
                <w:spacing w:val="-2"/>
                <w:lang w:eastAsia="en-US"/>
              </w:rPr>
              <w:t xml:space="preserve"> v %)</w:t>
            </w:r>
            <w:r>
              <w:rPr>
                <w:b/>
                <w:spacing w:val="-2"/>
                <w:lang w:eastAsia="en-US"/>
              </w:rPr>
              <w:t>, využití výrobních kapacit v průmyslu, vybrané bariéry růstu</w:t>
            </w:r>
            <w:r>
              <w:rPr>
                <w:spacing w:val="-2"/>
                <w:lang w:eastAsia="en-US"/>
              </w:rPr>
              <w:t xml:space="preserve">* (v %, pravá osa) </w:t>
            </w:r>
            <w:r>
              <w:rPr>
                <w:b/>
                <w:spacing w:val="-2"/>
                <w:lang w:eastAsia="en-US"/>
              </w:rPr>
              <w:t>a </w:t>
            </w:r>
            <w:r>
              <w:rPr>
                <w:b/>
                <w:lang w:eastAsia="en-US"/>
              </w:rPr>
              <w:t xml:space="preserve">saldo důvěry podnikatelů v průmyslu* </w:t>
            </w:r>
            <w:r>
              <w:rPr>
                <w:lang w:eastAsia="en-US"/>
              </w:rPr>
              <w:t>(v p. b., pravá osa)</w:t>
            </w:r>
          </w:p>
        </w:tc>
      </w:tr>
      <w:tr w:rsidR="004E7C6B" w14:paraId="7357BA3E" w14:textId="77777777" w:rsidTr="004E7C6B">
        <w:trPr>
          <w:trHeight w:val="133"/>
        </w:trPr>
        <w:tc>
          <w:tcPr>
            <w:tcW w:w="1814" w:type="dxa"/>
            <w:vMerge/>
            <w:vAlign w:val="center"/>
            <w:hideMark/>
          </w:tcPr>
          <w:p w14:paraId="6AFD0781" w14:textId="77777777" w:rsidR="004E7C6B" w:rsidRDefault="004E7C6B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0815C685" w14:textId="77777777" w:rsidR="004E7C6B" w:rsidRDefault="004E7C6B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5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6D8A19" w14:textId="160D7888" w:rsidR="004E7C6B" w:rsidRDefault="004E7C6B">
            <w:pPr>
              <w:spacing w:after="0"/>
              <w:rPr>
                <w:color w:val="0D0D0D" w:themeColor="text1" w:themeTint="F2"/>
                <w:spacing w:val="-5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ADACB7C" wp14:editId="5F81EA7C">
                  <wp:extent cx="4752975" cy="3638550"/>
                  <wp:effectExtent l="0" t="0" r="0" b="0"/>
                  <wp:docPr id="43" name="Graf 4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4E7C6B" w14:paraId="3D47B4F1" w14:textId="77777777" w:rsidTr="004E7C6B">
        <w:trPr>
          <w:trHeight w:val="133"/>
        </w:trPr>
        <w:tc>
          <w:tcPr>
            <w:tcW w:w="1814" w:type="dxa"/>
            <w:vMerge/>
            <w:vAlign w:val="center"/>
            <w:hideMark/>
          </w:tcPr>
          <w:p w14:paraId="0790E293" w14:textId="77777777" w:rsidR="004E7C6B" w:rsidRDefault="004E7C6B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5C50D33A" w14:textId="77777777" w:rsidR="004E7C6B" w:rsidRDefault="004E7C6B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596" w:type="dxa"/>
            <w:hideMark/>
          </w:tcPr>
          <w:p w14:paraId="23C45042" w14:textId="77777777" w:rsidR="004E7C6B" w:rsidRDefault="004E7C6B">
            <w:pPr>
              <w:spacing w:after="200" w:line="240" w:lineRule="auto"/>
              <w:rPr>
                <w:color w:val="0D0D0D" w:themeColor="text1" w:themeTint="F2"/>
                <w:spacing w:val="-5"/>
                <w:lang w:eastAsia="en-US"/>
              </w:rPr>
            </w:pPr>
            <w:r>
              <w:rPr>
                <w:color w:val="0D0D0D" w:themeColor="text1" w:themeTint="F2"/>
                <w:spacing w:val="-5"/>
                <w:sz w:val="14"/>
                <w:szCs w:val="14"/>
                <w:lang w:eastAsia="en-US"/>
              </w:rPr>
              <w:t>*</w:t>
            </w:r>
            <w:r>
              <w:rPr>
                <w:rFonts w:cs="Arial"/>
                <w:sz w:val="14"/>
                <w:szCs w:val="14"/>
                <w:lang w:eastAsia="en-US"/>
              </w:rPr>
              <w:t xml:space="preserve">Využití průmyslových kapacit i bariéry růstu vyjadřují stav v prvním měsíci daného čtvrtletí, saldo důvěry podnikatelů je vztaženo ke druhému měsíci čtvrtletí. Zakázky jsou očištěny o kalendářní vlivy, ostatní ukazatele jsou </w:t>
            </w:r>
            <w:r>
              <w:rPr>
                <w:rFonts w:cs="Arial"/>
                <w:spacing w:val="-2"/>
                <w:sz w:val="14"/>
                <w:szCs w:val="14"/>
                <w:lang w:eastAsia="en-US"/>
              </w:rPr>
              <w:t xml:space="preserve">sezónně očištěny. </w:t>
            </w:r>
            <w:r>
              <w:rPr>
                <w:rFonts w:cs="Arial"/>
                <w:sz w:val="14"/>
                <w:szCs w:val="14"/>
                <w:lang w:eastAsia="en-US"/>
              </w:rPr>
              <w:t>Podniky mohly uvést více hlavních růstových bariér současně.                                                                   Zdroj: ČSÚ, Eurostat</w:t>
            </w:r>
          </w:p>
        </w:tc>
      </w:tr>
      <w:tr w:rsidR="004E7C6B" w14:paraId="2DCB35D3" w14:textId="77777777" w:rsidTr="004E7C6B">
        <w:trPr>
          <w:trHeight w:val="170"/>
        </w:trPr>
        <w:tc>
          <w:tcPr>
            <w:tcW w:w="1814" w:type="dxa"/>
            <w:hideMark/>
          </w:tcPr>
          <w:p w14:paraId="02F5478A" w14:textId="77777777" w:rsidR="004E7C6B" w:rsidRDefault="004E7C6B">
            <w:pPr>
              <w:pStyle w:val="Marginlie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 xml:space="preserve">Výkon stavebnictví stále ovlivňovaly významné nákladové tlaky i slabší investiční aktivita v soukromé i veřejné sféře. </w:t>
            </w:r>
          </w:p>
        </w:tc>
        <w:tc>
          <w:tcPr>
            <w:tcW w:w="229" w:type="dxa"/>
          </w:tcPr>
          <w:p w14:paraId="16C61F46" w14:textId="77777777" w:rsidR="004E7C6B" w:rsidRDefault="004E7C6B">
            <w:pPr>
              <w:pStyle w:val="Textpoznpodarou"/>
              <w:jc w:val="both"/>
              <w:rPr>
                <w:color w:val="0D0D0D" w:themeColor="text1" w:themeTint="F2"/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49AA855E" w14:textId="77777777" w:rsidR="004E7C6B" w:rsidRDefault="004E7C6B">
            <w:pPr>
              <w:spacing w:after="200"/>
              <w:rPr>
                <w:color w:val="0D0D0D" w:themeColor="text1" w:themeTint="F2"/>
                <w:spacing w:val="-6"/>
                <w:lang w:eastAsia="en-US"/>
              </w:rPr>
            </w:pPr>
            <w:r>
              <w:rPr>
                <w:color w:val="0D0D0D" w:themeColor="text1" w:themeTint="F2"/>
                <w:spacing w:val="-6"/>
                <w:lang w:eastAsia="en-US"/>
              </w:rPr>
              <w:t xml:space="preserve">Stavebnictví bylo letos, stejně jako po většinu loňského roku, v recesi. Nepříznivý dopad měly přetrvávající slabá poptávka i cenové tlaky. Ačkoliv ceny stavebních materiálů začaly po tříletém zvyšování od loňského podzimu meziročně mírně klesat, snižování realizovaných i očekávaných cen stavební výroby bránil svižný růst nákladů práce ovlivněný </w:t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chronickým nedostatkem především kvalifikované pracovní síly. Stále se projevovala i </w:t>
            </w:r>
            <w:r>
              <w:rPr>
                <w:color w:val="0D0D0D" w:themeColor="text1" w:themeTint="F2"/>
                <w:spacing w:val="-6"/>
                <w:lang w:eastAsia="en-US"/>
              </w:rPr>
              <w:t xml:space="preserve">utlumená </w:t>
            </w:r>
            <w:r>
              <w:rPr>
                <w:color w:val="0D0D0D" w:themeColor="text1" w:themeTint="F2"/>
                <w:spacing w:val="-6"/>
                <w:lang w:eastAsia="en-US"/>
              </w:rPr>
              <w:lastRenderedPageBreak/>
              <w:t>investiční aktivita v soukromé sféře související se slabší důvěrou podniků i domácností v ekonomiku a ztíženými možnostmi financování investic. K tomu přistoupil i očekávaný pokles veřejných investic související s přechodem na nové programové období EU</w:t>
            </w:r>
            <w:r>
              <w:rPr>
                <w:rStyle w:val="Znakapoznpodarou"/>
                <w:color w:val="0D0D0D" w:themeColor="text1" w:themeTint="F2"/>
                <w:spacing w:val="-6"/>
                <w:lang w:eastAsia="en-US"/>
              </w:rPr>
              <w:footnoteReference w:id="21"/>
            </w:r>
            <w:r>
              <w:rPr>
                <w:color w:val="0D0D0D" w:themeColor="text1" w:themeTint="F2"/>
                <w:spacing w:val="-6"/>
                <w:lang w:eastAsia="en-US"/>
              </w:rPr>
              <w:t>.</w:t>
            </w:r>
          </w:p>
        </w:tc>
      </w:tr>
      <w:tr w:rsidR="004E7C6B" w14:paraId="44ECCE45" w14:textId="77777777" w:rsidTr="004E7C6B">
        <w:trPr>
          <w:trHeight w:val="170"/>
        </w:trPr>
        <w:tc>
          <w:tcPr>
            <w:tcW w:w="1814" w:type="dxa"/>
            <w:hideMark/>
          </w:tcPr>
          <w:p w14:paraId="67DCAED9" w14:textId="77777777" w:rsidR="004E7C6B" w:rsidRDefault="004E7C6B">
            <w:pPr>
              <w:pStyle w:val="Marginlie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lastRenderedPageBreak/>
              <w:t>Meziroční pokles stavební produkce pokračoval druhým rokem. Největší útlum letos postihl specializované stavební činnosti.</w:t>
            </w:r>
          </w:p>
        </w:tc>
        <w:tc>
          <w:tcPr>
            <w:tcW w:w="229" w:type="dxa"/>
          </w:tcPr>
          <w:p w14:paraId="182CBAD0" w14:textId="77777777" w:rsidR="004E7C6B" w:rsidRDefault="004E7C6B">
            <w:pPr>
              <w:pStyle w:val="Textpoznpodarou"/>
              <w:jc w:val="both"/>
              <w:rPr>
                <w:color w:val="0D0D0D" w:themeColor="text1" w:themeTint="F2"/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07077A55" w14:textId="77777777" w:rsidR="004E7C6B" w:rsidRDefault="004E7C6B">
            <w:pPr>
              <w:rPr>
                <w:rStyle w:val="normaltextrun"/>
                <w:spacing w:val="-5"/>
              </w:rPr>
            </w:pPr>
            <w:r>
              <w:rPr>
                <w:color w:val="0D0D0D" w:themeColor="text1" w:themeTint="F2"/>
                <w:spacing w:val="-5"/>
                <w:lang w:eastAsia="en-US"/>
              </w:rPr>
              <w:t>Stavební produkce</w:t>
            </w:r>
            <w:r>
              <w:rPr>
                <w:rStyle w:val="Znakapoznpodarou"/>
                <w:color w:val="0D0D0D" w:themeColor="text1" w:themeTint="F2"/>
                <w:spacing w:val="-5"/>
                <w:lang w:eastAsia="en-US"/>
              </w:rPr>
              <w:footnoteReference w:id="22"/>
            </w:r>
            <w:r>
              <w:rPr>
                <w:color w:val="0D0D0D" w:themeColor="text1" w:themeTint="F2"/>
                <w:spacing w:val="-5"/>
                <w:lang w:eastAsia="en-US"/>
              </w:rPr>
              <w:t xml:space="preserve"> sice na počátku roku 2024 primárně díky příznivému počasí mezikvartálně vzrostla o 0,7 % (a zastavila tak nepříznivý vývoj, jenž vyplnil většinu loňského roku), během 2. čtvrtletí se ovšem propadla o 3,4 %, když k citelnému poklesu došlo se srovnatelnou intenzitou ve všech jeho hlavních segmentech. Ačkoli další kvartál přinesl mírné zotavení (+1,0 %), jarní útlum v žádném z nich zdaleka nevykompenzoval. Ve 3.</w:t>
            </w:r>
            <w:r>
              <w:rPr>
                <w:rStyle w:val="normaltextrun"/>
                <w:rFonts w:cs="Arial"/>
                <w:color w:val="000000"/>
                <w:spacing w:val="-5"/>
                <w:szCs w:val="20"/>
                <w:lang w:eastAsia="en-US"/>
              </w:rPr>
              <w:t> </w:t>
            </w:r>
            <w:r>
              <w:rPr>
                <w:color w:val="0D0D0D" w:themeColor="text1" w:themeTint="F2"/>
                <w:spacing w:val="-5"/>
                <w:lang w:eastAsia="en-US"/>
              </w:rPr>
              <w:t>čtvrtletí 2024 i proto zaostával výkon celého odvětví za vrcholem z poslední konjunktury (3.</w:t>
            </w:r>
            <w:r>
              <w:rPr>
                <w:rStyle w:val="normaltextrun"/>
                <w:rFonts w:cs="Arial"/>
                <w:color w:val="000000"/>
                <w:spacing w:val="-5"/>
                <w:szCs w:val="20"/>
                <w:lang w:eastAsia="en-US"/>
              </w:rPr>
              <w:t> </w:t>
            </w:r>
            <w:r>
              <w:rPr>
                <w:color w:val="0D0D0D" w:themeColor="text1" w:themeTint="F2"/>
                <w:spacing w:val="-5"/>
                <w:lang w:eastAsia="en-US"/>
              </w:rPr>
              <w:t>čtvrtletí 2019) skoro o 8 %. Meziroční pokles produkce dosáhl letos za tři čtvrtletí 4,3 % (proti stejnému období předešlého roku se téměř zdvojnásobil). Celé odvětví táhlo dolů takřka výhradně pozemní stavitelství, kde se nedařilo jak výstavbě budov (</w:t>
            </w:r>
            <w:r>
              <w:rPr>
                <w:rStyle w:val="normaltextrun"/>
                <w:rFonts w:cs="Arial"/>
                <w:color w:val="000000"/>
                <w:spacing w:val="-5"/>
                <w:szCs w:val="20"/>
                <w:lang w:eastAsia="en-US"/>
              </w:rPr>
              <w:t>−</w:t>
            </w:r>
            <w:r>
              <w:rPr>
                <w:color w:val="0D0D0D" w:themeColor="text1" w:themeTint="F2"/>
                <w:spacing w:val="-5"/>
                <w:lang w:eastAsia="en-US"/>
              </w:rPr>
              <w:t xml:space="preserve">4,9 %), tak </w:t>
            </w:r>
            <w:r>
              <w:rPr>
                <w:rStyle w:val="normaltextrun"/>
                <w:rFonts w:cs="Arial"/>
                <w:color w:val="000000"/>
                <w:spacing w:val="-5"/>
                <w:szCs w:val="20"/>
                <w:lang w:eastAsia="en-US"/>
              </w:rPr>
              <w:t xml:space="preserve">specializovaným stavebním činnostem </w:t>
            </w:r>
            <w:r>
              <w:rPr>
                <w:color w:val="0D0D0D" w:themeColor="text1" w:themeTint="F2"/>
                <w:spacing w:val="-5"/>
                <w:lang w:eastAsia="en-US"/>
              </w:rPr>
              <w:t>(</w:t>
            </w:r>
            <w:r>
              <w:rPr>
                <w:rStyle w:val="normaltextrun"/>
                <w:rFonts w:cs="Arial"/>
                <w:color w:val="000000"/>
                <w:spacing w:val="-5"/>
                <w:szCs w:val="20"/>
                <w:lang w:eastAsia="en-US"/>
              </w:rPr>
              <w:t>−</w:t>
            </w:r>
            <w:r>
              <w:rPr>
                <w:color w:val="0D0D0D" w:themeColor="text1" w:themeTint="F2"/>
                <w:spacing w:val="-5"/>
                <w:lang w:eastAsia="en-US"/>
              </w:rPr>
              <w:t>7,3 %)</w:t>
            </w:r>
            <w:r>
              <w:rPr>
                <w:rStyle w:val="Znakapoznpodarou"/>
                <w:color w:val="0D0D0D" w:themeColor="text1" w:themeTint="F2"/>
                <w:spacing w:val="-5"/>
                <w:lang w:eastAsia="en-US"/>
              </w:rPr>
              <w:footnoteReference w:id="23"/>
            </w:r>
            <w:r>
              <w:rPr>
                <w:color w:val="0D0D0D" w:themeColor="text1" w:themeTint="F2"/>
                <w:spacing w:val="-5"/>
                <w:lang w:eastAsia="en-US"/>
              </w:rPr>
              <w:t>. Výkon i</w:t>
            </w:r>
            <w:r>
              <w:rPr>
                <w:rStyle w:val="normaltextrun"/>
                <w:rFonts w:cs="Arial"/>
                <w:color w:val="000000"/>
                <w:spacing w:val="-5"/>
                <w:szCs w:val="20"/>
                <w:lang w:eastAsia="en-US"/>
              </w:rPr>
              <w:t>nženýrského stavitelství i přes pomalejší náběh financování z evropských zdrojů naopak klesl jen mírně (−0,3 %).</w:t>
            </w:r>
          </w:p>
        </w:tc>
      </w:tr>
      <w:tr w:rsidR="004E7C6B" w14:paraId="46975BA9" w14:textId="77777777" w:rsidTr="004E7C6B">
        <w:trPr>
          <w:trHeight w:val="170"/>
        </w:trPr>
        <w:tc>
          <w:tcPr>
            <w:tcW w:w="1814" w:type="dxa"/>
            <w:hideMark/>
          </w:tcPr>
          <w:p w14:paraId="4BB1FA2B" w14:textId="77777777" w:rsidR="004E7C6B" w:rsidRDefault="004E7C6B">
            <w:pPr>
              <w:pStyle w:val="Marginlie"/>
              <w:rPr>
                <w:spacing w:val="-4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>Bytová výstavba byla celkově stále utlumená, k výraznějšímu oživení ale došlo v Praze.</w:t>
            </w:r>
          </w:p>
        </w:tc>
        <w:tc>
          <w:tcPr>
            <w:tcW w:w="229" w:type="dxa"/>
          </w:tcPr>
          <w:p w14:paraId="05D719F1" w14:textId="77777777" w:rsidR="004E7C6B" w:rsidRDefault="004E7C6B">
            <w:pPr>
              <w:pStyle w:val="Textpoznpodarou"/>
              <w:jc w:val="both"/>
              <w:rPr>
                <w:color w:val="0D0D0D" w:themeColor="text1" w:themeTint="F2"/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280AEF9E" w14:textId="77777777" w:rsidR="004E7C6B" w:rsidRDefault="004E7C6B">
            <w:pPr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 xml:space="preserve">Výkon pozemního stavitelství v 1. až 3. čtvrtletí 2024 (stejně jako po celý loňský rok) ovlivňovala utlumená bytová výstavba. Počet zahájených bytů (27,3 tis.) </w:t>
            </w:r>
            <w:r>
              <w:rPr>
                <w:color w:val="0D0D0D" w:themeColor="text1" w:themeTint="F2"/>
                <w:spacing w:val="-6"/>
                <w:lang w:eastAsia="en-US"/>
              </w:rPr>
              <w:t xml:space="preserve">meziročně </w:t>
            </w:r>
            <w:r>
              <w:rPr>
                <w:color w:val="0D0D0D" w:themeColor="text1" w:themeTint="F2"/>
                <w:spacing w:val="-7"/>
                <w:lang w:eastAsia="en-US"/>
              </w:rPr>
              <w:t xml:space="preserve">stagnoval, když byl skoro </w:t>
            </w:r>
            <w:r>
              <w:rPr>
                <w:rStyle w:val="normaltextrun"/>
                <w:rFonts w:eastAsia="MS Gothic" w:cs="Arial"/>
                <w:color w:val="000000"/>
                <w:spacing w:val="-7"/>
                <w:szCs w:val="20"/>
                <w:lang w:eastAsia="en-US"/>
              </w:rPr>
              <w:t>o čtvrtinu vyšší růst výstavby v bytových domech kompenzován poklesem</w:t>
            </w:r>
            <w:r>
              <w:rPr>
                <w:rStyle w:val="normaltextrun"/>
                <w:rFonts w:eastAsia="MS Gothic" w:cs="Arial"/>
                <w:color w:val="000000"/>
                <w:szCs w:val="20"/>
                <w:lang w:eastAsia="en-US"/>
              </w:rPr>
              <w:t xml:space="preserve"> u rodinných domů (10 %) a dalších forem výstavby.</w:t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 Poslední oživení celkové výstavby přitom nastalo před třemi lety. Proti rekordní úrovni z roku 2008 ta letošní </w:t>
            </w:r>
            <w:r>
              <w:rPr>
                <w:color w:val="0D0D0D" w:themeColor="text1" w:themeTint="F2"/>
                <w:spacing w:val="-6"/>
                <w:lang w:eastAsia="en-US"/>
              </w:rPr>
              <w:t>zaostávala takřka o pětinu. Dokončených bytů letos vzniklo 24,2 tis. a jejich počet mírně</w:t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 klesl druhým rokem v řadě, aktuálně o 6,6 %. Pokles letos nastal ve všech formách výstavby </w:t>
            </w:r>
            <w:r>
              <w:rPr>
                <w:color w:val="0D0D0D" w:themeColor="text1" w:themeTint="F2"/>
                <w:spacing w:val="-4"/>
                <w:lang w:eastAsia="en-US"/>
              </w:rPr>
              <w:br/>
              <w:t>a také skoro ve třech čtvrtinách krajů. Stejně jako u zahájené výstavby je patrné oživení v Praze, dokončeno tu bylo 5,3 tis. bytů (v rámci 1. až 3. kvartálu šlo o rekordní výstavbu).</w:t>
            </w:r>
          </w:p>
        </w:tc>
      </w:tr>
      <w:tr w:rsidR="004E7C6B" w14:paraId="243355CA" w14:textId="77777777" w:rsidTr="004E7C6B">
        <w:trPr>
          <w:trHeight w:val="170"/>
        </w:trPr>
        <w:tc>
          <w:tcPr>
            <w:tcW w:w="1814" w:type="dxa"/>
          </w:tcPr>
          <w:p w14:paraId="37A44560" w14:textId="77777777" w:rsidR="004E7C6B" w:rsidRDefault="004E7C6B">
            <w:pPr>
              <w:pStyle w:val="Marginlie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 xml:space="preserve">Hodnota povolených staveb nové dopravní infrastruktury se po silném loňském roce propadla. K oživení naopak došlo u nové bytové výstavby. </w:t>
            </w:r>
          </w:p>
          <w:p w14:paraId="34064BB1" w14:textId="77777777" w:rsidR="004E7C6B" w:rsidRDefault="004E7C6B">
            <w:pPr>
              <w:pStyle w:val="Marginlie"/>
              <w:rPr>
                <w:color w:val="0D0D0D" w:themeColor="text1" w:themeTint="F2"/>
                <w:spacing w:val="-4"/>
                <w:lang w:eastAsia="en-US"/>
              </w:rPr>
            </w:pPr>
          </w:p>
          <w:p w14:paraId="70929AA4" w14:textId="77777777" w:rsidR="004E7C6B" w:rsidRDefault="004E7C6B">
            <w:pPr>
              <w:pStyle w:val="Marginlie"/>
              <w:rPr>
                <w:color w:val="0D0D0D" w:themeColor="text1" w:themeTint="F2"/>
                <w:spacing w:val="-4"/>
                <w:lang w:eastAsia="en-US"/>
              </w:rPr>
            </w:pPr>
          </w:p>
          <w:p w14:paraId="43438182" w14:textId="77777777" w:rsidR="004E7C6B" w:rsidRDefault="004E7C6B">
            <w:pPr>
              <w:pStyle w:val="Marginlie"/>
              <w:rPr>
                <w:color w:val="0D0D0D" w:themeColor="text1" w:themeTint="F2"/>
                <w:spacing w:val="-4"/>
                <w:lang w:eastAsia="en-US"/>
              </w:rPr>
            </w:pPr>
          </w:p>
          <w:p w14:paraId="0FCC42DA" w14:textId="77777777" w:rsidR="004E7C6B" w:rsidRDefault="004E7C6B">
            <w:pPr>
              <w:pStyle w:val="Marginlie"/>
              <w:rPr>
                <w:color w:val="0D0D0D" w:themeColor="text1" w:themeTint="F2"/>
                <w:spacing w:val="-4"/>
                <w:lang w:eastAsia="en-US"/>
              </w:rPr>
            </w:pPr>
          </w:p>
          <w:p w14:paraId="2A2D6AE1" w14:textId="77777777" w:rsidR="004E7C6B" w:rsidRDefault="004E7C6B">
            <w:pPr>
              <w:pStyle w:val="Marginlie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>Růst hodnoty nových zakázek se ve 3. čtvrtletí zastavil, ale vlivem vyšší rozestavěnosti nadále svižně rostla celková zásoba práce.</w:t>
            </w:r>
          </w:p>
          <w:p w14:paraId="2B6A10BB" w14:textId="77777777" w:rsidR="004E7C6B" w:rsidRDefault="004E7C6B">
            <w:pPr>
              <w:pStyle w:val="Marginlie"/>
              <w:rPr>
                <w:color w:val="0D0D0D" w:themeColor="text1" w:themeTint="F2"/>
                <w:spacing w:val="-4"/>
                <w:lang w:eastAsia="en-US"/>
              </w:rPr>
            </w:pPr>
          </w:p>
        </w:tc>
        <w:tc>
          <w:tcPr>
            <w:tcW w:w="229" w:type="dxa"/>
          </w:tcPr>
          <w:p w14:paraId="1F10AB5B" w14:textId="77777777" w:rsidR="004E7C6B" w:rsidRDefault="004E7C6B">
            <w:pPr>
              <w:pStyle w:val="Textpoznpodarou"/>
              <w:jc w:val="both"/>
              <w:rPr>
                <w:color w:val="0D0D0D" w:themeColor="text1" w:themeTint="F2"/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5D8A783B" w14:textId="77777777" w:rsidR="004E7C6B" w:rsidRDefault="004E7C6B">
            <w:pPr>
              <w:rPr>
                <w:color w:val="0D0D0D" w:themeColor="text1" w:themeTint="F2"/>
                <w:spacing w:val="-6"/>
                <w:lang w:eastAsia="en-US"/>
              </w:rPr>
            </w:pPr>
            <w:r>
              <w:rPr>
                <w:color w:val="0D0D0D" w:themeColor="text1" w:themeTint="F2"/>
                <w:spacing w:val="-6"/>
                <w:lang w:eastAsia="en-US"/>
              </w:rPr>
              <w:t xml:space="preserve">Meziroční růst nominální hodnoty povolených staveb, trvající pět kvartálů v řadě, se letos ve 2. čtvrtletí zastavil, když ubylo hlavně velkých staveb (nad 1 mld. korun). Ani v následujícím období ke zlepšení nedošlo a v úhrnu od ledna do října tak hodnota klesla o 3,7 %, </w:t>
            </w:r>
            <w:r>
              <w:rPr>
                <w:rStyle w:val="normaltextrun"/>
                <w:rFonts w:eastAsia="MS Gothic" w:cs="Arial"/>
                <w:color w:val="000000"/>
                <w:szCs w:val="20"/>
                <w:lang w:eastAsia="en-US"/>
              </w:rPr>
              <w:t xml:space="preserve">což souviselo hlavně s očekávaným propadem u dopravní infrastruktury (o 26,4 %), naopak pozitivně působily ostatní inženýrské stavby (+9,2 %) a také bytová výstavba (1,8 %), u níž šlo ovšem o efekt rostoucích cen. Obecně letos u hodnoty povolení klesají hlavně rekonstrukce a modernizace. K obratu došlo letos i u nových tuzemských stavebních zakázek (uzavřených </w:t>
            </w:r>
            <w:r>
              <w:rPr>
                <w:color w:val="0D0D0D" w:themeColor="text1" w:themeTint="F2"/>
                <w:spacing w:val="-6"/>
                <w:lang w:eastAsia="en-US"/>
              </w:rPr>
              <w:t xml:space="preserve">podniky nad 50 zaměstnanců). </w:t>
            </w:r>
            <w:r>
              <w:rPr>
                <w:color w:val="0D0D0D" w:themeColor="text1" w:themeTint="F2"/>
                <w:spacing w:val="-2"/>
                <w:lang w:eastAsia="en-US"/>
              </w:rPr>
              <w:t xml:space="preserve">Jejich svižný meziroční růst </w:t>
            </w:r>
            <w:r>
              <w:rPr>
                <w:color w:val="0D0D0D" w:themeColor="text1" w:themeTint="F2"/>
                <w:spacing w:val="-2"/>
                <w:lang w:eastAsia="en-US"/>
              </w:rPr>
              <w:br/>
              <w:t>v 1. pololetí (+27,3 %) ve 3. kvartálu již nepokračoval (</w:t>
            </w:r>
            <w:r>
              <w:rPr>
                <w:rStyle w:val="normaltextrun"/>
                <w:rFonts w:cs="Arial"/>
                <w:color w:val="000000"/>
                <w:spacing w:val="-2"/>
                <w:szCs w:val="20"/>
                <w:lang w:eastAsia="en-US"/>
              </w:rPr>
              <w:t>−</w:t>
            </w:r>
            <w:r>
              <w:rPr>
                <w:color w:val="0D0D0D" w:themeColor="text1" w:themeTint="F2"/>
                <w:spacing w:val="-2"/>
                <w:lang w:eastAsia="en-US"/>
              </w:rPr>
              <w:t>2,2 %),</w:t>
            </w:r>
            <w:r>
              <w:rPr>
                <w:color w:val="0D0D0D" w:themeColor="text1" w:themeTint="F2"/>
                <w:spacing w:val="-6"/>
                <w:lang w:eastAsia="en-US"/>
              </w:rPr>
              <w:t xml:space="preserve"> k poklesu došlo </w:t>
            </w:r>
            <w:r>
              <w:rPr>
                <w:color w:val="0D0D0D" w:themeColor="text1" w:themeTint="F2"/>
                <w:spacing w:val="-6"/>
                <w:lang w:eastAsia="en-US"/>
              </w:rPr>
              <w:br/>
              <w:t xml:space="preserve">u inženýrských staveb, kde se projevil efekt vysoké loňské základny. </w:t>
            </w:r>
            <w:r>
              <w:rPr>
                <w:rStyle w:val="normaltextrun"/>
                <w:rFonts w:eastAsia="MS Gothic" w:cs="Arial"/>
                <w:color w:val="000000"/>
                <w:szCs w:val="20"/>
                <w:lang w:eastAsia="en-US"/>
              </w:rPr>
              <w:t>Pozitivní je, že stav zásoby práce (všechny dosud nerealizované zakázky) ve středních a větších stavebních firmách nadále meziročně roste (letos na konci září o rovných 20 %) vyjma zakázek v zahraničí ve všech segmentech. Oživení je patrné u soukromých zakázek v Česku (+32,4 %), ty se ovšem na celkové zásobě práce stále podílely necelou třetinou (stále totiž dlouhodobě převažuje poptávka od veřejných zadavatelů z tuzemska).</w:t>
            </w:r>
          </w:p>
        </w:tc>
      </w:tr>
      <w:tr w:rsidR="004E7C6B" w14:paraId="7F5AC977" w14:textId="77777777" w:rsidTr="004E7C6B">
        <w:trPr>
          <w:trHeight w:val="170"/>
        </w:trPr>
        <w:tc>
          <w:tcPr>
            <w:tcW w:w="1814" w:type="dxa"/>
            <w:hideMark/>
          </w:tcPr>
          <w:p w14:paraId="606EDE81" w14:textId="77777777" w:rsidR="004E7C6B" w:rsidRDefault="004E7C6B">
            <w:pPr>
              <w:pStyle w:val="Marginlie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>Důvěra podnikatelů ve stavebnictví se letos od září zlepšovala. Nadále zde však přetrvávají výrazné růstové bariéry.</w:t>
            </w:r>
          </w:p>
        </w:tc>
        <w:tc>
          <w:tcPr>
            <w:tcW w:w="229" w:type="dxa"/>
          </w:tcPr>
          <w:p w14:paraId="185AD694" w14:textId="77777777" w:rsidR="004E7C6B" w:rsidRDefault="004E7C6B">
            <w:pPr>
              <w:pStyle w:val="Textpoznpodarou"/>
              <w:jc w:val="both"/>
              <w:rPr>
                <w:color w:val="0D0D0D" w:themeColor="text1" w:themeTint="F2"/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6FE6ABD4" w14:textId="77777777" w:rsidR="004E7C6B" w:rsidRDefault="004E7C6B">
            <w:pPr>
              <w:rPr>
                <w:color w:val="0D0D0D" w:themeColor="text1" w:themeTint="F2"/>
                <w:spacing w:val="-6"/>
                <w:lang w:eastAsia="en-US"/>
              </w:rPr>
            </w:pPr>
            <w:r>
              <w:rPr>
                <w:color w:val="0D0D0D" w:themeColor="text1" w:themeTint="F2"/>
                <w:spacing w:val="-6"/>
                <w:lang w:eastAsia="en-US"/>
              </w:rPr>
              <w:t>Od letošního září se zmírňoval p</w:t>
            </w:r>
            <w:r>
              <w:rPr>
                <w:rStyle w:val="normaltextrun"/>
                <w:rFonts w:eastAsiaTheme="majorEastAsia" w:cs="Arial"/>
                <w:szCs w:val="20"/>
                <w:lang w:eastAsia="en-US"/>
              </w:rPr>
              <w:t xml:space="preserve">esimismus podnikatelů ve stavebnictví. V listopadu tak byla důvěra podnikatelů nejvyšší za poslední dva roky (saldo -5 bodů). Stálo za tím zlepšení očekávání zaměstnanosti (ubylo firem plánujících propouštění). Hodnocení </w:t>
            </w:r>
            <w:r>
              <w:rPr>
                <w:rStyle w:val="normaltextrun"/>
                <w:rFonts w:eastAsiaTheme="majorEastAsia" w:cs="Arial"/>
                <w:spacing w:val="-4"/>
                <w:szCs w:val="20"/>
                <w:lang w:eastAsia="en-US"/>
              </w:rPr>
              <w:t>současné poptávky bylo však stále nepříznivé (čtvrtina firem ji považuje za nedostatečnou).</w:t>
            </w:r>
            <w:r>
              <w:rPr>
                <w:rStyle w:val="normaltextrun"/>
                <w:rFonts w:eastAsiaTheme="majorEastAsia" w:cs="Arial"/>
                <w:szCs w:val="20"/>
                <w:lang w:eastAsia="en-US"/>
              </w:rPr>
              <w:t xml:space="preserve"> Klíčovou bariérou růstu odvětví ale s výrazným předstihem zůstává nedostatek </w:t>
            </w:r>
            <w:r>
              <w:rPr>
                <w:rStyle w:val="normaltextrun"/>
                <w:rFonts w:eastAsiaTheme="majorEastAsia" w:cs="Arial"/>
                <w:szCs w:val="20"/>
                <w:lang w:eastAsia="en-US"/>
              </w:rPr>
              <w:lastRenderedPageBreak/>
              <w:t>(zejména kvalifikovaných) pracovníků. Jeho role, stejně jako dalších bariér, se během letošního roku významně neměnila. Očekávání stavební činnosti na nejbližší 3 měsíce (i po zohlednění sezónních vlivů) zůstala na konci roku mírně pozitivní. To se promítá i do očekávání celkové ekonomické situace firem, jež je aktuálně ve stavebnictví příznivější než v průmyslu.</w:t>
            </w:r>
            <w:r>
              <w:rPr>
                <w:rStyle w:val="eop"/>
                <w:rFonts w:cs="Arial"/>
                <w:szCs w:val="20"/>
                <w:lang w:eastAsia="en-US"/>
              </w:rPr>
              <w:t> </w:t>
            </w:r>
          </w:p>
        </w:tc>
      </w:tr>
      <w:tr w:rsidR="004E7C6B" w14:paraId="44EDDBFB" w14:textId="77777777" w:rsidTr="004E7C6B">
        <w:trPr>
          <w:trHeight w:val="170"/>
        </w:trPr>
        <w:tc>
          <w:tcPr>
            <w:tcW w:w="1814" w:type="dxa"/>
            <w:vMerge w:val="restart"/>
          </w:tcPr>
          <w:p w14:paraId="58EFD855" w14:textId="77777777" w:rsidR="004E7C6B" w:rsidRDefault="004E7C6B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  <w:vMerge w:val="restart"/>
          </w:tcPr>
          <w:p w14:paraId="044B29B2" w14:textId="77777777" w:rsidR="004E7C6B" w:rsidRDefault="004E7C6B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528B4BF5" w14:textId="77777777" w:rsidR="004E7C6B" w:rsidRDefault="004E7C6B">
            <w:pPr>
              <w:spacing w:after="20"/>
              <w:rPr>
                <w:rFonts w:cs="Arial"/>
                <w:bCs/>
                <w:lang w:eastAsia="en-US"/>
              </w:rPr>
            </w:pPr>
            <w:r>
              <w:rPr>
                <w:b/>
                <w:spacing w:val="-5"/>
                <w:lang w:eastAsia="en-US"/>
              </w:rPr>
              <w:t xml:space="preserve">Graf č. 6 Příspěvky odvětví k meziroční změně stavební produkce </w:t>
            </w:r>
            <w:r>
              <w:rPr>
                <w:spacing w:val="-5"/>
                <w:lang w:eastAsia="en-US"/>
              </w:rPr>
              <w:t>(reálně, v p. b.)</w:t>
            </w:r>
            <w:r>
              <w:rPr>
                <w:b/>
                <w:bCs/>
                <w:spacing w:val="-5"/>
                <w:lang w:eastAsia="en-US"/>
              </w:rPr>
              <w:t>,</w:t>
            </w:r>
            <w:r>
              <w:rPr>
                <w:b/>
                <w:bCs/>
                <w:spacing w:val="-5"/>
                <w:lang w:eastAsia="en-US"/>
              </w:rPr>
              <w:br/>
            </w:r>
            <w:r>
              <w:rPr>
                <w:b/>
                <w:spacing w:val="-5"/>
                <w:lang w:eastAsia="en-US"/>
              </w:rPr>
              <w:t xml:space="preserve">nové stavební zakázky </w:t>
            </w:r>
            <w:r>
              <w:rPr>
                <w:spacing w:val="-5"/>
                <w:lang w:eastAsia="en-US"/>
              </w:rPr>
              <w:t>(</w:t>
            </w:r>
            <w:r>
              <w:rPr>
                <w:bCs/>
                <w:spacing w:val="-5"/>
                <w:lang w:eastAsia="en-US"/>
              </w:rPr>
              <w:t xml:space="preserve">nominálně, </w:t>
            </w:r>
            <w:r>
              <w:rPr>
                <w:spacing w:val="-5"/>
                <w:lang w:eastAsia="en-US"/>
              </w:rPr>
              <w:t>meziročně,</w:t>
            </w:r>
            <w:r>
              <w:rPr>
                <w:bCs/>
                <w:spacing w:val="-5"/>
                <w:lang w:eastAsia="en-US"/>
              </w:rPr>
              <w:t xml:space="preserve"> v %)</w:t>
            </w:r>
            <w:r>
              <w:rPr>
                <w:b/>
                <w:spacing w:val="-5"/>
                <w:lang w:eastAsia="en-US"/>
              </w:rPr>
              <w:t>, saldo důvěry podnikatelů ve stavebnictví*</w:t>
            </w:r>
            <w:r>
              <w:rPr>
                <w:spacing w:val="-5"/>
                <w:lang w:eastAsia="en-US"/>
              </w:rPr>
              <w:t xml:space="preserve"> (v p. b., pravá osa) </w:t>
            </w:r>
            <w:r>
              <w:rPr>
                <w:b/>
                <w:spacing w:val="-5"/>
                <w:lang w:eastAsia="en-US"/>
              </w:rPr>
              <w:t>a vybrané bariéry růstu</w:t>
            </w:r>
            <w:r>
              <w:rPr>
                <w:spacing w:val="-5"/>
                <w:lang w:eastAsia="en-US"/>
              </w:rPr>
              <w:t>* (v %, pravá osa)</w:t>
            </w:r>
          </w:p>
        </w:tc>
      </w:tr>
      <w:tr w:rsidR="004E7C6B" w14:paraId="6DE60FB0" w14:textId="77777777" w:rsidTr="004E7C6B">
        <w:trPr>
          <w:trHeight w:val="170"/>
        </w:trPr>
        <w:tc>
          <w:tcPr>
            <w:tcW w:w="1814" w:type="dxa"/>
            <w:vMerge/>
            <w:vAlign w:val="center"/>
            <w:hideMark/>
          </w:tcPr>
          <w:p w14:paraId="741D0E30" w14:textId="77777777" w:rsidR="004E7C6B" w:rsidRDefault="004E7C6B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19B637C2" w14:textId="77777777" w:rsidR="004E7C6B" w:rsidRDefault="004E7C6B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5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85CBBD" w14:textId="4671C67C" w:rsidR="004E7C6B" w:rsidRDefault="004E7C6B">
            <w:pPr>
              <w:spacing w:after="0"/>
              <w:rPr>
                <w:spacing w:val="-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6BD4DCE" wp14:editId="4E1CEB0A">
                  <wp:extent cx="4714875" cy="3457575"/>
                  <wp:effectExtent l="0" t="0" r="0" b="0"/>
                  <wp:docPr id="40" name="Graf 4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4E7C6B" w14:paraId="2EA73542" w14:textId="77777777" w:rsidTr="004E7C6B">
        <w:trPr>
          <w:trHeight w:val="170"/>
        </w:trPr>
        <w:tc>
          <w:tcPr>
            <w:tcW w:w="1814" w:type="dxa"/>
            <w:vMerge/>
            <w:vAlign w:val="center"/>
            <w:hideMark/>
          </w:tcPr>
          <w:p w14:paraId="2DF4C0DC" w14:textId="77777777" w:rsidR="004E7C6B" w:rsidRDefault="004E7C6B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21977D62" w14:textId="77777777" w:rsidR="004E7C6B" w:rsidRDefault="004E7C6B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596" w:type="dxa"/>
            <w:hideMark/>
          </w:tcPr>
          <w:p w14:paraId="4BB1DAB0" w14:textId="77777777" w:rsidR="004E7C6B" w:rsidRDefault="004E7C6B">
            <w:pPr>
              <w:spacing w:after="0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Poznámka: Údaje o stavební produkci jsou očištěny o kalendářní vlivy.</w:t>
            </w:r>
          </w:p>
          <w:p w14:paraId="011F73B9" w14:textId="77777777" w:rsidR="004E7C6B" w:rsidRDefault="004E7C6B">
            <w:pPr>
              <w:pStyle w:val="Textpoznpodarou"/>
              <w:spacing w:after="240"/>
              <w:jc w:val="both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*</w:t>
            </w:r>
            <w:r>
              <w:rPr>
                <w:rFonts w:cs="Arial"/>
                <w:spacing w:val="-2"/>
                <w:sz w:val="14"/>
                <w:szCs w:val="14"/>
                <w:lang w:eastAsia="en-US"/>
              </w:rPr>
              <w:t>Saldo důvěry podnikatelů i bariéry růstu jsou sezónně očištěny a vyjadřují stav ve druhém měsíci daného čtvrtletí</w:t>
            </w:r>
            <w:r>
              <w:rPr>
                <w:rFonts w:cs="Arial"/>
                <w:sz w:val="14"/>
                <w:szCs w:val="14"/>
                <w:lang w:eastAsia="en-US"/>
              </w:rPr>
              <w:t>. Podniky mohly uvést více hlavních bariér současně.                                                                                                 Zdroj: ČSÚ, Eurostat</w:t>
            </w:r>
          </w:p>
        </w:tc>
      </w:tr>
      <w:tr w:rsidR="004E7C6B" w14:paraId="5C69A299" w14:textId="77777777" w:rsidTr="004E7C6B">
        <w:trPr>
          <w:trHeight w:val="170"/>
        </w:trPr>
        <w:tc>
          <w:tcPr>
            <w:tcW w:w="1814" w:type="dxa"/>
            <w:hideMark/>
          </w:tcPr>
          <w:p w14:paraId="5FB2EF88" w14:textId="77777777" w:rsidR="004E7C6B" w:rsidRDefault="004E7C6B">
            <w:pPr>
              <w:pStyle w:val="Marginlie"/>
              <w:rPr>
                <w:rFonts w:cs="Arial"/>
                <w:color w:val="0D0D0D" w:themeColor="text1" w:themeTint="F2"/>
                <w:spacing w:val="-4"/>
                <w:lang w:eastAsia="en-US"/>
              </w:rPr>
            </w:pPr>
            <w:r>
              <w:rPr>
                <w:rFonts w:cs="Arial"/>
                <w:color w:val="0D0D0D" w:themeColor="text1" w:themeTint="F2"/>
                <w:spacing w:val="-4"/>
                <w:lang w:eastAsia="en-US"/>
              </w:rPr>
              <w:t xml:space="preserve">Poptávka po službách na počátku roku 2024 mezikvartálně výrazně ožila. Poté se však do ní propisoval slabý výkon průmyslu prostřednictvím poptávky po nákladní dopravě. </w:t>
            </w:r>
          </w:p>
        </w:tc>
        <w:tc>
          <w:tcPr>
            <w:tcW w:w="229" w:type="dxa"/>
          </w:tcPr>
          <w:p w14:paraId="6E9C0F7B" w14:textId="77777777" w:rsidR="004E7C6B" w:rsidRDefault="004E7C6B">
            <w:pPr>
              <w:pStyle w:val="Textpoznpodarou"/>
              <w:jc w:val="both"/>
              <w:rPr>
                <w:rFonts w:eastAsia="Times New Roman" w:cs="Arial"/>
                <w:color w:val="0D0D0D" w:themeColor="text1" w:themeTint="F2"/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740AC662" w14:textId="77777777" w:rsidR="004E7C6B" w:rsidRDefault="004E7C6B">
            <w:pPr>
              <w:spacing w:after="220"/>
              <w:rPr>
                <w:color w:val="0D0D0D" w:themeColor="text1" w:themeTint="F2"/>
                <w:spacing w:val="-6"/>
                <w:lang w:eastAsia="en-US"/>
              </w:rPr>
            </w:pPr>
            <w:r>
              <w:rPr>
                <w:color w:val="0D0D0D" w:themeColor="text1" w:themeTint="F2"/>
                <w:spacing w:val="-6"/>
                <w:lang w:eastAsia="en-US"/>
              </w:rPr>
              <w:t xml:space="preserve">Na přelomu let 2023 a 2024 došlo k pozitivnímu obratu poptávky po službách. </w:t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Stabilizace hladiny spotřebitelských cen pomohla po delší době nastartovat růst reálných mezd zaměstnanců, což se odrazilo v příznivější finanční situaci domácností a následně stimulovalo jejich spotřebu. Na služby působila letos pozitivně i mírně rostoucí podniková poptávka, jež byla po většinu loňského roku ještě </w:t>
            </w:r>
            <w:r>
              <w:rPr>
                <w:color w:val="0D0D0D" w:themeColor="text1" w:themeTint="F2"/>
                <w:spacing w:val="-6"/>
                <w:lang w:eastAsia="en-US"/>
              </w:rPr>
              <w:t xml:space="preserve">dosti utlumená. </w:t>
            </w:r>
            <w:r>
              <w:rPr>
                <w:rFonts w:cs="Arial"/>
                <w:color w:val="0D0D0D" w:themeColor="text1" w:themeTint="F2"/>
                <w:spacing w:val="-6"/>
                <w:lang w:eastAsia="en-US"/>
              </w:rPr>
              <w:t>Tržby ve službách</w:t>
            </w:r>
            <w:r>
              <w:rPr>
                <w:color w:val="0D0D0D" w:themeColor="text1" w:themeTint="F2"/>
                <w:spacing w:val="-6"/>
                <w:vertAlign w:val="superscript"/>
                <w:lang w:eastAsia="en-US"/>
              </w:rPr>
              <w:footnoteReference w:id="24"/>
            </w:r>
            <w:r>
              <w:rPr>
                <w:rFonts w:cs="Arial"/>
                <w:color w:val="0D0D0D" w:themeColor="text1" w:themeTint="F2"/>
                <w:spacing w:val="-6"/>
                <w:lang w:eastAsia="en-US"/>
              </w:rPr>
              <w:t xml:space="preserve"> v poslední čtvrtině loňského roku hlavně díky oživené poptávce</w:t>
            </w:r>
            <w:r>
              <w:rPr>
                <w:rFonts w:cs="Arial"/>
                <w:color w:val="0D0D0D" w:themeColor="text1" w:themeTint="F2"/>
                <w:spacing w:val="-4"/>
                <w:lang w:eastAsia="en-US"/>
              </w:rPr>
              <w:t xml:space="preserve"> po podnikových službách mezikvartálně vzrostly o 0,6 % a zaznamenaly tak první posílení od 3. čtvrtletí 2022. Na počátku roku 2024 růst tržeb zrychlil na 2,3 %, nejvíce za poslední dva a půl roku. Na tomto oživení se podílela téměř všechna hlavní odvětví, klíčovou roli měla však doprava </w:t>
            </w:r>
            <w:r>
              <w:rPr>
                <w:rFonts w:cs="Arial"/>
                <w:color w:val="0D0D0D" w:themeColor="text1" w:themeTint="F2"/>
                <w:spacing w:val="-4"/>
                <w:lang w:eastAsia="en-US"/>
              </w:rPr>
              <w:br/>
              <w:t>a skladování (s růstem tržeb o 6,4 %). Během 2. i 3. čtvrtletí ovšem tržby fakticky pouze stagnovaly, neboť problémy průmyslu zastavily další posilování tržeb v pozemní dopravě. Celkové tržby ve službách se i tak nacházely lehce nad úrovní z vrcholu poslední konjunktury v předpandemickém období (oproti 2. čtvrtletí 2019 byly vyšší o necelá 2 %)</w:t>
            </w:r>
            <w:r>
              <w:rPr>
                <w:rStyle w:val="Znakapoznpodarou"/>
                <w:color w:val="0D0D0D" w:themeColor="text1" w:themeTint="F2"/>
                <w:spacing w:val="-4"/>
                <w:lang w:eastAsia="en-US"/>
              </w:rPr>
              <w:footnoteReference w:id="25"/>
            </w:r>
            <w:r>
              <w:rPr>
                <w:rFonts w:cs="Arial"/>
                <w:color w:val="0D0D0D" w:themeColor="text1" w:themeTint="F2"/>
                <w:spacing w:val="-4"/>
                <w:lang w:eastAsia="en-US"/>
              </w:rPr>
              <w:t>.</w:t>
            </w:r>
          </w:p>
        </w:tc>
      </w:tr>
      <w:tr w:rsidR="004E7C6B" w14:paraId="2D4E2DB3" w14:textId="77777777" w:rsidTr="004E7C6B">
        <w:trPr>
          <w:trHeight w:val="170"/>
        </w:trPr>
        <w:tc>
          <w:tcPr>
            <w:tcW w:w="1814" w:type="dxa"/>
            <w:hideMark/>
          </w:tcPr>
          <w:p w14:paraId="5B8FB14E" w14:textId="77777777" w:rsidR="004E7C6B" w:rsidRDefault="004E7C6B">
            <w:pPr>
              <w:pStyle w:val="Marginlie"/>
              <w:rPr>
                <w:rFonts w:cs="Arial"/>
                <w:color w:val="0D0D0D" w:themeColor="text1" w:themeTint="F2"/>
                <w:spacing w:val="-4"/>
                <w:lang w:eastAsia="en-US"/>
              </w:rPr>
            </w:pPr>
            <w:r>
              <w:rPr>
                <w:color w:val="0D0D0D" w:themeColor="text1" w:themeTint="F2"/>
                <w:spacing w:val="-6"/>
                <w:lang w:eastAsia="en-US"/>
              </w:rPr>
              <w:t xml:space="preserve">Meziroční růst tržeb nastal ve všech druzích dopravy. Pokračoval svižný růst </w:t>
            </w:r>
            <w:r>
              <w:rPr>
                <w:color w:val="0D0D0D" w:themeColor="text1" w:themeTint="F2"/>
                <w:spacing w:val="-6"/>
                <w:lang w:eastAsia="en-US"/>
              </w:rPr>
              <w:lastRenderedPageBreak/>
              <w:t>letecké dopravy, kde poptávka poprvé překonala úroveň z roku 2019.</w:t>
            </w:r>
          </w:p>
        </w:tc>
        <w:tc>
          <w:tcPr>
            <w:tcW w:w="229" w:type="dxa"/>
          </w:tcPr>
          <w:p w14:paraId="3291E27E" w14:textId="77777777" w:rsidR="004E7C6B" w:rsidRDefault="004E7C6B">
            <w:pPr>
              <w:pStyle w:val="Textpoznpodarou"/>
              <w:jc w:val="both"/>
              <w:rPr>
                <w:rFonts w:eastAsia="Times New Roman" w:cs="Arial"/>
                <w:color w:val="0D0D0D" w:themeColor="text1" w:themeTint="F2"/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21AAB77E" w14:textId="77777777" w:rsidR="004E7C6B" w:rsidRDefault="004E7C6B">
            <w:pPr>
              <w:spacing w:after="220"/>
              <w:rPr>
                <w:color w:val="0D0D0D" w:themeColor="text1" w:themeTint="F2"/>
                <w:spacing w:val="-6"/>
                <w:lang w:eastAsia="en-US"/>
              </w:rPr>
            </w:pPr>
            <w:r>
              <w:rPr>
                <w:rFonts w:cs="Arial"/>
                <w:color w:val="0D0D0D" w:themeColor="text1" w:themeTint="F2"/>
                <w:spacing w:val="-4"/>
                <w:lang w:eastAsia="en-US"/>
              </w:rPr>
              <w:t xml:space="preserve">Za 1. až 3. čtvrtletí 2024 se tržby ve službách meziročně mírně zvýšily o (+2,2 %). Na tomto výsledku se bezmála z poloviny podílelo odvětví dopravy a skladování, v němž se po výrazně slabém loňském roce tržby zvýšily o 4,1 %. </w:t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Díky rozvoji cestovního ruchu svižně </w:t>
            </w:r>
            <w:r>
              <w:rPr>
                <w:color w:val="0D0D0D" w:themeColor="text1" w:themeTint="F2"/>
                <w:spacing w:val="-4"/>
                <w:lang w:eastAsia="en-US"/>
              </w:rPr>
              <w:lastRenderedPageBreak/>
              <w:t>rostly zejména tržby leteckým dopravcům (+21,7 %) a mírně tak již překonaly úroveň z roku 2019. Alespoň pozvolný růst poptávky však pocítily téměř všechny druhy dopravy. V pozemní dopravě mírně rostly výkony silniční dopravy, jež kompenzovaly pokles v železniční nákladní dopravě. Nadále se dařilo skladování a vedlejším činnostem v dopravě (+4,1</w:t>
            </w:r>
            <w:r>
              <w:rPr>
                <w:rFonts w:cs="Arial"/>
                <w:color w:val="0D0D0D" w:themeColor="text1" w:themeTint="F2"/>
                <w:spacing w:val="-4"/>
                <w:lang w:eastAsia="en-US"/>
              </w:rPr>
              <w:t> </w:t>
            </w:r>
            <w:r>
              <w:rPr>
                <w:color w:val="0D0D0D" w:themeColor="text1" w:themeTint="F2"/>
                <w:spacing w:val="-4"/>
                <w:lang w:eastAsia="en-US"/>
              </w:rPr>
              <w:t>%). Po poklesu v letech 2022 i 2023 se opět zvýšily tržby v poštovních a kurýrních činnostech (+2,9 %), z velké části díky rychlejšímu oživení u internetových prodejů. Mírnější růst poptávky registrovaly i podniky ve vodní dopravě, jejich tržby však ve srovnání s rokem 2019 stále zaostávaly (podobně jako v pozemní dopravě).</w:t>
            </w:r>
          </w:p>
        </w:tc>
      </w:tr>
      <w:tr w:rsidR="004E7C6B" w14:paraId="52980249" w14:textId="77777777" w:rsidTr="004E7C6B">
        <w:trPr>
          <w:trHeight w:val="170"/>
        </w:trPr>
        <w:tc>
          <w:tcPr>
            <w:tcW w:w="1814" w:type="dxa"/>
          </w:tcPr>
          <w:p w14:paraId="2B3BE619" w14:textId="77777777" w:rsidR="004E7C6B" w:rsidRDefault="004E7C6B">
            <w:pPr>
              <w:pStyle w:val="Marginlie"/>
              <w:rPr>
                <w:color w:val="0D0D0D" w:themeColor="text1" w:themeTint="F2"/>
                <w:spacing w:val="-6"/>
                <w:lang w:eastAsia="en-US"/>
              </w:rPr>
            </w:pPr>
            <w:r>
              <w:rPr>
                <w:color w:val="0D0D0D" w:themeColor="text1" w:themeTint="F2"/>
                <w:spacing w:val="-6"/>
                <w:lang w:eastAsia="en-US"/>
              </w:rPr>
              <w:lastRenderedPageBreak/>
              <w:t>Růst poptávky v ubytování, stravování a pohostinství letos slábl a ve 3. čtvrtletí tržby v těchto segmentech meziročně mírně klesly.</w:t>
            </w:r>
          </w:p>
          <w:p w14:paraId="33F71E28" w14:textId="77777777" w:rsidR="004E7C6B" w:rsidRDefault="004E7C6B">
            <w:pPr>
              <w:pStyle w:val="Marginlie"/>
              <w:rPr>
                <w:color w:val="0D0D0D" w:themeColor="text1" w:themeTint="F2"/>
                <w:spacing w:val="-6"/>
                <w:lang w:eastAsia="en-US"/>
              </w:rPr>
            </w:pPr>
          </w:p>
          <w:p w14:paraId="2A4CAC8A" w14:textId="77777777" w:rsidR="004E7C6B" w:rsidRDefault="004E7C6B">
            <w:pPr>
              <w:pStyle w:val="Marginlie"/>
              <w:rPr>
                <w:color w:val="0D0D0D" w:themeColor="text1" w:themeTint="F2"/>
                <w:spacing w:val="-6"/>
                <w:lang w:eastAsia="en-US"/>
              </w:rPr>
            </w:pPr>
          </w:p>
          <w:p w14:paraId="5A83F2F6" w14:textId="77777777" w:rsidR="004E7C6B" w:rsidRDefault="004E7C6B">
            <w:pPr>
              <w:pStyle w:val="Marginlie"/>
              <w:rPr>
                <w:color w:val="0D0D0D" w:themeColor="text1" w:themeTint="F2"/>
                <w:spacing w:val="-6"/>
                <w:lang w:eastAsia="en-US"/>
              </w:rPr>
            </w:pPr>
          </w:p>
          <w:p w14:paraId="130CB67D" w14:textId="77777777" w:rsidR="004E7C6B" w:rsidRDefault="004E7C6B">
            <w:pPr>
              <w:pStyle w:val="Marginlie"/>
              <w:rPr>
                <w:color w:val="0D0D0D" w:themeColor="text1" w:themeTint="F2"/>
                <w:spacing w:val="-6"/>
                <w:lang w:eastAsia="en-US"/>
              </w:rPr>
            </w:pPr>
          </w:p>
          <w:p w14:paraId="69C19B32" w14:textId="77777777" w:rsidR="004E7C6B" w:rsidRDefault="004E7C6B">
            <w:pPr>
              <w:pStyle w:val="Marginlie"/>
              <w:rPr>
                <w:color w:val="0D0D0D" w:themeColor="text1" w:themeTint="F2"/>
                <w:spacing w:val="-6"/>
                <w:lang w:eastAsia="en-US"/>
              </w:rPr>
            </w:pPr>
          </w:p>
          <w:p w14:paraId="436BB970" w14:textId="77777777" w:rsidR="004E7C6B" w:rsidRDefault="004E7C6B">
            <w:pPr>
              <w:pStyle w:val="Marginlie"/>
              <w:rPr>
                <w:color w:val="0D0D0D" w:themeColor="text1" w:themeTint="F2"/>
                <w:spacing w:val="-6"/>
                <w:lang w:eastAsia="en-US"/>
              </w:rPr>
            </w:pPr>
          </w:p>
          <w:p w14:paraId="16B5C339" w14:textId="77777777" w:rsidR="004E7C6B" w:rsidRDefault="004E7C6B">
            <w:pPr>
              <w:pStyle w:val="Marginlie"/>
              <w:rPr>
                <w:color w:val="0D0D0D" w:themeColor="text1" w:themeTint="F2"/>
                <w:spacing w:val="-6"/>
                <w:lang w:eastAsia="en-US"/>
              </w:rPr>
            </w:pPr>
            <w:r>
              <w:rPr>
                <w:color w:val="0D0D0D" w:themeColor="text1" w:themeTint="F2"/>
                <w:spacing w:val="-6"/>
                <w:lang w:eastAsia="en-US"/>
              </w:rPr>
              <w:t xml:space="preserve">Za slabší letní turistickou sezónou stojí pokles přenocování rezidentů i mírnější úbytek hostů z Německa i Slovenska. </w:t>
            </w:r>
          </w:p>
        </w:tc>
        <w:tc>
          <w:tcPr>
            <w:tcW w:w="229" w:type="dxa"/>
          </w:tcPr>
          <w:p w14:paraId="560F2AC3" w14:textId="77777777" w:rsidR="004E7C6B" w:rsidRDefault="004E7C6B">
            <w:pPr>
              <w:pStyle w:val="Textpoznpodarou"/>
              <w:jc w:val="both"/>
              <w:rPr>
                <w:rFonts w:eastAsia="Times New Roman" w:cs="Arial"/>
                <w:color w:val="0D0D0D" w:themeColor="text1" w:themeTint="F2"/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1EE85881" w14:textId="77777777" w:rsidR="004E7C6B" w:rsidRDefault="004E7C6B">
            <w:pPr>
              <w:spacing w:after="220"/>
              <w:rPr>
                <w:rFonts w:cs="Arial"/>
                <w:color w:val="0D0D0D" w:themeColor="text1" w:themeTint="F2"/>
                <w:spacing w:val="-4"/>
                <w:lang w:eastAsia="en-US"/>
              </w:rPr>
            </w:pPr>
            <w:r>
              <w:rPr>
                <w:rFonts w:cs="Arial"/>
                <w:color w:val="0D0D0D" w:themeColor="text1" w:themeTint="F2"/>
                <w:spacing w:val="-4"/>
                <w:lang w:eastAsia="en-US"/>
              </w:rPr>
              <w:t>V ubytování, stravování a pohostinství se letos meziročně zvýšily tržby jen mírně (+1,1 %, nejméně za poslední tři roky) a během roku navíc jejich tempo sláblo</w:t>
            </w:r>
            <w:r>
              <w:rPr>
                <w:rStyle w:val="Znakapoznpodarou"/>
                <w:color w:val="0D0D0D" w:themeColor="text1" w:themeTint="F2"/>
                <w:spacing w:val="-4"/>
                <w:lang w:eastAsia="en-US"/>
              </w:rPr>
              <w:footnoteReference w:id="26"/>
            </w:r>
            <w:r>
              <w:rPr>
                <w:rFonts w:cs="Arial"/>
                <w:color w:val="0D0D0D" w:themeColor="text1" w:themeTint="F2"/>
                <w:spacing w:val="-4"/>
                <w:lang w:eastAsia="en-US"/>
              </w:rPr>
              <w:t xml:space="preserve">. Vyšší poptávku </w:t>
            </w:r>
            <w:r>
              <w:rPr>
                <w:rFonts w:cs="Arial"/>
                <w:color w:val="0D0D0D" w:themeColor="text1" w:themeTint="F2"/>
                <w:spacing w:val="-2"/>
                <w:lang w:eastAsia="en-US"/>
              </w:rPr>
              <w:t>registrovaly jen stravování a pohostinství, v segmentu ubytování se růst tržeb zastavil (</w:t>
            </w:r>
            <w:r>
              <w:rPr>
                <w:rStyle w:val="normaltextrun"/>
                <w:rFonts w:cs="Arial"/>
                <w:color w:val="000000"/>
                <w:spacing w:val="-2"/>
                <w:szCs w:val="20"/>
                <w:lang w:eastAsia="en-US"/>
              </w:rPr>
              <w:t>−</w:t>
            </w:r>
            <w:r>
              <w:rPr>
                <w:rFonts w:cs="Arial"/>
                <w:color w:val="0D0D0D" w:themeColor="text1" w:themeTint="F2"/>
                <w:spacing w:val="-2"/>
                <w:lang w:eastAsia="en-US"/>
              </w:rPr>
              <w:t>0,8 %).</w:t>
            </w:r>
            <w:r>
              <w:rPr>
                <w:rFonts w:cs="Arial"/>
                <w:color w:val="0D0D0D" w:themeColor="text1" w:themeTint="F2"/>
                <w:spacing w:val="-4"/>
                <w:lang w:eastAsia="en-US"/>
              </w:rPr>
              <w:t xml:space="preserve"> </w:t>
            </w:r>
            <w:r>
              <w:rPr>
                <w:rStyle w:val="normaltextrun"/>
                <w:rFonts w:eastAsia="MS Gothic" w:cs="Arial"/>
                <w:color w:val="000000"/>
                <w:szCs w:val="20"/>
                <w:lang w:eastAsia="en-US"/>
              </w:rPr>
              <w:t>Za prvních devět letošních měsíců přijelo do tuzemských hromadných ubytovacích zařízení (HUZ) meziročně o 2,8 % hostů více a počet jejich přenocování vzrostl pouze o 1,2 % (z toho u domácí klientely se dokonce snížil o 3,6 %).</w:t>
            </w:r>
            <w:r>
              <w:rPr>
                <w:rFonts w:cs="Arial"/>
                <w:color w:val="0D0D0D" w:themeColor="text1" w:themeTint="F2"/>
                <w:spacing w:val="-4"/>
                <w:lang w:eastAsia="en-US"/>
              </w:rPr>
              <w:t xml:space="preserve"> Celková poptávka zachycená počtem přenocování v HUZ významněji rostla jen u hotelů vyšší kategorie (4* a 5*) a v rámci regionů jen v Praze (+7,6 %). Z toho poptávka z tuzemska klesala ve všech krajích (o více než 5 % v Plzeňském, Libereckém a Olomouckém kraji). Návštěvnost v horských střediscích ve druhé polovině zimní sezóny (únor, březen) poznamenalo teplé počasí, naopak v 1. i 2. čtvrtletí se pozitivně promítlo pořádání významných sportovních akcí v Česku (zejména MS v hokeji). Ve 3. čtvrtletí celkový počet přenocování meziročně klesl (</w:t>
            </w:r>
            <w:r>
              <w:rPr>
                <w:rStyle w:val="normaltextrun"/>
                <w:rFonts w:cs="Arial"/>
                <w:color w:val="000000"/>
                <w:spacing w:val="-2"/>
                <w:szCs w:val="20"/>
                <w:lang w:eastAsia="en-US"/>
              </w:rPr>
              <w:t>−</w:t>
            </w:r>
            <w:r>
              <w:rPr>
                <w:rFonts w:cs="Arial"/>
                <w:color w:val="0D0D0D" w:themeColor="text1" w:themeTint="F2"/>
                <w:spacing w:val="-4"/>
                <w:lang w:eastAsia="en-US"/>
              </w:rPr>
              <w:t>1,7 %), poprvé od ústupu pandemie (na jaře 2021). Snížila se nejenom poptávka od tuzemských hostů (</w:t>
            </w:r>
            <w:r>
              <w:rPr>
                <w:rStyle w:val="normaltextrun"/>
                <w:rFonts w:cs="Arial"/>
                <w:color w:val="000000"/>
                <w:spacing w:val="-2"/>
                <w:szCs w:val="20"/>
                <w:lang w:eastAsia="en-US"/>
              </w:rPr>
              <w:t>−</w:t>
            </w:r>
            <w:r>
              <w:rPr>
                <w:rFonts w:cs="Arial"/>
                <w:color w:val="0D0D0D" w:themeColor="text1" w:themeTint="F2"/>
                <w:spacing w:val="-4"/>
                <w:lang w:eastAsia="en-US"/>
              </w:rPr>
              <w:t xml:space="preserve">5,3 %), ale i ze strany dvou nejpočetnějších </w:t>
            </w:r>
            <w:r>
              <w:rPr>
                <w:rFonts w:cs="Arial"/>
                <w:color w:val="0D0D0D" w:themeColor="text1" w:themeTint="F2"/>
                <w:spacing w:val="-6"/>
                <w:lang w:eastAsia="en-US"/>
              </w:rPr>
              <w:t>skupin nerezidentů</w:t>
            </w:r>
            <w:r>
              <w:rPr>
                <w:rStyle w:val="Znakapoznpodarou"/>
                <w:color w:val="0D0D0D" w:themeColor="text1" w:themeTint="F2"/>
                <w:spacing w:val="-6"/>
                <w:lang w:eastAsia="en-US"/>
              </w:rPr>
              <w:footnoteReference w:id="27"/>
            </w:r>
            <w:r>
              <w:rPr>
                <w:rFonts w:cs="Arial"/>
                <w:color w:val="0D0D0D" w:themeColor="text1" w:themeTint="F2"/>
                <w:spacing w:val="-6"/>
                <w:lang w:eastAsia="en-US"/>
              </w:rPr>
              <w:t xml:space="preserve"> – Němců (</w:t>
            </w:r>
            <w:r>
              <w:rPr>
                <w:rStyle w:val="normaltextrun"/>
                <w:rFonts w:cs="Arial"/>
                <w:color w:val="000000"/>
                <w:spacing w:val="-6"/>
                <w:szCs w:val="20"/>
                <w:lang w:eastAsia="en-US"/>
              </w:rPr>
              <w:t>−</w:t>
            </w:r>
            <w:r>
              <w:rPr>
                <w:rFonts w:cs="Arial"/>
                <w:color w:val="0D0D0D" w:themeColor="text1" w:themeTint="F2"/>
                <w:spacing w:val="-6"/>
                <w:lang w:eastAsia="en-US"/>
              </w:rPr>
              <w:t>0,8 %) a Slováků (</w:t>
            </w:r>
            <w:r>
              <w:rPr>
                <w:rStyle w:val="normaltextrun"/>
                <w:rFonts w:cs="Arial"/>
                <w:color w:val="000000"/>
                <w:spacing w:val="-6"/>
                <w:szCs w:val="20"/>
                <w:lang w:eastAsia="en-US"/>
              </w:rPr>
              <w:t>−</w:t>
            </w:r>
            <w:r>
              <w:rPr>
                <w:rFonts w:cs="Arial"/>
                <w:color w:val="0D0D0D" w:themeColor="text1" w:themeTint="F2"/>
                <w:spacing w:val="-6"/>
                <w:lang w:eastAsia="en-US"/>
              </w:rPr>
              <w:t xml:space="preserve">1,3 %). </w:t>
            </w:r>
            <w:r>
              <w:rPr>
                <w:color w:val="0D0D0D" w:themeColor="text1" w:themeTint="F2"/>
                <w:spacing w:val="-6"/>
                <w:lang w:eastAsia="en-US"/>
              </w:rPr>
              <w:t>Pokles poptávky může souviset</w:t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 se zhoršenou finanční situací části domácností (vlivem slabého růstu ekonomiky a poklesu </w:t>
            </w:r>
            <w:r>
              <w:rPr>
                <w:color w:val="0D0D0D" w:themeColor="text1" w:themeTint="F2"/>
                <w:spacing w:val="-6"/>
                <w:lang w:eastAsia="en-US"/>
              </w:rPr>
              <w:t xml:space="preserve">reálných mezd v předchozích letech). Roli patrně hraje i svižný tuzemský cenový růst – v říjnu </w:t>
            </w:r>
            <w:r>
              <w:rPr>
                <w:color w:val="0D0D0D" w:themeColor="text1" w:themeTint="F2"/>
                <w:spacing w:val="-4"/>
                <w:lang w:eastAsia="en-US"/>
              </w:rPr>
              <w:t>2024 činil meziročně v ubytovacích službách 9,0 %, ve stravování 6,9 %.</w:t>
            </w:r>
          </w:p>
        </w:tc>
      </w:tr>
      <w:tr w:rsidR="004E7C6B" w14:paraId="41457652" w14:textId="77777777" w:rsidTr="004E7C6B">
        <w:trPr>
          <w:trHeight w:val="170"/>
        </w:trPr>
        <w:tc>
          <w:tcPr>
            <w:tcW w:w="1814" w:type="dxa"/>
            <w:hideMark/>
          </w:tcPr>
          <w:p w14:paraId="2C9C97EB" w14:textId="77777777" w:rsidR="004E7C6B" w:rsidRDefault="004E7C6B">
            <w:pPr>
              <w:pStyle w:val="Marginlie"/>
              <w:rPr>
                <w:color w:val="0D0D0D" w:themeColor="text1" w:themeTint="F2"/>
                <w:spacing w:val="-6"/>
                <w:lang w:eastAsia="en-US"/>
              </w:rPr>
            </w:pPr>
            <w:r>
              <w:rPr>
                <w:color w:val="0D0D0D" w:themeColor="text1" w:themeTint="F2"/>
                <w:spacing w:val="-6"/>
                <w:lang w:eastAsia="en-US"/>
              </w:rPr>
              <w:t>Růst tržeb za činnosti v oblasti IT zrychlil, poptávka po informačních činnostech byla naopak druhým rokem utlumená.</w:t>
            </w:r>
          </w:p>
        </w:tc>
        <w:tc>
          <w:tcPr>
            <w:tcW w:w="229" w:type="dxa"/>
          </w:tcPr>
          <w:p w14:paraId="0E7CCD58" w14:textId="77777777" w:rsidR="004E7C6B" w:rsidRDefault="004E7C6B">
            <w:pPr>
              <w:pStyle w:val="Textpoznpodarou"/>
              <w:jc w:val="both"/>
              <w:rPr>
                <w:rFonts w:eastAsia="Times New Roman" w:cs="Arial"/>
                <w:color w:val="0D0D0D" w:themeColor="text1" w:themeTint="F2"/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64DE5A92" w14:textId="77777777" w:rsidR="004E7C6B" w:rsidRDefault="004E7C6B">
            <w:pPr>
              <w:spacing w:after="220"/>
              <w:rPr>
                <w:rFonts w:cs="Arial"/>
                <w:color w:val="0D0D0D" w:themeColor="text1" w:themeTint="F2"/>
                <w:spacing w:val="-4"/>
                <w:lang w:eastAsia="en-US"/>
              </w:rPr>
            </w:pPr>
            <w:r>
              <w:rPr>
                <w:rFonts w:cs="Arial"/>
                <w:color w:val="0D0D0D" w:themeColor="text1" w:themeTint="F2"/>
                <w:spacing w:val="-3"/>
                <w:szCs w:val="20"/>
                <w:lang w:eastAsia="en-US"/>
              </w:rPr>
              <w:t xml:space="preserve">Tržby v </w:t>
            </w:r>
            <w:r>
              <w:rPr>
                <w:rFonts w:cs="Arial"/>
                <w:color w:val="0D0D0D" w:themeColor="text1" w:themeTint="F2"/>
                <w:spacing w:val="-6"/>
                <w:lang w:eastAsia="en-US"/>
              </w:rPr>
              <w:t>tradičně dynamickém odvětví informační a komunikační činnosti po nevýrazných loňských výsledcích letos za tři čtvrtletí meziročně vzrostly o 2,1 %. V průběhu roku poptávka zvolna ožívala (což bylo patrné i z mezikvartálních temp). Ačkoliv se letos nejvíce zvýšily výkony v tvorbě rozhlasových a televizních programů a vysílání (+9,2 %), k růstu celého odvětví z drtivé části přispěly činnosti v oblasti IT</w:t>
            </w:r>
            <w:r>
              <w:rPr>
                <w:rStyle w:val="Znakapoznpodarou"/>
                <w:color w:val="0D0D0D" w:themeColor="text1" w:themeTint="F2"/>
                <w:spacing w:val="-6"/>
                <w:lang w:eastAsia="en-US"/>
              </w:rPr>
              <w:footnoteReference w:id="28"/>
            </w:r>
            <w:r>
              <w:rPr>
                <w:rFonts w:cs="Arial"/>
                <w:color w:val="0D0D0D" w:themeColor="text1" w:themeTint="F2"/>
                <w:spacing w:val="-6"/>
                <w:lang w:eastAsia="en-US"/>
              </w:rPr>
              <w:t xml:space="preserve">, kde tržby posílily o 5,2 %, </w:t>
            </w:r>
            <w:r>
              <w:rPr>
                <w:rFonts w:cs="Arial"/>
                <w:color w:val="0D0D0D" w:themeColor="text1" w:themeTint="F2"/>
                <w:spacing w:val="-6"/>
                <w:lang w:eastAsia="en-US"/>
              </w:rPr>
              <w:br/>
              <w:t>a odhlédneme-li od roku 2020, zvyšovaly se sedmým rokem v řadě. Po loňském útlumu (nejhlubším za posledních více než 10 let) letos tržby v</w:t>
            </w:r>
            <w:r>
              <w:rPr>
                <w:color w:val="0D0D0D" w:themeColor="text1" w:themeTint="F2"/>
                <w:spacing w:val="-4"/>
                <w:lang w:eastAsia="en-US"/>
              </w:rPr>
              <w:t> </w:t>
            </w:r>
            <w:r>
              <w:rPr>
                <w:rFonts w:cs="Arial"/>
                <w:color w:val="0D0D0D" w:themeColor="text1" w:themeTint="F2"/>
                <w:spacing w:val="-6"/>
                <w:lang w:eastAsia="en-US"/>
              </w:rPr>
              <w:t>informačních činnostech</w:t>
            </w:r>
            <w:r>
              <w:rPr>
                <w:rStyle w:val="Znakapoznpodarou"/>
                <w:color w:val="0D0D0D" w:themeColor="text1" w:themeTint="F2"/>
                <w:spacing w:val="-6"/>
                <w:lang w:eastAsia="en-US"/>
              </w:rPr>
              <w:footnoteReference w:id="29"/>
            </w:r>
            <w:r>
              <w:rPr>
                <w:rFonts w:cs="Arial"/>
                <w:color w:val="0D0D0D" w:themeColor="text1" w:themeTint="F2"/>
                <w:spacing w:val="-6"/>
                <w:lang w:eastAsia="en-US"/>
              </w:rPr>
              <w:t xml:space="preserve"> a také ve vydavatelských činnostech fakticky pouze stagnovaly. Pokračoval pokles v tzv. filmovém </w:t>
            </w:r>
            <w:r>
              <w:rPr>
                <w:rFonts w:cs="Arial"/>
                <w:color w:val="0D0D0D" w:themeColor="text1" w:themeTint="F2"/>
                <w:spacing w:val="-6"/>
                <w:lang w:eastAsia="en-US"/>
              </w:rPr>
              <w:br/>
              <w:t>a hudebním průmyslu, který se letos prohloubil bezmála na 30 %</w:t>
            </w:r>
            <w:r>
              <w:rPr>
                <w:rStyle w:val="Znakapoznpodarou"/>
                <w:color w:val="0D0D0D" w:themeColor="text1" w:themeTint="F2"/>
                <w:spacing w:val="-8"/>
                <w:lang w:eastAsia="en-US"/>
              </w:rPr>
              <w:footnoteReference w:id="30"/>
            </w:r>
            <w:r>
              <w:rPr>
                <w:rFonts w:cs="Arial"/>
                <w:color w:val="0D0D0D" w:themeColor="text1" w:themeTint="F2"/>
                <w:spacing w:val="-6"/>
                <w:lang w:eastAsia="en-US"/>
              </w:rPr>
              <w:t xml:space="preserve"> (srovnatelně jako v krizovém roce 2020). Aktuální vývoj v tomto malém oboru souvisel s nepravidelnou fakturací (mohl být ovlivněn také nepřímými dopady delší stávky v Hollywoodu z konce loňského roku).</w:t>
            </w:r>
          </w:p>
        </w:tc>
      </w:tr>
      <w:tr w:rsidR="004E7C6B" w14:paraId="409AB9E2" w14:textId="77777777" w:rsidTr="004E7C6B">
        <w:trPr>
          <w:trHeight w:val="170"/>
        </w:trPr>
        <w:tc>
          <w:tcPr>
            <w:tcW w:w="1814" w:type="dxa"/>
            <w:hideMark/>
          </w:tcPr>
          <w:p w14:paraId="20D8F51E" w14:textId="77777777" w:rsidR="004E7C6B" w:rsidRDefault="004E7C6B">
            <w:pPr>
              <w:pStyle w:val="Marginlie"/>
              <w:rPr>
                <w:color w:val="0D0D0D" w:themeColor="text1" w:themeTint="F2"/>
                <w:spacing w:val="-6"/>
                <w:lang w:eastAsia="en-US"/>
              </w:rPr>
            </w:pPr>
            <w:r>
              <w:rPr>
                <w:color w:val="0D0D0D" w:themeColor="text1" w:themeTint="F2"/>
                <w:spacing w:val="-6"/>
                <w:lang w:eastAsia="en-US"/>
              </w:rPr>
              <w:t xml:space="preserve">Navzdory slabšímu výkonu stavebnictví přispěly k růstu profesních, vědeckých a technických činností </w:t>
            </w:r>
            <w:r>
              <w:rPr>
                <w:color w:val="0D0D0D" w:themeColor="text1" w:themeTint="F2"/>
                <w:spacing w:val="-6"/>
                <w:lang w:eastAsia="en-US"/>
              </w:rPr>
              <w:lastRenderedPageBreak/>
              <w:t>nejvíce architektonické a inženýrské práce.</w:t>
            </w:r>
          </w:p>
        </w:tc>
        <w:tc>
          <w:tcPr>
            <w:tcW w:w="229" w:type="dxa"/>
          </w:tcPr>
          <w:p w14:paraId="3E4044C2" w14:textId="77777777" w:rsidR="004E7C6B" w:rsidRDefault="004E7C6B">
            <w:pPr>
              <w:pStyle w:val="Textpoznpodarou"/>
              <w:jc w:val="both"/>
              <w:rPr>
                <w:rFonts w:eastAsia="Times New Roman" w:cs="Arial"/>
                <w:color w:val="0D0D0D" w:themeColor="text1" w:themeTint="F2"/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429A9D8B" w14:textId="77777777" w:rsidR="004E7C6B" w:rsidRDefault="004E7C6B">
            <w:pPr>
              <w:spacing w:after="220"/>
              <w:rPr>
                <w:rFonts w:cs="Arial"/>
                <w:color w:val="0D0D0D" w:themeColor="text1" w:themeTint="F2"/>
                <w:spacing w:val="-3"/>
                <w:szCs w:val="20"/>
                <w:lang w:eastAsia="en-US"/>
              </w:rPr>
            </w:pPr>
            <w:r>
              <w:rPr>
                <w:rFonts w:cs="Arial"/>
                <w:color w:val="0D0D0D" w:themeColor="text1" w:themeTint="F2"/>
                <w:spacing w:val="-3"/>
                <w:szCs w:val="20"/>
                <w:lang w:eastAsia="en-US"/>
              </w:rPr>
              <w:t xml:space="preserve">Stejně jako loni pokračoval mírný růst poptávky po podnikových službách. V odvětví </w:t>
            </w:r>
            <w:r>
              <w:rPr>
                <w:color w:val="0D0D0D" w:themeColor="text1" w:themeTint="F2"/>
                <w:spacing w:val="-4"/>
                <w:lang w:eastAsia="en-US"/>
              </w:rPr>
              <w:t xml:space="preserve">profesní, vědecké a technické činnosti se letos </w:t>
            </w:r>
            <w:r>
              <w:rPr>
                <w:rFonts w:cs="Arial"/>
                <w:color w:val="0D0D0D" w:themeColor="text1" w:themeTint="F2"/>
                <w:spacing w:val="-3"/>
                <w:szCs w:val="20"/>
                <w:lang w:eastAsia="en-US"/>
              </w:rPr>
              <w:t xml:space="preserve">za tři kvartály jejich tržby meziročně zvýšily o 1,5 %. Zatímco ve stejném období vloni přispívaly k jejich růstu nejvíce vyšší </w:t>
            </w:r>
            <w:r>
              <w:rPr>
                <w:rFonts w:cs="Arial"/>
                <w:color w:val="0D0D0D" w:themeColor="text1" w:themeTint="F2"/>
                <w:spacing w:val="-4"/>
                <w:szCs w:val="20"/>
                <w:lang w:eastAsia="en-US"/>
              </w:rPr>
              <w:t xml:space="preserve">výkony </w:t>
            </w:r>
            <w:r>
              <w:rPr>
                <w:rFonts w:cs="Arial"/>
                <w:color w:val="0D0D0D" w:themeColor="text1" w:themeTint="F2"/>
                <w:spacing w:val="-4"/>
                <w:szCs w:val="20"/>
                <w:lang w:eastAsia="en-US"/>
              </w:rPr>
              <w:br/>
              <w:t>v oblasti reklamy, letos navzdory poklesu ve stavebnictví převzaly vedoucí roli</w:t>
            </w:r>
            <w:r>
              <w:rPr>
                <w:rFonts w:cs="Arial"/>
                <w:color w:val="0D0D0D" w:themeColor="text1" w:themeTint="F2"/>
                <w:spacing w:val="-3"/>
                <w:szCs w:val="20"/>
                <w:lang w:eastAsia="en-US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3"/>
                <w:szCs w:val="20"/>
                <w:lang w:eastAsia="en-US"/>
              </w:rPr>
              <w:lastRenderedPageBreak/>
              <w:t xml:space="preserve">architektonické a inženýrské činnosti, v nichž poptávka vzrostla o 3,4 %. </w:t>
            </w:r>
            <w:r>
              <w:rPr>
                <w:spacing w:val="-4"/>
                <w:lang w:eastAsia="en-US"/>
              </w:rPr>
              <w:t>Mírně posílily tržby i v ostatních profesních, vědeckých a technických činnostech</w:t>
            </w:r>
            <w:r>
              <w:rPr>
                <w:rStyle w:val="Znakapoznpodarou"/>
                <w:spacing w:val="-4"/>
                <w:lang w:eastAsia="en-US"/>
              </w:rPr>
              <w:footnoteReference w:id="31"/>
            </w:r>
            <w:r>
              <w:rPr>
                <w:spacing w:val="-4"/>
                <w:lang w:eastAsia="en-US"/>
              </w:rPr>
              <w:t xml:space="preserve"> (</w:t>
            </w:r>
            <w:r>
              <w:rPr>
                <w:color w:val="0D0D0D" w:themeColor="text1" w:themeTint="F2"/>
                <w:spacing w:val="-4"/>
                <w:lang w:eastAsia="en-US"/>
              </w:rPr>
              <w:t>+2,5</w:t>
            </w:r>
            <w:r>
              <w:rPr>
                <w:spacing w:val="-4"/>
                <w:lang w:eastAsia="en-US"/>
              </w:rPr>
              <w:t xml:space="preserve"> %, oproti roku 2019 však byla poptávka stále o více než 6 % nižší).</w:t>
            </w:r>
            <w:r>
              <w:rPr>
                <w:rFonts w:cs="Arial"/>
                <w:color w:val="0D0D0D" w:themeColor="text1" w:themeTint="F2"/>
                <w:spacing w:val="-3"/>
                <w:szCs w:val="20"/>
                <w:lang w:eastAsia="en-US"/>
              </w:rPr>
              <w:t xml:space="preserve"> Alespoň mírný růst</w:t>
            </w:r>
            <w:r>
              <w:rPr>
                <w:rStyle w:val="Znakapoznpodarou"/>
                <w:color w:val="0D0D0D" w:themeColor="text1" w:themeTint="F2"/>
                <w:spacing w:val="-3"/>
                <w:szCs w:val="20"/>
                <w:lang w:eastAsia="en-US"/>
              </w:rPr>
              <w:footnoteReference w:id="32"/>
            </w:r>
            <w:r>
              <w:rPr>
                <w:rFonts w:cs="Arial"/>
                <w:color w:val="0D0D0D" w:themeColor="text1" w:themeTint="F2"/>
                <w:spacing w:val="-3"/>
                <w:szCs w:val="20"/>
                <w:lang w:eastAsia="en-US"/>
              </w:rPr>
              <w:t xml:space="preserve"> přetrvával ve všech segmentech odvětví, vyjma účetnických a auditorských činností, a daňového poradenství a reklamy. Citelné oživení pak nastalo u právních činností (+9 %) a poprvé od roku 2021 </w:t>
            </w:r>
            <w:r>
              <w:rPr>
                <w:spacing w:val="-4"/>
                <w:lang w:eastAsia="en-US"/>
              </w:rPr>
              <w:t xml:space="preserve">vzrostla poptávka v oblasti průzkumu trhu a veřejného mínění. </w:t>
            </w:r>
          </w:p>
        </w:tc>
      </w:tr>
      <w:tr w:rsidR="004E7C6B" w14:paraId="25843075" w14:textId="77777777" w:rsidTr="004E7C6B">
        <w:trPr>
          <w:trHeight w:val="170"/>
        </w:trPr>
        <w:tc>
          <w:tcPr>
            <w:tcW w:w="1814" w:type="dxa"/>
            <w:hideMark/>
          </w:tcPr>
          <w:p w14:paraId="0AD9EB85" w14:textId="77777777" w:rsidR="004E7C6B" w:rsidRDefault="004E7C6B">
            <w:pPr>
              <w:pStyle w:val="Marginlie"/>
              <w:rPr>
                <w:color w:val="0D0D0D" w:themeColor="text1" w:themeTint="F2"/>
                <w:spacing w:val="-6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lastRenderedPageBreak/>
              <w:t xml:space="preserve">Za mírným růstem tržeb v administrativních </w:t>
            </w:r>
            <w:r>
              <w:rPr>
                <w:color w:val="0D0D0D" w:themeColor="text1" w:themeTint="F2"/>
                <w:spacing w:val="-4"/>
                <w:lang w:eastAsia="en-US"/>
              </w:rPr>
              <w:br/>
              <w:t xml:space="preserve">a podpůrných činnostech stály hlavně cestovní agentury a též pronájem </w:t>
            </w:r>
            <w:r>
              <w:rPr>
                <w:color w:val="0D0D0D" w:themeColor="text1" w:themeTint="F2"/>
                <w:spacing w:val="-4"/>
                <w:lang w:eastAsia="en-US"/>
              </w:rPr>
              <w:br/>
              <w:t>a operativní leasing. Opačně působila hlavně slabá poptávka po službách pracovních agentur.</w:t>
            </w:r>
          </w:p>
        </w:tc>
        <w:tc>
          <w:tcPr>
            <w:tcW w:w="229" w:type="dxa"/>
          </w:tcPr>
          <w:p w14:paraId="652D0DAE" w14:textId="77777777" w:rsidR="004E7C6B" w:rsidRDefault="004E7C6B">
            <w:pPr>
              <w:pStyle w:val="Textpoznpodarou"/>
              <w:jc w:val="both"/>
              <w:rPr>
                <w:rFonts w:eastAsia="Times New Roman" w:cs="Arial"/>
                <w:color w:val="0D0D0D" w:themeColor="text1" w:themeTint="F2"/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0C72A72D" w14:textId="77777777" w:rsidR="004E7C6B" w:rsidRDefault="004E7C6B">
            <w:pPr>
              <w:spacing w:after="220"/>
              <w:rPr>
                <w:rFonts w:cs="Arial"/>
                <w:color w:val="0D0D0D" w:themeColor="text1" w:themeTint="F2"/>
                <w:spacing w:val="-3"/>
                <w:szCs w:val="20"/>
                <w:lang w:eastAsia="en-US"/>
              </w:rPr>
            </w:pPr>
            <w:r>
              <w:rPr>
                <w:color w:val="0D0D0D" w:themeColor="text1" w:themeTint="F2"/>
                <w:spacing w:val="-4"/>
                <w:lang w:eastAsia="en-US"/>
              </w:rPr>
              <w:t>V odvětví administrativní a podpůrné činnosti se letos tržby meziročně zvýšily o 2,1 %, když byly poháněny zejména svižně rostoucími výkony cestovních agentur a kanceláří (ty přitom již loni překonaly úroveň z roku 2019). Projevují se v nich především častější výjezdy tuzemských domácností do zahraničí. Rostla však i poptávka po převážně podnikových službách – zejména pronájmu a operativním leasingu (+5,3 %, např. za stroje, zařízení či za výrobky pro osobní potřebu a převážně pro domácnost, např. rekreačních a sportovních potřeb</w:t>
            </w:r>
            <w:r>
              <w:rPr>
                <w:rStyle w:val="Znakapoznpodarou"/>
                <w:color w:val="0D0D0D" w:themeColor="text1" w:themeTint="F2"/>
                <w:spacing w:val="-4"/>
                <w:lang w:eastAsia="en-US"/>
              </w:rPr>
              <w:footnoteReference w:id="33"/>
            </w:r>
            <w:r>
              <w:rPr>
                <w:color w:val="0D0D0D" w:themeColor="text1" w:themeTint="F2"/>
                <w:spacing w:val="-4"/>
                <w:lang w:eastAsia="en-US"/>
              </w:rPr>
              <w:t>). Naopak u řady méně sofistikovaných podnikových služeb přetrvávala slabší poptávka. Citelný pokles u pracovních agentur pokračoval, jejich tržby se snižovaly dvojciferným tempem třetím rokem v řadě (letos o 11,1 %, v porovnání s rokem 2021 o 31,6 %)</w:t>
            </w:r>
            <w:r>
              <w:rPr>
                <w:rStyle w:val="Znakapoznpodarou"/>
                <w:color w:val="0D0D0D" w:themeColor="text1" w:themeTint="F2"/>
                <w:spacing w:val="-2"/>
                <w:lang w:eastAsia="en-US"/>
              </w:rPr>
              <w:footnoteReference w:id="34"/>
            </w:r>
            <w:r>
              <w:rPr>
                <w:color w:val="0D0D0D" w:themeColor="text1" w:themeTint="F2"/>
                <w:spacing w:val="-4"/>
                <w:lang w:eastAsia="en-US"/>
              </w:rPr>
              <w:t>. Tlak na snižování nákladů i rozvoj digitalizace se odrazily ve faktické stagnaci tržeb v oblasti úklidových či bezpečnostních a pátracích činností.</w:t>
            </w:r>
          </w:p>
        </w:tc>
      </w:tr>
      <w:tr w:rsidR="004E7C6B" w14:paraId="7D4526A2" w14:textId="77777777" w:rsidTr="004E7C6B">
        <w:trPr>
          <w:trHeight w:val="170"/>
        </w:trPr>
        <w:tc>
          <w:tcPr>
            <w:tcW w:w="1814" w:type="dxa"/>
          </w:tcPr>
          <w:p w14:paraId="5B43BA71" w14:textId="77777777" w:rsidR="004E7C6B" w:rsidRDefault="004E7C6B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</w:tcPr>
          <w:p w14:paraId="505454E5" w14:textId="77777777" w:rsidR="004E7C6B" w:rsidRDefault="004E7C6B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4E49B8D8" w14:textId="77777777" w:rsidR="004E7C6B" w:rsidRDefault="004E7C6B">
            <w:pPr>
              <w:spacing w:after="40"/>
              <w:rPr>
                <w:b/>
                <w:spacing w:val="-4"/>
                <w:lang w:eastAsia="en-US"/>
              </w:rPr>
            </w:pPr>
            <w:r>
              <w:rPr>
                <w:b/>
                <w:spacing w:val="-4"/>
                <w:lang w:eastAsia="en-US"/>
              </w:rPr>
              <w:t xml:space="preserve">Graf č. 7 </w:t>
            </w:r>
            <w:r>
              <w:rPr>
                <w:b/>
                <w:bCs/>
                <w:spacing w:val="-4"/>
                <w:lang w:eastAsia="en-US"/>
              </w:rPr>
              <w:t>Příspěvky dílčích odvětví k meziroční změně tržeb ve službách*</w:t>
            </w:r>
            <w:r>
              <w:rPr>
                <w:b/>
                <w:spacing w:val="-4"/>
                <w:lang w:eastAsia="en-US"/>
              </w:rPr>
              <w:br/>
            </w:r>
            <w:r>
              <w:rPr>
                <w:spacing w:val="-4"/>
                <w:lang w:eastAsia="en-US"/>
              </w:rPr>
              <w:t>(reálně, v p. b),</w:t>
            </w:r>
            <w:r>
              <w:rPr>
                <w:b/>
                <w:spacing w:val="-4"/>
                <w:lang w:eastAsia="en-US"/>
              </w:rPr>
              <w:t xml:space="preserve"> </w:t>
            </w:r>
            <w:r>
              <w:rPr>
                <w:b/>
                <w:bCs/>
                <w:spacing w:val="-4"/>
                <w:lang w:eastAsia="en-US"/>
              </w:rPr>
              <w:t xml:space="preserve">celkové tržby ve službách* </w:t>
            </w:r>
            <w:r>
              <w:rPr>
                <w:spacing w:val="-4"/>
                <w:lang w:eastAsia="en-US"/>
              </w:rPr>
              <w:t>(báze 2021=100, pravá osa),</w:t>
            </w:r>
            <w:r>
              <w:rPr>
                <w:b/>
                <w:spacing w:val="-4"/>
                <w:lang w:eastAsia="en-US"/>
              </w:rPr>
              <w:t xml:space="preserve"> </w:t>
            </w:r>
            <w:r>
              <w:rPr>
                <w:b/>
                <w:bCs/>
                <w:spacing w:val="-4"/>
                <w:lang w:eastAsia="en-US"/>
              </w:rPr>
              <w:t>saldo důvěry podnikatelů ve službách**</w:t>
            </w:r>
            <w:r>
              <w:rPr>
                <w:b/>
                <w:spacing w:val="-4"/>
                <w:lang w:eastAsia="en-US"/>
              </w:rPr>
              <w:t xml:space="preserve"> </w:t>
            </w:r>
            <w:r>
              <w:rPr>
                <w:spacing w:val="-4"/>
                <w:lang w:eastAsia="en-US"/>
              </w:rPr>
              <w:t>(v p. b., pravá osa)</w:t>
            </w:r>
            <w:r>
              <w:rPr>
                <w:b/>
                <w:bCs/>
                <w:spacing w:val="-4"/>
                <w:lang w:eastAsia="en-US"/>
              </w:rPr>
              <w:t xml:space="preserve"> a bariéry růstu**</w:t>
            </w:r>
            <w:r>
              <w:rPr>
                <w:b/>
                <w:spacing w:val="-4"/>
                <w:lang w:eastAsia="en-US"/>
              </w:rPr>
              <w:t xml:space="preserve"> </w:t>
            </w:r>
            <w:r>
              <w:rPr>
                <w:spacing w:val="-4"/>
                <w:lang w:eastAsia="en-US"/>
              </w:rPr>
              <w:t xml:space="preserve">(v %, pravá osa) </w:t>
            </w:r>
          </w:p>
        </w:tc>
      </w:tr>
      <w:tr w:rsidR="004E7C6B" w14:paraId="7FE11C27" w14:textId="77777777" w:rsidTr="004E7C6B">
        <w:trPr>
          <w:trHeight w:val="170"/>
        </w:trPr>
        <w:tc>
          <w:tcPr>
            <w:tcW w:w="18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811D5" w14:textId="77777777" w:rsidR="004E7C6B" w:rsidRDefault="004E7C6B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0F152" w14:textId="77777777" w:rsidR="004E7C6B" w:rsidRDefault="004E7C6B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6A191" w14:textId="7074EBB5" w:rsidR="004E7C6B" w:rsidRDefault="004E7C6B">
            <w:pPr>
              <w:spacing w:after="0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75EB81F" wp14:editId="703D0851">
                  <wp:extent cx="4752975" cy="3638550"/>
                  <wp:effectExtent l="0" t="0" r="0" b="0"/>
                  <wp:docPr id="26" name="Graf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4E7C6B" w14:paraId="196BE446" w14:textId="77777777" w:rsidTr="004E7C6B">
        <w:trPr>
          <w:trHeight w:val="170"/>
        </w:trPr>
        <w:tc>
          <w:tcPr>
            <w:tcW w:w="1814" w:type="dxa"/>
          </w:tcPr>
          <w:p w14:paraId="7A01F442" w14:textId="77777777" w:rsidR="004E7C6B" w:rsidRDefault="004E7C6B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</w:tcPr>
          <w:p w14:paraId="38047DFD" w14:textId="77777777" w:rsidR="004E7C6B" w:rsidRDefault="004E7C6B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1F62300C" w14:textId="77777777" w:rsidR="004E7C6B" w:rsidRDefault="004E7C6B">
            <w:pPr>
              <w:spacing w:after="0" w:line="240" w:lineRule="auto"/>
              <w:rPr>
                <w:rFonts w:cs="Arial"/>
                <w:spacing w:val="-4"/>
                <w:sz w:val="14"/>
                <w:szCs w:val="14"/>
                <w:lang w:eastAsia="en-US"/>
              </w:rPr>
            </w:pPr>
            <w:r>
              <w:rPr>
                <w:rFonts w:cs="Arial"/>
                <w:spacing w:val="-4"/>
                <w:sz w:val="14"/>
                <w:szCs w:val="14"/>
                <w:lang w:eastAsia="en-US"/>
              </w:rPr>
              <w:t>Poznámka: všechny údaje jsou sezónně očištěny, pouze příspěvky dílčích odvětví k růstu tržeb jsou očištěny jen o kalendářní vlivy.</w:t>
            </w:r>
          </w:p>
          <w:p w14:paraId="14DA0DBC" w14:textId="77777777" w:rsidR="004E7C6B" w:rsidRDefault="004E7C6B">
            <w:pPr>
              <w:spacing w:after="0" w:line="240" w:lineRule="auto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*Bez odvětví obchodu, peněžnictví, pojišťovnictví, vědy, výzkumu a veřejných služeb.</w:t>
            </w:r>
          </w:p>
          <w:p w14:paraId="0C4DA2D1" w14:textId="77777777" w:rsidR="004E7C6B" w:rsidRDefault="004E7C6B">
            <w:pPr>
              <w:spacing w:after="0" w:line="240" w:lineRule="auto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.**</w:t>
            </w:r>
            <w:r>
              <w:rPr>
                <w:rFonts w:cs="Arial"/>
                <w:spacing w:val="-2"/>
                <w:sz w:val="14"/>
                <w:szCs w:val="14"/>
                <w:lang w:eastAsia="en-US"/>
              </w:rPr>
              <w:t xml:space="preserve">Zahrnuje i finanční sektor. Saldo důvěry podnikatelů i bariéry růstu vyjadřují stav v prvním (bariéry růstu), resp. ve druhém měsíci daného čtvrtletí (saldo důvěry). </w:t>
            </w:r>
            <w:r>
              <w:rPr>
                <w:rFonts w:cs="Arial"/>
                <w:sz w:val="14"/>
                <w:szCs w:val="14"/>
                <w:lang w:eastAsia="en-US"/>
              </w:rPr>
              <w:t>Podniky mohly uvést více hlavních bariér současně.                        Zdroj: ČSÚ, Eurostat</w:t>
            </w:r>
          </w:p>
        </w:tc>
      </w:tr>
      <w:tr w:rsidR="004E7C6B" w14:paraId="3F7ED1C6" w14:textId="77777777" w:rsidTr="004E7C6B">
        <w:trPr>
          <w:trHeight w:val="170"/>
        </w:trPr>
        <w:tc>
          <w:tcPr>
            <w:tcW w:w="1814" w:type="dxa"/>
            <w:hideMark/>
          </w:tcPr>
          <w:p w14:paraId="5B211BAF" w14:textId="77777777" w:rsidR="004E7C6B" w:rsidRDefault="004E7C6B">
            <w:pPr>
              <w:pStyle w:val="Marginlie"/>
              <w:rPr>
                <w:color w:val="0D0D0D" w:themeColor="text1" w:themeTint="F2"/>
                <w:spacing w:val="-6"/>
                <w:lang w:eastAsia="en-US"/>
              </w:rPr>
            </w:pPr>
            <w:r>
              <w:rPr>
                <w:color w:val="0D0D0D" w:themeColor="text1" w:themeTint="F2"/>
                <w:spacing w:val="0"/>
                <w:lang w:eastAsia="en-US"/>
              </w:rPr>
              <w:lastRenderedPageBreak/>
              <w:t>Cenová stabilizace v ekonomice vedla k rychlému zlepšení spotřebitelské důvěry. Posílila i důvěra obchodníků.</w:t>
            </w:r>
          </w:p>
        </w:tc>
        <w:tc>
          <w:tcPr>
            <w:tcW w:w="229" w:type="dxa"/>
          </w:tcPr>
          <w:p w14:paraId="202FE2A4" w14:textId="77777777" w:rsidR="004E7C6B" w:rsidRDefault="004E7C6B">
            <w:pPr>
              <w:pStyle w:val="Textpoznpodarou"/>
              <w:jc w:val="both"/>
              <w:rPr>
                <w:color w:val="0D0D0D" w:themeColor="text1" w:themeTint="F2"/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68166DCA" w14:textId="77777777" w:rsidR="004E7C6B" w:rsidRDefault="004E7C6B">
            <w:pPr>
              <w:spacing w:after="200"/>
              <w:rPr>
                <w:color w:val="0D0D0D" w:themeColor="text1" w:themeTint="F2"/>
                <w:spacing w:val="-4"/>
                <w:lang w:eastAsia="en-US"/>
              </w:rPr>
            </w:pPr>
            <w:r>
              <w:rPr>
                <w:rFonts w:cs="Arial"/>
                <w:color w:val="0D0D0D" w:themeColor="text1" w:themeTint="F2"/>
                <w:spacing w:val="-4"/>
                <w:lang w:eastAsia="en-US"/>
              </w:rPr>
              <w:t xml:space="preserve">Také maloobchod zažil v posledních čtvrtletích pozitivní posun. Jeho předpokladem byl návrat spotřebitelských cen do běžných růstových pásem spojený navíc s patrně dočasným, avšak relativně významným poklesem cen potravin. To spolu s dobrou kondicí trhu práce rychle nastartovalo růst kupní síly domácností a zlepšilo jejich celkovou důvěru v ekonomiku, která proto vystoupala letos v dubnu nejvýše za poslední dva a půl roku. Následně sice došlo k mírnému zhoršení, i tak však byl v listopadu pesimismus spotřebitelů nižší než v kterýkoli měsíc z období let 2022 až 2023. Lidé ovšem stále deklarují vyšší úmysl spořit a zároveň dosud nepovažují aktuální dobu za příliš vhodnou k velkým nákupům (investic či zboží dlouhodobé spotřeby). To zčásti působí proti rychlejšímu oživení poptávky po určitých sortimentních skupinách nepotravinářského zboží. Souběžně ale také posiloval optimismus obchodníků, úroveň jejich důvěry v ekonomiku patřila </w:t>
            </w:r>
            <w:r>
              <w:rPr>
                <w:rFonts w:cs="Arial"/>
                <w:color w:val="0D0D0D" w:themeColor="text1" w:themeTint="F2"/>
                <w:spacing w:val="-4"/>
                <w:lang w:eastAsia="en-US"/>
              </w:rPr>
              <w:br/>
              <w:t xml:space="preserve">v listopadu k nejvyšším od loňského léta. K oživení maloobchodu přispěl i rozvoj příjezdového cestovního ruchu. </w:t>
            </w:r>
          </w:p>
        </w:tc>
      </w:tr>
      <w:tr w:rsidR="004E7C6B" w14:paraId="42CC44CD" w14:textId="77777777" w:rsidTr="004E7C6B">
        <w:trPr>
          <w:trHeight w:val="155"/>
        </w:trPr>
        <w:tc>
          <w:tcPr>
            <w:tcW w:w="1814" w:type="dxa"/>
            <w:vMerge w:val="restart"/>
          </w:tcPr>
          <w:p w14:paraId="7F426846" w14:textId="77777777" w:rsidR="004E7C6B" w:rsidRDefault="004E7C6B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  <w:vMerge w:val="restart"/>
          </w:tcPr>
          <w:p w14:paraId="31A75358" w14:textId="77777777" w:rsidR="004E7C6B" w:rsidRDefault="004E7C6B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7B353201" w14:textId="77777777" w:rsidR="004E7C6B" w:rsidRDefault="004E7C6B">
            <w:pPr>
              <w:spacing w:after="0"/>
              <w:rPr>
                <w:rFonts w:cs="Arial"/>
                <w:color w:val="0D0D0D" w:themeColor="text1" w:themeTint="F2"/>
                <w:spacing w:val="-4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Graf č. 8 </w:t>
            </w:r>
            <w:r>
              <w:rPr>
                <w:rFonts w:cs="Arial"/>
                <w:b/>
                <w:bCs/>
                <w:color w:val="0D0D0D" w:themeColor="text1" w:themeTint="F2"/>
                <w:spacing w:val="-6"/>
                <w:lang w:eastAsia="en-US"/>
              </w:rPr>
              <w:t xml:space="preserve">Příspěvky dílčích odvětví k meziroční změně tržeb v maloobchodu* </w:t>
            </w:r>
            <w:r>
              <w:rPr>
                <w:rFonts w:cs="Arial"/>
                <w:color w:val="0D0D0D" w:themeColor="text1" w:themeTint="F2"/>
                <w:spacing w:val="-6"/>
                <w:lang w:eastAsia="en-US"/>
              </w:rPr>
              <w:t xml:space="preserve">(reálně, v p. b.), </w:t>
            </w:r>
            <w:r>
              <w:rPr>
                <w:rFonts w:cs="Arial"/>
                <w:b/>
                <w:bCs/>
                <w:color w:val="0D0D0D" w:themeColor="text1" w:themeTint="F2"/>
                <w:spacing w:val="-6"/>
                <w:lang w:eastAsia="en-US"/>
              </w:rPr>
              <w:t xml:space="preserve">tržby v maloobchodu a v motoristickém segmentu obchodu** </w:t>
            </w:r>
            <w:r>
              <w:rPr>
                <w:rFonts w:cs="Arial"/>
                <w:color w:val="0D0D0D" w:themeColor="text1" w:themeTint="F2"/>
                <w:spacing w:val="-6"/>
                <w:lang w:eastAsia="en-US"/>
              </w:rPr>
              <w:t xml:space="preserve">(reálně, úroveň roku 2021=100, pravá osa), </w:t>
            </w:r>
            <w:r>
              <w:rPr>
                <w:rFonts w:cs="Arial"/>
                <w:b/>
                <w:bCs/>
                <w:color w:val="0D0D0D" w:themeColor="text1" w:themeTint="F2"/>
                <w:spacing w:val="-6"/>
                <w:lang w:eastAsia="en-US"/>
              </w:rPr>
              <w:t xml:space="preserve">saldo důvěry spotřebitelů i obchodníků*** </w:t>
            </w:r>
            <w:r>
              <w:rPr>
                <w:rFonts w:cs="Arial"/>
                <w:color w:val="0D0D0D" w:themeColor="text1" w:themeTint="F2"/>
                <w:spacing w:val="-6"/>
                <w:lang w:eastAsia="en-US"/>
              </w:rPr>
              <w:t>(v p. b., pravá osa)</w:t>
            </w:r>
          </w:p>
        </w:tc>
      </w:tr>
      <w:tr w:rsidR="004E7C6B" w14:paraId="4620F7A0" w14:textId="77777777" w:rsidTr="004E7C6B">
        <w:trPr>
          <w:trHeight w:val="155"/>
        </w:trPr>
        <w:tc>
          <w:tcPr>
            <w:tcW w:w="1814" w:type="dxa"/>
            <w:vMerge/>
            <w:vAlign w:val="center"/>
            <w:hideMark/>
          </w:tcPr>
          <w:p w14:paraId="317850CE" w14:textId="77777777" w:rsidR="004E7C6B" w:rsidRDefault="004E7C6B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6FC0AAA0" w14:textId="77777777" w:rsidR="004E7C6B" w:rsidRDefault="004E7C6B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5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5EBA61" w14:textId="1529C6B8" w:rsidR="004E7C6B" w:rsidRDefault="004E7C6B">
            <w:pPr>
              <w:spacing w:after="0"/>
              <w:rPr>
                <w:rFonts w:cs="Arial"/>
                <w:color w:val="0D0D0D" w:themeColor="text1" w:themeTint="F2"/>
                <w:spacing w:val="-4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7CA4065" wp14:editId="4894F28C">
                  <wp:extent cx="4733925" cy="3676650"/>
                  <wp:effectExtent l="0" t="0" r="0" b="0"/>
                  <wp:docPr id="25" name="Graf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4E7C6B" w14:paraId="314CD53B" w14:textId="77777777" w:rsidTr="004E7C6B">
        <w:trPr>
          <w:trHeight w:val="155"/>
        </w:trPr>
        <w:tc>
          <w:tcPr>
            <w:tcW w:w="1814" w:type="dxa"/>
            <w:vMerge/>
            <w:vAlign w:val="center"/>
            <w:hideMark/>
          </w:tcPr>
          <w:p w14:paraId="79C88D8A" w14:textId="77777777" w:rsidR="004E7C6B" w:rsidRDefault="004E7C6B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1DEACDDD" w14:textId="77777777" w:rsidR="004E7C6B" w:rsidRDefault="004E7C6B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596" w:type="dxa"/>
            <w:hideMark/>
          </w:tcPr>
          <w:p w14:paraId="53E84BF5" w14:textId="77777777" w:rsidR="004E7C6B" w:rsidRDefault="004E7C6B">
            <w:pPr>
              <w:spacing w:after="0" w:line="240" w:lineRule="auto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color w:val="0D0D0D" w:themeColor="text1" w:themeTint="F2"/>
                <w:spacing w:val="-6"/>
                <w:lang w:eastAsia="en-US"/>
              </w:rPr>
              <w:t>*</w:t>
            </w:r>
            <w:r>
              <w:rPr>
                <w:rFonts w:cs="Arial"/>
                <w:sz w:val="14"/>
                <w:szCs w:val="14"/>
                <w:lang w:eastAsia="en-US"/>
              </w:rPr>
              <w:t xml:space="preserve"> Tržby jsou očištěny o kalendářní vlivy.       ** Tržby jsou sezónně i kalendářně očištěny.</w:t>
            </w:r>
          </w:p>
          <w:p w14:paraId="11B6EA72" w14:textId="77777777" w:rsidR="004E7C6B" w:rsidRDefault="004E7C6B">
            <w:pPr>
              <w:spacing w:after="200"/>
              <w:rPr>
                <w:rFonts w:cs="Arial"/>
                <w:color w:val="0D0D0D" w:themeColor="text1" w:themeTint="F2"/>
                <w:spacing w:val="-4"/>
                <w:szCs w:val="20"/>
                <w:lang w:eastAsia="en-US"/>
              </w:rPr>
            </w:pP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  <w:lang w:eastAsia="en-US"/>
              </w:rPr>
              <w:t>*** Salda důvěry jsou sezónně očištěna a vyjadřují stav ve druhém měsíci daného čtvrtletí.</w:t>
            </w: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  <w:lang w:eastAsia="en-US"/>
              </w:rPr>
              <w:tab/>
              <w:t xml:space="preserve">                                    Zdroj: ČSÚ</w:t>
            </w:r>
          </w:p>
        </w:tc>
      </w:tr>
      <w:tr w:rsidR="004E7C6B" w14:paraId="0BC04370" w14:textId="77777777" w:rsidTr="004E7C6B">
        <w:trPr>
          <w:trHeight w:val="170"/>
        </w:trPr>
        <w:tc>
          <w:tcPr>
            <w:tcW w:w="1814" w:type="dxa"/>
          </w:tcPr>
          <w:p w14:paraId="6B9D0CA7" w14:textId="77777777" w:rsidR="004E7C6B" w:rsidRDefault="004E7C6B">
            <w:pPr>
              <w:pStyle w:val="Marginlie"/>
              <w:rPr>
                <w:color w:val="0D0D0D" w:themeColor="text1" w:themeTint="F2"/>
                <w:spacing w:val="0"/>
                <w:lang w:eastAsia="en-US"/>
              </w:rPr>
            </w:pPr>
            <w:r>
              <w:rPr>
                <w:color w:val="0D0D0D" w:themeColor="text1" w:themeTint="F2"/>
                <w:spacing w:val="0"/>
                <w:lang w:eastAsia="en-US"/>
              </w:rPr>
              <w:t>Meziroční růst maloobchodních tržeb byl ve 3. čtvrtletí nejvyšší za poslední dva a půl roku.</w:t>
            </w:r>
          </w:p>
          <w:p w14:paraId="02FB42CE" w14:textId="77777777" w:rsidR="004E7C6B" w:rsidRDefault="004E7C6B">
            <w:pPr>
              <w:pStyle w:val="Marginlie"/>
              <w:rPr>
                <w:color w:val="0D0D0D" w:themeColor="text1" w:themeTint="F2"/>
                <w:spacing w:val="0"/>
                <w:lang w:eastAsia="en-US"/>
              </w:rPr>
            </w:pPr>
          </w:p>
          <w:p w14:paraId="7C3E8E1B" w14:textId="77777777" w:rsidR="004E7C6B" w:rsidRDefault="004E7C6B">
            <w:pPr>
              <w:pStyle w:val="Marginlie"/>
              <w:rPr>
                <w:color w:val="0D0D0D" w:themeColor="text1" w:themeTint="F2"/>
                <w:spacing w:val="0"/>
                <w:lang w:eastAsia="en-US"/>
              </w:rPr>
            </w:pPr>
          </w:p>
          <w:p w14:paraId="06DEA7A3" w14:textId="77777777" w:rsidR="004E7C6B" w:rsidRDefault="004E7C6B">
            <w:pPr>
              <w:pStyle w:val="Marginlie"/>
              <w:rPr>
                <w:color w:val="0D0D0D" w:themeColor="text1" w:themeTint="F2"/>
                <w:spacing w:val="0"/>
                <w:lang w:eastAsia="en-US"/>
              </w:rPr>
            </w:pPr>
          </w:p>
          <w:p w14:paraId="26D1CC24" w14:textId="77777777" w:rsidR="004E7C6B" w:rsidRDefault="004E7C6B">
            <w:pPr>
              <w:pStyle w:val="Marginlie"/>
              <w:rPr>
                <w:color w:val="0D0D0D" w:themeColor="text1" w:themeTint="F2"/>
                <w:spacing w:val="0"/>
                <w:lang w:eastAsia="en-US"/>
              </w:rPr>
            </w:pPr>
          </w:p>
          <w:p w14:paraId="59915632" w14:textId="77777777" w:rsidR="004E7C6B" w:rsidRDefault="004E7C6B">
            <w:pPr>
              <w:pStyle w:val="Marginlie"/>
              <w:rPr>
                <w:color w:val="0D0D0D" w:themeColor="text1" w:themeTint="F2"/>
                <w:spacing w:val="0"/>
                <w:lang w:eastAsia="en-US"/>
              </w:rPr>
            </w:pPr>
          </w:p>
          <w:p w14:paraId="37A4A331" w14:textId="77777777" w:rsidR="004E7C6B" w:rsidRDefault="004E7C6B">
            <w:pPr>
              <w:pStyle w:val="Marginlie"/>
              <w:rPr>
                <w:color w:val="0D0D0D" w:themeColor="text1" w:themeTint="F2"/>
                <w:spacing w:val="0"/>
                <w:lang w:eastAsia="en-US"/>
              </w:rPr>
            </w:pPr>
            <w:r>
              <w:rPr>
                <w:color w:val="0D0D0D" w:themeColor="text1" w:themeTint="F2"/>
                <w:spacing w:val="0"/>
                <w:lang w:eastAsia="en-US"/>
              </w:rPr>
              <w:lastRenderedPageBreak/>
              <w:t>Kromě specializovaných prodejen potravin rostla poptávka ve všech segmentech maloobchodu.</w:t>
            </w:r>
          </w:p>
          <w:p w14:paraId="42155F46" w14:textId="77777777" w:rsidR="004E7C6B" w:rsidRDefault="004E7C6B">
            <w:pPr>
              <w:pStyle w:val="Marginlie"/>
              <w:rPr>
                <w:color w:val="0D0D0D" w:themeColor="text1" w:themeTint="F2"/>
                <w:spacing w:val="0"/>
                <w:lang w:eastAsia="en-US"/>
              </w:rPr>
            </w:pPr>
          </w:p>
          <w:p w14:paraId="48F4DD6A" w14:textId="77777777" w:rsidR="004E7C6B" w:rsidRDefault="004E7C6B">
            <w:pPr>
              <w:pStyle w:val="Marginlie"/>
              <w:rPr>
                <w:color w:val="0D0D0D" w:themeColor="text1" w:themeTint="F2"/>
                <w:spacing w:val="0"/>
                <w:lang w:eastAsia="en-US"/>
              </w:rPr>
            </w:pPr>
          </w:p>
          <w:p w14:paraId="74DF154E" w14:textId="77777777" w:rsidR="004E7C6B" w:rsidRDefault="004E7C6B">
            <w:pPr>
              <w:pStyle w:val="Marginlie"/>
              <w:rPr>
                <w:color w:val="0D0D0D" w:themeColor="text1" w:themeTint="F2"/>
                <w:spacing w:val="0"/>
                <w:lang w:eastAsia="en-US"/>
              </w:rPr>
            </w:pPr>
            <w:r>
              <w:rPr>
                <w:color w:val="0D0D0D" w:themeColor="text1" w:themeTint="F2"/>
                <w:spacing w:val="0"/>
                <w:lang w:eastAsia="en-US"/>
              </w:rPr>
              <w:t xml:space="preserve">Postupující digitalizace i modernizace v logistice vedly k silnému růstu internetového prodeje. </w:t>
            </w:r>
          </w:p>
          <w:p w14:paraId="2D413D75" w14:textId="77777777" w:rsidR="004E7C6B" w:rsidRDefault="004E7C6B">
            <w:pPr>
              <w:pStyle w:val="Marginlie"/>
              <w:rPr>
                <w:color w:val="0D0D0D" w:themeColor="text1" w:themeTint="F2"/>
                <w:spacing w:val="0"/>
                <w:lang w:eastAsia="en-US"/>
              </w:rPr>
            </w:pPr>
          </w:p>
          <w:p w14:paraId="3ADF8F8A" w14:textId="77777777" w:rsidR="004E7C6B" w:rsidRDefault="004E7C6B">
            <w:pPr>
              <w:pStyle w:val="Marginlie"/>
              <w:rPr>
                <w:color w:val="0D0D0D" w:themeColor="text1" w:themeTint="F2"/>
                <w:spacing w:val="0"/>
                <w:lang w:eastAsia="en-US"/>
              </w:rPr>
            </w:pPr>
          </w:p>
          <w:p w14:paraId="2D927966" w14:textId="77777777" w:rsidR="004E7C6B" w:rsidRDefault="004E7C6B">
            <w:pPr>
              <w:pStyle w:val="Marginlie"/>
              <w:rPr>
                <w:color w:val="0D0D0D" w:themeColor="text1" w:themeTint="F2"/>
                <w:spacing w:val="0"/>
                <w:lang w:eastAsia="en-US"/>
              </w:rPr>
            </w:pPr>
          </w:p>
          <w:p w14:paraId="674816D8" w14:textId="77777777" w:rsidR="004E7C6B" w:rsidRDefault="004E7C6B">
            <w:pPr>
              <w:pStyle w:val="Marginlie"/>
              <w:rPr>
                <w:color w:val="0D0D0D" w:themeColor="text1" w:themeTint="F2"/>
                <w:spacing w:val="0"/>
                <w:lang w:eastAsia="en-US"/>
              </w:rPr>
            </w:pPr>
          </w:p>
          <w:p w14:paraId="53A13FAC" w14:textId="77777777" w:rsidR="004E7C6B" w:rsidRDefault="004E7C6B">
            <w:pPr>
              <w:pStyle w:val="Marginlie"/>
              <w:rPr>
                <w:color w:val="0D0D0D" w:themeColor="text1" w:themeTint="F2"/>
                <w:spacing w:val="0"/>
                <w:lang w:eastAsia="en-US"/>
              </w:rPr>
            </w:pPr>
          </w:p>
          <w:p w14:paraId="6C149634" w14:textId="77777777" w:rsidR="004E7C6B" w:rsidRDefault="004E7C6B">
            <w:pPr>
              <w:pStyle w:val="Marginlie"/>
              <w:rPr>
                <w:color w:val="0D0D0D" w:themeColor="text1" w:themeTint="F2"/>
                <w:spacing w:val="0"/>
                <w:lang w:eastAsia="en-US"/>
              </w:rPr>
            </w:pPr>
            <w:r>
              <w:rPr>
                <w:color w:val="0D0D0D" w:themeColor="text1" w:themeTint="F2"/>
                <w:spacing w:val="0"/>
                <w:lang w:eastAsia="en-US"/>
              </w:rPr>
              <w:t>Poptávka po PHM svižně rostla druhým rokem v řadě, a to i díky příznivému vývoji jejich spotřebitelských cen.</w:t>
            </w:r>
          </w:p>
          <w:p w14:paraId="6CD3383B" w14:textId="77777777" w:rsidR="004E7C6B" w:rsidRDefault="004E7C6B">
            <w:pPr>
              <w:pStyle w:val="Marginlie"/>
              <w:rPr>
                <w:spacing w:val="0"/>
                <w:lang w:eastAsia="en-US"/>
              </w:rPr>
            </w:pPr>
          </w:p>
        </w:tc>
        <w:tc>
          <w:tcPr>
            <w:tcW w:w="229" w:type="dxa"/>
          </w:tcPr>
          <w:p w14:paraId="7E212CA3" w14:textId="77777777" w:rsidR="004E7C6B" w:rsidRDefault="004E7C6B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596" w:type="dxa"/>
          </w:tcPr>
          <w:p w14:paraId="59BA5722" w14:textId="77777777" w:rsidR="004E7C6B" w:rsidRDefault="004E7C6B">
            <w:pPr>
              <w:spacing w:after="0"/>
              <w:rPr>
                <w:rFonts w:cs="Arial"/>
                <w:color w:val="0D0D0D" w:themeColor="text1" w:themeTint="F2"/>
                <w:spacing w:val="-4"/>
                <w:szCs w:val="20"/>
                <w:lang w:eastAsia="en-US"/>
              </w:rPr>
            </w:pPr>
            <w:r>
              <w:rPr>
                <w:rFonts w:cs="Arial"/>
                <w:color w:val="0D0D0D" w:themeColor="text1" w:themeTint="F2"/>
                <w:spacing w:val="-4"/>
                <w:szCs w:val="20"/>
                <w:lang w:eastAsia="en-US"/>
              </w:rPr>
              <w:t>Tržby v maloobchodu</w:t>
            </w:r>
            <w:r>
              <w:rPr>
                <w:rStyle w:val="Znakapoznpodarou"/>
                <w:color w:val="0D0D0D" w:themeColor="text1" w:themeTint="F2"/>
                <w:spacing w:val="-4"/>
                <w:lang w:eastAsia="en-US"/>
              </w:rPr>
              <w:footnoteReference w:id="35"/>
            </w:r>
            <w:r>
              <w:rPr>
                <w:rFonts w:cs="Arial"/>
                <w:color w:val="0D0D0D" w:themeColor="text1" w:themeTint="F2"/>
                <w:spacing w:val="-4"/>
                <w:szCs w:val="20"/>
                <w:lang w:eastAsia="en-US"/>
              </w:rPr>
              <w:t xml:space="preserve"> po sedmi čtvrtletích nepříznivého vývoje vykázaly již ve 3. čtvrtletí 2023 mírný mezikvartální růst (+0,5</w:t>
            </w:r>
            <w:r>
              <w:rPr>
                <w:rFonts w:cs="Arial"/>
                <w:color w:val="0D0D0D" w:themeColor="text1" w:themeTint="F2"/>
                <w:spacing w:val="-4"/>
                <w:lang w:eastAsia="en-US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  <w:szCs w:val="20"/>
                <w:lang w:eastAsia="en-US"/>
              </w:rPr>
              <w:t>%), jenž následně posiloval a na počátku letošního roku již přesáhl 2 % (v další části roku zotavování pokračovalo, byť mírnějšími tempy). Přesto aktuální úroveň tržeb zaostávala za svým předkrizovým maximem (ze 4. čtvrtletí 2019) o 2,1 %</w:t>
            </w:r>
            <w:r>
              <w:rPr>
                <w:rStyle w:val="Znakapoznpodarou"/>
                <w:color w:val="0D0D0D" w:themeColor="text1" w:themeTint="F2"/>
                <w:spacing w:val="-4"/>
                <w:szCs w:val="20"/>
                <w:lang w:eastAsia="en-US"/>
              </w:rPr>
              <w:footnoteReference w:id="36"/>
            </w:r>
            <w:r>
              <w:rPr>
                <w:rFonts w:cs="Arial"/>
                <w:color w:val="0D0D0D" w:themeColor="text1" w:themeTint="F2"/>
                <w:spacing w:val="-4"/>
                <w:szCs w:val="20"/>
                <w:lang w:eastAsia="en-US"/>
              </w:rPr>
              <w:t xml:space="preserve">. Meziroční růst tržeb od počátku letošního roku posiloval a ve 3. čtvrtletí vystoupal na 4,9 % (nejvíce za poslední dva a půl roku). Vyšší poptávka se objevila ve všech významnějších segmentech, vyjma maloobchodu s potravinami, realizovaných </w:t>
            </w:r>
            <w:r>
              <w:rPr>
                <w:rFonts w:cs="Arial"/>
                <w:color w:val="0D0D0D" w:themeColor="text1" w:themeTint="F2"/>
                <w:spacing w:val="-4"/>
                <w:szCs w:val="20"/>
                <w:lang w:eastAsia="en-US"/>
              </w:rPr>
              <w:lastRenderedPageBreak/>
              <w:t>ve specializovaných prodejnách (-3,2 %)</w:t>
            </w:r>
            <w:r>
              <w:rPr>
                <w:rStyle w:val="Znakapoznpodarou"/>
                <w:color w:val="0D0D0D" w:themeColor="text1" w:themeTint="F2"/>
                <w:spacing w:val="-4"/>
                <w:szCs w:val="20"/>
                <w:lang w:eastAsia="en-US"/>
              </w:rPr>
              <w:footnoteReference w:id="37"/>
            </w:r>
            <w:r>
              <w:rPr>
                <w:rFonts w:cs="Arial"/>
                <w:color w:val="0D0D0D" w:themeColor="text1" w:themeTint="F2"/>
                <w:spacing w:val="-4"/>
                <w:szCs w:val="20"/>
                <w:lang w:eastAsia="en-US"/>
              </w:rPr>
              <w:t xml:space="preserve">. Tržby v ostatních prodejnách s potravinami, mezi něž patří zejména velké řetězce, vzrostly o 3,1 % (přestože šlo spolu s letošním 2. čtvrtletím o nejvyšší tempo po roce 2019). Mnohem svižněji rostla poptávka po nepotravinářském zboží, tržby v tomto segmentu překonaly úroveň z loňského 3. čtvrtletí o 7,1 % (zvyšovaly se nejvíce za posledních deset kvartálů). Zásadní vliv zde měly rychle rostoucí tržby v internetovém prodeji (+18,4 %), jež samy o sobě zajistily téměř polovinu růstu celého maloobchodu. Impulsem k rozvoji tohoto prodeje byla postupující digitalizace </w:t>
            </w:r>
            <w:r>
              <w:rPr>
                <w:rFonts w:cs="Arial"/>
                <w:color w:val="0D0D0D" w:themeColor="text1" w:themeTint="F2"/>
                <w:spacing w:val="-4"/>
                <w:szCs w:val="20"/>
                <w:lang w:eastAsia="en-US"/>
              </w:rPr>
              <w:br/>
              <w:t>i modernizace v oblasti logistiky. V rámci specializovaných obchodů se (stejně jako loni v létě) zvýšila nejvíce poptávka po kosmetických a toaletních výrobcích (+10,8 %), svižně rostly i tržby za farmaceutické a zdravotnické zboží (+8,8 %). V ostatních segmentech se však tržby zvyšovaly střídměji (do 2 %), zčásti patrně i proto, že část jejich poptávky absorbují internetové a zásilkové obchody (např. u počítačového a komunikačního zařízení). V rámci nespecializovaných prodejen výrazně zrychlil růst tržeb v malém segmentu s převahou nepotravinářského zboží (na 14,5 %), zaměřeném typicky na nabídku různorodého zboží ve slevových akcích. Cenové vlivy</w:t>
            </w:r>
            <w:r>
              <w:rPr>
                <w:rStyle w:val="Znakapoznpodarou"/>
                <w:color w:val="0D0D0D" w:themeColor="text1" w:themeTint="F2"/>
                <w:spacing w:val="-4"/>
                <w:szCs w:val="20"/>
                <w:lang w:eastAsia="en-US"/>
              </w:rPr>
              <w:footnoteReference w:id="38"/>
            </w:r>
            <w:r>
              <w:rPr>
                <w:rFonts w:cs="Arial"/>
                <w:color w:val="0D0D0D" w:themeColor="text1" w:themeTint="F2"/>
                <w:spacing w:val="-4"/>
                <w:szCs w:val="20"/>
                <w:lang w:eastAsia="en-US"/>
              </w:rPr>
              <w:t xml:space="preserve"> měly pozitivní dopad také na poptávku po pohonných hmotách. Jejich tržby ve 3. čtvrtletí meziročně vzrostly o 3,5 % (k růstu celého maloobchodu přispěly +0,5 p. b.). Na rozdíl od většiny ostatních oblastí maloobchodu nelze jejich současný růst přičíst efektu slabší loňské základny.</w:t>
            </w:r>
          </w:p>
          <w:p w14:paraId="5CAD9F2C" w14:textId="77777777" w:rsidR="004E7C6B" w:rsidRDefault="004E7C6B">
            <w:pPr>
              <w:spacing w:after="0"/>
              <w:rPr>
                <w:rFonts w:cs="Arial"/>
                <w:color w:val="0D0D0D" w:themeColor="text1" w:themeTint="F2"/>
                <w:spacing w:val="-4"/>
                <w:szCs w:val="20"/>
                <w:lang w:eastAsia="en-US"/>
              </w:rPr>
            </w:pPr>
          </w:p>
        </w:tc>
      </w:tr>
      <w:tr w:rsidR="004E7C6B" w14:paraId="65E460FD" w14:textId="77777777" w:rsidTr="004E7C6B">
        <w:trPr>
          <w:trHeight w:val="170"/>
        </w:trPr>
        <w:tc>
          <w:tcPr>
            <w:tcW w:w="1814" w:type="dxa"/>
            <w:hideMark/>
          </w:tcPr>
          <w:p w14:paraId="69E7DB1A" w14:textId="77777777" w:rsidR="004E7C6B" w:rsidRDefault="004E7C6B">
            <w:pPr>
              <w:pStyle w:val="Marginlie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lastRenderedPageBreak/>
              <w:t>Mírný růst tržeb v</w:t>
            </w:r>
            <w:r>
              <w:rPr>
                <w:rFonts w:cs="Arial"/>
                <w:color w:val="0D0D0D" w:themeColor="text1" w:themeTint="F2"/>
                <w:szCs w:val="20"/>
                <w:lang w:eastAsia="en-US"/>
              </w:rPr>
              <w:t> </w:t>
            </w:r>
            <w:r>
              <w:rPr>
                <w:spacing w:val="-4"/>
                <w:lang w:eastAsia="en-US"/>
              </w:rPr>
              <w:t>motoristickém segmentu obchodu se ve 3. čtvrtletí zastavil.</w:t>
            </w:r>
          </w:p>
        </w:tc>
        <w:tc>
          <w:tcPr>
            <w:tcW w:w="229" w:type="dxa"/>
          </w:tcPr>
          <w:p w14:paraId="7ECD7638" w14:textId="77777777" w:rsidR="004E7C6B" w:rsidRDefault="004E7C6B">
            <w:pPr>
              <w:pStyle w:val="Textpoznpodarou"/>
              <w:jc w:val="both"/>
              <w:rPr>
                <w:color w:val="0D0D0D" w:themeColor="text1" w:themeTint="F2"/>
                <w:spacing w:val="-4"/>
                <w:lang w:eastAsia="en-US"/>
              </w:rPr>
            </w:pPr>
          </w:p>
        </w:tc>
        <w:tc>
          <w:tcPr>
            <w:tcW w:w="7596" w:type="dxa"/>
            <w:hideMark/>
          </w:tcPr>
          <w:p w14:paraId="2B3D3343" w14:textId="77777777" w:rsidR="004E7C6B" w:rsidRDefault="004E7C6B">
            <w:pPr>
              <w:spacing w:after="0"/>
              <w:rPr>
                <w:rFonts w:cs="Arial"/>
                <w:color w:val="0D0D0D" w:themeColor="text1" w:themeTint="F2"/>
                <w:szCs w:val="20"/>
                <w:lang w:eastAsia="en-US"/>
              </w:rPr>
            </w:pPr>
            <w:r>
              <w:rPr>
                <w:rFonts w:cs="Arial"/>
                <w:color w:val="0D0D0D" w:themeColor="text1" w:themeTint="F2"/>
                <w:szCs w:val="20"/>
                <w:lang w:eastAsia="en-US"/>
              </w:rPr>
              <w:t xml:space="preserve">Po mírném meziročním růstu v první polovině letošního roku se tržby v motoristickém segmentu obchodu ve 3. čtvrtletí snížily o 0,8 %, a to vlivem slabší poptávky v obchodu s motorovými vozidly, jejich díly i příslušenstvím. Naopak se mírně zvýšily tržby za prodej motocyklů, stejně jako za opravy a údržby vozidel. </w:t>
            </w:r>
            <w:r>
              <w:rPr>
                <w:rFonts w:cs="Arial"/>
                <w:color w:val="0D0D0D" w:themeColor="text1" w:themeTint="F2"/>
                <w:spacing w:val="-6"/>
                <w:szCs w:val="20"/>
                <w:lang w:eastAsia="en-US"/>
              </w:rPr>
              <w:t>Oproti 4. čtvrtletí 2017, kdy byl celý motoristický segment na svém vrcholu, byly letos jeho tržby nižší o 8 %.</w:t>
            </w:r>
          </w:p>
        </w:tc>
      </w:tr>
      <w:bookmarkEnd w:id="2"/>
      <w:bookmarkEnd w:id="3"/>
    </w:tbl>
    <w:p w14:paraId="0569A6FA" w14:textId="77777777" w:rsidR="004E7C6B" w:rsidRDefault="004E7C6B" w:rsidP="004E7C6B">
      <w:pPr>
        <w:rPr>
          <w:rFonts w:eastAsia="MS Gothic"/>
        </w:rPr>
      </w:pPr>
    </w:p>
    <w:bookmarkEnd w:id="4"/>
    <w:bookmarkEnd w:id="0"/>
    <w:bookmarkEnd w:id="5"/>
    <w:p w14:paraId="1D8DE38B" w14:textId="77777777" w:rsidR="000A5265" w:rsidRPr="00777B55" w:rsidRDefault="000A5265" w:rsidP="000A5265">
      <w:pPr>
        <w:pStyle w:val="Nadpis11"/>
        <w:spacing w:after="0" w:line="240" w:lineRule="auto"/>
        <w:outlineLvl w:val="9"/>
        <w:rPr>
          <w:b w:val="0"/>
          <w:sz w:val="2"/>
          <w:szCs w:val="2"/>
        </w:rPr>
      </w:pPr>
    </w:p>
    <w:p w14:paraId="2143296F" w14:textId="056CBB00" w:rsidR="00A50D73" w:rsidRDefault="00A50D73" w:rsidP="00800216">
      <w:pPr>
        <w:spacing w:after="0"/>
      </w:pPr>
    </w:p>
    <w:sectPr w:rsidR="00A50D73" w:rsidSect="00D4571D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134" w:right="1134" w:bottom="1418" w:left="1134" w:header="680" w:footer="680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2EF3C" w14:textId="77777777" w:rsidR="00DC48F1" w:rsidRDefault="00DC48F1" w:rsidP="00E71A58">
      <w:r>
        <w:separator/>
      </w:r>
    </w:p>
  </w:endnote>
  <w:endnote w:type="continuationSeparator" w:id="0">
    <w:p w14:paraId="70B7E2B6" w14:textId="77777777" w:rsidR="00DC48F1" w:rsidRDefault="00DC48F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8" w14:textId="4325FD9E" w:rsidR="009855E1" w:rsidRPr="00932443" w:rsidRDefault="009855E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2143298A" wp14:editId="2143298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1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D4571D">
      <w:rPr>
        <w:szCs w:val="16"/>
      </w:rPr>
      <w:t>10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až 3. čtvrtletí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9" w14:textId="6ABCA8EF" w:rsidR="009855E1" w:rsidRPr="00932443" w:rsidRDefault="009855E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2143298C" wp14:editId="2143298D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2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>1. až 3.čtvrtletí 2024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D4571D">
      <w:rPr>
        <w:rStyle w:val="ZpatChar"/>
        <w:szCs w:val="16"/>
      </w:rPr>
      <w:t>11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0D8F6" w14:textId="77777777" w:rsidR="00DC48F1" w:rsidRDefault="00DC48F1" w:rsidP="00EA4302">
      <w:pPr>
        <w:spacing w:after="0"/>
      </w:pPr>
      <w:r>
        <w:separator/>
      </w:r>
    </w:p>
  </w:footnote>
  <w:footnote w:type="continuationSeparator" w:id="0">
    <w:p w14:paraId="70CDBF0C" w14:textId="77777777" w:rsidR="00DC48F1" w:rsidRDefault="00DC48F1" w:rsidP="00E71A58">
      <w:r>
        <w:continuationSeparator/>
      </w:r>
    </w:p>
  </w:footnote>
  <w:footnote w:id="1">
    <w:p w14:paraId="413768DC" w14:textId="77777777" w:rsidR="004E7C6B" w:rsidRDefault="004E7C6B" w:rsidP="004E7C6B">
      <w:pPr>
        <w:pStyle w:val="Textpoznpodarou"/>
        <w:jc w:val="both"/>
        <w:rPr>
          <w:rFonts w:cs="Arial"/>
          <w:color w:val="0D0D0D" w:themeColor="text1" w:themeTint="F2"/>
          <w:spacing w:val="-2"/>
          <w:sz w:val="16"/>
          <w:szCs w:val="16"/>
        </w:rPr>
      </w:pPr>
      <w:r>
        <w:rPr>
          <w:rStyle w:val="Znakapoznpodarou"/>
          <w:rFonts w:cs="Arial"/>
          <w:color w:val="0D0D0D" w:themeColor="text1" w:themeTint="F2"/>
          <w:spacing w:val="-2"/>
          <w:sz w:val="16"/>
          <w:szCs w:val="16"/>
        </w:rPr>
        <w:footnoteRef/>
      </w:r>
      <w:r>
        <w:rPr>
          <w:rFonts w:cs="Arial"/>
          <w:color w:val="0D0D0D" w:themeColor="text1" w:themeTint="F2"/>
          <w:spacing w:val="-2"/>
          <w:sz w:val="16"/>
          <w:szCs w:val="16"/>
        </w:rPr>
        <w:t xml:space="preserve"> Údaje o HPH jsou vyjádřeny ve stálých cenách a v očištění o sezónní a kalendářní vlivy.</w:t>
      </w:r>
    </w:p>
  </w:footnote>
  <w:footnote w:id="2">
    <w:p w14:paraId="05BEA7ED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V informačních a komunikačních činnostech převýšila HPH předkrizovou úroveň o třetinu, v peněžnictví a pojišťovnictví o pětinu </w:t>
      </w:r>
      <w:r>
        <w:rPr>
          <w:sz w:val="16"/>
          <w:szCs w:val="16"/>
        </w:rPr>
        <w:br/>
        <w:t xml:space="preserve">a v podnikových službách (profesní, vědecké, technické a administrativní činnosti) o desetinu. Naopak výkon průmyslu zaostával za </w:t>
      </w:r>
      <w:r>
        <w:rPr>
          <w:sz w:val="16"/>
          <w:szCs w:val="16"/>
        </w:rPr>
        <w:br/>
        <w:t xml:space="preserve">3. čtvrtletím 2019 o 7 %, primárního sektoru ekonomiky o 10 % a stavebnictví o 18 %. </w:t>
      </w:r>
    </w:p>
  </w:footnote>
  <w:footnote w:id="3">
    <w:p w14:paraId="7E3CE711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Sklizeň všech obilovin v roce 2024 (dle posledního odhadu k 30. září) dosáhla 7,412 mil. tun (meziročně o 7,2 % méně, obdobně </w:t>
      </w:r>
      <w:r>
        <w:rPr>
          <w:sz w:val="16"/>
          <w:szCs w:val="16"/>
        </w:rPr>
        <w:br/>
        <w:t xml:space="preserve">i proti 10letému průměru). Za posledních 12 let byla slabší sklizeň jen ve velmi suchém roce 2018 (6,97 mil). Meziročně vyšší byla úroda jen některých jarních plodin (ječmen jarní, oves) a také kukuřice na zrno (+11 %, proti velmi nízké loňské úrodě), a to výhradně díky rozšíření ploch osevů. Obilovin se meziročně sklidilo méně ve všech krajích – především v Praze a Zlínském kraji (o více než </w:t>
      </w:r>
      <w:r>
        <w:rPr>
          <w:sz w:val="16"/>
          <w:szCs w:val="16"/>
        </w:rPr>
        <w:br/>
        <w:t xml:space="preserve">10 %), nejmenší pokles nastal v kraji Olomouckém (-4 %). Sklizeň řepky (952 tis. tun, meziročně o 27,3 % méně) byla nejslabší za posledních 18 let. Projevil se jak pokles osevní plochy (−9,6 %), tak nižší hektarový výnos (−19,5 %). Letošní úroda řepky je o pětinu nižší ve srovnání s pětiletým průměrem (osevní plocha −5,4 %; hektarový výnos −14,8 %). Sklizeň brambor 630 tis. tun byla o desetinu vyšší než v loňském podprůměrném roce (hlavně díky rozšíření osázené plochy o 8,6 %). Ve srovnání s pětiletým průměrem je úroda </w:t>
      </w:r>
      <w:r>
        <w:rPr>
          <w:sz w:val="16"/>
          <w:szCs w:val="16"/>
        </w:rPr>
        <w:br/>
        <w:t xml:space="preserve">o 2,2 % nižší. Úroda řepy cukrové dosáhla 4 435 tis. tun, meziročně byla o 15,7 % vyšší, hlavně díky nárůstu osevní plochy (+12,1 %). Proti roku 2017, kdy skončil systém produkčních kvót na cukr, je letošní osevní plocha řepy cukrové téměř totožná. Dařilo se i většině dalších technických plodin. Hlavně díky rozšíření osevů vzrostla letos úroda máku (na 29 tis. t., meziročně +59 %). Podobný efekt nastal i u sóji (úroda +11 %). Velmi dobrá letošní sklizeň obou plodin ještě více vynikne i ve srovnání s víceletým průměrem. Zhruba na úrovni 5letého průměru je letos úroda slunečnice na semeno, avšak meziročně zaostává (-12,5 %), výhradně kvůli poklesu plochy. Dostatek srážek po většinu vegetačního období se příznivě odrazil v meziročně vyšší sklizni většiny pícnin (kukuřice na zeleno +14 %, jetel </w:t>
      </w:r>
      <w:r>
        <w:rPr>
          <w:sz w:val="16"/>
          <w:szCs w:val="16"/>
        </w:rPr>
        <w:br/>
        <w:t xml:space="preserve">+5 %), klesla pouze sklizeň vojtěšky (-6 %). Produkce hrachu polního na zrno meziročně klesla o 9,7 % na 95 tis. tun. Osevní plocha se rozšířila o 12,4 %, ale hektarový výnos se snížil o pětinu. Odhad sklizně hrachu je srovnatelný s pětiletým průměrem. </w:t>
      </w:r>
    </w:p>
  </w:footnote>
  <w:footnote w:id="4">
    <w:p w14:paraId="01796B52" w14:textId="77777777" w:rsidR="004E7C6B" w:rsidRDefault="004E7C6B" w:rsidP="004E7C6B">
      <w:pPr>
        <w:spacing w:after="0" w:line="240" w:lineRule="auto"/>
        <w:rPr>
          <w:rFonts w:cs="Arial"/>
          <w:color w:val="0D0D0D" w:themeColor="text1" w:themeTint="F2"/>
          <w:spacing w:val="-4"/>
          <w:sz w:val="16"/>
          <w:szCs w:val="16"/>
        </w:rPr>
      </w:pPr>
      <w:r>
        <w:rPr>
          <w:rStyle w:val="Znakapoznpodarou"/>
          <w:spacing w:val="-4"/>
          <w:sz w:val="16"/>
          <w:szCs w:val="16"/>
        </w:rPr>
        <w:footnoteRef/>
      </w:r>
      <w:r>
        <w:rPr>
          <w:spacing w:val="-4"/>
          <w:sz w:val="16"/>
          <w:szCs w:val="16"/>
        </w:rPr>
        <w:t xml:space="preserve"> </w:t>
      </w:r>
      <w:r>
        <w:rPr>
          <w:rFonts w:cs="Arial"/>
          <w:color w:val="0D0D0D" w:themeColor="text1" w:themeTint="F2"/>
          <w:spacing w:val="-4"/>
          <w:sz w:val="16"/>
          <w:szCs w:val="16"/>
        </w:rPr>
        <w:t>Zahrnuje odvětví těžby a dobývání, zpracovatelského průmyslu a také energetiky (zde pojímané jako odvětví výroby a rozvodu elektřiny, plynu, tepla a klimatizovaného vzduchu). Všechna meziroční tempa produkce jsou očištěna o kalendářní vlivy, mezičtvrtletní tempa i o vliv sezónnosti.</w:t>
      </w:r>
    </w:p>
  </w:footnote>
  <w:footnote w:id="5">
    <w:p w14:paraId="2A16CAE2" w14:textId="77777777" w:rsidR="004E7C6B" w:rsidRDefault="004E7C6B" w:rsidP="004E7C6B">
      <w:pPr>
        <w:pStyle w:val="Textpoznpodarou"/>
        <w:rPr>
          <w:spacing w:val="-1"/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0D0D0D" w:themeColor="text1" w:themeTint="F2"/>
          <w:spacing w:val="-1"/>
          <w:sz w:val="16"/>
          <w:szCs w:val="16"/>
        </w:rPr>
        <w:t xml:space="preserve">Za svým vrcholem z období let 2015 až 2019 </w:t>
      </w:r>
      <w:r>
        <w:rPr>
          <w:spacing w:val="-1"/>
          <w:sz w:val="16"/>
          <w:szCs w:val="16"/>
        </w:rPr>
        <w:t>letos ve 3. čtvrtletí zaostávaly více než dvě třetiny hlavních průmyslových oborů – především ty provázané s oblastí energetiky (</w:t>
      </w:r>
      <w:r>
        <w:rPr>
          <w:color w:val="0D0D0D" w:themeColor="text1" w:themeTint="F2"/>
          <w:spacing w:val="-4"/>
          <w:sz w:val="16"/>
          <w:szCs w:val="16"/>
        </w:rPr>
        <w:t>−</w:t>
      </w:r>
      <w:r>
        <w:rPr>
          <w:spacing w:val="-1"/>
          <w:sz w:val="16"/>
          <w:szCs w:val="16"/>
        </w:rPr>
        <w:t>22 %) a ty zaměřené na produkci dlouhodobé spotřeby (</w:t>
      </w:r>
      <w:r>
        <w:rPr>
          <w:color w:val="0D0D0D" w:themeColor="text1" w:themeTint="F2"/>
          <w:spacing w:val="-4"/>
          <w:sz w:val="16"/>
          <w:szCs w:val="16"/>
        </w:rPr>
        <w:t>−</w:t>
      </w:r>
      <w:r>
        <w:rPr>
          <w:spacing w:val="-1"/>
          <w:sz w:val="16"/>
          <w:szCs w:val="16"/>
        </w:rPr>
        <w:t>18 %). Na úrovni jednotlivých oborů šlo zejména o těžbu uhlí (</w:t>
      </w:r>
      <w:r>
        <w:rPr>
          <w:rFonts w:cs="Arial"/>
          <w:color w:val="0D0D0D" w:themeColor="text1" w:themeTint="F2"/>
          <w:spacing w:val="-1"/>
          <w:sz w:val="16"/>
          <w:szCs w:val="16"/>
        </w:rPr>
        <w:t>o </w:t>
      </w:r>
      <w:r>
        <w:rPr>
          <w:spacing w:val="-1"/>
          <w:sz w:val="16"/>
          <w:szCs w:val="16"/>
        </w:rPr>
        <w:t>54</w:t>
      </w:r>
      <w:r>
        <w:rPr>
          <w:rFonts w:cs="Arial"/>
          <w:color w:val="0D0D0D" w:themeColor="text1" w:themeTint="F2"/>
          <w:spacing w:val="-1"/>
          <w:sz w:val="16"/>
          <w:szCs w:val="16"/>
        </w:rPr>
        <w:t> </w:t>
      </w:r>
      <w:r>
        <w:rPr>
          <w:spacing w:val="-1"/>
          <w:sz w:val="16"/>
          <w:szCs w:val="16"/>
        </w:rPr>
        <w:t>%), výrobu kovů, hutnictví a slévárenství (−34 %), tiskárenství (−23 %), textilní průmysl (−22 %), těžbu stavebních materiálů (−21</w:t>
      </w:r>
      <w:r>
        <w:rPr>
          <w:rFonts w:cs="Arial"/>
          <w:color w:val="0D0D0D" w:themeColor="text1" w:themeTint="F2"/>
          <w:spacing w:val="-1"/>
          <w:sz w:val="16"/>
          <w:szCs w:val="16"/>
        </w:rPr>
        <w:t> </w:t>
      </w:r>
      <w:r>
        <w:rPr>
          <w:spacing w:val="-1"/>
          <w:sz w:val="16"/>
          <w:szCs w:val="16"/>
        </w:rPr>
        <w:t xml:space="preserve">%) a energetiku (18 %). Z větších oborů se jednalo dále o chemický průmysl (−16 %), strojírenství </w:t>
      </w:r>
      <w:r>
        <w:rPr>
          <w:spacing w:val="-1"/>
          <w:sz w:val="16"/>
          <w:szCs w:val="16"/>
        </w:rPr>
        <w:br/>
        <w:t>a výrobu stavebních hmot (shodně −14</w:t>
      </w:r>
      <w:r>
        <w:rPr>
          <w:rFonts w:cs="Arial"/>
          <w:color w:val="0D0D0D" w:themeColor="text1" w:themeTint="F2"/>
          <w:spacing w:val="-1"/>
          <w:sz w:val="16"/>
          <w:szCs w:val="16"/>
        </w:rPr>
        <w:t> </w:t>
      </w:r>
      <w:r>
        <w:rPr>
          <w:spacing w:val="-1"/>
          <w:sz w:val="16"/>
          <w:szCs w:val="16"/>
        </w:rPr>
        <w:t>%), gumárenství a plastikářství (−7 %). Naopak nad předkrizovou úrovní produkce se aktuálně nacházela zejména výroba ostatních dopravních prostředků (+29 %), farmacie (+22 %), automobilový průmysl (+14 %), elektrotechnika (+11 %), ostatní zpracovatelský průmysl a papírenství (shodně +10 %).</w:t>
      </w:r>
    </w:p>
  </w:footnote>
  <w:footnote w:id="6">
    <w:p w14:paraId="47720C61" w14:textId="77777777" w:rsidR="004E7C6B" w:rsidRDefault="004E7C6B" w:rsidP="004E7C6B">
      <w:pPr>
        <w:pStyle w:val="Textpoznpodarou"/>
        <w:rPr>
          <w:color w:val="0D0D0D" w:themeColor="text1" w:themeTint="F2"/>
          <w:spacing w:val="-2"/>
          <w:sz w:val="16"/>
          <w:szCs w:val="16"/>
        </w:rPr>
      </w:pPr>
      <w:r>
        <w:rPr>
          <w:rStyle w:val="Znakapoznpodarou"/>
          <w:spacing w:val="-2"/>
          <w:sz w:val="16"/>
          <w:szCs w:val="16"/>
        </w:rPr>
        <w:footnoteRef/>
      </w:r>
      <w:r>
        <w:rPr>
          <w:spacing w:val="-2"/>
          <w:sz w:val="16"/>
          <w:szCs w:val="16"/>
        </w:rPr>
        <w:t xml:space="preserve"> Průmysl je </w:t>
      </w:r>
      <w:r>
        <w:rPr>
          <w:color w:val="0D0D0D" w:themeColor="text1" w:themeTint="F2"/>
          <w:spacing w:val="-2"/>
          <w:sz w:val="16"/>
          <w:szCs w:val="16"/>
        </w:rPr>
        <w:t>od loňského jara v útlumu také v EU. V 1. až 3. čtvrtletí 2024 se jeho produkce v Unii meziročně snížila o 2,7 %. Nejvíce klesl výkon odvětví zaměřených na produkci investičních výrobků (</w:t>
      </w:r>
      <w:r>
        <w:rPr>
          <w:color w:val="0D0D0D" w:themeColor="text1" w:themeTint="F2"/>
          <w:spacing w:val="-1"/>
          <w:sz w:val="16"/>
          <w:szCs w:val="16"/>
        </w:rPr>
        <w:t>−</w:t>
      </w:r>
      <w:r>
        <w:rPr>
          <w:color w:val="0D0D0D" w:themeColor="text1" w:themeTint="F2"/>
          <w:spacing w:val="-2"/>
          <w:sz w:val="16"/>
          <w:szCs w:val="16"/>
        </w:rPr>
        <w:t>5,1 %, hlavně elektronika, motorová vozidla a stroje) a produktů dlouhodobé spotřeby (</w:t>
      </w:r>
      <w:r>
        <w:rPr>
          <w:color w:val="0D0D0D" w:themeColor="text1" w:themeTint="F2"/>
          <w:spacing w:val="-1"/>
          <w:sz w:val="16"/>
          <w:szCs w:val="16"/>
        </w:rPr>
        <w:t>−</w:t>
      </w:r>
      <w:r>
        <w:rPr>
          <w:color w:val="0D0D0D" w:themeColor="text1" w:themeTint="F2"/>
          <w:spacing w:val="-2"/>
          <w:sz w:val="16"/>
          <w:szCs w:val="16"/>
        </w:rPr>
        <w:t>4,1 %, např. nábytek, spotřebiče pro domácnost) a mezispotřeby (</w:t>
      </w:r>
      <w:r>
        <w:rPr>
          <w:color w:val="0D0D0D" w:themeColor="text1" w:themeTint="F2"/>
          <w:spacing w:val="-1"/>
          <w:sz w:val="16"/>
          <w:szCs w:val="16"/>
        </w:rPr>
        <w:t>−</w:t>
      </w:r>
      <w:r>
        <w:rPr>
          <w:color w:val="0D0D0D" w:themeColor="text1" w:themeTint="F2"/>
          <w:spacing w:val="-2"/>
          <w:sz w:val="16"/>
          <w:szCs w:val="16"/>
        </w:rPr>
        <w:t>2,7 %, zejména elektrická zařízení, stavební materiály, kovovýroba), naopak nepatrně posílily obory zacílené na produkty krátkodobé spotřeby (+0,8 %), a to zejména potravinářství a tabákový průmysl. Z pohledu členských států se celková průmyslová produkce snížila nejvíce v Irsku (</w:t>
      </w:r>
      <w:r>
        <w:rPr>
          <w:color w:val="0D0D0D" w:themeColor="text1" w:themeTint="F2"/>
          <w:spacing w:val="-1"/>
          <w:sz w:val="16"/>
          <w:szCs w:val="16"/>
        </w:rPr>
        <w:t>−</w:t>
      </w:r>
      <w:r>
        <w:rPr>
          <w:color w:val="0D0D0D" w:themeColor="text1" w:themeTint="F2"/>
          <w:spacing w:val="-2"/>
          <w:sz w:val="16"/>
          <w:szCs w:val="16"/>
        </w:rPr>
        <w:t>8,8 %), z klíčových producentů pak v Německu (</w:t>
      </w:r>
      <w:r>
        <w:rPr>
          <w:color w:val="0D0D0D" w:themeColor="text1" w:themeTint="F2"/>
          <w:spacing w:val="-1"/>
          <w:sz w:val="16"/>
          <w:szCs w:val="16"/>
        </w:rPr>
        <w:t>−</w:t>
      </w:r>
      <w:r>
        <w:rPr>
          <w:color w:val="0D0D0D" w:themeColor="text1" w:themeTint="F2"/>
          <w:spacing w:val="-2"/>
          <w:sz w:val="16"/>
          <w:szCs w:val="16"/>
        </w:rPr>
        <w:t>5,0 %) a Itálii (</w:t>
      </w:r>
      <w:r>
        <w:rPr>
          <w:color w:val="0D0D0D" w:themeColor="text1" w:themeTint="F2"/>
          <w:spacing w:val="-1"/>
          <w:sz w:val="16"/>
          <w:szCs w:val="16"/>
        </w:rPr>
        <w:t>−</w:t>
      </w:r>
      <w:r>
        <w:rPr>
          <w:color w:val="0D0D0D" w:themeColor="text1" w:themeTint="F2"/>
          <w:spacing w:val="-2"/>
          <w:sz w:val="16"/>
          <w:szCs w:val="16"/>
        </w:rPr>
        <w:t>3,4 %). Kromě Polska (+0,4 %) klesla ve všech středoevropských státech. Růst naopak nastal jen v osmi státech Unie – především v Dánsku (+9,4 %) a Řecku (+6,4 %), z klíčových ekonomik ovšem pouze ve Španělsku (+0,2 %).</w:t>
      </w:r>
    </w:p>
  </w:footnote>
  <w:footnote w:id="7">
    <w:p w14:paraId="7D51C721" w14:textId="77777777" w:rsidR="004E7C6B" w:rsidRDefault="004E7C6B" w:rsidP="004E7C6B">
      <w:pPr>
        <w:pStyle w:val="Textpoznpodarou"/>
        <w:rPr>
          <w:color w:val="0D0D0D" w:themeColor="text1" w:themeTint="F2"/>
          <w:sz w:val="16"/>
          <w:szCs w:val="16"/>
        </w:rPr>
      </w:pPr>
      <w:r>
        <w:rPr>
          <w:rStyle w:val="Znakapoznpodarou"/>
          <w:color w:val="0D0D0D" w:themeColor="text1" w:themeTint="F2"/>
          <w:sz w:val="16"/>
          <w:szCs w:val="16"/>
        </w:rPr>
        <w:footnoteRef/>
      </w:r>
      <w:r>
        <w:rPr>
          <w:color w:val="0D0D0D" w:themeColor="text1" w:themeTint="F2"/>
          <w:sz w:val="16"/>
          <w:szCs w:val="16"/>
        </w:rPr>
        <w:t xml:space="preserve"> Strojírenství působilo proti růstu průmyslu nejvíce ze všech oborů ve všech dosavadních letošních kvartálech i ve 4. čtvrtletí 2023.</w:t>
      </w:r>
    </w:p>
  </w:footnote>
  <w:footnote w:id="8">
    <w:p w14:paraId="45513613" w14:textId="77777777" w:rsidR="004E7C6B" w:rsidRDefault="004E7C6B" w:rsidP="004E7C6B">
      <w:pPr>
        <w:pStyle w:val="Textpoznpodarou"/>
        <w:rPr>
          <w:color w:val="0D0D0D" w:themeColor="text1" w:themeTint="F2"/>
          <w:sz w:val="16"/>
          <w:szCs w:val="16"/>
        </w:rPr>
      </w:pPr>
      <w:r>
        <w:rPr>
          <w:rStyle w:val="Znakapoznpodarou"/>
          <w:color w:val="0D0D0D" w:themeColor="text1" w:themeTint="F2"/>
          <w:sz w:val="16"/>
          <w:szCs w:val="16"/>
        </w:rPr>
        <w:footnoteRef/>
      </w:r>
      <w:r>
        <w:rPr>
          <w:color w:val="0D0D0D" w:themeColor="text1" w:themeTint="F2"/>
          <w:sz w:val="16"/>
          <w:szCs w:val="16"/>
        </w:rPr>
        <w:t xml:space="preserve"> Oproti 1. až 3. čtvrtletí 2021 byla letošní produkce v tomto oboru o více než čtvrtinu nižší. </w:t>
      </w:r>
    </w:p>
  </w:footnote>
  <w:footnote w:id="9">
    <w:p w14:paraId="57943EC2" w14:textId="77777777" w:rsidR="004E7C6B" w:rsidRDefault="004E7C6B" w:rsidP="004E7C6B">
      <w:pPr>
        <w:pStyle w:val="Textpoznpodarou"/>
        <w:rPr>
          <w:color w:val="0D0D0D" w:themeColor="text1" w:themeTint="F2"/>
          <w:sz w:val="16"/>
          <w:szCs w:val="16"/>
        </w:rPr>
      </w:pPr>
      <w:r>
        <w:rPr>
          <w:rStyle w:val="Znakapoznpodarou"/>
          <w:color w:val="0D0D0D" w:themeColor="text1" w:themeTint="F2"/>
          <w:sz w:val="16"/>
          <w:szCs w:val="16"/>
        </w:rPr>
        <w:footnoteRef/>
      </w:r>
      <w:r>
        <w:rPr>
          <w:color w:val="0D0D0D" w:themeColor="text1" w:themeTint="F2"/>
          <w:sz w:val="16"/>
          <w:szCs w:val="16"/>
        </w:rPr>
        <w:t xml:space="preserve"> Na tento výsledek měla patrně vliv zhoršená pozice některých přímých subdodavatelů (v rámci odvětví automobilového průmyslu). Samotná finální fyzická výroba ale rostla. Dle údajů </w:t>
      </w:r>
      <w:r>
        <w:rPr>
          <w:color w:val="0D0D0D" w:themeColor="text1" w:themeTint="F2"/>
          <w:spacing w:val="-3"/>
          <w:sz w:val="16"/>
          <w:szCs w:val="16"/>
        </w:rPr>
        <w:t>Sdružení</w:t>
      </w:r>
      <w:r>
        <w:rPr>
          <w:color w:val="0D0D0D" w:themeColor="text1" w:themeTint="F2"/>
          <w:sz w:val="16"/>
          <w:szCs w:val="16"/>
        </w:rPr>
        <w:t xml:space="preserve"> automobilového průmyslu se letos za tři čtvrtletí v tuzemsku vyrobilo </w:t>
      </w:r>
      <w:r>
        <w:rPr>
          <w:color w:val="0D0D0D" w:themeColor="text1" w:themeTint="F2"/>
          <w:sz w:val="16"/>
          <w:szCs w:val="16"/>
        </w:rPr>
        <w:br/>
        <w:t xml:space="preserve">1,097 mil. osobních automobilů, meziročně o 8 % více (a současně 3 % více než v rekordním roce 2019). Přispělo k tomu svižné tempo výroby na samém počátku roku, i na konci 3. čtvrtletí. </w:t>
      </w:r>
      <w:r>
        <w:rPr>
          <w:color w:val="0D0D0D" w:themeColor="text1" w:themeTint="F2"/>
          <w:spacing w:val="-3"/>
          <w:sz w:val="16"/>
          <w:szCs w:val="16"/>
        </w:rPr>
        <w:t>Na rozdíl od předchozích let se výroba automobilů během letošního roku vyznačovala větší rovnoměrností, což naznačuje výrazné zklidnění v oblasti dodavatelských řetězců. K meziročnímu poklesu došlo ve výrobě elektrických vozidel (vč. vozů s hybridním pohonem), které se zatím letos na celkové produkci osobních automobilů podílely rovnými 9,7 % (o rok dříve 13,7 %). Oproti tomu posílila letos výroba většiny producentů ostatních druhů silničních motorových vozidel.</w:t>
      </w:r>
    </w:p>
  </w:footnote>
  <w:footnote w:id="10">
    <w:p w14:paraId="6D3879BB" w14:textId="77777777" w:rsidR="004E7C6B" w:rsidRDefault="004E7C6B" w:rsidP="004E7C6B">
      <w:pPr>
        <w:pStyle w:val="Textpoznpodarou"/>
        <w:rPr>
          <w:color w:val="0D0D0D" w:themeColor="text1" w:themeTint="F2"/>
          <w:sz w:val="16"/>
          <w:szCs w:val="16"/>
        </w:rPr>
      </w:pPr>
      <w:r>
        <w:rPr>
          <w:rStyle w:val="Znakapoznpodarou"/>
          <w:color w:val="0D0D0D" w:themeColor="text1" w:themeTint="F2"/>
          <w:sz w:val="16"/>
          <w:szCs w:val="16"/>
        </w:rPr>
        <w:footnoteRef/>
      </w:r>
      <w:r>
        <w:rPr>
          <w:color w:val="0D0D0D" w:themeColor="text1" w:themeTint="F2"/>
          <w:sz w:val="16"/>
          <w:szCs w:val="16"/>
        </w:rPr>
        <w:t xml:space="preserve"> </w:t>
      </w:r>
      <w:r>
        <w:rPr>
          <w:color w:val="0D0D0D" w:themeColor="text1" w:themeTint="F2"/>
          <w:spacing w:val="-4"/>
          <w:sz w:val="16"/>
          <w:szCs w:val="16"/>
        </w:rPr>
        <w:t>To souviselo i s vyšší srovnávací základnou. Letošní produkce již neudržela velmi vysoké tempo výroby z předchozích dvou let, jež zčásti pramenilo z finalizace většího objemu zakázek nahromaděných z období ovlivněného narušením dodavatelských řetězců.</w:t>
      </w:r>
    </w:p>
  </w:footnote>
  <w:footnote w:id="11">
    <w:p w14:paraId="2AA2F24C" w14:textId="77777777" w:rsidR="004E7C6B" w:rsidRDefault="004E7C6B" w:rsidP="004E7C6B">
      <w:pPr>
        <w:pStyle w:val="Textpoznpodarou"/>
      </w:pPr>
      <w:r>
        <w:rPr>
          <w:rStyle w:val="Znakapoznpodarou"/>
          <w:color w:val="0D0D0D" w:themeColor="text1" w:themeTint="F2"/>
          <w:sz w:val="16"/>
          <w:szCs w:val="16"/>
        </w:rPr>
        <w:footnoteRef/>
      </w:r>
      <w:r>
        <w:rPr>
          <w:color w:val="0D0D0D" w:themeColor="text1" w:themeTint="F2"/>
          <w:sz w:val="16"/>
          <w:szCs w:val="16"/>
        </w:rPr>
        <w:t xml:space="preserve"> V celé EU klesla v 1</w:t>
      </w:r>
      <w:r>
        <w:rPr>
          <w:sz w:val="16"/>
          <w:szCs w:val="16"/>
        </w:rPr>
        <w:t>. až 3. čtvrtletí produkce ve výrobě motorových vozidel meziročně o 7,4 % (v eurozóně o 8,5 %). O více než pětinu se propadala v Belgii, Nizozemsku a Itálii, významně se snížila např. i ve Francii (</w:t>
      </w:r>
      <w:r>
        <w:rPr>
          <w:spacing w:val="-1"/>
          <w:sz w:val="16"/>
          <w:szCs w:val="16"/>
        </w:rPr>
        <w:t>−</w:t>
      </w:r>
      <w:r>
        <w:rPr>
          <w:sz w:val="16"/>
          <w:szCs w:val="16"/>
        </w:rPr>
        <w:t>12 %) či Německu (</w:t>
      </w:r>
      <w:r>
        <w:rPr>
          <w:spacing w:val="-1"/>
          <w:sz w:val="16"/>
          <w:szCs w:val="16"/>
        </w:rPr>
        <w:t>−</w:t>
      </w:r>
      <w:r>
        <w:rPr>
          <w:sz w:val="16"/>
          <w:szCs w:val="16"/>
        </w:rPr>
        <w:t>7 %).</w:t>
      </w:r>
    </w:p>
  </w:footnote>
  <w:footnote w:id="12">
    <w:p w14:paraId="48360EB9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Dle Českého hydrometeorologického ústavu dosáhla v Česku v prvních devíti měsících letošního roku průměrná teplota vzduchu </w:t>
      </w:r>
      <w:r>
        <w:rPr>
          <w:sz w:val="16"/>
          <w:szCs w:val="16"/>
        </w:rPr>
        <w:br/>
        <w:t>12,2 stupně Celsia (dlouhodobý normál z období let 1991–2020 překročila o 2,3 stupně, když vyšší byla ve všech letošních měsících). Oproti stejnému období loňského roku byla letos teplota vyšší o 1,2 stupně, k čemuž přispěly všechny měsíce kromě ledna a září.</w:t>
      </w:r>
    </w:p>
  </w:footnote>
  <w:footnote w:id="13">
    <w:p w14:paraId="5CDFA320" w14:textId="77777777" w:rsidR="004E7C6B" w:rsidRDefault="004E7C6B" w:rsidP="004E7C6B">
      <w:pPr>
        <w:pStyle w:val="Textpoznpodarou"/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0D0D0D" w:themeColor="text1" w:themeTint="F2"/>
          <w:spacing w:val="-4"/>
          <w:sz w:val="16"/>
          <w:szCs w:val="16"/>
        </w:rPr>
        <w:t xml:space="preserve">Dle údajů Energetického regulačního úřadu přispěly k meziročnímu poklesu výroby v 1. až 3. čtvrtletí 2024 hlavně tepelné elektrárny </w:t>
      </w:r>
      <w:r>
        <w:rPr>
          <w:color w:val="0D0D0D" w:themeColor="text1" w:themeTint="F2"/>
          <w:spacing w:val="-4"/>
          <w:sz w:val="16"/>
          <w:szCs w:val="16"/>
        </w:rPr>
        <w:br/>
        <w:t>a jaderné zdroje. Celkový pokles produkce naopak tlumily především rozvíjející se obnovitelné zdroje – fotovoltaické elektrárny a především (díky svižnému růstu instalovaného výkonu nejmenších zdrojů – do 10 kW) větrné elektrárny.</w:t>
      </w:r>
    </w:p>
  </w:footnote>
  <w:footnote w:id="14">
    <w:p w14:paraId="0A81ED40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Jeho výroba klesla hlavně vlivem propadu u černého i hnědého uhlí, v menší míře i zemního plynu. Z významnějších zdrojů bylo vyrobeno více tepla jen z biomasy.</w:t>
      </w:r>
    </w:p>
  </w:footnote>
  <w:footnote w:id="15">
    <w:p w14:paraId="357775EF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Produkce ve výrobě nábytku se letos meziročně snížila o 3,5 %, za poslední dva roky dokonce o 14 %. Zatímco loni vázl především odbyt v zahraničí, letos se negativně projevuje slabší poptávka z tuzemska.</w:t>
      </w:r>
    </w:p>
  </w:footnote>
  <w:footnote w:id="16">
    <w:p w14:paraId="42F428D1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Produkce má v tomto relativně malém oboru</w:t>
      </w:r>
      <w:r>
        <w:rPr>
          <w:color w:val="0D0D0D" w:themeColor="text1" w:themeTint="F2"/>
          <w:spacing w:val="-4"/>
          <w:sz w:val="16"/>
          <w:szCs w:val="16"/>
        </w:rPr>
        <w:t xml:space="preserve"> tradičně dosti kolísavý charakter. Dobré vyhlídky oboru se opírají o silnou domácí poptávku spojenou s rozvojem dopravní infrastruktury i modernizací armády.</w:t>
      </w:r>
    </w:p>
  </w:footnote>
  <w:footnote w:id="17">
    <w:p w14:paraId="2BCEAF58" w14:textId="77777777" w:rsidR="004E7C6B" w:rsidRDefault="004E7C6B" w:rsidP="004E7C6B">
      <w:pPr>
        <w:pStyle w:val="Textpoznpodarou"/>
        <w:jc w:val="both"/>
        <w:rPr>
          <w:rFonts w:cs="Arial"/>
          <w:color w:val="0D0D0D" w:themeColor="text1" w:themeTint="F2"/>
          <w:spacing w:val="-2"/>
          <w:sz w:val="16"/>
          <w:szCs w:val="16"/>
        </w:rPr>
      </w:pPr>
      <w:r>
        <w:rPr>
          <w:rStyle w:val="Znakapoznpodarou"/>
          <w:rFonts w:cs="Arial"/>
          <w:color w:val="0D0D0D" w:themeColor="text1" w:themeTint="F2"/>
          <w:spacing w:val="-2"/>
          <w:sz w:val="16"/>
          <w:szCs w:val="16"/>
        </w:rPr>
        <w:footnoteRef/>
      </w:r>
      <w:r>
        <w:rPr>
          <w:rFonts w:cs="Arial"/>
          <w:color w:val="0D0D0D" w:themeColor="text1" w:themeTint="F2"/>
          <w:spacing w:val="-2"/>
          <w:sz w:val="16"/>
          <w:szCs w:val="16"/>
        </w:rPr>
        <w:t xml:space="preserve"> Zjišťování zakázek probíhá ve dvanácti zpracovatelských odvětvích vyrábějících převážně na zakázku, s dlouhodobějším výrobním cyklem a s většími zásobami zakázek. Meziroční tempa zakázek jsou očištěna o kalendářní vlivy, mezikvartální tempa také o vliv sezónnosti.</w:t>
      </w:r>
    </w:p>
  </w:footnote>
  <w:footnote w:id="18">
    <w:p w14:paraId="33299F82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V samotném 3. čtvrtletí 2024 zde však růst zvolnil pod 2 %, což bylo nejnižší tempo za posledních dva a půl roku.</w:t>
      </w:r>
    </w:p>
  </w:footnote>
  <w:footnote w:id="19">
    <w:p w14:paraId="5ED8FE37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Podniky mohou uvést více růstových bariér současně. Vyjma krátkého období na počátku období šíření pandemie covidu-19 je aktuální naléhavost nedostatečné poptávky v průmyslu nejvyšší za posledních 10 let.</w:t>
      </w:r>
    </w:p>
  </w:footnote>
  <w:footnote w:id="20">
    <w:p w14:paraId="459D6277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V některých zejména menších oborech se však stále jednalo o významnou bariéru (potravinářský, nápojový a kožedělný průmysl), výjimečně i dominantní růstové omezení (výroba ostatních dopravních prostředků, oprava a instalace strojů a zařízení).</w:t>
      </w:r>
    </w:p>
  </w:footnote>
  <w:footnote w:id="21">
    <w:p w14:paraId="41D74AF1" w14:textId="77777777" w:rsidR="004E7C6B" w:rsidRDefault="004E7C6B" w:rsidP="004E7C6B">
      <w:pPr>
        <w:pStyle w:val="Textpoznpodarou"/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Tento efekt nicméně není zdaleka tak výrazný jako v roce 2016. V 1. až 3. čtvrtletí 2024 klesly</w:t>
      </w:r>
      <w:r>
        <w:t xml:space="preserve"> </w:t>
      </w:r>
      <w:r>
        <w:rPr>
          <w:sz w:val="16"/>
          <w:szCs w:val="16"/>
        </w:rPr>
        <w:t>celkové kapitálové výdaje státního rozpočtu ČR meziročně o 9,7 %. Státní fond dopravní infrastruktury počítá na celý letošní rok (při pokračování modelu vícezdrojového financování) s výdaji ve výši 150 mld. korun, což je jen nepatrně méně než v rekordním loňském roce (151 mld.). Stavebnictví by mělo perspektivně stále více těžit také z prostředků z Národního plánu obnovy určených např. na snižování energetické náročnosti budov.</w:t>
      </w:r>
    </w:p>
  </w:footnote>
  <w:footnote w:id="22">
    <w:p w14:paraId="7B62E5F9" w14:textId="77777777" w:rsidR="004E7C6B" w:rsidRDefault="004E7C6B" w:rsidP="004E7C6B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  <w:rFonts w:cs="Arial"/>
          <w:color w:val="0D0D0D" w:themeColor="text1" w:themeTint="F2"/>
          <w:sz w:val="16"/>
          <w:szCs w:val="16"/>
        </w:rPr>
        <w:footnoteRef/>
      </w:r>
      <w:r>
        <w:rPr>
          <w:rFonts w:cs="Arial"/>
          <w:color w:val="0D0D0D" w:themeColor="text1" w:themeTint="F2"/>
          <w:sz w:val="16"/>
          <w:szCs w:val="16"/>
        </w:rPr>
        <w:t xml:space="preserve"> Údaje o stavební produkci jsou ve stálých cenách, meziroční tempa jsou očištěna o kalendářní vlivy, mezičtvrtletní též o vliv sezónnosti.</w:t>
      </w:r>
    </w:p>
  </w:footnote>
  <w:footnote w:id="23">
    <w:p w14:paraId="1C1D8D47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normaltextrun"/>
          <w:rFonts w:cs="Arial"/>
          <w:color w:val="000000"/>
          <w:spacing w:val="-5"/>
        </w:rPr>
        <w:t>Tyto činnosti zahrnují např. kompletační, dokončovací elektroinstalační či instalatérské práce a jsou spíše doménou menších stavebních firem. V roce 2023 přitom ještě profitovaly z mírného růstu poptávky.</w:t>
      </w:r>
    </w:p>
  </w:footnote>
  <w:footnote w:id="24">
    <w:p w14:paraId="34C18E2C" w14:textId="77777777" w:rsidR="004E7C6B" w:rsidRDefault="004E7C6B" w:rsidP="004E7C6B">
      <w:pPr>
        <w:spacing w:after="0" w:line="240" w:lineRule="auto"/>
        <w:rPr>
          <w:spacing w:val="-2"/>
        </w:rPr>
      </w:pPr>
      <w:r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>
        <w:rPr>
          <w:color w:val="0D0D0D" w:themeColor="text1" w:themeTint="F2"/>
          <w:spacing w:val="-2"/>
          <w:sz w:val="16"/>
          <w:szCs w:val="16"/>
        </w:rPr>
        <w:t xml:space="preserve"> Bez obchodu, peněžnictví, pojišťovnictví, vědy, výzkumu a veřejných služeb. Všechny údaje za tržby ve službách jsou ve stálých cenách, meziroční data jsou očištěna o kalendářní vlivy, mezičtvrtletní jsou očištěna o sezónní vlivy (včetně vlivu počtu pracovních dnů).</w:t>
      </w:r>
    </w:p>
  </w:footnote>
  <w:footnote w:id="25">
    <w:p w14:paraId="0077FC5D" w14:textId="77777777" w:rsidR="004E7C6B" w:rsidRDefault="004E7C6B" w:rsidP="004E7C6B">
      <w:pPr>
        <w:pStyle w:val="Textpoznpodarou"/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Za svou maximální úrovní z konjunkturního období let 2015 až 2019 zaostávaly letos ve 3. čtvrtletí tržby z hlavních odvětví nejvíce v ubytování, stravování a pohostinství (</w:t>
      </w:r>
      <w:r>
        <w:rPr>
          <w:color w:val="0D0D0D" w:themeColor="text1" w:themeTint="F2"/>
          <w:spacing w:val="-4"/>
          <w:sz w:val="16"/>
          <w:szCs w:val="16"/>
        </w:rPr>
        <w:t>−</w:t>
      </w:r>
      <w:r>
        <w:rPr>
          <w:spacing w:val="-4"/>
          <w:sz w:val="16"/>
          <w:szCs w:val="16"/>
        </w:rPr>
        <w:t xml:space="preserve">20 %) a v </w:t>
      </w:r>
      <w:r>
        <w:rPr>
          <w:rFonts w:cs="Arial"/>
          <w:color w:val="0D0D0D" w:themeColor="text1" w:themeTint="F2"/>
          <w:spacing w:val="-4"/>
          <w:sz w:val="16"/>
          <w:szCs w:val="16"/>
        </w:rPr>
        <w:t>administrativních a podpůrných činnostech (</w:t>
      </w:r>
      <w:r>
        <w:rPr>
          <w:color w:val="0D0D0D" w:themeColor="text1" w:themeTint="F2"/>
          <w:spacing w:val="-4"/>
          <w:sz w:val="16"/>
          <w:szCs w:val="16"/>
        </w:rPr>
        <w:t>−</w:t>
      </w:r>
      <w:r>
        <w:rPr>
          <w:rFonts w:cs="Arial"/>
          <w:color w:val="0D0D0D" w:themeColor="text1" w:themeTint="F2"/>
          <w:spacing w:val="-4"/>
          <w:sz w:val="16"/>
          <w:szCs w:val="16"/>
        </w:rPr>
        <w:t>10 %). Naopak tuto úroveň překonaly zejména</w:t>
      </w:r>
      <w:r>
        <w:rPr>
          <w:spacing w:val="-4"/>
          <w:sz w:val="16"/>
          <w:szCs w:val="16"/>
        </w:rPr>
        <w:t> </w:t>
      </w:r>
      <w:r>
        <w:rPr>
          <w:rFonts w:cs="Arial"/>
          <w:color w:val="0D0D0D" w:themeColor="text1" w:themeTint="F2"/>
          <w:spacing w:val="-4"/>
          <w:sz w:val="16"/>
          <w:szCs w:val="16"/>
        </w:rPr>
        <w:t>informační a</w:t>
      </w:r>
      <w:r>
        <w:rPr>
          <w:spacing w:val="-2"/>
          <w:sz w:val="16"/>
          <w:szCs w:val="16"/>
        </w:rPr>
        <w:t> </w:t>
      </w:r>
      <w:r>
        <w:rPr>
          <w:rFonts w:cs="Arial"/>
          <w:color w:val="0D0D0D" w:themeColor="text1" w:themeTint="F2"/>
          <w:spacing w:val="-4"/>
          <w:sz w:val="16"/>
          <w:szCs w:val="16"/>
        </w:rPr>
        <w:t>komunikační činnosti (+10 %).</w:t>
      </w:r>
    </w:p>
  </w:footnote>
  <w:footnote w:id="26">
    <w:p w14:paraId="16192F1D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Ve 3. čtvrtletí 2024 klesly tržby jak v ubytování, tak ve stravování a pohostinství o rovná 2 %. Přestože nejde o výraznější útlum, je souběžný pokles v obou výše uvedených segmentech v letní turistické sezóně v posledních letech ojedinělý (kromě roku 2020 nastal naposledy v roce 2009).</w:t>
      </w:r>
    </w:p>
  </w:footnote>
  <w:footnote w:id="27">
    <w:p w14:paraId="5F312F45" w14:textId="77777777" w:rsidR="004E7C6B" w:rsidRDefault="004E7C6B" w:rsidP="004E7C6B">
      <w:pPr>
        <w:pStyle w:val="Textpoznpodarou"/>
        <w:rPr>
          <w:spacing w:val="-2"/>
          <w:sz w:val="16"/>
          <w:szCs w:val="16"/>
        </w:rPr>
      </w:pPr>
      <w:r>
        <w:rPr>
          <w:rStyle w:val="Znakapoznpodarou"/>
          <w:spacing w:val="-2"/>
          <w:sz w:val="16"/>
          <w:szCs w:val="16"/>
        </w:rPr>
        <w:footnoteRef/>
      </w:r>
      <w:r>
        <w:rPr>
          <w:spacing w:val="-2"/>
          <w:sz w:val="16"/>
          <w:szCs w:val="16"/>
        </w:rPr>
        <w:t xml:space="preserve"> Tento pokles byl však u zahraniční klientely kompenzován svižným růstem poptávky hostů z Velké Británie, Španělska, USA a Izraele (navýšení přenocování v HUZ od 14 % do 22 %) a také postupným znovuoživením zájmu hostů ze vzdálených asijských států. Celkový počet přenocování hostů ze zahraničí tak ve 3. čtvrtletí překonal loňskou úroveň o 5,2 % (v kumulaci od počátku letošního roku o 8,5 %).</w:t>
      </w:r>
    </w:p>
  </w:footnote>
  <w:footnote w:id="28">
    <w:p w14:paraId="7CEF5732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Ty </w:t>
      </w:r>
      <w:r>
        <w:rPr>
          <w:color w:val="0D0D0D" w:themeColor="text1" w:themeTint="F2"/>
          <w:spacing w:val="-6"/>
          <w:sz w:val="16"/>
          <w:szCs w:val="16"/>
        </w:rPr>
        <w:t>zahrnují zejména programování, poradenství v oblasti informačních technologií či správu počítačového vybavení.</w:t>
      </w:r>
    </w:p>
  </w:footnote>
  <w:footnote w:id="29">
    <w:p w14:paraId="04F11BB1" w14:textId="77777777" w:rsidR="004E7C6B" w:rsidRDefault="004E7C6B" w:rsidP="004E7C6B">
      <w:pPr>
        <w:pStyle w:val="Textpoznpodarou"/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Jde především o činnosti webových portálů, zpravodajských tiskových kanceláří a agentur či zpracování dat a hosting.</w:t>
      </w:r>
    </w:p>
  </w:footnote>
  <w:footnote w:id="30">
    <w:p w14:paraId="30C018F6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Podstatně lépe si vedl segment filmové distribuce. </w:t>
      </w:r>
      <w:r>
        <w:rPr>
          <w:rFonts w:cs="Arial"/>
          <w:color w:val="0D0D0D" w:themeColor="text1" w:themeTint="F2"/>
          <w:spacing w:val="-3"/>
          <w:sz w:val="16"/>
          <w:szCs w:val="16"/>
        </w:rPr>
        <w:t xml:space="preserve">Dle údajů </w:t>
      </w:r>
      <w:r>
        <w:rPr>
          <w:spacing w:val="-3"/>
          <w:sz w:val="16"/>
          <w:szCs w:val="16"/>
        </w:rPr>
        <w:t>Unie filmových distributorů klesly letos od ledna do října hrubé nominální tržby provozovatelů tuzemských kin meziročně jen o 1,6 % (díky silným výkonům během letních prázdninových měsíců). Celková návštěvnost se analogicky snížila o 4,2 %, naopak počet odehraných představení narostl o rovná 3 %. Ve srovnání se stejným obdobím rekordního roku 2019 ovšem letos stále scházela více než čtvrtina diváků a desetina tržeb.</w:t>
      </w:r>
    </w:p>
  </w:footnote>
  <w:footnote w:id="31">
    <w:p w14:paraId="548A7008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Toto dílčí odvětví, v němž hrají významnou roli drobní podnikatelé, zahrnuje především zprostředkovatelské činnosti, návrhářské, překladatelské a fotografické služby nebo činnosti stavebního dozoru.</w:t>
      </w:r>
    </w:p>
  </w:footnote>
  <w:footnote w:id="32">
    <w:p w14:paraId="5DF8B480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Ve zbývající části odstavce jde o věcně detailnější údaje bez očištění o pracovní dny.</w:t>
      </w:r>
    </w:p>
  </w:footnote>
  <w:footnote w:id="33">
    <w:p w14:paraId="29318B49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Obdobně jako loni naopak stagnovala poptávka po pronájmu a leasingu automobilů a jiných lehkých motorových vozidel.</w:t>
      </w:r>
    </w:p>
  </w:footnote>
  <w:footnote w:id="34">
    <w:p w14:paraId="6CB941DD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K poklesu tržeb zde došlo i při vysokém růstu počtu pracujících cizinců v ČR. Na něm se v posledních dvou letech významně podíleli uprchlíci z Ukrajiny. Vzhledem ke statutu dočasné ochrany, který byl těmto osobám přiznán, je jejich zaměstnávání v tuzemsku administrativně jednodušší (oproti ostatním skupinám migrantů z tzv. třetích zemí) a ti tak mohou snáze nalézt práci „napřímo“ (bez zprostředkovatele). Kromě výše uvedeného se na poklesu tržeb může podílet i snížená poptávka pracovních agentur ze strany klíčových výrobních odvětví procházejících recesí (průmysl a stavebnictví).</w:t>
      </w:r>
    </w:p>
  </w:footnote>
  <w:footnote w:id="35">
    <w:p w14:paraId="1A20AD07" w14:textId="77777777" w:rsidR="004E7C6B" w:rsidRDefault="004E7C6B" w:rsidP="004E7C6B">
      <w:pPr>
        <w:spacing w:after="0" w:line="240" w:lineRule="auto"/>
        <w:rPr>
          <w:spacing w:val="-2"/>
        </w:rPr>
      </w:pPr>
      <w:r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>
        <w:rPr>
          <w:color w:val="0D0D0D" w:themeColor="text1" w:themeTint="F2"/>
          <w:spacing w:val="-2"/>
          <w:sz w:val="16"/>
          <w:szCs w:val="16"/>
        </w:rPr>
        <w:t xml:space="preserve"> Všechna meziroční tempa tržeb za maloobchod jsou uvedena ve stálých cenách a očištěna o kalendářní vlivy, mezičtvrtletní tempa jsou očištěna o sezónní vlivy (včetně vlivu počtu pracovních dnů). Maloobchod zahrnuje pouze odvětví CZ-NACE 47.</w:t>
      </w:r>
    </w:p>
  </w:footnote>
  <w:footnote w:id="36">
    <w:p w14:paraId="729AB530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To souvisí primárně s propadem tržeb za potraviny (</w:t>
      </w:r>
      <w:r>
        <w:rPr>
          <w:color w:val="0D0D0D" w:themeColor="text1" w:themeTint="F2"/>
          <w:spacing w:val="-2"/>
          <w:sz w:val="16"/>
          <w:szCs w:val="16"/>
        </w:rPr>
        <w:t>−</w:t>
      </w:r>
      <w:r>
        <w:rPr>
          <w:sz w:val="16"/>
          <w:szCs w:val="16"/>
        </w:rPr>
        <w:t>9,5 %), naopak aktuální poptávka po nepotravinářském zboží se nachází mírně nad úrovní z konce roku 2019 (+2,4 %), hlavně zásluhou internetového prodeje (+44,7 %). Na úrovni různých specializovaných prodejen byl vývoj velmi odlišný, např. oděvy, obuv a kožené zboží (</w:t>
      </w:r>
      <w:r>
        <w:rPr>
          <w:color w:val="0D0D0D" w:themeColor="text1" w:themeTint="F2"/>
          <w:spacing w:val="-2"/>
          <w:sz w:val="16"/>
          <w:szCs w:val="16"/>
        </w:rPr>
        <w:t>−</w:t>
      </w:r>
      <w:r>
        <w:rPr>
          <w:sz w:val="16"/>
          <w:szCs w:val="16"/>
        </w:rPr>
        <w:t>25,7 %) vs. kosmetické a toaletní výrobky (+26,4 %).</w:t>
      </w:r>
    </w:p>
  </w:footnote>
  <w:footnote w:id="37">
    <w:p w14:paraId="3425F5DD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Ty zahrnují např. masné výrobky, pečivo, cukrářské výrobky či nápoje. Největší váhu zde však mají prodejny s tabákovými výrobky.</w:t>
      </w:r>
    </w:p>
  </w:footnote>
  <w:footnote w:id="38">
    <w:p w14:paraId="2F55E9D7" w14:textId="77777777" w:rsidR="004E7C6B" w:rsidRDefault="004E7C6B" w:rsidP="004E7C6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="Arial"/>
          <w:color w:val="0D0D0D" w:themeColor="text1" w:themeTint="F2"/>
          <w:sz w:val="16"/>
          <w:szCs w:val="16"/>
        </w:rPr>
        <w:t>Spotřebitelské ceny benzínu i nafty letos klesaly netypicky i během hlavní motoristické sezóny.  Nafta se v říjnu na tuzemských čerpacích stanicích v průměru prodávala zhruba za 34,2 korun za litr a benzín Natural 95 pak za 35,6 korun. V případě nafty to byla nejnižší hodnota od loňského července a u Naturalu pak dokonce od října roku 2021. Na tento vývoj kromě tuzemských domácností i firem patrně reagovali také zahraniční dopravci, již přes Česko realizují tranzitní dopravu.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6" w14:textId="3C11EE3B" w:rsidR="009855E1" w:rsidRPr="00C27E4F" w:rsidRDefault="009855E1" w:rsidP="00C27E4F">
    <w:pPr>
      <w:pStyle w:val="Zhlav"/>
    </w:pPr>
    <w:r>
      <w:t>Vývoj ekonomiky České republiky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7" w14:textId="4F78F164" w:rsidR="009855E1" w:rsidRPr="006F5416" w:rsidRDefault="009855E1" w:rsidP="00937AE2">
    <w:pPr>
      <w:pStyle w:val="Zhlav"/>
    </w:pPr>
    <w:r>
      <w:t>Vývoj ekonomiky 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048D2"/>
    <w:multiLevelType w:val="hybridMultilevel"/>
    <w:tmpl w:val="D2A0F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747AF"/>
    <w:multiLevelType w:val="hybridMultilevel"/>
    <w:tmpl w:val="76204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51B2D"/>
    <w:multiLevelType w:val="hybridMultilevel"/>
    <w:tmpl w:val="054EEC40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25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  <w:num w:numId="25">
    <w:abstractNumId w:val="23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62"/>
    <w:rsid w:val="0000209D"/>
    <w:rsid w:val="00004D5A"/>
    <w:rsid w:val="000056D5"/>
    <w:rsid w:val="00006ABD"/>
    <w:rsid w:val="0000767A"/>
    <w:rsid w:val="00010256"/>
    <w:rsid w:val="00010702"/>
    <w:rsid w:val="00011912"/>
    <w:rsid w:val="0002195D"/>
    <w:rsid w:val="000234D6"/>
    <w:rsid w:val="00023D29"/>
    <w:rsid w:val="00026389"/>
    <w:rsid w:val="00031AE0"/>
    <w:rsid w:val="000322EF"/>
    <w:rsid w:val="00033FCD"/>
    <w:rsid w:val="00040D10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5135"/>
    <w:rsid w:val="000974D1"/>
    <w:rsid w:val="0009799E"/>
    <w:rsid w:val="000A1183"/>
    <w:rsid w:val="000A256D"/>
    <w:rsid w:val="000A3A2C"/>
    <w:rsid w:val="000A5265"/>
    <w:rsid w:val="000A57D4"/>
    <w:rsid w:val="000B7C8D"/>
    <w:rsid w:val="000C3408"/>
    <w:rsid w:val="000C6AFD"/>
    <w:rsid w:val="000D5637"/>
    <w:rsid w:val="000E6FBD"/>
    <w:rsid w:val="00100F5C"/>
    <w:rsid w:val="00101CDA"/>
    <w:rsid w:val="00102C41"/>
    <w:rsid w:val="00104C4C"/>
    <w:rsid w:val="00117623"/>
    <w:rsid w:val="0012192F"/>
    <w:rsid w:val="00125D69"/>
    <w:rsid w:val="001405FA"/>
    <w:rsid w:val="001425C3"/>
    <w:rsid w:val="001476BD"/>
    <w:rsid w:val="001612F4"/>
    <w:rsid w:val="0016256B"/>
    <w:rsid w:val="00163793"/>
    <w:rsid w:val="001706D6"/>
    <w:rsid w:val="001714F2"/>
    <w:rsid w:val="00175B9F"/>
    <w:rsid w:val="00181BBC"/>
    <w:rsid w:val="00184B08"/>
    <w:rsid w:val="00185010"/>
    <w:rsid w:val="0019143B"/>
    <w:rsid w:val="001A0487"/>
    <w:rsid w:val="001A552F"/>
    <w:rsid w:val="001B2CA9"/>
    <w:rsid w:val="001B3110"/>
    <w:rsid w:val="001B4729"/>
    <w:rsid w:val="001B6310"/>
    <w:rsid w:val="001B6C09"/>
    <w:rsid w:val="001C05CD"/>
    <w:rsid w:val="001D40D7"/>
    <w:rsid w:val="001D48D4"/>
    <w:rsid w:val="001D68B2"/>
    <w:rsid w:val="001E1C2E"/>
    <w:rsid w:val="001E504C"/>
    <w:rsid w:val="001E6062"/>
    <w:rsid w:val="001F4597"/>
    <w:rsid w:val="00203DA4"/>
    <w:rsid w:val="002118B9"/>
    <w:rsid w:val="00214CF7"/>
    <w:rsid w:val="00217C5B"/>
    <w:rsid w:val="0022139E"/>
    <w:rsid w:val="00222729"/>
    <w:rsid w:val="002252E0"/>
    <w:rsid w:val="002255F6"/>
    <w:rsid w:val="00227850"/>
    <w:rsid w:val="00227A53"/>
    <w:rsid w:val="00230C6E"/>
    <w:rsid w:val="00236443"/>
    <w:rsid w:val="00241B06"/>
    <w:rsid w:val="00242C10"/>
    <w:rsid w:val="002436BA"/>
    <w:rsid w:val="00244A15"/>
    <w:rsid w:val="00247319"/>
    <w:rsid w:val="0024799E"/>
    <w:rsid w:val="00253C0F"/>
    <w:rsid w:val="002558C1"/>
    <w:rsid w:val="00271465"/>
    <w:rsid w:val="0028207A"/>
    <w:rsid w:val="00285412"/>
    <w:rsid w:val="00291640"/>
    <w:rsid w:val="002A16D4"/>
    <w:rsid w:val="002A230C"/>
    <w:rsid w:val="002A66B0"/>
    <w:rsid w:val="002B2299"/>
    <w:rsid w:val="002B4845"/>
    <w:rsid w:val="002C43BD"/>
    <w:rsid w:val="002D0E59"/>
    <w:rsid w:val="002E02A1"/>
    <w:rsid w:val="002E42AC"/>
    <w:rsid w:val="002E4E4C"/>
    <w:rsid w:val="00302ADD"/>
    <w:rsid w:val="00304771"/>
    <w:rsid w:val="0030495D"/>
    <w:rsid w:val="003052D4"/>
    <w:rsid w:val="00306C5B"/>
    <w:rsid w:val="003103E0"/>
    <w:rsid w:val="00314F9F"/>
    <w:rsid w:val="003209D6"/>
    <w:rsid w:val="00321924"/>
    <w:rsid w:val="0032656E"/>
    <w:rsid w:val="00332190"/>
    <w:rsid w:val="0034335E"/>
    <w:rsid w:val="00344668"/>
    <w:rsid w:val="003462D9"/>
    <w:rsid w:val="00360C86"/>
    <w:rsid w:val="00360FBC"/>
    <w:rsid w:val="00362E90"/>
    <w:rsid w:val="00364FA0"/>
    <w:rsid w:val="003657F3"/>
    <w:rsid w:val="0038123E"/>
    <w:rsid w:val="003818DC"/>
    <w:rsid w:val="00384327"/>
    <w:rsid w:val="00385D98"/>
    <w:rsid w:val="003A2B4D"/>
    <w:rsid w:val="003A2D12"/>
    <w:rsid w:val="003A478C"/>
    <w:rsid w:val="003A5525"/>
    <w:rsid w:val="003A6B38"/>
    <w:rsid w:val="003B461F"/>
    <w:rsid w:val="003B5A32"/>
    <w:rsid w:val="003C3490"/>
    <w:rsid w:val="003C6550"/>
    <w:rsid w:val="003C7E62"/>
    <w:rsid w:val="003D6920"/>
    <w:rsid w:val="003E48F2"/>
    <w:rsid w:val="003E4C91"/>
    <w:rsid w:val="003E62A5"/>
    <w:rsid w:val="003F313C"/>
    <w:rsid w:val="003F37FC"/>
    <w:rsid w:val="003F4B2C"/>
    <w:rsid w:val="003F551C"/>
    <w:rsid w:val="003F62B0"/>
    <w:rsid w:val="003F72ED"/>
    <w:rsid w:val="003F7D23"/>
    <w:rsid w:val="00400DF4"/>
    <w:rsid w:val="00407C13"/>
    <w:rsid w:val="0041041D"/>
    <w:rsid w:val="00410638"/>
    <w:rsid w:val="0041501E"/>
    <w:rsid w:val="004159C3"/>
    <w:rsid w:val="00416EB7"/>
    <w:rsid w:val="00432A58"/>
    <w:rsid w:val="00434617"/>
    <w:rsid w:val="00440900"/>
    <w:rsid w:val="00441BF6"/>
    <w:rsid w:val="00443556"/>
    <w:rsid w:val="004441A0"/>
    <w:rsid w:val="004455BA"/>
    <w:rsid w:val="0045078A"/>
    <w:rsid w:val="0045086D"/>
    <w:rsid w:val="00451504"/>
    <w:rsid w:val="00460FB3"/>
    <w:rsid w:val="0046627E"/>
    <w:rsid w:val="00476240"/>
    <w:rsid w:val="00476439"/>
    <w:rsid w:val="0047735C"/>
    <w:rsid w:val="004776BC"/>
    <w:rsid w:val="0048139F"/>
    <w:rsid w:val="00481E40"/>
    <w:rsid w:val="00484ECE"/>
    <w:rsid w:val="00485567"/>
    <w:rsid w:val="004915CB"/>
    <w:rsid w:val="004924DC"/>
    <w:rsid w:val="004A14E4"/>
    <w:rsid w:val="004A3212"/>
    <w:rsid w:val="004A5494"/>
    <w:rsid w:val="004A61C5"/>
    <w:rsid w:val="004A77DF"/>
    <w:rsid w:val="004B1417"/>
    <w:rsid w:val="004B55B7"/>
    <w:rsid w:val="004B5A60"/>
    <w:rsid w:val="004B6468"/>
    <w:rsid w:val="004B7125"/>
    <w:rsid w:val="004C384C"/>
    <w:rsid w:val="004C3867"/>
    <w:rsid w:val="004C4CD0"/>
    <w:rsid w:val="004C70DC"/>
    <w:rsid w:val="004D0211"/>
    <w:rsid w:val="004D0794"/>
    <w:rsid w:val="004D5C93"/>
    <w:rsid w:val="004E7C6B"/>
    <w:rsid w:val="004F06F5"/>
    <w:rsid w:val="004F33A0"/>
    <w:rsid w:val="0050689D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3498"/>
    <w:rsid w:val="0055599F"/>
    <w:rsid w:val="00556D68"/>
    <w:rsid w:val="00563EB8"/>
    <w:rsid w:val="005647BF"/>
    <w:rsid w:val="00564AF1"/>
    <w:rsid w:val="0057364B"/>
    <w:rsid w:val="00574773"/>
    <w:rsid w:val="0058308D"/>
    <w:rsid w:val="00583FFD"/>
    <w:rsid w:val="005911BE"/>
    <w:rsid w:val="00593152"/>
    <w:rsid w:val="005A10F2"/>
    <w:rsid w:val="005A21E0"/>
    <w:rsid w:val="005A28FF"/>
    <w:rsid w:val="005A3DF8"/>
    <w:rsid w:val="005A5113"/>
    <w:rsid w:val="005A5549"/>
    <w:rsid w:val="005A7038"/>
    <w:rsid w:val="005B121D"/>
    <w:rsid w:val="005C06ED"/>
    <w:rsid w:val="005C2609"/>
    <w:rsid w:val="005D5802"/>
    <w:rsid w:val="005D7119"/>
    <w:rsid w:val="005D7890"/>
    <w:rsid w:val="005E7C78"/>
    <w:rsid w:val="005F18C5"/>
    <w:rsid w:val="005F3EB1"/>
    <w:rsid w:val="005F46D8"/>
    <w:rsid w:val="005F5469"/>
    <w:rsid w:val="00603FF5"/>
    <w:rsid w:val="00604307"/>
    <w:rsid w:val="0060487F"/>
    <w:rsid w:val="00604EAD"/>
    <w:rsid w:val="006104FB"/>
    <w:rsid w:val="00612A2F"/>
    <w:rsid w:val="00616E05"/>
    <w:rsid w:val="00622275"/>
    <w:rsid w:val="00624093"/>
    <w:rsid w:val="00625F8F"/>
    <w:rsid w:val="006350D5"/>
    <w:rsid w:val="006404A7"/>
    <w:rsid w:val="006451E4"/>
    <w:rsid w:val="00645B33"/>
    <w:rsid w:val="006516CB"/>
    <w:rsid w:val="00656FC8"/>
    <w:rsid w:val="00657E87"/>
    <w:rsid w:val="00664803"/>
    <w:rsid w:val="0066504F"/>
    <w:rsid w:val="00665BA4"/>
    <w:rsid w:val="00667AF2"/>
    <w:rsid w:val="006710C9"/>
    <w:rsid w:val="006741AC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0F92"/>
    <w:rsid w:val="006B344A"/>
    <w:rsid w:val="006B78D8"/>
    <w:rsid w:val="006C113F"/>
    <w:rsid w:val="006C123E"/>
    <w:rsid w:val="006C1752"/>
    <w:rsid w:val="006C56D4"/>
    <w:rsid w:val="006C6924"/>
    <w:rsid w:val="006C7CA6"/>
    <w:rsid w:val="006D3E8A"/>
    <w:rsid w:val="006D61F6"/>
    <w:rsid w:val="006E279A"/>
    <w:rsid w:val="006E313B"/>
    <w:rsid w:val="006E7227"/>
    <w:rsid w:val="006F438E"/>
    <w:rsid w:val="006F5416"/>
    <w:rsid w:val="006F7076"/>
    <w:rsid w:val="00705242"/>
    <w:rsid w:val="00706AD4"/>
    <w:rsid w:val="00707150"/>
    <w:rsid w:val="007140BE"/>
    <w:rsid w:val="007211F5"/>
    <w:rsid w:val="00723946"/>
    <w:rsid w:val="007240E2"/>
    <w:rsid w:val="00725BB5"/>
    <w:rsid w:val="00730AE8"/>
    <w:rsid w:val="00730F1B"/>
    <w:rsid w:val="00741493"/>
    <w:rsid w:val="00752180"/>
    <w:rsid w:val="00753CAB"/>
    <w:rsid w:val="00755202"/>
    <w:rsid w:val="00755D3A"/>
    <w:rsid w:val="007578D3"/>
    <w:rsid w:val="007609C6"/>
    <w:rsid w:val="00760EA4"/>
    <w:rsid w:val="0076175D"/>
    <w:rsid w:val="00763B85"/>
    <w:rsid w:val="00764744"/>
    <w:rsid w:val="0076521E"/>
    <w:rsid w:val="007661E9"/>
    <w:rsid w:val="00776169"/>
    <w:rsid w:val="00776527"/>
    <w:rsid w:val="00780EF1"/>
    <w:rsid w:val="00790711"/>
    <w:rsid w:val="00790764"/>
    <w:rsid w:val="0079124F"/>
    <w:rsid w:val="0079453C"/>
    <w:rsid w:val="00794677"/>
    <w:rsid w:val="00797445"/>
    <w:rsid w:val="007A516D"/>
    <w:rsid w:val="007B6689"/>
    <w:rsid w:val="007C6BBD"/>
    <w:rsid w:val="007D40DF"/>
    <w:rsid w:val="007E29B4"/>
    <w:rsid w:val="007E435A"/>
    <w:rsid w:val="007E7E61"/>
    <w:rsid w:val="007E7FCE"/>
    <w:rsid w:val="007F0845"/>
    <w:rsid w:val="007F708D"/>
    <w:rsid w:val="00800216"/>
    <w:rsid w:val="00801E13"/>
    <w:rsid w:val="00807C82"/>
    <w:rsid w:val="00814B15"/>
    <w:rsid w:val="00816905"/>
    <w:rsid w:val="00821777"/>
    <w:rsid w:val="00821FF6"/>
    <w:rsid w:val="00822574"/>
    <w:rsid w:val="00825C4D"/>
    <w:rsid w:val="0083143E"/>
    <w:rsid w:val="00831CDE"/>
    <w:rsid w:val="00834304"/>
    <w:rsid w:val="00834FAA"/>
    <w:rsid w:val="00836086"/>
    <w:rsid w:val="00846121"/>
    <w:rsid w:val="008462A8"/>
    <w:rsid w:val="0084708F"/>
    <w:rsid w:val="008477C8"/>
    <w:rsid w:val="0085114D"/>
    <w:rsid w:val="00852217"/>
    <w:rsid w:val="00855408"/>
    <w:rsid w:val="00856D65"/>
    <w:rsid w:val="00861B41"/>
    <w:rsid w:val="00861BE3"/>
    <w:rsid w:val="00863434"/>
    <w:rsid w:val="00865E4C"/>
    <w:rsid w:val="008701E4"/>
    <w:rsid w:val="00871069"/>
    <w:rsid w:val="00875A32"/>
    <w:rsid w:val="00876086"/>
    <w:rsid w:val="008825B0"/>
    <w:rsid w:val="00884AD6"/>
    <w:rsid w:val="008873D4"/>
    <w:rsid w:val="0089126C"/>
    <w:rsid w:val="0089296D"/>
    <w:rsid w:val="00893E85"/>
    <w:rsid w:val="00894031"/>
    <w:rsid w:val="00895508"/>
    <w:rsid w:val="008A6CB4"/>
    <w:rsid w:val="008B5CF6"/>
    <w:rsid w:val="008B7C02"/>
    <w:rsid w:val="008B7D2B"/>
    <w:rsid w:val="008C0049"/>
    <w:rsid w:val="008C0E88"/>
    <w:rsid w:val="008C53CB"/>
    <w:rsid w:val="008D1E6A"/>
    <w:rsid w:val="008D2A16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31A3"/>
    <w:rsid w:val="00924AC8"/>
    <w:rsid w:val="0092597A"/>
    <w:rsid w:val="00925E75"/>
    <w:rsid w:val="00930FB1"/>
    <w:rsid w:val="0093139F"/>
    <w:rsid w:val="00932443"/>
    <w:rsid w:val="00937AE2"/>
    <w:rsid w:val="0094427A"/>
    <w:rsid w:val="00945245"/>
    <w:rsid w:val="0095759C"/>
    <w:rsid w:val="009721DB"/>
    <w:rsid w:val="0097239B"/>
    <w:rsid w:val="00974923"/>
    <w:rsid w:val="009808F7"/>
    <w:rsid w:val="00980D3D"/>
    <w:rsid w:val="009855E1"/>
    <w:rsid w:val="00987A30"/>
    <w:rsid w:val="00992CF3"/>
    <w:rsid w:val="00994868"/>
    <w:rsid w:val="009968D6"/>
    <w:rsid w:val="009A1CAB"/>
    <w:rsid w:val="009A60D1"/>
    <w:rsid w:val="009B6FD3"/>
    <w:rsid w:val="009C1750"/>
    <w:rsid w:val="009C2E29"/>
    <w:rsid w:val="009C554B"/>
    <w:rsid w:val="009C719E"/>
    <w:rsid w:val="009C7A10"/>
    <w:rsid w:val="009D3ACD"/>
    <w:rsid w:val="009E5273"/>
    <w:rsid w:val="009E5DDB"/>
    <w:rsid w:val="009F4CA7"/>
    <w:rsid w:val="00A10D66"/>
    <w:rsid w:val="00A14114"/>
    <w:rsid w:val="00A1537C"/>
    <w:rsid w:val="00A16413"/>
    <w:rsid w:val="00A16E1D"/>
    <w:rsid w:val="00A17D5B"/>
    <w:rsid w:val="00A23E43"/>
    <w:rsid w:val="00A25216"/>
    <w:rsid w:val="00A30F65"/>
    <w:rsid w:val="00A33A89"/>
    <w:rsid w:val="00A40EAC"/>
    <w:rsid w:val="00A418BC"/>
    <w:rsid w:val="00A46DE0"/>
    <w:rsid w:val="00A47FCA"/>
    <w:rsid w:val="00A50D73"/>
    <w:rsid w:val="00A52CAD"/>
    <w:rsid w:val="00A53FC7"/>
    <w:rsid w:val="00A62CE1"/>
    <w:rsid w:val="00A668A3"/>
    <w:rsid w:val="00A6741E"/>
    <w:rsid w:val="00A75E40"/>
    <w:rsid w:val="00A77D1D"/>
    <w:rsid w:val="00A84A6A"/>
    <w:rsid w:val="00A857C0"/>
    <w:rsid w:val="00A90FED"/>
    <w:rsid w:val="00AA2996"/>
    <w:rsid w:val="00AA52BF"/>
    <w:rsid w:val="00AA559A"/>
    <w:rsid w:val="00AB2AF1"/>
    <w:rsid w:val="00AB535B"/>
    <w:rsid w:val="00AC45BD"/>
    <w:rsid w:val="00AD168E"/>
    <w:rsid w:val="00AD306C"/>
    <w:rsid w:val="00AD4F16"/>
    <w:rsid w:val="00AD68C4"/>
    <w:rsid w:val="00AE09B3"/>
    <w:rsid w:val="00AE0ED3"/>
    <w:rsid w:val="00AE1A83"/>
    <w:rsid w:val="00AE31A7"/>
    <w:rsid w:val="00AF6128"/>
    <w:rsid w:val="00B00913"/>
    <w:rsid w:val="00B01593"/>
    <w:rsid w:val="00B023F2"/>
    <w:rsid w:val="00B04705"/>
    <w:rsid w:val="00B07BBB"/>
    <w:rsid w:val="00B10A4D"/>
    <w:rsid w:val="00B14BC1"/>
    <w:rsid w:val="00B17E71"/>
    <w:rsid w:val="00B17FDE"/>
    <w:rsid w:val="00B2379C"/>
    <w:rsid w:val="00B25189"/>
    <w:rsid w:val="00B2687D"/>
    <w:rsid w:val="00B32DDB"/>
    <w:rsid w:val="00B34528"/>
    <w:rsid w:val="00B34CC9"/>
    <w:rsid w:val="00B402FC"/>
    <w:rsid w:val="00B439DA"/>
    <w:rsid w:val="00B46604"/>
    <w:rsid w:val="00B530CD"/>
    <w:rsid w:val="00B55F5E"/>
    <w:rsid w:val="00B5752E"/>
    <w:rsid w:val="00B63A11"/>
    <w:rsid w:val="00B63B6A"/>
    <w:rsid w:val="00B64C24"/>
    <w:rsid w:val="00B6608F"/>
    <w:rsid w:val="00B679FB"/>
    <w:rsid w:val="00B71EF7"/>
    <w:rsid w:val="00B76D1E"/>
    <w:rsid w:val="00B8028A"/>
    <w:rsid w:val="00B80EC6"/>
    <w:rsid w:val="00B84CF6"/>
    <w:rsid w:val="00B92D1D"/>
    <w:rsid w:val="00B938C5"/>
    <w:rsid w:val="00B95940"/>
    <w:rsid w:val="00BA6C2B"/>
    <w:rsid w:val="00BB46F3"/>
    <w:rsid w:val="00BB4CB1"/>
    <w:rsid w:val="00BB4F98"/>
    <w:rsid w:val="00BC5C12"/>
    <w:rsid w:val="00BC7154"/>
    <w:rsid w:val="00BC731E"/>
    <w:rsid w:val="00BD366B"/>
    <w:rsid w:val="00BD6D50"/>
    <w:rsid w:val="00BE18B9"/>
    <w:rsid w:val="00BE2495"/>
    <w:rsid w:val="00BF1578"/>
    <w:rsid w:val="00BF723F"/>
    <w:rsid w:val="00C21F94"/>
    <w:rsid w:val="00C27913"/>
    <w:rsid w:val="00C27E4F"/>
    <w:rsid w:val="00C32964"/>
    <w:rsid w:val="00C33B68"/>
    <w:rsid w:val="00C36A79"/>
    <w:rsid w:val="00C401D2"/>
    <w:rsid w:val="00C405D4"/>
    <w:rsid w:val="00C4431F"/>
    <w:rsid w:val="00C4513B"/>
    <w:rsid w:val="00C5390B"/>
    <w:rsid w:val="00C54697"/>
    <w:rsid w:val="00C65535"/>
    <w:rsid w:val="00C71E85"/>
    <w:rsid w:val="00C72884"/>
    <w:rsid w:val="00C73885"/>
    <w:rsid w:val="00C747B1"/>
    <w:rsid w:val="00C82191"/>
    <w:rsid w:val="00C83134"/>
    <w:rsid w:val="00C85545"/>
    <w:rsid w:val="00C90CF4"/>
    <w:rsid w:val="00C92EB6"/>
    <w:rsid w:val="00C93389"/>
    <w:rsid w:val="00CA0914"/>
    <w:rsid w:val="00CA6AB4"/>
    <w:rsid w:val="00CB4930"/>
    <w:rsid w:val="00CC2E7D"/>
    <w:rsid w:val="00CD10A5"/>
    <w:rsid w:val="00CD2076"/>
    <w:rsid w:val="00CD29B5"/>
    <w:rsid w:val="00CD6331"/>
    <w:rsid w:val="00CE670B"/>
    <w:rsid w:val="00CF4908"/>
    <w:rsid w:val="00CF51EC"/>
    <w:rsid w:val="00CF73AE"/>
    <w:rsid w:val="00D040DD"/>
    <w:rsid w:val="00D075BE"/>
    <w:rsid w:val="00D13986"/>
    <w:rsid w:val="00D21D83"/>
    <w:rsid w:val="00D235B7"/>
    <w:rsid w:val="00D23C02"/>
    <w:rsid w:val="00D25F28"/>
    <w:rsid w:val="00D26071"/>
    <w:rsid w:val="00D27973"/>
    <w:rsid w:val="00D35E1A"/>
    <w:rsid w:val="00D42211"/>
    <w:rsid w:val="00D4571D"/>
    <w:rsid w:val="00D50F46"/>
    <w:rsid w:val="00D57677"/>
    <w:rsid w:val="00D66223"/>
    <w:rsid w:val="00D71625"/>
    <w:rsid w:val="00D751DA"/>
    <w:rsid w:val="00D8084C"/>
    <w:rsid w:val="00D915EA"/>
    <w:rsid w:val="00DA7C0C"/>
    <w:rsid w:val="00DB08A9"/>
    <w:rsid w:val="00DB2EC8"/>
    <w:rsid w:val="00DB6566"/>
    <w:rsid w:val="00DC48F1"/>
    <w:rsid w:val="00DC5B3B"/>
    <w:rsid w:val="00DD129F"/>
    <w:rsid w:val="00DD4EFE"/>
    <w:rsid w:val="00DE02BD"/>
    <w:rsid w:val="00DF42FF"/>
    <w:rsid w:val="00E01C0E"/>
    <w:rsid w:val="00E03F9A"/>
    <w:rsid w:val="00E04694"/>
    <w:rsid w:val="00E063CE"/>
    <w:rsid w:val="00E12B1E"/>
    <w:rsid w:val="00E17262"/>
    <w:rsid w:val="00E253A2"/>
    <w:rsid w:val="00E3309D"/>
    <w:rsid w:val="00E43C1C"/>
    <w:rsid w:val="00E47EBA"/>
    <w:rsid w:val="00E50156"/>
    <w:rsid w:val="00E51643"/>
    <w:rsid w:val="00E53470"/>
    <w:rsid w:val="00E53874"/>
    <w:rsid w:val="00E539F6"/>
    <w:rsid w:val="00E6519D"/>
    <w:rsid w:val="00E67696"/>
    <w:rsid w:val="00E71A58"/>
    <w:rsid w:val="00E72A7A"/>
    <w:rsid w:val="00E75C94"/>
    <w:rsid w:val="00E93820"/>
    <w:rsid w:val="00E94A86"/>
    <w:rsid w:val="00E96143"/>
    <w:rsid w:val="00EA0987"/>
    <w:rsid w:val="00EA0C68"/>
    <w:rsid w:val="00EA32BC"/>
    <w:rsid w:val="00EA4302"/>
    <w:rsid w:val="00EB39C7"/>
    <w:rsid w:val="00EB3D8F"/>
    <w:rsid w:val="00EB4511"/>
    <w:rsid w:val="00EC03D7"/>
    <w:rsid w:val="00ED62C6"/>
    <w:rsid w:val="00ED64C1"/>
    <w:rsid w:val="00EE3446"/>
    <w:rsid w:val="00EE3E78"/>
    <w:rsid w:val="00EE4B1B"/>
    <w:rsid w:val="00EE7F19"/>
    <w:rsid w:val="00EF150D"/>
    <w:rsid w:val="00EF1F5A"/>
    <w:rsid w:val="00EF47BF"/>
    <w:rsid w:val="00EF6DB3"/>
    <w:rsid w:val="00F04811"/>
    <w:rsid w:val="00F0488C"/>
    <w:rsid w:val="00F10F11"/>
    <w:rsid w:val="00F15AAA"/>
    <w:rsid w:val="00F15BEF"/>
    <w:rsid w:val="00F24407"/>
    <w:rsid w:val="00F24931"/>
    <w:rsid w:val="00F24FAA"/>
    <w:rsid w:val="00F3364D"/>
    <w:rsid w:val="00F437CC"/>
    <w:rsid w:val="00F44537"/>
    <w:rsid w:val="00F44B6A"/>
    <w:rsid w:val="00F47067"/>
    <w:rsid w:val="00F50FC3"/>
    <w:rsid w:val="00F525EB"/>
    <w:rsid w:val="00F63DDE"/>
    <w:rsid w:val="00F63FB7"/>
    <w:rsid w:val="00F6421B"/>
    <w:rsid w:val="00F649D2"/>
    <w:rsid w:val="00F6602B"/>
    <w:rsid w:val="00F67C4E"/>
    <w:rsid w:val="00F73A0C"/>
    <w:rsid w:val="00F756DB"/>
    <w:rsid w:val="00F84E7D"/>
    <w:rsid w:val="00F85066"/>
    <w:rsid w:val="00F87A4D"/>
    <w:rsid w:val="00F9785E"/>
    <w:rsid w:val="00FA5D4D"/>
    <w:rsid w:val="00FA7115"/>
    <w:rsid w:val="00FB0EE2"/>
    <w:rsid w:val="00FB4423"/>
    <w:rsid w:val="00FB542E"/>
    <w:rsid w:val="00FC0E5F"/>
    <w:rsid w:val="00FC1A95"/>
    <w:rsid w:val="00FC56DE"/>
    <w:rsid w:val="00FC684B"/>
    <w:rsid w:val="00FD3265"/>
    <w:rsid w:val="00FD5F92"/>
    <w:rsid w:val="00FD66F9"/>
    <w:rsid w:val="00FE2F78"/>
    <w:rsid w:val="00FF7B96"/>
    <w:rsid w:val="11D0C0D9"/>
    <w:rsid w:val="30D0B3BE"/>
    <w:rsid w:val="7BDB8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ecf4dd,#eaecee,#fcec0a,#fcecdb,#f1daf5"/>
    </o:shapedefaults>
    <o:shapelayout v:ext="edit">
      <o:idmap v:ext="edit" data="2"/>
    </o:shapelayout>
  </w:shapeDefaults>
  <w:decimalSymbol w:val=","/>
  <w:listSeparator w:val=";"/>
  <w14:docId w14:val="21432897"/>
  <w15:docId w15:val="{3A7C6927-7F52-4209-ABA9-A0ACA865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A0987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86BF5E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EA0987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86BF5E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EA0987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86BF5E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1041D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86BF5E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A0987"/>
    <w:rPr>
      <w:rFonts w:ascii="Arial" w:eastAsia="MS Gothic" w:hAnsi="Arial"/>
      <w:b/>
      <w:bCs/>
      <w:color w:val="86BF5E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EA0987"/>
    <w:rPr>
      <w:rFonts w:ascii="Arial" w:eastAsia="MS Gothic" w:hAnsi="Arial"/>
      <w:b/>
      <w:bCs/>
      <w:color w:val="86BF5E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EA0987"/>
    <w:rPr>
      <w:rFonts w:ascii="Arial" w:eastAsia="MS Gothic" w:hAnsi="Arial"/>
      <w:b/>
      <w:bCs/>
      <w:color w:val="86BF5E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41041D"/>
    <w:rPr>
      <w:rFonts w:ascii="Arial" w:eastAsia="MS Gothic" w:hAnsi="Arial"/>
      <w:b/>
      <w:bCs/>
      <w:iCs/>
      <w:color w:val="86BF5E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0A57D4"/>
    <w:pPr>
      <w:spacing w:after="80" w:line="288" w:lineRule="auto"/>
    </w:pPr>
    <w:rPr>
      <w:rFonts w:ascii="Arial" w:eastAsia="Times New Roman" w:hAnsi="Arial"/>
      <w:b/>
      <w:color w:val="86BF5E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EA0987"/>
    <w:pPr>
      <w:shd w:val="clear" w:color="auto" w:fill="F0F6E9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EA0987"/>
    <w:pPr>
      <w:spacing w:before="240" w:after="240" w:line="276" w:lineRule="auto"/>
      <w:contextualSpacing/>
      <w:jc w:val="both"/>
    </w:pPr>
    <w:rPr>
      <w:rFonts w:ascii="Arial" w:hAnsi="Arial" w:cs="Arial"/>
      <w:color w:val="86BF5E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0A57D4"/>
    <w:pPr>
      <w:spacing w:after="40"/>
      <w:contextualSpacing/>
    </w:pPr>
    <w:rPr>
      <w:b/>
      <w:caps/>
      <w:sz w:val="24"/>
    </w:rPr>
  </w:style>
  <w:style w:type="paragraph" w:customStyle="1" w:styleId="TLKontakty">
    <w:name w:val="TL Kontakty"/>
    <w:qFormat/>
    <w:rsid w:val="000A57D4"/>
    <w:pPr>
      <w:spacing w:after="160" w:line="259" w:lineRule="auto"/>
      <w:contextualSpacing/>
    </w:pPr>
    <w:rPr>
      <w:rFonts w:ascii="Arial" w:eastAsia="Times New Roman" w:hAnsi="Arial"/>
      <w:b/>
      <w:color w:val="86BF5E"/>
      <w:lang w:eastAsia="cs-CZ"/>
    </w:rPr>
  </w:style>
  <w:style w:type="paragraph" w:styleId="Nzev">
    <w:name w:val="Title"/>
    <w:link w:val="NzevChar"/>
    <w:uiPriority w:val="10"/>
    <w:qFormat/>
    <w:rsid w:val="001E6062"/>
    <w:pPr>
      <w:spacing w:line="288" w:lineRule="auto"/>
    </w:pPr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1E6062"/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1E6062"/>
    <w:pPr>
      <w:spacing w:line="288" w:lineRule="auto"/>
    </w:pPr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E6062"/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7"/>
      </w:num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EA0987"/>
    <w:pPr>
      <w:shd w:val="clear" w:color="auto" w:fill="F0F6E9"/>
      <w:spacing w:before="240" w:after="240" w:line="276" w:lineRule="auto"/>
      <w:ind w:left="709"/>
      <w:contextualSpacing/>
      <w:jc w:val="both"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EA0987"/>
    <w:pPr>
      <w:spacing w:before="240" w:after="240" w:line="276" w:lineRule="auto"/>
      <w:ind w:left="709"/>
      <w:contextualSpacing/>
      <w:jc w:val="both"/>
    </w:pPr>
    <w:rPr>
      <w:rFonts w:ascii="Arial" w:hAnsi="Arial" w:cs="Arial"/>
      <w:b/>
      <w:color w:val="86BF5E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1E6062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32"/>
    <w:qFormat/>
    <w:rsid w:val="001E6062"/>
    <w:rPr>
      <w:b/>
      <w:bCs/>
      <w:smallCaps/>
      <w:color w:val="000000" w:themeColor="text1"/>
      <w:spacing w:val="5"/>
    </w:rPr>
  </w:style>
  <w:style w:type="character" w:styleId="Znakapoznpodarou">
    <w:name w:val="footnote reference"/>
    <w:basedOn w:val="Standardnpsmoodstavce"/>
    <w:rsid w:val="00E063CE"/>
    <w:rPr>
      <w:rFonts w:cs="Times New Roman"/>
      <w:vertAlign w:val="superscript"/>
    </w:rPr>
  </w:style>
  <w:style w:type="paragraph" w:customStyle="1" w:styleId="Nadpis11">
    <w:name w:val="Nadpis 11"/>
    <w:basedOn w:val="Normln"/>
    <w:uiPriority w:val="9"/>
    <w:qFormat/>
    <w:rsid w:val="008A6CB4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8A6CB4"/>
    <w:pPr>
      <w:spacing w:after="0" w:line="240" w:lineRule="auto"/>
      <w:jc w:val="left"/>
    </w:pPr>
    <w:rPr>
      <w:rFonts w:eastAsia="Calibri"/>
      <w:szCs w:val="20"/>
    </w:rPr>
  </w:style>
  <w:style w:type="character" w:styleId="Zdraznn">
    <w:name w:val="Emphasis"/>
    <w:basedOn w:val="Standardnpsmoodstavce"/>
    <w:uiPriority w:val="20"/>
    <w:qFormat/>
    <w:rsid w:val="00C4431F"/>
    <w:rPr>
      <w:i/>
      <w:iCs/>
    </w:rPr>
  </w:style>
  <w:style w:type="character" w:customStyle="1" w:styleId="normaltextrun">
    <w:name w:val="normaltextrun"/>
    <w:basedOn w:val="Standardnpsmoodstavce"/>
    <w:rsid w:val="00C4431F"/>
  </w:style>
  <w:style w:type="paragraph" w:customStyle="1" w:styleId="paragraph">
    <w:name w:val="paragraph"/>
    <w:basedOn w:val="Normln"/>
    <w:rsid w:val="00C4431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C4431F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603FF5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Qmakro-2024\1.a&#382;%203.%20&#269;tvrtlet&#237;\Odv&#283;tv&#237;\ODV&#282;TV&#205;_grafy_1-3.q.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Qmakro-2024\1.a&#382;%203.%20&#269;tvrtlet&#237;\Odv&#283;tv&#237;\ODV&#282;TV&#205;_grafy_1-3.q.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Qmakro-2024\1.a&#382;%203.%20&#269;tvrtlet&#237;\Odv&#283;tv&#237;\ODV&#282;TV&#205;_grafy_1-3.q.202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Qmakro-2024\1.a&#382;%203.%20&#269;tvrtlet&#237;\Odv&#283;tv&#237;\ODV&#282;TV&#205;_grafy_1-3.q.202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Qmakro-2024\1.a&#382;%203.%20&#269;tvrtlet&#237;\Odv&#283;tv&#237;\ODV&#282;TV&#205;_grafy_1-3.q.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610992424025054E-2"/>
          <c:y val="1.5804777005479873E-2"/>
          <c:w val="0.84144249386957193"/>
          <c:h val="0.6913571248107180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'GRAF příspěvky IPP'!$A$27</c:f>
              <c:strCache>
                <c:ptCount val="1"/>
                <c:pt idx="0">
                  <c:v>Výroba dopravních prostředků (29, 30)</c:v>
                </c:pt>
              </c:strCache>
            </c:strRef>
          </c:tx>
          <c:spPr>
            <a:solidFill>
              <a:srgbClr val="E8AFB2"/>
            </a:solidFill>
          </c:spPr>
          <c:invertIfNegative val="0"/>
          <c:cat>
            <c:multiLvlStrRef>
              <c:f>'GRAF příspěvky IPP'!$R$25:$BD$26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IPP'!$R$27:$BD$27</c:f>
              <c:numCache>
                <c:formatCode>0.0</c:formatCode>
                <c:ptCount val="39"/>
                <c:pt idx="0">
                  <c:v>1.5407194734870255</c:v>
                </c:pt>
                <c:pt idx="1">
                  <c:v>2.1725345808437702</c:v>
                </c:pt>
                <c:pt idx="2">
                  <c:v>2.3822280390891484</c:v>
                </c:pt>
                <c:pt idx="3">
                  <c:v>2.8679001700331122</c:v>
                </c:pt>
                <c:pt idx="4">
                  <c:v>3.3256782968034511</c:v>
                </c:pt>
                <c:pt idx="5">
                  <c:v>2.7078368205204244</c:v>
                </c:pt>
                <c:pt idx="6">
                  <c:v>1.4770884945722993</c:v>
                </c:pt>
                <c:pt idx="7">
                  <c:v>1.0297006290395898</c:v>
                </c:pt>
                <c:pt idx="8">
                  <c:v>1.7408920839398754</c:v>
                </c:pt>
                <c:pt idx="9">
                  <c:v>2.1378802528812932</c:v>
                </c:pt>
                <c:pt idx="10">
                  <c:v>1.5935135243788106</c:v>
                </c:pt>
                <c:pt idx="11">
                  <c:v>1.6791873092801739</c:v>
                </c:pt>
                <c:pt idx="12">
                  <c:v>0.75268647024158142</c:v>
                </c:pt>
                <c:pt idx="13">
                  <c:v>0.54211789515047693</c:v>
                </c:pt>
                <c:pt idx="14">
                  <c:v>0.24127576647979335</c:v>
                </c:pt>
                <c:pt idx="15">
                  <c:v>0.97863378627142206</c:v>
                </c:pt>
                <c:pt idx="16">
                  <c:v>-0.2260516552234422</c:v>
                </c:pt>
                <c:pt idx="17">
                  <c:v>0.44759183220264459</c:v>
                </c:pt>
                <c:pt idx="18">
                  <c:v>0.76878503294695455</c:v>
                </c:pt>
                <c:pt idx="19">
                  <c:v>-1.0091759236462883</c:v>
                </c:pt>
                <c:pt idx="20">
                  <c:v>-1.5334709251303915</c:v>
                </c:pt>
                <c:pt idx="21">
                  <c:v>-9.3844961095672232</c:v>
                </c:pt>
                <c:pt idx="22">
                  <c:v>-0.1831246423410012</c:v>
                </c:pt>
                <c:pt idx="23">
                  <c:v>2.0633116605855042</c:v>
                </c:pt>
                <c:pt idx="24">
                  <c:v>1.8975892085619599</c:v>
                </c:pt>
                <c:pt idx="25">
                  <c:v>10.942229614625033</c:v>
                </c:pt>
                <c:pt idx="26">
                  <c:v>-3.7731049892010864</c:v>
                </c:pt>
                <c:pt idx="27">
                  <c:v>-3.2535308042579567</c:v>
                </c:pt>
                <c:pt idx="28">
                  <c:v>-1.9125458057863209</c:v>
                </c:pt>
                <c:pt idx="29">
                  <c:v>9.5447744662069289E-2</c:v>
                </c:pt>
                <c:pt idx="30">
                  <c:v>5.6019908887957373</c:v>
                </c:pt>
                <c:pt idx="31">
                  <c:v>4.0134216834581702</c:v>
                </c:pt>
                <c:pt idx="32">
                  <c:v>5.2536005580152212</c:v>
                </c:pt>
                <c:pt idx="33">
                  <c:v>5.1114636387030394</c:v>
                </c:pt>
                <c:pt idx="34">
                  <c:v>1.3618952455796303</c:v>
                </c:pt>
                <c:pt idx="35">
                  <c:v>3.1901430933724066</c:v>
                </c:pt>
                <c:pt idx="36">
                  <c:v>0.45367271287041666</c:v>
                </c:pt>
                <c:pt idx="37">
                  <c:v>-1.2387287425930409</c:v>
                </c:pt>
                <c:pt idx="38">
                  <c:v>0.44049667441759199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14-4E25-9607-FD511CF638D0}"/>
            </c:ext>
          </c:extLst>
        </c:ser>
        <c:ser>
          <c:idx val="1"/>
          <c:order val="1"/>
          <c:tx>
            <c:strRef>
              <c:f>'GRAF příspěvky IPP'!$A$28</c:f>
              <c:strCache>
                <c:ptCount val="1"/>
                <c:pt idx="0">
                  <c:v>Gumárenství, elektrotechnický pr. (22, 27)</c:v>
                </c:pt>
              </c:strCache>
            </c:strRef>
          </c:tx>
          <c:spPr>
            <a:solidFill>
              <a:srgbClr val="BD1B21"/>
            </a:solidFill>
          </c:spPr>
          <c:invertIfNegative val="0"/>
          <c:cat>
            <c:multiLvlStrRef>
              <c:f>'GRAF příspěvky IPP'!$R$25:$BD$26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IPP'!$R$28:$BD$28</c:f>
              <c:numCache>
                <c:formatCode>0.0</c:formatCode>
                <c:ptCount val="39"/>
                <c:pt idx="0">
                  <c:v>1.0322214618878158</c:v>
                </c:pt>
                <c:pt idx="1">
                  <c:v>1.2386415260436179</c:v>
                </c:pt>
                <c:pt idx="2">
                  <c:v>1.4204776682885574</c:v>
                </c:pt>
                <c:pt idx="3">
                  <c:v>0.62919278136008572</c:v>
                </c:pt>
                <c:pt idx="4">
                  <c:v>0.8176750577912526</c:v>
                </c:pt>
                <c:pt idx="5">
                  <c:v>0.14129582168796412</c:v>
                </c:pt>
                <c:pt idx="6">
                  <c:v>0.27952572878212995</c:v>
                </c:pt>
                <c:pt idx="7">
                  <c:v>0.42980054252763067</c:v>
                </c:pt>
                <c:pt idx="8">
                  <c:v>0.79334952879496901</c:v>
                </c:pt>
                <c:pt idx="9">
                  <c:v>1.468356537050969</c:v>
                </c:pt>
                <c:pt idx="10">
                  <c:v>0.87390949425966125</c:v>
                </c:pt>
                <c:pt idx="11">
                  <c:v>1.644368824210785</c:v>
                </c:pt>
                <c:pt idx="12">
                  <c:v>1.0040337375607471</c:v>
                </c:pt>
                <c:pt idx="13">
                  <c:v>0.3253925650201499</c:v>
                </c:pt>
                <c:pt idx="14">
                  <c:v>0.43133954445298106</c:v>
                </c:pt>
                <c:pt idx="15">
                  <c:v>-5.9899261699036116E-2</c:v>
                </c:pt>
                <c:pt idx="16">
                  <c:v>0.52608733581744893</c:v>
                </c:pt>
                <c:pt idx="17">
                  <c:v>0.44070570288166666</c:v>
                </c:pt>
                <c:pt idx="18">
                  <c:v>0.16703875787161085</c:v>
                </c:pt>
                <c:pt idx="19">
                  <c:v>0.41508771908448316</c:v>
                </c:pt>
                <c:pt idx="20">
                  <c:v>-0.55255281731107375</c:v>
                </c:pt>
                <c:pt idx="21">
                  <c:v>-4.0630399723550301</c:v>
                </c:pt>
                <c:pt idx="22">
                  <c:v>-0.43874587338548932</c:v>
                </c:pt>
                <c:pt idx="23">
                  <c:v>0.53060699318837878</c:v>
                </c:pt>
                <c:pt idx="24">
                  <c:v>0.71145935426482565</c:v>
                </c:pt>
                <c:pt idx="25">
                  <c:v>5.4849453443420373</c:v>
                </c:pt>
                <c:pt idx="26">
                  <c:v>0.62009544020472473</c:v>
                </c:pt>
                <c:pt idx="27">
                  <c:v>-0.42285126031126669</c:v>
                </c:pt>
                <c:pt idx="28">
                  <c:v>9.1493416828334395E-2</c:v>
                </c:pt>
                <c:pt idx="29">
                  <c:v>0.14020266448373037</c:v>
                </c:pt>
                <c:pt idx="30">
                  <c:v>0.54193889354627167</c:v>
                </c:pt>
                <c:pt idx="31">
                  <c:v>0.61065791996017937</c:v>
                </c:pt>
                <c:pt idx="32">
                  <c:v>0.25271742983599177</c:v>
                </c:pt>
                <c:pt idx="33">
                  <c:v>0.12055652014943047</c:v>
                </c:pt>
                <c:pt idx="34">
                  <c:v>-0.42571706492848177</c:v>
                </c:pt>
                <c:pt idx="35">
                  <c:v>2.1622941519747779E-2</c:v>
                </c:pt>
                <c:pt idx="36">
                  <c:v>0.17605152574046909</c:v>
                </c:pt>
                <c:pt idx="37">
                  <c:v>-0.19604074069600116</c:v>
                </c:pt>
                <c:pt idx="38">
                  <c:v>0.15498168990728636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14-4E25-9607-FD511CF638D0}"/>
            </c:ext>
          </c:extLst>
        </c:ser>
        <c:ser>
          <c:idx val="2"/>
          <c:order val="2"/>
          <c:tx>
            <c:strRef>
              <c:f>'GRAF příspěvky IPP'!$A$29</c:f>
              <c:strCache>
                <c:ptCount val="1"/>
                <c:pt idx="0">
                  <c:v>Strojírenství (28)</c:v>
                </c:pt>
              </c:strCache>
            </c:strRef>
          </c:tx>
          <c:spPr>
            <a:solidFill>
              <a:srgbClr val="BFE3F7"/>
            </a:solidFill>
          </c:spPr>
          <c:invertIfNegative val="0"/>
          <c:cat>
            <c:multiLvlStrRef>
              <c:f>'GRAF příspěvky IPP'!$R$25:$BD$26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IPP'!$R$29:$BD$29</c:f>
              <c:numCache>
                <c:formatCode>0.0</c:formatCode>
                <c:ptCount val="39"/>
                <c:pt idx="0">
                  <c:v>0.27346966717109655</c:v>
                </c:pt>
                <c:pt idx="1">
                  <c:v>0.29320995735524691</c:v>
                </c:pt>
                <c:pt idx="2">
                  <c:v>0.38410423993096532</c:v>
                </c:pt>
                <c:pt idx="3">
                  <c:v>2.0725807050325191E-2</c:v>
                </c:pt>
                <c:pt idx="4">
                  <c:v>0.37252847603208256</c:v>
                </c:pt>
                <c:pt idx="5">
                  <c:v>-9.2809853017947919E-2</c:v>
                </c:pt>
                <c:pt idx="6">
                  <c:v>0.20293953400612441</c:v>
                </c:pt>
                <c:pt idx="7">
                  <c:v>0.32005157357499631</c:v>
                </c:pt>
                <c:pt idx="8">
                  <c:v>0.3345178851347928</c:v>
                </c:pt>
                <c:pt idx="9">
                  <c:v>1.1003694908923236</c:v>
                </c:pt>
                <c:pt idx="10">
                  <c:v>0.85805445400541835</c:v>
                </c:pt>
                <c:pt idx="11">
                  <c:v>0.80055944660911171</c:v>
                </c:pt>
                <c:pt idx="12">
                  <c:v>0.48868169907415326</c:v>
                </c:pt>
                <c:pt idx="13">
                  <c:v>0.13868742792561028</c:v>
                </c:pt>
                <c:pt idx="14">
                  <c:v>0.18638853797251198</c:v>
                </c:pt>
                <c:pt idx="15">
                  <c:v>-0.20071677551985512</c:v>
                </c:pt>
                <c:pt idx="16">
                  <c:v>0.20262845642032346</c:v>
                </c:pt>
                <c:pt idx="17">
                  <c:v>-9.1482438382696971E-3</c:v>
                </c:pt>
                <c:pt idx="18">
                  <c:v>-0.3267936607108648</c:v>
                </c:pt>
                <c:pt idx="19">
                  <c:v>-0.14957125605699437</c:v>
                </c:pt>
                <c:pt idx="20">
                  <c:v>-0.7072452096320988</c:v>
                </c:pt>
                <c:pt idx="21">
                  <c:v>-2.1308377913469609</c:v>
                </c:pt>
                <c:pt idx="22">
                  <c:v>-0.8017096029334061</c:v>
                </c:pt>
                <c:pt idx="23">
                  <c:v>-0.54797142039304825</c:v>
                </c:pt>
                <c:pt idx="24">
                  <c:v>7.0850055204653054E-2</c:v>
                </c:pt>
                <c:pt idx="25">
                  <c:v>2.0598150661116326</c:v>
                </c:pt>
                <c:pt idx="26">
                  <c:v>0.54732740156649295</c:v>
                </c:pt>
                <c:pt idx="27">
                  <c:v>0.28187017007306092</c:v>
                </c:pt>
                <c:pt idx="28">
                  <c:v>0.35832508124582935</c:v>
                </c:pt>
                <c:pt idx="29">
                  <c:v>9.1653825182652457E-2</c:v>
                </c:pt>
                <c:pt idx="30">
                  <c:v>0.48964765301851315</c:v>
                </c:pt>
                <c:pt idx="31">
                  <c:v>0.65392427024919109</c:v>
                </c:pt>
                <c:pt idx="32">
                  <c:v>0.4743954191459484</c:v>
                </c:pt>
                <c:pt idx="33">
                  <c:v>0.39139167102075056</c:v>
                </c:pt>
                <c:pt idx="34">
                  <c:v>-0.58039125250365531</c:v>
                </c:pt>
                <c:pt idx="35">
                  <c:v>-0.75561598264437491</c:v>
                </c:pt>
                <c:pt idx="36">
                  <c:v>-1.073463095123095</c:v>
                </c:pt>
                <c:pt idx="37">
                  <c:v>-1.0305547204707144</c:v>
                </c:pt>
                <c:pt idx="38">
                  <c:v>-0.44773919643458537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14-4E25-9607-FD511CF638D0}"/>
            </c:ext>
          </c:extLst>
        </c:ser>
        <c:ser>
          <c:idx val="3"/>
          <c:order val="3"/>
          <c:tx>
            <c:strRef>
              <c:f>'GRAF příspěvky IPP'!$A$30</c:f>
              <c:strCache>
                <c:ptCount val="1"/>
                <c:pt idx="0">
                  <c:v>Kovodělný průmysl (25)</c:v>
                </c:pt>
              </c:strCache>
            </c:strRef>
          </c:tx>
          <c:spPr>
            <a:solidFill>
              <a:srgbClr val="48AEE7"/>
            </a:solidFill>
          </c:spPr>
          <c:invertIfNegative val="0"/>
          <c:cat>
            <c:multiLvlStrRef>
              <c:f>'GRAF příspěvky IPP'!$R$25:$BD$26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IPP'!$R$30:$BD$30</c:f>
              <c:numCache>
                <c:formatCode>0.0</c:formatCode>
                <c:ptCount val="39"/>
                <c:pt idx="0">
                  <c:v>0.69488451852266242</c:v>
                </c:pt>
                <c:pt idx="1">
                  <c:v>0.78494764780669857</c:v>
                </c:pt>
                <c:pt idx="2">
                  <c:v>0.99085589155838827</c:v>
                </c:pt>
                <c:pt idx="3">
                  <c:v>0.60110426817331475</c:v>
                </c:pt>
                <c:pt idx="4">
                  <c:v>0.81011316513160325</c:v>
                </c:pt>
                <c:pt idx="5">
                  <c:v>0.36137817304287012</c:v>
                </c:pt>
                <c:pt idx="6">
                  <c:v>0.23174116441034223</c:v>
                </c:pt>
                <c:pt idx="7">
                  <c:v>0.25113007311661406</c:v>
                </c:pt>
                <c:pt idx="8">
                  <c:v>0.38676361423749528</c:v>
                </c:pt>
                <c:pt idx="9">
                  <c:v>0.95166355765299349</c:v>
                </c:pt>
                <c:pt idx="10">
                  <c:v>0.86091550298549102</c:v>
                </c:pt>
                <c:pt idx="11">
                  <c:v>0.96020285266505589</c:v>
                </c:pt>
                <c:pt idx="12">
                  <c:v>0.67147421279246411</c:v>
                </c:pt>
                <c:pt idx="13">
                  <c:v>0.46338675111775501</c:v>
                </c:pt>
                <c:pt idx="14">
                  <c:v>0.40465307945227347</c:v>
                </c:pt>
                <c:pt idx="15">
                  <c:v>0.13991647838864771</c:v>
                </c:pt>
                <c:pt idx="16">
                  <c:v>0.23284119938910905</c:v>
                </c:pt>
                <c:pt idx="17">
                  <c:v>-2.3018109664658163E-3</c:v>
                </c:pt>
                <c:pt idx="18">
                  <c:v>-0.27902616348258918</c:v>
                </c:pt>
                <c:pt idx="19">
                  <c:v>-0.28921256974210446</c:v>
                </c:pt>
                <c:pt idx="20">
                  <c:v>-0.59705730498174525</c:v>
                </c:pt>
                <c:pt idx="21">
                  <c:v>-2.0768472147616719</c:v>
                </c:pt>
                <c:pt idx="22">
                  <c:v>-0.62165835195312102</c:v>
                </c:pt>
                <c:pt idx="23">
                  <c:v>4.661253810289321E-2</c:v>
                </c:pt>
                <c:pt idx="24">
                  <c:v>0.4319844451866503</c:v>
                </c:pt>
                <c:pt idx="25">
                  <c:v>2.9892153039365739</c:v>
                </c:pt>
                <c:pt idx="26">
                  <c:v>0.80117841210531138</c:v>
                </c:pt>
                <c:pt idx="27">
                  <c:v>1.7463387937825797E-2</c:v>
                </c:pt>
                <c:pt idx="28">
                  <c:v>0.22598481032929491</c:v>
                </c:pt>
                <c:pt idx="29">
                  <c:v>-0.40391403937362469</c:v>
                </c:pt>
                <c:pt idx="30">
                  <c:v>-0.31530952555716046</c:v>
                </c:pt>
                <c:pt idx="31">
                  <c:v>-0.21505799769140796</c:v>
                </c:pt>
                <c:pt idx="32">
                  <c:v>-0.35405207260318489</c:v>
                </c:pt>
                <c:pt idx="33">
                  <c:v>-9.6885897827818007E-2</c:v>
                </c:pt>
                <c:pt idx="34">
                  <c:v>-0.20936242560906063</c:v>
                </c:pt>
                <c:pt idx="35">
                  <c:v>-0.27619740847507079</c:v>
                </c:pt>
                <c:pt idx="36">
                  <c:v>-0.12568649659298328</c:v>
                </c:pt>
                <c:pt idx="37">
                  <c:v>-7.7322802600924181E-2</c:v>
                </c:pt>
                <c:pt idx="38">
                  <c:v>0.34979997609795332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14-4E25-9607-FD511CF638D0}"/>
            </c:ext>
          </c:extLst>
        </c:ser>
        <c:ser>
          <c:idx val="4"/>
          <c:order val="4"/>
          <c:tx>
            <c:strRef>
              <c:f>'GRAF příspěvky IPP'!$A$31</c:f>
              <c:strCache>
                <c:ptCount val="1"/>
                <c:pt idx="0">
                  <c:v>Výroba PC, elektronic. a optic. přístr. (26)</c:v>
                </c:pt>
              </c:strCache>
            </c:strRef>
          </c:tx>
          <c:spPr>
            <a:solidFill>
              <a:srgbClr val="FDDEB3"/>
            </a:solidFill>
          </c:spPr>
          <c:invertIfNegative val="0"/>
          <c:cat>
            <c:multiLvlStrRef>
              <c:f>'GRAF příspěvky IPP'!$R$25:$BD$26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IPP'!$R$31:$BD$31</c:f>
              <c:numCache>
                <c:formatCode>0.0</c:formatCode>
                <c:ptCount val="39"/>
                <c:pt idx="0">
                  <c:v>0.10274789516452397</c:v>
                </c:pt>
                <c:pt idx="1">
                  <c:v>1.6624023651880003E-2</c:v>
                </c:pt>
                <c:pt idx="2">
                  <c:v>3.1029768728409929E-2</c:v>
                </c:pt>
                <c:pt idx="3">
                  <c:v>-6.717825999350098E-2</c:v>
                </c:pt>
                <c:pt idx="4">
                  <c:v>-9.0690116406332948E-3</c:v>
                </c:pt>
                <c:pt idx="5">
                  <c:v>6.8577664711048592E-2</c:v>
                </c:pt>
                <c:pt idx="6">
                  <c:v>4.7878835623817111E-2</c:v>
                </c:pt>
                <c:pt idx="7">
                  <c:v>0.16200567329703564</c:v>
                </c:pt>
                <c:pt idx="8">
                  <c:v>0.1517960019133566</c:v>
                </c:pt>
                <c:pt idx="9">
                  <c:v>0.35040742405813147</c:v>
                </c:pt>
                <c:pt idx="10">
                  <c:v>0.22701547985990286</c:v>
                </c:pt>
                <c:pt idx="11">
                  <c:v>0.23483306705633769</c:v>
                </c:pt>
                <c:pt idx="12">
                  <c:v>0.38575845909308681</c:v>
                </c:pt>
                <c:pt idx="13">
                  <c:v>0.1585479563430445</c:v>
                </c:pt>
                <c:pt idx="14">
                  <c:v>0.63604123808561219</c:v>
                </c:pt>
                <c:pt idx="15">
                  <c:v>0.3169722012936107</c:v>
                </c:pt>
                <c:pt idx="16">
                  <c:v>-0.10335857004416719</c:v>
                </c:pt>
                <c:pt idx="17">
                  <c:v>-3.5698176267711781E-2</c:v>
                </c:pt>
                <c:pt idx="18">
                  <c:v>-0.60934912550064046</c:v>
                </c:pt>
                <c:pt idx="19">
                  <c:v>-0.3641176829939205</c:v>
                </c:pt>
                <c:pt idx="20">
                  <c:v>-0.1013700779981392</c:v>
                </c:pt>
                <c:pt idx="21">
                  <c:v>-0.31920945262277456</c:v>
                </c:pt>
                <c:pt idx="22">
                  <c:v>3.1049160053994794E-2</c:v>
                </c:pt>
                <c:pt idx="23">
                  <c:v>2.2349038466741165E-2</c:v>
                </c:pt>
                <c:pt idx="24">
                  <c:v>0.12974311148891404</c:v>
                </c:pt>
                <c:pt idx="25">
                  <c:v>0.21647002151163328</c:v>
                </c:pt>
                <c:pt idx="26">
                  <c:v>0.19205806664585179</c:v>
                </c:pt>
                <c:pt idx="27">
                  <c:v>-0.23628033126313611</c:v>
                </c:pt>
                <c:pt idx="28">
                  <c:v>2.5262432705383895E-2</c:v>
                </c:pt>
                <c:pt idx="29">
                  <c:v>-1.8781509562061992E-2</c:v>
                </c:pt>
                <c:pt idx="30">
                  <c:v>5.9957016296618329E-2</c:v>
                </c:pt>
                <c:pt idx="31">
                  <c:v>0.43275534414748673</c:v>
                </c:pt>
                <c:pt idx="32">
                  <c:v>0.14797572480386773</c:v>
                </c:pt>
                <c:pt idx="33">
                  <c:v>8.3419533160410703E-2</c:v>
                </c:pt>
                <c:pt idx="34">
                  <c:v>-7.2085015188834867E-2</c:v>
                </c:pt>
                <c:pt idx="35">
                  <c:v>-6.5736974006284782E-2</c:v>
                </c:pt>
                <c:pt idx="36">
                  <c:v>-7.6942350249072561E-2</c:v>
                </c:pt>
                <c:pt idx="37">
                  <c:v>0.14202620550136791</c:v>
                </c:pt>
                <c:pt idx="38">
                  <c:v>0.23935022642016729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14-4E25-9607-FD511CF638D0}"/>
            </c:ext>
          </c:extLst>
        </c:ser>
        <c:ser>
          <c:idx val="5"/>
          <c:order val="5"/>
          <c:tx>
            <c:strRef>
              <c:f>'GRAF příspěvky IPP'!$A$32</c:f>
              <c:strCache>
                <c:ptCount val="1"/>
                <c:pt idx="0">
                  <c:v>Chemický a farmaceutický pr. (20, 21)</c:v>
                </c:pt>
              </c:strCache>
            </c:strRef>
          </c:tx>
          <c:spPr>
            <a:solidFill>
              <a:srgbClr val="F8A124"/>
            </a:solidFill>
            <a:ln>
              <a:noFill/>
            </a:ln>
          </c:spPr>
          <c:invertIfNegative val="0"/>
          <c:cat>
            <c:multiLvlStrRef>
              <c:f>'GRAF příspěvky IPP'!$R$25:$BD$26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IPP'!$R$32:$BD$32</c:f>
              <c:numCache>
                <c:formatCode>0.0</c:formatCode>
                <c:ptCount val="39"/>
                <c:pt idx="0">
                  <c:v>7.7157547125760104E-2</c:v>
                </c:pt>
                <c:pt idx="1">
                  <c:v>0.23593755110737841</c:v>
                </c:pt>
                <c:pt idx="2">
                  <c:v>-0.16353071050900619</c:v>
                </c:pt>
                <c:pt idx="3">
                  <c:v>-0.33446774192766959</c:v>
                </c:pt>
                <c:pt idx="4">
                  <c:v>-0.41480189964943331</c:v>
                </c:pt>
                <c:pt idx="5">
                  <c:v>-0.43289982593467702</c:v>
                </c:pt>
                <c:pt idx="6">
                  <c:v>-0.1055173929140575</c:v>
                </c:pt>
                <c:pt idx="7">
                  <c:v>0.23717747625834851</c:v>
                </c:pt>
                <c:pt idx="8">
                  <c:v>0.51439307947726998</c:v>
                </c:pt>
                <c:pt idx="9">
                  <c:v>0.83289717197907565</c:v>
                </c:pt>
                <c:pt idx="10">
                  <c:v>0.65310318202327911</c:v>
                </c:pt>
                <c:pt idx="11">
                  <c:v>0.50440121167449548</c:v>
                </c:pt>
                <c:pt idx="12">
                  <c:v>0.40911320927322647</c:v>
                </c:pt>
                <c:pt idx="13">
                  <c:v>7.7633111380155301E-2</c:v>
                </c:pt>
                <c:pt idx="14">
                  <c:v>-5.3190732776962651E-2</c:v>
                </c:pt>
                <c:pt idx="15">
                  <c:v>-7.1103221110709838E-2</c:v>
                </c:pt>
                <c:pt idx="16">
                  <c:v>9.3101613350728932E-2</c:v>
                </c:pt>
                <c:pt idx="17">
                  <c:v>6.1474211824515262E-2</c:v>
                </c:pt>
                <c:pt idx="18">
                  <c:v>0.2229684142187896</c:v>
                </c:pt>
                <c:pt idx="19">
                  <c:v>3.2130190492489386E-2</c:v>
                </c:pt>
                <c:pt idx="20">
                  <c:v>-3.6216479616950112E-2</c:v>
                </c:pt>
                <c:pt idx="21">
                  <c:v>-0.57135666895590331</c:v>
                </c:pt>
                <c:pt idx="22">
                  <c:v>-0.22076865898667289</c:v>
                </c:pt>
                <c:pt idx="23">
                  <c:v>0.42176753383241716</c:v>
                </c:pt>
                <c:pt idx="24">
                  <c:v>0.28428412011687404</c:v>
                </c:pt>
                <c:pt idx="25">
                  <c:v>0.82249631111331634</c:v>
                </c:pt>
                <c:pt idx="26">
                  <c:v>0.32027597160186944</c:v>
                </c:pt>
                <c:pt idx="27">
                  <c:v>8.7321622360171852E-2</c:v>
                </c:pt>
                <c:pt idx="28">
                  <c:v>0.24814976114220236</c:v>
                </c:pt>
                <c:pt idx="29">
                  <c:v>0.15906491022417332</c:v>
                </c:pt>
                <c:pt idx="30">
                  <c:v>-9.9156705361591546E-2</c:v>
                </c:pt>
                <c:pt idx="31">
                  <c:v>-0.2903361250797567</c:v>
                </c:pt>
                <c:pt idx="32">
                  <c:v>-0.60093194811787198</c:v>
                </c:pt>
                <c:pt idx="33">
                  <c:v>-0.17634605689268518</c:v>
                </c:pt>
                <c:pt idx="34">
                  <c:v>-7.3142262120512377E-2</c:v>
                </c:pt>
                <c:pt idx="35">
                  <c:v>-0.12595269503796017</c:v>
                </c:pt>
                <c:pt idx="36">
                  <c:v>0.29106249132180767</c:v>
                </c:pt>
                <c:pt idx="37">
                  <c:v>3.2252555674296565E-2</c:v>
                </c:pt>
                <c:pt idx="38">
                  <c:v>-7.7546843476391111E-2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714-4E25-9607-FD511CF638D0}"/>
            </c:ext>
          </c:extLst>
        </c:ser>
        <c:ser>
          <c:idx val="6"/>
          <c:order val="6"/>
          <c:tx>
            <c:strRef>
              <c:f>'GRAF příspěvky IPP'!$A$33</c:f>
              <c:strCache>
                <c:ptCount val="1"/>
                <c:pt idx="0">
                  <c:v>Zbývající zpracovatelský průmysl*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cat>
            <c:multiLvlStrRef>
              <c:f>'GRAF příspěvky IPP'!$R$25:$BD$26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IPP'!$R$33:$BD$33</c:f>
              <c:numCache>
                <c:formatCode>0.0</c:formatCode>
                <c:ptCount val="39"/>
                <c:pt idx="0">
                  <c:v>0.98443956746970962</c:v>
                </c:pt>
                <c:pt idx="1">
                  <c:v>0.89749369767930132</c:v>
                </c:pt>
                <c:pt idx="2">
                  <c:v>1.0110169889951346</c:v>
                </c:pt>
                <c:pt idx="3">
                  <c:v>-0.20272196687510713</c:v>
                </c:pt>
                <c:pt idx="4">
                  <c:v>-0.44835386658683185</c:v>
                </c:pt>
                <c:pt idx="5">
                  <c:v>-1.1528022020710338</c:v>
                </c:pt>
                <c:pt idx="6">
                  <c:v>-0.3721343772053517</c:v>
                </c:pt>
                <c:pt idx="7">
                  <c:v>0.44554477386112834</c:v>
                </c:pt>
                <c:pt idx="8">
                  <c:v>-0.13802711444318691</c:v>
                </c:pt>
                <c:pt idx="9">
                  <c:v>1.4520150527939983</c:v>
                </c:pt>
                <c:pt idx="10">
                  <c:v>0.65687676657011995</c:v>
                </c:pt>
                <c:pt idx="11">
                  <c:v>0.76186639439852744</c:v>
                </c:pt>
                <c:pt idx="12">
                  <c:v>1.1768838940724016</c:v>
                </c:pt>
                <c:pt idx="13">
                  <c:v>0.73260991135089881</c:v>
                </c:pt>
                <c:pt idx="14">
                  <c:v>1.1309843102453647</c:v>
                </c:pt>
                <c:pt idx="15">
                  <c:v>0.15993804771029091</c:v>
                </c:pt>
                <c:pt idx="16">
                  <c:v>-0.32185268974320136</c:v>
                </c:pt>
                <c:pt idx="17">
                  <c:v>-0.30512916964802844</c:v>
                </c:pt>
                <c:pt idx="18">
                  <c:v>-0.97407463154620033</c:v>
                </c:pt>
                <c:pt idx="19">
                  <c:v>-3.9701171551173531E-2</c:v>
                </c:pt>
                <c:pt idx="20">
                  <c:v>0.31377104389497573</c:v>
                </c:pt>
                <c:pt idx="21">
                  <c:v>-1.6010940767108721</c:v>
                </c:pt>
                <c:pt idx="22">
                  <c:v>-5.0886354263985356E-3</c:v>
                </c:pt>
                <c:pt idx="23">
                  <c:v>-0.12175513984550231</c:v>
                </c:pt>
                <c:pt idx="24">
                  <c:v>-3.4125834156235602E-3</c:v>
                </c:pt>
                <c:pt idx="25">
                  <c:v>3.2141937782937271</c:v>
                </c:pt>
                <c:pt idx="26">
                  <c:v>1.5247062667635272</c:v>
                </c:pt>
                <c:pt idx="27">
                  <c:v>1.1683376200242677</c:v>
                </c:pt>
                <c:pt idx="28">
                  <c:v>1.6901750523412213</c:v>
                </c:pt>
                <c:pt idx="29">
                  <c:v>0.27341674219238665</c:v>
                </c:pt>
                <c:pt idx="30">
                  <c:v>-1.6650039614606045</c:v>
                </c:pt>
                <c:pt idx="31">
                  <c:v>-1.5212796857672286</c:v>
                </c:pt>
                <c:pt idx="32">
                  <c:v>-3.3366692351327236</c:v>
                </c:pt>
                <c:pt idx="33">
                  <c:v>-3.5778039994492534</c:v>
                </c:pt>
                <c:pt idx="34">
                  <c:v>-1.7990084031826756</c:v>
                </c:pt>
                <c:pt idx="35">
                  <c:v>-1.6134513672711486</c:v>
                </c:pt>
                <c:pt idx="36">
                  <c:v>0.19522876374191578</c:v>
                </c:pt>
                <c:pt idx="37">
                  <c:v>0.2172671316823212</c:v>
                </c:pt>
                <c:pt idx="38">
                  <c:v>-0.16539917932590179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714-4E25-9607-FD511CF638D0}"/>
            </c:ext>
          </c:extLst>
        </c:ser>
        <c:ser>
          <c:idx val="7"/>
          <c:order val="7"/>
          <c:tx>
            <c:strRef>
              <c:f>'GRAF příspěvky IPP'!$A$34</c:f>
              <c:strCache>
                <c:ptCount val="1"/>
                <c:pt idx="0">
                  <c:v>Těžba a energetika (B, D)</c:v>
                </c:pt>
              </c:strCache>
            </c:strRef>
          </c:tx>
          <c:spPr>
            <a:solidFill>
              <a:srgbClr val="808080"/>
            </a:solidFill>
          </c:spPr>
          <c:invertIfNegative val="0"/>
          <c:cat>
            <c:multiLvlStrRef>
              <c:f>'GRAF příspěvky IPP'!$R$25:$BD$26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IPP'!$R$34:$BD$34</c:f>
              <c:numCache>
                <c:formatCode>0.0</c:formatCode>
                <c:ptCount val="39"/>
                <c:pt idx="0">
                  <c:v>0.14402037647140767</c:v>
                </c:pt>
                <c:pt idx="1">
                  <c:v>-0.33675824148789951</c:v>
                </c:pt>
                <c:pt idx="2">
                  <c:v>-0.3968935754815921</c:v>
                </c:pt>
                <c:pt idx="3">
                  <c:v>-1.1136308902205647</c:v>
                </c:pt>
                <c:pt idx="4">
                  <c:v>-0.66026658968149066</c:v>
                </c:pt>
                <c:pt idx="5">
                  <c:v>6.6763502761356674E-2</c:v>
                </c:pt>
                <c:pt idx="6">
                  <c:v>-0.46574952767530198</c:v>
                </c:pt>
                <c:pt idx="7">
                  <c:v>0.47124206252466205</c:v>
                </c:pt>
                <c:pt idx="8">
                  <c:v>0.68579685044543348</c:v>
                </c:pt>
                <c:pt idx="9">
                  <c:v>-0.21786071250878586</c:v>
                </c:pt>
                <c:pt idx="10">
                  <c:v>0.74762012671732325</c:v>
                </c:pt>
                <c:pt idx="11">
                  <c:v>0.67922569430551583</c:v>
                </c:pt>
                <c:pt idx="12">
                  <c:v>-0.54241645010765449</c:v>
                </c:pt>
                <c:pt idx="13">
                  <c:v>-1.8631527880888649E-3</c:v>
                </c:pt>
                <c:pt idx="14">
                  <c:v>0.78670127678843149</c:v>
                </c:pt>
                <c:pt idx="15">
                  <c:v>0.32960713526562863</c:v>
                </c:pt>
                <c:pt idx="16">
                  <c:v>6.8904910133199077E-2</c:v>
                </c:pt>
                <c:pt idx="17">
                  <c:v>0.12170682001164354</c:v>
                </c:pt>
                <c:pt idx="18">
                  <c:v>-0.5109816723970585</c:v>
                </c:pt>
                <c:pt idx="19">
                  <c:v>-0.36784640528649537</c:v>
                </c:pt>
                <c:pt idx="20">
                  <c:v>-1.0379724863245821</c:v>
                </c:pt>
                <c:pt idx="21">
                  <c:v>-1.638329285379571</c:v>
                </c:pt>
                <c:pt idx="22">
                  <c:v>-0.82494325172790062</c:v>
                </c:pt>
                <c:pt idx="23">
                  <c:v>-0.74239007583737793</c:v>
                </c:pt>
                <c:pt idx="24">
                  <c:v>0.59158556249174743</c:v>
                </c:pt>
                <c:pt idx="25">
                  <c:v>0.52574532126604923</c:v>
                </c:pt>
                <c:pt idx="26">
                  <c:v>0.3141749245133067</c:v>
                </c:pt>
                <c:pt idx="27">
                  <c:v>0.81673244983703708</c:v>
                </c:pt>
                <c:pt idx="28">
                  <c:v>-0.20930722480594036</c:v>
                </c:pt>
                <c:pt idx="29">
                  <c:v>0.24261992579068087</c:v>
                </c:pt>
                <c:pt idx="30">
                  <c:v>0.41437274042222183</c:v>
                </c:pt>
                <c:pt idx="31">
                  <c:v>-1.2875007654766373</c:v>
                </c:pt>
                <c:pt idx="32">
                  <c:v>-1.3048253110472505</c:v>
                </c:pt>
                <c:pt idx="33">
                  <c:v>-1.5779992607638813</c:v>
                </c:pt>
                <c:pt idx="34">
                  <c:v>-1.6272504326464061</c:v>
                </c:pt>
                <c:pt idx="35">
                  <c:v>-1.1082452978573207</c:v>
                </c:pt>
                <c:pt idx="36">
                  <c:v>-0.77467267910945481</c:v>
                </c:pt>
                <c:pt idx="37">
                  <c:v>-8.6422350697300643E-2</c:v>
                </c:pt>
                <c:pt idx="38">
                  <c:v>-7.1467606120229066E-5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714-4E25-9607-FD511CF638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112768128"/>
        <c:axId val="112769664"/>
      </c:barChart>
      <c:lineChart>
        <c:grouping val="standard"/>
        <c:varyColors val="0"/>
        <c:ser>
          <c:idx val="8"/>
          <c:order val="8"/>
          <c:tx>
            <c:strRef>
              <c:f>'GRAF příspěvky IPP'!$A$35</c:f>
              <c:strCache>
                <c:ptCount val="1"/>
                <c:pt idx="0">
                  <c:v>Průmysl celkem (NACE B až D)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4"/>
            <c:spPr>
              <a:solidFill>
                <a:srgbClr val="FFFF00"/>
              </a:solidFill>
              <a:ln>
                <a:solidFill>
                  <a:schemeClr val="tx1">
                    <a:lumMod val="95000"/>
                    <a:lumOff val="5000"/>
                  </a:schemeClr>
                </a:solidFill>
              </a:ln>
            </c:spPr>
          </c:marker>
          <c:cat>
            <c:multiLvlStrRef>
              <c:f>'GRAF příspěvky IPP'!$R$25:$BD$26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IPP'!$R$35:$BD$35</c:f>
              <c:numCache>
                <c:formatCode>0.0</c:formatCode>
                <c:ptCount val="39"/>
                <c:pt idx="0">
                  <c:v>4.8496605073000012</c:v>
                </c:pt>
                <c:pt idx="1">
                  <c:v>5.3026307429999946</c:v>
                </c:pt>
                <c:pt idx="2">
                  <c:v>5.6592883106000045</c:v>
                </c:pt>
                <c:pt idx="3">
                  <c:v>2.4009241675999959</c:v>
                </c:pt>
                <c:pt idx="4">
                  <c:v>3.7935036281999999</c:v>
                </c:pt>
                <c:pt idx="5">
                  <c:v>1.667340101700006</c:v>
                </c:pt>
                <c:pt idx="6">
                  <c:v>1.295772459600002</c:v>
                </c:pt>
                <c:pt idx="7">
                  <c:v>3.346652804200005</c:v>
                </c:pt>
                <c:pt idx="8">
                  <c:v>4.4694819295000059</c:v>
                </c:pt>
                <c:pt idx="9">
                  <c:v>8.0757287747999982</c:v>
                </c:pt>
                <c:pt idx="10">
                  <c:v>6.471008530800006</c:v>
                </c:pt>
                <c:pt idx="11">
                  <c:v>7.2646448002000028</c:v>
                </c:pt>
                <c:pt idx="12">
                  <c:v>4.3462152320000058</c:v>
                </c:pt>
                <c:pt idx="13">
                  <c:v>2.4365124655000017</c:v>
                </c:pt>
                <c:pt idx="14">
                  <c:v>3.7641930207000058</c:v>
                </c:pt>
                <c:pt idx="15">
                  <c:v>1.5933483905999992</c:v>
                </c:pt>
                <c:pt idx="16">
                  <c:v>0.47230060009999875</c:v>
                </c:pt>
                <c:pt idx="17">
                  <c:v>0.71920116619999419</c:v>
                </c:pt>
                <c:pt idx="18">
                  <c:v>-1.5414330485999983</c:v>
                </c:pt>
                <c:pt idx="19">
                  <c:v>-1.7724070997000041</c:v>
                </c:pt>
                <c:pt idx="20">
                  <c:v>-4.2521142571000041</c:v>
                </c:pt>
                <c:pt idx="21">
                  <c:v>-21.785210571700006</c:v>
                </c:pt>
                <c:pt idx="22">
                  <c:v>-3.0649898566999951</c:v>
                </c:pt>
                <c:pt idx="23">
                  <c:v>1.6725311281000046</c:v>
                </c:pt>
                <c:pt idx="24">
                  <c:v>4.1158860233999945</c:v>
                </c:pt>
                <c:pt idx="25">
                  <c:v>26.265903552099999</c:v>
                </c:pt>
                <c:pt idx="26">
                  <c:v>0.54202255549999734</c:v>
                </c:pt>
                <c:pt idx="27">
                  <c:v>-1.5347689435999996</c:v>
                </c:pt>
                <c:pt idx="28">
                  <c:v>0.52428299340000706</c:v>
                </c:pt>
                <c:pt idx="29">
                  <c:v>0.58224571780000645</c:v>
                </c:pt>
                <c:pt idx="30">
                  <c:v>5.0280839376000017</c:v>
                </c:pt>
                <c:pt idx="31">
                  <c:v>2.3885389629000002</c:v>
                </c:pt>
                <c:pt idx="32">
                  <c:v>0.5475739112000042</c:v>
                </c:pt>
                <c:pt idx="33">
                  <c:v>0.25524216140000533</c:v>
                </c:pt>
                <c:pt idx="34">
                  <c:v>-3.4385428575999981</c:v>
                </c:pt>
                <c:pt idx="35">
                  <c:v>-0.7315204164000022</c:v>
                </c:pt>
                <c:pt idx="36">
                  <c:v>-0.93474912739999638</c:v>
                </c:pt>
                <c:pt idx="37">
                  <c:v>-2.2375234641999953</c:v>
                </c:pt>
                <c:pt idx="38">
                  <c:v>0.49387188000000037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7714-4E25-9607-FD511CF638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768128"/>
        <c:axId val="112769664"/>
      </c:lineChart>
      <c:lineChart>
        <c:grouping val="standard"/>
        <c:varyColors val="0"/>
        <c:ser>
          <c:idx val="9"/>
          <c:order val="9"/>
          <c:tx>
            <c:strRef>
              <c:f>'GRAF příspěvky IPP'!$A$36</c:f>
              <c:strCache>
                <c:ptCount val="1"/>
              </c:strCache>
            </c:strRef>
          </c:tx>
          <c:spPr>
            <a:ln w="15875">
              <a:noFill/>
              <a:prstDash val="sysDot"/>
            </a:ln>
          </c:spPr>
          <c:marker>
            <c:symbol val="none"/>
          </c:marker>
          <c:cat>
            <c:multiLvlStrRef>
              <c:f>'GRAF příspěvky IPP'!$R$25:$BD$26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IPP'!$R$36:$BD$36</c:f>
              <c:numCache>
                <c:formatCode>General</c:formatCode>
                <c:ptCount val="39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7714-4E25-9607-FD511CF638D0}"/>
            </c:ext>
          </c:extLst>
        </c:ser>
        <c:ser>
          <c:idx val="10"/>
          <c:order val="10"/>
          <c:tx>
            <c:strRef>
              <c:f>'GRAF příspěvky IPP'!$A$37</c:f>
              <c:strCache>
                <c:ptCount val="1"/>
                <c:pt idx="0">
                  <c:v>Produkce, prům. v ČR celkem (2021=100)</c:v>
                </c:pt>
              </c:strCache>
            </c:strRef>
          </c:tx>
          <c:spPr>
            <a:ln w="15875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cat>
            <c:multiLvlStrRef>
              <c:f>'GRAF příspěvky IPP'!$R$25:$BD$26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IPP'!$R$37:$BD$37</c:f>
              <c:numCache>
                <c:formatCode>##0.0</c:formatCode>
                <c:ptCount val="39"/>
                <c:pt idx="0">
                  <c:v>88.390702936699995</c:v>
                </c:pt>
                <c:pt idx="1">
                  <c:v>89.851789280000006</c:v>
                </c:pt>
                <c:pt idx="2">
                  <c:v>90.937920156700002</c:v>
                </c:pt>
                <c:pt idx="3">
                  <c:v>90.09209328</c:v>
                </c:pt>
                <c:pt idx="4">
                  <c:v>91.845525449999997</c:v>
                </c:pt>
                <c:pt idx="5">
                  <c:v>91.348851603300005</c:v>
                </c:pt>
                <c:pt idx="6">
                  <c:v>92.034390920000007</c:v>
                </c:pt>
                <c:pt idx="7">
                  <c:v>93.087876796700002</c:v>
                </c:pt>
                <c:pt idx="8">
                  <c:v>95.604840586700007</c:v>
                </c:pt>
                <c:pt idx="9">
                  <c:v>98.559215283300006</c:v>
                </c:pt>
                <c:pt idx="10">
                  <c:v>98.238515626700007</c:v>
                </c:pt>
                <c:pt idx="11">
                  <c:v>100.10607955</c:v>
                </c:pt>
                <c:pt idx="12">
                  <c:v>100.07787473330001</c:v>
                </c:pt>
                <c:pt idx="13">
                  <c:v>101.0878591267</c:v>
                </c:pt>
                <c:pt idx="14">
                  <c:v>101.9903844033</c:v>
                </c:pt>
                <c:pt idx="15">
                  <c:v>101.2901701267</c:v>
                </c:pt>
                <c:pt idx="16">
                  <c:v>100.6232900533</c:v>
                </c:pt>
                <c:pt idx="17">
                  <c:v>102.21724220999999</c:v>
                </c:pt>
                <c:pt idx="18">
                  <c:v>100.0972944833</c:v>
                </c:pt>
                <c:pt idx="19">
                  <c:v>99.380540980000006</c:v>
                </c:pt>
                <c:pt idx="20">
                  <c:v>96.706705176699998</c:v>
                </c:pt>
                <c:pt idx="21">
                  <c:v>80.240781016699998</c:v>
                </c:pt>
                <c:pt idx="22">
                  <c:v>97.020602233299996</c:v>
                </c:pt>
                <c:pt idx="23">
                  <c:v>101.08710295669999</c:v>
                </c:pt>
                <c:pt idx="24">
                  <c:v>99.658696516700005</c:v>
                </c:pt>
                <c:pt idx="25">
                  <c:v>100.69194511000001</c:v>
                </c:pt>
                <c:pt idx="26">
                  <c:v>98.349697399999997</c:v>
                </c:pt>
                <c:pt idx="27">
                  <c:v>99.142403656699997</c:v>
                </c:pt>
                <c:pt idx="28">
                  <c:v>100.8069587167</c:v>
                </c:pt>
                <c:pt idx="29">
                  <c:v>101.4617270767</c:v>
                </c:pt>
                <c:pt idx="30">
                  <c:v>102.79842501</c:v>
                </c:pt>
                <c:pt idx="31">
                  <c:v>101.7597867433</c:v>
                </c:pt>
                <c:pt idx="32">
                  <c:v>101.3478434733</c:v>
                </c:pt>
                <c:pt idx="33">
                  <c:v>101.56320845330001</c:v>
                </c:pt>
                <c:pt idx="34">
                  <c:v>99.187167656699998</c:v>
                </c:pt>
                <c:pt idx="35">
                  <c:v>101.25765746</c:v>
                </c:pt>
                <c:pt idx="36">
                  <c:v>100.4487864167</c:v>
                </c:pt>
                <c:pt idx="37">
                  <c:v>99.424114836699999</c:v>
                </c:pt>
                <c:pt idx="38">
                  <c:v>99.531778683300004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7714-4E25-9607-FD511CF638D0}"/>
            </c:ext>
          </c:extLst>
        </c:ser>
        <c:ser>
          <c:idx val="11"/>
          <c:order val="11"/>
          <c:tx>
            <c:strRef>
              <c:f>'GRAF příspěvky IPP'!$A$38</c:f>
              <c:strCache>
                <c:ptCount val="1"/>
                <c:pt idx="0">
                  <c:v>Produkce, prům. v EU27 celkem (2021=100)</c:v>
                </c:pt>
              </c:strCache>
            </c:strRef>
          </c:tx>
          <c:spPr>
            <a:ln w="15875">
              <a:solidFill>
                <a:schemeClr val="tx1">
                  <a:lumMod val="50000"/>
                  <a:lumOff val="50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'GRAF příspěvky IPP'!$R$25:$BD$26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IPP'!$R$38:$BD$38</c:f>
              <c:numCache>
                <c:formatCode>#\ ##0.##########</c:formatCode>
                <c:ptCount val="39"/>
                <c:pt idx="0">
                  <c:v>92.9</c:v>
                </c:pt>
                <c:pt idx="1">
                  <c:v>93.8</c:v>
                </c:pt>
                <c:pt idx="2">
                  <c:v>94.1</c:v>
                </c:pt>
                <c:pt idx="3">
                  <c:v>93.9</c:v>
                </c:pt>
                <c:pt idx="4">
                  <c:v>95</c:v>
                </c:pt>
                <c:pt idx="5">
                  <c:v>94.9</c:v>
                </c:pt>
                <c:pt idx="6">
                  <c:v>95</c:v>
                </c:pt>
                <c:pt idx="7">
                  <c:v>96.1</c:v>
                </c:pt>
                <c:pt idx="8">
                  <c:v>96.3</c:v>
                </c:pt>
                <c:pt idx="9">
                  <c:v>97.5</c:v>
                </c:pt>
                <c:pt idx="10">
                  <c:v>98.8</c:v>
                </c:pt>
                <c:pt idx="11">
                  <c:v>100.6</c:v>
                </c:pt>
                <c:pt idx="12">
                  <c:v>99.2</c:v>
                </c:pt>
                <c:pt idx="13">
                  <c:v>99.8</c:v>
                </c:pt>
                <c:pt idx="14">
                  <c:v>99.6</c:v>
                </c:pt>
                <c:pt idx="15">
                  <c:v>99.2</c:v>
                </c:pt>
                <c:pt idx="16">
                  <c:v>99.7</c:v>
                </c:pt>
                <c:pt idx="17">
                  <c:v>99.4</c:v>
                </c:pt>
                <c:pt idx="18">
                  <c:v>98.7</c:v>
                </c:pt>
                <c:pt idx="19">
                  <c:v>97.9</c:v>
                </c:pt>
                <c:pt idx="20">
                  <c:v>95.3</c:v>
                </c:pt>
                <c:pt idx="21">
                  <c:v>80.5</c:v>
                </c:pt>
                <c:pt idx="22">
                  <c:v>93.5</c:v>
                </c:pt>
                <c:pt idx="23">
                  <c:v>98</c:v>
                </c:pt>
                <c:pt idx="24">
                  <c:v>99.5</c:v>
                </c:pt>
                <c:pt idx="25">
                  <c:v>99.7</c:v>
                </c:pt>
                <c:pt idx="26">
                  <c:v>99.7</c:v>
                </c:pt>
                <c:pt idx="27">
                  <c:v>101.1</c:v>
                </c:pt>
                <c:pt idx="28">
                  <c:v>102.2</c:v>
                </c:pt>
                <c:pt idx="29">
                  <c:v>102.6</c:v>
                </c:pt>
                <c:pt idx="30">
                  <c:v>103.9</c:v>
                </c:pt>
                <c:pt idx="31">
                  <c:v>102.7</c:v>
                </c:pt>
                <c:pt idx="32">
                  <c:v>103</c:v>
                </c:pt>
                <c:pt idx="33">
                  <c:v>101.6</c:v>
                </c:pt>
                <c:pt idx="34">
                  <c:v>99.6</c:v>
                </c:pt>
                <c:pt idx="35">
                  <c:v>99.9</c:v>
                </c:pt>
                <c:pt idx="36">
                  <c:v>98.9</c:v>
                </c:pt>
                <c:pt idx="37">
                  <c:v>98.7</c:v>
                </c:pt>
                <c:pt idx="38" formatCode="General">
                  <c:v>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7714-4E25-9607-FD511CF638D0}"/>
            </c:ext>
          </c:extLst>
        </c:ser>
        <c:ser>
          <c:idx val="12"/>
          <c:order val="12"/>
          <c:tx>
            <c:strRef>
              <c:f>'GRAF příspěvky IPP'!$A$39</c:f>
              <c:strCache>
                <c:ptCount val="1"/>
                <c:pt idx="0">
                  <c:v>Produkce, prům. v Německu (2021=100)</c:v>
                </c:pt>
              </c:strCache>
            </c:strRef>
          </c:tx>
          <c:spPr>
            <a:ln w="15875">
              <a:solidFill>
                <a:srgbClr val="996633"/>
              </a:solidFill>
              <a:prstDash val="dash"/>
            </a:ln>
          </c:spPr>
          <c:marker>
            <c:symbol val="none"/>
          </c:marker>
          <c:cat>
            <c:multiLvlStrRef>
              <c:f>'GRAF příspěvky IPP'!$R$25:$BD$26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IPP'!$R$39:$BD$39</c:f>
              <c:numCache>
                <c:formatCode>#\ ##0.##########</c:formatCode>
                <c:ptCount val="39"/>
                <c:pt idx="0">
                  <c:v>102.7</c:v>
                </c:pt>
                <c:pt idx="1">
                  <c:v>104</c:v>
                </c:pt>
                <c:pt idx="2">
                  <c:v>103.8</c:v>
                </c:pt>
                <c:pt idx="3">
                  <c:v>103.3</c:v>
                </c:pt>
                <c:pt idx="4">
                  <c:v>104.4</c:v>
                </c:pt>
                <c:pt idx="5">
                  <c:v>104</c:v>
                </c:pt>
                <c:pt idx="6">
                  <c:v>104.4</c:v>
                </c:pt>
                <c:pt idx="7">
                  <c:v>104.5</c:v>
                </c:pt>
                <c:pt idx="8">
                  <c:v>105</c:v>
                </c:pt>
                <c:pt idx="9">
                  <c:v>107</c:v>
                </c:pt>
                <c:pt idx="10">
                  <c:v>108.8</c:v>
                </c:pt>
                <c:pt idx="11">
                  <c:v>109.6</c:v>
                </c:pt>
                <c:pt idx="12">
                  <c:v>109</c:v>
                </c:pt>
                <c:pt idx="13">
                  <c:v>109.8</c:v>
                </c:pt>
                <c:pt idx="14">
                  <c:v>108.8</c:v>
                </c:pt>
                <c:pt idx="15">
                  <c:v>107.2</c:v>
                </c:pt>
                <c:pt idx="16">
                  <c:v>107</c:v>
                </c:pt>
                <c:pt idx="17">
                  <c:v>105.8</c:v>
                </c:pt>
                <c:pt idx="18">
                  <c:v>104.6</c:v>
                </c:pt>
                <c:pt idx="19">
                  <c:v>102.9</c:v>
                </c:pt>
                <c:pt idx="20">
                  <c:v>101.3</c:v>
                </c:pt>
                <c:pt idx="21">
                  <c:v>82.9</c:v>
                </c:pt>
                <c:pt idx="22">
                  <c:v>94.8</c:v>
                </c:pt>
                <c:pt idx="23">
                  <c:v>100.9</c:v>
                </c:pt>
                <c:pt idx="24">
                  <c:v>100.8</c:v>
                </c:pt>
                <c:pt idx="25">
                  <c:v>99.9</c:v>
                </c:pt>
                <c:pt idx="26">
                  <c:v>96.9</c:v>
                </c:pt>
                <c:pt idx="27">
                  <c:v>99.9</c:v>
                </c:pt>
                <c:pt idx="28">
                  <c:v>99.4</c:v>
                </c:pt>
                <c:pt idx="29">
                  <c:v>98.8</c:v>
                </c:pt>
                <c:pt idx="30">
                  <c:v>99.2</c:v>
                </c:pt>
                <c:pt idx="31">
                  <c:v>99</c:v>
                </c:pt>
                <c:pt idx="32">
                  <c:v>100.1</c:v>
                </c:pt>
                <c:pt idx="33">
                  <c:v>98.3</c:v>
                </c:pt>
                <c:pt idx="34">
                  <c:v>95.8</c:v>
                </c:pt>
                <c:pt idx="35">
                  <c:v>94.5</c:v>
                </c:pt>
                <c:pt idx="36">
                  <c:v>94.5</c:v>
                </c:pt>
                <c:pt idx="37">
                  <c:v>93.4</c:v>
                </c:pt>
                <c:pt idx="38" formatCode="General">
                  <c:v>91.7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7714-4E25-9607-FD511CF638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3731104"/>
        <c:axId val="1513729024"/>
      </c:lineChart>
      <c:catAx>
        <c:axId val="11276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2769664"/>
        <c:crosses val="autoZero"/>
        <c:auto val="1"/>
        <c:lblAlgn val="ctr"/>
        <c:lblOffset val="0"/>
        <c:noMultiLvlLbl val="0"/>
      </c:catAx>
      <c:valAx>
        <c:axId val="112769664"/>
        <c:scaling>
          <c:orientation val="minMax"/>
          <c:max val="30"/>
          <c:min val="-25"/>
        </c:scaling>
        <c:delete val="0"/>
        <c:axPos val="l"/>
        <c:majorGridlines>
          <c:spPr>
            <a:ln>
              <a:solidFill>
                <a:srgbClr val="BEBEBE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cs-CZ" sz="700" b="0" i="1" u="none" strike="noStrike" baseline="0">
                    <a:effectLst/>
                  </a:rPr>
                  <a:t>Prům. produkce (příspěvky  k meziroč. změně)</a:t>
                </a:r>
                <a:endParaRPr lang="cs-CZ" sz="700" b="0" i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0.116519800431869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2768128"/>
        <c:crosses val="autoZero"/>
        <c:crossBetween val="between"/>
        <c:majorUnit val="5"/>
      </c:valAx>
      <c:valAx>
        <c:axId val="1513729024"/>
        <c:scaling>
          <c:orientation val="minMax"/>
          <c:max val="118"/>
          <c:min val="52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cs-CZ" sz="700" b="0" i="1">
                    <a:latin typeface="Arial" panose="020B0604020202020204" pitchFamily="34" charset="0"/>
                    <a:cs typeface="Arial" panose="020B0604020202020204" pitchFamily="34" charset="0"/>
                  </a:rPr>
                  <a:t>Produkce</a:t>
                </a:r>
                <a:r>
                  <a:rPr lang="cs-CZ" sz="700" b="0" i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</a:t>
                </a:r>
                <a:r>
                  <a:rPr lang="cs-CZ" sz="700" b="0" i="1">
                    <a:latin typeface="Arial" panose="020B0604020202020204" pitchFamily="34" charset="0"/>
                    <a:cs typeface="Arial" panose="020B0604020202020204" pitchFamily="34" charset="0"/>
                  </a:rPr>
                  <a:t>v průmyslu (báze 2021=100)</a:t>
                </a:r>
              </a:p>
            </c:rich>
          </c:tx>
          <c:layout>
            <c:manualLayout>
              <c:xMode val="edge"/>
              <c:yMode val="edge"/>
              <c:x val="0.97040158454025283"/>
              <c:y val="0.1664992231222941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1513731104"/>
        <c:crosses val="max"/>
        <c:crossBetween val="between"/>
        <c:majorUnit val="6"/>
      </c:valAx>
      <c:catAx>
        <c:axId val="15137311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3729024"/>
        <c:crosses val="autoZero"/>
        <c:auto val="1"/>
        <c:lblAlgn val="ctr"/>
        <c:lblOffset val="100"/>
        <c:noMultiLvlLbl val="0"/>
      </c:catAx>
      <c:spPr>
        <a:noFill/>
        <a:ln w="6350">
          <a:solidFill>
            <a:prstClr val="black">
              <a:lumMod val="95000"/>
              <a:lumOff val="5000"/>
            </a:prstClr>
          </a:solidFill>
        </a:ln>
      </c:spPr>
    </c:plotArea>
    <c:legend>
      <c:legendPos val="r"/>
      <c:layout>
        <c:manualLayout>
          <c:xMode val="edge"/>
          <c:yMode val="edge"/>
          <c:x val="5.257665068025226E-3"/>
          <c:y val="0.78956533796177808"/>
          <c:w val="0.98866589538224925"/>
          <c:h val="0.20327688625655532"/>
        </c:manualLayout>
      </c:layout>
      <c:overlay val="0"/>
      <c:spPr>
        <a:ln w="6350">
          <a:solidFill>
            <a:prstClr val="black">
              <a:lumMod val="95000"/>
              <a:lumOff val="5000"/>
            </a:prstClr>
          </a:solidFill>
        </a:ln>
      </c:spPr>
      <c:txPr>
        <a:bodyPr/>
        <a:lstStyle/>
        <a:p>
          <a:pPr>
            <a:defRPr sz="72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688042665536843E-2"/>
          <c:y val="1.5647041011259352E-2"/>
          <c:w val="0.84974974879787502"/>
          <c:h val="0.7506360221430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'výkonnost odvětví 2'!$A$36</c:f>
              <c:strCache>
                <c:ptCount val="1"/>
                <c:pt idx="0">
                  <c:v>Průmyslové zakázky celkem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</c:spPr>
          <c:invertIfNegative val="0"/>
          <c:cat>
            <c:multiLvlStrRef>
              <c:f>'výkonnost odvětví 2'!$R$34:$BE$35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2'!$R$36:$BE$36</c:f>
              <c:numCache>
                <c:formatCode>##0.0</c:formatCode>
                <c:ptCount val="40"/>
                <c:pt idx="0">
                  <c:v>8.5341163004000009</c:v>
                </c:pt>
                <c:pt idx="1">
                  <c:v>6.3710040105000019</c:v>
                </c:pt>
                <c:pt idx="2">
                  <c:v>6.0473469386000005</c:v>
                </c:pt>
                <c:pt idx="3">
                  <c:v>5.2688430824999983</c:v>
                </c:pt>
                <c:pt idx="4">
                  <c:v>2.4833916856999991</c:v>
                </c:pt>
                <c:pt idx="5">
                  <c:v>7.1316561812000003</c:v>
                </c:pt>
                <c:pt idx="6">
                  <c:v>1.949144685899995</c:v>
                </c:pt>
                <c:pt idx="7">
                  <c:v>6.4416747929000024</c:v>
                </c:pt>
                <c:pt idx="8">
                  <c:v>7.3441955548999971</c:v>
                </c:pt>
                <c:pt idx="9">
                  <c:v>8.3762247843000068</c:v>
                </c:pt>
                <c:pt idx="10">
                  <c:v>8.1209134774999967</c:v>
                </c:pt>
                <c:pt idx="11">
                  <c:v>7.2572871451999958</c:v>
                </c:pt>
                <c:pt idx="12">
                  <c:v>3.2993551214999997</c:v>
                </c:pt>
                <c:pt idx="13">
                  <c:v>2.9773571834000023</c:v>
                </c:pt>
                <c:pt idx="14">
                  <c:v>3.5300064828000046</c:v>
                </c:pt>
                <c:pt idx="15">
                  <c:v>2.4324207204000032</c:v>
                </c:pt>
                <c:pt idx="16">
                  <c:v>3.2234606388999936</c:v>
                </c:pt>
                <c:pt idx="17">
                  <c:v>2.1291359181000047</c:v>
                </c:pt>
                <c:pt idx="18">
                  <c:v>-1.1496242270000039</c:v>
                </c:pt>
                <c:pt idx="19">
                  <c:v>-2.8233445845000062</c:v>
                </c:pt>
                <c:pt idx="20">
                  <c:v>-4.1421474552000035</c:v>
                </c:pt>
                <c:pt idx="21">
                  <c:v>-27.261303375300002</c:v>
                </c:pt>
                <c:pt idx="22">
                  <c:v>-0.61408028729999842</c:v>
                </c:pt>
                <c:pt idx="23">
                  <c:v>6.5219093458999993</c:v>
                </c:pt>
                <c:pt idx="24">
                  <c:v>10.301322581099996</c:v>
                </c:pt>
                <c:pt idx="25">
                  <c:v>47.0084012632</c:v>
                </c:pt>
                <c:pt idx="26">
                  <c:v>7.4116795309000025</c:v>
                </c:pt>
                <c:pt idx="27">
                  <c:v>4.1368343349000014</c:v>
                </c:pt>
                <c:pt idx="28">
                  <c:v>6.8575430460000035</c:v>
                </c:pt>
                <c:pt idx="29">
                  <c:v>10.087902526500002</c:v>
                </c:pt>
                <c:pt idx="30">
                  <c:v>15.319582045000004</c:v>
                </c:pt>
                <c:pt idx="31">
                  <c:v>12.426004411700006</c:v>
                </c:pt>
                <c:pt idx="32">
                  <c:v>2.9175286371999931</c:v>
                </c:pt>
                <c:pt idx="33">
                  <c:v>-2.4108609179999974</c:v>
                </c:pt>
                <c:pt idx="34">
                  <c:v>-4.883843575100002</c:v>
                </c:pt>
                <c:pt idx="35">
                  <c:v>-0.99340732529999798</c:v>
                </c:pt>
                <c:pt idx="36">
                  <c:v>3.8829823386000015</c:v>
                </c:pt>
                <c:pt idx="37">
                  <c:v>2.8442275559000052</c:v>
                </c:pt>
                <c:pt idx="38">
                  <c:v>4.3894508446999936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4E-49F3-B4B9-78CD4DA12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12768128"/>
        <c:axId val="112769664"/>
      </c:barChart>
      <c:lineChart>
        <c:grouping val="standard"/>
        <c:varyColors val="0"/>
        <c:ser>
          <c:idx val="1"/>
          <c:order val="1"/>
          <c:tx>
            <c:strRef>
              <c:f>'výkonnost odvětví 2'!$A$37</c:f>
              <c:strCache>
                <c:ptCount val="1"/>
                <c:pt idx="0">
                  <c:v>z toho: zakázky z tuzemska</c:v>
                </c:pt>
              </c:strCache>
            </c:strRef>
          </c:tx>
          <c:spPr>
            <a:ln w="15875">
              <a:noFill/>
              <a:prstDash val="sysDot"/>
            </a:ln>
          </c:spPr>
          <c:marker>
            <c:symbol val="diamond"/>
            <c:size val="5"/>
            <c:spPr>
              <a:solidFill>
                <a:srgbClr val="984807"/>
              </a:solidFill>
              <a:ln>
                <a:noFill/>
              </a:ln>
            </c:spPr>
          </c:marker>
          <c:cat>
            <c:multiLvlStrRef>
              <c:f>'výkonnost odvětví 2'!$R$34:$BE$35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2'!$R$37:$BE$37</c:f>
              <c:numCache>
                <c:formatCode>##0.0</c:formatCode>
                <c:ptCount val="40"/>
                <c:pt idx="0">
                  <c:v>4.3632508753999986</c:v>
                </c:pt>
                <c:pt idx="1">
                  <c:v>9.9207675196999929</c:v>
                </c:pt>
                <c:pt idx="2">
                  <c:v>-2.8142131774000063</c:v>
                </c:pt>
                <c:pt idx="3">
                  <c:v>-0.26578169440000465</c:v>
                </c:pt>
                <c:pt idx="4">
                  <c:v>1.7666970267000011</c:v>
                </c:pt>
                <c:pt idx="5">
                  <c:v>1.7586378578999984</c:v>
                </c:pt>
                <c:pt idx="6">
                  <c:v>0.20173230330000536</c:v>
                </c:pt>
                <c:pt idx="7">
                  <c:v>2.9064722939999967</c:v>
                </c:pt>
                <c:pt idx="8">
                  <c:v>12.341459895900002</c:v>
                </c:pt>
                <c:pt idx="9">
                  <c:v>15.691073458800005</c:v>
                </c:pt>
                <c:pt idx="10">
                  <c:v>15.834685004400001</c:v>
                </c:pt>
                <c:pt idx="11">
                  <c:v>15.445227057699995</c:v>
                </c:pt>
                <c:pt idx="12">
                  <c:v>2.1530605192999985</c:v>
                </c:pt>
                <c:pt idx="13">
                  <c:v>2.440306231799994</c:v>
                </c:pt>
                <c:pt idx="14">
                  <c:v>4.7510172912000002</c:v>
                </c:pt>
                <c:pt idx="15">
                  <c:v>3.3084884759999937</c:v>
                </c:pt>
                <c:pt idx="16">
                  <c:v>7.6964313707999992</c:v>
                </c:pt>
                <c:pt idx="17">
                  <c:v>5.9656126075999936</c:v>
                </c:pt>
                <c:pt idx="18">
                  <c:v>0.2850715043000065</c:v>
                </c:pt>
                <c:pt idx="19">
                  <c:v>-0.84674153630000148</c:v>
                </c:pt>
                <c:pt idx="20">
                  <c:v>0.84542569580000304</c:v>
                </c:pt>
                <c:pt idx="21">
                  <c:v>-25.680778364399998</c:v>
                </c:pt>
                <c:pt idx="22">
                  <c:v>-3.379983194199994</c:v>
                </c:pt>
                <c:pt idx="23">
                  <c:v>5.566224000099993</c:v>
                </c:pt>
                <c:pt idx="24">
                  <c:v>2.1978596176000025</c:v>
                </c:pt>
                <c:pt idx="25">
                  <c:v>42.285185977800012</c:v>
                </c:pt>
                <c:pt idx="26">
                  <c:v>9.2433033518999963</c:v>
                </c:pt>
                <c:pt idx="27">
                  <c:v>5.7937932358999973</c:v>
                </c:pt>
                <c:pt idx="28">
                  <c:v>8.7771855149999993</c:v>
                </c:pt>
                <c:pt idx="29">
                  <c:v>15.464000589999998</c:v>
                </c:pt>
                <c:pt idx="30">
                  <c:v>26.236596071799994</c:v>
                </c:pt>
                <c:pt idx="31">
                  <c:v>19.240791608999999</c:v>
                </c:pt>
                <c:pt idx="32">
                  <c:v>12.039251423699994</c:v>
                </c:pt>
                <c:pt idx="33">
                  <c:v>2.2572737563999965</c:v>
                </c:pt>
                <c:pt idx="34">
                  <c:v>-6.8310928819000054</c:v>
                </c:pt>
                <c:pt idx="35">
                  <c:v>-0.65805693229999918</c:v>
                </c:pt>
                <c:pt idx="36">
                  <c:v>3.287274550099994</c:v>
                </c:pt>
                <c:pt idx="37">
                  <c:v>1.9000512443000019</c:v>
                </c:pt>
                <c:pt idx="38">
                  <c:v>7.079649244899997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74E-49F3-B4B9-78CD4DA12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768128"/>
        <c:axId val="112769664"/>
      </c:lineChart>
      <c:lineChart>
        <c:grouping val="standard"/>
        <c:varyColors val="0"/>
        <c:ser>
          <c:idx val="2"/>
          <c:order val="2"/>
          <c:tx>
            <c:strRef>
              <c:f>'výkonnost odvětví 2'!$A$38</c:f>
              <c:strCache>
                <c:ptCount val="1"/>
                <c:pt idx="0">
                  <c:v>Využití výrob. kapacit v průmyslu celkem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'výkonnost odvětví 2'!$R$34:$BE$35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2'!$R$38:$BE$38</c:f>
              <c:numCache>
                <c:formatCode>##0.0</c:formatCode>
                <c:ptCount val="40"/>
                <c:pt idx="0">
                  <c:v>85.6</c:v>
                </c:pt>
                <c:pt idx="1">
                  <c:v>85.1</c:v>
                </c:pt>
                <c:pt idx="2">
                  <c:v>84.9</c:v>
                </c:pt>
                <c:pt idx="3">
                  <c:v>84.3</c:v>
                </c:pt>
                <c:pt idx="4">
                  <c:v>84</c:v>
                </c:pt>
                <c:pt idx="5">
                  <c:v>85.2</c:v>
                </c:pt>
                <c:pt idx="6">
                  <c:v>84</c:v>
                </c:pt>
                <c:pt idx="7">
                  <c:v>84.8</c:v>
                </c:pt>
                <c:pt idx="8">
                  <c:v>84.7</c:v>
                </c:pt>
                <c:pt idx="9">
                  <c:v>83.7</c:v>
                </c:pt>
                <c:pt idx="10">
                  <c:v>83.8</c:v>
                </c:pt>
                <c:pt idx="11">
                  <c:v>84.4</c:v>
                </c:pt>
                <c:pt idx="12">
                  <c:v>85.33</c:v>
                </c:pt>
                <c:pt idx="13">
                  <c:v>84.89</c:v>
                </c:pt>
                <c:pt idx="14">
                  <c:v>85.13</c:v>
                </c:pt>
                <c:pt idx="15">
                  <c:v>84.76</c:v>
                </c:pt>
                <c:pt idx="16">
                  <c:v>84.93</c:v>
                </c:pt>
                <c:pt idx="17">
                  <c:v>85.19</c:v>
                </c:pt>
                <c:pt idx="18">
                  <c:v>83.6</c:v>
                </c:pt>
                <c:pt idx="19">
                  <c:v>83.7</c:v>
                </c:pt>
                <c:pt idx="20">
                  <c:v>84.2</c:v>
                </c:pt>
                <c:pt idx="21">
                  <c:v>70.400000000000006</c:v>
                </c:pt>
                <c:pt idx="22">
                  <c:v>76.3</c:v>
                </c:pt>
                <c:pt idx="23">
                  <c:v>82.7</c:v>
                </c:pt>
                <c:pt idx="24">
                  <c:v>85.8</c:v>
                </c:pt>
                <c:pt idx="25">
                  <c:v>84.4</c:v>
                </c:pt>
                <c:pt idx="26">
                  <c:v>86.41</c:v>
                </c:pt>
                <c:pt idx="27">
                  <c:v>77.599999999999994</c:v>
                </c:pt>
                <c:pt idx="28">
                  <c:v>83.6</c:v>
                </c:pt>
                <c:pt idx="29">
                  <c:v>82.17</c:v>
                </c:pt>
                <c:pt idx="30">
                  <c:v>83.5</c:v>
                </c:pt>
                <c:pt idx="31">
                  <c:v>81.099999999999994</c:v>
                </c:pt>
                <c:pt idx="32">
                  <c:v>81.400000000000006</c:v>
                </c:pt>
                <c:pt idx="33">
                  <c:v>83.7</c:v>
                </c:pt>
                <c:pt idx="34">
                  <c:v>83.5</c:v>
                </c:pt>
                <c:pt idx="35">
                  <c:v>83.6</c:v>
                </c:pt>
                <c:pt idx="36">
                  <c:v>83.1</c:v>
                </c:pt>
                <c:pt idx="37">
                  <c:v>83</c:v>
                </c:pt>
                <c:pt idx="38">
                  <c:v>80.599999999999994</c:v>
                </c:pt>
                <c:pt idx="39">
                  <c:v>82.47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4E-49F3-B4B9-78CD4DA1243D}"/>
            </c:ext>
          </c:extLst>
        </c:ser>
        <c:ser>
          <c:idx val="3"/>
          <c:order val="3"/>
          <c:tx>
            <c:strRef>
              <c:f>'výkonnost odvětví 2'!$A$39</c:f>
              <c:strCache>
                <c:ptCount val="1"/>
                <c:pt idx="0">
                  <c:v>Využití výrob. kapacit v automobil. prům.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'výkonnost odvětví 2'!$R$34:$BE$35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2'!$R$39:$BE$39</c:f>
              <c:numCache>
                <c:formatCode>##0.0</c:formatCode>
                <c:ptCount val="40"/>
                <c:pt idx="0">
                  <c:v>91.4</c:v>
                </c:pt>
                <c:pt idx="1">
                  <c:v>91.4</c:v>
                </c:pt>
                <c:pt idx="2">
                  <c:v>91.5</c:v>
                </c:pt>
                <c:pt idx="3">
                  <c:v>88.8</c:v>
                </c:pt>
                <c:pt idx="4">
                  <c:v>90.2</c:v>
                </c:pt>
                <c:pt idx="5">
                  <c:v>91.8</c:v>
                </c:pt>
                <c:pt idx="6">
                  <c:v>92.2</c:v>
                </c:pt>
                <c:pt idx="7">
                  <c:v>91.5</c:v>
                </c:pt>
                <c:pt idx="8">
                  <c:v>92.4</c:v>
                </c:pt>
                <c:pt idx="9">
                  <c:v>87.9</c:v>
                </c:pt>
                <c:pt idx="10">
                  <c:v>90.8</c:v>
                </c:pt>
                <c:pt idx="11">
                  <c:v>90.5</c:v>
                </c:pt>
                <c:pt idx="12">
                  <c:v>91.4</c:v>
                </c:pt>
                <c:pt idx="13">
                  <c:v>91.3</c:v>
                </c:pt>
                <c:pt idx="14">
                  <c:v>92.9</c:v>
                </c:pt>
                <c:pt idx="15">
                  <c:v>92.5</c:v>
                </c:pt>
                <c:pt idx="16">
                  <c:v>92.9</c:v>
                </c:pt>
                <c:pt idx="17">
                  <c:v>92.7</c:v>
                </c:pt>
                <c:pt idx="18">
                  <c:v>92.8</c:v>
                </c:pt>
                <c:pt idx="19">
                  <c:v>93</c:v>
                </c:pt>
                <c:pt idx="20">
                  <c:v>90.6</c:v>
                </c:pt>
                <c:pt idx="21">
                  <c:v>45</c:v>
                </c:pt>
                <c:pt idx="22">
                  <c:v>79.099999999999994</c:v>
                </c:pt>
                <c:pt idx="23">
                  <c:v>96.9</c:v>
                </c:pt>
                <c:pt idx="24">
                  <c:v>94.9</c:v>
                </c:pt>
                <c:pt idx="25">
                  <c:v>89.6</c:v>
                </c:pt>
                <c:pt idx="26">
                  <c:v>95.3</c:v>
                </c:pt>
                <c:pt idx="27">
                  <c:v>55.8</c:v>
                </c:pt>
                <c:pt idx="28">
                  <c:v>84.5</c:v>
                </c:pt>
                <c:pt idx="29">
                  <c:v>76.7</c:v>
                </c:pt>
                <c:pt idx="30">
                  <c:v>79</c:v>
                </c:pt>
                <c:pt idx="31">
                  <c:v>74.099999999999994</c:v>
                </c:pt>
                <c:pt idx="32">
                  <c:v>79.400000000000006</c:v>
                </c:pt>
                <c:pt idx="33">
                  <c:v>92.7</c:v>
                </c:pt>
                <c:pt idx="34">
                  <c:v>92.2</c:v>
                </c:pt>
                <c:pt idx="35">
                  <c:v>92.2</c:v>
                </c:pt>
                <c:pt idx="36">
                  <c:v>92.7</c:v>
                </c:pt>
                <c:pt idx="37">
                  <c:v>93.5</c:v>
                </c:pt>
                <c:pt idx="38">
                  <c:v>89.9</c:v>
                </c:pt>
                <c:pt idx="39">
                  <c:v>92.9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74E-49F3-B4B9-78CD4DA1243D}"/>
            </c:ext>
          </c:extLst>
        </c:ser>
        <c:ser>
          <c:idx val="4"/>
          <c:order val="4"/>
          <c:tx>
            <c:strRef>
              <c:f>'výkonnost odvětví 2'!$A$40</c:f>
              <c:strCache>
                <c:ptCount val="1"/>
                <c:pt idx="0">
                  <c:v>Bariéra růstu: nedostatečná poptávka</c:v>
                </c:pt>
              </c:strCache>
            </c:strRef>
          </c:tx>
          <c:spPr>
            <a:ln w="15875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2'!$R$34:$BE$35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2'!$R$40:$BE$40</c:f>
              <c:numCache>
                <c:formatCode>#\ ##0.0</c:formatCode>
                <c:ptCount val="40"/>
                <c:pt idx="0">
                  <c:v>45.3</c:v>
                </c:pt>
                <c:pt idx="1">
                  <c:v>49.6</c:v>
                </c:pt>
                <c:pt idx="2">
                  <c:v>49.7</c:v>
                </c:pt>
                <c:pt idx="3">
                  <c:v>46.4</c:v>
                </c:pt>
                <c:pt idx="4">
                  <c:v>45.9</c:v>
                </c:pt>
                <c:pt idx="5">
                  <c:v>44.6</c:v>
                </c:pt>
                <c:pt idx="6">
                  <c:v>43.8</c:v>
                </c:pt>
                <c:pt idx="7">
                  <c:v>42.9</c:v>
                </c:pt>
                <c:pt idx="8">
                  <c:v>42.7</c:v>
                </c:pt>
                <c:pt idx="9">
                  <c:v>41</c:v>
                </c:pt>
                <c:pt idx="10">
                  <c:v>41.2</c:v>
                </c:pt>
                <c:pt idx="11">
                  <c:v>35.799999999999997</c:v>
                </c:pt>
                <c:pt idx="12">
                  <c:v>35.4</c:v>
                </c:pt>
                <c:pt idx="13">
                  <c:v>36.299999999999997</c:v>
                </c:pt>
                <c:pt idx="14">
                  <c:v>32.4</c:v>
                </c:pt>
                <c:pt idx="15">
                  <c:v>32.9</c:v>
                </c:pt>
                <c:pt idx="16">
                  <c:v>33.799999999999997</c:v>
                </c:pt>
                <c:pt idx="17">
                  <c:v>36.200000000000003</c:v>
                </c:pt>
                <c:pt idx="18">
                  <c:v>41</c:v>
                </c:pt>
                <c:pt idx="19">
                  <c:v>47.1</c:v>
                </c:pt>
                <c:pt idx="20">
                  <c:v>49.8</c:v>
                </c:pt>
                <c:pt idx="21">
                  <c:v>58.8</c:v>
                </c:pt>
                <c:pt idx="22">
                  <c:v>63</c:v>
                </c:pt>
                <c:pt idx="23">
                  <c:v>44.4</c:v>
                </c:pt>
                <c:pt idx="24">
                  <c:v>46.9</c:v>
                </c:pt>
                <c:pt idx="25">
                  <c:v>38.700000000000003</c:v>
                </c:pt>
                <c:pt idx="26">
                  <c:v>25.4</c:v>
                </c:pt>
                <c:pt idx="27">
                  <c:v>27.9</c:v>
                </c:pt>
                <c:pt idx="28">
                  <c:v>29.9</c:v>
                </c:pt>
                <c:pt idx="29">
                  <c:v>21.3</c:v>
                </c:pt>
                <c:pt idx="30">
                  <c:v>18.7</c:v>
                </c:pt>
                <c:pt idx="31">
                  <c:v>29.4</c:v>
                </c:pt>
                <c:pt idx="32">
                  <c:v>42.5</c:v>
                </c:pt>
                <c:pt idx="33">
                  <c:v>42</c:v>
                </c:pt>
                <c:pt idx="34">
                  <c:v>44.3</c:v>
                </c:pt>
                <c:pt idx="35">
                  <c:v>46.2</c:v>
                </c:pt>
                <c:pt idx="36">
                  <c:v>47.5</c:v>
                </c:pt>
                <c:pt idx="37">
                  <c:v>49.8</c:v>
                </c:pt>
                <c:pt idx="38">
                  <c:v>52</c:v>
                </c:pt>
                <c:pt idx="39">
                  <c:v>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74E-49F3-B4B9-78CD4DA1243D}"/>
            </c:ext>
          </c:extLst>
        </c:ser>
        <c:ser>
          <c:idx val="5"/>
          <c:order val="5"/>
          <c:tx>
            <c:strRef>
              <c:f>'výkonnost odvětví 2'!$A$41</c:f>
              <c:strCache>
                <c:ptCount val="1"/>
                <c:pt idx="0">
                  <c:v>Bariéra růstu: nedostatek pracovníků</c:v>
                </c:pt>
              </c:strCache>
            </c:strRef>
          </c:tx>
          <c:spPr>
            <a:ln w="15875">
              <a:solidFill>
                <a:srgbClr val="6FE772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2'!$R$34:$BE$35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2'!$R$41:$BE$41</c:f>
              <c:numCache>
                <c:formatCode>#\ ##0.0</c:formatCode>
                <c:ptCount val="40"/>
                <c:pt idx="0">
                  <c:v>6.1</c:v>
                </c:pt>
                <c:pt idx="1">
                  <c:v>6.9</c:v>
                </c:pt>
                <c:pt idx="2">
                  <c:v>8.6999999999999993</c:v>
                </c:pt>
                <c:pt idx="3">
                  <c:v>14</c:v>
                </c:pt>
                <c:pt idx="4">
                  <c:v>14.8</c:v>
                </c:pt>
                <c:pt idx="5">
                  <c:v>16.5</c:v>
                </c:pt>
                <c:pt idx="6">
                  <c:v>18.899999999999999</c:v>
                </c:pt>
                <c:pt idx="7">
                  <c:v>30.1</c:v>
                </c:pt>
                <c:pt idx="8">
                  <c:v>32.700000000000003</c:v>
                </c:pt>
                <c:pt idx="9">
                  <c:v>33.5</c:v>
                </c:pt>
                <c:pt idx="10">
                  <c:v>40.5</c:v>
                </c:pt>
                <c:pt idx="11">
                  <c:v>38.700000000000003</c:v>
                </c:pt>
                <c:pt idx="12">
                  <c:v>43.5</c:v>
                </c:pt>
                <c:pt idx="13">
                  <c:v>42.3</c:v>
                </c:pt>
                <c:pt idx="14">
                  <c:v>43.2</c:v>
                </c:pt>
                <c:pt idx="15">
                  <c:v>46.3</c:v>
                </c:pt>
                <c:pt idx="16">
                  <c:v>39</c:v>
                </c:pt>
                <c:pt idx="17">
                  <c:v>35.1</c:v>
                </c:pt>
                <c:pt idx="18">
                  <c:v>40.200000000000003</c:v>
                </c:pt>
                <c:pt idx="19">
                  <c:v>39.200000000000003</c:v>
                </c:pt>
                <c:pt idx="20">
                  <c:v>27.7</c:v>
                </c:pt>
                <c:pt idx="21">
                  <c:v>13.5</c:v>
                </c:pt>
                <c:pt idx="22">
                  <c:v>16.7</c:v>
                </c:pt>
                <c:pt idx="23">
                  <c:v>17.600000000000001</c:v>
                </c:pt>
                <c:pt idx="24">
                  <c:v>22</c:v>
                </c:pt>
                <c:pt idx="25">
                  <c:v>18.399999999999999</c:v>
                </c:pt>
                <c:pt idx="26">
                  <c:v>27.6</c:v>
                </c:pt>
                <c:pt idx="27">
                  <c:v>22.6</c:v>
                </c:pt>
                <c:pt idx="28">
                  <c:v>24.9</c:v>
                </c:pt>
                <c:pt idx="29">
                  <c:v>18.600000000000001</c:v>
                </c:pt>
                <c:pt idx="30">
                  <c:v>26.1</c:v>
                </c:pt>
                <c:pt idx="31">
                  <c:v>24.9</c:v>
                </c:pt>
                <c:pt idx="32">
                  <c:v>16.600000000000001</c:v>
                </c:pt>
                <c:pt idx="33">
                  <c:v>20.6</c:v>
                </c:pt>
                <c:pt idx="34">
                  <c:v>18.899999999999999</c:v>
                </c:pt>
                <c:pt idx="35">
                  <c:v>22.5</c:v>
                </c:pt>
                <c:pt idx="36">
                  <c:v>14.6</c:v>
                </c:pt>
                <c:pt idx="37">
                  <c:v>11.8</c:v>
                </c:pt>
                <c:pt idx="38">
                  <c:v>12.8</c:v>
                </c:pt>
                <c:pt idx="39">
                  <c:v>17.8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74E-49F3-B4B9-78CD4DA1243D}"/>
            </c:ext>
          </c:extLst>
        </c:ser>
        <c:ser>
          <c:idx val="6"/>
          <c:order val="6"/>
          <c:tx>
            <c:strRef>
              <c:f>'výkonnost odvětví 2'!$A$42</c:f>
              <c:strCache>
                <c:ptCount val="1"/>
                <c:pt idx="0">
                  <c:v>Bariéra růstu: nedost. materiálu a zařízení</c:v>
                </c:pt>
              </c:strCache>
            </c:strRef>
          </c:tx>
          <c:spPr>
            <a:ln w="15875">
              <a:solidFill>
                <a:schemeClr val="accent3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multiLvlStrRef>
              <c:f>'výkonnost odvětví 2'!$R$34:$BE$35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2'!$R$42:$BE$42</c:f>
              <c:numCache>
                <c:formatCode>#\ ##0.0</c:formatCode>
                <c:ptCount val="40"/>
                <c:pt idx="0">
                  <c:v>5.9</c:v>
                </c:pt>
                <c:pt idx="1">
                  <c:v>11.3</c:v>
                </c:pt>
                <c:pt idx="2">
                  <c:v>10</c:v>
                </c:pt>
                <c:pt idx="3">
                  <c:v>9.9</c:v>
                </c:pt>
                <c:pt idx="4">
                  <c:v>8.9</c:v>
                </c:pt>
                <c:pt idx="5">
                  <c:v>7.7</c:v>
                </c:pt>
                <c:pt idx="6">
                  <c:v>8.9</c:v>
                </c:pt>
                <c:pt idx="7">
                  <c:v>8.5</c:v>
                </c:pt>
                <c:pt idx="8">
                  <c:v>8.8000000000000007</c:v>
                </c:pt>
                <c:pt idx="9">
                  <c:v>8.3000000000000007</c:v>
                </c:pt>
                <c:pt idx="10">
                  <c:v>10.9</c:v>
                </c:pt>
                <c:pt idx="11">
                  <c:v>22.7</c:v>
                </c:pt>
                <c:pt idx="12">
                  <c:v>11.9</c:v>
                </c:pt>
                <c:pt idx="13">
                  <c:v>11.7</c:v>
                </c:pt>
                <c:pt idx="14">
                  <c:v>13.9</c:v>
                </c:pt>
                <c:pt idx="15">
                  <c:v>23.5</c:v>
                </c:pt>
                <c:pt idx="16">
                  <c:v>26.4</c:v>
                </c:pt>
                <c:pt idx="17">
                  <c:v>24.7</c:v>
                </c:pt>
                <c:pt idx="18">
                  <c:v>22</c:v>
                </c:pt>
                <c:pt idx="19">
                  <c:v>10.5</c:v>
                </c:pt>
                <c:pt idx="20">
                  <c:v>17.899999999999999</c:v>
                </c:pt>
                <c:pt idx="21">
                  <c:v>10.199999999999999</c:v>
                </c:pt>
                <c:pt idx="22">
                  <c:v>6.7</c:v>
                </c:pt>
                <c:pt idx="23">
                  <c:v>10.9</c:v>
                </c:pt>
                <c:pt idx="24">
                  <c:v>23.1</c:v>
                </c:pt>
                <c:pt idx="25">
                  <c:v>32.1</c:v>
                </c:pt>
                <c:pt idx="26">
                  <c:v>45.9</c:v>
                </c:pt>
                <c:pt idx="27">
                  <c:v>41.2</c:v>
                </c:pt>
                <c:pt idx="28">
                  <c:v>39.299999999999997</c:v>
                </c:pt>
                <c:pt idx="29">
                  <c:v>47.8</c:v>
                </c:pt>
                <c:pt idx="30">
                  <c:v>53.4</c:v>
                </c:pt>
                <c:pt idx="31">
                  <c:v>46.4</c:v>
                </c:pt>
                <c:pt idx="32">
                  <c:v>37.4</c:v>
                </c:pt>
                <c:pt idx="33">
                  <c:v>32.5</c:v>
                </c:pt>
                <c:pt idx="34">
                  <c:v>20.6</c:v>
                </c:pt>
                <c:pt idx="35">
                  <c:v>17.100000000000001</c:v>
                </c:pt>
                <c:pt idx="36">
                  <c:v>32.700000000000003</c:v>
                </c:pt>
                <c:pt idx="37">
                  <c:v>28.1</c:v>
                </c:pt>
                <c:pt idx="38">
                  <c:v>13</c:v>
                </c:pt>
                <c:pt idx="39">
                  <c:v>24.7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74E-49F3-B4B9-78CD4DA1243D}"/>
            </c:ext>
          </c:extLst>
        </c:ser>
        <c:ser>
          <c:idx val="7"/>
          <c:order val="7"/>
          <c:tx>
            <c:strRef>
              <c:f>'výkonnost odvětví 2'!$A$43</c:f>
              <c:strCache>
                <c:ptCount val="1"/>
                <c:pt idx="0">
                  <c:v>Saldo souhrn. indik. důvěry v průmyslu</c:v>
                </c:pt>
              </c:strCache>
            </c:strRef>
          </c:tx>
          <c:spPr>
            <a:ln w="15875">
              <a:solidFill>
                <a:schemeClr val="bg1">
                  <a:lumMod val="65000"/>
                </a:schemeClr>
              </a:solidFill>
              <a:prstDash val="sysDot"/>
            </a:ln>
          </c:spPr>
          <c:marker>
            <c:symbol val="circle"/>
            <c:size val="5"/>
            <c:spPr>
              <a:solidFill>
                <a:srgbClr val="FFFF00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cat>
            <c:multiLvlStrRef>
              <c:f>'výkonnost odvětví 2'!$R$34:$BE$35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2'!$R$43:$BE$43</c:f>
              <c:numCache>
                <c:formatCode>#\ ##0.0</c:formatCode>
                <c:ptCount val="40"/>
                <c:pt idx="0">
                  <c:v>2.2999999999999998</c:v>
                </c:pt>
                <c:pt idx="1">
                  <c:v>3.3</c:v>
                </c:pt>
                <c:pt idx="2">
                  <c:v>3</c:v>
                </c:pt>
                <c:pt idx="3">
                  <c:v>1</c:v>
                </c:pt>
                <c:pt idx="4">
                  <c:v>3.7</c:v>
                </c:pt>
                <c:pt idx="5">
                  <c:v>2.7</c:v>
                </c:pt>
                <c:pt idx="6">
                  <c:v>5</c:v>
                </c:pt>
                <c:pt idx="7">
                  <c:v>6.3</c:v>
                </c:pt>
                <c:pt idx="8">
                  <c:v>3.7</c:v>
                </c:pt>
                <c:pt idx="9">
                  <c:v>0.5</c:v>
                </c:pt>
                <c:pt idx="10">
                  <c:v>4</c:v>
                </c:pt>
                <c:pt idx="11">
                  <c:v>4.7</c:v>
                </c:pt>
                <c:pt idx="12">
                  <c:v>3.7</c:v>
                </c:pt>
                <c:pt idx="13">
                  <c:v>2</c:v>
                </c:pt>
                <c:pt idx="14">
                  <c:v>2.2999999999999998</c:v>
                </c:pt>
                <c:pt idx="15">
                  <c:v>2.2999999999999998</c:v>
                </c:pt>
                <c:pt idx="16">
                  <c:v>0.3</c:v>
                </c:pt>
                <c:pt idx="17">
                  <c:v>-2</c:v>
                </c:pt>
                <c:pt idx="18">
                  <c:v>-3</c:v>
                </c:pt>
                <c:pt idx="19">
                  <c:v>-6.7</c:v>
                </c:pt>
                <c:pt idx="20">
                  <c:v>-5</c:v>
                </c:pt>
                <c:pt idx="21">
                  <c:v>-25</c:v>
                </c:pt>
                <c:pt idx="22">
                  <c:v>-6.3</c:v>
                </c:pt>
                <c:pt idx="23">
                  <c:v>-10</c:v>
                </c:pt>
                <c:pt idx="24">
                  <c:v>-1.3</c:v>
                </c:pt>
                <c:pt idx="25">
                  <c:v>5.3</c:v>
                </c:pt>
                <c:pt idx="26">
                  <c:v>-1.3</c:v>
                </c:pt>
                <c:pt idx="27">
                  <c:v>-5.3</c:v>
                </c:pt>
                <c:pt idx="28">
                  <c:v>-0.3</c:v>
                </c:pt>
                <c:pt idx="29">
                  <c:v>8.3000000000000007</c:v>
                </c:pt>
                <c:pt idx="30">
                  <c:v>-1.7</c:v>
                </c:pt>
                <c:pt idx="31">
                  <c:v>-8.3000000000000007</c:v>
                </c:pt>
                <c:pt idx="32">
                  <c:v>-10.1</c:v>
                </c:pt>
                <c:pt idx="33">
                  <c:v>-7</c:v>
                </c:pt>
                <c:pt idx="34">
                  <c:v>-7</c:v>
                </c:pt>
                <c:pt idx="35">
                  <c:v>-6</c:v>
                </c:pt>
                <c:pt idx="36">
                  <c:v>-14</c:v>
                </c:pt>
                <c:pt idx="37">
                  <c:v>-8.6999999999999993</c:v>
                </c:pt>
                <c:pt idx="38">
                  <c:v>-7.7</c:v>
                </c:pt>
                <c:pt idx="39">
                  <c:v>-8.3000000000000007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74E-49F3-B4B9-78CD4DA12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9819375"/>
        <c:axId val="1239826863"/>
      </c:lineChart>
      <c:catAx>
        <c:axId val="11276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crossAx val="112769664"/>
        <c:crosses val="autoZero"/>
        <c:auto val="1"/>
        <c:lblAlgn val="ctr"/>
        <c:lblOffset val="0"/>
        <c:noMultiLvlLbl val="0"/>
      </c:catAx>
      <c:valAx>
        <c:axId val="112769664"/>
        <c:scaling>
          <c:orientation val="minMax"/>
          <c:max val="90"/>
          <c:min val="-40"/>
        </c:scaling>
        <c:delete val="0"/>
        <c:axPos val="l"/>
        <c:majorGridlines>
          <c:spPr>
            <a:ln>
              <a:solidFill>
                <a:srgbClr val="BEBEBE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Zakázky</a:t>
                </a:r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crossAx val="112768128"/>
        <c:crosses val="autoZero"/>
        <c:crossBetween val="between"/>
        <c:majorUnit val="10"/>
      </c:valAx>
      <c:valAx>
        <c:axId val="1239826863"/>
        <c:scaling>
          <c:orientation val="minMax"/>
          <c:max val="100"/>
          <c:min val="-30"/>
        </c:scaling>
        <c:delete val="0"/>
        <c:axPos val="r"/>
        <c:title>
          <c:tx>
            <c:rich>
              <a:bodyPr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700" b="0" i="1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700" b="0" i="1"/>
                  <a:t>Využití výrob.</a:t>
                </a:r>
                <a:r>
                  <a:rPr lang="cs-CZ" sz="700" b="0" i="1" baseline="0"/>
                  <a:t> </a:t>
                </a:r>
                <a:r>
                  <a:rPr lang="cs-CZ" sz="700" b="0" i="1"/>
                  <a:t>kapacit, bariéry růstu, </a:t>
                </a:r>
                <a:r>
                  <a:rPr lang="cs-CZ" sz="700" b="0" i="1" baseline="0">
                    <a:effectLst/>
                  </a:rPr>
                  <a:t>saldo důvěry</a:t>
                </a:r>
                <a:endParaRPr lang="cs-CZ" sz="700" i="1">
                  <a:effectLst/>
                </a:endParaRPr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1239819375"/>
        <c:crosses val="max"/>
        <c:crossBetween val="between"/>
        <c:majorUnit val="10"/>
      </c:valAx>
      <c:catAx>
        <c:axId val="123981937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39826863"/>
        <c:crosses val="autoZero"/>
        <c:auto val="1"/>
        <c:lblAlgn val="ctr"/>
        <c:lblOffset val="100"/>
        <c:noMultiLvlLbl val="0"/>
      </c:catAx>
      <c:spPr>
        <a:noFill/>
        <a:ln w="6350">
          <a:solidFill>
            <a:prstClr val="black">
              <a:lumMod val="95000"/>
              <a:lumOff val="5000"/>
            </a:prstClr>
          </a:solidFill>
        </a:ln>
      </c:spPr>
    </c:plotArea>
    <c:legend>
      <c:legendPos val="r"/>
      <c:layout>
        <c:manualLayout>
          <c:xMode val="edge"/>
          <c:yMode val="edge"/>
          <c:x val="5.0624233317307999E-3"/>
          <c:y val="0.85586448957034"/>
          <c:w val="0.98943298357870768"/>
          <c:h val="0.14063307954958187"/>
        </c:manualLayout>
      </c:layout>
      <c:overlay val="0"/>
      <c:spPr>
        <a:ln w="6350">
          <a:solidFill>
            <a:prstClr val="black">
              <a:lumMod val="95000"/>
              <a:lumOff val="5000"/>
            </a:prstClr>
          </a:solidFill>
        </a:ln>
      </c:spPr>
      <c:txPr>
        <a:bodyPr/>
        <a:lstStyle/>
        <a:p>
          <a:pPr>
            <a:defRPr sz="78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695346289980312E-2"/>
          <c:y val="1.5663550999370279E-2"/>
          <c:w val="0.85237839893753009"/>
          <c:h val="0.75413191483370345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'výkonnost odvětví 3'!$Y$10</c:f>
              <c:strCache>
                <c:ptCount val="1"/>
                <c:pt idx="0">
                  <c:v>Pozemní stavitelství (příspěvek v p. b.)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</c:spPr>
          <c:invertIfNegative val="0"/>
          <c:cat>
            <c:multiLvlStrRef>
              <c:f>'výkonnost odvětví 3'!$V$31:$W$70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3'!$Y$31:$Y$70</c:f>
              <c:numCache>
                <c:formatCode>0.0</c:formatCode>
                <c:ptCount val="40"/>
                <c:pt idx="0">
                  <c:v>5.748716579411445</c:v>
                </c:pt>
                <c:pt idx="1">
                  <c:v>4.7489923277143378</c:v>
                </c:pt>
                <c:pt idx="2">
                  <c:v>0.72860376801438353</c:v>
                </c:pt>
                <c:pt idx="3">
                  <c:v>-1.5997494872130962</c:v>
                </c:pt>
                <c:pt idx="4">
                  <c:v>-4.5800585311347017</c:v>
                </c:pt>
                <c:pt idx="5">
                  <c:v>-4.8364432126044203</c:v>
                </c:pt>
                <c:pt idx="6">
                  <c:v>0.7673453632215238</c:v>
                </c:pt>
                <c:pt idx="7">
                  <c:v>3.5913890122868475</c:v>
                </c:pt>
                <c:pt idx="8">
                  <c:v>1.818439140996319</c:v>
                </c:pt>
                <c:pt idx="9">
                  <c:v>9.5161866462127662</c:v>
                </c:pt>
                <c:pt idx="10">
                  <c:v>3.2650480956647083</c:v>
                </c:pt>
                <c:pt idx="11">
                  <c:v>2.30805126241866</c:v>
                </c:pt>
                <c:pt idx="12">
                  <c:v>13.039459362857237</c:v>
                </c:pt>
                <c:pt idx="13">
                  <c:v>5.6850806062932753</c:v>
                </c:pt>
                <c:pt idx="14">
                  <c:v>7.036028465591686</c:v>
                </c:pt>
                <c:pt idx="15">
                  <c:v>2.3869078764089537</c:v>
                </c:pt>
                <c:pt idx="16">
                  <c:v>2.4727635166988868</c:v>
                </c:pt>
                <c:pt idx="17">
                  <c:v>2.9341574628565144</c:v>
                </c:pt>
                <c:pt idx="18">
                  <c:v>-0.67535503037810629</c:v>
                </c:pt>
                <c:pt idx="19">
                  <c:v>1.7116954805541678</c:v>
                </c:pt>
                <c:pt idx="20">
                  <c:v>-0.69584807703082285</c:v>
                </c:pt>
                <c:pt idx="21">
                  <c:v>-7.7523651483361782</c:v>
                </c:pt>
                <c:pt idx="22">
                  <c:v>-7.0746219815718145</c:v>
                </c:pt>
                <c:pt idx="23">
                  <c:v>-7.7412314636348389</c:v>
                </c:pt>
                <c:pt idx="24">
                  <c:v>-5.0708138922486361</c:v>
                </c:pt>
                <c:pt idx="25">
                  <c:v>2.4533429519933425</c:v>
                </c:pt>
                <c:pt idx="26">
                  <c:v>2.7122244604870871</c:v>
                </c:pt>
                <c:pt idx="27">
                  <c:v>5.3785151221536101</c:v>
                </c:pt>
                <c:pt idx="28">
                  <c:v>7.24446951670825</c:v>
                </c:pt>
                <c:pt idx="29">
                  <c:v>3.5218774348747592</c:v>
                </c:pt>
                <c:pt idx="30">
                  <c:v>-0.76173313005859078</c:v>
                </c:pt>
                <c:pt idx="31">
                  <c:v>-1.4303059576385138</c:v>
                </c:pt>
                <c:pt idx="32">
                  <c:v>2.0687809684072285</c:v>
                </c:pt>
                <c:pt idx="33">
                  <c:v>-1.7743988802556427</c:v>
                </c:pt>
                <c:pt idx="34">
                  <c:v>-0.43305336366149788</c:v>
                </c:pt>
                <c:pt idx="35">
                  <c:v>-2.3489672058084188</c:v>
                </c:pt>
                <c:pt idx="36">
                  <c:v>-5.5265299908848542</c:v>
                </c:pt>
                <c:pt idx="37">
                  <c:v>-4.6330648448602085</c:v>
                </c:pt>
                <c:pt idx="38">
                  <c:v>-3.0735011447209257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F0-44CD-AB0C-0133C0D40953}"/>
            </c:ext>
          </c:extLst>
        </c:ser>
        <c:ser>
          <c:idx val="2"/>
          <c:order val="2"/>
          <c:tx>
            <c:strRef>
              <c:f>'výkonnost odvětví 3'!$Z$10</c:f>
              <c:strCache>
                <c:ptCount val="1"/>
                <c:pt idx="0">
                  <c:v>Inženýrské stavitelství (příspěvek v p. b.)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</c:spPr>
          <c:invertIfNegative val="0"/>
          <c:cat>
            <c:multiLvlStrRef>
              <c:f>'výkonnost odvětví 3'!$V$31:$W$70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3'!$Z$31:$Z$70</c:f>
              <c:numCache>
                <c:formatCode>0.0</c:formatCode>
                <c:ptCount val="40"/>
                <c:pt idx="0">
                  <c:v>3.8654453061663498</c:v>
                </c:pt>
                <c:pt idx="1">
                  <c:v>8.4074328223660437</c:v>
                </c:pt>
                <c:pt idx="2">
                  <c:v>8.536513170572011</c:v>
                </c:pt>
                <c:pt idx="3">
                  <c:v>3.3830353457973681</c:v>
                </c:pt>
                <c:pt idx="4">
                  <c:v>-1.4655710356774887</c:v>
                </c:pt>
                <c:pt idx="5">
                  <c:v>-6.4494987337786789</c:v>
                </c:pt>
                <c:pt idx="6">
                  <c:v>-8.0288007564184198</c:v>
                </c:pt>
                <c:pt idx="7">
                  <c:v>-6.8710829128275535</c:v>
                </c:pt>
                <c:pt idx="8">
                  <c:v>-4.1473356084740605</c:v>
                </c:pt>
                <c:pt idx="9">
                  <c:v>-1.1362269417632547</c:v>
                </c:pt>
                <c:pt idx="10">
                  <c:v>-1.6997694917449739</c:v>
                </c:pt>
                <c:pt idx="11">
                  <c:v>0.18912136047288933</c:v>
                </c:pt>
                <c:pt idx="12">
                  <c:v>2.313855161184069</c:v>
                </c:pt>
                <c:pt idx="13">
                  <c:v>1.4433818342413158</c:v>
                </c:pt>
                <c:pt idx="14">
                  <c:v>5.805340800033207</c:v>
                </c:pt>
                <c:pt idx="15">
                  <c:v>2.0257219814852485</c:v>
                </c:pt>
                <c:pt idx="16">
                  <c:v>2.8832113797347176</c:v>
                </c:pt>
                <c:pt idx="17">
                  <c:v>2.2916559515195796</c:v>
                </c:pt>
                <c:pt idx="18">
                  <c:v>0.1275103650053056</c:v>
                </c:pt>
                <c:pt idx="19">
                  <c:v>0.80716183036284428</c:v>
                </c:pt>
                <c:pt idx="20">
                  <c:v>2.6239699221333534</c:v>
                </c:pt>
                <c:pt idx="21">
                  <c:v>0.26317252359280197</c:v>
                </c:pt>
                <c:pt idx="22">
                  <c:v>-3.3347591135837273</c:v>
                </c:pt>
                <c:pt idx="23">
                  <c:v>-0.42839192125115316</c:v>
                </c:pt>
                <c:pt idx="24">
                  <c:v>-0.39474274321390451</c:v>
                </c:pt>
                <c:pt idx="25">
                  <c:v>1.8613572990046166</c:v>
                </c:pt>
                <c:pt idx="26">
                  <c:v>0.51981002260707732</c:v>
                </c:pt>
                <c:pt idx="27">
                  <c:v>-1.0553043513883114</c:v>
                </c:pt>
                <c:pt idx="28">
                  <c:v>5.3557919409596391</c:v>
                </c:pt>
                <c:pt idx="29">
                  <c:v>1.3481730044316667</c:v>
                </c:pt>
                <c:pt idx="30">
                  <c:v>0.66748987084715738</c:v>
                </c:pt>
                <c:pt idx="31">
                  <c:v>1.4174565925736915</c:v>
                </c:pt>
                <c:pt idx="32">
                  <c:v>-3.8407582121025858</c:v>
                </c:pt>
                <c:pt idx="33">
                  <c:v>-2.3666951116174544</c:v>
                </c:pt>
                <c:pt idx="34">
                  <c:v>-0.13398953982138251</c:v>
                </c:pt>
                <c:pt idx="35">
                  <c:v>-0.5641778818570039</c:v>
                </c:pt>
                <c:pt idx="36">
                  <c:v>1.2295949097773025</c:v>
                </c:pt>
                <c:pt idx="37">
                  <c:v>-1.4034637178606486</c:v>
                </c:pt>
                <c:pt idx="38">
                  <c:v>0.29530873552236109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F0-44CD-AB0C-0133C0D409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112768128"/>
        <c:axId val="112769664"/>
      </c:barChart>
      <c:lineChart>
        <c:grouping val="standard"/>
        <c:varyColors val="0"/>
        <c:ser>
          <c:idx val="0"/>
          <c:order val="0"/>
          <c:tx>
            <c:strRef>
              <c:f>'výkonnost odvětví 3'!$X$10</c:f>
              <c:strCache>
                <c:ptCount val="1"/>
                <c:pt idx="0">
                  <c:v>Celková stavební produkce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5"/>
            <c:spPr>
              <a:solidFill>
                <a:schemeClr val="bg1"/>
              </a:solidFill>
              <a:ln>
                <a:solidFill>
                  <a:schemeClr val="tx1">
                    <a:lumMod val="95000"/>
                    <a:lumOff val="5000"/>
                  </a:schemeClr>
                </a:solidFill>
              </a:ln>
            </c:spPr>
          </c:marker>
          <c:cat>
            <c:multiLvlStrRef>
              <c:f>'výkonnost odvětví 3'!$V$31:$W$70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3'!$X$31:$X$70</c:f>
              <c:numCache>
                <c:formatCode>0.0</c:formatCode>
                <c:ptCount val="40"/>
                <c:pt idx="0">
                  <c:v>9.6141618855778006</c:v>
                </c:pt>
                <c:pt idx="1">
                  <c:v>13.156425150080381</c:v>
                </c:pt>
                <c:pt idx="2">
                  <c:v>9.2651169385864023</c:v>
                </c:pt>
                <c:pt idx="3">
                  <c:v>1.7832858585842644</c:v>
                </c:pt>
                <c:pt idx="4">
                  <c:v>-6.0456295668121669</c:v>
                </c:pt>
                <c:pt idx="5">
                  <c:v>-11.28594194638309</c:v>
                </c:pt>
                <c:pt idx="6">
                  <c:v>-7.2614553931968828</c:v>
                </c:pt>
                <c:pt idx="7">
                  <c:v>-3.2796939005406927</c:v>
                </c:pt>
                <c:pt idx="8">
                  <c:v>-2.3288964674777475</c:v>
                </c:pt>
                <c:pt idx="9">
                  <c:v>8.3799597044495187</c:v>
                </c:pt>
                <c:pt idx="10">
                  <c:v>1.5652786039197224</c:v>
                </c:pt>
                <c:pt idx="11">
                  <c:v>2.4971726228915543</c:v>
                </c:pt>
                <c:pt idx="12">
                  <c:v>15.353314524041295</c:v>
                </c:pt>
                <c:pt idx="13">
                  <c:v>7.1284624405345767</c:v>
                </c:pt>
                <c:pt idx="14">
                  <c:v>12.84136926562492</c:v>
                </c:pt>
                <c:pt idx="15">
                  <c:v>4.4126298578941885</c:v>
                </c:pt>
                <c:pt idx="16">
                  <c:v>5.355974896433608</c:v>
                </c:pt>
                <c:pt idx="17">
                  <c:v>5.2258134143760913</c:v>
                </c:pt>
                <c:pt idx="18">
                  <c:v>-0.54784466537279286</c:v>
                </c:pt>
                <c:pt idx="19">
                  <c:v>2.5188573109170278</c:v>
                </c:pt>
                <c:pt idx="20">
                  <c:v>1.9281218451025097</c:v>
                </c:pt>
                <c:pt idx="21">
                  <c:v>-7.4891926247433531</c:v>
                </c:pt>
                <c:pt idx="22">
                  <c:v>-10.409381095155553</c:v>
                </c:pt>
                <c:pt idx="23">
                  <c:v>-8.1696233848860089</c:v>
                </c:pt>
                <c:pt idx="24">
                  <c:v>-5.4685206544410931</c:v>
                </c:pt>
                <c:pt idx="25">
                  <c:v>4.3114295832891116</c:v>
                </c:pt>
                <c:pt idx="26">
                  <c:v>3.2287977611279501</c:v>
                </c:pt>
                <c:pt idx="27">
                  <c:v>4.3199398362188788</c:v>
                </c:pt>
                <c:pt idx="28">
                  <c:v>12.600261457667926</c:v>
                </c:pt>
                <c:pt idx="29">
                  <c:v>4.8700504393064392</c:v>
                </c:pt>
                <c:pt idx="30">
                  <c:v>-9.4243259211410191E-2</c:v>
                </c:pt>
                <c:pt idx="31">
                  <c:v>-1.2849365064809604E-2</c:v>
                </c:pt>
                <c:pt idx="32">
                  <c:v>-1.771977243695332</c:v>
                </c:pt>
                <c:pt idx="33">
                  <c:v>-4.141093991873106</c:v>
                </c:pt>
                <c:pt idx="34">
                  <c:v>-0.56704290348289987</c:v>
                </c:pt>
                <c:pt idx="35">
                  <c:v>-2.9131450876654412</c:v>
                </c:pt>
                <c:pt idx="36">
                  <c:v>-4.2969350811075913</c:v>
                </c:pt>
                <c:pt idx="37">
                  <c:v>-6.0365285627208465</c:v>
                </c:pt>
                <c:pt idx="38">
                  <c:v>-2.7781924091985815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3F0-44CD-AB0C-0133C0D40953}"/>
            </c:ext>
          </c:extLst>
        </c:ser>
        <c:ser>
          <c:idx val="3"/>
          <c:order val="3"/>
          <c:tx>
            <c:strRef>
              <c:f>'výkonnost odvětví 3'!$AA$10</c:f>
              <c:strCache>
                <c:ptCount val="1"/>
                <c:pt idx="0">
                  <c:v>Nové stavební zakázky v tuzemsku</c:v>
                </c:pt>
              </c:strCache>
            </c:strRef>
          </c:tx>
          <c:spPr>
            <a:ln w="9525">
              <a:solidFill>
                <a:srgbClr val="984807"/>
              </a:solidFill>
              <a:prstDash val="sysDot"/>
            </a:ln>
          </c:spPr>
          <c:marker>
            <c:symbol val="diamond"/>
            <c:size val="4"/>
            <c:spPr>
              <a:solidFill>
                <a:srgbClr val="996633"/>
              </a:solidFill>
              <a:ln>
                <a:solidFill>
                  <a:srgbClr val="984807"/>
                </a:solidFill>
              </a:ln>
            </c:spPr>
          </c:marker>
          <c:cat>
            <c:multiLvlStrRef>
              <c:f>'výkonnost odvětví 3'!$V$31:$W$70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3'!$AA$31:$AA$70</c:f>
              <c:numCache>
                <c:formatCode>0.0</c:formatCode>
                <c:ptCount val="40"/>
                <c:pt idx="0">
                  <c:v>-3.1547956675580053</c:v>
                </c:pt>
                <c:pt idx="1">
                  <c:v>9.7504961091663205</c:v>
                </c:pt>
                <c:pt idx="2">
                  <c:v>-1.097606022761255</c:v>
                </c:pt>
                <c:pt idx="3">
                  <c:v>-2.3987783410040464</c:v>
                </c:pt>
                <c:pt idx="4">
                  <c:v>-6.6406358945753823</c:v>
                </c:pt>
                <c:pt idx="5">
                  <c:v>-0.49977652269311079</c:v>
                </c:pt>
                <c:pt idx="6">
                  <c:v>-7.0322087253454839</c:v>
                </c:pt>
                <c:pt idx="7">
                  <c:v>10.122126124559955</c:v>
                </c:pt>
                <c:pt idx="8">
                  <c:v>16.177217458847437</c:v>
                </c:pt>
                <c:pt idx="9">
                  <c:v>9.5350878984013008</c:v>
                </c:pt>
                <c:pt idx="10">
                  <c:v>-1.2817324431350698</c:v>
                </c:pt>
                <c:pt idx="11">
                  <c:v>15.620806693503823</c:v>
                </c:pt>
                <c:pt idx="12">
                  <c:v>30.10697387368856</c:v>
                </c:pt>
                <c:pt idx="13">
                  <c:v>32.836878110611963</c:v>
                </c:pt>
                <c:pt idx="14">
                  <c:v>5.2768249907951201</c:v>
                </c:pt>
                <c:pt idx="15">
                  <c:v>1.8944565811032277</c:v>
                </c:pt>
                <c:pt idx="16">
                  <c:v>14.157245632065781</c:v>
                </c:pt>
                <c:pt idx="17">
                  <c:v>-9.3849543241233135</c:v>
                </c:pt>
                <c:pt idx="18">
                  <c:v>17.407871000993993</c:v>
                </c:pt>
                <c:pt idx="19">
                  <c:v>5.8323004254463768</c:v>
                </c:pt>
                <c:pt idx="20">
                  <c:v>-12.441635069859245</c:v>
                </c:pt>
                <c:pt idx="21">
                  <c:v>7.497345722028669</c:v>
                </c:pt>
                <c:pt idx="22">
                  <c:v>2.0599736606932879</c:v>
                </c:pt>
                <c:pt idx="23">
                  <c:v>7.5507850088630164</c:v>
                </c:pt>
                <c:pt idx="24">
                  <c:v>28.856340981154403</c:v>
                </c:pt>
                <c:pt idx="25">
                  <c:v>22.047871359987184</c:v>
                </c:pt>
                <c:pt idx="26">
                  <c:v>10.015015612184257</c:v>
                </c:pt>
                <c:pt idx="27">
                  <c:v>1.0053213537781147</c:v>
                </c:pt>
                <c:pt idx="28">
                  <c:v>13.067478460417874</c:v>
                </c:pt>
                <c:pt idx="29">
                  <c:v>17.619163607261129</c:v>
                </c:pt>
                <c:pt idx="30">
                  <c:v>12.421954480552543</c:v>
                </c:pt>
                <c:pt idx="31">
                  <c:v>13.031852753748723</c:v>
                </c:pt>
                <c:pt idx="32">
                  <c:v>-10.144501025957553</c:v>
                </c:pt>
                <c:pt idx="33">
                  <c:v>-18.697561390531931</c:v>
                </c:pt>
                <c:pt idx="34">
                  <c:v>27.514816854662854</c:v>
                </c:pt>
                <c:pt idx="35">
                  <c:v>9.3063425617587683</c:v>
                </c:pt>
                <c:pt idx="36">
                  <c:v>30.591327492018308</c:v>
                </c:pt>
                <c:pt idx="37">
                  <c:v>24.637718081535937</c:v>
                </c:pt>
                <c:pt idx="38">
                  <c:v>-2.249528855429773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3F0-44CD-AB0C-0133C0D409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768128"/>
        <c:axId val="112769664"/>
      </c:lineChart>
      <c:lineChart>
        <c:grouping val="standard"/>
        <c:varyColors val="0"/>
        <c:ser>
          <c:idx val="4"/>
          <c:order val="4"/>
          <c:tx>
            <c:strRef>
              <c:f>'výkonnost odvětví 3'!$AB$10</c:f>
              <c:strCache>
                <c:ptCount val="1"/>
                <c:pt idx="0">
                  <c:v>Bariéra růstu: nedostatečná poptávka</c:v>
                </c:pt>
              </c:strCache>
            </c:strRef>
          </c:tx>
          <c:spPr>
            <a:ln w="15875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3'!$V$31:$W$70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3'!$AB$31:$AB$70</c:f>
              <c:numCache>
                <c:formatCode>#\ ##0.0</c:formatCode>
                <c:ptCount val="40"/>
                <c:pt idx="0">
                  <c:v>67.3</c:v>
                </c:pt>
                <c:pt idx="1">
                  <c:v>60.7</c:v>
                </c:pt>
                <c:pt idx="2">
                  <c:v>58.6</c:v>
                </c:pt>
                <c:pt idx="3">
                  <c:v>58.2</c:v>
                </c:pt>
                <c:pt idx="4">
                  <c:v>58.5</c:v>
                </c:pt>
                <c:pt idx="5">
                  <c:v>62.6</c:v>
                </c:pt>
                <c:pt idx="6">
                  <c:v>60.3</c:v>
                </c:pt>
                <c:pt idx="7">
                  <c:v>55.7</c:v>
                </c:pt>
                <c:pt idx="8">
                  <c:v>55.7</c:v>
                </c:pt>
                <c:pt idx="9">
                  <c:v>54.8</c:v>
                </c:pt>
                <c:pt idx="10">
                  <c:v>49.1</c:v>
                </c:pt>
                <c:pt idx="11">
                  <c:v>47.1</c:v>
                </c:pt>
                <c:pt idx="12">
                  <c:v>40.1</c:v>
                </c:pt>
                <c:pt idx="13">
                  <c:v>39.4</c:v>
                </c:pt>
                <c:pt idx="14">
                  <c:v>33</c:v>
                </c:pt>
                <c:pt idx="15">
                  <c:v>23.3</c:v>
                </c:pt>
                <c:pt idx="16">
                  <c:v>26.5</c:v>
                </c:pt>
                <c:pt idx="17">
                  <c:v>26.7</c:v>
                </c:pt>
                <c:pt idx="18">
                  <c:v>18.899999999999999</c:v>
                </c:pt>
                <c:pt idx="19">
                  <c:v>19.600000000000001</c:v>
                </c:pt>
                <c:pt idx="20">
                  <c:v>31.6</c:v>
                </c:pt>
                <c:pt idx="21">
                  <c:v>31.3</c:v>
                </c:pt>
                <c:pt idx="22">
                  <c:v>38.6</c:v>
                </c:pt>
                <c:pt idx="23" formatCode="General">
                  <c:v>39.200000000000003</c:v>
                </c:pt>
                <c:pt idx="24">
                  <c:v>30.8</c:v>
                </c:pt>
                <c:pt idx="25">
                  <c:v>35.9</c:v>
                </c:pt>
                <c:pt idx="26">
                  <c:v>23.2</c:v>
                </c:pt>
                <c:pt idx="27">
                  <c:v>19.5</c:v>
                </c:pt>
                <c:pt idx="28">
                  <c:v>21.3</c:v>
                </c:pt>
                <c:pt idx="29">
                  <c:v>21.1</c:v>
                </c:pt>
                <c:pt idx="30">
                  <c:v>19.3</c:v>
                </c:pt>
                <c:pt idx="31">
                  <c:v>20.6</c:v>
                </c:pt>
                <c:pt idx="32">
                  <c:v>31.9</c:v>
                </c:pt>
                <c:pt idx="33">
                  <c:v>32.299999999999997</c:v>
                </c:pt>
                <c:pt idx="34">
                  <c:v>36.299999999999997</c:v>
                </c:pt>
                <c:pt idx="35">
                  <c:v>29.2</c:v>
                </c:pt>
                <c:pt idx="36">
                  <c:v>20.5</c:v>
                </c:pt>
                <c:pt idx="37">
                  <c:v>22.3</c:v>
                </c:pt>
                <c:pt idx="38">
                  <c:v>24</c:v>
                </c:pt>
                <c:pt idx="39" formatCode="0.0">
                  <c:v>25.3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3F0-44CD-AB0C-0133C0D40953}"/>
            </c:ext>
          </c:extLst>
        </c:ser>
        <c:ser>
          <c:idx val="5"/>
          <c:order val="5"/>
          <c:tx>
            <c:strRef>
              <c:f>'výkonnost odvětví 3'!$AC$10</c:f>
              <c:strCache>
                <c:ptCount val="1"/>
                <c:pt idx="0">
                  <c:v>Bariéra růstu: nedostatek pracovníků</c:v>
                </c:pt>
              </c:strCache>
            </c:strRef>
          </c:tx>
          <c:spPr>
            <a:ln w="15875">
              <a:solidFill>
                <a:schemeClr val="accent3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multiLvlStrRef>
              <c:f>'výkonnost odvětví 3'!$V$31:$W$70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3'!$AC$31:$AC$70</c:f>
              <c:numCache>
                <c:formatCode>#\ ##0.0</c:formatCode>
                <c:ptCount val="40"/>
                <c:pt idx="0">
                  <c:v>8.3000000000000007</c:v>
                </c:pt>
                <c:pt idx="1">
                  <c:v>8.1</c:v>
                </c:pt>
                <c:pt idx="2">
                  <c:v>6.1</c:v>
                </c:pt>
                <c:pt idx="3">
                  <c:v>6</c:v>
                </c:pt>
                <c:pt idx="4">
                  <c:v>6.5</c:v>
                </c:pt>
                <c:pt idx="5">
                  <c:v>7.2</c:v>
                </c:pt>
                <c:pt idx="6">
                  <c:v>7.1</c:v>
                </c:pt>
                <c:pt idx="7">
                  <c:v>10.4</c:v>
                </c:pt>
                <c:pt idx="8">
                  <c:v>13.9</c:v>
                </c:pt>
                <c:pt idx="9">
                  <c:v>14.9</c:v>
                </c:pt>
                <c:pt idx="10">
                  <c:v>21.7</c:v>
                </c:pt>
                <c:pt idx="11">
                  <c:v>21.3</c:v>
                </c:pt>
                <c:pt idx="12">
                  <c:v>27</c:v>
                </c:pt>
                <c:pt idx="13">
                  <c:v>30.1</c:v>
                </c:pt>
                <c:pt idx="14">
                  <c:v>28.5</c:v>
                </c:pt>
                <c:pt idx="15">
                  <c:v>38.4</c:v>
                </c:pt>
                <c:pt idx="16">
                  <c:v>36.4</c:v>
                </c:pt>
                <c:pt idx="17">
                  <c:v>43.4</c:v>
                </c:pt>
                <c:pt idx="18">
                  <c:v>50.4</c:v>
                </c:pt>
                <c:pt idx="19">
                  <c:v>46.4</c:v>
                </c:pt>
                <c:pt idx="20">
                  <c:v>51.8</c:v>
                </c:pt>
                <c:pt idx="21">
                  <c:v>46</c:v>
                </c:pt>
                <c:pt idx="22">
                  <c:v>35.9</c:v>
                </c:pt>
                <c:pt idx="23" formatCode="0.0">
                  <c:v>32.1</c:v>
                </c:pt>
                <c:pt idx="24">
                  <c:v>47.9</c:v>
                </c:pt>
                <c:pt idx="25">
                  <c:v>31.7</c:v>
                </c:pt>
                <c:pt idx="26">
                  <c:v>41.4</c:v>
                </c:pt>
                <c:pt idx="27">
                  <c:v>42.5</c:v>
                </c:pt>
                <c:pt idx="28">
                  <c:v>57.2</c:v>
                </c:pt>
                <c:pt idx="29">
                  <c:v>44.3</c:v>
                </c:pt>
                <c:pt idx="30">
                  <c:v>39.4</c:v>
                </c:pt>
                <c:pt idx="31">
                  <c:v>47.3</c:v>
                </c:pt>
                <c:pt idx="32">
                  <c:v>39.299999999999997</c:v>
                </c:pt>
                <c:pt idx="33">
                  <c:v>35.4</c:v>
                </c:pt>
                <c:pt idx="34">
                  <c:v>30.5</c:v>
                </c:pt>
                <c:pt idx="35">
                  <c:v>30.9</c:v>
                </c:pt>
                <c:pt idx="36">
                  <c:v>54.2</c:v>
                </c:pt>
                <c:pt idx="37">
                  <c:v>46.6</c:v>
                </c:pt>
                <c:pt idx="38">
                  <c:v>42.2</c:v>
                </c:pt>
                <c:pt idx="39" formatCode="0.0">
                  <c:v>41.8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3F0-44CD-AB0C-0133C0D40953}"/>
            </c:ext>
          </c:extLst>
        </c:ser>
        <c:ser>
          <c:idx val="6"/>
          <c:order val="6"/>
          <c:tx>
            <c:strRef>
              <c:f>'výkonnost odvětví 3'!$AD$10</c:f>
              <c:strCache>
                <c:ptCount val="1"/>
                <c:pt idx="0">
                  <c:v>Bariéra růstu: nedost. materiálu a vybavení</c:v>
                </c:pt>
              </c:strCache>
            </c:strRef>
          </c:tx>
          <c:spPr>
            <a:ln w="15875">
              <a:solidFill>
                <a:srgbClr val="37DD3B"/>
              </a:solidFill>
              <a:prstDash val="sysDash"/>
            </a:ln>
          </c:spPr>
          <c:marker>
            <c:symbol val="none"/>
          </c:marker>
          <c:cat>
            <c:multiLvlStrRef>
              <c:f>'výkonnost odvětví 3'!$V$31:$W$70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3'!$AD$31:$AD$70</c:f>
              <c:numCache>
                <c:formatCode>#\ ##0.0</c:formatCode>
                <c:ptCount val="40"/>
                <c:pt idx="0">
                  <c:v>0.1</c:v>
                </c:pt>
                <c:pt idx="1">
                  <c:v>0.4</c:v>
                </c:pt>
                <c:pt idx="2">
                  <c:v>4</c:v>
                </c:pt>
                <c:pt idx="3">
                  <c:v>0.5</c:v>
                </c:pt>
                <c:pt idx="4">
                  <c:v>0.4</c:v>
                </c:pt>
                <c:pt idx="5">
                  <c:v>0.5</c:v>
                </c:pt>
                <c:pt idx="6">
                  <c:v>0.5</c:v>
                </c:pt>
                <c:pt idx="7">
                  <c:v>1.5</c:v>
                </c:pt>
                <c:pt idx="8">
                  <c:v>0.3</c:v>
                </c:pt>
                <c:pt idx="9">
                  <c:v>0.3</c:v>
                </c:pt>
                <c:pt idx="10">
                  <c:v>3.3</c:v>
                </c:pt>
                <c:pt idx="11">
                  <c:v>4.2</c:v>
                </c:pt>
                <c:pt idx="12">
                  <c:v>5.5</c:v>
                </c:pt>
                <c:pt idx="13">
                  <c:v>1.2</c:v>
                </c:pt>
                <c:pt idx="14">
                  <c:v>6.8</c:v>
                </c:pt>
                <c:pt idx="15">
                  <c:v>3.5</c:v>
                </c:pt>
                <c:pt idx="16">
                  <c:v>4.3</c:v>
                </c:pt>
                <c:pt idx="17">
                  <c:v>5.7</c:v>
                </c:pt>
                <c:pt idx="18">
                  <c:v>5.3</c:v>
                </c:pt>
                <c:pt idx="19">
                  <c:v>4</c:v>
                </c:pt>
                <c:pt idx="20">
                  <c:v>1.9</c:v>
                </c:pt>
                <c:pt idx="21">
                  <c:v>3.4</c:v>
                </c:pt>
                <c:pt idx="22">
                  <c:v>1.3</c:v>
                </c:pt>
                <c:pt idx="23">
                  <c:v>0.8</c:v>
                </c:pt>
                <c:pt idx="24">
                  <c:v>1.3</c:v>
                </c:pt>
                <c:pt idx="25">
                  <c:v>4.3</c:v>
                </c:pt>
                <c:pt idx="26">
                  <c:v>16.3</c:v>
                </c:pt>
                <c:pt idx="27">
                  <c:v>22.8</c:v>
                </c:pt>
                <c:pt idx="28">
                  <c:v>24.7</c:v>
                </c:pt>
                <c:pt idx="29">
                  <c:v>41.3</c:v>
                </c:pt>
                <c:pt idx="30">
                  <c:v>38.6</c:v>
                </c:pt>
                <c:pt idx="31">
                  <c:v>23.4</c:v>
                </c:pt>
                <c:pt idx="32">
                  <c:v>19.5</c:v>
                </c:pt>
                <c:pt idx="33">
                  <c:v>17</c:v>
                </c:pt>
                <c:pt idx="34">
                  <c:v>13</c:v>
                </c:pt>
                <c:pt idx="35">
                  <c:v>13.9</c:v>
                </c:pt>
                <c:pt idx="36">
                  <c:v>22.5</c:v>
                </c:pt>
                <c:pt idx="37">
                  <c:v>22.2</c:v>
                </c:pt>
                <c:pt idx="38">
                  <c:v>22.2</c:v>
                </c:pt>
                <c:pt idx="39" formatCode="0.0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3F0-44CD-AB0C-0133C0D40953}"/>
            </c:ext>
          </c:extLst>
        </c:ser>
        <c:ser>
          <c:idx val="7"/>
          <c:order val="7"/>
          <c:tx>
            <c:strRef>
              <c:f>'výkonnost odvětví 3'!$AE$10</c:f>
              <c:strCache>
                <c:ptCount val="1"/>
                <c:pt idx="0">
                  <c:v>Saldo indikátoru důvěry ve stavebnictví</c:v>
                </c:pt>
              </c:strCache>
            </c:strRef>
          </c:tx>
          <c:spPr>
            <a:ln w="15875">
              <a:solidFill>
                <a:schemeClr val="bg1">
                  <a:lumMod val="65000"/>
                </a:schemeClr>
              </a:solidFill>
              <a:prstDash val="sysDot"/>
            </a:ln>
          </c:spPr>
          <c:marker>
            <c:symbol val="circle"/>
            <c:size val="5"/>
            <c:spPr>
              <a:solidFill>
                <a:srgbClr val="FFFF00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cat>
            <c:multiLvlStrRef>
              <c:f>'výkonnost odvětví 3'!$V$31:$W$70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3'!$AE$31:$AE$70</c:f>
              <c:numCache>
                <c:formatCode>0.0</c:formatCode>
                <c:ptCount val="40"/>
                <c:pt idx="0">
                  <c:v>-21</c:v>
                </c:pt>
                <c:pt idx="1">
                  <c:v>-16</c:v>
                </c:pt>
                <c:pt idx="2">
                  <c:v>-20</c:v>
                </c:pt>
                <c:pt idx="3">
                  <c:v>-14.5</c:v>
                </c:pt>
                <c:pt idx="4">
                  <c:v>-14.5</c:v>
                </c:pt>
                <c:pt idx="5">
                  <c:v>-25.5</c:v>
                </c:pt>
                <c:pt idx="6">
                  <c:v>-24.5</c:v>
                </c:pt>
                <c:pt idx="7">
                  <c:v>-23</c:v>
                </c:pt>
                <c:pt idx="8">
                  <c:v>-22.5</c:v>
                </c:pt>
                <c:pt idx="9">
                  <c:v>-24.5</c:v>
                </c:pt>
                <c:pt idx="10">
                  <c:v>-18.5</c:v>
                </c:pt>
                <c:pt idx="11">
                  <c:v>-15</c:v>
                </c:pt>
                <c:pt idx="12">
                  <c:v>-9</c:v>
                </c:pt>
                <c:pt idx="13">
                  <c:v>-6</c:v>
                </c:pt>
                <c:pt idx="14">
                  <c:v>-2</c:v>
                </c:pt>
                <c:pt idx="15">
                  <c:v>1</c:v>
                </c:pt>
                <c:pt idx="16">
                  <c:v>3.5</c:v>
                </c:pt>
                <c:pt idx="17">
                  <c:v>4</c:v>
                </c:pt>
                <c:pt idx="18">
                  <c:v>-1</c:v>
                </c:pt>
                <c:pt idx="19">
                  <c:v>1</c:v>
                </c:pt>
                <c:pt idx="20">
                  <c:v>-3</c:v>
                </c:pt>
                <c:pt idx="21">
                  <c:v>-15</c:v>
                </c:pt>
                <c:pt idx="22">
                  <c:v>-13</c:v>
                </c:pt>
                <c:pt idx="23">
                  <c:v>-11.5</c:v>
                </c:pt>
                <c:pt idx="24">
                  <c:v>-6</c:v>
                </c:pt>
                <c:pt idx="25">
                  <c:v>-5.5</c:v>
                </c:pt>
                <c:pt idx="26">
                  <c:v>-4.5</c:v>
                </c:pt>
                <c:pt idx="27">
                  <c:v>-6.5</c:v>
                </c:pt>
                <c:pt idx="28">
                  <c:v>6.5</c:v>
                </c:pt>
                <c:pt idx="29">
                  <c:v>-2</c:v>
                </c:pt>
                <c:pt idx="30">
                  <c:v>-9</c:v>
                </c:pt>
                <c:pt idx="31">
                  <c:v>-4.5</c:v>
                </c:pt>
                <c:pt idx="32">
                  <c:v>-11.5</c:v>
                </c:pt>
                <c:pt idx="33">
                  <c:v>-15.5</c:v>
                </c:pt>
                <c:pt idx="34">
                  <c:v>-16.5</c:v>
                </c:pt>
                <c:pt idx="35">
                  <c:v>-11</c:v>
                </c:pt>
                <c:pt idx="36">
                  <c:v>-7</c:v>
                </c:pt>
                <c:pt idx="37">
                  <c:v>-14</c:v>
                </c:pt>
                <c:pt idx="38">
                  <c:v>-12</c:v>
                </c:pt>
                <c:pt idx="39">
                  <c:v>-5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43F0-44CD-AB0C-0133C0D409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8074639"/>
        <c:axId val="1118080463"/>
      </c:lineChart>
      <c:catAx>
        <c:axId val="11276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2769664"/>
        <c:crosses val="autoZero"/>
        <c:auto val="1"/>
        <c:lblAlgn val="ctr"/>
        <c:lblOffset val="0"/>
        <c:noMultiLvlLbl val="0"/>
      </c:catAx>
      <c:valAx>
        <c:axId val="112769664"/>
        <c:scaling>
          <c:orientation val="minMax"/>
          <c:max val="70"/>
          <c:min val="-20"/>
        </c:scaling>
        <c:delete val="0"/>
        <c:axPos val="l"/>
        <c:majorGridlines>
          <c:spPr>
            <a:ln>
              <a:solidFill>
                <a:srgbClr val="BEBEBE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cs-CZ" sz="700" b="0" i="1">
                    <a:latin typeface="Arial" panose="020B0604020202020204" pitchFamily="34" charset="0"/>
                    <a:cs typeface="Arial" panose="020B0604020202020204" pitchFamily="34" charset="0"/>
                  </a:rPr>
                  <a:t>Zakázky, příspěvky k změně stavební produkce</a:t>
                </a:r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2768128"/>
        <c:crosses val="autoZero"/>
        <c:crossBetween val="between"/>
        <c:majorUnit val="10"/>
      </c:valAx>
      <c:valAx>
        <c:axId val="1118080463"/>
        <c:scaling>
          <c:orientation val="minMax"/>
          <c:max val="80"/>
          <c:min val="-10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cs-CZ" sz="700" b="0" i="1">
                    <a:latin typeface="Arial" panose="020B0604020202020204" pitchFamily="34" charset="0"/>
                    <a:cs typeface="Arial" panose="020B0604020202020204" pitchFamily="34" charset="0"/>
                  </a:rPr>
                  <a:t>Saldo důvěry, bariéry růstu</a:t>
                </a:r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1118074639"/>
        <c:crosses val="max"/>
        <c:crossBetween val="between"/>
        <c:majorUnit val="20"/>
      </c:valAx>
      <c:catAx>
        <c:axId val="1118074639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18080463"/>
        <c:crosses val="autoZero"/>
        <c:auto val="1"/>
        <c:lblAlgn val="ctr"/>
        <c:lblOffset val="100"/>
        <c:noMultiLvlLbl val="0"/>
      </c:catAx>
      <c:spPr>
        <a:noFill/>
        <a:ln w="6350">
          <a:solidFill>
            <a:prstClr val="black">
              <a:lumMod val="95000"/>
              <a:lumOff val="5000"/>
            </a:prstClr>
          </a:solidFill>
        </a:ln>
      </c:spPr>
    </c:plotArea>
    <c:legend>
      <c:legendPos val="r"/>
      <c:layout>
        <c:manualLayout>
          <c:xMode val="edge"/>
          <c:yMode val="edge"/>
          <c:x val="7.6126793553942364E-3"/>
          <c:y val="0.85936703322638608"/>
          <c:w val="0.9801437714811797"/>
          <c:h val="0.13362821778942557"/>
        </c:manualLayout>
      </c:layout>
      <c:overlay val="0"/>
      <c:spPr>
        <a:ln w="6350">
          <a:solidFill>
            <a:prstClr val="black">
              <a:lumMod val="95000"/>
              <a:lumOff val="5000"/>
            </a:prstClr>
          </a:solidFill>
        </a:ln>
      </c:spPr>
      <c:txPr>
        <a:bodyPr/>
        <a:lstStyle/>
        <a:p>
          <a:pPr>
            <a:defRPr sz="75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385677352723435E-2"/>
          <c:y val="1.5803328678987455E-2"/>
          <c:w val="0.83979584077702996"/>
          <c:h val="0.69902590308489432"/>
        </c:manualLayout>
      </c:layout>
      <c:barChart>
        <c:barDir val="col"/>
        <c:grouping val="stacked"/>
        <c:varyColors val="0"/>
        <c:ser>
          <c:idx val="0"/>
          <c:order val="1"/>
          <c:tx>
            <c:strRef>
              <c:f>'Služby-příspěvkyk růstu-4'!$D$33</c:f>
              <c:strCache>
                <c:ptCount val="1"/>
                <c:pt idx="0">
                  <c:v>Doprava a skladování (p. b.)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</c:spPr>
          <c:invertIfNegative val="0"/>
          <c:cat>
            <c:multiLvlStrRef>
              <c:f>'Služby-příspěvkyk růstu-4'!$A$46:$B$85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'Služby-příspěvkyk růstu-4'!$D$46:$D$85</c:f>
              <c:numCache>
                <c:formatCode>0.0</c:formatCode>
                <c:ptCount val="40"/>
                <c:pt idx="0">
                  <c:v>0.28583707131499864</c:v>
                </c:pt>
                <c:pt idx="1">
                  <c:v>9.9073319502600551E-2</c:v>
                </c:pt>
                <c:pt idx="2">
                  <c:v>0.31769782750540138</c:v>
                </c:pt>
                <c:pt idx="3">
                  <c:v>0.12210619116400009</c:v>
                </c:pt>
                <c:pt idx="4">
                  <c:v>0.28220883268199926</c:v>
                </c:pt>
                <c:pt idx="5">
                  <c:v>6.1181950046598127E-2</c:v>
                </c:pt>
                <c:pt idx="6">
                  <c:v>0.16591602609100148</c:v>
                </c:pt>
                <c:pt idx="7">
                  <c:v>0.78068825847900136</c:v>
                </c:pt>
                <c:pt idx="8">
                  <c:v>1.5613141921709988</c:v>
                </c:pt>
                <c:pt idx="9">
                  <c:v>1.122930781783998</c:v>
                </c:pt>
                <c:pt idx="10">
                  <c:v>1.0641446548009998</c:v>
                </c:pt>
                <c:pt idx="11">
                  <c:v>0.59189353382399879</c:v>
                </c:pt>
                <c:pt idx="12">
                  <c:v>1.6915596254819993</c:v>
                </c:pt>
                <c:pt idx="13">
                  <c:v>1.8149616493690008</c:v>
                </c:pt>
                <c:pt idx="14">
                  <c:v>1.4972066301569984</c:v>
                </c:pt>
                <c:pt idx="15">
                  <c:v>0.48435757114800193</c:v>
                </c:pt>
                <c:pt idx="16">
                  <c:v>8.7680447270998052E-2</c:v>
                </c:pt>
                <c:pt idx="17">
                  <c:v>-0.13218522120399967</c:v>
                </c:pt>
                <c:pt idx="18">
                  <c:v>-0.30882816758200105</c:v>
                </c:pt>
                <c:pt idx="19">
                  <c:v>-7.2429796977600117E-2</c:v>
                </c:pt>
                <c:pt idx="20">
                  <c:v>-1.5388901719333996</c:v>
                </c:pt>
                <c:pt idx="21">
                  <c:v>-6.3630415493666987</c:v>
                </c:pt>
                <c:pt idx="22">
                  <c:v>-3.9404740003479741</c:v>
                </c:pt>
                <c:pt idx="23">
                  <c:v>-1.3606128435167992</c:v>
                </c:pt>
                <c:pt idx="24">
                  <c:v>0.40899428206630034</c:v>
                </c:pt>
                <c:pt idx="25">
                  <c:v>6.4857042983519992</c:v>
                </c:pt>
                <c:pt idx="26">
                  <c:v>3.6844418834935992</c:v>
                </c:pt>
                <c:pt idx="27">
                  <c:v>3.3217790689831346</c:v>
                </c:pt>
                <c:pt idx="28">
                  <c:v>3.9514408665104899</c:v>
                </c:pt>
                <c:pt idx="29">
                  <c:v>4.0151538723392397</c:v>
                </c:pt>
                <c:pt idx="30">
                  <c:v>3.2323731249468759</c:v>
                </c:pt>
                <c:pt idx="31">
                  <c:v>0.68736316295880218</c:v>
                </c:pt>
                <c:pt idx="32">
                  <c:v>-1.2129729416320014</c:v>
                </c:pt>
                <c:pt idx="33">
                  <c:v>-3.099026668853849</c:v>
                </c:pt>
                <c:pt idx="34">
                  <c:v>-3.4692285655333293</c:v>
                </c:pt>
                <c:pt idx="35">
                  <c:v>-2.6080977613502347</c:v>
                </c:pt>
                <c:pt idx="36">
                  <c:v>0.12301447772012634</c:v>
                </c:pt>
                <c:pt idx="37">
                  <c:v>1.1719168050476052</c:v>
                </c:pt>
                <c:pt idx="38">
                  <c:v>1.6217905002203377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3A-4019-A51B-F5B445A0E4E0}"/>
            </c:ext>
          </c:extLst>
        </c:ser>
        <c:ser>
          <c:idx val="1"/>
          <c:order val="2"/>
          <c:tx>
            <c:strRef>
              <c:f>'Služby-příspěvkyk růstu-4'!$E$33</c:f>
              <c:strCache>
                <c:ptCount val="1"/>
                <c:pt idx="0">
                  <c:v>Ubytování, stravování a pohostinství (p. b.)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</c:spPr>
          <c:invertIfNegative val="0"/>
          <c:cat>
            <c:multiLvlStrRef>
              <c:f>'Služby-příspěvkyk růstu-4'!$A$46:$B$85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'Služby-příspěvkyk růstu-4'!$E$46:$E$85</c:f>
              <c:numCache>
                <c:formatCode>0.0</c:formatCode>
                <c:ptCount val="40"/>
                <c:pt idx="0">
                  <c:v>0.22716240604080018</c:v>
                </c:pt>
                <c:pt idx="1">
                  <c:v>0.65001523589900034</c:v>
                </c:pt>
                <c:pt idx="2">
                  <c:v>0.65043885271950042</c:v>
                </c:pt>
                <c:pt idx="3">
                  <c:v>0.40286531384040036</c:v>
                </c:pt>
                <c:pt idx="4">
                  <c:v>0.47082926396040031</c:v>
                </c:pt>
                <c:pt idx="5">
                  <c:v>0.17677577920749962</c:v>
                </c:pt>
                <c:pt idx="6">
                  <c:v>0.57113528170200001</c:v>
                </c:pt>
                <c:pt idx="7">
                  <c:v>0.60157631975219972</c:v>
                </c:pt>
                <c:pt idx="8">
                  <c:v>0.9154231899449996</c:v>
                </c:pt>
                <c:pt idx="9">
                  <c:v>1.2344281014258005</c:v>
                </c:pt>
                <c:pt idx="10">
                  <c:v>0.55621615324820017</c:v>
                </c:pt>
                <c:pt idx="11">
                  <c:v>0.45646654612940007</c:v>
                </c:pt>
                <c:pt idx="12">
                  <c:v>0.20372087178279991</c:v>
                </c:pt>
                <c:pt idx="13">
                  <c:v>5.3418687620000245E-2</c:v>
                </c:pt>
                <c:pt idx="14">
                  <c:v>6.3072083089999523E-2</c:v>
                </c:pt>
                <c:pt idx="15">
                  <c:v>-3.690856285000052E-2</c:v>
                </c:pt>
                <c:pt idx="16">
                  <c:v>-0.36352759744700047</c:v>
                </c:pt>
                <c:pt idx="17">
                  <c:v>-0.66972254409340026</c:v>
                </c:pt>
                <c:pt idx="18">
                  <c:v>0.55939150605359955</c:v>
                </c:pt>
                <c:pt idx="19">
                  <c:v>0.81136645955399955</c:v>
                </c:pt>
                <c:pt idx="20">
                  <c:v>-1.02121923221554</c:v>
                </c:pt>
                <c:pt idx="21">
                  <c:v>-4.7572576440565006</c:v>
                </c:pt>
                <c:pt idx="22">
                  <c:v>-1.8794605145432095</c:v>
                </c:pt>
                <c:pt idx="23">
                  <c:v>-4.4951618716172961</c:v>
                </c:pt>
                <c:pt idx="24">
                  <c:v>-3.6369333050125001</c:v>
                </c:pt>
                <c:pt idx="25">
                  <c:v>1.4031540944905208</c:v>
                </c:pt>
                <c:pt idx="26">
                  <c:v>0.65992665946500029</c:v>
                </c:pt>
                <c:pt idx="27">
                  <c:v>2.8955262444650116</c:v>
                </c:pt>
                <c:pt idx="28">
                  <c:v>2.8318183263071997</c:v>
                </c:pt>
                <c:pt idx="29">
                  <c:v>2.4351378857488077</c:v>
                </c:pt>
                <c:pt idx="30">
                  <c:v>-0.45787271333559287</c:v>
                </c:pt>
                <c:pt idx="31">
                  <c:v>0.56724882175460012</c:v>
                </c:pt>
                <c:pt idx="32">
                  <c:v>0.47232775791700016</c:v>
                </c:pt>
                <c:pt idx="33">
                  <c:v>-2.9380545797294239E-2</c:v>
                </c:pt>
                <c:pt idx="34">
                  <c:v>0.13034872931637551</c:v>
                </c:pt>
                <c:pt idx="35">
                  <c:v>7.6431753799216448E-2</c:v>
                </c:pt>
                <c:pt idx="36">
                  <c:v>0.15978861624508284</c:v>
                </c:pt>
                <c:pt idx="37">
                  <c:v>0.18872901032163661</c:v>
                </c:pt>
                <c:pt idx="38" formatCode="0.00">
                  <c:v>-0.14232705864181189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3A-4019-A51B-F5B445A0E4E0}"/>
            </c:ext>
          </c:extLst>
        </c:ser>
        <c:ser>
          <c:idx val="2"/>
          <c:order val="3"/>
          <c:tx>
            <c:strRef>
              <c:f>'Služby-příspěvkyk růstu-4'!$F$33</c:f>
              <c:strCache>
                <c:ptCount val="1"/>
                <c:pt idx="0">
                  <c:v>Informační a komunikační činnosti (p. b.)</c:v>
                </c:pt>
              </c:strCache>
            </c:strRef>
          </c:tx>
          <c:spPr>
            <a:solidFill>
              <a:srgbClr val="E6E100"/>
            </a:solidFill>
            <a:ln>
              <a:noFill/>
            </a:ln>
          </c:spPr>
          <c:invertIfNegative val="0"/>
          <c:cat>
            <c:multiLvlStrRef>
              <c:f>'Služby-příspěvkyk růstu-4'!$A$46:$B$85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'Služby-příspěvkyk růstu-4'!$F$46:$F$85</c:f>
              <c:numCache>
                <c:formatCode>0.0</c:formatCode>
                <c:ptCount val="40"/>
                <c:pt idx="0">
                  <c:v>1.3475600006119992</c:v>
                </c:pt>
                <c:pt idx="1">
                  <c:v>0.66866302459200067</c:v>
                </c:pt>
                <c:pt idx="2">
                  <c:v>0.76957802431699907</c:v>
                </c:pt>
                <c:pt idx="3">
                  <c:v>1.4886414789369995</c:v>
                </c:pt>
                <c:pt idx="4">
                  <c:v>0.31877743705500039</c:v>
                </c:pt>
                <c:pt idx="5">
                  <c:v>0.20661529177999968</c:v>
                </c:pt>
                <c:pt idx="6">
                  <c:v>0.33414735394100048</c:v>
                </c:pt>
                <c:pt idx="7">
                  <c:v>-1.5907952160003447E-3</c:v>
                </c:pt>
                <c:pt idx="8">
                  <c:v>0.81368973776000075</c:v>
                </c:pt>
                <c:pt idx="9">
                  <c:v>0.85417546131300082</c:v>
                </c:pt>
                <c:pt idx="10">
                  <c:v>0.70502890964199894</c:v>
                </c:pt>
                <c:pt idx="11">
                  <c:v>0.57956639880599936</c:v>
                </c:pt>
                <c:pt idx="12">
                  <c:v>1.4478889516160005</c:v>
                </c:pt>
                <c:pt idx="13">
                  <c:v>0.80994689822300014</c:v>
                </c:pt>
                <c:pt idx="14">
                  <c:v>1.4688126825399994</c:v>
                </c:pt>
                <c:pt idx="15">
                  <c:v>1.086122449493</c:v>
                </c:pt>
                <c:pt idx="16">
                  <c:v>0.58941772132699954</c:v>
                </c:pt>
                <c:pt idx="17">
                  <c:v>1.4226829106699992</c:v>
                </c:pt>
                <c:pt idx="18">
                  <c:v>1.6743952337219994</c:v>
                </c:pt>
                <c:pt idx="19">
                  <c:v>0.80346819102189926</c:v>
                </c:pt>
                <c:pt idx="20">
                  <c:v>0.70778641415200061</c:v>
                </c:pt>
                <c:pt idx="21">
                  <c:v>-0.1282918788954005</c:v>
                </c:pt>
                <c:pt idx="22">
                  <c:v>-0.45078576191000025</c:v>
                </c:pt>
                <c:pt idx="23">
                  <c:v>-0.76558883395124844</c:v>
                </c:pt>
                <c:pt idx="24">
                  <c:v>0.73366723394700006</c:v>
                </c:pt>
                <c:pt idx="25">
                  <c:v>1.7207045513606583</c:v>
                </c:pt>
                <c:pt idx="26">
                  <c:v>1.7361457132958011</c:v>
                </c:pt>
                <c:pt idx="27">
                  <c:v>2.1189808181123286</c:v>
                </c:pt>
                <c:pt idx="28">
                  <c:v>1.7513568138013991</c:v>
                </c:pt>
                <c:pt idx="29">
                  <c:v>0.98399950600799913</c:v>
                </c:pt>
                <c:pt idx="30">
                  <c:v>0.77268922490967784</c:v>
                </c:pt>
                <c:pt idx="31">
                  <c:v>0.37460811931764648</c:v>
                </c:pt>
                <c:pt idx="32">
                  <c:v>0.58485544392239908</c:v>
                </c:pt>
                <c:pt idx="33">
                  <c:v>-1.1415645740895557E-2</c:v>
                </c:pt>
                <c:pt idx="34">
                  <c:v>-0.79502750900049046</c:v>
                </c:pt>
                <c:pt idx="35">
                  <c:v>-0.7938046823104834</c:v>
                </c:pt>
                <c:pt idx="36">
                  <c:v>0.10083125511494737</c:v>
                </c:pt>
                <c:pt idx="37">
                  <c:v>0.36817298322197645</c:v>
                </c:pt>
                <c:pt idx="38">
                  <c:v>0.94105057058705177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3A-4019-A51B-F5B445A0E4E0}"/>
            </c:ext>
          </c:extLst>
        </c:ser>
        <c:ser>
          <c:idx val="4"/>
          <c:order val="4"/>
          <c:tx>
            <c:strRef>
              <c:f>'Služby-příspěvkyk růstu-4'!$G$33</c:f>
              <c:strCache>
                <c:ptCount val="1"/>
                <c:pt idx="0">
                  <c:v>Činnosti v oblasti nemovitostí (p. b.)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  <a:prstDash val="sysDash"/>
            </a:ln>
          </c:spPr>
          <c:invertIfNegative val="0"/>
          <c:cat>
            <c:multiLvlStrRef>
              <c:f>'Služby-příspěvkyk růstu-4'!$A$46:$B$85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'Služby-příspěvkyk růstu-4'!$G$46:$G$85</c:f>
              <c:numCache>
                <c:formatCode>0.0</c:formatCode>
                <c:ptCount val="40"/>
                <c:pt idx="0">
                  <c:v>4.746770298419966E-2</c:v>
                </c:pt>
                <c:pt idx="1">
                  <c:v>-7.1736494634002381E-3</c:v>
                </c:pt>
                <c:pt idx="2">
                  <c:v>0.12594742008660062</c:v>
                </c:pt>
                <c:pt idx="3">
                  <c:v>2.5503553016999546E-2</c:v>
                </c:pt>
                <c:pt idx="4">
                  <c:v>0.25581412202700016</c:v>
                </c:pt>
                <c:pt idx="5">
                  <c:v>-5.8871280300053285E-4</c:v>
                </c:pt>
                <c:pt idx="6">
                  <c:v>0.14820611830979977</c:v>
                </c:pt>
                <c:pt idx="7">
                  <c:v>-6.673245353100031E-2</c:v>
                </c:pt>
                <c:pt idx="8">
                  <c:v>0.21337518275449996</c:v>
                </c:pt>
                <c:pt idx="9">
                  <c:v>0.44510148149939993</c:v>
                </c:pt>
                <c:pt idx="10">
                  <c:v>-2.3161044655499695E-2</c:v>
                </c:pt>
                <c:pt idx="11">
                  <c:v>0.13973557355700003</c:v>
                </c:pt>
                <c:pt idx="12">
                  <c:v>2.4776891451000493E-2</c:v>
                </c:pt>
                <c:pt idx="13">
                  <c:v>-0.24771466350479987</c:v>
                </c:pt>
                <c:pt idx="14">
                  <c:v>-0.12634060942140016</c:v>
                </c:pt>
                <c:pt idx="15">
                  <c:v>-0.22296155792339972</c:v>
                </c:pt>
                <c:pt idx="16">
                  <c:v>-0.59230274151539974</c:v>
                </c:pt>
                <c:pt idx="17">
                  <c:v>-0.14941666489739952</c:v>
                </c:pt>
                <c:pt idx="18">
                  <c:v>0.15857003378880019</c:v>
                </c:pt>
                <c:pt idx="19">
                  <c:v>0.41231320665960003</c:v>
                </c:pt>
                <c:pt idx="20">
                  <c:v>0.43752910629419994</c:v>
                </c:pt>
                <c:pt idx="21">
                  <c:v>-0.31303453713669938</c:v>
                </c:pt>
                <c:pt idx="22">
                  <c:v>-0.26031344919999999</c:v>
                </c:pt>
                <c:pt idx="23">
                  <c:v>-0.23208025015669992</c:v>
                </c:pt>
                <c:pt idx="24">
                  <c:v>-0.20717928801940017</c:v>
                </c:pt>
                <c:pt idx="25">
                  <c:v>0.47457604296674993</c:v>
                </c:pt>
                <c:pt idx="26">
                  <c:v>-4.0996780129997036E-3</c:v>
                </c:pt>
                <c:pt idx="27">
                  <c:v>0.24096930540479963</c:v>
                </c:pt>
                <c:pt idx="28">
                  <c:v>0.94475021021679939</c:v>
                </c:pt>
                <c:pt idx="29">
                  <c:v>0.4723015234319996</c:v>
                </c:pt>
                <c:pt idx="30">
                  <c:v>0.21987990588947368</c:v>
                </c:pt>
                <c:pt idx="31">
                  <c:v>0.34935607946666636</c:v>
                </c:pt>
                <c:pt idx="32">
                  <c:v>0.14370495810719947</c:v>
                </c:pt>
                <c:pt idx="33">
                  <c:v>-0.15312531256454071</c:v>
                </c:pt>
                <c:pt idx="34">
                  <c:v>-0.26269128038412337</c:v>
                </c:pt>
                <c:pt idx="35">
                  <c:v>-0.20581433335534355</c:v>
                </c:pt>
                <c:pt idx="36">
                  <c:v>-7.6998825414431121E-2</c:v>
                </c:pt>
                <c:pt idx="37">
                  <c:v>0.16535812627071414</c:v>
                </c:pt>
                <c:pt idx="38">
                  <c:v>-9.3521380803397211E-2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3A-4019-A51B-F5B445A0E4E0}"/>
            </c:ext>
          </c:extLst>
        </c:ser>
        <c:ser>
          <c:idx val="5"/>
          <c:order val="5"/>
          <c:tx>
            <c:strRef>
              <c:f>'Služby-příspěvkyk růstu-4'!$H$33</c:f>
              <c:strCache>
                <c:ptCount val="1"/>
                <c:pt idx="0">
                  <c:v>Profesní, vědecké a technické činnosti (p. b.)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</c:spPr>
          <c:invertIfNegative val="0"/>
          <c:cat>
            <c:multiLvlStrRef>
              <c:f>'Služby-příspěvkyk růstu-4'!$A$46:$B$85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'Služby-příspěvkyk růstu-4'!$H$46:$H$85</c:f>
              <c:numCache>
                <c:formatCode>0.0</c:formatCode>
                <c:ptCount val="40"/>
                <c:pt idx="0">
                  <c:v>1.0880520996029996</c:v>
                </c:pt>
                <c:pt idx="1">
                  <c:v>0.74361697973999985</c:v>
                </c:pt>
                <c:pt idx="2">
                  <c:v>1.1124163133600007</c:v>
                </c:pt>
                <c:pt idx="3">
                  <c:v>-4.565689538760101E-2</c:v>
                </c:pt>
                <c:pt idx="4">
                  <c:v>-0.42777544952319951</c:v>
                </c:pt>
                <c:pt idx="5">
                  <c:v>-1.3881659651599989</c:v>
                </c:pt>
                <c:pt idx="6">
                  <c:v>3.2450629870800683E-2</c:v>
                </c:pt>
                <c:pt idx="7">
                  <c:v>-0.31316142237530059</c:v>
                </c:pt>
                <c:pt idx="8">
                  <c:v>0.97301367041999931</c:v>
                </c:pt>
                <c:pt idx="9">
                  <c:v>0.61036630698759931</c:v>
                </c:pt>
                <c:pt idx="10">
                  <c:v>0.29822562376110068</c:v>
                </c:pt>
                <c:pt idx="11">
                  <c:v>0.39661775964799895</c:v>
                </c:pt>
                <c:pt idx="12">
                  <c:v>1.0432277278803002</c:v>
                </c:pt>
                <c:pt idx="13">
                  <c:v>0.5277616084097011</c:v>
                </c:pt>
                <c:pt idx="14">
                  <c:v>0.33063617776669868</c:v>
                </c:pt>
                <c:pt idx="15">
                  <c:v>-0.3275368981885991</c:v>
                </c:pt>
                <c:pt idx="16">
                  <c:v>-0.22084952351709861</c:v>
                </c:pt>
                <c:pt idx="17">
                  <c:v>0.93052352491439916</c:v>
                </c:pt>
                <c:pt idx="18">
                  <c:v>-1.1995249704883002</c:v>
                </c:pt>
                <c:pt idx="19">
                  <c:v>0.1316248734900006</c:v>
                </c:pt>
                <c:pt idx="20">
                  <c:v>-1.2601566612770994</c:v>
                </c:pt>
                <c:pt idx="21">
                  <c:v>-3.4366386991859987</c:v>
                </c:pt>
                <c:pt idx="22">
                  <c:v>-1.7291196666688515</c:v>
                </c:pt>
                <c:pt idx="23">
                  <c:v>-1.6772597720676004</c:v>
                </c:pt>
                <c:pt idx="24">
                  <c:v>-1.8346424682827585</c:v>
                </c:pt>
                <c:pt idx="25">
                  <c:v>2.6510046263427998</c:v>
                </c:pt>
                <c:pt idx="26">
                  <c:v>1.7508962010128015</c:v>
                </c:pt>
                <c:pt idx="27">
                  <c:v>2.2400850079907202</c:v>
                </c:pt>
                <c:pt idx="28">
                  <c:v>2.2876079414759998</c:v>
                </c:pt>
                <c:pt idx="29">
                  <c:v>1.3872455323777775</c:v>
                </c:pt>
                <c:pt idx="30">
                  <c:v>0.99227591104347768</c:v>
                </c:pt>
                <c:pt idx="31">
                  <c:v>0.14393939496428487</c:v>
                </c:pt>
                <c:pt idx="32">
                  <c:v>0.81900948593429967</c:v>
                </c:pt>
                <c:pt idx="33">
                  <c:v>0.78508139570585855</c:v>
                </c:pt>
                <c:pt idx="34">
                  <c:v>0.13004879090092139</c:v>
                </c:pt>
                <c:pt idx="35">
                  <c:v>0.82734148939788288</c:v>
                </c:pt>
                <c:pt idx="36">
                  <c:v>0.36102471036532224</c:v>
                </c:pt>
                <c:pt idx="37">
                  <c:v>0.52723405192192407</c:v>
                </c:pt>
                <c:pt idx="38">
                  <c:v>0.11651862848493233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E3A-4019-A51B-F5B445A0E4E0}"/>
            </c:ext>
          </c:extLst>
        </c:ser>
        <c:ser>
          <c:idx val="6"/>
          <c:order val="6"/>
          <c:tx>
            <c:strRef>
              <c:f>'Služby-příspěvkyk růstu-4'!$I$33</c:f>
              <c:strCache>
                <c:ptCount val="1"/>
                <c:pt idx="0">
                  <c:v>Administr. a podpůrné čin. (příspěvek v p. b.)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</c:spPr>
          <c:invertIfNegative val="0"/>
          <c:cat>
            <c:multiLvlStrRef>
              <c:f>'Služby-příspěvkyk růstu-4'!$A$46:$B$85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'Služby-příspěvkyk růstu-4'!$I$46:$I$85</c:f>
              <c:numCache>
                <c:formatCode>0.0</c:formatCode>
                <c:ptCount val="40"/>
                <c:pt idx="0">
                  <c:v>0.43712925900860061</c:v>
                </c:pt>
                <c:pt idx="1">
                  <c:v>0.52715289377499985</c:v>
                </c:pt>
                <c:pt idx="2">
                  <c:v>0.30410241097500013</c:v>
                </c:pt>
                <c:pt idx="3">
                  <c:v>0.36652377459450047</c:v>
                </c:pt>
                <c:pt idx="4">
                  <c:v>0.38200556495039989</c:v>
                </c:pt>
                <c:pt idx="5">
                  <c:v>5.5683904032899467E-2</c:v>
                </c:pt>
                <c:pt idx="6">
                  <c:v>0.25322776738810082</c:v>
                </c:pt>
                <c:pt idx="7">
                  <c:v>0.50752865690419957</c:v>
                </c:pt>
                <c:pt idx="8">
                  <c:v>1.2867283782210006</c:v>
                </c:pt>
                <c:pt idx="9">
                  <c:v>1.1106873038032994</c:v>
                </c:pt>
                <c:pt idx="10">
                  <c:v>0.67802933227800077</c:v>
                </c:pt>
                <c:pt idx="11">
                  <c:v>0.27967830350980011</c:v>
                </c:pt>
                <c:pt idx="12">
                  <c:v>0.54732406709499937</c:v>
                </c:pt>
                <c:pt idx="13">
                  <c:v>0.38206091352559962</c:v>
                </c:pt>
                <c:pt idx="14">
                  <c:v>0.39483194314119968</c:v>
                </c:pt>
                <c:pt idx="15">
                  <c:v>-3.3562302980400686E-2</c:v>
                </c:pt>
                <c:pt idx="16">
                  <c:v>-1.2004885543983994</c:v>
                </c:pt>
                <c:pt idx="17">
                  <c:v>0.45312965092039981</c:v>
                </c:pt>
                <c:pt idx="18">
                  <c:v>-0.39654158277710005</c:v>
                </c:pt>
                <c:pt idx="19">
                  <c:v>1.3094816479706997</c:v>
                </c:pt>
                <c:pt idx="20">
                  <c:v>-1.1435941660679998</c:v>
                </c:pt>
                <c:pt idx="21">
                  <c:v>-5.2829127749359994</c:v>
                </c:pt>
                <c:pt idx="22">
                  <c:v>-4.9399258629473684</c:v>
                </c:pt>
                <c:pt idx="23">
                  <c:v>-2.9775292557339998</c:v>
                </c:pt>
                <c:pt idx="24">
                  <c:v>-1.3823007427793008</c:v>
                </c:pt>
                <c:pt idx="25">
                  <c:v>2.2520526033025252</c:v>
                </c:pt>
                <c:pt idx="26">
                  <c:v>2.1161672980700006</c:v>
                </c:pt>
                <c:pt idx="27">
                  <c:v>1.4333424903022896</c:v>
                </c:pt>
                <c:pt idx="28">
                  <c:v>1.7137920826735484</c:v>
                </c:pt>
                <c:pt idx="29">
                  <c:v>3.1129083870827094</c:v>
                </c:pt>
                <c:pt idx="30">
                  <c:v>2.2148815412970997</c:v>
                </c:pt>
                <c:pt idx="31">
                  <c:v>0.75709334776319981</c:v>
                </c:pt>
                <c:pt idx="32">
                  <c:v>0.44529605054279975</c:v>
                </c:pt>
                <c:pt idx="33">
                  <c:v>0.17025495003951477</c:v>
                </c:pt>
                <c:pt idx="34">
                  <c:v>-0.14281883952654037</c:v>
                </c:pt>
                <c:pt idx="35">
                  <c:v>-4.456522643089033E-2</c:v>
                </c:pt>
                <c:pt idx="36">
                  <c:v>0.31595667469514804</c:v>
                </c:pt>
                <c:pt idx="37">
                  <c:v>0.12625409767933218</c:v>
                </c:pt>
                <c:pt idx="38">
                  <c:v>0.46198888779707814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3A-4019-A51B-F5B445A0E4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156100864"/>
        <c:axId val="156573696"/>
      </c:barChart>
      <c:lineChart>
        <c:grouping val="standard"/>
        <c:varyColors val="0"/>
        <c:ser>
          <c:idx val="3"/>
          <c:order val="0"/>
          <c:tx>
            <c:strRef>
              <c:f>'Služby-příspěvkyk růstu-4'!$C$33</c:f>
              <c:strCache>
                <c:ptCount val="1"/>
                <c:pt idx="0">
                  <c:v>Služby celkem (meziroční růst v %)</c:v>
                </c:pt>
              </c:strCache>
            </c:strRef>
          </c:tx>
          <c:spPr>
            <a:ln>
              <a:noFill/>
            </a:ln>
          </c:spPr>
          <c:marker>
            <c:symbol val="dot"/>
            <c:size val="7"/>
            <c:spPr>
              <a:solidFill>
                <a:schemeClr val="tx1">
                  <a:lumMod val="95000"/>
                  <a:lumOff val="5000"/>
                </a:schemeClr>
              </a:solidFill>
              <a:ln>
                <a:noFill/>
              </a:ln>
            </c:spPr>
          </c:marker>
          <c:cat>
            <c:multiLvlStrRef>
              <c:f>'Služby-příspěvkyk růstu-4'!$A$46:$B$85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'Služby-příspěvkyk růstu-4'!$C$46:$C$85</c:f>
              <c:numCache>
                <c:formatCode>0.0</c:formatCode>
                <c:ptCount val="40"/>
                <c:pt idx="0">
                  <c:v>3.4824690008999966</c:v>
                </c:pt>
                <c:pt idx="1">
                  <c:v>2.7934385740000067</c:v>
                </c:pt>
                <c:pt idx="2">
                  <c:v>3.3397363911000042</c:v>
                </c:pt>
                <c:pt idx="3">
                  <c:v>2.4240605071999966</c:v>
                </c:pt>
                <c:pt idx="4">
                  <c:v>1.3060861837000033</c:v>
                </c:pt>
                <c:pt idx="5">
                  <c:v>-1.1913006246000037</c:v>
                </c:pt>
                <c:pt idx="6">
                  <c:v>1.5541405019999956</c:v>
                </c:pt>
                <c:pt idx="7">
                  <c:v>1.2878413721000044</c:v>
                </c:pt>
                <c:pt idx="8">
                  <c:v>5.6991785797000034</c:v>
                </c:pt>
                <c:pt idx="9">
                  <c:v>5.5722364333000058</c:v>
                </c:pt>
                <c:pt idx="10">
                  <c:v>3.3112064832999977</c:v>
                </c:pt>
                <c:pt idx="11">
                  <c:v>2.4385054390999983</c:v>
                </c:pt>
                <c:pt idx="12">
                  <c:v>4.8776432854999996</c:v>
                </c:pt>
                <c:pt idx="13">
                  <c:v>3.1428894752999952</c:v>
                </c:pt>
                <c:pt idx="14">
                  <c:v>3.5062767616000059</c:v>
                </c:pt>
                <c:pt idx="15">
                  <c:v>0.9447540274999966</c:v>
                </c:pt>
                <c:pt idx="16">
                  <c:v>-2.0638978244000015</c:v>
                </c:pt>
                <c:pt idx="17">
                  <c:v>2.0119271263999963</c:v>
                </c:pt>
                <c:pt idx="18">
                  <c:v>0.46201626920000649</c:v>
                </c:pt>
                <c:pt idx="19">
                  <c:v>3.6792793010999958</c:v>
                </c:pt>
                <c:pt idx="20">
                  <c:v>-3.7161332750000042</c:v>
                </c:pt>
                <c:pt idx="21">
                  <c:v>-20.482789201800003</c:v>
                </c:pt>
                <c:pt idx="22">
                  <c:v>-13.818107271499997</c:v>
                </c:pt>
                <c:pt idx="23">
                  <c:v>-12.693117899800001</c:v>
                </c:pt>
                <c:pt idx="24">
                  <c:v>-6.3693589936000023</c:v>
                </c:pt>
                <c:pt idx="25">
                  <c:v>14.465315188399998</c:v>
                </c:pt>
                <c:pt idx="26">
                  <c:v>9.8426032083000052</c:v>
                </c:pt>
                <c:pt idx="27">
                  <c:v>12.458895707300002</c:v>
                </c:pt>
                <c:pt idx="28">
                  <c:v>13.594020608700006</c:v>
                </c:pt>
                <c:pt idx="29">
                  <c:v>12.576126104400004</c:v>
                </c:pt>
                <c:pt idx="30">
                  <c:v>6.8800025819000012</c:v>
                </c:pt>
                <c:pt idx="31">
                  <c:v>3.1515382043999978</c:v>
                </c:pt>
                <c:pt idx="32">
                  <c:v>1.5887463999000033</c:v>
                </c:pt>
                <c:pt idx="33">
                  <c:v>-1.6472916421000008</c:v>
                </c:pt>
                <c:pt idx="34">
                  <c:v>-3.8356574305999942</c:v>
                </c:pt>
                <c:pt idx="35">
                  <c:v>-2.1960265641999968</c:v>
                </c:pt>
                <c:pt idx="36">
                  <c:v>0.99982212480000499</c:v>
                </c:pt>
                <c:pt idx="37">
                  <c:v>2.5473886300000004</c:v>
                </c:pt>
                <c:pt idx="38">
                  <c:v>2.9055052094000064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E3A-4019-A51B-F5B445A0E4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100864"/>
        <c:axId val="156573696"/>
      </c:lineChart>
      <c:lineChart>
        <c:grouping val="standard"/>
        <c:varyColors val="0"/>
        <c:ser>
          <c:idx val="7"/>
          <c:order val="7"/>
          <c:tx>
            <c:strRef>
              <c:f>'Služby-příspěvkyk růstu-4'!$J$33</c:f>
              <c:strCache>
                <c:ptCount val="1"/>
                <c:pt idx="0">
                  <c:v>Saldo indikátoru důvěry ve službách</c:v>
                </c:pt>
              </c:strCache>
            </c:strRef>
          </c:tx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diamond"/>
            <c:size val="5"/>
            <c:spPr>
              <a:solidFill>
                <a:srgbClr val="FFFF00"/>
              </a:solidFill>
              <a:ln w="6350">
                <a:solidFill>
                  <a:schemeClr val="tx1">
                    <a:lumMod val="85000"/>
                    <a:lumOff val="15000"/>
                  </a:schemeClr>
                </a:solidFill>
              </a:ln>
            </c:spPr>
          </c:marker>
          <c:cat>
            <c:multiLvlStrRef>
              <c:f>'Služby-příspěvkyk růstu-4'!$A$46:$B$85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'Služby-příspěvkyk růstu-4'!$J$46:$J$85</c:f>
              <c:numCache>
                <c:formatCode>#\ ##0.0</c:formatCode>
                <c:ptCount val="40"/>
                <c:pt idx="0">
                  <c:v>29.7</c:v>
                </c:pt>
                <c:pt idx="1">
                  <c:v>28.7</c:v>
                </c:pt>
                <c:pt idx="2">
                  <c:v>31.3</c:v>
                </c:pt>
                <c:pt idx="3">
                  <c:v>32.700000000000003</c:v>
                </c:pt>
                <c:pt idx="4">
                  <c:v>32.299999999999997</c:v>
                </c:pt>
                <c:pt idx="5">
                  <c:v>33</c:v>
                </c:pt>
                <c:pt idx="6">
                  <c:v>33</c:v>
                </c:pt>
                <c:pt idx="7">
                  <c:v>37.700000000000003</c:v>
                </c:pt>
                <c:pt idx="8">
                  <c:v>35.299999999999997</c:v>
                </c:pt>
                <c:pt idx="9">
                  <c:v>37.700000000000003</c:v>
                </c:pt>
                <c:pt idx="10">
                  <c:v>37.299999999999997</c:v>
                </c:pt>
                <c:pt idx="11">
                  <c:v>35.700000000000003</c:v>
                </c:pt>
                <c:pt idx="12">
                  <c:v>38.299999999999997</c:v>
                </c:pt>
                <c:pt idx="13">
                  <c:v>37</c:v>
                </c:pt>
                <c:pt idx="14">
                  <c:v>38.299999999999997</c:v>
                </c:pt>
                <c:pt idx="15">
                  <c:v>40.700000000000003</c:v>
                </c:pt>
                <c:pt idx="16">
                  <c:v>39.299999999999997</c:v>
                </c:pt>
                <c:pt idx="17">
                  <c:v>33.700000000000003</c:v>
                </c:pt>
                <c:pt idx="18">
                  <c:v>35</c:v>
                </c:pt>
                <c:pt idx="19">
                  <c:v>32.700000000000003</c:v>
                </c:pt>
                <c:pt idx="20">
                  <c:v>29</c:v>
                </c:pt>
                <c:pt idx="21">
                  <c:v>-13.3</c:v>
                </c:pt>
                <c:pt idx="22">
                  <c:v>1</c:v>
                </c:pt>
                <c:pt idx="23">
                  <c:v>-5</c:v>
                </c:pt>
                <c:pt idx="24">
                  <c:v>8</c:v>
                </c:pt>
                <c:pt idx="25">
                  <c:v>22.3</c:v>
                </c:pt>
                <c:pt idx="26">
                  <c:v>24.3</c:v>
                </c:pt>
                <c:pt idx="27">
                  <c:v>27</c:v>
                </c:pt>
                <c:pt idx="28">
                  <c:v>31</c:v>
                </c:pt>
                <c:pt idx="29">
                  <c:v>40</c:v>
                </c:pt>
                <c:pt idx="30">
                  <c:v>27.7</c:v>
                </c:pt>
                <c:pt idx="31">
                  <c:v>21.3</c:v>
                </c:pt>
                <c:pt idx="32">
                  <c:v>24</c:v>
                </c:pt>
                <c:pt idx="33" formatCode="0.0">
                  <c:v>28</c:v>
                </c:pt>
                <c:pt idx="34" formatCode="0.0">
                  <c:v>25.7</c:v>
                </c:pt>
                <c:pt idx="35" formatCode="0.0">
                  <c:v>22.7</c:v>
                </c:pt>
                <c:pt idx="36" formatCode="0.0">
                  <c:v>21.3</c:v>
                </c:pt>
                <c:pt idx="37" formatCode="0.0">
                  <c:v>30.1</c:v>
                </c:pt>
                <c:pt idx="38" formatCode="0.0">
                  <c:v>21.7</c:v>
                </c:pt>
                <c:pt idx="39" formatCode="0.0">
                  <c:v>33.700000000000003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4E3A-4019-A51B-F5B445A0E4E0}"/>
            </c:ext>
          </c:extLst>
        </c:ser>
        <c:ser>
          <c:idx val="8"/>
          <c:order val="8"/>
          <c:tx>
            <c:strRef>
              <c:f>'Služby-příspěvkyk růstu-4'!$K$33</c:f>
              <c:strCache>
                <c:ptCount val="1"/>
                <c:pt idx="0">
                  <c:v>Bariéra růstu: nedostatečná poptávka</c:v>
                </c:pt>
              </c:strCache>
            </c:strRef>
          </c:tx>
          <c:spPr>
            <a:ln w="15875">
              <a:solidFill>
                <a:srgbClr val="CA945E"/>
              </a:solidFill>
              <a:prstDash val="solid"/>
            </a:ln>
          </c:spPr>
          <c:marker>
            <c:symbol val="none"/>
          </c:marker>
          <c:cat>
            <c:multiLvlStrRef>
              <c:f>'Služby-příspěvkyk růstu-4'!$A$46:$B$85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'Služby-příspěvkyk růstu-4'!$K$46:$K$85</c:f>
              <c:numCache>
                <c:formatCode>#\ ##0.0</c:formatCode>
                <c:ptCount val="40"/>
                <c:pt idx="0">
                  <c:v>26</c:v>
                </c:pt>
                <c:pt idx="1">
                  <c:v>29.3</c:v>
                </c:pt>
                <c:pt idx="2">
                  <c:v>26.1</c:v>
                </c:pt>
                <c:pt idx="3">
                  <c:v>24.7</c:v>
                </c:pt>
                <c:pt idx="4">
                  <c:v>23.3</c:v>
                </c:pt>
                <c:pt idx="5">
                  <c:v>25.1</c:v>
                </c:pt>
                <c:pt idx="6">
                  <c:v>20.2</c:v>
                </c:pt>
                <c:pt idx="7">
                  <c:v>24.4</c:v>
                </c:pt>
                <c:pt idx="8">
                  <c:v>25.8</c:v>
                </c:pt>
                <c:pt idx="9">
                  <c:v>20.5</c:v>
                </c:pt>
                <c:pt idx="10">
                  <c:v>18.399999999999999</c:v>
                </c:pt>
                <c:pt idx="11">
                  <c:v>21.6</c:v>
                </c:pt>
                <c:pt idx="12">
                  <c:v>16.899999999999999</c:v>
                </c:pt>
                <c:pt idx="13">
                  <c:v>19.399999999999999</c:v>
                </c:pt>
                <c:pt idx="14">
                  <c:v>17.899999999999999</c:v>
                </c:pt>
                <c:pt idx="15">
                  <c:v>20.7</c:v>
                </c:pt>
                <c:pt idx="16">
                  <c:v>20.6</c:v>
                </c:pt>
                <c:pt idx="17">
                  <c:v>16.899999999999999</c:v>
                </c:pt>
                <c:pt idx="18">
                  <c:v>20.5</c:v>
                </c:pt>
                <c:pt idx="19">
                  <c:v>14.4</c:v>
                </c:pt>
                <c:pt idx="20">
                  <c:v>21.3</c:v>
                </c:pt>
                <c:pt idx="21">
                  <c:v>30.2</c:v>
                </c:pt>
                <c:pt idx="22">
                  <c:v>30.4</c:v>
                </c:pt>
                <c:pt idx="23">
                  <c:v>39.200000000000003</c:v>
                </c:pt>
                <c:pt idx="24">
                  <c:v>34.799999999999997</c:v>
                </c:pt>
                <c:pt idx="25">
                  <c:v>36.799999999999997</c:v>
                </c:pt>
                <c:pt idx="26">
                  <c:v>28.9</c:v>
                </c:pt>
                <c:pt idx="27">
                  <c:v>26.3</c:v>
                </c:pt>
                <c:pt idx="28">
                  <c:v>31.6</c:v>
                </c:pt>
                <c:pt idx="29">
                  <c:v>15</c:v>
                </c:pt>
                <c:pt idx="30">
                  <c:v>30.2</c:v>
                </c:pt>
                <c:pt idx="31">
                  <c:v>17.600000000000001</c:v>
                </c:pt>
                <c:pt idx="32">
                  <c:v>25.4</c:v>
                </c:pt>
                <c:pt idx="33">
                  <c:v>19.100000000000001</c:v>
                </c:pt>
                <c:pt idx="34">
                  <c:v>26</c:v>
                </c:pt>
                <c:pt idx="35">
                  <c:v>23</c:v>
                </c:pt>
                <c:pt idx="36">
                  <c:v>18.5</c:v>
                </c:pt>
                <c:pt idx="37">
                  <c:v>19.2</c:v>
                </c:pt>
                <c:pt idx="38">
                  <c:v>17.8</c:v>
                </c:pt>
                <c:pt idx="39">
                  <c:v>29.6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4E3A-4019-A51B-F5B445A0E4E0}"/>
            </c:ext>
          </c:extLst>
        </c:ser>
        <c:ser>
          <c:idx val="9"/>
          <c:order val="9"/>
          <c:tx>
            <c:strRef>
              <c:f>'Služby-příspěvkyk růstu-4'!$L$33</c:f>
              <c:strCache>
                <c:ptCount val="1"/>
                <c:pt idx="0">
                  <c:v>Bariéra růstu: nedostatek pracovníků</c:v>
                </c:pt>
              </c:strCache>
            </c:strRef>
          </c:tx>
          <c:spPr>
            <a:ln w="15875">
              <a:solidFill>
                <a:srgbClr val="CA945E"/>
              </a:solidFill>
              <a:prstDash val="sysDash"/>
            </a:ln>
          </c:spPr>
          <c:marker>
            <c:symbol val="none"/>
          </c:marker>
          <c:cat>
            <c:multiLvlStrRef>
              <c:f>'Služby-příspěvkyk růstu-4'!$A$46:$B$85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'Služby-příspěvkyk růstu-4'!$L$46:$L$85</c:f>
              <c:numCache>
                <c:formatCode>#\ ##0.0</c:formatCode>
                <c:ptCount val="40"/>
                <c:pt idx="0">
                  <c:v>1.3</c:v>
                </c:pt>
                <c:pt idx="1">
                  <c:v>6</c:v>
                </c:pt>
                <c:pt idx="2">
                  <c:v>7.2</c:v>
                </c:pt>
                <c:pt idx="3">
                  <c:v>5.6</c:v>
                </c:pt>
                <c:pt idx="4">
                  <c:v>7.5</c:v>
                </c:pt>
                <c:pt idx="5">
                  <c:v>4.5</c:v>
                </c:pt>
                <c:pt idx="6">
                  <c:v>7.9</c:v>
                </c:pt>
                <c:pt idx="7">
                  <c:v>9.5</c:v>
                </c:pt>
                <c:pt idx="8">
                  <c:v>9.4</c:v>
                </c:pt>
                <c:pt idx="9">
                  <c:v>9.6999999999999993</c:v>
                </c:pt>
                <c:pt idx="10">
                  <c:v>9.8000000000000007</c:v>
                </c:pt>
                <c:pt idx="11">
                  <c:v>12.8</c:v>
                </c:pt>
                <c:pt idx="12">
                  <c:v>13.9</c:v>
                </c:pt>
                <c:pt idx="13">
                  <c:v>16.3</c:v>
                </c:pt>
                <c:pt idx="14">
                  <c:v>17.5</c:v>
                </c:pt>
                <c:pt idx="15">
                  <c:v>18.899999999999999</c:v>
                </c:pt>
                <c:pt idx="16">
                  <c:v>19.3</c:v>
                </c:pt>
                <c:pt idx="17">
                  <c:v>15</c:v>
                </c:pt>
                <c:pt idx="18">
                  <c:v>21.5</c:v>
                </c:pt>
                <c:pt idx="19">
                  <c:v>19.8</c:v>
                </c:pt>
                <c:pt idx="20">
                  <c:v>19.5</c:v>
                </c:pt>
                <c:pt idx="21">
                  <c:v>10</c:v>
                </c:pt>
                <c:pt idx="22">
                  <c:v>10</c:v>
                </c:pt>
                <c:pt idx="23">
                  <c:v>12.6</c:v>
                </c:pt>
                <c:pt idx="24">
                  <c:v>12.7</c:v>
                </c:pt>
                <c:pt idx="25">
                  <c:v>8.5</c:v>
                </c:pt>
                <c:pt idx="26">
                  <c:v>17.399999999999999</c:v>
                </c:pt>
                <c:pt idx="27">
                  <c:v>20.6</c:v>
                </c:pt>
                <c:pt idx="28">
                  <c:v>20.2</c:v>
                </c:pt>
                <c:pt idx="29">
                  <c:v>10.9</c:v>
                </c:pt>
                <c:pt idx="30">
                  <c:v>17.899999999999999</c:v>
                </c:pt>
                <c:pt idx="31">
                  <c:v>6.6</c:v>
                </c:pt>
                <c:pt idx="32">
                  <c:v>9.3000000000000007</c:v>
                </c:pt>
                <c:pt idx="33">
                  <c:v>9.7000000000000011</c:v>
                </c:pt>
                <c:pt idx="34">
                  <c:v>9.2000000000000011</c:v>
                </c:pt>
                <c:pt idx="35">
                  <c:v>12.3</c:v>
                </c:pt>
                <c:pt idx="36">
                  <c:v>8.3000000000000007</c:v>
                </c:pt>
                <c:pt idx="37">
                  <c:v>8.1</c:v>
                </c:pt>
                <c:pt idx="38">
                  <c:v>8.3000000000000007</c:v>
                </c:pt>
                <c:pt idx="39">
                  <c:v>15.3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4E3A-4019-A51B-F5B445A0E4E0}"/>
            </c:ext>
          </c:extLst>
        </c:ser>
        <c:ser>
          <c:idx val="10"/>
          <c:order val="10"/>
          <c:tx>
            <c:strRef>
              <c:f>'Služby-příspěvkyk růstu-4'!$M$33</c:f>
              <c:strCache>
                <c:ptCount val="1"/>
                <c:pt idx="0">
                  <c:v>Tržby celkem (báze 2021=100, stálé ceny)</c:v>
                </c:pt>
              </c:strCache>
            </c:strRef>
          </c:tx>
          <c:spPr>
            <a:ln w="15875"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'Služby-příspěvkyk růstu-4'!$A$46:$B$85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'Služby-příspěvkyk růstu-4'!$M$46:$M$85</c:f>
              <c:numCache>
                <c:formatCode>0.0</c:formatCode>
                <c:ptCount val="40"/>
                <c:pt idx="0">
                  <c:v>96.573148776699995</c:v>
                </c:pt>
                <c:pt idx="1">
                  <c:v>97.567742240000001</c:v>
                </c:pt>
                <c:pt idx="2">
                  <c:v>97.872994153299999</c:v>
                </c:pt>
                <c:pt idx="3">
                  <c:v>98.145121336700001</c:v>
                </c:pt>
                <c:pt idx="4">
                  <c:v>97.141074036700005</c:v>
                </c:pt>
                <c:pt idx="5">
                  <c:v>97.220842383299996</c:v>
                </c:pt>
                <c:pt idx="6">
                  <c:v>99.043083436700002</c:v>
                </c:pt>
                <c:pt idx="7">
                  <c:v>100.26520352</c:v>
                </c:pt>
                <c:pt idx="8">
                  <c:v>101.4620500267</c:v>
                </c:pt>
                <c:pt idx="9">
                  <c:v>102.45930216329999</c:v>
                </c:pt>
                <c:pt idx="10">
                  <c:v>102.1784036567</c:v>
                </c:pt>
                <c:pt idx="11">
                  <c:v>103.2635152233</c:v>
                </c:pt>
                <c:pt idx="12">
                  <c:v>106.70430386</c:v>
                </c:pt>
                <c:pt idx="13">
                  <c:v>105.25291280330001</c:v>
                </c:pt>
                <c:pt idx="14">
                  <c:v>105.36498890670001</c:v>
                </c:pt>
                <c:pt idx="15">
                  <c:v>103.79346463</c:v>
                </c:pt>
                <c:pt idx="16">
                  <c:v>104.82319352330001</c:v>
                </c:pt>
                <c:pt idx="17">
                  <c:v>107.08876361</c:v>
                </c:pt>
                <c:pt idx="18">
                  <c:v>106.1526654733</c:v>
                </c:pt>
                <c:pt idx="19">
                  <c:v>106.10865794670001</c:v>
                </c:pt>
                <c:pt idx="20">
                  <c:v>100.92295789329999</c:v>
                </c:pt>
                <c:pt idx="21">
                  <c:v>86.568180609999999</c:v>
                </c:pt>
                <c:pt idx="22">
                  <c:v>93.956559496699995</c:v>
                </c:pt>
                <c:pt idx="23">
                  <c:v>92.2317662767</c:v>
                </c:pt>
                <c:pt idx="24">
                  <c:v>92.998969133299994</c:v>
                </c:pt>
                <c:pt idx="25">
                  <c:v>97.892421819999996</c:v>
                </c:pt>
                <c:pt idx="26">
                  <c:v>102.35372809330001</c:v>
                </c:pt>
                <c:pt idx="27">
                  <c:v>104.44663158669999</c:v>
                </c:pt>
                <c:pt idx="28">
                  <c:v>106.4828438033</c:v>
                </c:pt>
                <c:pt idx="29">
                  <c:v>108.89885323999999</c:v>
                </c:pt>
                <c:pt idx="30">
                  <c:v>109.43050436</c:v>
                </c:pt>
                <c:pt idx="31">
                  <c:v>108.84519659670001</c:v>
                </c:pt>
                <c:pt idx="32">
                  <c:v>108.17571501</c:v>
                </c:pt>
                <c:pt idx="33">
                  <c:v>106.59724242670001</c:v>
                </c:pt>
                <c:pt idx="34">
                  <c:v>105.83188221</c:v>
                </c:pt>
                <c:pt idx="35">
                  <c:v>106.5110976133</c:v>
                </c:pt>
                <c:pt idx="36">
                  <c:v>108.93696392</c:v>
                </c:pt>
                <c:pt idx="37">
                  <c:v>109.06609893</c:v>
                </c:pt>
                <c:pt idx="38">
                  <c:v>108.82751888999999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4E3A-4019-A51B-F5B445A0E4E0}"/>
            </c:ext>
          </c:extLst>
        </c:ser>
        <c:ser>
          <c:idx val="11"/>
          <c:order val="11"/>
          <c:tx>
            <c:strRef>
              <c:f>'Služby-příspěvkyk růstu-4'!$N$33</c:f>
              <c:strCache>
                <c:ptCount val="1"/>
                <c:pt idx="0">
                  <c:v>Tržby celkem (báze 2021=100, běžné ceny)</c:v>
                </c:pt>
              </c:strCache>
            </c:strRef>
          </c:tx>
          <c:spPr>
            <a:ln w="15875">
              <a:solidFill>
                <a:schemeClr val="bg2">
                  <a:lumMod val="25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'Služby-příspěvkyk růstu-4'!$A$46:$B$85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'Služby-příspěvkyk růstu-4'!$N$46:$N$85</c:f>
              <c:numCache>
                <c:formatCode>0.0</c:formatCode>
                <c:ptCount val="40"/>
                <c:pt idx="0">
                  <c:v>87.052195600000005</c:v>
                </c:pt>
                <c:pt idx="1">
                  <c:v>87.976303153299995</c:v>
                </c:pt>
                <c:pt idx="2">
                  <c:v>88.373010003299996</c:v>
                </c:pt>
                <c:pt idx="3">
                  <c:v>88.620892873299994</c:v>
                </c:pt>
                <c:pt idx="4">
                  <c:v>87.738386106700005</c:v>
                </c:pt>
                <c:pt idx="5">
                  <c:v>88.030049489999996</c:v>
                </c:pt>
                <c:pt idx="6">
                  <c:v>89.823697393299994</c:v>
                </c:pt>
                <c:pt idx="7">
                  <c:v>91.207866260000003</c:v>
                </c:pt>
                <c:pt idx="8">
                  <c:v>92.834550640000003</c:v>
                </c:pt>
                <c:pt idx="9">
                  <c:v>94.103815076700002</c:v>
                </c:pt>
                <c:pt idx="10">
                  <c:v>94.369418403300003</c:v>
                </c:pt>
                <c:pt idx="11">
                  <c:v>95.836186386700007</c:v>
                </c:pt>
                <c:pt idx="12">
                  <c:v>99.311500843299996</c:v>
                </c:pt>
                <c:pt idx="13">
                  <c:v>98.708597956700004</c:v>
                </c:pt>
                <c:pt idx="14">
                  <c:v>99.642436860000004</c:v>
                </c:pt>
                <c:pt idx="15">
                  <c:v>98.769212440000004</c:v>
                </c:pt>
                <c:pt idx="16">
                  <c:v>99.79161551</c:v>
                </c:pt>
                <c:pt idx="17">
                  <c:v>103.22613569329999</c:v>
                </c:pt>
                <c:pt idx="18">
                  <c:v>102.99220393</c:v>
                </c:pt>
                <c:pt idx="19">
                  <c:v>103.49625471</c:v>
                </c:pt>
                <c:pt idx="20">
                  <c:v>98.534612966699996</c:v>
                </c:pt>
                <c:pt idx="21">
                  <c:v>84.950969126700002</c:v>
                </c:pt>
                <c:pt idx="22">
                  <c:v>92.709010469999996</c:v>
                </c:pt>
                <c:pt idx="23">
                  <c:v>91.428986266699994</c:v>
                </c:pt>
                <c:pt idx="24">
                  <c:v>92.1977920267</c:v>
                </c:pt>
                <c:pt idx="25">
                  <c:v>97.1972692967</c:v>
                </c:pt>
                <c:pt idx="26">
                  <c:v>102.40979276</c:v>
                </c:pt>
                <c:pt idx="27">
                  <c:v>105.9734685067</c:v>
                </c:pt>
                <c:pt idx="28">
                  <c:v>109.9633815</c:v>
                </c:pt>
                <c:pt idx="29">
                  <c:v>115.04305889</c:v>
                </c:pt>
                <c:pt idx="30">
                  <c:v>118.0520724567</c:v>
                </c:pt>
                <c:pt idx="31">
                  <c:v>119.41103278999999</c:v>
                </c:pt>
                <c:pt idx="32">
                  <c:v>120.86644972329999</c:v>
                </c:pt>
                <c:pt idx="33">
                  <c:v>121.28088714</c:v>
                </c:pt>
                <c:pt idx="34">
                  <c:v>121.71715223</c:v>
                </c:pt>
                <c:pt idx="35">
                  <c:v>123.8050942533</c:v>
                </c:pt>
                <c:pt idx="36">
                  <c:v>127.20726921000001</c:v>
                </c:pt>
                <c:pt idx="37">
                  <c:v>128.52631946330001</c:v>
                </c:pt>
                <c:pt idx="38">
                  <c:v>129.45782687330001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4E3A-4019-A51B-F5B445A0E4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576768"/>
        <c:axId val="156575232"/>
      </c:lineChart>
      <c:catAx>
        <c:axId val="156100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cs-CZ"/>
          </a:p>
        </c:txPr>
        <c:crossAx val="156573696"/>
        <c:crosses val="autoZero"/>
        <c:auto val="1"/>
        <c:lblAlgn val="ctr"/>
        <c:lblOffset val="0"/>
        <c:noMultiLvlLbl val="0"/>
      </c:catAx>
      <c:valAx>
        <c:axId val="156573696"/>
        <c:scaling>
          <c:orientation val="minMax"/>
          <c:max val="15"/>
          <c:min val="-3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Tržby (příspěvky k</a:t>
                </a:r>
                <a:r>
                  <a:rPr lang="cs-CZ" sz="700" b="0" i="1" baseline="0"/>
                  <a:t> meziroční změně)</a:t>
                </a:r>
                <a:endParaRPr lang="cs-CZ" sz="700" b="0" i="1"/>
              </a:p>
            </c:rich>
          </c:tx>
          <c:layout>
            <c:manualLayout>
              <c:xMode val="edge"/>
              <c:yMode val="edge"/>
              <c:x val="0"/>
              <c:y val="0.136492655112195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56100864"/>
        <c:crosses val="autoZero"/>
        <c:crossBetween val="between"/>
        <c:majorUnit val="5"/>
      </c:valAx>
      <c:valAx>
        <c:axId val="156575232"/>
        <c:scaling>
          <c:orientation val="minMax"/>
          <c:max val="150"/>
          <c:min val="-30"/>
        </c:scaling>
        <c:delete val="0"/>
        <c:axPos val="r"/>
        <c:title>
          <c:tx>
            <c:rich>
              <a:bodyPr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700" b="0" i="1" u="none" strike="noStrike" kern="1200" baseline="0">
                    <a:solidFill>
                      <a:sysClr val="windowText" lastClr="000000"/>
                    </a:solidFill>
                    <a:latin typeface="Arial" pitchFamily="34" charset="0"/>
                    <a:ea typeface="+mn-ea"/>
                    <a:cs typeface="+mn-cs"/>
                  </a:defRPr>
                </a:pPr>
                <a:r>
                  <a:rPr lang="cs-CZ" sz="700" b="0" i="1" baseline="0">
                    <a:effectLst/>
                  </a:rPr>
                  <a:t>Tržby (báze 2021=100)</a:t>
                </a:r>
                <a:r>
                  <a:rPr lang="cs-CZ" sz="700" b="0" i="1"/>
                  <a:t>,</a:t>
                </a:r>
                <a:r>
                  <a:rPr lang="cs-CZ" sz="700" b="0" i="1" baseline="0"/>
                  <a:t> s</a:t>
                </a:r>
                <a:r>
                  <a:rPr lang="cs-CZ" sz="700" b="0" i="1"/>
                  <a:t>aldo důvěry, bariéry růstu</a:t>
                </a:r>
              </a:p>
            </c:rich>
          </c:tx>
          <c:layout>
            <c:manualLayout>
              <c:xMode val="edge"/>
              <c:yMode val="edge"/>
              <c:x val="0.97059962406015032"/>
              <c:y val="7.2968499427262329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56576768"/>
        <c:crosses val="max"/>
        <c:crossBetween val="between"/>
        <c:majorUnit val="20"/>
      </c:valAx>
      <c:catAx>
        <c:axId val="1565767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6575232"/>
        <c:crosses val="autoZero"/>
        <c:auto val="1"/>
        <c:lblAlgn val="ctr"/>
        <c:lblOffset val="100"/>
        <c:noMultiLvlLbl val="0"/>
      </c:catAx>
      <c:spPr>
        <a:ln>
          <a:solidFill>
            <a:schemeClr val="tx1">
              <a:lumMod val="75000"/>
              <a:lumOff val="2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2.7894149438737266E-3"/>
          <c:y val="0.80683901693256121"/>
          <c:w val="0.99229354112783008"/>
          <c:h val="0.18952404020147029"/>
        </c:manualLayout>
      </c:layout>
      <c:overlay val="0"/>
      <c:spPr>
        <a:ln w="6350">
          <a:solidFill>
            <a:schemeClr val="tx1"/>
          </a:solidFill>
        </a:ln>
      </c:spPr>
      <c:txPr>
        <a:bodyPr/>
        <a:lstStyle/>
        <a:p>
          <a:pPr>
            <a:defRPr sz="72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5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461666861125732E-2"/>
          <c:y val="1.5803328678987455E-2"/>
          <c:w val="0.85878628700879256"/>
          <c:h val="0.73450542783153383"/>
        </c:manualLayout>
      </c:layout>
      <c:barChart>
        <c:barDir val="col"/>
        <c:grouping val="stacked"/>
        <c:varyColors val="0"/>
        <c:ser>
          <c:idx val="0"/>
          <c:order val="1"/>
          <c:tx>
            <c:strRef>
              <c:f>'výkonnost odvětví 5a'!$E$66</c:f>
              <c:strCache>
                <c:ptCount val="1"/>
                <c:pt idx="0">
                  <c:v>Maloobchod s potravinami (příspěvek)</c:v>
                </c:pt>
              </c:strCache>
            </c:strRef>
          </c:tx>
          <c:spPr>
            <a:solidFill>
              <a:srgbClr val="92D050"/>
            </a:solidFill>
            <a:ln w="15875">
              <a:noFill/>
            </a:ln>
          </c:spPr>
          <c:invertIfNegative val="0"/>
          <c:cat>
            <c:multiLvlStrRef>
              <c:f>'výkonnost odvětví 5a'!$B$67:$C$106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5a'!$E$67:$E$106</c:f>
              <c:numCache>
                <c:formatCode>#\ ##0.0</c:formatCode>
                <c:ptCount val="40"/>
                <c:pt idx="0">
                  <c:v>1.7523817972228575</c:v>
                </c:pt>
                <c:pt idx="1">
                  <c:v>1.1495538604575486</c:v>
                </c:pt>
                <c:pt idx="2">
                  <c:v>1.851654245012579</c:v>
                </c:pt>
                <c:pt idx="3">
                  <c:v>1.4230053336458297</c:v>
                </c:pt>
                <c:pt idx="4">
                  <c:v>1.7335386338403211</c:v>
                </c:pt>
                <c:pt idx="5">
                  <c:v>1.4057978539692639</c:v>
                </c:pt>
                <c:pt idx="6">
                  <c:v>1.0226992305466713</c:v>
                </c:pt>
                <c:pt idx="7">
                  <c:v>-4.5727948098357493E-2</c:v>
                </c:pt>
                <c:pt idx="8">
                  <c:v>0.76530947894932633</c:v>
                </c:pt>
                <c:pt idx="9">
                  <c:v>1.3628557482991555</c:v>
                </c:pt>
                <c:pt idx="10">
                  <c:v>1.1031113273196382</c:v>
                </c:pt>
                <c:pt idx="11">
                  <c:v>0.92620191285996878</c:v>
                </c:pt>
                <c:pt idx="12">
                  <c:v>1.4716867951941146</c:v>
                </c:pt>
                <c:pt idx="13">
                  <c:v>0.53065594307662001</c:v>
                </c:pt>
                <c:pt idx="14">
                  <c:v>0.93178458575098189</c:v>
                </c:pt>
                <c:pt idx="15">
                  <c:v>0.38805043936963324</c:v>
                </c:pt>
                <c:pt idx="16">
                  <c:v>-0.29388750825225862</c:v>
                </c:pt>
                <c:pt idx="17">
                  <c:v>1.4252855332899248</c:v>
                </c:pt>
                <c:pt idx="18">
                  <c:v>0.13007735319413302</c:v>
                </c:pt>
                <c:pt idx="19">
                  <c:v>1.4154025710079869</c:v>
                </c:pt>
                <c:pt idx="20">
                  <c:v>0.68707923703683382</c:v>
                </c:pt>
                <c:pt idx="21">
                  <c:v>-1.8614966729136802</c:v>
                </c:pt>
                <c:pt idx="22">
                  <c:v>-0.64766112448952962</c:v>
                </c:pt>
                <c:pt idx="23">
                  <c:v>-0.28286695735560252</c:v>
                </c:pt>
                <c:pt idx="24">
                  <c:v>-0.60033878493335169</c:v>
                </c:pt>
                <c:pt idx="25">
                  <c:v>0.49712996078350541</c:v>
                </c:pt>
                <c:pt idx="26">
                  <c:v>-0.28841482525274181</c:v>
                </c:pt>
                <c:pt idx="27">
                  <c:v>-9.977915000883754E-5</c:v>
                </c:pt>
                <c:pt idx="28">
                  <c:v>-5.6711556096241109E-2</c:v>
                </c:pt>
                <c:pt idx="29">
                  <c:v>-1.1162419066567921</c:v>
                </c:pt>
                <c:pt idx="30">
                  <c:v>-2.2908717718466018</c:v>
                </c:pt>
                <c:pt idx="31">
                  <c:v>-3.2435027623872776</c:v>
                </c:pt>
                <c:pt idx="32">
                  <c:v>-3.1069199645328642</c:v>
                </c:pt>
                <c:pt idx="33">
                  <c:v>-2.8480975877934389</c:v>
                </c:pt>
                <c:pt idx="34">
                  <c:v>-1.6900123846165827</c:v>
                </c:pt>
                <c:pt idx="35">
                  <c:v>-0.73229022215427264</c:v>
                </c:pt>
                <c:pt idx="36">
                  <c:v>0.9024483910307598</c:v>
                </c:pt>
                <c:pt idx="37">
                  <c:v>1.1520280651660322</c:v>
                </c:pt>
                <c:pt idx="38">
                  <c:v>0.91840595633734001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94-4C9F-9F61-4B339E5CB1A0}"/>
            </c:ext>
          </c:extLst>
        </c:ser>
        <c:ser>
          <c:idx val="1"/>
          <c:order val="2"/>
          <c:tx>
            <c:strRef>
              <c:f>'výkonnost odvětví 5a'!$F$66</c:f>
              <c:strCache>
                <c:ptCount val="1"/>
                <c:pt idx="0">
                  <c:v>Mal. s nepotravinářským zbož. (příspěvek)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 w="15875">
              <a:noFill/>
            </a:ln>
          </c:spPr>
          <c:invertIfNegative val="0"/>
          <c:cat>
            <c:multiLvlStrRef>
              <c:f>'výkonnost odvětví 5a'!$B$67:$C$106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5a'!$F$67:$F$106</c:f>
              <c:numCache>
                <c:formatCode>#\ ##0.0</c:formatCode>
                <c:ptCount val="40"/>
                <c:pt idx="0">
                  <c:v>3.196375922725744</c:v>
                </c:pt>
                <c:pt idx="1">
                  <c:v>3.8741896087490026</c:v>
                </c:pt>
                <c:pt idx="2">
                  <c:v>2.6728850705219784</c:v>
                </c:pt>
                <c:pt idx="3">
                  <c:v>3.6626826182851304</c:v>
                </c:pt>
                <c:pt idx="4">
                  <c:v>2.7862532923580798</c:v>
                </c:pt>
                <c:pt idx="5">
                  <c:v>2.5540667218407971</c:v>
                </c:pt>
                <c:pt idx="6">
                  <c:v>3.2508787600372759</c:v>
                </c:pt>
                <c:pt idx="7">
                  <c:v>3.4435667776451586</c:v>
                </c:pt>
                <c:pt idx="8">
                  <c:v>4.1783561564843161</c:v>
                </c:pt>
                <c:pt idx="9">
                  <c:v>4.4153226755500015</c:v>
                </c:pt>
                <c:pt idx="10">
                  <c:v>4.0607561596078439</c:v>
                </c:pt>
                <c:pt idx="11">
                  <c:v>4.5695527698288956</c:v>
                </c:pt>
                <c:pt idx="12">
                  <c:v>3.963036260303999</c:v>
                </c:pt>
                <c:pt idx="13">
                  <c:v>3.3542121185564358</c:v>
                </c:pt>
                <c:pt idx="14">
                  <c:v>2.577047135089233</c:v>
                </c:pt>
                <c:pt idx="15">
                  <c:v>3.7162196737466258</c:v>
                </c:pt>
                <c:pt idx="16">
                  <c:v>1.303288764236783</c:v>
                </c:pt>
                <c:pt idx="17">
                  <c:v>2.4531469805048736</c:v>
                </c:pt>
                <c:pt idx="18">
                  <c:v>4.2934983663490245</c:v>
                </c:pt>
                <c:pt idx="19">
                  <c:v>5.6709230985066315</c:v>
                </c:pt>
                <c:pt idx="20">
                  <c:v>-5.7511622856734265E-2</c:v>
                </c:pt>
                <c:pt idx="21">
                  <c:v>-0.33300612932107432</c:v>
                </c:pt>
                <c:pt idx="22">
                  <c:v>1.4198268570219985</c:v>
                </c:pt>
                <c:pt idx="23">
                  <c:v>-1.8469460892868841</c:v>
                </c:pt>
                <c:pt idx="24">
                  <c:v>0.21061776675534943</c:v>
                </c:pt>
                <c:pt idx="25">
                  <c:v>5.5790183869169416</c:v>
                </c:pt>
                <c:pt idx="26">
                  <c:v>3.6250811084712713</c:v>
                </c:pt>
                <c:pt idx="27">
                  <c:v>5.6715980375015249</c:v>
                </c:pt>
                <c:pt idx="28">
                  <c:v>5.9931517097170435</c:v>
                </c:pt>
                <c:pt idx="29">
                  <c:v>-0.95178371016794128</c:v>
                </c:pt>
                <c:pt idx="30">
                  <c:v>-3.9413147620950633</c:v>
                </c:pt>
                <c:pt idx="31">
                  <c:v>-5.6408012480799696</c:v>
                </c:pt>
                <c:pt idx="32">
                  <c:v>-4.7805101815133124</c:v>
                </c:pt>
                <c:pt idx="33">
                  <c:v>-4.4948044033014938</c:v>
                </c:pt>
                <c:pt idx="34">
                  <c:v>-2.4601141627556746</c:v>
                </c:pt>
                <c:pt idx="35">
                  <c:v>0.4539192379309796</c:v>
                </c:pt>
                <c:pt idx="36">
                  <c:v>2.5293406235329501</c:v>
                </c:pt>
                <c:pt idx="37">
                  <c:v>2.6534593118189482</c:v>
                </c:pt>
                <c:pt idx="38">
                  <c:v>3.4908937664324209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94-4C9F-9F61-4B339E5CB1A0}"/>
            </c:ext>
          </c:extLst>
        </c:ser>
        <c:ser>
          <c:idx val="4"/>
          <c:order val="3"/>
          <c:tx>
            <c:strRef>
              <c:f>'výkonnost odvětví 5a'!$G$66</c:f>
              <c:strCache>
                <c:ptCount val="1"/>
                <c:pt idx="0">
                  <c:v>Maloobchodní prodej PHM (příspěvek)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 w="15875">
              <a:noFill/>
            </a:ln>
          </c:spPr>
          <c:invertIfNegative val="0"/>
          <c:cat>
            <c:multiLvlStrRef>
              <c:f>'výkonnost odvětví 5a'!$B$67:$C$106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5a'!$G$67:$G$106</c:f>
              <c:numCache>
                <c:formatCode>#\ ##0.0</c:formatCode>
                <c:ptCount val="40"/>
                <c:pt idx="0">
                  <c:v>0.75440023430656378</c:v>
                </c:pt>
                <c:pt idx="1">
                  <c:v>0.588112843666875</c:v>
                </c:pt>
                <c:pt idx="2">
                  <c:v>0.78402402568450724</c:v>
                </c:pt>
                <c:pt idx="3">
                  <c:v>0.94331728244946667</c:v>
                </c:pt>
                <c:pt idx="4">
                  <c:v>0.6744248436917698</c:v>
                </c:pt>
                <c:pt idx="5">
                  <c:v>0.72348584188138532</c:v>
                </c:pt>
                <c:pt idx="6">
                  <c:v>0.62302098548854723</c:v>
                </c:pt>
                <c:pt idx="7">
                  <c:v>0.62533415443375595</c:v>
                </c:pt>
                <c:pt idx="8">
                  <c:v>0.54805568528260806</c:v>
                </c:pt>
                <c:pt idx="9">
                  <c:v>0.75356148860252614</c:v>
                </c:pt>
                <c:pt idx="10">
                  <c:v>0.84316485479481218</c:v>
                </c:pt>
                <c:pt idx="11">
                  <c:v>0.68534345825768528</c:v>
                </c:pt>
                <c:pt idx="12">
                  <c:v>0.66536323714663226</c:v>
                </c:pt>
                <c:pt idx="13">
                  <c:v>0.59516252422904425</c:v>
                </c:pt>
                <c:pt idx="14">
                  <c:v>0.3739332000264744</c:v>
                </c:pt>
                <c:pt idx="15">
                  <c:v>0.43257407692417521</c:v>
                </c:pt>
                <c:pt idx="16">
                  <c:v>0.17809135629917194</c:v>
                </c:pt>
                <c:pt idx="17">
                  <c:v>0.36908315571938399</c:v>
                </c:pt>
                <c:pt idx="18">
                  <c:v>0.27107333589466731</c:v>
                </c:pt>
                <c:pt idx="19">
                  <c:v>0.19660561540526125</c:v>
                </c:pt>
                <c:pt idx="20">
                  <c:v>-0.75718611502805722</c:v>
                </c:pt>
                <c:pt idx="21">
                  <c:v>-1.9736345702533769</c:v>
                </c:pt>
                <c:pt idx="22">
                  <c:v>8.4968496843834063E-2</c:v>
                </c:pt>
                <c:pt idx="23">
                  <c:v>-1.074545645994486</c:v>
                </c:pt>
                <c:pt idx="24">
                  <c:v>-0.67665927913906165</c:v>
                </c:pt>
                <c:pt idx="25">
                  <c:v>1.0671080837237854</c:v>
                </c:pt>
                <c:pt idx="26">
                  <c:v>0.37022446710666651</c:v>
                </c:pt>
                <c:pt idx="27">
                  <c:v>0.92331122739333127</c:v>
                </c:pt>
                <c:pt idx="28">
                  <c:v>1.2434054262022374</c:v>
                </c:pt>
                <c:pt idx="29">
                  <c:v>-0.71068102285792556</c:v>
                </c:pt>
                <c:pt idx="30">
                  <c:v>-1.4490861674970055</c:v>
                </c:pt>
                <c:pt idx="31">
                  <c:v>-0.43043185301112769</c:v>
                </c:pt>
                <c:pt idx="32">
                  <c:v>9.4544918290108332E-2</c:v>
                </c:pt>
                <c:pt idx="33">
                  <c:v>1.0477315332444843</c:v>
                </c:pt>
                <c:pt idx="34">
                  <c:v>1.0254379867952947</c:v>
                </c:pt>
                <c:pt idx="35">
                  <c:v>0.21063329288941432</c:v>
                </c:pt>
                <c:pt idx="36">
                  <c:v>0.48660186345901507</c:v>
                </c:pt>
                <c:pt idx="37">
                  <c:v>0.2819882960001644</c:v>
                </c:pt>
                <c:pt idx="38">
                  <c:v>0.46214898017944683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94-4C9F-9F61-4B339E5CB1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overlap val="100"/>
        <c:axId val="156100864"/>
        <c:axId val="156573696"/>
      </c:barChart>
      <c:lineChart>
        <c:grouping val="standard"/>
        <c:varyColors val="0"/>
        <c:ser>
          <c:idx val="3"/>
          <c:order val="0"/>
          <c:tx>
            <c:strRef>
              <c:f>'výkonnost odvětví 5a'!$D$66</c:f>
              <c:strCache>
                <c:ptCount val="1"/>
                <c:pt idx="0">
                  <c:v>Maloobchod celkem (meziroční růst)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7"/>
            <c:spPr>
              <a:solidFill>
                <a:schemeClr val="tx1">
                  <a:lumMod val="85000"/>
                  <a:lumOff val="15000"/>
                </a:schemeClr>
              </a:solidFill>
              <a:ln w="6350">
                <a:noFill/>
              </a:ln>
            </c:spPr>
          </c:marker>
          <c:cat>
            <c:multiLvlStrRef>
              <c:f>'výkonnost odvětví 5a'!$B$67:$C$106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5a'!$D$67:$D$106</c:f>
              <c:numCache>
                <c:formatCode>#\ ##0.0</c:formatCode>
                <c:ptCount val="40"/>
                <c:pt idx="0">
                  <c:v>5.5650157121000063</c:v>
                </c:pt>
                <c:pt idx="1">
                  <c:v>5.3140316102000043</c:v>
                </c:pt>
                <c:pt idx="2">
                  <c:v>5.261668949500006</c:v>
                </c:pt>
                <c:pt idx="3">
                  <c:v>5.8260167462999988</c:v>
                </c:pt>
                <c:pt idx="4">
                  <c:v>5.1163484119999936</c:v>
                </c:pt>
                <c:pt idx="5">
                  <c:v>4.584747701699996</c:v>
                </c:pt>
                <c:pt idx="6">
                  <c:v>4.6478731618999944</c:v>
                </c:pt>
                <c:pt idx="7">
                  <c:v>3.5966109598000031</c:v>
                </c:pt>
                <c:pt idx="8">
                  <c:v>5.068305469799995</c:v>
                </c:pt>
                <c:pt idx="9">
                  <c:v>6.2034114922000043</c:v>
                </c:pt>
                <c:pt idx="10">
                  <c:v>5.6856724027999945</c:v>
                </c:pt>
                <c:pt idx="11">
                  <c:v>5.8244576314999961</c:v>
                </c:pt>
                <c:pt idx="12">
                  <c:v>5.9658330699000004</c:v>
                </c:pt>
                <c:pt idx="13">
                  <c:v>4.3854129643000022</c:v>
                </c:pt>
                <c:pt idx="14">
                  <c:v>3.8380531616000013</c:v>
                </c:pt>
                <c:pt idx="15">
                  <c:v>4.3570454750999943</c:v>
                </c:pt>
                <c:pt idx="16">
                  <c:v>1.1052891966999994</c:v>
                </c:pt>
                <c:pt idx="17">
                  <c:v>4.2167027101999963</c:v>
                </c:pt>
                <c:pt idx="18">
                  <c:v>4.5117376484000005</c:v>
                </c:pt>
                <c:pt idx="19">
                  <c:v>7.2113533302999997</c:v>
                </c:pt>
                <c:pt idx="20">
                  <c:v>-0.15887647600000321</c:v>
                </c:pt>
                <c:pt idx="21">
                  <c:v>-4.2817243594000018</c:v>
                </c:pt>
                <c:pt idx="22">
                  <c:v>0.81643935670000189</c:v>
                </c:pt>
                <c:pt idx="23">
                  <c:v>-3.1393056612999999</c:v>
                </c:pt>
                <c:pt idx="24">
                  <c:v>-1.1382510513000028</c:v>
                </c:pt>
                <c:pt idx="25">
                  <c:v>6.9679581171999985</c:v>
                </c:pt>
                <c:pt idx="26">
                  <c:v>3.5942571922000042</c:v>
                </c:pt>
                <c:pt idx="27">
                  <c:v>6.4916018952000059</c:v>
                </c:pt>
                <c:pt idx="28">
                  <c:v>6.7814191883000063</c:v>
                </c:pt>
                <c:pt idx="29">
                  <c:v>-2.8215747625999938</c:v>
                </c:pt>
                <c:pt idx="30">
                  <c:v>-7.6594390055000048</c:v>
                </c:pt>
                <c:pt idx="31">
                  <c:v>-9.3135717451999938</c:v>
                </c:pt>
                <c:pt idx="32">
                  <c:v>-7.7746153302000067</c:v>
                </c:pt>
                <c:pt idx="33">
                  <c:v>-6.2743843612000063</c:v>
                </c:pt>
                <c:pt idx="34">
                  <c:v>-3.1424515510999953</c:v>
                </c:pt>
                <c:pt idx="35">
                  <c:v>-0.12907576310000479</c:v>
                </c:pt>
                <c:pt idx="36">
                  <c:v>3.9216901478999944</c:v>
                </c:pt>
                <c:pt idx="37">
                  <c:v>4.0877525525000067</c:v>
                </c:pt>
                <c:pt idx="38">
                  <c:v>4.8712484656000044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A94-4C9F-9F61-4B339E5CB1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100864"/>
        <c:axId val="156573696"/>
      </c:lineChart>
      <c:lineChart>
        <c:grouping val="standard"/>
        <c:varyColors val="0"/>
        <c:ser>
          <c:idx val="5"/>
          <c:order val="4"/>
          <c:tx>
            <c:strRef>
              <c:f>'výkonnost odvětví 5a'!$H$66</c:f>
              <c:strCache>
                <c:ptCount val="1"/>
                <c:pt idx="0">
                  <c:v>Maloobchod, bez motor. segm. (2021=100)</c:v>
                </c:pt>
              </c:strCache>
            </c:strRef>
          </c:tx>
          <c:spPr>
            <a:ln w="15875">
              <a:solidFill>
                <a:schemeClr val="tx1">
                  <a:lumMod val="95000"/>
                  <a:lumOff val="5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'výkonnost odvětví 5a'!$B$67:$C$106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5a'!$H$67:$H$106</c:f>
              <c:numCache>
                <c:formatCode>#\ ##0.0</c:formatCode>
                <c:ptCount val="40"/>
                <c:pt idx="0">
                  <c:v>79.387619700000002</c:v>
                </c:pt>
                <c:pt idx="1">
                  <c:v>80.3062253433</c:v>
                </c:pt>
                <c:pt idx="2">
                  <c:v>81.199263806700003</c:v>
                </c:pt>
                <c:pt idx="3">
                  <c:v>82.829916143299997</c:v>
                </c:pt>
                <c:pt idx="4">
                  <c:v>83.359185409999995</c:v>
                </c:pt>
                <c:pt idx="5">
                  <c:v>84.084432476700002</c:v>
                </c:pt>
                <c:pt idx="6">
                  <c:v>85.181352770000004</c:v>
                </c:pt>
                <c:pt idx="7">
                  <c:v>85.88258064</c:v>
                </c:pt>
                <c:pt idx="8">
                  <c:v>87.4984558867</c:v>
                </c:pt>
                <c:pt idx="9">
                  <c:v>89.139402750000002</c:v>
                </c:pt>
                <c:pt idx="10">
                  <c:v>90.153519266700002</c:v>
                </c:pt>
                <c:pt idx="11">
                  <c:v>90.503926663300007</c:v>
                </c:pt>
                <c:pt idx="12">
                  <c:v>93.105140056699994</c:v>
                </c:pt>
                <c:pt idx="13">
                  <c:v>93.1742804167</c:v>
                </c:pt>
                <c:pt idx="14">
                  <c:v>93.514300739999996</c:v>
                </c:pt>
                <c:pt idx="15">
                  <c:v>93.457195813300004</c:v>
                </c:pt>
                <c:pt idx="16">
                  <c:v>95.080488453300006</c:v>
                </c:pt>
                <c:pt idx="17">
                  <c:v>97.775211506700003</c:v>
                </c:pt>
                <c:pt idx="18">
                  <c:v>97.432309173299998</c:v>
                </c:pt>
                <c:pt idx="19">
                  <c:v>98.591741543300003</c:v>
                </c:pt>
                <c:pt idx="20">
                  <c:v>95.1745252467</c:v>
                </c:pt>
                <c:pt idx="21">
                  <c:v>94.2238113433</c:v>
                </c:pt>
                <c:pt idx="22">
                  <c:v>98.2489351567</c:v>
                </c:pt>
                <c:pt idx="23">
                  <c:v>95.276546670000002</c:v>
                </c:pt>
                <c:pt idx="24">
                  <c:v>93.085231556699995</c:v>
                </c:pt>
                <c:pt idx="25">
                  <c:v>100.68734419</c:v>
                </c:pt>
                <c:pt idx="26">
                  <c:v>102.05627647670001</c:v>
                </c:pt>
                <c:pt idx="27">
                  <c:v>101.6244914933</c:v>
                </c:pt>
                <c:pt idx="28">
                  <c:v>99.642163116700004</c:v>
                </c:pt>
                <c:pt idx="29">
                  <c:v>97.803516169999995</c:v>
                </c:pt>
                <c:pt idx="30">
                  <c:v>94.902212676700003</c:v>
                </c:pt>
                <c:pt idx="31">
                  <c:v>92.902012920000004</c:v>
                </c:pt>
                <c:pt idx="32">
                  <c:v>91.705612616699995</c:v>
                </c:pt>
                <c:pt idx="33">
                  <c:v>91.400801286700002</c:v>
                </c:pt>
                <c:pt idx="34">
                  <c:v>91.82826068</c:v>
                </c:pt>
                <c:pt idx="35">
                  <c:v>92.832267123299999</c:v>
                </c:pt>
                <c:pt idx="36">
                  <c:v>94.822207820000003</c:v>
                </c:pt>
                <c:pt idx="37">
                  <c:v>95.5062408167</c:v>
                </c:pt>
                <c:pt idx="38">
                  <c:v>96.514793583300005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A94-4C9F-9F61-4B339E5CB1A0}"/>
            </c:ext>
          </c:extLst>
        </c:ser>
        <c:ser>
          <c:idx val="2"/>
          <c:order val="5"/>
          <c:tx>
            <c:strRef>
              <c:f>'výkonnost odvětví 5a'!$I$66</c:f>
              <c:strCache>
                <c:ptCount val="1"/>
                <c:pt idx="0">
                  <c:v>z toho: maloobchod.prodej PHM (2021=100)</c:v>
                </c:pt>
              </c:strCache>
            </c:strRef>
          </c:tx>
          <c:spPr>
            <a:ln w="15875">
              <a:solidFill>
                <a:schemeClr val="bg2">
                  <a:lumMod val="50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'výkonnost odvětví 5a'!$B$67:$C$106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5a'!$I$67:$I$106</c:f>
              <c:numCache>
                <c:formatCode>#\ ##0.0</c:formatCode>
                <c:ptCount val="40"/>
                <c:pt idx="0">
                  <c:v>86.524761636700006</c:v>
                </c:pt>
                <c:pt idx="1">
                  <c:v>87.411957833299994</c:v>
                </c:pt>
                <c:pt idx="2">
                  <c:v>89.056815003300002</c:v>
                </c:pt>
                <c:pt idx="3">
                  <c:v>90.635829810000004</c:v>
                </c:pt>
                <c:pt idx="4">
                  <c:v>91.354174043300006</c:v>
                </c:pt>
                <c:pt idx="5">
                  <c:v>92.452717846699997</c:v>
                </c:pt>
                <c:pt idx="6">
                  <c:v>93.451031206699994</c:v>
                </c:pt>
                <c:pt idx="7">
                  <c:v>94.790568546700001</c:v>
                </c:pt>
                <c:pt idx="8">
                  <c:v>96.066324203299999</c:v>
                </c:pt>
                <c:pt idx="9">
                  <c:v>97.673183713300006</c:v>
                </c:pt>
                <c:pt idx="10">
                  <c:v>99.237647573299995</c:v>
                </c:pt>
                <c:pt idx="11">
                  <c:v>100.2896053067</c:v>
                </c:pt>
                <c:pt idx="12">
                  <c:v>101.9259088133</c:v>
                </c:pt>
                <c:pt idx="13">
                  <c:v>102.3498273733</c:v>
                </c:pt>
                <c:pt idx="14">
                  <c:v>102.00124114330001</c:v>
                </c:pt>
                <c:pt idx="15">
                  <c:v>101.92222832669999</c:v>
                </c:pt>
                <c:pt idx="16">
                  <c:v>105.52141971330001</c:v>
                </c:pt>
                <c:pt idx="17">
                  <c:v>106.7492027433</c:v>
                </c:pt>
                <c:pt idx="18">
                  <c:v>102.2677534367</c:v>
                </c:pt>
                <c:pt idx="19">
                  <c:v>102.38734820329999</c:v>
                </c:pt>
                <c:pt idx="20">
                  <c:v>101.74032914999999</c:v>
                </c:pt>
                <c:pt idx="21">
                  <c:v>89.521872973300006</c:v>
                </c:pt>
                <c:pt idx="22">
                  <c:v>98.536132409999993</c:v>
                </c:pt>
                <c:pt idx="23">
                  <c:v>92.227044199999995</c:v>
                </c:pt>
                <c:pt idx="24">
                  <c:v>96.291281263299993</c:v>
                </c:pt>
                <c:pt idx="25">
                  <c:v>101.04365437</c:v>
                </c:pt>
                <c:pt idx="26">
                  <c:v>102.2297312367</c:v>
                </c:pt>
                <c:pt idx="27">
                  <c:v>100.1517753767</c:v>
                </c:pt>
                <c:pt idx="28">
                  <c:v>100.60378222670001</c:v>
                </c:pt>
                <c:pt idx="29">
                  <c:v>95.989461030000001</c:v>
                </c:pt>
                <c:pt idx="30">
                  <c:v>95.304583916699997</c:v>
                </c:pt>
                <c:pt idx="31">
                  <c:v>98.051835253299998</c:v>
                </c:pt>
                <c:pt idx="32">
                  <c:v>99.150168566700003</c:v>
                </c:pt>
                <c:pt idx="33">
                  <c:v>101.9336974367</c:v>
                </c:pt>
                <c:pt idx="34">
                  <c:v>102.8604334833</c:v>
                </c:pt>
                <c:pt idx="35">
                  <c:v>101.8850149733</c:v>
                </c:pt>
                <c:pt idx="36">
                  <c:v>103.8544651233</c:v>
                </c:pt>
                <c:pt idx="37">
                  <c:v>105.0951542933</c:v>
                </c:pt>
                <c:pt idx="38">
                  <c:v>107.0113015467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A94-4C9F-9F61-4B339E5CB1A0}"/>
            </c:ext>
          </c:extLst>
        </c:ser>
        <c:ser>
          <c:idx val="6"/>
          <c:order val="6"/>
          <c:tx>
            <c:strRef>
              <c:f>'výkonnost odvětví 5a'!$J$66</c:f>
              <c:strCache>
                <c:ptCount val="1"/>
                <c:pt idx="0">
                  <c:v>Obchod a opravy motor. vozidel (2021=100)</c:v>
                </c:pt>
              </c:strCache>
            </c:strRef>
          </c:tx>
          <c:spPr>
            <a:ln w="15875">
              <a:solidFill>
                <a:srgbClr val="984807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5a'!$B$67:$C$106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5a'!$J$67:$J$106</c:f>
              <c:numCache>
                <c:formatCode>#\ ##0.0</c:formatCode>
                <c:ptCount val="40"/>
                <c:pt idx="0">
                  <c:v>94.876410473299998</c:v>
                </c:pt>
                <c:pt idx="1">
                  <c:v>97.695799643300006</c:v>
                </c:pt>
                <c:pt idx="2">
                  <c:v>100.06974644669999</c:v>
                </c:pt>
                <c:pt idx="3">
                  <c:v>102.95079615</c:v>
                </c:pt>
                <c:pt idx="4">
                  <c:v>104.2505530033</c:v>
                </c:pt>
                <c:pt idx="5">
                  <c:v>105.7391903267</c:v>
                </c:pt>
                <c:pt idx="6">
                  <c:v>107.83085998670001</c:v>
                </c:pt>
                <c:pt idx="7">
                  <c:v>108.3916669833</c:v>
                </c:pt>
                <c:pt idx="8">
                  <c:v>109.6607583333</c:v>
                </c:pt>
                <c:pt idx="9">
                  <c:v>110.11505321999999</c:v>
                </c:pt>
                <c:pt idx="10">
                  <c:v>109.31164355999999</c:v>
                </c:pt>
                <c:pt idx="11">
                  <c:v>110.27179532</c:v>
                </c:pt>
                <c:pt idx="12">
                  <c:v>108.78251946669999</c:v>
                </c:pt>
                <c:pt idx="13">
                  <c:v>108.49123695</c:v>
                </c:pt>
                <c:pt idx="14">
                  <c:v>108.3772654867</c:v>
                </c:pt>
                <c:pt idx="15">
                  <c:v>106.77434101</c:v>
                </c:pt>
                <c:pt idx="16">
                  <c:v>108.7007365533</c:v>
                </c:pt>
                <c:pt idx="17">
                  <c:v>109.26996463</c:v>
                </c:pt>
                <c:pt idx="18">
                  <c:v>107.48895487670001</c:v>
                </c:pt>
                <c:pt idx="19">
                  <c:v>107.35668517000001</c:v>
                </c:pt>
                <c:pt idx="20">
                  <c:v>95.100964756699994</c:v>
                </c:pt>
                <c:pt idx="21">
                  <c:v>78.817161313300005</c:v>
                </c:pt>
                <c:pt idx="22">
                  <c:v>99.582288770000005</c:v>
                </c:pt>
                <c:pt idx="23">
                  <c:v>99.444996476699998</c:v>
                </c:pt>
                <c:pt idx="24">
                  <c:v>101.46299121</c:v>
                </c:pt>
                <c:pt idx="25">
                  <c:v>101.19404523670001</c:v>
                </c:pt>
                <c:pt idx="26">
                  <c:v>98.559819239999996</c:v>
                </c:pt>
                <c:pt idx="27">
                  <c:v>97.331106026699999</c:v>
                </c:pt>
                <c:pt idx="28">
                  <c:v>96.612995826700001</c:v>
                </c:pt>
                <c:pt idx="29">
                  <c:v>95.531365586700005</c:v>
                </c:pt>
                <c:pt idx="30">
                  <c:v>95.5321426</c:v>
                </c:pt>
                <c:pt idx="31">
                  <c:v>96.024004660000003</c:v>
                </c:pt>
                <c:pt idx="32">
                  <c:v>98.779390903299998</c:v>
                </c:pt>
                <c:pt idx="33">
                  <c:v>99.551942569999994</c:v>
                </c:pt>
                <c:pt idx="34">
                  <c:v>100.9935914167</c:v>
                </c:pt>
                <c:pt idx="35">
                  <c:v>101.55433032000001</c:v>
                </c:pt>
                <c:pt idx="36">
                  <c:v>101.9034549733</c:v>
                </c:pt>
                <c:pt idx="37">
                  <c:v>101.5006662367</c:v>
                </c:pt>
                <c:pt idx="38">
                  <c:v>101.43484343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1A94-4C9F-9F61-4B339E5CB1A0}"/>
            </c:ext>
          </c:extLst>
        </c:ser>
        <c:ser>
          <c:idx val="7"/>
          <c:order val="7"/>
          <c:tx>
            <c:strRef>
              <c:f>'výkonnost odvětví 5a'!$K$66</c:f>
              <c:strCache>
                <c:ptCount val="1"/>
              </c:strCache>
            </c:strRef>
          </c:tx>
          <c:spPr>
            <a:ln w="3175">
              <a:noFill/>
              <a:prstDash val="sysDash"/>
            </a:ln>
          </c:spPr>
          <c:marker>
            <c:symbol val="none"/>
          </c:marker>
          <c:cat>
            <c:multiLvlStrRef>
              <c:f>'výkonnost odvětví 5a'!$B$67:$C$106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5a'!$K$67:$K$106</c:f>
              <c:numCache>
                <c:formatCode>General</c:formatCode>
                <c:ptCount val="4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1A94-4C9F-9F61-4B339E5CB1A0}"/>
            </c:ext>
          </c:extLst>
        </c:ser>
        <c:ser>
          <c:idx val="8"/>
          <c:order val="8"/>
          <c:tx>
            <c:strRef>
              <c:f>'výkonnost odvětví 5a'!$L$66</c:f>
              <c:strCache>
                <c:ptCount val="1"/>
                <c:pt idx="0">
                  <c:v>Saldo indikátoru důvěry spotřebitelů</c:v>
                </c:pt>
              </c:strCache>
            </c:strRef>
          </c:tx>
          <c:spPr>
            <a:ln w="127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circle"/>
            <c:size val="5"/>
            <c:spPr>
              <a:solidFill>
                <a:srgbClr val="FFFF00"/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marker>
          <c:cat>
            <c:multiLvlStrRef>
              <c:f>'výkonnost odvětví 5a'!$B$67:$C$106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5a'!$L$67:$L$106</c:f>
              <c:numCache>
                <c:formatCode>0.0</c:formatCode>
                <c:ptCount val="40"/>
                <c:pt idx="0">
                  <c:v>-1.75</c:v>
                </c:pt>
                <c:pt idx="1">
                  <c:v>0.25</c:v>
                </c:pt>
                <c:pt idx="2">
                  <c:v>-3.75</c:v>
                </c:pt>
                <c:pt idx="3">
                  <c:v>-0.25</c:v>
                </c:pt>
                <c:pt idx="4">
                  <c:v>-1.5</c:v>
                </c:pt>
                <c:pt idx="5">
                  <c:v>0</c:v>
                </c:pt>
                <c:pt idx="6">
                  <c:v>-2.25</c:v>
                </c:pt>
                <c:pt idx="7">
                  <c:v>0.75</c:v>
                </c:pt>
                <c:pt idx="8">
                  <c:v>1.25</c:v>
                </c:pt>
                <c:pt idx="9">
                  <c:v>-0.5</c:v>
                </c:pt>
                <c:pt idx="10">
                  <c:v>0.5</c:v>
                </c:pt>
                <c:pt idx="11">
                  <c:v>5</c:v>
                </c:pt>
                <c:pt idx="12">
                  <c:v>3.75</c:v>
                </c:pt>
                <c:pt idx="13">
                  <c:v>6</c:v>
                </c:pt>
                <c:pt idx="14">
                  <c:v>4</c:v>
                </c:pt>
                <c:pt idx="15">
                  <c:v>1</c:v>
                </c:pt>
                <c:pt idx="16">
                  <c:v>3.25</c:v>
                </c:pt>
                <c:pt idx="17">
                  <c:v>0</c:v>
                </c:pt>
                <c:pt idx="18">
                  <c:v>2.25</c:v>
                </c:pt>
                <c:pt idx="19">
                  <c:v>-0.5</c:v>
                </c:pt>
                <c:pt idx="20">
                  <c:v>-1.75</c:v>
                </c:pt>
                <c:pt idx="21">
                  <c:v>-9.25</c:v>
                </c:pt>
                <c:pt idx="22">
                  <c:v>-8.75</c:v>
                </c:pt>
                <c:pt idx="23">
                  <c:v>-18.5</c:v>
                </c:pt>
                <c:pt idx="24">
                  <c:v>-16.25</c:v>
                </c:pt>
                <c:pt idx="25">
                  <c:v>-6.75</c:v>
                </c:pt>
                <c:pt idx="26">
                  <c:v>-4.5</c:v>
                </c:pt>
                <c:pt idx="27">
                  <c:v>-17</c:v>
                </c:pt>
                <c:pt idx="28">
                  <c:v>-16.5</c:v>
                </c:pt>
                <c:pt idx="29">
                  <c:v>-31</c:v>
                </c:pt>
                <c:pt idx="30">
                  <c:v>-29.8</c:v>
                </c:pt>
                <c:pt idx="31">
                  <c:v>-30.8</c:v>
                </c:pt>
                <c:pt idx="32">
                  <c:v>-21</c:v>
                </c:pt>
                <c:pt idx="33">
                  <c:v>-20.3</c:v>
                </c:pt>
                <c:pt idx="34">
                  <c:v>-18</c:v>
                </c:pt>
                <c:pt idx="35">
                  <c:v>-18.3</c:v>
                </c:pt>
                <c:pt idx="36">
                  <c:v>-15.8</c:v>
                </c:pt>
                <c:pt idx="37">
                  <c:v>-9</c:v>
                </c:pt>
                <c:pt idx="38">
                  <c:v>-12.8</c:v>
                </c:pt>
                <c:pt idx="39">
                  <c:v>-9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1A94-4C9F-9F61-4B339E5CB1A0}"/>
            </c:ext>
          </c:extLst>
        </c:ser>
        <c:ser>
          <c:idx val="9"/>
          <c:order val="9"/>
          <c:tx>
            <c:strRef>
              <c:f>'výkonnost odvětví 5a'!$M$66</c:f>
              <c:strCache>
                <c:ptCount val="1"/>
                <c:pt idx="0">
                  <c:v>Saldo indikátoru důvěry obchodníků</c:v>
                </c:pt>
              </c:strCache>
            </c:strRef>
          </c:tx>
          <c:spPr>
            <a:ln w="6350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triangle"/>
            <c:size val="5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marker>
          <c:cat>
            <c:multiLvlStrRef>
              <c:f>'výkonnost odvětví 5a'!$B$67:$C$106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'výkonnost odvětví 5a'!$M$67:$M$106</c:f>
              <c:numCache>
                <c:formatCode>0.0</c:formatCode>
                <c:ptCount val="40"/>
                <c:pt idx="0">
                  <c:v>20</c:v>
                </c:pt>
                <c:pt idx="1">
                  <c:v>20.7</c:v>
                </c:pt>
                <c:pt idx="2">
                  <c:v>17.600000000000001</c:v>
                </c:pt>
                <c:pt idx="3">
                  <c:v>19.7</c:v>
                </c:pt>
                <c:pt idx="4">
                  <c:v>22.7</c:v>
                </c:pt>
                <c:pt idx="5">
                  <c:v>17.7</c:v>
                </c:pt>
                <c:pt idx="6">
                  <c:v>17.7</c:v>
                </c:pt>
                <c:pt idx="7">
                  <c:v>21</c:v>
                </c:pt>
                <c:pt idx="8">
                  <c:v>24.3</c:v>
                </c:pt>
                <c:pt idx="9">
                  <c:v>17.3</c:v>
                </c:pt>
                <c:pt idx="10">
                  <c:v>22.7</c:v>
                </c:pt>
                <c:pt idx="11">
                  <c:v>21.7</c:v>
                </c:pt>
                <c:pt idx="12">
                  <c:v>23.3</c:v>
                </c:pt>
                <c:pt idx="13">
                  <c:v>17.3</c:v>
                </c:pt>
                <c:pt idx="14">
                  <c:v>15.6</c:v>
                </c:pt>
                <c:pt idx="15">
                  <c:v>15</c:v>
                </c:pt>
                <c:pt idx="16">
                  <c:v>12.7</c:v>
                </c:pt>
                <c:pt idx="17">
                  <c:v>12.3</c:v>
                </c:pt>
                <c:pt idx="18">
                  <c:v>14.7</c:v>
                </c:pt>
                <c:pt idx="19">
                  <c:v>14.7</c:v>
                </c:pt>
                <c:pt idx="20">
                  <c:v>18.7</c:v>
                </c:pt>
                <c:pt idx="21">
                  <c:v>-1</c:v>
                </c:pt>
                <c:pt idx="22">
                  <c:v>12</c:v>
                </c:pt>
                <c:pt idx="23">
                  <c:v>7</c:v>
                </c:pt>
                <c:pt idx="24">
                  <c:v>1.3</c:v>
                </c:pt>
                <c:pt idx="25">
                  <c:v>15</c:v>
                </c:pt>
                <c:pt idx="26">
                  <c:v>18.3</c:v>
                </c:pt>
                <c:pt idx="27">
                  <c:v>21.3</c:v>
                </c:pt>
                <c:pt idx="28">
                  <c:v>19.7</c:v>
                </c:pt>
                <c:pt idx="29">
                  <c:v>19.600000000000001</c:v>
                </c:pt>
                <c:pt idx="30">
                  <c:v>10.3</c:v>
                </c:pt>
                <c:pt idx="31">
                  <c:v>14.7</c:v>
                </c:pt>
                <c:pt idx="32">
                  <c:v>9.3000000000000007</c:v>
                </c:pt>
                <c:pt idx="33">
                  <c:v>13.3</c:v>
                </c:pt>
                <c:pt idx="34">
                  <c:v>5.7</c:v>
                </c:pt>
                <c:pt idx="35">
                  <c:v>3.3</c:v>
                </c:pt>
                <c:pt idx="36">
                  <c:v>1.7</c:v>
                </c:pt>
                <c:pt idx="37">
                  <c:v>11.3</c:v>
                </c:pt>
                <c:pt idx="38">
                  <c:v>9.3000000000000007</c:v>
                </c:pt>
                <c:pt idx="39">
                  <c:v>11.3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1A94-4C9F-9F61-4B339E5CB1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5570767"/>
        <c:axId val="1875563695"/>
      </c:lineChart>
      <c:catAx>
        <c:axId val="156100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cs-CZ"/>
          </a:p>
        </c:txPr>
        <c:crossAx val="156573696"/>
        <c:crosses val="autoZero"/>
        <c:auto val="1"/>
        <c:lblAlgn val="ctr"/>
        <c:lblOffset val="0"/>
        <c:noMultiLvlLbl val="0"/>
      </c:catAx>
      <c:valAx>
        <c:axId val="156573696"/>
        <c:scaling>
          <c:orientation val="minMax"/>
          <c:max val="12"/>
          <c:min val="-1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50" b="0" i="1"/>
                </a:pPr>
                <a:r>
                  <a:rPr lang="cs-CZ" sz="750" b="0" i="1"/>
                  <a:t>Tržby</a:t>
                </a:r>
                <a:r>
                  <a:rPr lang="cs-CZ" sz="750" b="0" i="1" baseline="0"/>
                  <a:t> (příspěvky k meziroč. změně)</a:t>
                </a:r>
                <a:endParaRPr lang="cs-CZ" sz="750" b="0" i="1"/>
              </a:p>
            </c:rich>
          </c:tx>
          <c:layout>
            <c:manualLayout>
              <c:xMode val="edge"/>
              <c:yMode val="edge"/>
              <c:x val="2.6086947381477195E-3"/>
              <c:y val="0.16393316671713359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56100864"/>
        <c:crosses val="autoZero"/>
        <c:crossBetween val="between"/>
        <c:majorUnit val="2"/>
      </c:valAx>
      <c:valAx>
        <c:axId val="1875563695"/>
        <c:scaling>
          <c:orientation val="minMax"/>
          <c:max val="125"/>
          <c:min val="-40"/>
        </c:scaling>
        <c:delete val="0"/>
        <c:axPos val="r"/>
        <c:title>
          <c:tx>
            <c:rich>
              <a:bodyPr/>
              <a:lstStyle/>
              <a:p>
                <a:pPr>
                  <a:defRPr sz="750" b="0" i="1"/>
                </a:pPr>
                <a:r>
                  <a:rPr lang="cs-CZ" sz="750" b="0" i="1">
                    <a:latin typeface="Arial" panose="020B0604020202020204" pitchFamily="34" charset="0"/>
                    <a:cs typeface="Arial" panose="020B0604020202020204" pitchFamily="34" charset="0"/>
                  </a:rPr>
                  <a:t>Tržby</a:t>
                </a:r>
                <a:r>
                  <a:rPr lang="cs-CZ" sz="750" b="0" i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(rok 2021=100), </a:t>
                </a:r>
                <a:r>
                  <a:rPr lang="cs-CZ" sz="750" b="0" i="1" u="none" strike="noStrike" baseline="0">
                    <a:effectLst/>
                    <a:latin typeface="Arial" panose="020B0604020202020204" pitchFamily="34" charset="0"/>
                    <a:cs typeface="Arial" panose="020B0604020202020204" pitchFamily="34" charset="0"/>
                  </a:rPr>
                  <a:t>saldo důvěry</a:t>
                </a:r>
                <a:endParaRPr lang="cs-CZ" sz="750" b="0" i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96896265019335537"/>
              <c:y val="0.174339711750961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875570767"/>
        <c:crosses val="max"/>
        <c:crossBetween val="between"/>
        <c:majorUnit val="15"/>
      </c:valAx>
      <c:catAx>
        <c:axId val="187557076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75563695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5.1385534144624996E-3"/>
          <c:y val="0.837216076019483"/>
          <c:w val="0.98691543107779145"/>
          <c:h val="0.15565653623547093"/>
        </c:manualLayout>
      </c:layout>
      <c:overlay val="0"/>
      <c:spPr>
        <a:ln w="6350">
          <a:solidFill>
            <a:schemeClr val="tx1"/>
          </a:solidFill>
        </a:ln>
      </c:spPr>
      <c:txPr>
        <a:bodyPr/>
        <a:lstStyle/>
        <a:p>
          <a:pPr>
            <a:defRPr sz="75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5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1df8c39b067b5d25b5f5e865a8e6deb3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0a1e36cc980726b26aea9439dfb6e5b7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A1E1-1E99-4B4F-B9B5-70567730A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681AD-41B0-431A-9D34-CF6700A12FAC}">
  <ds:schemaRefs>
    <ds:schemaRef ds:uri="http://purl.org/dc/elements/1.1/"/>
    <ds:schemaRef ds:uri="b8c0c86d-151e-4fca-b0d5-747e6692fa1d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17542A-452A-49A6-BD70-25B5200F3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45C34A-B5AB-423F-AB9D-9C9081D8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4890</Words>
  <Characters>28853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33676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Jana</dc:creator>
  <cp:keywords/>
  <cp:lastModifiedBy>Zábojníková Karolína</cp:lastModifiedBy>
  <cp:revision>3</cp:revision>
  <cp:lastPrinted>2014-07-17T14:07:00Z</cp:lastPrinted>
  <dcterms:created xsi:type="dcterms:W3CDTF">2024-12-16T10:31:00Z</dcterms:created>
  <dcterms:modified xsi:type="dcterms:W3CDTF">2024-12-16T10:39:00Z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  <property fmtid="{D5CDD505-2E9C-101B-9397-08002B2CF9AE}" pid="3" name="Názevformuláře">
    <vt:lpwstr>Publikace CZ barevné - vícetematické analýzy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2018-04-17T07:00:00Z</vt:filetime>
  </property>
  <property fmtid="{D5CDD505-2E9C-101B-9397-08002B2CF9AE}" pid="8" name="Označení">
    <vt:lpwstr>Form_c444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