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30" w:rsidRDefault="00224C30" w:rsidP="002A6E50">
      <w:pPr>
        <w:tabs>
          <w:tab w:val="left" w:pos="851"/>
          <w:tab w:val="left" w:pos="993"/>
        </w:tabs>
        <w:jc w:val="center"/>
        <w:rPr>
          <w:rFonts w:ascii="Arial" w:hAnsi="Arial" w:cs="Arial"/>
          <w:sz w:val="32"/>
        </w:rPr>
      </w:pPr>
      <w:bookmarkStart w:id="0" w:name="_GoBack"/>
      <w:bookmarkEnd w:id="0"/>
      <w:r w:rsidRPr="00AD565B">
        <w:rPr>
          <w:rFonts w:ascii="Arial" w:hAnsi="Arial" w:cs="Arial"/>
          <w:sz w:val="32"/>
        </w:rPr>
        <w:t>Vývoj</w:t>
      </w:r>
      <w:r w:rsidRPr="00AD565B">
        <w:rPr>
          <w:rFonts w:ascii="Arial" w:hAnsi="Arial" w:cs="Arial"/>
          <w:b/>
          <w:bCs/>
          <w:sz w:val="32"/>
        </w:rPr>
        <w:t xml:space="preserve"> </w:t>
      </w:r>
      <w:r w:rsidRPr="00AD565B">
        <w:rPr>
          <w:rFonts w:ascii="Arial" w:hAnsi="Arial" w:cs="Arial"/>
          <w:sz w:val="32"/>
        </w:rPr>
        <w:t>cen průmyslových výrobců v </w:t>
      </w:r>
      <w:r w:rsidR="00AD565B" w:rsidRPr="00AD565B">
        <w:rPr>
          <w:rFonts w:ascii="Arial" w:hAnsi="Arial" w:cs="Arial"/>
          <w:sz w:val="32"/>
        </w:rPr>
        <w:t>září</w:t>
      </w:r>
      <w:r w:rsidRPr="00AD565B">
        <w:rPr>
          <w:rFonts w:ascii="Arial" w:hAnsi="Arial" w:cs="Arial"/>
          <w:sz w:val="32"/>
        </w:rPr>
        <w:t xml:space="preserve"> 202</w:t>
      </w:r>
      <w:r w:rsidR="0028058B" w:rsidRPr="00AD565B">
        <w:rPr>
          <w:rFonts w:ascii="Arial" w:hAnsi="Arial" w:cs="Arial"/>
          <w:sz w:val="32"/>
        </w:rPr>
        <w:t>3</w:t>
      </w:r>
    </w:p>
    <w:p w:rsidR="004E4B06" w:rsidRPr="00AD565B" w:rsidRDefault="004E4B06" w:rsidP="002A6E50">
      <w:pPr>
        <w:tabs>
          <w:tab w:val="left" w:pos="851"/>
          <w:tab w:val="left" w:pos="993"/>
        </w:tabs>
        <w:rPr>
          <w:rFonts w:ascii="Arial" w:hAnsi="Arial" w:cs="Arial"/>
          <w:sz w:val="32"/>
        </w:rPr>
      </w:pPr>
    </w:p>
    <w:p w:rsidR="002A6E50" w:rsidRDefault="002A6E50" w:rsidP="002A6E50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Meziměsíční srovnání:</w:t>
      </w:r>
    </w:p>
    <w:p w:rsidR="002A6E50" w:rsidRDefault="002A6E50" w:rsidP="002A6E50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</w:p>
    <w:p w:rsidR="002A6E50" w:rsidRDefault="00AD565B" w:rsidP="002A6E50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4E4B06">
        <w:rPr>
          <w:rFonts w:ascii="Arial" w:hAnsi="Arial" w:cs="Arial"/>
          <w:b/>
          <w:sz w:val="20"/>
          <w:szCs w:val="20"/>
        </w:rPr>
        <w:t>Meziměsíčně se zvýšily ceny</w:t>
      </w:r>
      <w:r w:rsidRPr="004E4B06">
        <w:rPr>
          <w:rFonts w:ascii="Arial" w:hAnsi="Arial" w:cs="Arial"/>
          <w:sz w:val="20"/>
          <w:szCs w:val="20"/>
        </w:rPr>
        <w:t xml:space="preserve"> </w:t>
      </w:r>
      <w:r w:rsidRPr="004E4B06">
        <w:rPr>
          <w:rFonts w:ascii="Arial" w:hAnsi="Arial" w:cs="Arial"/>
          <w:b/>
          <w:sz w:val="20"/>
          <w:szCs w:val="20"/>
        </w:rPr>
        <w:t xml:space="preserve">průmyslových výrobců </w:t>
      </w:r>
      <w:r w:rsidRPr="004E4B06">
        <w:rPr>
          <w:rFonts w:ascii="Arial" w:hAnsi="Arial" w:cs="Arial"/>
          <w:sz w:val="20"/>
          <w:szCs w:val="20"/>
        </w:rPr>
        <w:t>o 0,3 %.</w:t>
      </w:r>
    </w:p>
    <w:p w:rsidR="002A6E50" w:rsidRDefault="002A6E50" w:rsidP="002A6E50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2A6E50" w:rsidRDefault="002A6E50" w:rsidP="002A6E50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5BA9EF9" wp14:editId="5F307ABE">
            <wp:extent cx="5760720" cy="3926205"/>
            <wp:effectExtent l="0" t="0" r="11430" b="1714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60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A6E50" w:rsidRDefault="002A6E50" w:rsidP="002A6E50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2A6E50" w:rsidRDefault="00AD565B" w:rsidP="002A6E50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4E4B06">
        <w:rPr>
          <w:rFonts w:ascii="Arial" w:hAnsi="Arial" w:cs="Arial"/>
          <w:sz w:val="20"/>
          <w:szCs w:val="20"/>
        </w:rPr>
        <w:t>Vzrostly zejména ceny koksu a rafinovaných ropných produktů. Ceny chemických látek byly vyšší o 2,5 %, motorových vozidel o 0,6 % a kovodělných výrobků o 0,7 %.</w:t>
      </w:r>
    </w:p>
    <w:p w:rsidR="002A6E50" w:rsidRDefault="002A6E50" w:rsidP="002A6E50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2A6E50" w:rsidRDefault="00AD565B" w:rsidP="002A6E50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4E4B06">
        <w:rPr>
          <w:rFonts w:ascii="Arial" w:hAnsi="Arial" w:cs="Arial"/>
          <w:sz w:val="20"/>
          <w:szCs w:val="20"/>
        </w:rPr>
        <w:t>Snížily se ceny potravinářských výrobků o 1,1 %, z toho průmyslových krmiv o 3,9 %, zpracovaného a konzervovaného masa a výrobků z masa o 1,2 % a rostlinných a ži</w:t>
      </w:r>
      <w:r w:rsidR="002A6E50">
        <w:rPr>
          <w:rFonts w:ascii="Arial" w:hAnsi="Arial" w:cs="Arial"/>
          <w:sz w:val="20"/>
          <w:szCs w:val="20"/>
        </w:rPr>
        <w:t>vočišných olejů a tuků o 5,6 %.</w:t>
      </w:r>
    </w:p>
    <w:p w:rsidR="002A6E50" w:rsidRDefault="002A6E50" w:rsidP="002A6E50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28404E" w:rsidRPr="004E4B06" w:rsidRDefault="00AD565B" w:rsidP="002A6E50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4E4B06">
        <w:rPr>
          <w:rFonts w:ascii="Arial" w:hAnsi="Arial" w:cs="Arial"/>
          <w:sz w:val="20"/>
          <w:szCs w:val="20"/>
        </w:rPr>
        <w:t>Ceny elektřiny, plynu, páry a klimatizovaného vzduchu byly nižší o 0,3 % a základních kovů o 1,2 %.</w:t>
      </w:r>
    </w:p>
    <w:p w:rsidR="00801C1B" w:rsidRPr="00045CEE" w:rsidRDefault="00801C1B" w:rsidP="002A6E50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AA576A" w:rsidRDefault="005937E4" w:rsidP="002A6E50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A576A" w:rsidRDefault="00AA576A" w:rsidP="002A6E50">
      <w:pPr>
        <w:tabs>
          <w:tab w:val="left" w:pos="1134"/>
        </w:tabs>
        <w:rPr>
          <w:rFonts w:ascii="Arial" w:hAnsi="Arial" w:cs="Arial"/>
          <w:sz w:val="20"/>
        </w:rPr>
      </w:pPr>
    </w:p>
    <w:p w:rsidR="008E0052" w:rsidRDefault="00352062" w:rsidP="002A6E50">
      <w:pPr>
        <w:tabs>
          <w:tab w:val="left" w:pos="1134"/>
        </w:tabs>
        <w:rPr>
          <w:rFonts w:ascii="Arial" w:hAnsi="Arial" w:cs="Arial"/>
          <w:sz w:val="20"/>
        </w:rPr>
      </w:pPr>
      <w:r w:rsidRPr="00352062">
        <w:rPr>
          <w:noProof/>
        </w:rPr>
        <w:drawing>
          <wp:inline distT="0" distB="0" distL="0" distR="0">
            <wp:extent cx="5133975" cy="12287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052" w:rsidRDefault="008E0052" w:rsidP="002A6E50">
      <w:pPr>
        <w:tabs>
          <w:tab w:val="left" w:pos="1134"/>
        </w:tabs>
        <w:rPr>
          <w:rFonts w:ascii="Arial" w:hAnsi="Arial" w:cs="Arial"/>
          <w:sz w:val="20"/>
        </w:rPr>
      </w:pPr>
    </w:p>
    <w:p w:rsidR="002A6E50" w:rsidRDefault="002A6E50" w:rsidP="002A6E5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A6E50" w:rsidRDefault="002A6E50" w:rsidP="002A6E5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A6E50" w:rsidRDefault="002A6E50" w:rsidP="002A6E5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A6E50" w:rsidRDefault="002A6E50" w:rsidP="002A6E5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A6E50" w:rsidRDefault="002A6E50" w:rsidP="002A6E5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A6E50" w:rsidRPr="002A6E50" w:rsidRDefault="002A6E50" w:rsidP="002A6E5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A6E50">
        <w:rPr>
          <w:rFonts w:ascii="Arial" w:hAnsi="Arial" w:cs="Arial"/>
          <w:b/>
          <w:sz w:val="20"/>
          <w:szCs w:val="20"/>
        </w:rPr>
        <w:lastRenderedPageBreak/>
        <w:t>Meziroční srovnání:</w:t>
      </w:r>
    </w:p>
    <w:p w:rsidR="002A6E50" w:rsidRDefault="002A6E50" w:rsidP="002A6E50">
      <w:pPr>
        <w:spacing w:line="276" w:lineRule="auto"/>
        <w:rPr>
          <w:rFonts w:ascii="Arial" w:hAnsi="Arial" w:cs="Arial"/>
          <w:sz w:val="20"/>
          <w:szCs w:val="20"/>
        </w:rPr>
      </w:pPr>
    </w:p>
    <w:p w:rsidR="002A6E50" w:rsidRDefault="006526A1" w:rsidP="002A6E50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6526A1">
        <w:rPr>
          <w:rFonts w:ascii="Arial" w:hAnsi="Arial" w:cs="Arial"/>
          <w:sz w:val="20"/>
          <w:szCs w:val="20"/>
        </w:rPr>
        <w:t xml:space="preserve">Ceny </w:t>
      </w:r>
      <w:r w:rsidRPr="006526A1">
        <w:rPr>
          <w:rFonts w:ascii="Arial" w:hAnsi="Arial" w:cs="Arial"/>
          <w:b/>
          <w:bCs/>
          <w:sz w:val="20"/>
          <w:szCs w:val="20"/>
        </w:rPr>
        <w:t>průmyslových výrobců byly meziročně</w:t>
      </w:r>
      <w:r w:rsidRPr="006526A1">
        <w:rPr>
          <w:rFonts w:ascii="Arial" w:hAnsi="Arial" w:cs="Arial"/>
          <w:bCs/>
          <w:sz w:val="20"/>
          <w:szCs w:val="20"/>
        </w:rPr>
        <w:t xml:space="preserve"> </w:t>
      </w:r>
      <w:r w:rsidRPr="006526A1">
        <w:rPr>
          <w:rFonts w:ascii="Arial" w:hAnsi="Arial" w:cs="Arial"/>
          <w:b/>
          <w:bCs/>
          <w:sz w:val="20"/>
          <w:szCs w:val="20"/>
        </w:rPr>
        <w:t>vyšší</w:t>
      </w:r>
      <w:r w:rsidRPr="006526A1">
        <w:rPr>
          <w:rFonts w:ascii="Arial" w:hAnsi="Arial" w:cs="Arial"/>
          <w:bCs/>
          <w:sz w:val="20"/>
          <w:szCs w:val="20"/>
        </w:rPr>
        <w:t xml:space="preserve"> o 0,8 % (v srpnu o 1,8 %).</w:t>
      </w:r>
    </w:p>
    <w:p w:rsidR="002A6E50" w:rsidRDefault="002A6E50" w:rsidP="002A6E50">
      <w:pPr>
        <w:spacing w:line="276" w:lineRule="auto"/>
        <w:rPr>
          <w:rFonts w:ascii="Arial" w:hAnsi="Arial" w:cs="Arial"/>
          <w:sz w:val="20"/>
          <w:szCs w:val="20"/>
        </w:rPr>
      </w:pPr>
    </w:p>
    <w:p w:rsidR="002A6E50" w:rsidRDefault="002A6E50" w:rsidP="002A6E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E05D251" wp14:editId="61264B1B">
            <wp:extent cx="5760720" cy="3279140"/>
            <wp:effectExtent l="0" t="0" r="11430" b="1651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9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A6E50" w:rsidRDefault="002A6E50" w:rsidP="002A6E50">
      <w:pPr>
        <w:spacing w:line="276" w:lineRule="auto"/>
        <w:rPr>
          <w:rFonts w:ascii="Arial" w:hAnsi="Arial" w:cs="Arial"/>
          <w:sz w:val="20"/>
          <w:szCs w:val="20"/>
        </w:rPr>
      </w:pPr>
    </w:p>
    <w:p w:rsidR="002A6E50" w:rsidRDefault="002A6E50" w:rsidP="002A6E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520E072" wp14:editId="26AE1E79">
            <wp:extent cx="5760720" cy="4377055"/>
            <wp:effectExtent l="0" t="0" r="11430" b="4445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A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A6E50" w:rsidRDefault="002A6E50" w:rsidP="002A6E50">
      <w:pPr>
        <w:spacing w:line="276" w:lineRule="auto"/>
        <w:rPr>
          <w:rFonts w:ascii="Arial" w:hAnsi="Arial" w:cs="Arial"/>
          <w:sz w:val="20"/>
          <w:szCs w:val="20"/>
        </w:rPr>
      </w:pPr>
    </w:p>
    <w:p w:rsidR="002A6E50" w:rsidRDefault="006526A1" w:rsidP="002A6E50">
      <w:pPr>
        <w:spacing w:line="276" w:lineRule="auto"/>
        <w:rPr>
          <w:rFonts w:ascii="Arial" w:hAnsi="Arial" w:cs="Arial"/>
          <w:sz w:val="20"/>
          <w:szCs w:val="20"/>
        </w:rPr>
      </w:pPr>
      <w:r w:rsidRPr="006526A1">
        <w:rPr>
          <w:rFonts w:ascii="Arial" w:hAnsi="Arial" w:cs="Arial"/>
          <w:sz w:val="20"/>
          <w:szCs w:val="20"/>
        </w:rPr>
        <w:lastRenderedPageBreak/>
        <w:t>Ceny elektřiny, plynu, páry a klimatizovaného vzduchu vzrostly o 4,4 %, černého a hnědého uhlí a lignitu o 67,1 %, ostatních nekovových minerálních výrobků o 9,1 %, motorových vozidel o 3,5 % a  potravinářských výrobků o 0,9 %.</w:t>
      </w:r>
    </w:p>
    <w:p w:rsidR="002A6E50" w:rsidRDefault="002A6E50" w:rsidP="002A6E50">
      <w:pPr>
        <w:spacing w:line="276" w:lineRule="auto"/>
        <w:rPr>
          <w:rFonts w:ascii="Arial" w:hAnsi="Arial" w:cs="Arial"/>
          <w:sz w:val="20"/>
          <w:szCs w:val="20"/>
        </w:rPr>
      </w:pPr>
    </w:p>
    <w:p w:rsidR="007E3F25" w:rsidRPr="006526A1" w:rsidRDefault="006526A1" w:rsidP="002A6E50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6526A1">
        <w:rPr>
          <w:rFonts w:ascii="Arial" w:hAnsi="Arial" w:cs="Arial"/>
          <w:sz w:val="20"/>
          <w:szCs w:val="20"/>
        </w:rPr>
        <w:t xml:space="preserve">Klesly ceny koksu a rafinovaných ropných produktů, základních kovů o 16,2 %, chemických látek a chemických přípravků o 14,3 % a dřeva, dřevěných a korkových výrobků o 20,4 %. </w:t>
      </w:r>
    </w:p>
    <w:p w:rsidR="007E3F25" w:rsidRPr="006D4052" w:rsidRDefault="007E3F25" w:rsidP="002A6E50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B6CA3" w:rsidRDefault="005937E4" w:rsidP="002A6E50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4D7DFF" w:rsidRDefault="008E7C34" w:rsidP="002A6E5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</w:t>
      </w:r>
      <w:r w:rsidR="007D0933">
        <w:rPr>
          <w:rFonts w:ascii="Arial" w:hAnsi="Arial" w:cs="Arial"/>
          <w:sz w:val="20"/>
        </w:rPr>
        <w:t xml:space="preserve">     </w:t>
      </w:r>
      <w:r w:rsidR="004508AD">
        <w:rPr>
          <w:rFonts w:ascii="Arial" w:hAnsi="Arial" w:cs="Arial"/>
          <w:sz w:val="20"/>
        </w:rPr>
        <w:t xml:space="preserve"> </w:t>
      </w:r>
    </w:p>
    <w:p w:rsidR="008E7C34" w:rsidRDefault="00B31151" w:rsidP="002A6E50">
      <w:r w:rsidRPr="00B31151">
        <w:rPr>
          <w:noProof/>
        </w:rPr>
        <w:drawing>
          <wp:inline distT="0" distB="0" distL="0" distR="0">
            <wp:extent cx="5133975" cy="15335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FF" w:rsidRDefault="000D7CFF" w:rsidP="002A6E50">
      <w:pPr>
        <w:rPr>
          <w:rFonts w:ascii="Arial" w:hAnsi="Arial" w:cs="Arial"/>
          <w:sz w:val="20"/>
        </w:rPr>
      </w:pPr>
    </w:p>
    <w:p w:rsidR="00761F0F" w:rsidRDefault="00761F0F" w:rsidP="002A6E50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435CD8" w:rsidRDefault="006526A1" w:rsidP="002A6E50">
      <w:pPr>
        <w:spacing w:line="276" w:lineRule="auto"/>
        <w:rPr>
          <w:rFonts w:ascii="Arial" w:hAnsi="Arial" w:cs="Arial"/>
          <w:sz w:val="20"/>
          <w:szCs w:val="20"/>
        </w:rPr>
      </w:pPr>
      <w:r w:rsidRPr="006526A1">
        <w:rPr>
          <w:rFonts w:ascii="Arial" w:hAnsi="Arial" w:cs="Arial"/>
          <w:sz w:val="20"/>
          <w:szCs w:val="20"/>
        </w:rPr>
        <w:t xml:space="preserve">Při hodnocení podle </w:t>
      </w:r>
      <w:r w:rsidRPr="006526A1">
        <w:rPr>
          <w:rFonts w:ascii="Arial" w:hAnsi="Arial" w:cs="Arial"/>
          <w:b/>
          <w:sz w:val="20"/>
          <w:szCs w:val="20"/>
        </w:rPr>
        <w:t>hlavních průmyslových skupin</w:t>
      </w:r>
      <w:r w:rsidRPr="006526A1">
        <w:rPr>
          <w:rFonts w:ascii="Arial" w:hAnsi="Arial" w:cs="Arial"/>
          <w:sz w:val="20"/>
          <w:szCs w:val="20"/>
        </w:rPr>
        <w:t xml:space="preserve"> se nejvíce zvýšily ceny zboží krátkodobé spotřeby, a to o 4,7 %. Ceny energií vzrostly o 3,8 %. Ceny meziproduktů se snížily o 5,5 %. Ceny </w:t>
      </w:r>
      <w:r w:rsidRPr="006526A1">
        <w:rPr>
          <w:rFonts w:ascii="Arial" w:hAnsi="Arial" w:cs="Arial"/>
          <w:b/>
          <w:sz w:val="20"/>
          <w:szCs w:val="20"/>
        </w:rPr>
        <w:t>průmyslových výrobců</w:t>
      </w:r>
      <w:r w:rsidRPr="006526A1">
        <w:rPr>
          <w:rFonts w:ascii="Arial" w:hAnsi="Arial" w:cs="Arial"/>
          <w:sz w:val="20"/>
          <w:szCs w:val="20"/>
        </w:rPr>
        <w:t xml:space="preserve"> </w:t>
      </w:r>
      <w:r w:rsidRPr="006526A1">
        <w:rPr>
          <w:rFonts w:ascii="Arial" w:hAnsi="Arial" w:cs="Arial"/>
          <w:b/>
          <w:sz w:val="20"/>
          <w:szCs w:val="20"/>
        </w:rPr>
        <w:t>bez energií</w:t>
      </w:r>
      <w:r w:rsidRPr="006526A1">
        <w:rPr>
          <w:rFonts w:ascii="Arial" w:hAnsi="Arial" w:cs="Arial"/>
          <w:sz w:val="20"/>
          <w:szCs w:val="20"/>
        </w:rPr>
        <w:t xml:space="preserve"> </w:t>
      </w:r>
      <w:r w:rsidRPr="006526A1">
        <w:rPr>
          <w:rFonts w:ascii="Arial" w:hAnsi="Arial" w:cs="Arial"/>
          <w:b/>
          <w:sz w:val="20"/>
          <w:szCs w:val="20"/>
        </w:rPr>
        <w:t>meziročně</w:t>
      </w:r>
      <w:r w:rsidRPr="006526A1">
        <w:rPr>
          <w:rFonts w:ascii="Arial" w:hAnsi="Arial" w:cs="Arial"/>
          <w:sz w:val="20"/>
          <w:szCs w:val="20"/>
        </w:rPr>
        <w:t xml:space="preserve"> klesly o 0,2 % (v srpnu o 0,1 %). </w:t>
      </w:r>
    </w:p>
    <w:p w:rsidR="00045CEE" w:rsidRPr="00435CD8" w:rsidRDefault="00045CEE" w:rsidP="002A6E50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054BD" w:rsidRDefault="005937E4" w:rsidP="002A6E50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573148">
        <w:rPr>
          <w:rFonts w:ascii="Arial" w:hAnsi="Arial" w:cs="Arial"/>
          <w:sz w:val="20"/>
          <w:szCs w:val="20"/>
        </w:rPr>
        <w:t>1</w:t>
      </w:r>
      <w:r w:rsidR="006526A1">
        <w:rPr>
          <w:rFonts w:ascii="Arial" w:hAnsi="Arial" w:cs="Arial"/>
          <w:sz w:val="20"/>
          <w:szCs w:val="20"/>
        </w:rPr>
        <w:t>09</w:t>
      </w:r>
      <w:r w:rsidR="00573148">
        <w:rPr>
          <w:rFonts w:ascii="Arial" w:hAnsi="Arial" w:cs="Arial"/>
          <w:sz w:val="20"/>
          <w:szCs w:val="20"/>
        </w:rPr>
        <w:t>,</w:t>
      </w:r>
      <w:r w:rsidR="00801C1B">
        <w:rPr>
          <w:rFonts w:ascii="Arial" w:hAnsi="Arial" w:cs="Arial"/>
          <w:sz w:val="20"/>
          <w:szCs w:val="20"/>
        </w:rPr>
        <w:t>9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085AE9" w:rsidRDefault="00085AE9" w:rsidP="002A6E50">
      <w:pPr>
        <w:spacing w:line="276" w:lineRule="auto"/>
        <w:rPr>
          <w:rFonts w:ascii="Arial" w:hAnsi="Arial" w:cs="Arial"/>
          <w:sz w:val="20"/>
          <w:szCs w:val="20"/>
        </w:rPr>
      </w:pPr>
    </w:p>
    <w:p w:rsidR="002A6E50" w:rsidRDefault="002A6E50" w:rsidP="002A6E50">
      <w:pPr>
        <w:pStyle w:val="Nadpis8"/>
        <w:rPr>
          <w:rFonts w:ascii="Arial" w:hAnsi="Arial" w:cs="Arial"/>
          <w:b/>
          <w:i w:val="0"/>
          <w:sz w:val="20"/>
          <w:szCs w:val="20"/>
        </w:rPr>
      </w:pPr>
      <w:r w:rsidRPr="007E6548">
        <w:rPr>
          <w:rFonts w:ascii="Arial" w:hAnsi="Arial" w:cs="Arial"/>
          <w:b/>
          <w:i w:val="0"/>
          <w:sz w:val="20"/>
          <w:szCs w:val="20"/>
        </w:rPr>
        <w:t>Komentář k průměrným cenám průmyslových výrobců</w:t>
      </w:r>
      <w:r>
        <w:rPr>
          <w:rFonts w:ascii="Arial" w:hAnsi="Arial" w:cs="Arial"/>
          <w:b/>
          <w:i w:val="0"/>
          <w:sz w:val="20"/>
          <w:szCs w:val="20"/>
        </w:rPr>
        <w:t xml:space="preserve"> – </w:t>
      </w:r>
      <w:r>
        <w:rPr>
          <w:rFonts w:ascii="Arial" w:hAnsi="Arial" w:cs="Arial"/>
          <w:b/>
          <w:i w:val="0"/>
          <w:sz w:val="20"/>
          <w:szCs w:val="20"/>
        </w:rPr>
        <w:t>září</w:t>
      </w:r>
      <w:r>
        <w:rPr>
          <w:rFonts w:ascii="Arial" w:hAnsi="Arial" w:cs="Arial"/>
          <w:b/>
          <w:i w:val="0"/>
          <w:sz w:val="20"/>
          <w:szCs w:val="20"/>
        </w:rPr>
        <w:t xml:space="preserve"> 2023</w:t>
      </w:r>
    </w:p>
    <w:p w:rsidR="00202CFF" w:rsidRDefault="00202CFF" w:rsidP="002A6E50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D1379" w:rsidRDefault="004D1379" w:rsidP="004D1379">
      <w:pPr>
        <w:rPr>
          <w:rFonts w:ascii="Arial" w:hAnsi="Arial" w:cs="Arial"/>
          <w:sz w:val="20"/>
          <w:szCs w:val="20"/>
        </w:rPr>
      </w:pPr>
      <w:r w:rsidRPr="00833FD9">
        <w:rPr>
          <w:rFonts w:ascii="Arial" w:hAnsi="Arial" w:cs="Arial"/>
          <w:b/>
          <w:sz w:val="20"/>
          <w:szCs w:val="20"/>
        </w:rPr>
        <w:t>101112 Vepřová pečeně s</w:t>
      </w:r>
      <w:r>
        <w:rPr>
          <w:rFonts w:ascii="Arial" w:hAnsi="Arial" w:cs="Arial"/>
          <w:b/>
          <w:sz w:val="20"/>
          <w:szCs w:val="20"/>
        </w:rPr>
        <w:t> </w:t>
      </w:r>
      <w:r w:rsidRPr="00833FD9">
        <w:rPr>
          <w:rFonts w:ascii="Arial" w:hAnsi="Arial" w:cs="Arial"/>
          <w:b/>
          <w:sz w:val="20"/>
          <w:szCs w:val="20"/>
        </w:rPr>
        <w:t>k</w:t>
      </w:r>
      <w:r>
        <w:rPr>
          <w:rFonts w:ascii="Arial" w:hAnsi="Arial" w:cs="Arial"/>
          <w:b/>
          <w:sz w:val="20"/>
          <w:szCs w:val="20"/>
        </w:rPr>
        <w:t xml:space="preserve">ostí: </w:t>
      </w:r>
      <w:r w:rsidRPr="00833FD9">
        <w:rPr>
          <w:rFonts w:ascii="Arial" w:hAnsi="Arial" w:cs="Arial"/>
          <w:sz w:val="20"/>
          <w:szCs w:val="20"/>
        </w:rPr>
        <w:t>snížení nákupních cen prasat</w:t>
      </w:r>
    </w:p>
    <w:p w:rsidR="004D1379" w:rsidRDefault="004D1379" w:rsidP="004D1379">
      <w:pPr>
        <w:rPr>
          <w:rFonts w:ascii="Arial" w:hAnsi="Arial" w:cs="Arial"/>
          <w:sz w:val="20"/>
          <w:szCs w:val="20"/>
        </w:rPr>
      </w:pPr>
    </w:p>
    <w:p w:rsidR="004D1379" w:rsidRDefault="004D1379" w:rsidP="004D1379">
      <w:pPr>
        <w:rPr>
          <w:rFonts w:ascii="Arial" w:hAnsi="Arial" w:cs="Arial"/>
          <w:sz w:val="20"/>
          <w:szCs w:val="20"/>
        </w:rPr>
      </w:pPr>
      <w:r w:rsidRPr="00833FD9">
        <w:rPr>
          <w:rFonts w:ascii="Arial" w:hAnsi="Arial" w:cs="Arial"/>
          <w:b/>
          <w:sz w:val="20"/>
          <w:szCs w:val="20"/>
        </w:rPr>
        <w:t>101314 Dušená šunka</w:t>
      </w:r>
      <w:r>
        <w:rPr>
          <w:rFonts w:ascii="Arial" w:hAnsi="Arial" w:cs="Arial"/>
          <w:sz w:val="20"/>
          <w:szCs w:val="20"/>
        </w:rPr>
        <w:t xml:space="preserve">: </w:t>
      </w:r>
      <w:r w:rsidRPr="00833FD9">
        <w:rPr>
          <w:rFonts w:ascii="Arial" w:hAnsi="Arial" w:cs="Arial"/>
          <w:sz w:val="20"/>
          <w:szCs w:val="20"/>
        </w:rPr>
        <w:t>akční slevy</w:t>
      </w:r>
    </w:p>
    <w:p w:rsidR="004D1379" w:rsidRDefault="004D1379" w:rsidP="004D1379">
      <w:pPr>
        <w:rPr>
          <w:rFonts w:ascii="Arial" w:hAnsi="Arial" w:cs="Arial"/>
          <w:sz w:val="20"/>
          <w:szCs w:val="20"/>
        </w:rPr>
      </w:pPr>
    </w:p>
    <w:p w:rsidR="004D1379" w:rsidRDefault="004D1379" w:rsidP="004D13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833FD9">
        <w:rPr>
          <w:rFonts w:ascii="Arial" w:hAnsi="Arial" w:cs="Arial"/>
          <w:b/>
          <w:sz w:val="20"/>
          <w:szCs w:val="20"/>
        </w:rPr>
        <w:t>06121 Pšeničná mouka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833FD9">
        <w:rPr>
          <w:rFonts w:ascii="Arial" w:hAnsi="Arial" w:cs="Arial"/>
          <w:b/>
          <w:sz w:val="20"/>
          <w:szCs w:val="20"/>
        </w:rPr>
        <w:t>všechny druhy</w:t>
      </w:r>
      <w:r>
        <w:rPr>
          <w:rFonts w:ascii="Arial" w:hAnsi="Arial" w:cs="Arial"/>
          <w:sz w:val="20"/>
          <w:szCs w:val="20"/>
        </w:rPr>
        <w:t xml:space="preserve">: </w:t>
      </w:r>
      <w:r w:rsidRPr="00833FD9">
        <w:rPr>
          <w:rFonts w:ascii="Arial" w:hAnsi="Arial" w:cs="Arial"/>
          <w:sz w:val="20"/>
          <w:szCs w:val="20"/>
        </w:rPr>
        <w:t>nižší ceny letošní pšenice</w:t>
      </w:r>
    </w:p>
    <w:p w:rsidR="004D1379" w:rsidRDefault="004D1379" w:rsidP="004D1379">
      <w:pPr>
        <w:rPr>
          <w:rFonts w:ascii="Arial" w:hAnsi="Arial" w:cs="Arial"/>
          <w:sz w:val="20"/>
          <w:szCs w:val="20"/>
        </w:rPr>
      </w:pPr>
    </w:p>
    <w:p w:rsidR="004D1379" w:rsidRDefault="004D1379" w:rsidP="004D1379">
      <w:pPr>
        <w:rPr>
          <w:rFonts w:ascii="Arial" w:hAnsi="Arial" w:cs="Arial"/>
          <w:sz w:val="20"/>
          <w:szCs w:val="20"/>
        </w:rPr>
      </w:pPr>
      <w:r w:rsidRPr="00833FD9">
        <w:rPr>
          <w:rFonts w:ascii="Arial" w:hAnsi="Arial" w:cs="Arial"/>
          <w:b/>
          <w:sz w:val="20"/>
          <w:szCs w:val="20"/>
        </w:rPr>
        <w:t>109110 Krmné směsi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833FD9">
        <w:rPr>
          <w:rFonts w:ascii="Arial" w:hAnsi="Arial" w:cs="Arial"/>
          <w:b/>
          <w:sz w:val="20"/>
          <w:szCs w:val="20"/>
        </w:rPr>
        <w:t>všechny druhy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33FD9">
        <w:rPr>
          <w:rFonts w:ascii="Arial" w:hAnsi="Arial" w:cs="Arial"/>
          <w:sz w:val="20"/>
          <w:szCs w:val="20"/>
        </w:rPr>
        <w:t>další snížení cen hlavně vlivem</w:t>
      </w:r>
      <w:r>
        <w:rPr>
          <w:rFonts w:ascii="Arial" w:hAnsi="Arial" w:cs="Arial"/>
          <w:sz w:val="20"/>
          <w:szCs w:val="20"/>
        </w:rPr>
        <w:t xml:space="preserve"> </w:t>
      </w:r>
      <w:r w:rsidRPr="00833FD9">
        <w:rPr>
          <w:rFonts w:ascii="Arial" w:hAnsi="Arial" w:cs="Arial"/>
          <w:sz w:val="20"/>
          <w:szCs w:val="20"/>
        </w:rPr>
        <w:t>nízkých cen obilovin</w:t>
      </w:r>
    </w:p>
    <w:p w:rsidR="004D1379" w:rsidRDefault="004D1379" w:rsidP="004D1379">
      <w:pPr>
        <w:rPr>
          <w:rFonts w:ascii="Arial" w:hAnsi="Arial" w:cs="Arial"/>
          <w:sz w:val="20"/>
          <w:szCs w:val="20"/>
        </w:rPr>
      </w:pPr>
    </w:p>
    <w:p w:rsidR="004D1379" w:rsidRDefault="004D1379" w:rsidP="004D1379">
      <w:pPr>
        <w:rPr>
          <w:rFonts w:ascii="Arial" w:hAnsi="Arial" w:cs="Arial"/>
          <w:sz w:val="20"/>
          <w:szCs w:val="20"/>
        </w:rPr>
      </w:pPr>
      <w:r w:rsidRPr="00833FD9">
        <w:rPr>
          <w:rFonts w:ascii="Arial" w:hAnsi="Arial" w:cs="Arial"/>
          <w:b/>
          <w:sz w:val="20"/>
          <w:szCs w:val="20"/>
        </w:rPr>
        <w:t>110510 Pivo sudové výčepní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33FD9">
        <w:rPr>
          <w:rFonts w:ascii="Arial" w:hAnsi="Arial" w:cs="Arial"/>
          <w:sz w:val="20"/>
          <w:szCs w:val="20"/>
        </w:rPr>
        <w:t>omezení slev</w:t>
      </w:r>
      <w:r>
        <w:rPr>
          <w:rFonts w:ascii="Arial" w:hAnsi="Arial" w:cs="Arial"/>
          <w:sz w:val="20"/>
          <w:szCs w:val="20"/>
        </w:rPr>
        <w:t xml:space="preserve">, </w:t>
      </w:r>
      <w:r w:rsidRPr="00833FD9">
        <w:rPr>
          <w:rFonts w:ascii="Arial" w:hAnsi="Arial" w:cs="Arial"/>
          <w:sz w:val="20"/>
          <w:szCs w:val="20"/>
        </w:rPr>
        <w:t>plánované zdražení</w:t>
      </w:r>
    </w:p>
    <w:p w:rsidR="004D1379" w:rsidRDefault="004D1379" w:rsidP="004D1379">
      <w:pPr>
        <w:rPr>
          <w:rFonts w:ascii="Arial" w:hAnsi="Arial" w:cs="Arial"/>
          <w:sz w:val="20"/>
          <w:szCs w:val="20"/>
        </w:rPr>
      </w:pPr>
    </w:p>
    <w:p w:rsidR="004D1379" w:rsidRDefault="004D1379" w:rsidP="002A6E50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4D1379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2A37"/>
    <w:rsid w:val="00044663"/>
    <w:rsid w:val="00045708"/>
    <w:rsid w:val="00045CEE"/>
    <w:rsid w:val="00046747"/>
    <w:rsid w:val="00046FC1"/>
    <w:rsid w:val="000477C0"/>
    <w:rsid w:val="00050637"/>
    <w:rsid w:val="000550B0"/>
    <w:rsid w:val="00055F1C"/>
    <w:rsid w:val="00061AA0"/>
    <w:rsid w:val="00062B13"/>
    <w:rsid w:val="00062CF4"/>
    <w:rsid w:val="000678F4"/>
    <w:rsid w:val="0007002B"/>
    <w:rsid w:val="0007353A"/>
    <w:rsid w:val="00074098"/>
    <w:rsid w:val="0007418D"/>
    <w:rsid w:val="00075487"/>
    <w:rsid w:val="00083E8E"/>
    <w:rsid w:val="00085AE9"/>
    <w:rsid w:val="00085D17"/>
    <w:rsid w:val="00086E5E"/>
    <w:rsid w:val="00087B53"/>
    <w:rsid w:val="00090D82"/>
    <w:rsid w:val="000926E5"/>
    <w:rsid w:val="00092D76"/>
    <w:rsid w:val="00093B86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006"/>
    <w:rsid w:val="001178ED"/>
    <w:rsid w:val="00117E2E"/>
    <w:rsid w:val="00120962"/>
    <w:rsid w:val="0012169E"/>
    <w:rsid w:val="00122A60"/>
    <w:rsid w:val="00122B3C"/>
    <w:rsid w:val="00126429"/>
    <w:rsid w:val="00126495"/>
    <w:rsid w:val="0012740D"/>
    <w:rsid w:val="0013275B"/>
    <w:rsid w:val="00134B24"/>
    <w:rsid w:val="0013605E"/>
    <w:rsid w:val="00136357"/>
    <w:rsid w:val="00136D6E"/>
    <w:rsid w:val="00137BD3"/>
    <w:rsid w:val="001448DC"/>
    <w:rsid w:val="00146378"/>
    <w:rsid w:val="001501C2"/>
    <w:rsid w:val="001508AA"/>
    <w:rsid w:val="001511F2"/>
    <w:rsid w:val="0015155D"/>
    <w:rsid w:val="00156776"/>
    <w:rsid w:val="00157CCC"/>
    <w:rsid w:val="001602F6"/>
    <w:rsid w:val="00171EF3"/>
    <w:rsid w:val="00172892"/>
    <w:rsid w:val="00175755"/>
    <w:rsid w:val="00176980"/>
    <w:rsid w:val="00184992"/>
    <w:rsid w:val="00190F5B"/>
    <w:rsid w:val="00196D74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15AF"/>
    <w:rsid w:val="001E2575"/>
    <w:rsid w:val="001E650C"/>
    <w:rsid w:val="001F102A"/>
    <w:rsid w:val="001F12D2"/>
    <w:rsid w:val="001F5A1A"/>
    <w:rsid w:val="001F69EE"/>
    <w:rsid w:val="00200845"/>
    <w:rsid w:val="002013D1"/>
    <w:rsid w:val="0020233F"/>
    <w:rsid w:val="00202CFF"/>
    <w:rsid w:val="002033EA"/>
    <w:rsid w:val="00204A1A"/>
    <w:rsid w:val="002068D1"/>
    <w:rsid w:val="002139B4"/>
    <w:rsid w:val="002227CA"/>
    <w:rsid w:val="002234D6"/>
    <w:rsid w:val="00224C30"/>
    <w:rsid w:val="0022640E"/>
    <w:rsid w:val="00235F74"/>
    <w:rsid w:val="002442A3"/>
    <w:rsid w:val="00244757"/>
    <w:rsid w:val="00244FDA"/>
    <w:rsid w:val="00251B07"/>
    <w:rsid w:val="00256B85"/>
    <w:rsid w:val="00257A86"/>
    <w:rsid w:val="00262BF3"/>
    <w:rsid w:val="00262C3B"/>
    <w:rsid w:val="002660C4"/>
    <w:rsid w:val="00277979"/>
    <w:rsid w:val="00277CCD"/>
    <w:rsid w:val="0028058B"/>
    <w:rsid w:val="0028404E"/>
    <w:rsid w:val="00285A29"/>
    <w:rsid w:val="002864C3"/>
    <w:rsid w:val="00290EE2"/>
    <w:rsid w:val="00291CAE"/>
    <w:rsid w:val="002A1B44"/>
    <w:rsid w:val="002A3424"/>
    <w:rsid w:val="002A3CF4"/>
    <w:rsid w:val="002A6B83"/>
    <w:rsid w:val="002A6E50"/>
    <w:rsid w:val="002B1A4A"/>
    <w:rsid w:val="002B34C4"/>
    <w:rsid w:val="002C0A0E"/>
    <w:rsid w:val="002C52BA"/>
    <w:rsid w:val="002D21CE"/>
    <w:rsid w:val="002D30AF"/>
    <w:rsid w:val="002E37A6"/>
    <w:rsid w:val="002E424F"/>
    <w:rsid w:val="002E4B33"/>
    <w:rsid w:val="002E4D62"/>
    <w:rsid w:val="002E5AF7"/>
    <w:rsid w:val="002F380B"/>
    <w:rsid w:val="002F4EED"/>
    <w:rsid w:val="002F52EA"/>
    <w:rsid w:val="002F6771"/>
    <w:rsid w:val="0030021B"/>
    <w:rsid w:val="00300F53"/>
    <w:rsid w:val="00302EB4"/>
    <w:rsid w:val="003101B0"/>
    <w:rsid w:val="003118A9"/>
    <w:rsid w:val="00311EB7"/>
    <w:rsid w:val="003159FB"/>
    <w:rsid w:val="00316C58"/>
    <w:rsid w:val="003178D3"/>
    <w:rsid w:val="003206BF"/>
    <w:rsid w:val="00322E8F"/>
    <w:rsid w:val="00325CA7"/>
    <w:rsid w:val="0032638E"/>
    <w:rsid w:val="00332459"/>
    <w:rsid w:val="0033347F"/>
    <w:rsid w:val="00335CBC"/>
    <w:rsid w:val="003448B6"/>
    <w:rsid w:val="00350B23"/>
    <w:rsid w:val="00352062"/>
    <w:rsid w:val="00357423"/>
    <w:rsid w:val="0036165F"/>
    <w:rsid w:val="0036166C"/>
    <w:rsid w:val="00375C47"/>
    <w:rsid w:val="00377F2E"/>
    <w:rsid w:val="00381BD9"/>
    <w:rsid w:val="0038697C"/>
    <w:rsid w:val="003969B5"/>
    <w:rsid w:val="00396D4D"/>
    <w:rsid w:val="003B47B1"/>
    <w:rsid w:val="003B4FEA"/>
    <w:rsid w:val="003C780A"/>
    <w:rsid w:val="003D706C"/>
    <w:rsid w:val="003E2247"/>
    <w:rsid w:val="003E3523"/>
    <w:rsid w:val="003E4894"/>
    <w:rsid w:val="003E5603"/>
    <w:rsid w:val="003E6128"/>
    <w:rsid w:val="003E767F"/>
    <w:rsid w:val="003E7B1B"/>
    <w:rsid w:val="003F090B"/>
    <w:rsid w:val="003F5EA5"/>
    <w:rsid w:val="004047F7"/>
    <w:rsid w:val="00404DC9"/>
    <w:rsid w:val="00406847"/>
    <w:rsid w:val="00411AE0"/>
    <w:rsid w:val="00412275"/>
    <w:rsid w:val="004124D2"/>
    <w:rsid w:val="004159F2"/>
    <w:rsid w:val="004175FF"/>
    <w:rsid w:val="00421872"/>
    <w:rsid w:val="00422C9E"/>
    <w:rsid w:val="00425B4C"/>
    <w:rsid w:val="004260D7"/>
    <w:rsid w:val="004339B8"/>
    <w:rsid w:val="00434D42"/>
    <w:rsid w:val="00435CD8"/>
    <w:rsid w:val="00436807"/>
    <w:rsid w:val="00436FA9"/>
    <w:rsid w:val="00440442"/>
    <w:rsid w:val="00444463"/>
    <w:rsid w:val="00445652"/>
    <w:rsid w:val="00447BA3"/>
    <w:rsid w:val="004508AD"/>
    <w:rsid w:val="00451F0D"/>
    <w:rsid w:val="00460F69"/>
    <w:rsid w:val="004614A7"/>
    <w:rsid w:val="004670F3"/>
    <w:rsid w:val="004678BA"/>
    <w:rsid w:val="004704DD"/>
    <w:rsid w:val="0047091B"/>
    <w:rsid w:val="00471D95"/>
    <w:rsid w:val="004732E2"/>
    <w:rsid w:val="004825D8"/>
    <w:rsid w:val="00497183"/>
    <w:rsid w:val="004A0AE2"/>
    <w:rsid w:val="004B4730"/>
    <w:rsid w:val="004B4CA5"/>
    <w:rsid w:val="004B5F23"/>
    <w:rsid w:val="004C177C"/>
    <w:rsid w:val="004C1C89"/>
    <w:rsid w:val="004C2F62"/>
    <w:rsid w:val="004D1379"/>
    <w:rsid w:val="004D6159"/>
    <w:rsid w:val="004D706E"/>
    <w:rsid w:val="004D7DFF"/>
    <w:rsid w:val="004E200F"/>
    <w:rsid w:val="004E4B06"/>
    <w:rsid w:val="004E6777"/>
    <w:rsid w:val="004E74E7"/>
    <w:rsid w:val="004F11BE"/>
    <w:rsid w:val="005025B6"/>
    <w:rsid w:val="00504F7C"/>
    <w:rsid w:val="00506963"/>
    <w:rsid w:val="00513D80"/>
    <w:rsid w:val="005161D6"/>
    <w:rsid w:val="00520709"/>
    <w:rsid w:val="00535B4A"/>
    <w:rsid w:val="00546770"/>
    <w:rsid w:val="005566DB"/>
    <w:rsid w:val="00557407"/>
    <w:rsid w:val="00560EB8"/>
    <w:rsid w:val="00560F0A"/>
    <w:rsid w:val="005617F2"/>
    <w:rsid w:val="0057148E"/>
    <w:rsid w:val="005724DE"/>
    <w:rsid w:val="00572DFA"/>
    <w:rsid w:val="00573148"/>
    <w:rsid w:val="005745D1"/>
    <w:rsid w:val="00581475"/>
    <w:rsid w:val="005823AF"/>
    <w:rsid w:val="0058565A"/>
    <w:rsid w:val="00585780"/>
    <w:rsid w:val="00585E7D"/>
    <w:rsid w:val="005937E4"/>
    <w:rsid w:val="005A1352"/>
    <w:rsid w:val="005A29CC"/>
    <w:rsid w:val="005A78DB"/>
    <w:rsid w:val="005C03F2"/>
    <w:rsid w:val="005C220D"/>
    <w:rsid w:val="005C6810"/>
    <w:rsid w:val="005C6C3B"/>
    <w:rsid w:val="005D350A"/>
    <w:rsid w:val="005D5D38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27A4"/>
    <w:rsid w:val="00646F2B"/>
    <w:rsid w:val="00647755"/>
    <w:rsid w:val="00650170"/>
    <w:rsid w:val="00650A06"/>
    <w:rsid w:val="00651A58"/>
    <w:rsid w:val="006526A1"/>
    <w:rsid w:val="00653453"/>
    <w:rsid w:val="00663167"/>
    <w:rsid w:val="00663CE1"/>
    <w:rsid w:val="0066435D"/>
    <w:rsid w:val="00664603"/>
    <w:rsid w:val="00666FF6"/>
    <w:rsid w:val="00670F46"/>
    <w:rsid w:val="0067544B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48C6"/>
    <w:rsid w:val="006A4C35"/>
    <w:rsid w:val="006B1973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1AB5"/>
    <w:rsid w:val="006D3C62"/>
    <w:rsid w:val="006D4052"/>
    <w:rsid w:val="006E0F86"/>
    <w:rsid w:val="006E3CE5"/>
    <w:rsid w:val="006E6DEF"/>
    <w:rsid w:val="006F041D"/>
    <w:rsid w:val="006F04B3"/>
    <w:rsid w:val="006F1A94"/>
    <w:rsid w:val="006F244F"/>
    <w:rsid w:val="006F2662"/>
    <w:rsid w:val="00700E93"/>
    <w:rsid w:val="00705002"/>
    <w:rsid w:val="0071017A"/>
    <w:rsid w:val="007115EE"/>
    <w:rsid w:val="00714272"/>
    <w:rsid w:val="007144D5"/>
    <w:rsid w:val="00714746"/>
    <w:rsid w:val="00715E65"/>
    <w:rsid w:val="007219F4"/>
    <w:rsid w:val="00722138"/>
    <w:rsid w:val="00730FDF"/>
    <w:rsid w:val="00732D9A"/>
    <w:rsid w:val="00737FA4"/>
    <w:rsid w:val="00747CC6"/>
    <w:rsid w:val="007552DF"/>
    <w:rsid w:val="007556FF"/>
    <w:rsid w:val="00761F0F"/>
    <w:rsid w:val="00763E61"/>
    <w:rsid w:val="007715AF"/>
    <w:rsid w:val="00771866"/>
    <w:rsid w:val="0077335E"/>
    <w:rsid w:val="00773693"/>
    <w:rsid w:val="00774F2D"/>
    <w:rsid w:val="00784238"/>
    <w:rsid w:val="00794CFF"/>
    <w:rsid w:val="007A00FA"/>
    <w:rsid w:val="007A484F"/>
    <w:rsid w:val="007B0BBD"/>
    <w:rsid w:val="007B13E2"/>
    <w:rsid w:val="007B3BC8"/>
    <w:rsid w:val="007B642D"/>
    <w:rsid w:val="007B65F1"/>
    <w:rsid w:val="007B78FC"/>
    <w:rsid w:val="007C480F"/>
    <w:rsid w:val="007C6B13"/>
    <w:rsid w:val="007D0933"/>
    <w:rsid w:val="007D4D1C"/>
    <w:rsid w:val="007D55D5"/>
    <w:rsid w:val="007E2343"/>
    <w:rsid w:val="007E2421"/>
    <w:rsid w:val="007E351E"/>
    <w:rsid w:val="007E3F25"/>
    <w:rsid w:val="007E49A7"/>
    <w:rsid w:val="007E5E47"/>
    <w:rsid w:val="007F1FCB"/>
    <w:rsid w:val="00801C1B"/>
    <w:rsid w:val="00802BDA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1FA"/>
    <w:rsid w:val="008256AC"/>
    <w:rsid w:val="00836A4B"/>
    <w:rsid w:val="00860B9A"/>
    <w:rsid w:val="00861923"/>
    <w:rsid w:val="008620AC"/>
    <w:rsid w:val="008714A1"/>
    <w:rsid w:val="00871706"/>
    <w:rsid w:val="0087470E"/>
    <w:rsid w:val="00875BF6"/>
    <w:rsid w:val="00875F95"/>
    <w:rsid w:val="008857BC"/>
    <w:rsid w:val="00887784"/>
    <w:rsid w:val="0089290C"/>
    <w:rsid w:val="00895BDA"/>
    <w:rsid w:val="0089617D"/>
    <w:rsid w:val="008B24A9"/>
    <w:rsid w:val="008C3B50"/>
    <w:rsid w:val="008C4046"/>
    <w:rsid w:val="008C430C"/>
    <w:rsid w:val="008C48ED"/>
    <w:rsid w:val="008C751B"/>
    <w:rsid w:val="008D76EA"/>
    <w:rsid w:val="008E0052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3ECC"/>
    <w:rsid w:val="00914D16"/>
    <w:rsid w:val="00917AE3"/>
    <w:rsid w:val="00917CFF"/>
    <w:rsid w:val="009273B1"/>
    <w:rsid w:val="00930B44"/>
    <w:rsid w:val="009314B5"/>
    <w:rsid w:val="00931BB1"/>
    <w:rsid w:val="009343B5"/>
    <w:rsid w:val="009420F1"/>
    <w:rsid w:val="0094536A"/>
    <w:rsid w:val="00946225"/>
    <w:rsid w:val="009472DD"/>
    <w:rsid w:val="00951E6E"/>
    <w:rsid w:val="00955638"/>
    <w:rsid w:val="00971276"/>
    <w:rsid w:val="0097344B"/>
    <w:rsid w:val="00973751"/>
    <w:rsid w:val="0098055F"/>
    <w:rsid w:val="00987312"/>
    <w:rsid w:val="00993ECE"/>
    <w:rsid w:val="00996B27"/>
    <w:rsid w:val="00996BBA"/>
    <w:rsid w:val="009975B6"/>
    <w:rsid w:val="009A4C74"/>
    <w:rsid w:val="009A5488"/>
    <w:rsid w:val="009A6510"/>
    <w:rsid w:val="009B2F28"/>
    <w:rsid w:val="009B6CA3"/>
    <w:rsid w:val="009B6EF5"/>
    <w:rsid w:val="009D0DCE"/>
    <w:rsid w:val="009D34A0"/>
    <w:rsid w:val="009D38FD"/>
    <w:rsid w:val="009E083E"/>
    <w:rsid w:val="009E2DAF"/>
    <w:rsid w:val="009E6438"/>
    <w:rsid w:val="009F3935"/>
    <w:rsid w:val="009F5717"/>
    <w:rsid w:val="00A014FF"/>
    <w:rsid w:val="00A029D1"/>
    <w:rsid w:val="00A038D1"/>
    <w:rsid w:val="00A06D45"/>
    <w:rsid w:val="00A13216"/>
    <w:rsid w:val="00A356F1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4D32"/>
    <w:rsid w:val="00A6766E"/>
    <w:rsid w:val="00A67C7B"/>
    <w:rsid w:val="00A70637"/>
    <w:rsid w:val="00A70E0C"/>
    <w:rsid w:val="00A76F65"/>
    <w:rsid w:val="00A76FFE"/>
    <w:rsid w:val="00A80423"/>
    <w:rsid w:val="00A91A05"/>
    <w:rsid w:val="00A97E8A"/>
    <w:rsid w:val="00AA0CC0"/>
    <w:rsid w:val="00AA33DE"/>
    <w:rsid w:val="00AA350E"/>
    <w:rsid w:val="00AA576A"/>
    <w:rsid w:val="00AA7964"/>
    <w:rsid w:val="00AB3D5B"/>
    <w:rsid w:val="00AB7D40"/>
    <w:rsid w:val="00AC6404"/>
    <w:rsid w:val="00AD0D15"/>
    <w:rsid w:val="00AD5145"/>
    <w:rsid w:val="00AD565B"/>
    <w:rsid w:val="00AD6EDB"/>
    <w:rsid w:val="00AD7810"/>
    <w:rsid w:val="00AF208D"/>
    <w:rsid w:val="00AF7DC3"/>
    <w:rsid w:val="00B00954"/>
    <w:rsid w:val="00B03323"/>
    <w:rsid w:val="00B03691"/>
    <w:rsid w:val="00B074D1"/>
    <w:rsid w:val="00B1302C"/>
    <w:rsid w:val="00B13906"/>
    <w:rsid w:val="00B1685D"/>
    <w:rsid w:val="00B206C0"/>
    <w:rsid w:val="00B2180D"/>
    <w:rsid w:val="00B23957"/>
    <w:rsid w:val="00B24A49"/>
    <w:rsid w:val="00B31151"/>
    <w:rsid w:val="00B32C37"/>
    <w:rsid w:val="00B34E91"/>
    <w:rsid w:val="00B3603E"/>
    <w:rsid w:val="00B42510"/>
    <w:rsid w:val="00B4512F"/>
    <w:rsid w:val="00B45822"/>
    <w:rsid w:val="00B46F4E"/>
    <w:rsid w:val="00B518C8"/>
    <w:rsid w:val="00B545A0"/>
    <w:rsid w:val="00B55175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34B4"/>
    <w:rsid w:val="00B95695"/>
    <w:rsid w:val="00B95718"/>
    <w:rsid w:val="00B9609B"/>
    <w:rsid w:val="00B96113"/>
    <w:rsid w:val="00BA05E1"/>
    <w:rsid w:val="00BA4875"/>
    <w:rsid w:val="00BA7EAA"/>
    <w:rsid w:val="00BB5ABE"/>
    <w:rsid w:val="00BB5E90"/>
    <w:rsid w:val="00BB6459"/>
    <w:rsid w:val="00BC1C9D"/>
    <w:rsid w:val="00BC28A8"/>
    <w:rsid w:val="00BC5E10"/>
    <w:rsid w:val="00BD2AF1"/>
    <w:rsid w:val="00BD74E2"/>
    <w:rsid w:val="00BE0BBE"/>
    <w:rsid w:val="00BE56EA"/>
    <w:rsid w:val="00BE6CD3"/>
    <w:rsid w:val="00BF14A3"/>
    <w:rsid w:val="00BF4B6F"/>
    <w:rsid w:val="00C05921"/>
    <w:rsid w:val="00C12D15"/>
    <w:rsid w:val="00C22829"/>
    <w:rsid w:val="00C26498"/>
    <w:rsid w:val="00C31D50"/>
    <w:rsid w:val="00C43795"/>
    <w:rsid w:val="00C4718D"/>
    <w:rsid w:val="00C50954"/>
    <w:rsid w:val="00C52920"/>
    <w:rsid w:val="00C5587C"/>
    <w:rsid w:val="00C6219A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0CD7"/>
    <w:rsid w:val="00CE4FC6"/>
    <w:rsid w:val="00CE5237"/>
    <w:rsid w:val="00CE587E"/>
    <w:rsid w:val="00CE606A"/>
    <w:rsid w:val="00CE690E"/>
    <w:rsid w:val="00CF19F5"/>
    <w:rsid w:val="00CF43B4"/>
    <w:rsid w:val="00CF52EA"/>
    <w:rsid w:val="00CF7C57"/>
    <w:rsid w:val="00D01202"/>
    <w:rsid w:val="00D02B71"/>
    <w:rsid w:val="00D04096"/>
    <w:rsid w:val="00D06386"/>
    <w:rsid w:val="00D128E4"/>
    <w:rsid w:val="00D1395E"/>
    <w:rsid w:val="00D14FCA"/>
    <w:rsid w:val="00D21F36"/>
    <w:rsid w:val="00D2319B"/>
    <w:rsid w:val="00D257D0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2716"/>
    <w:rsid w:val="00D638F5"/>
    <w:rsid w:val="00D706BC"/>
    <w:rsid w:val="00D72030"/>
    <w:rsid w:val="00D72A93"/>
    <w:rsid w:val="00D77E5D"/>
    <w:rsid w:val="00D77FD3"/>
    <w:rsid w:val="00D877E1"/>
    <w:rsid w:val="00D91ACE"/>
    <w:rsid w:val="00D92AC6"/>
    <w:rsid w:val="00D95A2B"/>
    <w:rsid w:val="00DA0E4E"/>
    <w:rsid w:val="00DA1C0C"/>
    <w:rsid w:val="00DA42F9"/>
    <w:rsid w:val="00DA6A61"/>
    <w:rsid w:val="00DA6EFB"/>
    <w:rsid w:val="00DA6F65"/>
    <w:rsid w:val="00DB0627"/>
    <w:rsid w:val="00DB23EA"/>
    <w:rsid w:val="00DB2688"/>
    <w:rsid w:val="00DB6A75"/>
    <w:rsid w:val="00DC1C2B"/>
    <w:rsid w:val="00DC21C7"/>
    <w:rsid w:val="00DC426B"/>
    <w:rsid w:val="00DC497A"/>
    <w:rsid w:val="00DC54E8"/>
    <w:rsid w:val="00DC5A6B"/>
    <w:rsid w:val="00DD164D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22AF"/>
    <w:rsid w:val="00E43A05"/>
    <w:rsid w:val="00E45195"/>
    <w:rsid w:val="00E50CD7"/>
    <w:rsid w:val="00E51712"/>
    <w:rsid w:val="00E51E1F"/>
    <w:rsid w:val="00E54FFA"/>
    <w:rsid w:val="00E62C8D"/>
    <w:rsid w:val="00E704D6"/>
    <w:rsid w:val="00E75B71"/>
    <w:rsid w:val="00E8237E"/>
    <w:rsid w:val="00E85E0D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D7DC7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2105"/>
    <w:rsid w:val="00F43181"/>
    <w:rsid w:val="00F43AC8"/>
    <w:rsid w:val="00F43C0B"/>
    <w:rsid w:val="00F5102E"/>
    <w:rsid w:val="00F52EC5"/>
    <w:rsid w:val="00F533B8"/>
    <w:rsid w:val="00F55152"/>
    <w:rsid w:val="00F57858"/>
    <w:rsid w:val="00F64FA4"/>
    <w:rsid w:val="00F65A0C"/>
    <w:rsid w:val="00F66265"/>
    <w:rsid w:val="00F858F7"/>
    <w:rsid w:val="00F92903"/>
    <w:rsid w:val="00F93A0C"/>
    <w:rsid w:val="00F952CF"/>
    <w:rsid w:val="00F963D0"/>
    <w:rsid w:val="00FA1424"/>
    <w:rsid w:val="00FA6AA2"/>
    <w:rsid w:val="00FC4849"/>
    <w:rsid w:val="00FC4A4B"/>
    <w:rsid w:val="00FC60A0"/>
    <w:rsid w:val="00FD0365"/>
    <w:rsid w:val="00FD3534"/>
    <w:rsid w:val="00FD6627"/>
    <w:rsid w:val="00FD7AC2"/>
    <w:rsid w:val="00FE089C"/>
    <w:rsid w:val="00FE412E"/>
    <w:rsid w:val="00FE4FD8"/>
    <w:rsid w:val="00FE5357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FCF78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E5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E50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beranek426\Documents\u\icpv\publikace\2023\09-2023\0110442309g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ranek426\Documents\u\icpv\publikace\2023\09-2023\0110442309gk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ranek426\Documents\u\icpv\publikace\2023\09-2023\0110442309gk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400"/>
              <a:t>Indexy cen průmyslových výrobců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(změna proti předchozímu měsíci v %)</a:t>
            </a:r>
          </a:p>
        </c:rich>
      </c:tx>
      <c:layout>
        <c:manualLayout>
          <c:xMode val="edge"/>
          <c:yMode val="edge"/>
          <c:x val="0.30396101275776793"/>
          <c:y val="3.8045706714406366E-2"/>
        </c:manualLayout>
      </c:layout>
      <c:overlay val="0"/>
      <c:spPr>
        <a:noFill/>
        <a:ln w="25400">
          <a:noFill/>
        </a:ln>
      </c:spPr>
    </c:title>
    <c:autoTitleDeleted val="0"/>
    <c:view3D>
      <c:rotX val="0"/>
      <c:hPercent val="100"/>
      <c:rotY val="0"/>
      <c:depthPercent val="100"/>
      <c:rAngAx val="0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657964896306494E-2"/>
          <c:y val="0.11145263987173416"/>
          <c:w val="0.85955841314208437"/>
          <c:h val="0.7583156768765566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List1!$A$7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0175438596491229E-3"/>
                  <c:y val="2.5447717284314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D36-44A4-86BD-B8EBE5548D8D}"/>
                </c:ext>
              </c:extLst>
            </c:dLbl>
            <c:dLbl>
              <c:idx val="1"/>
              <c:layout>
                <c:manualLayout>
                  <c:x val="-3.50416119141480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36-44A4-86BD-B8EBE5548D8D}"/>
                </c:ext>
              </c:extLst>
            </c:dLbl>
            <c:dLbl>
              <c:idx val="2"/>
              <c:layout>
                <c:manualLayout>
                  <c:x val="-2.2793203481143804E-6"/>
                  <c:y val="2.4350464769512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86158563293909E-2"/>
                      <c:h val="3.866421456909006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3D36-44A4-86BD-B8EBE5548D8D}"/>
                </c:ext>
              </c:extLst>
            </c:dLbl>
            <c:dLbl>
              <c:idx val="3"/>
              <c:layout>
                <c:manualLayout>
                  <c:x val="-1.7520375742506192E-3"/>
                  <c:y val="7.7517997239940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36-44A4-86BD-B8EBE5548D8D}"/>
                </c:ext>
              </c:extLst>
            </c:dLbl>
            <c:dLbl>
              <c:idx val="4"/>
              <c:layout>
                <c:manualLayout>
                  <c:x val="-3.2163371136050507E-17"/>
                  <c:y val="-2.54420848524843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D36-44A4-86BD-B8EBE5548D8D}"/>
                </c:ext>
              </c:extLst>
            </c:dLbl>
            <c:dLbl>
              <c:idx val="6"/>
              <c:layout>
                <c:manualLayout>
                  <c:x val="-5.2562417871222077E-3"/>
                  <c:y val="-2.5445287522732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36-44A4-86BD-B8EBE5548D8D}"/>
                </c:ext>
              </c:extLst>
            </c:dLbl>
            <c:dLbl>
              <c:idx val="7"/>
              <c:layout>
                <c:manualLayout>
                  <c:x val="0"/>
                  <c:y val="-5.08905750454659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D36-44A4-86BD-B8EBE5548D8D}"/>
                </c:ext>
              </c:extLst>
            </c:dLbl>
            <c:dLbl>
              <c:idx val="10"/>
              <c:layout>
                <c:manualLayout>
                  <c:x val="0"/>
                  <c:y val="2.3166018470795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D36-44A4-86BD-B8EBE5548D8D}"/>
                </c:ext>
              </c:extLst>
            </c:dLbl>
            <c:dLbl>
              <c:idx val="11"/>
              <c:layout>
                <c:manualLayout>
                  <c:x val="-6.4326742272101015E-17"/>
                  <c:y val="-9.437898497730099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D36-44A4-86BD-B8EBE5548D8D}"/>
                </c:ext>
              </c:extLst>
            </c:dLbl>
            <c:dLbl>
              <c:idx val="12"/>
              <c:layout>
                <c:manualLayout>
                  <c:x val="1.754385964912280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D36-44A4-86BD-B8EBE5548D8D}"/>
                </c:ext>
              </c:extLst>
            </c:dLbl>
            <c:dLbl>
              <c:idx val="14"/>
              <c:layout>
                <c:manualLayout>
                  <c:x val="6.9070313577937116E-6"/>
                  <c:y val="-7.96888172767066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D36-44A4-86BD-B8EBE5548D8D}"/>
                </c:ext>
              </c:extLst>
            </c:dLbl>
            <c:dLbl>
              <c:idx val="15"/>
              <c:layout>
                <c:manualLayout>
                  <c:x val="-1.7520805957074025E-3"/>
                  <c:y val="2.5445287522732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D36-44A4-86BD-B8EBE5548D8D}"/>
                </c:ext>
              </c:extLst>
            </c:dLbl>
            <c:dLbl>
              <c:idx val="16"/>
              <c:layout>
                <c:manualLayout>
                  <c:x val="0"/>
                  <c:y val="7.63358625681988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D36-44A4-86BD-B8EBE5548D8D}"/>
                </c:ext>
              </c:extLst>
            </c:dLbl>
            <c:dLbl>
              <c:idx val="18"/>
              <c:layout>
                <c:manualLayout>
                  <c:x val="3.5041611914148037E-3"/>
                  <c:y val="7.6334860785225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86158563293909E-2"/>
                      <c:h val="4.37532720736366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3D36-44A4-86BD-B8EBE5548D8D}"/>
                </c:ext>
              </c:extLst>
            </c:dLbl>
            <c:dLbl>
              <c:idx val="20"/>
              <c:layout>
                <c:manualLayout>
                  <c:x val="0"/>
                  <c:y val="2.5445287522732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D36-44A4-86BD-B8EBE5548D8D}"/>
                </c:ext>
              </c:extLst>
            </c:dLbl>
            <c:dLbl>
              <c:idx val="21"/>
              <c:layout>
                <c:manualLayout>
                  <c:x val="-3.5087719298245615E-3"/>
                  <c:y val="2.3137035613041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D36-44A4-86BD-B8EBE5548D8D}"/>
                </c:ext>
              </c:extLst>
            </c:dLbl>
            <c:dLbl>
              <c:idx val="22"/>
              <c:layout>
                <c:manualLayout>
                  <c:x val="2.6476032601186724E-3"/>
                  <c:y val="1.6724527665556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463047382235116E-2"/>
                      <c:h val="5.088396702764174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3D36-44A4-86BD-B8EBE5548D8D}"/>
                </c:ext>
              </c:extLst>
            </c:dLbl>
            <c:dLbl>
              <c:idx val="23"/>
              <c:layout>
                <c:manualLayout>
                  <c:x val="-5.2562508633789201E-3"/>
                  <c:y val="-1.5443809636536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D36-44A4-86BD-B8EBE5548D8D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List1!$B$6:$Y$6</c:f>
              <c:strCache>
                <c:ptCount val="24"/>
                <c:pt idx="0">
                  <c:v>X.21</c:v>
                </c:pt>
                <c:pt idx="1">
                  <c:v>XI.21</c:v>
                </c:pt>
                <c:pt idx="2">
                  <c:v>XII.21</c:v>
                </c:pt>
                <c:pt idx="3">
                  <c:v>I.22</c:v>
                </c:pt>
                <c:pt idx="4">
                  <c:v>II.22</c:v>
                </c:pt>
                <c:pt idx="5">
                  <c:v>III.22</c:v>
                </c:pt>
                <c:pt idx="6">
                  <c:v>IV.22</c:v>
                </c:pt>
                <c:pt idx="7">
                  <c:v>V.22</c:v>
                </c:pt>
                <c:pt idx="8">
                  <c:v>VI.22</c:v>
                </c:pt>
                <c:pt idx="9">
                  <c:v>VII.22</c:v>
                </c:pt>
                <c:pt idx="10">
                  <c:v>VIII.22</c:v>
                </c:pt>
                <c:pt idx="11">
                  <c:v>IX.22</c:v>
                </c:pt>
                <c:pt idx="12">
                  <c:v>X.22</c:v>
                </c:pt>
                <c:pt idx="13">
                  <c:v>XI.22</c:v>
                </c:pt>
                <c:pt idx="14">
                  <c:v>XII.22</c:v>
                </c:pt>
                <c:pt idx="15">
                  <c:v>I.23</c:v>
                </c:pt>
                <c:pt idx="16">
                  <c:v>II.23</c:v>
                </c:pt>
                <c:pt idx="17">
                  <c:v>III.23</c:v>
                </c:pt>
                <c:pt idx="18">
                  <c:v>IV.23</c:v>
                </c:pt>
                <c:pt idx="19">
                  <c:v>V.23</c:v>
                </c:pt>
                <c:pt idx="20">
                  <c:v>VI.23</c:v>
                </c:pt>
                <c:pt idx="21">
                  <c:v>VII.23</c:v>
                </c:pt>
                <c:pt idx="22">
                  <c:v>VIII.23</c:v>
                </c:pt>
                <c:pt idx="23">
                  <c:v>IX.23</c:v>
                </c:pt>
              </c:strCache>
            </c:strRef>
          </c:cat>
          <c:val>
            <c:numRef>
              <c:f>List1!$B$7:$Y$7</c:f>
              <c:numCache>
                <c:formatCode>0.0</c:formatCode>
                <c:ptCount val="24"/>
                <c:pt idx="0">
                  <c:v>1.9</c:v>
                </c:pt>
                <c:pt idx="1">
                  <c:v>1.2000000000000028</c:v>
                </c:pt>
                <c:pt idx="2">
                  <c:v>-0.1</c:v>
                </c:pt>
                <c:pt idx="3">
                  <c:v>6.9</c:v>
                </c:pt>
                <c:pt idx="4">
                  <c:v>2.2000000000000002</c:v>
                </c:pt>
                <c:pt idx="5">
                  <c:v>4.2</c:v>
                </c:pt>
                <c:pt idx="6">
                  <c:v>2.2999999999999998</c:v>
                </c:pt>
                <c:pt idx="7">
                  <c:v>1.9</c:v>
                </c:pt>
                <c:pt idx="8">
                  <c:v>1.4</c:v>
                </c:pt>
                <c:pt idx="9">
                  <c:v>0.3</c:v>
                </c:pt>
                <c:pt idx="10">
                  <c:v>-0.1</c:v>
                </c:pt>
                <c:pt idx="11">
                  <c:v>1.2000000000000028</c:v>
                </c:pt>
                <c:pt idx="12">
                  <c:v>0.59999999999999432</c:v>
                </c:pt>
                <c:pt idx="13">
                  <c:v>-1</c:v>
                </c:pt>
                <c:pt idx="14">
                  <c:v>-1.1000000000000001</c:v>
                </c:pt>
                <c:pt idx="15" formatCode="General">
                  <c:v>5.8</c:v>
                </c:pt>
                <c:pt idx="16">
                  <c:v>-0.3</c:v>
                </c:pt>
                <c:pt idx="17">
                  <c:v>-1</c:v>
                </c:pt>
                <c:pt idx="18">
                  <c:v>-1.2</c:v>
                </c:pt>
                <c:pt idx="19">
                  <c:v>-0.8</c:v>
                </c:pt>
                <c:pt idx="20">
                  <c:v>-0.3</c:v>
                </c:pt>
                <c:pt idx="21">
                  <c:v>-0.1</c:v>
                </c:pt>
                <c:pt idx="22">
                  <c:v>0.2</c:v>
                </c:pt>
                <c:pt idx="2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3D36-44A4-86BD-B8EBE5548D8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608448"/>
        <c:axId val="71779456"/>
        <c:axId val="4274368"/>
      </c:bar3DChart>
      <c:dateAx>
        <c:axId val="37608448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77945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779456"/>
        <c:scaling>
          <c:orientation val="minMax"/>
          <c:max val="8"/>
          <c:min val="-2"/>
        </c:scaling>
        <c:delete val="0"/>
        <c:axPos val="l"/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608448"/>
        <c:crosses val="autoZero"/>
        <c:crossBetween val="between"/>
        <c:majorUnit val="1"/>
      </c:valAx>
      <c:serAx>
        <c:axId val="4274368"/>
        <c:scaling>
          <c:orientation val="minMax"/>
        </c:scaling>
        <c:delete val="1"/>
        <c:axPos val="b"/>
        <c:majorTickMark val="out"/>
        <c:minorTickMark val="none"/>
        <c:tickLblPos val="none"/>
        <c:crossAx val="71779456"/>
        <c:crosses val="autoZero"/>
      </c:ser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7320103055449211"/>
          <c:y val="0.93304244483890386"/>
          <c:w val="0.2308207531877175"/>
          <c:h val="4.3836167877859197E-2"/>
        </c:manualLayout>
      </c:layout>
      <c:overlay val="0"/>
      <c:txPr>
        <a:bodyPr/>
        <a:lstStyle/>
        <a:p>
          <a:pPr>
            <a:defRPr sz="100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42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Indexy cen průmyslových výrobců</a:t>
            </a:r>
          </a:p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(změna proti stejnému období předchozího roku</a:t>
            </a:r>
            <a:r>
              <a:rPr lang="cs-CZ" baseline="0"/>
              <a:t> v %)</a:t>
            </a:r>
            <a:endParaRPr lang="cs-CZ"/>
          </a:p>
        </c:rich>
      </c:tx>
      <c:layout>
        <c:manualLayout>
          <c:xMode val="edge"/>
          <c:yMode val="edge"/>
          <c:x val="0.28107374290078146"/>
          <c:y val="3.6745406824146977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9341014576567757E-2"/>
          <c:y val="0.1595202541429894"/>
          <c:w val="0.85828743864644041"/>
          <c:h val="0.618259901978272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List1!$A$6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List1!$B$5:$Y$5</c:f>
              <c:strCache>
                <c:ptCount val="24"/>
                <c:pt idx="0">
                  <c:v>X.21</c:v>
                </c:pt>
                <c:pt idx="1">
                  <c:v>XI.21</c:v>
                </c:pt>
                <c:pt idx="2">
                  <c:v>XII.21</c:v>
                </c:pt>
                <c:pt idx="3">
                  <c:v>I.22</c:v>
                </c:pt>
                <c:pt idx="4">
                  <c:v>II.22</c:v>
                </c:pt>
                <c:pt idx="5">
                  <c:v>III.22</c:v>
                </c:pt>
                <c:pt idx="6">
                  <c:v>IV.22</c:v>
                </c:pt>
                <c:pt idx="7">
                  <c:v>V.22</c:v>
                </c:pt>
                <c:pt idx="8">
                  <c:v>VI.22</c:v>
                </c:pt>
                <c:pt idx="9">
                  <c:v>VII.22</c:v>
                </c:pt>
                <c:pt idx="10">
                  <c:v>VIII.22</c:v>
                </c:pt>
                <c:pt idx="11">
                  <c:v>IX.22</c:v>
                </c:pt>
                <c:pt idx="12">
                  <c:v>X.22</c:v>
                </c:pt>
                <c:pt idx="13">
                  <c:v>XI.22</c:v>
                </c:pt>
                <c:pt idx="14">
                  <c:v>XII.22</c:v>
                </c:pt>
                <c:pt idx="15">
                  <c:v>I.23</c:v>
                </c:pt>
                <c:pt idx="16">
                  <c:v>II.23</c:v>
                </c:pt>
                <c:pt idx="17">
                  <c:v>III.23</c:v>
                </c:pt>
                <c:pt idx="18">
                  <c:v>IV.23</c:v>
                </c:pt>
                <c:pt idx="19">
                  <c:v>V.23</c:v>
                </c:pt>
                <c:pt idx="20">
                  <c:v>VI.23</c:v>
                </c:pt>
                <c:pt idx="21">
                  <c:v>VII.23</c:v>
                </c:pt>
                <c:pt idx="22">
                  <c:v>VIII.23</c:v>
                </c:pt>
                <c:pt idx="23">
                  <c:v>IX.23</c:v>
                </c:pt>
              </c:strCache>
            </c:strRef>
          </c:cat>
          <c:val>
            <c:numRef>
              <c:f>List1!$B$6:$Y$6</c:f>
              <c:numCache>
                <c:formatCode>General</c:formatCode>
                <c:ptCount val="24"/>
                <c:pt idx="0" formatCode="0.0">
                  <c:v>11.6</c:v>
                </c:pt>
                <c:pt idx="1">
                  <c:v>13.5</c:v>
                </c:pt>
                <c:pt idx="2" formatCode="0.0">
                  <c:v>13.2</c:v>
                </c:pt>
                <c:pt idx="3">
                  <c:v>19.399999999999999</c:v>
                </c:pt>
                <c:pt idx="4" formatCode="0.0">
                  <c:v>21.3</c:v>
                </c:pt>
                <c:pt idx="5">
                  <c:v>24.7</c:v>
                </c:pt>
                <c:pt idx="6">
                  <c:v>26.6</c:v>
                </c:pt>
                <c:pt idx="7">
                  <c:v>27.9</c:v>
                </c:pt>
                <c:pt idx="8">
                  <c:v>28.5</c:v>
                </c:pt>
                <c:pt idx="9" formatCode="0.0">
                  <c:v>26.799999999999997</c:v>
                </c:pt>
                <c:pt idx="10">
                  <c:v>25.2</c:v>
                </c:pt>
                <c:pt idx="11">
                  <c:v>25.8</c:v>
                </c:pt>
                <c:pt idx="12">
                  <c:v>24.1</c:v>
                </c:pt>
                <c:pt idx="13">
                  <c:v>21.3</c:v>
                </c:pt>
                <c:pt idx="14">
                  <c:v>20.099999999999994</c:v>
                </c:pt>
                <c:pt idx="15" formatCode="0.0">
                  <c:v>19</c:v>
                </c:pt>
                <c:pt idx="16" formatCode="0.0">
                  <c:v>16</c:v>
                </c:pt>
                <c:pt idx="17">
                  <c:v>10.199999999999999</c:v>
                </c:pt>
                <c:pt idx="18">
                  <c:v>6.4</c:v>
                </c:pt>
                <c:pt idx="19">
                  <c:v>3.6</c:v>
                </c:pt>
                <c:pt idx="20">
                  <c:v>1.9</c:v>
                </c:pt>
                <c:pt idx="21">
                  <c:v>1.4</c:v>
                </c:pt>
                <c:pt idx="22">
                  <c:v>1.8</c:v>
                </c:pt>
                <c:pt idx="23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7D-4AD4-A4F3-157A02E11C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571584"/>
        <c:axId val="37586816"/>
      </c:barChart>
      <c:dateAx>
        <c:axId val="37571584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8681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37586816"/>
        <c:scaling>
          <c:orientation val="minMax"/>
          <c:max val="3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2.3069679849340868E-2"/>
              <c:y val="0.22002089544632164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71584"/>
        <c:crosses val="autoZero"/>
        <c:crossBetween val="between"/>
        <c:majorUnit val="2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0860032326467666"/>
          <c:y val="0.90301144648585596"/>
          <c:w val="0.16395539540608273"/>
          <c:h val="7.3840405365995912E-2"/>
        </c:manualLayout>
      </c:layout>
      <c:overlay val="0"/>
      <c:spPr>
        <a:ln w="0" cmpd="sng"/>
      </c:sp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Indexy cen průmyslových výrobců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 b="1" i="0" baseline="0">
                <a:effectLst/>
              </a:rPr>
              <a:t>(změna proti stejnému období předchozího roku v %)</a:t>
            </a:r>
            <a:endParaRPr lang="cs-CZ" sz="10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 sz="1000"/>
          </a:p>
        </c:rich>
      </c:tx>
      <c:layout>
        <c:manualLayout>
          <c:xMode val="edge"/>
          <c:yMode val="edge"/>
          <c:x val="0.27674097075893683"/>
          <c:y val="1.4587142124475819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8372851280913831E-2"/>
          <c:y val="9.2429385720724302E-2"/>
          <c:w val="0.85972111936712137"/>
          <c:h val="0.6666393942136543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List1!$A$11</c:f>
              <c:strCache>
                <c:ptCount val="1"/>
                <c:pt idx="0">
                  <c:v>Výrobky a služby zprac. průmyslu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X.21</c:v>
                </c:pt>
                <c:pt idx="1">
                  <c:v>XI.21</c:v>
                </c:pt>
                <c:pt idx="2">
                  <c:v>XII.21</c:v>
                </c:pt>
                <c:pt idx="3">
                  <c:v>I.22</c:v>
                </c:pt>
                <c:pt idx="4">
                  <c:v>II.22</c:v>
                </c:pt>
                <c:pt idx="5">
                  <c:v>III.22</c:v>
                </c:pt>
                <c:pt idx="6">
                  <c:v>IV.22</c:v>
                </c:pt>
                <c:pt idx="7">
                  <c:v>V.22</c:v>
                </c:pt>
                <c:pt idx="8">
                  <c:v>VI.22</c:v>
                </c:pt>
                <c:pt idx="9">
                  <c:v>VII.22</c:v>
                </c:pt>
                <c:pt idx="10">
                  <c:v>VIII.22</c:v>
                </c:pt>
                <c:pt idx="11">
                  <c:v>IX.22</c:v>
                </c:pt>
                <c:pt idx="12">
                  <c:v>X.22</c:v>
                </c:pt>
                <c:pt idx="13">
                  <c:v>XI.22</c:v>
                </c:pt>
                <c:pt idx="14">
                  <c:v>XII.22</c:v>
                </c:pt>
                <c:pt idx="15">
                  <c:v>I.23</c:v>
                </c:pt>
                <c:pt idx="16">
                  <c:v>II.23</c:v>
                </c:pt>
                <c:pt idx="17">
                  <c:v>III.23</c:v>
                </c:pt>
                <c:pt idx="18">
                  <c:v>IV.23</c:v>
                </c:pt>
                <c:pt idx="19">
                  <c:v>V.23</c:v>
                </c:pt>
                <c:pt idx="20">
                  <c:v>VI.23</c:v>
                </c:pt>
                <c:pt idx="21">
                  <c:v>VII.23</c:v>
                </c:pt>
                <c:pt idx="22">
                  <c:v>VIII.23</c:v>
                </c:pt>
                <c:pt idx="23">
                  <c:v>IX.23</c:v>
                </c:pt>
              </c:strCache>
            </c:strRef>
          </c:cat>
          <c:val>
            <c:numRef>
              <c:f>List1!$B$11:$Y$11</c:f>
              <c:numCache>
                <c:formatCode>0.0</c:formatCode>
                <c:ptCount val="24"/>
                <c:pt idx="0">
                  <c:v>13.4</c:v>
                </c:pt>
                <c:pt idx="1">
                  <c:v>15.4</c:v>
                </c:pt>
                <c:pt idx="2">
                  <c:v>14.7</c:v>
                </c:pt>
                <c:pt idx="3">
                  <c:v>15.5</c:v>
                </c:pt>
                <c:pt idx="4">
                  <c:v>16.600000000000001</c:v>
                </c:pt>
                <c:pt idx="5">
                  <c:v>20.3</c:v>
                </c:pt>
                <c:pt idx="6">
                  <c:v>22.3</c:v>
                </c:pt>
                <c:pt idx="7">
                  <c:v>24.6</c:v>
                </c:pt>
                <c:pt idx="8">
                  <c:v>25.8</c:v>
                </c:pt>
                <c:pt idx="9">
                  <c:v>22.700000000000003</c:v>
                </c:pt>
                <c:pt idx="10">
                  <c:v>20</c:v>
                </c:pt>
                <c:pt idx="11">
                  <c:v>18.899999999999999</c:v>
                </c:pt>
                <c:pt idx="12">
                  <c:v>18.399999999999999</c:v>
                </c:pt>
                <c:pt idx="13">
                  <c:v>15.7</c:v>
                </c:pt>
                <c:pt idx="14">
                  <c:v>14</c:v>
                </c:pt>
                <c:pt idx="15">
                  <c:v>13.599999999999994</c:v>
                </c:pt>
                <c:pt idx="16">
                  <c:v>11.6</c:v>
                </c:pt>
                <c:pt idx="17">
                  <c:v>5.9</c:v>
                </c:pt>
                <c:pt idx="18">
                  <c:v>2.4</c:v>
                </c:pt>
                <c:pt idx="19">
                  <c:v>-1.4</c:v>
                </c:pt>
                <c:pt idx="20">
                  <c:v>-3.6</c:v>
                </c:pt>
                <c:pt idx="21">
                  <c:v>-3.5</c:v>
                </c:pt>
                <c:pt idx="22">
                  <c:v>-2.2000000000000028</c:v>
                </c:pt>
                <c:pt idx="23" formatCode="General">
                  <c:v>-1.6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98-4473-AEBC-194014667405}"/>
            </c:ext>
          </c:extLst>
        </c:ser>
        <c:ser>
          <c:idx val="2"/>
          <c:order val="2"/>
          <c:tx>
            <c:strRef>
              <c:f>List1!$A$12</c:f>
              <c:strCache>
                <c:ptCount val="1"/>
                <c:pt idx="0">
                  <c:v>Elektřina, plyn, pára a klimat. vzduch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X.21</c:v>
                </c:pt>
                <c:pt idx="1">
                  <c:v>XI.21</c:v>
                </c:pt>
                <c:pt idx="2">
                  <c:v>XII.21</c:v>
                </c:pt>
                <c:pt idx="3">
                  <c:v>I.22</c:v>
                </c:pt>
                <c:pt idx="4">
                  <c:v>II.22</c:v>
                </c:pt>
                <c:pt idx="5">
                  <c:v>III.22</c:v>
                </c:pt>
                <c:pt idx="6">
                  <c:v>IV.22</c:v>
                </c:pt>
                <c:pt idx="7">
                  <c:v>V.22</c:v>
                </c:pt>
                <c:pt idx="8">
                  <c:v>VI.22</c:v>
                </c:pt>
                <c:pt idx="9">
                  <c:v>VII.22</c:v>
                </c:pt>
                <c:pt idx="10">
                  <c:v>VIII.22</c:v>
                </c:pt>
                <c:pt idx="11">
                  <c:v>IX.22</c:v>
                </c:pt>
                <c:pt idx="12">
                  <c:v>X.22</c:v>
                </c:pt>
                <c:pt idx="13">
                  <c:v>XI.22</c:v>
                </c:pt>
                <c:pt idx="14">
                  <c:v>XII.22</c:v>
                </c:pt>
                <c:pt idx="15">
                  <c:v>I.23</c:v>
                </c:pt>
                <c:pt idx="16">
                  <c:v>II.23</c:v>
                </c:pt>
                <c:pt idx="17">
                  <c:v>III.23</c:v>
                </c:pt>
                <c:pt idx="18">
                  <c:v>IV.23</c:v>
                </c:pt>
                <c:pt idx="19">
                  <c:v>V.23</c:v>
                </c:pt>
                <c:pt idx="20">
                  <c:v>VI.23</c:v>
                </c:pt>
                <c:pt idx="21">
                  <c:v>VII.23</c:v>
                </c:pt>
                <c:pt idx="22">
                  <c:v>VIII.23</c:v>
                </c:pt>
                <c:pt idx="23">
                  <c:v>IX.23</c:v>
                </c:pt>
              </c:strCache>
            </c:strRef>
          </c:cat>
          <c:val>
            <c:numRef>
              <c:f>List1!$B$12:$Y$12</c:f>
              <c:numCache>
                <c:formatCode>0.0</c:formatCode>
                <c:ptCount val="24"/>
                <c:pt idx="0">
                  <c:v>3.7</c:v>
                </c:pt>
                <c:pt idx="1">
                  <c:v>5.6</c:v>
                </c:pt>
                <c:pt idx="2">
                  <c:v>7.1</c:v>
                </c:pt>
                <c:pt idx="3">
                  <c:v>40.6</c:v>
                </c:pt>
                <c:pt idx="4">
                  <c:v>45.5</c:v>
                </c:pt>
                <c:pt idx="5">
                  <c:v>48.9</c:v>
                </c:pt>
                <c:pt idx="6">
                  <c:v>51.4</c:v>
                </c:pt>
                <c:pt idx="7">
                  <c:v>45.8</c:v>
                </c:pt>
                <c:pt idx="8">
                  <c:v>44.6</c:v>
                </c:pt>
                <c:pt idx="9">
                  <c:v>49.800000000000011</c:v>
                </c:pt>
                <c:pt idx="10">
                  <c:v>54.3</c:v>
                </c:pt>
                <c:pt idx="11">
                  <c:v>64</c:v>
                </c:pt>
                <c:pt idx="12">
                  <c:v>56.8</c:v>
                </c:pt>
                <c:pt idx="13">
                  <c:v>52.6</c:v>
                </c:pt>
                <c:pt idx="14">
                  <c:v>53.5</c:v>
                </c:pt>
                <c:pt idx="15">
                  <c:v>35.699999999999989</c:v>
                </c:pt>
                <c:pt idx="16">
                  <c:v>28.5</c:v>
                </c:pt>
                <c:pt idx="17">
                  <c:v>21.4</c:v>
                </c:pt>
                <c:pt idx="18">
                  <c:v>16.5</c:v>
                </c:pt>
                <c:pt idx="19">
                  <c:v>19.3</c:v>
                </c:pt>
                <c:pt idx="20">
                  <c:v>19.600000000000001</c:v>
                </c:pt>
                <c:pt idx="21">
                  <c:v>15.900000000000006</c:v>
                </c:pt>
                <c:pt idx="22">
                  <c:v>11.700000000000003</c:v>
                </c:pt>
                <c:pt idx="23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98-4473-AEBC-1940146674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836800"/>
        <c:axId val="71878144"/>
      </c:barChart>
      <c:lineChart>
        <c:grouping val="standard"/>
        <c:varyColors val="0"/>
        <c:ser>
          <c:idx val="0"/>
          <c:order val="0"/>
          <c:tx>
            <c:strRef>
              <c:f>List1!$A$10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X.21</c:v>
                </c:pt>
                <c:pt idx="1">
                  <c:v>XI.21</c:v>
                </c:pt>
                <c:pt idx="2">
                  <c:v>XII.21</c:v>
                </c:pt>
                <c:pt idx="3">
                  <c:v>I.22</c:v>
                </c:pt>
                <c:pt idx="4">
                  <c:v>II.22</c:v>
                </c:pt>
                <c:pt idx="5">
                  <c:v>III.22</c:v>
                </c:pt>
                <c:pt idx="6">
                  <c:v>IV.22</c:v>
                </c:pt>
                <c:pt idx="7">
                  <c:v>V.22</c:v>
                </c:pt>
                <c:pt idx="8">
                  <c:v>VI.22</c:v>
                </c:pt>
                <c:pt idx="9">
                  <c:v>VII.22</c:v>
                </c:pt>
                <c:pt idx="10">
                  <c:v>VIII.22</c:v>
                </c:pt>
                <c:pt idx="11">
                  <c:v>IX.22</c:v>
                </c:pt>
                <c:pt idx="12">
                  <c:v>X.22</c:v>
                </c:pt>
                <c:pt idx="13">
                  <c:v>XI.22</c:v>
                </c:pt>
                <c:pt idx="14">
                  <c:v>XII.22</c:v>
                </c:pt>
                <c:pt idx="15">
                  <c:v>I.23</c:v>
                </c:pt>
                <c:pt idx="16">
                  <c:v>II.23</c:v>
                </c:pt>
                <c:pt idx="17">
                  <c:v>III.23</c:v>
                </c:pt>
                <c:pt idx="18">
                  <c:v>IV.23</c:v>
                </c:pt>
                <c:pt idx="19">
                  <c:v>V.23</c:v>
                </c:pt>
                <c:pt idx="20">
                  <c:v>VI.23</c:v>
                </c:pt>
                <c:pt idx="21">
                  <c:v>VII.23</c:v>
                </c:pt>
                <c:pt idx="22">
                  <c:v>VIII.23</c:v>
                </c:pt>
                <c:pt idx="23">
                  <c:v>IX.23</c:v>
                </c:pt>
              </c:strCache>
            </c:strRef>
          </c:cat>
          <c:val>
            <c:numRef>
              <c:f>List1!$B$10:$Y$10</c:f>
              <c:numCache>
                <c:formatCode>0.0</c:formatCode>
                <c:ptCount val="24"/>
                <c:pt idx="0">
                  <c:v>12.7</c:v>
                </c:pt>
                <c:pt idx="1">
                  <c:v>14</c:v>
                </c:pt>
                <c:pt idx="2">
                  <c:v>14.6</c:v>
                </c:pt>
                <c:pt idx="3">
                  <c:v>24.2</c:v>
                </c:pt>
                <c:pt idx="4">
                  <c:v>25.1</c:v>
                </c:pt>
                <c:pt idx="5">
                  <c:v>26.3</c:v>
                </c:pt>
                <c:pt idx="6">
                  <c:v>28.3</c:v>
                </c:pt>
                <c:pt idx="7">
                  <c:v>34</c:v>
                </c:pt>
                <c:pt idx="8">
                  <c:v>33.299999999999997</c:v>
                </c:pt>
                <c:pt idx="9">
                  <c:v>30.400000000000006</c:v>
                </c:pt>
                <c:pt idx="10">
                  <c:v>28.8</c:v>
                </c:pt>
                <c:pt idx="11">
                  <c:v>31.3</c:v>
                </c:pt>
                <c:pt idx="12">
                  <c:v>24.5</c:v>
                </c:pt>
                <c:pt idx="13">
                  <c:v>23.5</c:v>
                </c:pt>
                <c:pt idx="14">
                  <c:v>21.900000000000006</c:v>
                </c:pt>
                <c:pt idx="15">
                  <c:v>54</c:v>
                </c:pt>
                <c:pt idx="16">
                  <c:v>53.3</c:v>
                </c:pt>
                <c:pt idx="17">
                  <c:v>54.6</c:v>
                </c:pt>
                <c:pt idx="18">
                  <c:v>51.4</c:v>
                </c:pt>
                <c:pt idx="19">
                  <c:v>45.6</c:v>
                </c:pt>
                <c:pt idx="20">
                  <c:v>45.9</c:v>
                </c:pt>
                <c:pt idx="21">
                  <c:v>46</c:v>
                </c:pt>
                <c:pt idx="22">
                  <c:v>45</c:v>
                </c:pt>
                <c:pt idx="23">
                  <c:v>42.5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198-4473-AEBC-194014667405}"/>
            </c:ext>
          </c:extLst>
        </c:ser>
        <c:ser>
          <c:idx val="3"/>
          <c:order val="3"/>
          <c:tx>
            <c:strRef>
              <c:f>List1!$A$13</c:f>
              <c:strCache>
                <c:ptCount val="1"/>
                <c:pt idx="0">
                  <c:v>Zásobování vodou, služby souv. s odpad. vodami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x"/>
            <c:size val="3"/>
            <c:spPr>
              <a:noFill/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X.21</c:v>
                </c:pt>
                <c:pt idx="1">
                  <c:v>XI.21</c:v>
                </c:pt>
                <c:pt idx="2">
                  <c:v>XII.21</c:v>
                </c:pt>
                <c:pt idx="3">
                  <c:v>I.22</c:v>
                </c:pt>
                <c:pt idx="4">
                  <c:v>II.22</c:v>
                </c:pt>
                <c:pt idx="5">
                  <c:v>III.22</c:v>
                </c:pt>
                <c:pt idx="6">
                  <c:v>IV.22</c:v>
                </c:pt>
                <c:pt idx="7">
                  <c:v>V.22</c:v>
                </c:pt>
                <c:pt idx="8">
                  <c:v>VI.22</c:v>
                </c:pt>
                <c:pt idx="9">
                  <c:v>VII.22</c:v>
                </c:pt>
                <c:pt idx="10">
                  <c:v>VIII.22</c:v>
                </c:pt>
                <c:pt idx="11">
                  <c:v>IX.22</c:v>
                </c:pt>
                <c:pt idx="12">
                  <c:v>X.22</c:v>
                </c:pt>
                <c:pt idx="13">
                  <c:v>XI.22</c:v>
                </c:pt>
                <c:pt idx="14">
                  <c:v>XII.22</c:v>
                </c:pt>
                <c:pt idx="15">
                  <c:v>I.23</c:v>
                </c:pt>
                <c:pt idx="16">
                  <c:v>II.23</c:v>
                </c:pt>
                <c:pt idx="17">
                  <c:v>III.23</c:v>
                </c:pt>
                <c:pt idx="18">
                  <c:v>IV.23</c:v>
                </c:pt>
                <c:pt idx="19">
                  <c:v>V.23</c:v>
                </c:pt>
                <c:pt idx="20">
                  <c:v>VI.23</c:v>
                </c:pt>
                <c:pt idx="21">
                  <c:v>VII.23</c:v>
                </c:pt>
                <c:pt idx="22">
                  <c:v>VIII.23</c:v>
                </c:pt>
                <c:pt idx="23">
                  <c:v>IX.23</c:v>
                </c:pt>
              </c:strCache>
            </c:strRef>
          </c:cat>
          <c:val>
            <c:numRef>
              <c:f>List1!$B$13:$Y$13</c:f>
              <c:numCache>
                <c:formatCode>0.0</c:formatCode>
                <c:ptCount val="24"/>
                <c:pt idx="0">
                  <c:v>5.9</c:v>
                </c:pt>
                <c:pt idx="1">
                  <c:v>5.9</c:v>
                </c:pt>
                <c:pt idx="2">
                  <c:v>5.9</c:v>
                </c:pt>
                <c:pt idx="3">
                  <c:v>5.3</c:v>
                </c:pt>
                <c:pt idx="4">
                  <c:v>5.3</c:v>
                </c:pt>
                <c:pt idx="5">
                  <c:v>5.3</c:v>
                </c:pt>
                <c:pt idx="6">
                  <c:v>5.3</c:v>
                </c:pt>
                <c:pt idx="7">
                  <c:v>5.3</c:v>
                </c:pt>
                <c:pt idx="8">
                  <c:v>5.3</c:v>
                </c:pt>
                <c:pt idx="9">
                  <c:v>5.2999999999999972</c:v>
                </c:pt>
                <c:pt idx="10">
                  <c:v>5.3</c:v>
                </c:pt>
                <c:pt idx="11">
                  <c:v>5.3</c:v>
                </c:pt>
                <c:pt idx="12">
                  <c:v>5.3</c:v>
                </c:pt>
                <c:pt idx="13">
                  <c:v>5.3</c:v>
                </c:pt>
                <c:pt idx="14">
                  <c:v>5.2999999999999972</c:v>
                </c:pt>
                <c:pt idx="15">
                  <c:v>16.299999999999997</c:v>
                </c:pt>
                <c:pt idx="16">
                  <c:v>16.3</c:v>
                </c:pt>
                <c:pt idx="17">
                  <c:v>16.3</c:v>
                </c:pt>
                <c:pt idx="18">
                  <c:v>16.3</c:v>
                </c:pt>
                <c:pt idx="19">
                  <c:v>16.3</c:v>
                </c:pt>
                <c:pt idx="20">
                  <c:v>16.3</c:v>
                </c:pt>
                <c:pt idx="21">
                  <c:v>16.299999999999997</c:v>
                </c:pt>
                <c:pt idx="22">
                  <c:v>16.299999999999997</c:v>
                </c:pt>
                <c:pt idx="23">
                  <c:v>16.3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198-4473-AEBC-1940146674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836800"/>
        <c:axId val="71878144"/>
      </c:lineChart>
      <c:dateAx>
        <c:axId val="71836800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7814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878144"/>
        <c:scaling>
          <c:orientation val="minMax"/>
          <c:max val="65"/>
          <c:min val="-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1.5536726923219104E-2"/>
              <c:y val="0.27828786918876941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36800"/>
        <c:crosses val="autoZero"/>
        <c:crossBetween val="between"/>
        <c:majorUnit val="5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7.7683782484935876E-2"/>
          <c:y val="0.87699082486484059"/>
          <c:w val="0.88841920816235243"/>
          <c:h val="0.1164921657520082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0.00657</cdr:x>
      <cdr:y>0.30512</cdr:y>
    </cdr:from>
    <cdr:to>
      <cdr:x>0.03942</cdr:x>
      <cdr:y>0.68182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7624" y="1476376"/>
          <a:ext cx="238126" cy="18227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none" rtlCol="0"/>
        <a:lstStyle xmlns:a="http://schemas.openxmlformats.org/drawingml/2006/main"/>
        <a:p xmlns:a="http://schemas.openxmlformats.org/drawingml/2006/main">
          <a:r>
            <a:rPr lang="cs-CZ" sz="880" b="1">
              <a:latin typeface="Arial" pitchFamily="34" charset="0"/>
              <a:cs typeface="Arial" pitchFamily="34" charset="0"/>
            </a:rPr>
            <a:t>meziměsíční tempo růstu (%)</a:t>
          </a:r>
        </a:p>
        <a:p xmlns:a="http://schemas.openxmlformats.org/drawingml/2006/main">
          <a:endParaRPr lang="cs-CZ" sz="88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AC41-211B-4350-9F9F-3D96EFEB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Beránek Miloslav</cp:lastModifiedBy>
  <cp:revision>5</cp:revision>
  <cp:lastPrinted>2011-06-10T07:57:00Z</cp:lastPrinted>
  <dcterms:created xsi:type="dcterms:W3CDTF">2023-10-11T06:42:00Z</dcterms:created>
  <dcterms:modified xsi:type="dcterms:W3CDTF">2023-10-11T10:58:00Z</dcterms:modified>
</cp:coreProperties>
</file>