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1B" w:rsidRDefault="009956BA" w:rsidP="00100F5C">
      <w:pPr>
        <w:pStyle w:val="Nadpis1"/>
      </w:pPr>
      <w:bookmarkStart w:id="0" w:name="_Toc444112494"/>
      <w:bookmarkStart w:id="1" w:name="_Toc138754298"/>
      <w:r>
        <w:t>Úvod</w:t>
      </w:r>
      <w:bookmarkEnd w:id="0"/>
      <w:bookmarkEnd w:id="1"/>
    </w:p>
    <w:p w:rsidR="006B49ED" w:rsidRDefault="006B49ED" w:rsidP="006B49ED">
      <w:pPr>
        <w:spacing w:after="120"/>
        <w:jc w:val="both"/>
        <w:rPr>
          <w:rFonts w:cs="Arial"/>
          <w:szCs w:val="20"/>
        </w:rPr>
      </w:pPr>
      <w:r w:rsidRPr="00643F41">
        <w:rPr>
          <w:rFonts w:cs="Arial"/>
          <w:szCs w:val="20"/>
        </w:rPr>
        <w:t xml:space="preserve">Sčítání lidu, domů a bytů </w:t>
      </w:r>
      <w:r>
        <w:rPr>
          <w:rFonts w:cs="Arial"/>
          <w:szCs w:val="20"/>
        </w:rPr>
        <w:t xml:space="preserve">(SLDB) se uskutečnilo </w:t>
      </w:r>
      <w:r w:rsidRPr="00437333">
        <w:rPr>
          <w:rFonts w:cs="Arial"/>
          <w:szCs w:val="20"/>
        </w:rPr>
        <w:t>od 27. března do 11. května 2021</w:t>
      </w:r>
      <w:r>
        <w:rPr>
          <w:rFonts w:cs="Arial"/>
          <w:szCs w:val="20"/>
        </w:rPr>
        <w:t xml:space="preserve"> n</w:t>
      </w:r>
      <w:r w:rsidRPr="00643F41">
        <w:rPr>
          <w:rFonts w:cs="Arial"/>
          <w:szCs w:val="20"/>
        </w:rPr>
        <w:t>a c</w:t>
      </w:r>
      <w:r>
        <w:rPr>
          <w:rFonts w:cs="Arial"/>
          <w:szCs w:val="20"/>
        </w:rPr>
        <w:t>elém území České republiky podle z</w:t>
      </w:r>
      <w:r w:rsidRPr="00643F41">
        <w:rPr>
          <w:rFonts w:cs="Arial"/>
          <w:szCs w:val="20"/>
        </w:rPr>
        <w:t>ákona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 xml:space="preserve">č. </w:t>
      </w:r>
      <w:r>
        <w:rPr>
          <w:rFonts w:cs="Arial"/>
          <w:szCs w:val="20"/>
        </w:rPr>
        <w:t>332</w:t>
      </w:r>
      <w:r w:rsidRPr="00643F41">
        <w:rPr>
          <w:rFonts w:cs="Arial"/>
          <w:szCs w:val="20"/>
        </w:rPr>
        <w:t>/20</w:t>
      </w:r>
      <w:r>
        <w:rPr>
          <w:rFonts w:cs="Arial"/>
          <w:szCs w:val="20"/>
        </w:rPr>
        <w:t>20</w:t>
      </w:r>
      <w:r w:rsidRPr="00643F41">
        <w:rPr>
          <w:rFonts w:cs="Arial"/>
          <w:szCs w:val="20"/>
        </w:rPr>
        <w:t xml:space="preserve"> Sb., o sčítání lidu, domů a bytů v roce 20</w:t>
      </w:r>
      <w:r>
        <w:rPr>
          <w:rFonts w:cs="Arial"/>
          <w:szCs w:val="20"/>
        </w:rPr>
        <w:t>2</w:t>
      </w:r>
      <w:r w:rsidRPr="00643F41">
        <w:rPr>
          <w:rFonts w:cs="Arial"/>
          <w:szCs w:val="20"/>
        </w:rPr>
        <w:t>1. Údaje byly zjišťovány podle stavu k</w:t>
      </w:r>
      <w:r>
        <w:rPr>
          <w:rFonts w:cs="Arial"/>
          <w:szCs w:val="20"/>
        </w:rPr>
        <w:t> </w:t>
      </w:r>
      <w:r w:rsidRPr="00643F41">
        <w:rPr>
          <w:rFonts w:cs="Arial"/>
          <w:szCs w:val="20"/>
        </w:rPr>
        <w:t>rozhodnému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okamžiku, kterým byla půlnoc z 2</w:t>
      </w:r>
      <w:r>
        <w:rPr>
          <w:rFonts w:cs="Arial"/>
          <w:szCs w:val="20"/>
        </w:rPr>
        <w:t>6</w:t>
      </w:r>
      <w:r w:rsidRPr="00643F41">
        <w:rPr>
          <w:rFonts w:cs="Arial"/>
          <w:szCs w:val="20"/>
        </w:rPr>
        <w:t>. na 2</w:t>
      </w:r>
      <w:r>
        <w:rPr>
          <w:rFonts w:cs="Arial"/>
          <w:szCs w:val="20"/>
        </w:rPr>
        <w:t>7</w:t>
      </w:r>
      <w:r w:rsidRPr="00643F41">
        <w:rPr>
          <w:rFonts w:cs="Arial"/>
          <w:szCs w:val="20"/>
        </w:rPr>
        <w:t>. března 20</w:t>
      </w:r>
      <w:r>
        <w:rPr>
          <w:rFonts w:cs="Arial"/>
          <w:szCs w:val="20"/>
        </w:rPr>
        <w:t>2</w:t>
      </w:r>
      <w:r w:rsidRPr="00643F41">
        <w:rPr>
          <w:rFonts w:cs="Arial"/>
          <w:szCs w:val="20"/>
        </w:rPr>
        <w:t>1. Sčítání organizoval, ř</w:t>
      </w:r>
      <w:r w:rsidR="00DD5896">
        <w:rPr>
          <w:rFonts w:cs="Arial"/>
          <w:szCs w:val="20"/>
        </w:rPr>
        <w:t>ídil a </w:t>
      </w:r>
      <w:r w:rsidRPr="00643F41">
        <w:rPr>
          <w:rFonts w:cs="Arial"/>
          <w:szCs w:val="20"/>
        </w:rPr>
        <w:t>koordinoval Český</w:t>
      </w:r>
      <w:r>
        <w:rPr>
          <w:rFonts w:cs="Arial"/>
          <w:szCs w:val="20"/>
        </w:rPr>
        <w:t xml:space="preserve"> s</w:t>
      </w:r>
      <w:r w:rsidRPr="00643F41">
        <w:rPr>
          <w:rFonts w:cs="Arial"/>
          <w:szCs w:val="20"/>
        </w:rPr>
        <w:t>tatistický úřad</w:t>
      </w:r>
      <w:r>
        <w:rPr>
          <w:rFonts w:cs="Arial"/>
          <w:szCs w:val="20"/>
        </w:rPr>
        <w:t xml:space="preserve"> (ČSÚ)</w:t>
      </w:r>
      <w:r w:rsidRPr="00643F41">
        <w:rPr>
          <w:rFonts w:cs="Arial"/>
          <w:szCs w:val="20"/>
        </w:rPr>
        <w:t xml:space="preserve">, který </w:t>
      </w:r>
      <w:r>
        <w:rPr>
          <w:rFonts w:cs="Arial"/>
          <w:szCs w:val="20"/>
        </w:rPr>
        <w:t>zajišťoval</w:t>
      </w:r>
      <w:r w:rsidRPr="00643F41">
        <w:rPr>
          <w:rFonts w:cs="Arial"/>
          <w:szCs w:val="20"/>
        </w:rPr>
        <w:t xml:space="preserve"> přípravu a provedení sčítání a </w:t>
      </w:r>
      <w:r>
        <w:rPr>
          <w:rFonts w:cs="Arial"/>
          <w:szCs w:val="20"/>
        </w:rPr>
        <w:t>také</w:t>
      </w:r>
      <w:r w:rsidRPr="00643F41">
        <w:rPr>
          <w:rFonts w:cs="Arial"/>
          <w:szCs w:val="20"/>
        </w:rPr>
        <w:t xml:space="preserve"> zpracování jeho výsledků. Při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přípravě a provedení sčítání ČSÚ úzce spolupracoval s</w:t>
      </w:r>
      <w:r>
        <w:rPr>
          <w:rFonts w:cs="Arial"/>
          <w:szCs w:val="20"/>
        </w:rPr>
        <w:t> </w:t>
      </w:r>
      <w:r w:rsidRPr="00643F41">
        <w:rPr>
          <w:rFonts w:cs="Arial"/>
          <w:szCs w:val="20"/>
        </w:rPr>
        <w:t>ústředními správními úřady (</w:t>
      </w:r>
      <w:r>
        <w:rPr>
          <w:rFonts w:cs="Arial"/>
          <w:szCs w:val="20"/>
        </w:rPr>
        <w:t xml:space="preserve">mj. </w:t>
      </w:r>
      <w:r w:rsidRPr="00643F41">
        <w:rPr>
          <w:rFonts w:cs="Arial"/>
          <w:szCs w:val="20"/>
        </w:rPr>
        <w:t>Ministerstvem obrany,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Ministerstvem spravedlnosti, Ministerstvem vnitra, Ministerstvem zahraničních věcí, Českým úřadem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zeměměř</w:t>
      </w:r>
      <w:r>
        <w:rPr>
          <w:rFonts w:cs="Arial"/>
          <w:szCs w:val="20"/>
        </w:rPr>
        <w:t>ickým a katastrálním), obcemi a </w:t>
      </w:r>
      <w:r w:rsidRPr="00643F41">
        <w:rPr>
          <w:rFonts w:cs="Arial"/>
          <w:szCs w:val="20"/>
        </w:rPr>
        <w:t>zejména se smluvně zajištěnými dodavateli služeb</w:t>
      </w:r>
      <w:r>
        <w:rPr>
          <w:rFonts w:cs="Arial"/>
          <w:szCs w:val="20"/>
        </w:rPr>
        <w:t>.</w:t>
      </w:r>
    </w:p>
    <w:p w:rsidR="006B49ED" w:rsidRPr="00643F41" w:rsidRDefault="006B49ED" w:rsidP="006B49ED">
      <w:pPr>
        <w:spacing w:after="120"/>
        <w:jc w:val="both"/>
        <w:rPr>
          <w:rFonts w:cs="Arial"/>
          <w:szCs w:val="20"/>
        </w:rPr>
      </w:pPr>
      <w:r w:rsidRPr="00643F41">
        <w:rPr>
          <w:rFonts w:cs="Arial"/>
          <w:szCs w:val="20"/>
        </w:rPr>
        <w:t>Sčítání lidu, domů a bytů v roce 20</w:t>
      </w:r>
      <w:r>
        <w:rPr>
          <w:rFonts w:cs="Arial"/>
          <w:szCs w:val="20"/>
        </w:rPr>
        <w:t>2</w:t>
      </w:r>
      <w:r w:rsidRPr="00643F41">
        <w:rPr>
          <w:rFonts w:cs="Arial"/>
          <w:szCs w:val="20"/>
        </w:rPr>
        <w:t xml:space="preserve">1 v České republice </w:t>
      </w:r>
      <w:r>
        <w:rPr>
          <w:rFonts w:cs="Arial"/>
          <w:szCs w:val="20"/>
        </w:rPr>
        <w:t>s</w:t>
      </w:r>
      <w:r w:rsidRPr="00643F41">
        <w:rPr>
          <w:rFonts w:cs="Arial"/>
          <w:szCs w:val="20"/>
        </w:rPr>
        <w:t>plnilo požadavky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Nařízení Evropského parlamentu a Rady (ES) č. 763/2008, o sčítání lidu, domů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a bytů, které ukládalo členským státům EU povinnost provést sčítání v jednotném referenčním roce a poskytnout údaje ze sčítání ve</w:t>
      </w:r>
      <w:r>
        <w:rPr>
          <w:rFonts w:cs="Arial"/>
          <w:szCs w:val="20"/>
        </w:rPr>
        <w:t> </w:t>
      </w:r>
      <w:r w:rsidRPr="00643F41">
        <w:rPr>
          <w:rFonts w:cs="Arial"/>
          <w:szCs w:val="20"/>
        </w:rPr>
        <w:t>stanoveném rozsahu, metodickém vymezení, termínu a předepsané formě.</w:t>
      </w:r>
    </w:p>
    <w:p w:rsidR="006B49ED" w:rsidRDefault="006B49ED" w:rsidP="006B49ED">
      <w:pPr>
        <w:spacing w:after="120"/>
        <w:jc w:val="both"/>
        <w:rPr>
          <w:rFonts w:cs="Arial"/>
          <w:szCs w:val="20"/>
        </w:rPr>
      </w:pPr>
      <w:r w:rsidRPr="00643F41">
        <w:rPr>
          <w:rFonts w:cs="Arial"/>
          <w:szCs w:val="20"/>
        </w:rPr>
        <w:t xml:space="preserve">Obsah sčítání (soubor zjišťovaných údajů) byl stanoven zákonem č. </w:t>
      </w:r>
      <w:r>
        <w:rPr>
          <w:rFonts w:cs="Arial"/>
          <w:szCs w:val="20"/>
        </w:rPr>
        <w:t>332</w:t>
      </w:r>
      <w:r w:rsidRPr="00643F41">
        <w:rPr>
          <w:rFonts w:cs="Arial"/>
          <w:szCs w:val="20"/>
        </w:rPr>
        <w:t>/20</w:t>
      </w:r>
      <w:r>
        <w:rPr>
          <w:rFonts w:cs="Arial"/>
          <w:szCs w:val="20"/>
        </w:rPr>
        <w:t>20</w:t>
      </w:r>
      <w:r w:rsidRPr="00643F41">
        <w:rPr>
          <w:rFonts w:cs="Arial"/>
          <w:szCs w:val="20"/>
        </w:rPr>
        <w:t xml:space="preserve"> Sb. Všechny osoby měly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povinnost poskytnout údaje zjišťované sčítáním v rozsahu a způsobem stanoveným tímto zákonem.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 xml:space="preserve">Tradičně byla použita metoda sebesčítání, kdy obyvatelé sami vyplňovali sčítací formuláře. </w:t>
      </w:r>
      <w:r>
        <w:rPr>
          <w:rFonts w:cs="Arial"/>
          <w:szCs w:val="20"/>
        </w:rPr>
        <w:t xml:space="preserve">Více než čtyři pětiny občanů využily možnost poskytnout údaje prostřednictvím elektronického formuláře přes internet. Zbývající část obyvatelstva využila </w:t>
      </w:r>
      <w:r w:rsidRPr="00A14642">
        <w:rPr>
          <w:rFonts w:cs="Arial"/>
          <w:szCs w:val="20"/>
        </w:rPr>
        <w:t>listin</w:t>
      </w:r>
      <w:r>
        <w:rPr>
          <w:rFonts w:cs="Arial"/>
          <w:szCs w:val="20"/>
        </w:rPr>
        <w:t>n</w:t>
      </w:r>
      <w:r w:rsidRPr="00A14642">
        <w:rPr>
          <w:rFonts w:cs="Arial"/>
          <w:szCs w:val="20"/>
        </w:rPr>
        <w:t>ou</w:t>
      </w:r>
      <w:r>
        <w:rPr>
          <w:rFonts w:cs="Arial"/>
          <w:szCs w:val="20"/>
        </w:rPr>
        <w:t xml:space="preserve"> formu sčítání, a to buď prostřednictvím sčítacích komisařů, nebo občané předávali ČSÚ vyplněné formuláře sami přes tzv. kontaktní místa či poštou. </w:t>
      </w:r>
      <w:r w:rsidRPr="00643F41">
        <w:rPr>
          <w:rFonts w:cs="Arial"/>
          <w:szCs w:val="20"/>
        </w:rPr>
        <w:t>Údaje o bytu poskytl jeho uživatel</w:t>
      </w:r>
      <w:r>
        <w:rPr>
          <w:rFonts w:cs="Arial"/>
          <w:szCs w:val="20"/>
        </w:rPr>
        <w:t>.</w:t>
      </w:r>
    </w:p>
    <w:p w:rsidR="006B49ED" w:rsidRPr="00643F41" w:rsidRDefault="006B49ED" w:rsidP="006B49ED">
      <w:pPr>
        <w:spacing w:after="120"/>
        <w:jc w:val="both"/>
        <w:rPr>
          <w:rFonts w:cs="Arial"/>
          <w:szCs w:val="20"/>
        </w:rPr>
      </w:pPr>
      <w:r w:rsidRPr="00437333">
        <w:rPr>
          <w:rFonts w:cs="Arial"/>
          <w:szCs w:val="20"/>
        </w:rPr>
        <w:t>Kromě údajů získaných od obyvatel prostřednictvím elektronických či listinných sčítacích formulářů (tradiční census) byly při sčítání v roce 2021 využity ve větší míře i administrativní zdroje dat (zejména Registr obyvatel, pojištěnců, informační systémy ČSSZ a MPSV</w:t>
      </w:r>
      <w:r>
        <w:rPr>
          <w:rFonts w:cs="Arial"/>
          <w:szCs w:val="20"/>
        </w:rPr>
        <w:t xml:space="preserve"> a další). </w:t>
      </w:r>
      <w:r w:rsidRPr="00F222AD">
        <w:rPr>
          <w:rFonts w:cs="Arial"/>
          <w:szCs w:val="20"/>
        </w:rPr>
        <w:t xml:space="preserve">Údaje o domech </w:t>
      </w:r>
      <w:r w:rsidR="00DD5896">
        <w:rPr>
          <w:rFonts w:cs="Arial"/>
          <w:szCs w:val="20"/>
        </w:rPr>
        <w:t>byly poprvé čerpány výhradně z </w:t>
      </w:r>
      <w:r>
        <w:rPr>
          <w:rFonts w:cs="Arial"/>
          <w:szCs w:val="20"/>
        </w:rPr>
        <w:t>administrativních zdrojů, a to z Informačního systému katastru nemovitostí (ISKN) a z Registru sčítacích obvodů a budov, který vede ČSÚ.</w:t>
      </w:r>
    </w:p>
    <w:p w:rsidR="006B49ED" w:rsidRPr="00643F41" w:rsidRDefault="006B49ED" w:rsidP="006B49ED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Sčítání v předem vymezených standardních sčítacích obvodech zajišťovali sčítací komisaři České pošty. </w:t>
      </w:r>
      <w:r w:rsidRPr="00643F41">
        <w:rPr>
          <w:rFonts w:cs="Arial"/>
          <w:szCs w:val="20"/>
        </w:rPr>
        <w:t>Samostatné sčítací obvody tvořila větší hromadná ubytovací zařízení (ubytovny, domovy seniorů, hotely,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nemocnice apod.), kde sčítání obvykle prováděli komisaři z řad pracovníků daného zařízení. Specifické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sčítací obvody byly vymezeny i v gesci Ministerstva obrany (zařízení hromadně ubytovaných příslušníků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ozbrojených sil v ČR i v zahraničí), Ministerstva vnitra (policejní ubytovny, azylová zařízení), Ministerstva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spravedlnosti (zařízení Vězeňské služby) a Ministerstva zahraničních věcí (zastupitelské úřady v zahraničí).</w:t>
      </w:r>
    </w:p>
    <w:p w:rsidR="006B49ED" w:rsidRPr="00643F41" w:rsidRDefault="006B49ED" w:rsidP="006B49ED">
      <w:pPr>
        <w:spacing w:after="120"/>
        <w:jc w:val="both"/>
        <w:rPr>
          <w:rFonts w:cs="Arial"/>
          <w:szCs w:val="20"/>
        </w:rPr>
      </w:pPr>
      <w:r w:rsidRPr="00643F41">
        <w:rPr>
          <w:rFonts w:cs="Arial"/>
          <w:szCs w:val="20"/>
        </w:rPr>
        <w:t>Všechny údaje ze SLDB 20</w:t>
      </w:r>
      <w:r>
        <w:rPr>
          <w:rFonts w:cs="Arial"/>
          <w:szCs w:val="20"/>
        </w:rPr>
        <w:t>2</w:t>
      </w:r>
      <w:r w:rsidRPr="00643F41">
        <w:rPr>
          <w:rFonts w:cs="Arial"/>
          <w:szCs w:val="20"/>
        </w:rPr>
        <w:t>1 byly zpracovány podle územního a správního členění státu platného v</w:t>
      </w:r>
      <w:r>
        <w:rPr>
          <w:rFonts w:cs="Arial"/>
          <w:szCs w:val="20"/>
        </w:rPr>
        <w:t> </w:t>
      </w:r>
      <w:r w:rsidRPr="00643F41">
        <w:rPr>
          <w:rFonts w:cs="Arial"/>
          <w:szCs w:val="20"/>
        </w:rPr>
        <w:t>České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republice k 26. březnu 20</w:t>
      </w:r>
      <w:r>
        <w:rPr>
          <w:rFonts w:cs="Arial"/>
          <w:szCs w:val="20"/>
        </w:rPr>
        <w:t>2</w:t>
      </w:r>
      <w:r w:rsidRPr="00643F41">
        <w:rPr>
          <w:rFonts w:cs="Arial"/>
          <w:szCs w:val="20"/>
        </w:rPr>
        <w:t>1.</w:t>
      </w:r>
      <w:r>
        <w:rPr>
          <w:rFonts w:cs="Arial"/>
          <w:szCs w:val="20"/>
        </w:rPr>
        <w:t xml:space="preserve"> </w:t>
      </w:r>
    </w:p>
    <w:p w:rsidR="006B49ED" w:rsidRDefault="006B49ED" w:rsidP="006B49ED">
      <w:pPr>
        <w:spacing w:after="120"/>
        <w:jc w:val="both"/>
        <w:rPr>
          <w:rFonts w:cs="Arial"/>
          <w:szCs w:val="20"/>
        </w:rPr>
      </w:pPr>
      <w:r w:rsidRPr="00643F41">
        <w:rPr>
          <w:rFonts w:cs="Arial"/>
          <w:szCs w:val="20"/>
        </w:rPr>
        <w:t xml:space="preserve">Publikace </w:t>
      </w:r>
      <w:r w:rsidRPr="00A43E94">
        <w:rPr>
          <w:rFonts w:cs="Arial"/>
          <w:szCs w:val="20"/>
        </w:rPr>
        <w:t>Základní výsledky SLDB 2021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přináší výsledky sčítání</w:t>
      </w:r>
      <w:r>
        <w:rPr>
          <w:rFonts w:cs="Arial"/>
          <w:szCs w:val="20"/>
        </w:rPr>
        <w:t xml:space="preserve"> v ucelené podobě za hlavní zjišťované ukazatele všech tematických okruhů</w:t>
      </w:r>
      <w:r w:rsidRPr="00643F41">
        <w:rPr>
          <w:rFonts w:cs="Arial"/>
          <w:szCs w:val="20"/>
        </w:rPr>
        <w:t>. Publikace vychází souhrnně za</w:t>
      </w:r>
      <w:r>
        <w:rPr>
          <w:rFonts w:cs="Arial"/>
          <w:szCs w:val="20"/>
        </w:rPr>
        <w:t xml:space="preserve"> Českou republiku s </w:t>
      </w:r>
      <w:r w:rsidRPr="00643F41">
        <w:rPr>
          <w:rFonts w:cs="Arial"/>
          <w:szCs w:val="20"/>
        </w:rPr>
        <w:t>mezikrajským srovnáním</w:t>
      </w:r>
      <w:r>
        <w:rPr>
          <w:rFonts w:cs="Arial"/>
          <w:szCs w:val="20"/>
        </w:rPr>
        <w:t xml:space="preserve"> a údaji podle velikostních skupin obcí. Byly zpracovány také </w:t>
      </w:r>
      <w:r w:rsidRPr="00643F41">
        <w:rPr>
          <w:rFonts w:cs="Arial"/>
          <w:szCs w:val="20"/>
        </w:rPr>
        <w:t>samostatn</w:t>
      </w:r>
      <w:r>
        <w:rPr>
          <w:rFonts w:cs="Arial"/>
          <w:szCs w:val="20"/>
        </w:rPr>
        <w:t>é publikace</w:t>
      </w:r>
      <w:r w:rsidRPr="00643F41">
        <w:rPr>
          <w:rFonts w:cs="Arial"/>
          <w:szCs w:val="20"/>
        </w:rPr>
        <w:t xml:space="preserve"> za jednotlivé kraje s</w:t>
      </w:r>
      <w:r>
        <w:rPr>
          <w:rFonts w:cs="Arial"/>
          <w:szCs w:val="20"/>
        </w:rPr>
        <w:t> </w:t>
      </w:r>
      <w:r w:rsidRPr="00643F41">
        <w:rPr>
          <w:rFonts w:cs="Arial"/>
          <w:szCs w:val="20"/>
        </w:rPr>
        <w:t>podrobnějším územním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členěním podle velikostních skupin obcí, podle okresů a podle správních obvodů obcí s</w:t>
      </w:r>
      <w:r>
        <w:rPr>
          <w:rFonts w:cs="Arial"/>
          <w:szCs w:val="20"/>
        </w:rPr>
        <w:t> </w:t>
      </w:r>
      <w:r w:rsidRPr="00643F41">
        <w:rPr>
          <w:rFonts w:cs="Arial"/>
          <w:szCs w:val="20"/>
        </w:rPr>
        <w:t>rozšířenou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 xml:space="preserve">působností. Jsou doplněny vybranými údaji o obcích </w:t>
      </w:r>
      <w:r>
        <w:rPr>
          <w:rFonts w:cs="Arial"/>
          <w:szCs w:val="20"/>
        </w:rPr>
        <w:t>příslušného</w:t>
      </w:r>
      <w:r w:rsidRPr="00643F41">
        <w:rPr>
          <w:rFonts w:cs="Arial"/>
          <w:szCs w:val="20"/>
        </w:rPr>
        <w:t xml:space="preserve"> kraje</w:t>
      </w:r>
      <w:r>
        <w:rPr>
          <w:rFonts w:cs="Arial"/>
          <w:szCs w:val="20"/>
        </w:rPr>
        <w:t>. Všechny publikace pak obsahují stručný komentář výsledků, metodiku a několik grafů a kartogramů.</w:t>
      </w:r>
      <w:r w:rsidRPr="00643F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</w:t>
      </w:r>
      <w:r w:rsidRPr="00643F41">
        <w:rPr>
          <w:rFonts w:cs="Arial"/>
          <w:szCs w:val="20"/>
        </w:rPr>
        <w:t>ýsledky sčítání</w:t>
      </w:r>
      <w:r>
        <w:rPr>
          <w:rFonts w:cs="Arial"/>
          <w:szCs w:val="20"/>
        </w:rPr>
        <w:t>,</w:t>
      </w:r>
      <w:r w:rsidRPr="00643F41">
        <w:rPr>
          <w:rFonts w:cs="Arial"/>
          <w:szCs w:val="20"/>
        </w:rPr>
        <w:t xml:space="preserve"> včetně všech vydaných publikací</w:t>
      </w:r>
      <w:r>
        <w:rPr>
          <w:rFonts w:cs="Arial"/>
          <w:szCs w:val="20"/>
        </w:rPr>
        <w:t xml:space="preserve">, </w:t>
      </w:r>
      <w:r w:rsidRPr="00643F41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643F41">
        <w:rPr>
          <w:rFonts w:cs="Arial"/>
          <w:szCs w:val="20"/>
        </w:rPr>
        <w:t xml:space="preserve">elektronické podobě jsou postupně zveřejňovány na </w:t>
      </w:r>
      <w:r>
        <w:rPr>
          <w:rFonts w:cs="Arial"/>
          <w:szCs w:val="20"/>
        </w:rPr>
        <w:t>webových</w:t>
      </w:r>
      <w:r w:rsidRPr="00643F41">
        <w:rPr>
          <w:rFonts w:cs="Arial"/>
          <w:szCs w:val="20"/>
        </w:rPr>
        <w:t xml:space="preserve"> stránkách </w:t>
      </w:r>
      <w:hyperlink r:id="rId8" w:history="1">
        <w:r w:rsidR="004007A5" w:rsidRPr="00B12CF1">
          <w:rPr>
            <w:rStyle w:val="Hypertextovodkaz"/>
            <w:rFonts w:eastAsia="MS Gothic" w:cs="Arial"/>
            <w:szCs w:val="20"/>
          </w:rPr>
          <w:t>www.scitani.cz</w:t>
        </w:r>
      </w:hyperlink>
      <w:r>
        <w:rPr>
          <w:rFonts w:cs="Arial"/>
          <w:szCs w:val="20"/>
        </w:rPr>
        <w:t xml:space="preserve"> a především ve Veřejné databázi nebo ve formátu otevřených dat</w:t>
      </w:r>
      <w:r w:rsidRPr="00643F41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Zde mohou uživatelé získat mnohem podrobnější informace, než je tomu v této publikaci.</w:t>
      </w:r>
    </w:p>
    <w:p w:rsidR="009956BA" w:rsidRPr="006B49ED" w:rsidRDefault="006B49ED" w:rsidP="006B49ED">
      <w:pPr>
        <w:spacing w:after="120"/>
        <w:jc w:val="both"/>
        <w:rPr>
          <w:rFonts w:cs="Arial"/>
          <w:szCs w:val="20"/>
        </w:rPr>
      </w:pPr>
      <w:r w:rsidRPr="00643F41">
        <w:rPr>
          <w:rFonts w:cs="Arial"/>
          <w:szCs w:val="20"/>
        </w:rPr>
        <w:t>Český statistický úřad děkuje všem spolupracujícím úřadům, institucím a organizacím, které se podílely na</w:t>
      </w:r>
      <w:r w:rsidR="002F3F42">
        <w:rPr>
          <w:rFonts w:cs="Arial"/>
          <w:szCs w:val="20"/>
        </w:rPr>
        <w:t> </w:t>
      </w:r>
      <w:r w:rsidRPr="00643F41">
        <w:rPr>
          <w:rFonts w:cs="Arial"/>
          <w:szCs w:val="20"/>
        </w:rPr>
        <w:t xml:space="preserve">přípravě a provedení sčítání. Především však děkuje </w:t>
      </w:r>
      <w:r>
        <w:rPr>
          <w:rFonts w:cs="Arial"/>
          <w:szCs w:val="20"/>
        </w:rPr>
        <w:t xml:space="preserve">všem </w:t>
      </w:r>
      <w:r w:rsidRPr="00643F41">
        <w:rPr>
          <w:rFonts w:cs="Arial"/>
          <w:szCs w:val="20"/>
        </w:rPr>
        <w:t>občanům, kteří se sčítání lidu,</w:t>
      </w:r>
      <w:r>
        <w:rPr>
          <w:rFonts w:cs="Arial"/>
          <w:szCs w:val="20"/>
        </w:rPr>
        <w:t xml:space="preserve"> </w:t>
      </w:r>
      <w:r w:rsidRPr="00643F41">
        <w:rPr>
          <w:rFonts w:cs="Arial"/>
          <w:szCs w:val="20"/>
        </w:rPr>
        <w:t>domů a</w:t>
      </w:r>
      <w:r>
        <w:rPr>
          <w:rFonts w:cs="Arial"/>
          <w:szCs w:val="20"/>
        </w:rPr>
        <w:t> </w:t>
      </w:r>
      <w:r w:rsidRPr="00643F41">
        <w:rPr>
          <w:rFonts w:cs="Arial"/>
          <w:szCs w:val="20"/>
        </w:rPr>
        <w:t xml:space="preserve">bytů </w:t>
      </w:r>
      <w:r>
        <w:rPr>
          <w:rFonts w:cs="Arial"/>
          <w:szCs w:val="20"/>
        </w:rPr>
        <w:t xml:space="preserve">v roce </w:t>
      </w:r>
      <w:r w:rsidRPr="00643F41">
        <w:rPr>
          <w:rFonts w:cs="Arial"/>
          <w:szCs w:val="20"/>
        </w:rPr>
        <w:t>20</w:t>
      </w:r>
      <w:r>
        <w:rPr>
          <w:rFonts w:cs="Arial"/>
          <w:szCs w:val="20"/>
        </w:rPr>
        <w:t>2</w:t>
      </w:r>
      <w:r w:rsidRPr="00643F41">
        <w:rPr>
          <w:rFonts w:cs="Arial"/>
          <w:szCs w:val="20"/>
        </w:rPr>
        <w:t>1 zúčastnili.</w:t>
      </w:r>
      <w:bookmarkStart w:id="2" w:name="_GoBack"/>
      <w:bookmarkEnd w:id="2"/>
    </w:p>
    <w:sectPr w:rsidR="009956BA" w:rsidRPr="006B49ED" w:rsidSect="006F541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ED" w:rsidRDefault="006B49ED" w:rsidP="00E71A58">
      <w:r>
        <w:separator/>
      </w:r>
    </w:p>
  </w:endnote>
  <w:endnote w:type="continuationSeparator" w:id="0">
    <w:p w:rsidR="006B49ED" w:rsidRDefault="006B49E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Segoe Print"/>
    <w:charset w:val="00"/>
    <w:family w:val="auto"/>
    <w:pitch w:val="default"/>
    <w:sig w:usb0="00000000" w:usb1="00000000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932443" w:rsidRDefault="006B49E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4007A5">
      <w:rPr>
        <w:szCs w:val="16"/>
      </w:rPr>
      <w:t>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932443" w:rsidRDefault="006B49E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2021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4007A5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ED" w:rsidRDefault="006B49ED" w:rsidP="00E71A58">
      <w:r>
        <w:separator/>
      </w:r>
    </w:p>
  </w:footnote>
  <w:footnote w:type="continuationSeparator" w:id="0">
    <w:p w:rsidR="006B49ED" w:rsidRDefault="006B49E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264157" w:rsidRDefault="006B49ED" w:rsidP="00264157">
    <w:pPr>
      <w:pStyle w:val="Zhlav"/>
    </w:pPr>
    <w:r>
      <w:t>Základní výsledky Sčítání lidu, domů a bytů v České republice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EA1787" w:rsidRDefault="006B49ED" w:rsidP="00EA1787">
    <w:pPr>
      <w:pStyle w:val="Zhlav"/>
    </w:pPr>
    <w:r>
      <w:t>Základní výsledky Sčítání lidu, domů a bytů v České republice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64EF6"/>
    <w:multiLevelType w:val="hybridMultilevel"/>
    <w:tmpl w:val="D42C4130"/>
    <w:lvl w:ilvl="0" w:tplc="9990CEB4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5376"/>
    <w:multiLevelType w:val="hybridMultilevel"/>
    <w:tmpl w:val="3AE02706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640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71"/>
    <w:rsid w:val="0000209D"/>
    <w:rsid w:val="00004D5A"/>
    <w:rsid w:val="000056D5"/>
    <w:rsid w:val="0000729D"/>
    <w:rsid w:val="0000767A"/>
    <w:rsid w:val="00010702"/>
    <w:rsid w:val="000154C6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57DD1"/>
    <w:rsid w:val="000610E1"/>
    <w:rsid w:val="00062EC5"/>
    <w:rsid w:val="00062F22"/>
    <w:rsid w:val="000712B3"/>
    <w:rsid w:val="00076646"/>
    <w:rsid w:val="0008263E"/>
    <w:rsid w:val="00082C19"/>
    <w:rsid w:val="00085395"/>
    <w:rsid w:val="00087634"/>
    <w:rsid w:val="00087F2B"/>
    <w:rsid w:val="000974D1"/>
    <w:rsid w:val="0009799E"/>
    <w:rsid w:val="000A0071"/>
    <w:rsid w:val="000A1183"/>
    <w:rsid w:val="000A256D"/>
    <w:rsid w:val="000A3A2C"/>
    <w:rsid w:val="000B30FA"/>
    <w:rsid w:val="000C3408"/>
    <w:rsid w:val="000C6AFD"/>
    <w:rsid w:val="000D5637"/>
    <w:rsid w:val="000E6FBD"/>
    <w:rsid w:val="00100F5C"/>
    <w:rsid w:val="0010437D"/>
    <w:rsid w:val="00104C4C"/>
    <w:rsid w:val="001075DA"/>
    <w:rsid w:val="0012192F"/>
    <w:rsid w:val="00125D69"/>
    <w:rsid w:val="0013575C"/>
    <w:rsid w:val="001405FA"/>
    <w:rsid w:val="001425C3"/>
    <w:rsid w:val="001443AF"/>
    <w:rsid w:val="0015347C"/>
    <w:rsid w:val="0016256B"/>
    <w:rsid w:val="00163793"/>
    <w:rsid w:val="00166171"/>
    <w:rsid w:val="001705B1"/>
    <w:rsid w:val="001706D6"/>
    <w:rsid w:val="001714F2"/>
    <w:rsid w:val="00184B08"/>
    <w:rsid w:val="00185010"/>
    <w:rsid w:val="001857F6"/>
    <w:rsid w:val="001A552F"/>
    <w:rsid w:val="001B2CA9"/>
    <w:rsid w:val="001B2F75"/>
    <w:rsid w:val="001B3110"/>
    <w:rsid w:val="001B4729"/>
    <w:rsid w:val="001B6C09"/>
    <w:rsid w:val="001C05CD"/>
    <w:rsid w:val="001D68B2"/>
    <w:rsid w:val="001E6497"/>
    <w:rsid w:val="001F4597"/>
    <w:rsid w:val="002118B9"/>
    <w:rsid w:val="00217C5B"/>
    <w:rsid w:val="002206B4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64157"/>
    <w:rsid w:val="00271465"/>
    <w:rsid w:val="002811AB"/>
    <w:rsid w:val="00285412"/>
    <w:rsid w:val="0029209F"/>
    <w:rsid w:val="00296AF2"/>
    <w:rsid w:val="002A00BE"/>
    <w:rsid w:val="002A16D4"/>
    <w:rsid w:val="002A230C"/>
    <w:rsid w:val="002B6284"/>
    <w:rsid w:val="002C43BD"/>
    <w:rsid w:val="002D0E59"/>
    <w:rsid w:val="002D1D6B"/>
    <w:rsid w:val="002D1EB0"/>
    <w:rsid w:val="002E02A1"/>
    <w:rsid w:val="002E4E4C"/>
    <w:rsid w:val="002F3F42"/>
    <w:rsid w:val="00304771"/>
    <w:rsid w:val="003052D4"/>
    <w:rsid w:val="00306C5B"/>
    <w:rsid w:val="00306E71"/>
    <w:rsid w:val="003209D6"/>
    <w:rsid w:val="00321924"/>
    <w:rsid w:val="0032656E"/>
    <w:rsid w:val="0033123A"/>
    <w:rsid w:val="00332190"/>
    <w:rsid w:val="00336FCE"/>
    <w:rsid w:val="00344668"/>
    <w:rsid w:val="003462D9"/>
    <w:rsid w:val="00360C86"/>
    <w:rsid w:val="003657F3"/>
    <w:rsid w:val="0037610B"/>
    <w:rsid w:val="003818DC"/>
    <w:rsid w:val="00383D12"/>
    <w:rsid w:val="00384327"/>
    <w:rsid w:val="00385D98"/>
    <w:rsid w:val="003A2B4D"/>
    <w:rsid w:val="003A478C"/>
    <w:rsid w:val="003A5525"/>
    <w:rsid w:val="003A6B38"/>
    <w:rsid w:val="003B337D"/>
    <w:rsid w:val="003B5A32"/>
    <w:rsid w:val="003C3490"/>
    <w:rsid w:val="003D1FC0"/>
    <w:rsid w:val="003D6920"/>
    <w:rsid w:val="003E4C91"/>
    <w:rsid w:val="003E7899"/>
    <w:rsid w:val="003F313C"/>
    <w:rsid w:val="003F4B2C"/>
    <w:rsid w:val="003F551C"/>
    <w:rsid w:val="003F7D23"/>
    <w:rsid w:val="004007A5"/>
    <w:rsid w:val="0040631C"/>
    <w:rsid w:val="00407C13"/>
    <w:rsid w:val="00410638"/>
    <w:rsid w:val="00432A58"/>
    <w:rsid w:val="00434617"/>
    <w:rsid w:val="00440900"/>
    <w:rsid w:val="004441A0"/>
    <w:rsid w:val="00460FB3"/>
    <w:rsid w:val="00475B69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2BDA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005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25DB5"/>
    <w:rsid w:val="00532CE7"/>
    <w:rsid w:val="0053324C"/>
    <w:rsid w:val="00534A28"/>
    <w:rsid w:val="00541508"/>
    <w:rsid w:val="0055599F"/>
    <w:rsid w:val="00556D68"/>
    <w:rsid w:val="005647BF"/>
    <w:rsid w:val="0056613B"/>
    <w:rsid w:val="0057364B"/>
    <w:rsid w:val="00574773"/>
    <w:rsid w:val="00583FFD"/>
    <w:rsid w:val="005911BE"/>
    <w:rsid w:val="00593152"/>
    <w:rsid w:val="005A10F2"/>
    <w:rsid w:val="005A21E0"/>
    <w:rsid w:val="005A28FF"/>
    <w:rsid w:val="005A36A6"/>
    <w:rsid w:val="005A3DF8"/>
    <w:rsid w:val="005A5549"/>
    <w:rsid w:val="005B121D"/>
    <w:rsid w:val="005B1909"/>
    <w:rsid w:val="005B524A"/>
    <w:rsid w:val="005C06ED"/>
    <w:rsid w:val="005D5802"/>
    <w:rsid w:val="005D7890"/>
    <w:rsid w:val="005E7C78"/>
    <w:rsid w:val="005F0331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49ED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329E"/>
    <w:rsid w:val="006F5416"/>
    <w:rsid w:val="006F7137"/>
    <w:rsid w:val="00706AD4"/>
    <w:rsid w:val="00712472"/>
    <w:rsid w:val="007140BE"/>
    <w:rsid w:val="00714AA0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1F46"/>
    <w:rsid w:val="007A4BF3"/>
    <w:rsid w:val="007B1459"/>
    <w:rsid w:val="007B6689"/>
    <w:rsid w:val="007D40DF"/>
    <w:rsid w:val="007D749B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0C82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67CA3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3FE8"/>
    <w:rsid w:val="008F585B"/>
    <w:rsid w:val="009003A8"/>
    <w:rsid w:val="00902500"/>
    <w:rsid w:val="00902EFF"/>
    <w:rsid w:val="00905EBB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65DB8"/>
    <w:rsid w:val="00974923"/>
    <w:rsid w:val="00980D3D"/>
    <w:rsid w:val="00987A30"/>
    <w:rsid w:val="00992CF3"/>
    <w:rsid w:val="009956BA"/>
    <w:rsid w:val="009968D6"/>
    <w:rsid w:val="009A1CAB"/>
    <w:rsid w:val="009A60D1"/>
    <w:rsid w:val="009B4C30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9F682F"/>
    <w:rsid w:val="00A10D66"/>
    <w:rsid w:val="00A14114"/>
    <w:rsid w:val="00A16413"/>
    <w:rsid w:val="00A23E43"/>
    <w:rsid w:val="00A30F65"/>
    <w:rsid w:val="00A33A01"/>
    <w:rsid w:val="00A418BC"/>
    <w:rsid w:val="00A46DE0"/>
    <w:rsid w:val="00A50D73"/>
    <w:rsid w:val="00A52AFB"/>
    <w:rsid w:val="00A52CAD"/>
    <w:rsid w:val="00A53620"/>
    <w:rsid w:val="00A53FC7"/>
    <w:rsid w:val="00A6133B"/>
    <w:rsid w:val="00A61C65"/>
    <w:rsid w:val="00A62CE1"/>
    <w:rsid w:val="00A6741E"/>
    <w:rsid w:val="00A75E40"/>
    <w:rsid w:val="00A77D1D"/>
    <w:rsid w:val="00A857C0"/>
    <w:rsid w:val="00AA2996"/>
    <w:rsid w:val="00AA2A1A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3C90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1F54"/>
    <w:rsid w:val="00BD2670"/>
    <w:rsid w:val="00BD366B"/>
    <w:rsid w:val="00BD6D50"/>
    <w:rsid w:val="00BE18B9"/>
    <w:rsid w:val="00BE2495"/>
    <w:rsid w:val="00BE42D9"/>
    <w:rsid w:val="00BE7667"/>
    <w:rsid w:val="00BF1578"/>
    <w:rsid w:val="00BF451E"/>
    <w:rsid w:val="00C1168A"/>
    <w:rsid w:val="00C21F94"/>
    <w:rsid w:val="00C2261F"/>
    <w:rsid w:val="00C27913"/>
    <w:rsid w:val="00C27ECC"/>
    <w:rsid w:val="00C33B68"/>
    <w:rsid w:val="00C36A79"/>
    <w:rsid w:val="00C405D4"/>
    <w:rsid w:val="00C4513B"/>
    <w:rsid w:val="00C5240D"/>
    <w:rsid w:val="00C54697"/>
    <w:rsid w:val="00C73885"/>
    <w:rsid w:val="00C747B1"/>
    <w:rsid w:val="00C82191"/>
    <w:rsid w:val="00C86AB0"/>
    <w:rsid w:val="00C90CF4"/>
    <w:rsid w:val="00C92EB6"/>
    <w:rsid w:val="00C93389"/>
    <w:rsid w:val="00CB4930"/>
    <w:rsid w:val="00CB7C87"/>
    <w:rsid w:val="00CC2E7D"/>
    <w:rsid w:val="00CD10A5"/>
    <w:rsid w:val="00CD1EEB"/>
    <w:rsid w:val="00CD2076"/>
    <w:rsid w:val="00CE670B"/>
    <w:rsid w:val="00CF51EC"/>
    <w:rsid w:val="00CF73AE"/>
    <w:rsid w:val="00D040DD"/>
    <w:rsid w:val="00D05FDC"/>
    <w:rsid w:val="00D13986"/>
    <w:rsid w:val="00D15E1E"/>
    <w:rsid w:val="00D235B7"/>
    <w:rsid w:val="00D25F28"/>
    <w:rsid w:val="00D27973"/>
    <w:rsid w:val="00D43D1D"/>
    <w:rsid w:val="00D50F46"/>
    <w:rsid w:val="00D64DBE"/>
    <w:rsid w:val="00D66223"/>
    <w:rsid w:val="00D8084C"/>
    <w:rsid w:val="00DA7C0C"/>
    <w:rsid w:val="00DB2EC8"/>
    <w:rsid w:val="00DC5B3B"/>
    <w:rsid w:val="00DD129F"/>
    <w:rsid w:val="00DD5896"/>
    <w:rsid w:val="00DE3C6A"/>
    <w:rsid w:val="00DF42FF"/>
    <w:rsid w:val="00E016DB"/>
    <w:rsid w:val="00E01C0E"/>
    <w:rsid w:val="00E03F9A"/>
    <w:rsid w:val="00E04694"/>
    <w:rsid w:val="00E06F53"/>
    <w:rsid w:val="00E12B1E"/>
    <w:rsid w:val="00E17262"/>
    <w:rsid w:val="00E253A2"/>
    <w:rsid w:val="00E3309D"/>
    <w:rsid w:val="00E37706"/>
    <w:rsid w:val="00E50156"/>
    <w:rsid w:val="00E5331E"/>
    <w:rsid w:val="00E53470"/>
    <w:rsid w:val="00E539F6"/>
    <w:rsid w:val="00E6519D"/>
    <w:rsid w:val="00E67696"/>
    <w:rsid w:val="00E71A58"/>
    <w:rsid w:val="00E72A7A"/>
    <w:rsid w:val="00E75C94"/>
    <w:rsid w:val="00E877BE"/>
    <w:rsid w:val="00E87D7F"/>
    <w:rsid w:val="00E93820"/>
    <w:rsid w:val="00EA0C68"/>
    <w:rsid w:val="00EA1787"/>
    <w:rsid w:val="00EA32BC"/>
    <w:rsid w:val="00EB121C"/>
    <w:rsid w:val="00EB4511"/>
    <w:rsid w:val="00EC03D7"/>
    <w:rsid w:val="00ED106E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36C72"/>
    <w:rsid w:val="00F437CC"/>
    <w:rsid w:val="00F44C06"/>
    <w:rsid w:val="00F47067"/>
    <w:rsid w:val="00F525EB"/>
    <w:rsid w:val="00F5794C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ABB23CD1-7A59-40B7-9136-ACFFED53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unhideWhenUsed/>
    <w:qFormat/>
    <w:rsid w:val="00EA1787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64D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4DB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4DBE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64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BE"/>
    <w:rPr>
      <w:rFonts w:ascii="Arial" w:eastAsia="Times New Roman" w:hAnsi="Arial"/>
      <w:b/>
      <w:bCs/>
      <w:lang w:eastAsia="cs-CZ"/>
    </w:rPr>
  </w:style>
  <w:style w:type="paragraph" w:styleId="Normlnweb">
    <w:name w:val="Normal (Web)"/>
    <w:basedOn w:val="Normln"/>
    <w:uiPriority w:val="99"/>
    <w:unhideWhenUsed/>
    <w:qFormat/>
    <w:rsid w:val="008F3FE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customStyle="1" w:styleId="Rbntext">
    <w:name w:val="R běžný text"/>
    <w:rsid w:val="006B49ED"/>
    <w:pPr>
      <w:spacing w:after="120"/>
      <w:jc w:val="both"/>
    </w:pPr>
    <w:rPr>
      <w:rFonts w:ascii="Arial" w:eastAsia="Times New Roman" w:hAnsi="Arial"/>
      <w:lang w:eastAsia="cs-CZ"/>
    </w:rPr>
  </w:style>
  <w:style w:type="paragraph" w:customStyle="1" w:styleId="Default">
    <w:name w:val="Default"/>
    <w:rsid w:val="006B49E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Muj-zakltext3">
    <w:name w:val="Muj-zakl.text3"/>
    <w:basedOn w:val="Normln"/>
    <w:rsid w:val="006B49ED"/>
    <w:pPr>
      <w:keepNext/>
      <w:spacing w:after="0" w:line="240" w:lineRule="auto"/>
      <w:jc w:val="both"/>
    </w:pPr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ta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FCFF-CA75-47B5-8ECF-D8DD4214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3500</Characters>
  <Application>Microsoft Office Word</Application>
  <DocSecurity>0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4085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Varmužová Věra</dc:creator>
  <cp:keywords/>
  <dc:description/>
  <cp:lastModifiedBy>Honner Jan</cp:lastModifiedBy>
  <cp:revision>2</cp:revision>
  <cp:lastPrinted>2023-06-27T08:33:00Z</cp:lastPrinted>
  <dcterms:created xsi:type="dcterms:W3CDTF">2023-06-27T09:35:00Z</dcterms:created>
  <dcterms:modified xsi:type="dcterms:W3CDTF">2023-06-27T09:35:00Z</dcterms:modified>
  <cp:category/>
</cp:coreProperties>
</file>