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BCA" w:rsidRDefault="000513C4">
      <w:pPr>
        <w:pStyle w:val="Nadpis1"/>
        <w:spacing w:after="240"/>
        <w:rPr>
          <w:rFonts w:ascii="Arial" w:hAnsi="Arial" w:cs="Arial"/>
          <w:i/>
          <w:sz w:val="24"/>
          <w:lang w:val="en-GB"/>
        </w:rPr>
      </w:pPr>
      <w:bookmarkStart w:id="0" w:name="_GoBack_kopie_1"/>
      <w:bookmarkEnd w:id="0"/>
      <w:r>
        <w:rPr>
          <w:rFonts w:ascii="Arial" w:hAnsi="Arial" w:cs="Arial"/>
          <w:i/>
          <w:sz w:val="24"/>
          <w:szCs w:val="20"/>
          <w:lang w:val="en-GB"/>
        </w:rPr>
        <w:t>COMMENTARY</w:t>
      </w:r>
      <w:bookmarkStart w:id="1" w:name="_GoBack"/>
      <w:bookmarkEnd w:id="1"/>
    </w:p>
    <w:p w:rsidR="00E97BCA" w:rsidRDefault="000513C4">
      <w:pPr>
        <w:spacing w:before="120" w:after="12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  <w:lang w:val="en-GB"/>
        </w:rPr>
        <w:t xml:space="preserve">In 2021, the consumption of </w:t>
      </w:r>
      <w:r>
        <w:rPr>
          <w:rFonts w:ascii="Arial" w:hAnsi="Arial" w:cs="Arial"/>
          <w:b/>
          <w:bCs/>
          <w:i/>
          <w:sz w:val="20"/>
          <w:szCs w:val="20"/>
          <w:lang w:val="en-GB"/>
        </w:rPr>
        <w:t>cereals in terms of flour weight</w:t>
      </w:r>
      <w:r>
        <w:rPr>
          <w:rFonts w:ascii="Arial" w:hAnsi="Arial" w:cs="Arial"/>
          <w:bCs/>
          <w:i/>
          <w:sz w:val="20"/>
          <w:szCs w:val="20"/>
          <w:lang w:val="en-GB"/>
        </w:rPr>
        <w:t xml:space="preserve"> increased, year-on-year, by 3.0 kg (+2.7%); it rose by 2.5 kg (+2.7%) for </w:t>
      </w:r>
      <w:r>
        <w:rPr>
          <w:rFonts w:ascii="Arial" w:hAnsi="Arial" w:cs="Arial"/>
          <w:b/>
          <w:bCs/>
          <w:i/>
          <w:sz w:val="20"/>
          <w:szCs w:val="20"/>
          <w:lang w:val="en-GB"/>
        </w:rPr>
        <w:t>wheat flour</w:t>
      </w:r>
      <w:r>
        <w:rPr>
          <w:rFonts w:ascii="Arial" w:hAnsi="Arial" w:cs="Arial"/>
          <w:bCs/>
          <w:i/>
          <w:sz w:val="20"/>
          <w:szCs w:val="20"/>
          <w:lang w:val="en-GB"/>
        </w:rPr>
        <w:t xml:space="preserve"> and by 0.5 kg (+43.7%) for </w:t>
      </w:r>
      <w:r>
        <w:rPr>
          <w:rFonts w:ascii="Arial" w:hAnsi="Arial" w:cs="Arial"/>
          <w:b/>
          <w:bCs/>
          <w:i/>
          <w:sz w:val="20"/>
          <w:szCs w:val="20"/>
          <w:lang w:val="en-GB"/>
        </w:rPr>
        <w:t>other flours</w:t>
      </w:r>
      <w:r>
        <w:rPr>
          <w:rFonts w:ascii="Arial" w:hAnsi="Arial" w:cs="Arial"/>
          <w:bCs/>
          <w:i/>
          <w:sz w:val="20"/>
          <w:szCs w:val="20"/>
          <w:lang w:val="en-GB"/>
        </w:rPr>
        <w:t xml:space="preserve">.  </w:t>
      </w:r>
      <w:r>
        <w:rPr>
          <w:rFonts w:ascii="Arial" w:hAnsi="Arial" w:cs="Arial"/>
          <w:i/>
          <w:sz w:val="20"/>
          <w:szCs w:val="20"/>
          <w:lang w:val="en-GB"/>
        </w:rPr>
        <w:t>The</w:t>
      </w:r>
      <w:r>
        <w:rPr>
          <w:rFonts w:ascii="Arial" w:hAnsi="Arial" w:cs="Arial"/>
          <w:b/>
          <w:bCs/>
          <w:i/>
          <w:sz w:val="20"/>
          <w:szCs w:val="20"/>
          <w:lang w:val="en-GB"/>
        </w:rPr>
        <w:t xml:space="preserve"> </w:t>
      </w:r>
      <w:r>
        <w:rPr>
          <w:rFonts w:ascii="Arial" w:hAnsi="Arial" w:cs="Arial"/>
          <w:i/>
          <w:sz w:val="20"/>
          <w:szCs w:val="20"/>
          <w:lang w:val="en-GB"/>
        </w:rPr>
        <w:t xml:space="preserve">consumption of </w:t>
      </w:r>
      <w:r>
        <w:rPr>
          <w:rFonts w:ascii="Arial" w:hAnsi="Arial" w:cs="Arial"/>
          <w:b/>
          <w:bCs/>
          <w:i/>
          <w:sz w:val="20"/>
          <w:szCs w:val="20"/>
          <w:lang w:val="en-GB"/>
        </w:rPr>
        <w:t>rye flour</w:t>
      </w:r>
      <w:r>
        <w:rPr>
          <w:rFonts w:ascii="Arial" w:hAnsi="Arial" w:cs="Arial"/>
          <w:i/>
          <w:sz w:val="20"/>
          <w:szCs w:val="20"/>
          <w:lang w:val="en-GB"/>
        </w:rPr>
        <w:t xml:space="preserve"> </w:t>
      </w:r>
      <w:r>
        <w:rPr>
          <w:rFonts w:ascii="Arial" w:hAnsi="Arial" w:cs="Arial"/>
          <w:bCs/>
          <w:i/>
          <w:sz w:val="20"/>
          <w:szCs w:val="20"/>
          <w:lang w:val="en-GB"/>
        </w:rPr>
        <w:t>decreased by 0.1 kg (</w:t>
      </w:r>
      <w:r>
        <w:rPr>
          <w:rFonts w:ascii="Arial" w:hAnsi="Arial" w:cs="Arial"/>
          <w:bCs/>
          <w:i/>
          <w:sz w:val="18"/>
          <w:szCs w:val="20"/>
          <w:lang w:val="en-GB"/>
        </w:rPr>
        <w:t>-</w:t>
      </w:r>
      <w:r>
        <w:rPr>
          <w:rFonts w:ascii="Arial" w:hAnsi="Arial" w:cs="Arial"/>
          <w:bCs/>
          <w:i/>
          <w:sz w:val="20"/>
          <w:szCs w:val="20"/>
          <w:lang w:val="en-GB"/>
        </w:rPr>
        <w:t>0</w:t>
      </w:r>
      <w:proofErr w:type="gramStart"/>
      <w:r>
        <w:rPr>
          <w:rFonts w:ascii="Arial" w:hAnsi="Arial" w:cs="Arial"/>
          <w:bCs/>
          <w:i/>
          <w:sz w:val="20"/>
          <w:szCs w:val="20"/>
          <w:lang w:val="en-GB"/>
        </w:rPr>
        <w:t>,8</w:t>
      </w:r>
      <w:proofErr w:type="gramEnd"/>
      <w:r>
        <w:rPr>
          <w:rFonts w:ascii="Arial" w:hAnsi="Arial" w:cs="Arial"/>
          <w:bCs/>
          <w:i/>
          <w:sz w:val="20"/>
          <w:szCs w:val="20"/>
          <w:lang w:val="en-GB"/>
        </w:rPr>
        <w:t xml:space="preserve">%) and that of </w:t>
      </w:r>
      <w:r>
        <w:rPr>
          <w:rFonts w:ascii="Arial" w:hAnsi="Arial" w:cs="Arial"/>
          <w:b/>
          <w:bCs/>
          <w:i/>
          <w:sz w:val="20"/>
          <w:szCs w:val="20"/>
          <w:lang w:val="en-GB"/>
        </w:rPr>
        <w:t xml:space="preserve">groats, barley semolina, and oatmeal </w:t>
      </w:r>
      <w:r>
        <w:rPr>
          <w:rFonts w:ascii="Arial" w:hAnsi="Arial" w:cs="Arial"/>
          <w:bCs/>
          <w:i/>
          <w:sz w:val="20"/>
          <w:szCs w:val="20"/>
          <w:lang w:val="en-GB"/>
        </w:rPr>
        <w:t>by 0.7 kg (</w:t>
      </w:r>
      <w:r>
        <w:rPr>
          <w:rFonts w:ascii="Arial" w:hAnsi="Arial" w:cs="Arial"/>
          <w:bCs/>
          <w:i/>
          <w:sz w:val="18"/>
          <w:szCs w:val="20"/>
          <w:lang w:val="en-GB"/>
        </w:rPr>
        <w:t>-</w:t>
      </w:r>
      <w:r>
        <w:rPr>
          <w:rFonts w:ascii="Arial" w:hAnsi="Arial" w:cs="Arial"/>
          <w:bCs/>
          <w:i/>
          <w:sz w:val="20"/>
          <w:szCs w:val="20"/>
          <w:lang w:val="en-GB"/>
        </w:rPr>
        <w:t xml:space="preserve">29.2%). </w:t>
      </w:r>
      <w:r>
        <w:rPr>
          <w:rFonts w:ascii="Arial" w:hAnsi="Arial" w:cs="Arial"/>
          <w:b/>
          <w:bCs/>
          <w:i/>
          <w:sz w:val="20"/>
          <w:szCs w:val="20"/>
          <w:lang w:val="en-GB"/>
        </w:rPr>
        <w:t xml:space="preserve">Rice </w:t>
      </w:r>
      <w:r>
        <w:rPr>
          <w:rFonts w:ascii="Arial" w:hAnsi="Arial" w:cs="Arial"/>
          <w:bCs/>
          <w:i/>
          <w:sz w:val="20"/>
          <w:szCs w:val="20"/>
          <w:lang w:val="en-GB"/>
        </w:rPr>
        <w:t>consumption went up by 0.8 kg (+9.5%).</w:t>
      </w:r>
    </w:p>
    <w:p w:rsidR="00E97BCA" w:rsidRDefault="000513C4">
      <w:pPr>
        <w:spacing w:before="120" w:after="12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  <w:lang w:val="en-GB"/>
        </w:rPr>
        <w:t xml:space="preserve">The consumption declined for </w:t>
      </w:r>
      <w:r>
        <w:rPr>
          <w:rFonts w:ascii="Arial" w:hAnsi="Arial" w:cs="Arial"/>
          <w:b/>
          <w:bCs/>
          <w:i/>
          <w:sz w:val="20"/>
          <w:szCs w:val="20"/>
          <w:lang w:val="en-GB"/>
        </w:rPr>
        <w:t>bread</w:t>
      </w:r>
      <w:r>
        <w:rPr>
          <w:rFonts w:ascii="Arial" w:hAnsi="Arial" w:cs="Arial"/>
          <w:bCs/>
          <w:i/>
          <w:sz w:val="20"/>
          <w:szCs w:val="20"/>
          <w:lang w:val="en-GB"/>
        </w:rPr>
        <w:t xml:space="preserve"> by 0.7 kg (-1</w:t>
      </w:r>
      <w:proofErr w:type="gramStart"/>
      <w:r>
        <w:rPr>
          <w:rFonts w:ascii="Arial" w:hAnsi="Arial" w:cs="Arial"/>
          <w:bCs/>
          <w:i/>
          <w:sz w:val="20"/>
          <w:szCs w:val="20"/>
          <w:lang w:val="en-GB"/>
        </w:rPr>
        <w:t>,7</w:t>
      </w:r>
      <w:proofErr w:type="gramEnd"/>
      <w:r>
        <w:rPr>
          <w:rFonts w:ascii="Arial" w:hAnsi="Arial" w:cs="Arial"/>
          <w:bCs/>
          <w:i/>
          <w:sz w:val="20"/>
          <w:szCs w:val="20"/>
          <w:lang w:val="en-GB"/>
        </w:rPr>
        <w:t xml:space="preserve">%) and for </w:t>
      </w:r>
      <w:r>
        <w:rPr>
          <w:rFonts w:ascii="Arial" w:hAnsi="Arial" w:cs="Arial"/>
          <w:b/>
          <w:bCs/>
          <w:i/>
          <w:sz w:val="20"/>
          <w:szCs w:val="20"/>
          <w:lang w:val="en-GB"/>
        </w:rPr>
        <w:t>preserved bakery products</w:t>
      </w:r>
      <w:r>
        <w:rPr>
          <w:rFonts w:ascii="Arial" w:hAnsi="Arial" w:cs="Arial"/>
          <w:bCs/>
          <w:i/>
          <w:sz w:val="20"/>
          <w:szCs w:val="20"/>
          <w:lang w:val="en-GB"/>
        </w:rPr>
        <w:t xml:space="preserve"> by 0.1 kg (-1.9%); on the contrary, the consumption of </w:t>
      </w:r>
      <w:r>
        <w:rPr>
          <w:rFonts w:ascii="Arial" w:hAnsi="Arial" w:cs="Arial"/>
          <w:b/>
          <w:bCs/>
          <w:i/>
          <w:sz w:val="20"/>
          <w:szCs w:val="20"/>
          <w:lang w:val="en-GB"/>
        </w:rPr>
        <w:t>wheat bakery products</w:t>
      </w:r>
      <w:r>
        <w:rPr>
          <w:rFonts w:ascii="Arial" w:hAnsi="Arial" w:cs="Arial"/>
          <w:bCs/>
          <w:i/>
          <w:sz w:val="20"/>
          <w:szCs w:val="20"/>
          <w:lang w:val="en-GB"/>
        </w:rPr>
        <w:t xml:space="preserve"> increased by 1.6 kg (+0.3%).</w:t>
      </w:r>
    </w:p>
    <w:p w:rsidR="00E97BCA" w:rsidRDefault="000513C4">
      <w:pPr>
        <w:spacing w:before="120" w:after="12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  <w:lang w:val="en-GB"/>
        </w:rPr>
        <w:t xml:space="preserve">The total consumption of </w:t>
      </w:r>
      <w:r>
        <w:rPr>
          <w:rFonts w:ascii="Arial" w:hAnsi="Arial" w:cs="Arial"/>
          <w:b/>
          <w:bCs/>
          <w:i/>
          <w:sz w:val="20"/>
          <w:szCs w:val="20"/>
          <w:lang w:val="en-GB"/>
        </w:rPr>
        <w:t>meat in terms of carcass weight</w:t>
      </w:r>
      <w:r>
        <w:rPr>
          <w:rFonts w:ascii="Arial" w:hAnsi="Arial" w:cs="Arial"/>
          <w:bCs/>
          <w:i/>
          <w:sz w:val="20"/>
          <w:szCs w:val="20"/>
          <w:lang w:val="en-GB"/>
        </w:rPr>
        <w:t xml:space="preserve"> went down by 3.1 kg (-3.6%). This decline was observed for all meat types: by 0.6 kg (-1.4%) for </w:t>
      </w:r>
      <w:proofErr w:type="spellStart"/>
      <w:r>
        <w:rPr>
          <w:rFonts w:ascii="Arial" w:hAnsi="Arial" w:cs="Arial"/>
          <w:b/>
          <w:bCs/>
          <w:i/>
          <w:sz w:val="20"/>
          <w:szCs w:val="20"/>
          <w:lang w:val="en-GB"/>
        </w:rPr>
        <w:t>pigmeat</w:t>
      </w:r>
      <w:proofErr w:type="spellEnd"/>
      <w:r>
        <w:rPr>
          <w:rFonts w:ascii="Arial" w:hAnsi="Arial" w:cs="Arial"/>
          <w:bCs/>
          <w:i/>
          <w:sz w:val="20"/>
          <w:szCs w:val="20"/>
          <w:lang w:val="en-GB"/>
        </w:rPr>
        <w:t xml:space="preserve">, by 0.6 kg (-6.6%) for </w:t>
      </w:r>
      <w:r>
        <w:rPr>
          <w:rFonts w:ascii="Arial" w:hAnsi="Arial" w:cs="Arial"/>
          <w:b/>
          <w:bCs/>
          <w:i/>
          <w:sz w:val="20"/>
          <w:szCs w:val="20"/>
          <w:lang w:val="en-GB"/>
        </w:rPr>
        <w:t>beef</w:t>
      </w:r>
      <w:r>
        <w:rPr>
          <w:rFonts w:ascii="Arial" w:hAnsi="Arial" w:cs="Arial"/>
          <w:bCs/>
          <w:i/>
          <w:sz w:val="20"/>
          <w:szCs w:val="20"/>
          <w:lang w:val="en-GB"/>
        </w:rPr>
        <w:t xml:space="preserve">, and by 1.7 kg (-5.8%) for </w:t>
      </w:r>
      <w:proofErr w:type="spellStart"/>
      <w:r>
        <w:rPr>
          <w:rFonts w:ascii="Arial" w:hAnsi="Arial" w:cs="Arial"/>
          <w:b/>
          <w:bCs/>
          <w:i/>
          <w:sz w:val="20"/>
          <w:szCs w:val="20"/>
          <w:lang w:val="en-GB"/>
        </w:rPr>
        <w:t>poultrymeat</w:t>
      </w:r>
      <w:proofErr w:type="spellEnd"/>
      <w:r>
        <w:rPr>
          <w:rFonts w:ascii="Arial" w:hAnsi="Arial" w:cs="Arial"/>
          <w:bCs/>
          <w:i/>
          <w:sz w:val="20"/>
          <w:szCs w:val="20"/>
          <w:lang w:val="en-GB"/>
        </w:rPr>
        <w:t>.</w:t>
      </w:r>
    </w:p>
    <w:p w:rsidR="00E97BCA" w:rsidRDefault="000513C4">
      <w:pPr>
        <w:spacing w:before="120" w:after="120"/>
        <w:ind w:firstLine="567"/>
        <w:jc w:val="both"/>
        <w:rPr>
          <w:i/>
          <w:iCs/>
          <w:lang w:val="en-GB"/>
        </w:rPr>
      </w:pPr>
      <w:r>
        <w:rPr>
          <w:rFonts w:ascii="Arial" w:hAnsi="Arial" w:cs="Arial"/>
          <w:i/>
          <w:iCs/>
          <w:sz w:val="20"/>
          <w:szCs w:val="20"/>
          <w:lang w:val="en-GB"/>
        </w:rPr>
        <w:t xml:space="preserve">The consumption of </w:t>
      </w:r>
      <w:r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milk and milk products (excluding butter) in terms of milk equivalent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 was lower, y-o-y, by 16.0 kg (-6.1%). The consumption of </w:t>
      </w:r>
      <w:r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drinking milk 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went up, y-o-y, by 1.1 kg (+1.9%); on the contrary, </w:t>
      </w:r>
      <w:r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cheese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 consumption declined by 0.6% (-4.3%) and the consumption of </w:t>
      </w:r>
      <w:r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other milk-based products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 by 1.5 kg (-4.0%).</w:t>
      </w:r>
    </w:p>
    <w:p w:rsidR="00E97BCA" w:rsidRDefault="000513C4">
      <w:pPr>
        <w:spacing w:before="120" w:after="120"/>
        <w:ind w:firstLine="567"/>
        <w:jc w:val="both"/>
        <w:rPr>
          <w:i/>
          <w:iCs/>
          <w:lang w:val="en-GB"/>
        </w:rPr>
      </w:pPr>
      <w:r>
        <w:rPr>
          <w:rFonts w:ascii="Arial" w:hAnsi="Arial" w:cs="Arial"/>
          <w:i/>
          <w:iCs/>
          <w:sz w:val="20"/>
          <w:szCs w:val="20"/>
          <w:lang w:val="en-GB"/>
        </w:rPr>
        <w:t xml:space="preserve">The consumption of </w:t>
      </w:r>
      <w:r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eggs </w:t>
      </w:r>
      <w:r>
        <w:rPr>
          <w:rFonts w:ascii="Arial" w:hAnsi="Arial" w:cs="Arial"/>
          <w:i/>
          <w:iCs/>
          <w:sz w:val="20"/>
          <w:szCs w:val="20"/>
          <w:lang w:val="en-GB"/>
        </w:rPr>
        <w:t>went down, y-o-y, by 29 pieces (-11.0%) to 234 pieces.</w:t>
      </w:r>
    </w:p>
    <w:p w:rsidR="00E97BCA" w:rsidRDefault="000513C4">
      <w:pPr>
        <w:spacing w:before="120" w:after="120"/>
        <w:ind w:firstLine="567"/>
        <w:jc w:val="both"/>
        <w:rPr>
          <w:i/>
          <w:iCs/>
          <w:lang w:val="en-GB"/>
        </w:rPr>
      </w:pPr>
      <w:r>
        <w:rPr>
          <w:rFonts w:ascii="Arial" w:hAnsi="Arial" w:cs="Arial"/>
          <w:i/>
          <w:iCs/>
          <w:sz w:val="20"/>
          <w:szCs w:val="20"/>
          <w:lang w:val="en-GB"/>
        </w:rPr>
        <w:t xml:space="preserve">A year-on-year decrement in the consumption of </w:t>
      </w:r>
      <w:r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fats and oils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 (by 0.5 kg; -2.0%) was caused </w:t>
      </w:r>
      <w:proofErr w:type="gramStart"/>
      <w:r>
        <w:rPr>
          <w:rFonts w:ascii="Arial" w:hAnsi="Arial" w:cs="Arial"/>
          <w:i/>
          <w:iCs/>
          <w:sz w:val="20"/>
          <w:szCs w:val="20"/>
          <w:lang w:val="en-GB"/>
        </w:rPr>
        <w:t>mainly</w:t>
      </w:r>
      <w:proofErr w:type="gram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by lower consumption of </w:t>
      </w:r>
      <w:r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lard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 (by 0.2 kg; -3.8%) and </w:t>
      </w:r>
      <w:r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vegetable edible fats and oils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 (by 0.2 kg; -1.4%).</w:t>
      </w:r>
    </w:p>
    <w:p w:rsidR="00E97BCA" w:rsidRDefault="000513C4">
      <w:pPr>
        <w:spacing w:before="120" w:after="120"/>
        <w:ind w:firstLine="567"/>
        <w:jc w:val="both"/>
      </w:pPr>
      <w:r>
        <w:rPr>
          <w:rFonts w:ascii="Arial" w:hAnsi="Arial" w:cs="Arial"/>
          <w:i/>
          <w:iCs/>
          <w:sz w:val="20"/>
          <w:szCs w:val="20"/>
          <w:lang w:val="en-GB"/>
        </w:rPr>
        <w:t xml:space="preserve">The consumption of </w:t>
      </w:r>
      <w:r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fruit in terms of fresh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 declined by 3.2 kg (-3.5%). The consumption of </w:t>
      </w:r>
      <w:r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fruits of temperate zone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 went down by 0.5 kg (-1</w:t>
      </w:r>
      <w:r w:rsidR="006E27B9">
        <w:rPr>
          <w:rFonts w:ascii="Arial" w:hAnsi="Arial" w:cs="Arial"/>
          <w:i/>
          <w:iCs/>
          <w:sz w:val="20"/>
          <w:szCs w:val="20"/>
          <w:lang w:val="en-GB"/>
        </w:rPr>
        <w:t>.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0%) due to lower consumption of apples, pears, plums, peaches, and grapes. As for </w:t>
      </w:r>
      <w:r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subtropical and tropical fruits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, there was a decrease by 2.6 kg (-6.7%), caused mainly by lower consumption of oranges, tangerines, and bananas. </w:t>
      </w:r>
    </w:p>
    <w:p w:rsidR="00E97BCA" w:rsidRDefault="000513C4">
      <w:pPr>
        <w:spacing w:before="120" w:after="120"/>
        <w:ind w:firstLine="567"/>
        <w:jc w:val="both"/>
      </w:pPr>
      <w:r>
        <w:rPr>
          <w:rFonts w:ascii="Arial" w:hAnsi="Arial" w:cs="Arial"/>
          <w:i/>
          <w:iCs/>
          <w:sz w:val="20"/>
          <w:szCs w:val="20"/>
          <w:lang w:val="en-GB"/>
        </w:rPr>
        <w:t xml:space="preserve">The consumption of </w:t>
      </w:r>
      <w:r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vegetables in terms of fresh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 went down, y-o-y, by 9.3 kg (-9.6%). It concern all types of vegetables except cauliflower and spinach, where there was a marginal increase.</w:t>
      </w:r>
    </w:p>
    <w:p w:rsidR="00E97BCA" w:rsidRDefault="000513C4">
      <w:pPr>
        <w:spacing w:before="120" w:after="120"/>
        <w:ind w:firstLine="567"/>
        <w:jc w:val="both"/>
      </w:pPr>
      <w:r>
        <w:rPr>
          <w:rFonts w:ascii="Arial" w:hAnsi="Arial" w:cs="Arial"/>
          <w:i/>
          <w:iCs/>
          <w:sz w:val="20"/>
          <w:szCs w:val="20"/>
          <w:lang w:val="en-GB"/>
        </w:rPr>
        <w:t xml:space="preserve">The consumption of </w:t>
      </w:r>
      <w:r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potatoes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 decreased by 0.9 kg (-1.3%).</w:t>
      </w:r>
    </w:p>
    <w:p w:rsidR="00E97BCA" w:rsidRDefault="000513C4">
      <w:pPr>
        <w:spacing w:before="120" w:after="120"/>
        <w:ind w:firstLine="567"/>
        <w:jc w:val="both"/>
      </w:pPr>
      <w:r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Sugar </w:t>
      </w:r>
      <w:r>
        <w:rPr>
          <w:rFonts w:ascii="Arial" w:hAnsi="Arial" w:cs="Arial"/>
          <w:i/>
          <w:iCs/>
          <w:sz w:val="20"/>
          <w:szCs w:val="20"/>
          <w:lang w:val="en-GB"/>
        </w:rPr>
        <w:t>consumption rose by 0.6 kg (+1.6%).</w:t>
      </w:r>
    </w:p>
    <w:p w:rsidR="00E97BCA" w:rsidRDefault="000513C4">
      <w:pPr>
        <w:spacing w:before="120" w:after="120"/>
        <w:ind w:firstLine="567"/>
        <w:jc w:val="both"/>
      </w:pPr>
      <w:r>
        <w:rPr>
          <w:rFonts w:ascii="Arial" w:hAnsi="Arial" w:cs="Arial"/>
          <w:i/>
          <w:iCs/>
          <w:sz w:val="20"/>
          <w:szCs w:val="20"/>
          <w:lang w:val="en-GB"/>
        </w:rPr>
        <w:t xml:space="preserve">The consumption of </w:t>
      </w:r>
      <w:r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mineral waters and non-alcoholic beverages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 was by 6.1 litres (-2.6%) lower. The consumption distinctly declined, y-o-y, for </w:t>
      </w:r>
      <w:r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mineral waters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 (by 2.2 litres; -4.1%) and </w:t>
      </w:r>
      <w:r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lemonades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 (by 2.3 litres; -2.7%).</w:t>
      </w:r>
    </w:p>
    <w:p w:rsidR="00E97BCA" w:rsidRDefault="000513C4">
      <w:pPr>
        <w:spacing w:before="120" w:after="120"/>
        <w:ind w:firstLine="567"/>
        <w:jc w:val="both"/>
        <w:rPr>
          <w:i/>
          <w:iCs/>
          <w:lang w:val="en-GB"/>
        </w:rPr>
      </w:pPr>
      <w:r>
        <w:rPr>
          <w:rFonts w:ascii="Arial" w:hAnsi="Arial" w:cs="Arial"/>
          <w:i/>
          <w:iCs/>
          <w:sz w:val="20"/>
          <w:szCs w:val="20"/>
          <w:lang w:val="en-GB"/>
        </w:rPr>
        <w:t xml:space="preserve">The consumption of </w:t>
      </w:r>
      <w:r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alcoholic beverages, total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, went up by 6.3 litres (+3.8%). Year-on-year, </w:t>
      </w:r>
      <w:r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beer 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consumption increased by 7.4 litres (+5.5%), while </w:t>
      </w:r>
      <w:r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wine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 and </w:t>
      </w:r>
      <w:r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spirits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 consumption went down by 0.8 litres (-4.1%) and by 0.1 litres (-4.7%), respectively.</w:t>
      </w:r>
    </w:p>
    <w:p w:rsidR="00E97BCA" w:rsidRDefault="000513C4">
      <w:pPr>
        <w:spacing w:after="240"/>
        <w:ind w:firstLine="567"/>
        <w:jc w:val="both"/>
        <w:rPr>
          <w:rFonts w:ascii="Arial" w:hAnsi="Arial" w:cs="Arial"/>
          <w:bCs/>
          <w:i/>
          <w:sz w:val="20"/>
          <w:lang w:val="en-GB"/>
        </w:rPr>
      </w:pPr>
      <w:r>
        <w:rPr>
          <w:rFonts w:ascii="Arial" w:hAnsi="Arial" w:cs="Arial"/>
          <w:bCs/>
          <w:i/>
          <w:sz w:val="20"/>
          <w:szCs w:val="20"/>
          <w:lang w:val="en-GB"/>
        </w:rPr>
        <w:t>The</w:t>
      </w:r>
      <w:r>
        <w:rPr>
          <w:rFonts w:ascii="Arial" w:hAnsi="Arial" w:cs="Arial"/>
          <w:b/>
          <w:bCs/>
          <w:i/>
          <w:sz w:val="20"/>
          <w:szCs w:val="20"/>
          <w:lang w:val="en-GB"/>
        </w:rPr>
        <w:t xml:space="preserve"> </w:t>
      </w:r>
      <w:r>
        <w:rPr>
          <w:rFonts w:ascii="Arial" w:hAnsi="Arial" w:cs="Arial"/>
          <w:i/>
          <w:sz w:val="20"/>
          <w:szCs w:val="20"/>
          <w:lang w:val="en-GB"/>
        </w:rPr>
        <w:t xml:space="preserve">consumption of </w:t>
      </w:r>
      <w:r>
        <w:rPr>
          <w:rFonts w:ascii="Arial" w:hAnsi="Arial" w:cs="Arial"/>
          <w:b/>
          <w:bCs/>
          <w:i/>
          <w:sz w:val="20"/>
          <w:szCs w:val="20"/>
          <w:lang w:val="en-GB"/>
        </w:rPr>
        <w:t>alcoholic beverages in terms of pure alcohol</w:t>
      </w:r>
      <w:r>
        <w:rPr>
          <w:rFonts w:ascii="Arial" w:hAnsi="Arial" w:cs="Arial"/>
          <w:bCs/>
          <w:i/>
          <w:sz w:val="20"/>
          <w:szCs w:val="20"/>
          <w:lang w:val="en-GB"/>
        </w:rPr>
        <w:t xml:space="preserve"> remained constant. </w:t>
      </w:r>
      <w:r>
        <w:rPr>
          <w:rFonts w:ascii="Arial" w:hAnsi="Arial" w:cs="Arial"/>
          <w:b/>
          <w:bCs/>
          <w:i/>
          <w:sz w:val="20"/>
          <w:szCs w:val="20"/>
          <w:lang w:val="en-GB"/>
        </w:rPr>
        <w:t>Beer</w:t>
      </w:r>
      <w:r>
        <w:rPr>
          <w:rFonts w:ascii="Arial" w:hAnsi="Arial" w:cs="Arial"/>
          <w:bCs/>
          <w:i/>
          <w:sz w:val="20"/>
          <w:szCs w:val="20"/>
          <w:lang w:val="en-GB"/>
        </w:rPr>
        <w:t xml:space="preserve"> consumption went up by 0.2 litres (+5.4%) and, on the contrary, the consumption of wine and spirits decreased by </w:t>
      </w:r>
      <w:r>
        <w:rPr>
          <w:rFonts w:ascii="Arial" w:hAnsi="Arial" w:cs="Arial"/>
          <w:bCs/>
          <w:i/>
          <w:iCs/>
          <w:sz w:val="20"/>
          <w:szCs w:val="20"/>
          <w:lang w:val="en-GB"/>
        </w:rPr>
        <w:t>0.1 litres (-4.2%) and by 0.1 litres (-4.9%), respectively.</w:t>
      </w:r>
      <w:r>
        <w:rPr>
          <w:rFonts w:ascii="Arial" w:hAnsi="Arial" w:cs="Arial"/>
          <w:bCs/>
          <w:i/>
          <w:sz w:val="20"/>
          <w:szCs w:val="20"/>
          <w:lang w:val="en-GB"/>
        </w:rPr>
        <w:t xml:space="preserve"> </w:t>
      </w:r>
    </w:p>
    <w:p w:rsidR="00E97BCA" w:rsidRDefault="000513C4">
      <w:pPr>
        <w:spacing w:before="120" w:after="120"/>
        <w:ind w:firstLine="567"/>
        <w:jc w:val="both"/>
        <w:rPr>
          <w:i/>
          <w:iCs/>
          <w:lang w:val="en-GB"/>
        </w:rPr>
      </w:pPr>
      <w:r>
        <w:rPr>
          <w:rFonts w:ascii="Arial" w:hAnsi="Arial" w:cs="Arial"/>
          <w:i/>
          <w:iCs/>
          <w:sz w:val="20"/>
          <w:szCs w:val="20"/>
          <w:lang w:val="en-GB"/>
        </w:rPr>
        <w:t xml:space="preserve">In 2022, the </w:t>
      </w:r>
      <w:r w:rsidR="00887D16">
        <w:rPr>
          <w:rFonts w:ascii="Arial" w:hAnsi="Arial" w:cs="Arial"/>
          <w:i/>
          <w:iCs/>
          <w:sz w:val="20"/>
          <w:szCs w:val="20"/>
          <w:lang w:val="en-GB"/>
        </w:rPr>
        <w:t>Czech R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epublic was </w:t>
      </w:r>
      <w:r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self-sufficient</w:t>
      </w:r>
      <w:r>
        <w:rPr>
          <w:rFonts w:ascii="Arial" w:hAnsi="Arial" w:cs="Arial"/>
          <w:i/>
          <w:iCs/>
          <w:sz w:val="20"/>
          <w:szCs w:val="20"/>
          <w:lang w:val="en-GB"/>
        </w:rPr>
        <w:t xml:space="preserve"> in the production of beef and veal (108.0%), milk and milk products in terms of milk equivalent (126.1%), cheese and curd (101.7%), and sugar (157.8%). As for all other items calculated, we did not achieve self-sufficiency and were dependent on their imports (see Table 3). </w:t>
      </w:r>
    </w:p>
    <w:p w:rsidR="00E97BCA" w:rsidRDefault="00E97BCA">
      <w:pPr>
        <w:spacing w:before="120" w:after="120"/>
        <w:jc w:val="both"/>
      </w:pPr>
    </w:p>
    <w:sectPr w:rsidR="00E97BCA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BCA"/>
    <w:rsid w:val="000513C4"/>
    <w:rsid w:val="00690274"/>
    <w:rsid w:val="006E27B9"/>
    <w:rsid w:val="00887D16"/>
    <w:rsid w:val="00E9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D1651"/>
  <w15:docId w15:val="{D5FFA06B-768E-4765-83DF-1C7A1A3D8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B611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B611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480" w:lineRule="atLeast"/>
      <w:jc w:val="center"/>
      <w:outlineLvl w:val="0"/>
    </w:pPr>
    <w:rPr>
      <w:rFonts w:ascii="Arial Narrow" w:hAnsi="Arial Narrow"/>
      <w:b/>
      <w:bCs/>
      <w:sz w:val="30"/>
      <w:szCs w:val="3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qFormat/>
    <w:rsid w:val="007B611E"/>
    <w:rPr>
      <w:rFonts w:ascii="Arial Narrow" w:eastAsia="Times New Roman" w:hAnsi="Arial Narrow" w:cs="Times New Roman"/>
      <w:b/>
      <w:bCs/>
      <w:sz w:val="30"/>
      <w:szCs w:val="30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166FCF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166FCF"/>
    <w:rPr>
      <w:rFonts w:ascii="Segoe UI" w:hAnsi="Segoe UI" w:cs="Segoe UI"/>
      <w:sz w:val="18"/>
      <w:szCs w:val="18"/>
    </w:rPr>
  </w:style>
  <w:style w:type="paragraph" w:styleId="Revize">
    <w:name w:val="Revision"/>
    <w:uiPriority w:val="99"/>
    <w:semiHidden/>
    <w:qFormat/>
    <w:rsid w:val="0002634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9ADEDA-6C80-45D6-96FE-84F309468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450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</vt:lpstr>
    </vt:vector>
  </TitlesOfParts>
  <Company>ČSÚ</Company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</dc:title>
  <dc:subject/>
  <dc:creator>hnidkova2727</dc:creator>
  <dc:description/>
  <cp:lastModifiedBy>Klémová Lea</cp:lastModifiedBy>
  <cp:revision>5</cp:revision>
  <cp:lastPrinted>2023-11-27T08:19:00Z</cp:lastPrinted>
  <dcterms:created xsi:type="dcterms:W3CDTF">2023-11-27T08:00:00Z</dcterms:created>
  <dcterms:modified xsi:type="dcterms:W3CDTF">2023-11-27T13:48:00Z</dcterms:modified>
  <dc:language>cs-CZ</dc:language>
</cp:coreProperties>
</file>