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style1.xml" ContentType="application/vnd.ms-office.chartstyle+xml"/>
  <Override PartName="/word/charts/colors2.xml" ContentType="application/vnd.ms-office.chartcolorsty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9" w:rsidRDefault="00131E8A" w:rsidP="00E42E00">
      <w:pPr>
        <w:pStyle w:val="Datum"/>
      </w:pPr>
      <w:r>
        <w:t>4</w:t>
      </w:r>
      <w:r w:rsidR="00B916A5">
        <w:t xml:space="preserve">. </w:t>
      </w:r>
      <w:r>
        <w:t>9</w:t>
      </w:r>
      <w:r w:rsidR="009E7964">
        <w:t>. 202</w:t>
      </w:r>
      <w:r w:rsidR="009A0E1B">
        <w:t>3</w:t>
      </w:r>
    </w:p>
    <w:p w:rsidR="00867569" w:rsidRPr="00A56C80" w:rsidRDefault="00B916A5" w:rsidP="00A56C80">
      <w:pPr>
        <w:pStyle w:val="Nzev"/>
      </w:pPr>
      <w:r>
        <w:t xml:space="preserve">Vývoj českého trhu práce </w:t>
      </w:r>
      <w:r w:rsidR="00867569" w:rsidRPr="00A56C80">
        <w:t>–</w:t>
      </w:r>
      <w:r w:rsidR="003301A3" w:rsidRPr="00A56C80">
        <w:t xml:space="preserve"> </w:t>
      </w:r>
      <w:r w:rsidR="00131E8A">
        <w:t>2</w:t>
      </w:r>
      <w:r>
        <w:t xml:space="preserve">. čtvrtletí </w:t>
      </w:r>
      <w:r w:rsidR="00A905AD">
        <w:t>20</w:t>
      </w:r>
      <w:r w:rsidR="00741BE7">
        <w:t>2</w:t>
      </w:r>
      <w:r w:rsidR="00965120">
        <w:t>3</w:t>
      </w:r>
    </w:p>
    <w:p w:rsidR="00867569" w:rsidRDefault="00131E8A" w:rsidP="006B0C4E">
      <w:pPr>
        <w:pStyle w:val="Perex"/>
        <w:spacing w:after="0"/>
      </w:pPr>
      <w:r>
        <w:rPr>
          <w:szCs w:val="20"/>
        </w:rPr>
        <w:t xml:space="preserve">Českému trhu práce </w:t>
      </w:r>
      <w:r w:rsidR="00CE683C">
        <w:rPr>
          <w:szCs w:val="20"/>
        </w:rPr>
        <w:t xml:space="preserve">začíná </w:t>
      </w:r>
      <w:r>
        <w:rPr>
          <w:szCs w:val="20"/>
        </w:rPr>
        <w:t>aktuálně domin</w:t>
      </w:r>
      <w:r w:rsidR="00CE683C">
        <w:rPr>
          <w:szCs w:val="20"/>
        </w:rPr>
        <w:t>ovat</w:t>
      </w:r>
      <w:r>
        <w:rPr>
          <w:szCs w:val="20"/>
        </w:rPr>
        <w:t xml:space="preserve"> mzdové dotahování</w:t>
      </w:r>
      <w:r w:rsidR="00965120">
        <w:rPr>
          <w:szCs w:val="20"/>
        </w:rPr>
        <w:t xml:space="preserve"> zvýšen</w:t>
      </w:r>
      <w:r>
        <w:rPr>
          <w:szCs w:val="20"/>
        </w:rPr>
        <w:t>é</w:t>
      </w:r>
      <w:r w:rsidR="00965120">
        <w:rPr>
          <w:szCs w:val="20"/>
        </w:rPr>
        <w:t xml:space="preserve"> cenov</w:t>
      </w:r>
      <w:r>
        <w:rPr>
          <w:szCs w:val="20"/>
        </w:rPr>
        <w:t>é</w:t>
      </w:r>
      <w:r w:rsidR="00965120">
        <w:rPr>
          <w:szCs w:val="20"/>
        </w:rPr>
        <w:t xml:space="preserve"> hladin</w:t>
      </w:r>
      <w:r>
        <w:rPr>
          <w:szCs w:val="20"/>
        </w:rPr>
        <w:t>y</w:t>
      </w:r>
      <w:r w:rsidR="00965120">
        <w:rPr>
          <w:szCs w:val="20"/>
        </w:rPr>
        <w:t>.</w:t>
      </w:r>
      <w:r w:rsidR="004548AF">
        <w:rPr>
          <w:szCs w:val="20"/>
        </w:rPr>
        <w:t xml:space="preserve"> </w:t>
      </w:r>
      <w:r>
        <w:rPr>
          <w:szCs w:val="20"/>
        </w:rPr>
        <w:t>Tomu pomáhá přetrvávající nízká nezaměstnanost, třebaže již její míra rost</w:t>
      </w:r>
      <w:r w:rsidR="006B0C4E">
        <w:rPr>
          <w:szCs w:val="20"/>
        </w:rPr>
        <w:t>e</w:t>
      </w:r>
      <w:r>
        <w:rPr>
          <w:szCs w:val="20"/>
        </w:rPr>
        <w:t xml:space="preserve">. </w:t>
      </w:r>
      <w:r w:rsidR="00EE420E" w:rsidRPr="007F60D6">
        <w:rPr>
          <w:szCs w:val="20"/>
        </w:rPr>
        <w:t xml:space="preserve">Průměrná </w:t>
      </w:r>
      <w:r w:rsidR="00EE420E" w:rsidRPr="007F60D6">
        <w:t xml:space="preserve">mzda </w:t>
      </w:r>
      <w:r w:rsidR="00EE420E" w:rsidRPr="007F60D6">
        <w:rPr>
          <w:szCs w:val="20"/>
        </w:rPr>
        <w:t xml:space="preserve">se meziročně </w:t>
      </w:r>
      <w:r w:rsidR="00EE420E" w:rsidRPr="007F60D6">
        <w:t>nominálně zvýšila o </w:t>
      </w:r>
      <w:r w:rsidR="00FA01FD">
        <w:t>7,7</w:t>
      </w:r>
      <w:r w:rsidR="00EE420E" w:rsidRPr="007F60D6">
        <w:t xml:space="preserve"> %, </w:t>
      </w:r>
      <w:r w:rsidR="00F424FC">
        <w:t>reálně</w:t>
      </w:r>
      <w:r w:rsidR="00052AEE" w:rsidRPr="007F60D6">
        <w:t xml:space="preserve"> </w:t>
      </w:r>
      <w:r w:rsidR="00FA01FD">
        <w:t>poklesla</w:t>
      </w:r>
      <w:r w:rsidR="006163D7">
        <w:t xml:space="preserve"> </w:t>
      </w:r>
      <w:r w:rsidR="00052AEE" w:rsidRPr="007F60D6">
        <w:t>o </w:t>
      </w:r>
      <w:r w:rsidR="00FA01FD">
        <w:t>3,1</w:t>
      </w:r>
      <w:r w:rsidR="00D05CCB">
        <w:t> </w:t>
      </w:r>
      <w:r>
        <w:t>%.</w:t>
      </w:r>
    </w:p>
    <w:p w:rsidR="006B0C4E" w:rsidRPr="006B0C4E" w:rsidRDefault="006B0C4E" w:rsidP="006B0C4E"/>
    <w:p w:rsidR="00131E8A" w:rsidRDefault="00064EA4" w:rsidP="006B0C4E">
      <w:pPr>
        <w:pStyle w:val="Nadpis1"/>
      </w:pPr>
      <w:r>
        <w:t>Úvod</w:t>
      </w:r>
    </w:p>
    <w:p w:rsidR="00131E8A" w:rsidRDefault="00131E8A" w:rsidP="006B0C4E">
      <w:r>
        <w:t xml:space="preserve">Přes vysokou míru ekonomické aktivity obyvatel </w:t>
      </w:r>
      <w:r w:rsidR="00292E1D">
        <w:t>byl</w:t>
      </w:r>
      <w:r>
        <w:t xml:space="preserve"> český trh práce dlouhodobě mimo svůj rovnovážný bod (ekvilibrium), což se projev</w:t>
      </w:r>
      <w:r w:rsidR="00292E1D">
        <w:t>ovalo</w:t>
      </w:r>
      <w:r>
        <w:t xml:space="preserve"> vysokou poptávkou po pracovní síle ze strany podniků a nízkou nezaměstnaností. Jádrem této nerovnováhy </w:t>
      </w:r>
      <w:r w:rsidR="00292E1D">
        <w:t>byla</w:t>
      </w:r>
      <w:r>
        <w:t xml:space="preserve"> příliš nízká mzdová hladina, která neodpovíd</w:t>
      </w:r>
      <w:r w:rsidR="00292E1D">
        <w:t>ala</w:t>
      </w:r>
      <w:r>
        <w:t xml:space="preserve"> </w:t>
      </w:r>
      <w:r w:rsidR="0092113C">
        <w:t xml:space="preserve">stavu a </w:t>
      </w:r>
      <w:r>
        <w:t>výkonnosti ekonomiky.</w:t>
      </w:r>
    </w:p>
    <w:p w:rsidR="00131E8A" w:rsidRDefault="0092113C" w:rsidP="006B0C4E">
      <w:r>
        <w:t xml:space="preserve">V několika posledních letech prošel trh práce turbulentními změnami, se kterými se </w:t>
      </w:r>
      <w:r w:rsidR="00292E1D">
        <w:t>dokázal nějak vyrovnat</w:t>
      </w:r>
      <w:r>
        <w:t xml:space="preserve">, včetně </w:t>
      </w:r>
      <w:r w:rsidR="00FB581B">
        <w:t xml:space="preserve">covidových lockdownů a </w:t>
      </w:r>
      <w:r>
        <w:t>pohlcení zahraniční pracovní síly především z válkou postižené Ukrajiny.</w:t>
      </w:r>
      <w:r w:rsidR="00146794">
        <w:t xml:space="preserve"> </w:t>
      </w:r>
      <w:r>
        <w:t>Probíha</w:t>
      </w:r>
      <w:r w:rsidR="00292E1D">
        <w:t>ly</w:t>
      </w:r>
      <w:r>
        <w:t xml:space="preserve"> strukturální posuny zaměstnanosti směrem ke znalostní </w:t>
      </w:r>
      <w:r w:rsidRPr="00861652">
        <w:t xml:space="preserve">ekonomice, </w:t>
      </w:r>
      <w:r w:rsidR="0064336A" w:rsidRPr="00861652">
        <w:t xml:space="preserve">sektoru služeb, </w:t>
      </w:r>
      <w:r w:rsidRPr="00861652">
        <w:t>digitalizaci</w:t>
      </w:r>
      <w:r w:rsidR="00312947">
        <w:t xml:space="preserve"> a </w:t>
      </w:r>
      <w:r>
        <w:t>přesunu výkonu práce mimo běžné pracoviště (fenomén home-office), kter</w:t>
      </w:r>
      <w:r w:rsidR="00312947">
        <w:t>é</w:t>
      </w:r>
      <w:r>
        <w:t xml:space="preserve"> se na druhou stranu projev</w:t>
      </w:r>
      <w:r w:rsidR="00292E1D">
        <w:t>ovaly</w:t>
      </w:r>
      <w:r>
        <w:t xml:space="preserve"> ro</w:t>
      </w:r>
      <w:r w:rsidR="00FB581B">
        <w:t>zpadem konceptu pracovní doby</w:t>
      </w:r>
      <w:r w:rsidR="00861652">
        <w:t>,</w:t>
      </w:r>
      <w:r w:rsidR="00FB581B">
        <w:t xml:space="preserve"> </w:t>
      </w:r>
      <w:r>
        <w:t>snižováním ochrany (prekarizací) periferních skupin zaměstnanosti</w:t>
      </w:r>
      <w:r w:rsidR="00861652">
        <w:t xml:space="preserve"> a také koncentrací do velkých měst</w:t>
      </w:r>
      <w:r>
        <w:t>.</w:t>
      </w:r>
    </w:p>
    <w:p w:rsidR="007F422B" w:rsidRDefault="007F422B" w:rsidP="006B0C4E"/>
    <w:p w:rsidR="007F422B" w:rsidRPr="007F422B" w:rsidRDefault="007F422B" w:rsidP="006B0C4E">
      <w:pPr>
        <w:rPr>
          <w:b/>
        </w:rPr>
      </w:pPr>
      <w:r w:rsidRPr="007F422B">
        <w:rPr>
          <w:b/>
        </w:rPr>
        <w:t xml:space="preserve">Graf 1 </w:t>
      </w:r>
      <w:r w:rsidR="00686CFB" w:rsidRPr="00686CFB">
        <w:rPr>
          <w:b/>
        </w:rPr>
        <w:t>Index spotřebitelských cen a index mezd (sezónně očištěných), 2019=100 %</w:t>
      </w:r>
    </w:p>
    <w:p w:rsidR="007F422B" w:rsidRDefault="00B632F4" w:rsidP="006B0C4E">
      <w:r>
        <w:rPr>
          <w:noProof/>
          <w:lang w:eastAsia="cs-CZ"/>
        </w:rPr>
        <w:drawing>
          <wp:inline distT="0" distB="0" distL="0" distR="0" wp14:anchorId="5A502BA5" wp14:editId="0F307644">
            <wp:extent cx="5400040" cy="3493770"/>
            <wp:effectExtent l="0" t="0" r="10160" b="11430"/>
            <wp:docPr id="22" name="Graf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F422B" w:rsidRDefault="007F422B" w:rsidP="006B0C4E"/>
    <w:p w:rsidR="00146794" w:rsidRDefault="0092113C" w:rsidP="006B0C4E">
      <w:r>
        <w:lastRenderedPageBreak/>
        <w:t>Aktuálně se trh práce (nejen v Česku) vyrovnává s prudkým nárůstem cenové hladiny</w:t>
      </w:r>
      <w:r w:rsidR="00146794">
        <w:t xml:space="preserve">, </w:t>
      </w:r>
      <w:r w:rsidR="00312947">
        <w:t>ke </w:t>
      </w:r>
      <w:r w:rsidR="00146794">
        <w:t>kterému došlo</w:t>
      </w:r>
      <w:r>
        <w:t xml:space="preserve"> v loňském roce. Inflace měla sv</w:t>
      </w:r>
      <w:r w:rsidR="002A00A5">
        <w:t>ůj</w:t>
      </w:r>
      <w:r>
        <w:t xml:space="preserve"> </w:t>
      </w:r>
      <w:r w:rsidR="00A70898">
        <w:t xml:space="preserve">původní </w:t>
      </w:r>
      <w:r>
        <w:t xml:space="preserve">zdroj ve výplatách </w:t>
      </w:r>
      <w:r w:rsidR="00A70898">
        <w:t xml:space="preserve">náhrad </w:t>
      </w:r>
      <w:r w:rsidR="00861652">
        <w:t>(</w:t>
      </w:r>
      <w:r w:rsidR="00A70898">
        <w:t>mezd</w:t>
      </w:r>
      <w:r w:rsidR="00861652">
        <w:t>)</w:t>
      </w:r>
      <w:r w:rsidR="00A70898">
        <w:t xml:space="preserve"> v covidovém období, které nebyly kryty odpovídající produkcí, </w:t>
      </w:r>
      <w:r w:rsidR="00861652">
        <w:t xml:space="preserve">a </w:t>
      </w:r>
      <w:r w:rsidR="002A00A5">
        <w:t xml:space="preserve">zvýraznila se </w:t>
      </w:r>
      <w:r w:rsidR="00A70898">
        <w:t>v</w:t>
      </w:r>
      <w:r w:rsidR="00146794">
        <w:t>e vlně zdražování, ke kterému přistoupily</w:t>
      </w:r>
      <w:r w:rsidR="00A70898">
        <w:t xml:space="preserve"> </w:t>
      </w:r>
      <w:r w:rsidR="00146794">
        <w:t>firmy po impulsu daném zahájením války na Ukrajině</w:t>
      </w:r>
      <w:r w:rsidR="00A70898">
        <w:t>.</w:t>
      </w:r>
      <w:r w:rsidR="00146794">
        <w:t xml:space="preserve"> Zvýšení cen mělo výrazný dopad na sociální situaci domácností</w:t>
      </w:r>
      <w:r w:rsidR="00312947">
        <w:t xml:space="preserve"> </w:t>
      </w:r>
      <w:r w:rsidR="00292E1D">
        <w:t xml:space="preserve">(především u nezbytného zboží) </w:t>
      </w:r>
      <w:r w:rsidR="00312947">
        <w:t>a došlo k propadu reálné kupní síly</w:t>
      </w:r>
      <w:r w:rsidR="00146794">
        <w:t>. N</w:t>
      </w:r>
      <w:r w:rsidR="00312947">
        <w:t>ezbytně n</w:t>
      </w:r>
      <w:r w:rsidR="00146794">
        <w:t>ásled</w:t>
      </w:r>
      <w:r w:rsidR="00312947">
        <w:t>oval</w:t>
      </w:r>
      <w:r w:rsidR="00146794">
        <w:t>o snížen</w:t>
      </w:r>
      <w:r w:rsidR="00402120">
        <w:t>í poptávky po </w:t>
      </w:r>
      <w:r w:rsidR="00312947">
        <w:t>zboží a </w:t>
      </w:r>
      <w:r w:rsidR="00146794">
        <w:t>službách, </w:t>
      </w:r>
      <w:r w:rsidR="00312947">
        <w:t>k </w:t>
      </w:r>
      <w:r w:rsidR="00146794">
        <w:t xml:space="preserve">propadu tržeb obchodníků a nebýt zahraniční poptávky, bylo by Česko strženo do ještě hlubší </w:t>
      </w:r>
      <w:r w:rsidR="00312947">
        <w:t xml:space="preserve">ekonomické </w:t>
      </w:r>
      <w:r w:rsidR="00146794">
        <w:t>recese.</w:t>
      </w:r>
      <w:r w:rsidR="00312947">
        <w:t xml:space="preserve"> </w:t>
      </w:r>
      <w:r w:rsidR="00540406">
        <w:t>Až na</w:t>
      </w:r>
      <w:r w:rsidR="00146794">
        <w:t xml:space="preserve"> počátku letošního roku se cenová hladina stabilizovala a </w:t>
      </w:r>
      <w:r w:rsidR="00402120">
        <w:t xml:space="preserve">začalo </w:t>
      </w:r>
      <w:r w:rsidR="00FB581B">
        <w:t xml:space="preserve">snad </w:t>
      </w:r>
      <w:r w:rsidR="00146794">
        <w:t>docház</w:t>
      </w:r>
      <w:r w:rsidR="00402120">
        <w:t>et</w:t>
      </w:r>
      <w:r w:rsidR="00146794">
        <w:t xml:space="preserve"> k jejímu postupnému dohánění mzdovou </w:t>
      </w:r>
      <w:r w:rsidR="00146794" w:rsidRPr="00B632F4">
        <w:t>úrovní, jak dokládá přiložený graf</w:t>
      </w:r>
      <w:r w:rsidR="00540406" w:rsidRPr="00B632F4">
        <w:t xml:space="preserve"> s bazickými indexy</w:t>
      </w:r>
      <w:r w:rsidR="00146794" w:rsidRPr="00B632F4">
        <w:t>.</w:t>
      </w:r>
      <w:r w:rsidR="00540406">
        <w:t xml:space="preserve"> Cenová hladina se prudce zvýšila v období od 4. čtvrtletí 2021 do 1. čtvrtletí 2023, poté zabrzdila zhruba na úrovni 36 procent </w:t>
      </w:r>
      <w:r w:rsidR="00340D00">
        <w:t xml:space="preserve">nad </w:t>
      </w:r>
      <w:r w:rsidR="00540406">
        <w:t>průměr</w:t>
      </w:r>
      <w:r w:rsidR="00340D00">
        <w:t>em</w:t>
      </w:r>
      <w:r w:rsidR="00540406">
        <w:t xml:space="preserve"> roku 2019. Mzdová hladina ro</w:t>
      </w:r>
      <w:r w:rsidR="00FB581B">
        <w:t xml:space="preserve">stla pozvolněji, </w:t>
      </w:r>
      <w:r w:rsidR="00B632F4">
        <w:t>průměrná hrubá mzda</w:t>
      </w:r>
      <w:r w:rsidR="00FB581B">
        <w:t xml:space="preserve"> dosáhla ve 2. </w:t>
      </w:r>
      <w:r w:rsidR="00540406">
        <w:t xml:space="preserve">čtvrtletí 2023 pouze úrovně </w:t>
      </w:r>
      <w:r w:rsidR="00B632F4">
        <w:t>24</w:t>
      </w:r>
      <w:r w:rsidR="00540406">
        <w:t xml:space="preserve"> procent </w:t>
      </w:r>
      <w:r w:rsidR="00340D00">
        <w:t xml:space="preserve">nad </w:t>
      </w:r>
      <w:r w:rsidR="00540406">
        <w:t>průměr</w:t>
      </w:r>
      <w:r w:rsidR="00340D00">
        <w:t>em</w:t>
      </w:r>
      <w:r w:rsidR="00540406">
        <w:t xml:space="preserve"> roku 2019</w:t>
      </w:r>
      <w:r w:rsidR="002A00A5">
        <w:t xml:space="preserve"> (po sezónním očištění)</w:t>
      </w:r>
      <w:r w:rsidR="00540406">
        <w:t>.</w:t>
      </w:r>
    </w:p>
    <w:p w:rsidR="00312947" w:rsidRPr="00131E8A" w:rsidRDefault="007F422B" w:rsidP="00131E8A">
      <w:r>
        <w:t>Mz</w:t>
      </w:r>
      <w:r w:rsidR="0003321A">
        <w:t>dový vývoj podléhá psychologickým</w:t>
      </w:r>
      <w:r>
        <w:t xml:space="preserve"> </w:t>
      </w:r>
      <w:r w:rsidR="0003321A">
        <w:t>vlivům</w:t>
      </w:r>
      <w:r>
        <w:t xml:space="preserve"> mnohem méně než vývoj cen, je pevněji ukotven v ekonomické realitě</w:t>
      </w:r>
      <w:r w:rsidR="0003321A">
        <w:t xml:space="preserve"> podniků</w:t>
      </w:r>
      <w:r w:rsidR="002A00A5">
        <w:t>. Tlak na mzdový růst byl</w:t>
      </w:r>
      <w:r>
        <w:t xml:space="preserve"> živen nejen stále vysokou poptávkou </w:t>
      </w:r>
      <w:r w:rsidR="00861652">
        <w:t xml:space="preserve">podniků </w:t>
      </w:r>
      <w:r>
        <w:t xml:space="preserve">po pracovní síle, ale </w:t>
      </w:r>
      <w:r w:rsidR="00FB581B">
        <w:t xml:space="preserve">z druhé strany </w:t>
      </w:r>
      <w:r>
        <w:t>také potřebou zaměstnanců splácet své dlouhodob</w:t>
      </w:r>
      <w:r w:rsidR="0003321A">
        <w:t>é smluvní</w:t>
      </w:r>
      <w:r>
        <w:t xml:space="preserve"> závazky </w:t>
      </w:r>
      <w:r w:rsidR="0003321A">
        <w:t>(</w:t>
      </w:r>
      <w:r>
        <w:t>úvěry</w:t>
      </w:r>
      <w:r w:rsidR="0003321A">
        <w:t>)</w:t>
      </w:r>
      <w:r w:rsidR="00064EA4">
        <w:t xml:space="preserve"> a kompenzovat zdražování</w:t>
      </w:r>
      <w:r w:rsidR="002A00A5">
        <w:t>. Byla</w:t>
      </w:r>
      <w:r>
        <w:t xml:space="preserve"> tak </w:t>
      </w:r>
      <w:r w:rsidRPr="002A00A5">
        <w:t>vyostřena konkurence o kvalitní zaměstnance a docház</w:t>
      </w:r>
      <w:r w:rsidR="002A00A5" w:rsidRPr="002A00A5">
        <w:t>elo</w:t>
      </w:r>
      <w:r w:rsidRPr="002A00A5">
        <w:t xml:space="preserve"> </w:t>
      </w:r>
      <w:r w:rsidRPr="00861652">
        <w:t>k silnější fluktuaci</w:t>
      </w:r>
      <w:r w:rsidR="00402120" w:rsidRPr="00861652">
        <w:t xml:space="preserve"> mezi podniky i </w:t>
      </w:r>
      <w:r w:rsidRPr="00861652">
        <w:t xml:space="preserve">celými obory. </w:t>
      </w:r>
      <w:r w:rsidR="002A00A5" w:rsidRPr="00861652">
        <w:t xml:space="preserve">Přes jisté ochlazení tento stav trvá dosud. </w:t>
      </w:r>
      <w:r w:rsidR="00861652" w:rsidRPr="00861652">
        <w:t xml:space="preserve">Ohrožením pro další stabilitu </w:t>
      </w:r>
      <w:r w:rsidRPr="00861652">
        <w:t xml:space="preserve">pak </w:t>
      </w:r>
      <w:r w:rsidR="00861652" w:rsidRPr="00861652">
        <w:t xml:space="preserve">může být </w:t>
      </w:r>
      <w:r w:rsidR="00312947" w:rsidRPr="00861652">
        <w:t xml:space="preserve">nestejnoměrnost </w:t>
      </w:r>
      <w:r w:rsidRPr="00861652">
        <w:t xml:space="preserve">mzdového </w:t>
      </w:r>
      <w:r w:rsidR="00312947" w:rsidRPr="00861652">
        <w:t>vývoje v různých odvětvích</w:t>
      </w:r>
      <w:r w:rsidRPr="00861652">
        <w:t>.</w:t>
      </w:r>
    </w:p>
    <w:p w:rsidR="00131E8A" w:rsidRDefault="00131E8A" w:rsidP="00E42E00">
      <w:pPr>
        <w:pStyle w:val="Nadpis1"/>
      </w:pPr>
    </w:p>
    <w:p w:rsidR="000A378F" w:rsidRDefault="0088095D" w:rsidP="00E42E00">
      <w:pPr>
        <w:pStyle w:val="Nadpis1"/>
      </w:pPr>
      <w:r w:rsidRPr="009C2107">
        <w:t>Z</w:t>
      </w:r>
      <w:r w:rsidR="00B916A5" w:rsidRPr="009C2107">
        <w:t>aměstnanost, ne</w:t>
      </w:r>
      <w:r w:rsidR="00234657" w:rsidRPr="009C2107">
        <w:t>zaměstnanost a ekonomická neaktivita</w:t>
      </w:r>
    </w:p>
    <w:p w:rsidR="006163D7" w:rsidRPr="00312947" w:rsidRDefault="00207F9C" w:rsidP="006163D7">
      <w:pPr>
        <w:rPr>
          <w:color w:val="C45911" w:themeColor="accent2" w:themeShade="BF"/>
        </w:rPr>
      </w:pPr>
      <w:r w:rsidRPr="006163D7">
        <w:t>Výsledky</w:t>
      </w:r>
      <w:r w:rsidR="00B60EFE" w:rsidRPr="006163D7">
        <w:t xml:space="preserve"> </w:t>
      </w:r>
      <w:r w:rsidR="00D8310F" w:rsidRPr="006163D7">
        <w:t>Výběrového šetření pracovních sil (</w:t>
      </w:r>
      <w:r w:rsidR="00333139" w:rsidRPr="006163D7">
        <w:t>VŠPS</w:t>
      </w:r>
      <w:r w:rsidR="00D8310F" w:rsidRPr="006163D7">
        <w:t>)</w:t>
      </w:r>
      <w:r w:rsidR="009C2107" w:rsidRPr="006163D7">
        <w:t xml:space="preserve"> </w:t>
      </w:r>
      <w:r w:rsidR="00402229" w:rsidRPr="006163D7">
        <w:t xml:space="preserve">přinesly </w:t>
      </w:r>
      <w:r w:rsidRPr="006163D7">
        <w:t>pro</w:t>
      </w:r>
      <w:r w:rsidR="009C2107" w:rsidRPr="006163D7">
        <w:t xml:space="preserve"> </w:t>
      </w:r>
      <w:r w:rsidR="00312947">
        <w:t>2</w:t>
      </w:r>
      <w:r w:rsidR="009C2107" w:rsidRPr="006163D7">
        <w:t>. čtvrtletí 202</w:t>
      </w:r>
      <w:r w:rsidR="00965120">
        <w:t>3</w:t>
      </w:r>
      <w:r w:rsidR="009C2107" w:rsidRPr="006163D7">
        <w:t xml:space="preserve"> </w:t>
      </w:r>
      <w:r w:rsidR="006F4A57" w:rsidRPr="006163D7">
        <w:t xml:space="preserve">meziroční </w:t>
      </w:r>
      <w:r w:rsidR="009C2107" w:rsidRPr="006163D7">
        <w:t xml:space="preserve">nárůst </w:t>
      </w:r>
      <w:r w:rsidR="006163D7" w:rsidRPr="00402120">
        <w:t xml:space="preserve">míry </w:t>
      </w:r>
      <w:r w:rsidR="00BC52B1" w:rsidRPr="00402120">
        <w:t>zaměstnanosti</w:t>
      </w:r>
      <w:r w:rsidR="00B71B7D" w:rsidRPr="00402120">
        <w:t xml:space="preserve"> (</w:t>
      </w:r>
      <w:r w:rsidR="00666D52" w:rsidRPr="00402120">
        <w:t xml:space="preserve">ve věkové skupině </w:t>
      </w:r>
      <w:r w:rsidR="00CB21A4" w:rsidRPr="00402120">
        <w:t>15–64 let</w:t>
      </w:r>
      <w:r w:rsidR="00B71B7D" w:rsidRPr="00402120">
        <w:t>)</w:t>
      </w:r>
      <w:r w:rsidR="00113B61" w:rsidRPr="00402120">
        <w:t xml:space="preserve"> o </w:t>
      </w:r>
      <w:r w:rsidR="00DD2DFB" w:rsidRPr="00402120">
        <w:t>0,</w:t>
      </w:r>
      <w:r w:rsidR="00402120" w:rsidRPr="00402120">
        <w:t>3</w:t>
      </w:r>
      <w:r w:rsidR="00113B61" w:rsidRPr="00402120">
        <w:t> </w:t>
      </w:r>
      <w:proofErr w:type="gramStart"/>
      <w:r w:rsidR="00113B61" w:rsidRPr="00402120">
        <w:t>p.b. na</w:t>
      </w:r>
      <w:proofErr w:type="gramEnd"/>
      <w:r w:rsidR="00113B61" w:rsidRPr="00402120">
        <w:t> </w:t>
      </w:r>
      <w:r w:rsidR="004548AF" w:rsidRPr="00402120">
        <w:t>75,</w:t>
      </w:r>
      <w:r w:rsidR="00402120" w:rsidRPr="00402120">
        <w:t>2</w:t>
      </w:r>
      <w:r w:rsidR="006163D7" w:rsidRPr="00402120">
        <w:t> %.</w:t>
      </w:r>
      <w:r w:rsidR="006F4A57" w:rsidRPr="00402120">
        <w:t xml:space="preserve"> </w:t>
      </w:r>
      <w:r w:rsidR="009A0E1B" w:rsidRPr="00402120">
        <w:t>Nápadný</w:t>
      </w:r>
      <w:r w:rsidR="00DD2DFB" w:rsidRPr="00402120">
        <w:t xml:space="preserve"> je </w:t>
      </w:r>
      <w:r w:rsidR="00402120" w:rsidRPr="00402120">
        <w:t xml:space="preserve">i </w:t>
      </w:r>
      <w:r w:rsidR="00DD2DFB" w:rsidRPr="00402120">
        <w:t xml:space="preserve">tentokrát odlišný vývoj mezi pohlavími. </w:t>
      </w:r>
      <w:r w:rsidR="006163D7" w:rsidRPr="00402120">
        <w:t xml:space="preserve">Ženy doháněly </w:t>
      </w:r>
      <w:r w:rsidR="00402120">
        <w:t>přetrvávající</w:t>
      </w:r>
      <w:r w:rsidR="00DD2DFB" w:rsidRPr="00402120">
        <w:t xml:space="preserve"> </w:t>
      </w:r>
      <w:r w:rsidR="006163D7" w:rsidRPr="00402120">
        <w:t xml:space="preserve">rozdíl, </w:t>
      </w:r>
      <w:r w:rsidR="00D10452" w:rsidRPr="00402120">
        <w:t xml:space="preserve">zatímco u mužů se míra zaměstnanosti </w:t>
      </w:r>
      <w:r w:rsidR="00540406">
        <w:t>mír</w:t>
      </w:r>
      <w:r w:rsidR="00D10452" w:rsidRPr="00402120">
        <w:t>ně snížila o 0,</w:t>
      </w:r>
      <w:r w:rsidR="00402120" w:rsidRPr="00402120">
        <w:t>4</w:t>
      </w:r>
      <w:r w:rsidR="00D10452" w:rsidRPr="00402120">
        <w:t xml:space="preserve"> p. b. </w:t>
      </w:r>
      <w:proofErr w:type="gramStart"/>
      <w:r w:rsidR="00D10452" w:rsidRPr="00402120">
        <w:t>na</w:t>
      </w:r>
      <w:proofErr w:type="gramEnd"/>
      <w:r w:rsidR="00D10452" w:rsidRPr="00402120">
        <w:t xml:space="preserve"> 81,</w:t>
      </w:r>
      <w:r w:rsidR="00402120" w:rsidRPr="00402120">
        <w:t>8</w:t>
      </w:r>
      <w:r w:rsidR="00D10452" w:rsidRPr="00402120">
        <w:t xml:space="preserve"> %, u žen </w:t>
      </w:r>
      <w:r w:rsidR="00DD2DFB" w:rsidRPr="00402120">
        <w:t>vzrostla o</w:t>
      </w:r>
      <w:r w:rsidR="00D10452" w:rsidRPr="00402120">
        <w:t> </w:t>
      </w:r>
      <w:r w:rsidR="00DD2DFB" w:rsidRPr="00402120">
        <w:t>1,</w:t>
      </w:r>
      <w:r w:rsidR="00402120" w:rsidRPr="00402120">
        <w:t>0</w:t>
      </w:r>
      <w:r w:rsidR="00DD2DFB" w:rsidRPr="00402120">
        <w:t> p. b. na 6</w:t>
      </w:r>
      <w:r w:rsidR="00402120" w:rsidRPr="00402120">
        <w:t>8,2</w:t>
      </w:r>
      <w:r w:rsidR="00DD2DFB" w:rsidRPr="00402120">
        <w:t xml:space="preserve"> %, </w:t>
      </w:r>
      <w:r w:rsidR="00D10452" w:rsidRPr="00402120">
        <w:t>což může souviset s nově zavedeným daňovým zvýhodněním zkrácených úvazků</w:t>
      </w:r>
      <w:r w:rsidR="00402120">
        <w:t>, k</w:t>
      </w:r>
      <w:r w:rsidR="000647E2">
        <w:t>t</w:t>
      </w:r>
      <w:r w:rsidR="00402120">
        <w:t>eré ženy využívají podstatně více</w:t>
      </w:r>
      <w:r w:rsidR="00D10452" w:rsidRPr="00402120">
        <w:t>.</w:t>
      </w:r>
    </w:p>
    <w:p w:rsidR="00E22D22" w:rsidRPr="000647E2" w:rsidRDefault="00DD2DFB" w:rsidP="00E22D22">
      <w:r w:rsidRPr="000647E2">
        <w:t>Absolutní p</w:t>
      </w:r>
      <w:r w:rsidR="004A7A70" w:rsidRPr="000647E2">
        <w:t xml:space="preserve">očet zaměstnaných </w:t>
      </w:r>
      <w:r w:rsidR="00E22D22" w:rsidRPr="000647E2">
        <w:t xml:space="preserve">se </w:t>
      </w:r>
      <w:r w:rsidR="004548AF" w:rsidRPr="000647E2">
        <w:t xml:space="preserve">meziročně </w:t>
      </w:r>
      <w:r w:rsidR="004A7A70" w:rsidRPr="000647E2">
        <w:t>zvýšil o </w:t>
      </w:r>
      <w:r w:rsidR="000647E2" w:rsidRPr="000647E2">
        <w:t>87</w:t>
      </w:r>
      <w:r w:rsidRPr="000647E2">
        <w:t>,</w:t>
      </w:r>
      <w:r w:rsidR="000647E2" w:rsidRPr="000647E2">
        <w:t>4</w:t>
      </w:r>
      <w:r w:rsidR="00E22D22" w:rsidRPr="000647E2">
        <w:t> tis.</w:t>
      </w:r>
      <w:r w:rsidR="0086413A" w:rsidRPr="000647E2">
        <w:t>, tj. o 1,</w:t>
      </w:r>
      <w:r w:rsidR="000647E2" w:rsidRPr="000647E2">
        <w:t>7</w:t>
      </w:r>
      <w:r w:rsidR="0086413A" w:rsidRPr="000647E2">
        <w:t> %</w:t>
      </w:r>
      <w:r w:rsidR="009A0E1B" w:rsidRPr="000647E2">
        <w:t>,</w:t>
      </w:r>
      <w:r w:rsidR="0086413A" w:rsidRPr="000647E2">
        <w:t xml:space="preserve"> na 5 </w:t>
      </w:r>
      <w:r w:rsidR="000647E2" w:rsidRPr="000647E2">
        <w:t>063</w:t>
      </w:r>
      <w:r w:rsidR="0086413A" w:rsidRPr="000647E2">
        <w:t>,</w:t>
      </w:r>
      <w:r w:rsidR="000647E2" w:rsidRPr="000647E2">
        <w:t>9</w:t>
      </w:r>
      <w:r w:rsidR="0086413A" w:rsidRPr="000647E2">
        <w:t xml:space="preserve"> tis. </w:t>
      </w:r>
      <w:r w:rsidRPr="000647E2">
        <w:t>Dlouhodobější</w:t>
      </w:r>
      <w:r w:rsidR="00E22D22" w:rsidRPr="000647E2">
        <w:t xml:space="preserve">m trendem </w:t>
      </w:r>
      <w:r w:rsidRPr="000647E2">
        <w:t>je</w:t>
      </w:r>
      <w:r w:rsidR="00E22D22" w:rsidRPr="000647E2">
        <w:t xml:space="preserve"> </w:t>
      </w:r>
      <w:r w:rsidR="000647E2" w:rsidRPr="000647E2">
        <w:t xml:space="preserve">růst počtu </w:t>
      </w:r>
      <w:r w:rsidR="00E22D22" w:rsidRPr="000647E2">
        <w:rPr>
          <w:spacing w:val="-4"/>
        </w:rPr>
        <w:t xml:space="preserve">podnikatelů </w:t>
      </w:r>
      <w:r w:rsidR="0086413A" w:rsidRPr="000647E2">
        <w:rPr>
          <w:spacing w:val="-4"/>
        </w:rPr>
        <w:t xml:space="preserve">bez zaměstnanců </w:t>
      </w:r>
      <w:r w:rsidR="00E22D22" w:rsidRPr="000647E2">
        <w:rPr>
          <w:spacing w:val="-4"/>
        </w:rPr>
        <w:t>(pracujících na vlastní účet)</w:t>
      </w:r>
      <w:r w:rsidR="000647E2" w:rsidRPr="000647E2">
        <w:rPr>
          <w:spacing w:val="-4"/>
        </w:rPr>
        <w:t xml:space="preserve">, tentokrát </w:t>
      </w:r>
      <w:r w:rsidR="00E22D22" w:rsidRPr="000647E2">
        <w:rPr>
          <w:spacing w:val="-4"/>
        </w:rPr>
        <w:t>o </w:t>
      </w:r>
      <w:r w:rsidR="000647E2" w:rsidRPr="000647E2">
        <w:rPr>
          <w:spacing w:val="-4"/>
        </w:rPr>
        <w:t>63,1</w:t>
      </w:r>
      <w:r w:rsidR="00E22D22" w:rsidRPr="000647E2">
        <w:rPr>
          <w:spacing w:val="-4"/>
        </w:rPr>
        <w:t xml:space="preserve"> tis., </w:t>
      </w:r>
      <w:r w:rsidR="000647E2" w:rsidRPr="000647E2">
        <w:rPr>
          <w:spacing w:val="-4"/>
        </w:rPr>
        <w:t xml:space="preserve">zatímco počet </w:t>
      </w:r>
      <w:r w:rsidR="00BF59A4" w:rsidRPr="000647E2">
        <w:rPr>
          <w:spacing w:val="-4"/>
        </w:rPr>
        <w:t xml:space="preserve">podnikatelů </w:t>
      </w:r>
      <w:r w:rsidR="00BF59A4">
        <w:rPr>
          <w:spacing w:val="-4"/>
        </w:rPr>
        <w:t>s</w:t>
      </w:r>
      <w:r w:rsidR="00BF59A4" w:rsidRPr="000647E2">
        <w:rPr>
          <w:spacing w:val="-4"/>
        </w:rPr>
        <w:t>e zaměstnanc</w:t>
      </w:r>
      <w:r w:rsidR="00BF59A4">
        <w:rPr>
          <w:spacing w:val="-4"/>
        </w:rPr>
        <w:t>i</w:t>
      </w:r>
      <w:r w:rsidR="00BF59A4" w:rsidRPr="000647E2">
        <w:rPr>
          <w:spacing w:val="-4"/>
        </w:rPr>
        <w:t xml:space="preserve"> </w:t>
      </w:r>
      <w:r w:rsidR="00BF59A4">
        <w:rPr>
          <w:spacing w:val="-4"/>
        </w:rPr>
        <w:t>(</w:t>
      </w:r>
      <w:r w:rsidR="000647E2" w:rsidRPr="000647E2">
        <w:rPr>
          <w:spacing w:val="-4"/>
        </w:rPr>
        <w:t>zaměstnavatelů</w:t>
      </w:r>
      <w:r w:rsidR="00BF59A4">
        <w:rPr>
          <w:spacing w:val="-4"/>
        </w:rPr>
        <w:t>)</w:t>
      </w:r>
      <w:r w:rsidR="000647E2" w:rsidRPr="000647E2">
        <w:rPr>
          <w:spacing w:val="-4"/>
        </w:rPr>
        <w:t xml:space="preserve"> stagnoval.</w:t>
      </w:r>
      <w:r w:rsidR="008F501B" w:rsidRPr="000647E2">
        <w:rPr>
          <w:spacing w:val="-4"/>
        </w:rPr>
        <w:t> </w:t>
      </w:r>
      <w:r w:rsidR="000647E2" w:rsidRPr="000647E2">
        <w:rPr>
          <w:spacing w:val="-4"/>
        </w:rPr>
        <w:t xml:space="preserve">Počet </w:t>
      </w:r>
      <w:r w:rsidR="00E22D22" w:rsidRPr="000647E2">
        <w:rPr>
          <w:spacing w:val="-8"/>
        </w:rPr>
        <w:t xml:space="preserve">zaměstnanců </w:t>
      </w:r>
      <w:r w:rsidR="000647E2" w:rsidRPr="000647E2">
        <w:rPr>
          <w:spacing w:val="-8"/>
        </w:rPr>
        <w:t xml:space="preserve">se zvýšil </w:t>
      </w:r>
      <w:r w:rsidR="00BF59A4">
        <w:rPr>
          <w:spacing w:val="-8"/>
        </w:rPr>
        <w:t xml:space="preserve">méně, jen </w:t>
      </w:r>
      <w:r w:rsidR="00E14F9F">
        <w:rPr>
          <w:spacing w:val="2"/>
        </w:rPr>
        <w:t>o </w:t>
      </w:r>
      <w:r w:rsidR="000647E2" w:rsidRPr="000647E2">
        <w:rPr>
          <w:spacing w:val="2"/>
        </w:rPr>
        <w:t>40</w:t>
      </w:r>
      <w:r w:rsidRPr="000647E2">
        <w:rPr>
          <w:spacing w:val="2"/>
        </w:rPr>
        <w:t>,</w:t>
      </w:r>
      <w:r w:rsidR="000647E2" w:rsidRPr="000647E2">
        <w:rPr>
          <w:spacing w:val="2"/>
        </w:rPr>
        <w:t>0</w:t>
      </w:r>
      <w:r w:rsidR="00E22D22" w:rsidRPr="000647E2">
        <w:rPr>
          <w:spacing w:val="2"/>
        </w:rPr>
        <w:t> tis.</w:t>
      </w:r>
    </w:p>
    <w:p w:rsidR="0086413A" w:rsidRDefault="00E22D22" w:rsidP="00E22D22">
      <w:r w:rsidRPr="000647E2">
        <w:t xml:space="preserve">V odvětvovém třídění lze mluvit </w:t>
      </w:r>
      <w:r w:rsidR="00DD2DFB" w:rsidRPr="000647E2">
        <w:t xml:space="preserve">spíše </w:t>
      </w:r>
      <w:r w:rsidRPr="000647E2">
        <w:t>o</w:t>
      </w:r>
      <w:r w:rsidR="00DD2DFB" w:rsidRPr="000647E2">
        <w:t> </w:t>
      </w:r>
      <w:r w:rsidRPr="000647E2">
        <w:t>stagnaci zaměstnanosti v </w:t>
      </w:r>
      <w:r w:rsidR="009A0E1B" w:rsidRPr="000647E2">
        <w:t>sekundárním sektoru,</w:t>
      </w:r>
      <w:r w:rsidRPr="000647E2">
        <w:t xml:space="preserve"> </w:t>
      </w:r>
      <w:r w:rsidR="000647E2" w:rsidRPr="000647E2">
        <w:t>nastal tam pokles o 13,0 tis. na 1 802,8 tis. N</w:t>
      </w:r>
      <w:r w:rsidRPr="000647E2">
        <w:t>aopak v terciárním sektoru zaměstnanost meziročně stoupla o </w:t>
      </w:r>
      <w:r w:rsidR="000647E2" w:rsidRPr="000647E2">
        <w:t>95,8</w:t>
      </w:r>
      <w:r w:rsidR="0086413A" w:rsidRPr="000647E2">
        <w:t> </w:t>
      </w:r>
      <w:r w:rsidRPr="000647E2">
        <w:t>tis.,</w:t>
      </w:r>
      <w:r w:rsidR="000647E2" w:rsidRPr="000647E2">
        <w:t xml:space="preserve"> zejména se zvýšil počet pracujících osob v sekci profesní, věd</w:t>
      </w:r>
      <w:r w:rsidR="000647E2">
        <w:t>ecké a </w:t>
      </w:r>
      <w:r w:rsidR="000647E2" w:rsidRPr="000647E2">
        <w:t>technické činnosti o 31,0 tis. a dále také v sekci vzdělávání</w:t>
      </w:r>
      <w:r w:rsidR="000647E2">
        <w:t xml:space="preserve"> o </w:t>
      </w:r>
      <w:r w:rsidR="000647E2" w:rsidRPr="000647E2">
        <w:t>25,1 </w:t>
      </w:r>
      <w:r w:rsidR="000647E2">
        <w:t>tis.; k poklesu o 13,5 tis. došlo ve veřejné správě.</w:t>
      </w:r>
    </w:p>
    <w:p w:rsidR="004627F3" w:rsidRPr="00153EAC" w:rsidRDefault="00E22D22" w:rsidP="00E22D22">
      <w:pPr>
        <w:rPr>
          <w:rFonts w:eastAsia="Times New Roman"/>
          <w:bCs/>
          <w:szCs w:val="28"/>
        </w:rPr>
      </w:pPr>
      <w:r w:rsidRPr="00153EAC">
        <w:rPr>
          <w:rFonts w:eastAsia="Times New Roman"/>
          <w:bCs/>
          <w:szCs w:val="28"/>
        </w:rPr>
        <w:t xml:space="preserve">Celkový počet nezaměstnaných dle VŠPS (definice ILO – osoby aktivně hledající práci) dosáhl hodnoty </w:t>
      </w:r>
      <w:r w:rsidR="00153EAC" w:rsidRPr="00153EAC">
        <w:t>132,3 tis. osob</w:t>
      </w:r>
      <w:r w:rsidRPr="00153EAC">
        <w:rPr>
          <w:rFonts w:eastAsia="Times New Roman"/>
          <w:bCs/>
          <w:szCs w:val="28"/>
        </w:rPr>
        <w:t xml:space="preserve">, po sezónním očištění čísla ukazují mezičtvrtletní </w:t>
      </w:r>
      <w:r w:rsidR="00DD2DFB" w:rsidRPr="00153EAC">
        <w:rPr>
          <w:rFonts w:eastAsia="Times New Roman"/>
          <w:bCs/>
          <w:szCs w:val="28"/>
        </w:rPr>
        <w:t>nárů</w:t>
      </w:r>
      <w:r w:rsidR="0086413A" w:rsidRPr="00153EAC">
        <w:rPr>
          <w:rFonts w:eastAsia="Times New Roman"/>
          <w:bCs/>
          <w:szCs w:val="28"/>
        </w:rPr>
        <w:t>s</w:t>
      </w:r>
      <w:r w:rsidR="00DD2DFB" w:rsidRPr="00153EAC">
        <w:rPr>
          <w:rFonts w:eastAsia="Times New Roman"/>
          <w:bCs/>
          <w:szCs w:val="28"/>
        </w:rPr>
        <w:t>t</w:t>
      </w:r>
      <w:r w:rsidRPr="00153EAC">
        <w:rPr>
          <w:rFonts w:eastAsia="Times New Roman"/>
          <w:bCs/>
          <w:szCs w:val="28"/>
        </w:rPr>
        <w:t xml:space="preserve"> </w:t>
      </w:r>
      <w:r w:rsidR="004627F3" w:rsidRPr="00153EAC">
        <w:rPr>
          <w:rFonts w:eastAsia="Times New Roman"/>
          <w:bCs/>
          <w:szCs w:val="28"/>
        </w:rPr>
        <w:t>o </w:t>
      </w:r>
      <w:r w:rsidR="00153EAC" w:rsidRPr="00153EAC">
        <w:rPr>
          <w:rFonts w:eastAsia="Times New Roman"/>
          <w:bCs/>
          <w:szCs w:val="28"/>
        </w:rPr>
        <w:t>6</w:t>
      </w:r>
      <w:r w:rsidR="0086413A" w:rsidRPr="00153EAC">
        <w:rPr>
          <w:rFonts w:eastAsia="Times New Roman"/>
          <w:bCs/>
          <w:szCs w:val="28"/>
        </w:rPr>
        <w:t>,</w:t>
      </w:r>
      <w:r w:rsidR="00153EAC" w:rsidRPr="00153EAC">
        <w:rPr>
          <w:rFonts w:eastAsia="Times New Roman"/>
          <w:bCs/>
          <w:szCs w:val="28"/>
        </w:rPr>
        <w:t>0</w:t>
      </w:r>
      <w:r w:rsidR="004627F3" w:rsidRPr="00153EAC">
        <w:rPr>
          <w:rFonts w:eastAsia="Times New Roman"/>
          <w:bCs/>
          <w:szCs w:val="28"/>
        </w:rPr>
        <w:t> </w:t>
      </w:r>
      <w:r w:rsidRPr="00153EAC">
        <w:rPr>
          <w:rFonts w:eastAsia="Times New Roman"/>
          <w:bCs/>
          <w:szCs w:val="28"/>
        </w:rPr>
        <w:t xml:space="preserve">tis., meziročně se nezaměstnanost </w:t>
      </w:r>
      <w:r w:rsidR="004627F3" w:rsidRPr="00153EAC">
        <w:rPr>
          <w:rFonts w:eastAsia="Times New Roman"/>
          <w:bCs/>
          <w:szCs w:val="28"/>
        </w:rPr>
        <w:t>zvýš</w:t>
      </w:r>
      <w:r w:rsidRPr="00153EAC">
        <w:rPr>
          <w:rFonts w:eastAsia="Times New Roman"/>
          <w:bCs/>
          <w:szCs w:val="28"/>
        </w:rPr>
        <w:t xml:space="preserve">ila o </w:t>
      </w:r>
      <w:r w:rsidR="00153EAC" w:rsidRPr="00153EAC">
        <w:rPr>
          <w:rFonts w:eastAsia="Times New Roman"/>
          <w:bCs/>
          <w:szCs w:val="28"/>
        </w:rPr>
        <w:t>25,6</w:t>
      </w:r>
      <w:r w:rsidRPr="00153EAC">
        <w:rPr>
          <w:rFonts w:eastAsia="Times New Roman"/>
          <w:bCs/>
          <w:szCs w:val="28"/>
        </w:rPr>
        <w:t xml:space="preserve"> tis. Míra nezaměstnanosti tak ve věkové skupině 15–64letých </w:t>
      </w:r>
      <w:r w:rsidR="004627F3" w:rsidRPr="00153EAC">
        <w:rPr>
          <w:rFonts w:eastAsia="Times New Roman"/>
          <w:bCs/>
          <w:szCs w:val="28"/>
        </w:rPr>
        <w:t>stoup</w:t>
      </w:r>
      <w:r w:rsidRPr="00153EAC">
        <w:rPr>
          <w:rFonts w:eastAsia="Times New Roman"/>
          <w:bCs/>
          <w:szCs w:val="28"/>
        </w:rPr>
        <w:t>la na hodnotu 2,</w:t>
      </w:r>
      <w:r w:rsidR="00153EAC" w:rsidRPr="00153EAC">
        <w:rPr>
          <w:rFonts w:eastAsia="Times New Roman"/>
          <w:bCs/>
          <w:szCs w:val="28"/>
        </w:rPr>
        <w:t>6</w:t>
      </w:r>
      <w:r w:rsidRPr="00153EAC">
        <w:rPr>
          <w:rFonts w:eastAsia="Times New Roman"/>
          <w:bCs/>
          <w:szCs w:val="28"/>
        </w:rPr>
        <w:t> %</w:t>
      </w:r>
      <w:r w:rsidR="00153EAC" w:rsidRPr="00153EAC">
        <w:rPr>
          <w:rFonts w:eastAsia="Times New Roman"/>
          <w:bCs/>
          <w:szCs w:val="28"/>
        </w:rPr>
        <w:t>, což bylo</w:t>
      </w:r>
      <w:r w:rsidRPr="00153EAC">
        <w:rPr>
          <w:rFonts w:eastAsia="Times New Roman"/>
          <w:bCs/>
          <w:szCs w:val="28"/>
        </w:rPr>
        <w:t xml:space="preserve"> meziročně o</w:t>
      </w:r>
      <w:r w:rsidR="004627F3" w:rsidRPr="00153EAC">
        <w:rPr>
          <w:rFonts w:eastAsia="Times New Roman"/>
          <w:bCs/>
          <w:szCs w:val="28"/>
        </w:rPr>
        <w:t> </w:t>
      </w:r>
      <w:r w:rsidRPr="00153EAC">
        <w:rPr>
          <w:rFonts w:eastAsia="Times New Roman"/>
          <w:bCs/>
          <w:szCs w:val="28"/>
        </w:rPr>
        <w:t>0,</w:t>
      </w:r>
      <w:r w:rsidR="00153EAC" w:rsidRPr="00153EAC">
        <w:rPr>
          <w:rFonts w:eastAsia="Times New Roman"/>
          <w:bCs/>
          <w:szCs w:val="28"/>
        </w:rPr>
        <w:t>5</w:t>
      </w:r>
      <w:r w:rsidR="004627F3" w:rsidRPr="00153EAC">
        <w:rPr>
          <w:rFonts w:eastAsia="Times New Roman"/>
          <w:bCs/>
          <w:szCs w:val="28"/>
        </w:rPr>
        <w:t xml:space="preserve"> p. b</w:t>
      </w:r>
      <w:r w:rsidR="00153EAC" w:rsidRPr="00153EAC">
        <w:rPr>
          <w:rFonts w:eastAsia="Times New Roman"/>
          <w:bCs/>
          <w:szCs w:val="28"/>
        </w:rPr>
        <w:t xml:space="preserve">. </w:t>
      </w:r>
      <w:proofErr w:type="gramStart"/>
      <w:r w:rsidR="00153EAC">
        <w:rPr>
          <w:rFonts w:eastAsia="Times New Roman"/>
          <w:bCs/>
          <w:szCs w:val="28"/>
        </w:rPr>
        <w:t>v</w:t>
      </w:r>
      <w:r w:rsidR="00153EAC" w:rsidRPr="00153EAC">
        <w:rPr>
          <w:rFonts w:eastAsia="Times New Roman"/>
          <w:bCs/>
          <w:szCs w:val="28"/>
        </w:rPr>
        <w:t>íce</w:t>
      </w:r>
      <w:proofErr w:type="gramEnd"/>
      <w:r w:rsidR="004627F3" w:rsidRPr="00153EAC">
        <w:rPr>
          <w:rFonts w:eastAsia="Times New Roman"/>
          <w:bCs/>
          <w:szCs w:val="28"/>
        </w:rPr>
        <w:t>.</w:t>
      </w:r>
      <w:r w:rsidR="00153EAC">
        <w:rPr>
          <w:rFonts w:eastAsia="Times New Roman"/>
          <w:bCs/>
          <w:szCs w:val="28"/>
        </w:rPr>
        <w:t xml:space="preserve"> Rychlejší byl růst nezam</w:t>
      </w:r>
      <w:r w:rsidR="00153EAC" w:rsidRPr="00153EAC">
        <w:rPr>
          <w:rFonts w:eastAsia="Times New Roman"/>
          <w:bCs/>
          <w:szCs w:val="28"/>
        </w:rPr>
        <w:t>ěstnanosti u mužů než u žen.</w:t>
      </w:r>
    </w:p>
    <w:p w:rsidR="00153EAC" w:rsidRDefault="00E22D22" w:rsidP="00153EAC">
      <w:r w:rsidRPr="00153EAC">
        <w:rPr>
          <w:rFonts w:eastAsia="Times New Roman"/>
          <w:bCs/>
          <w:szCs w:val="28"/>
        </w:rPr>
        <w:t xml:space="preserve">Výrazný zůstává regionální profil, který se však </w:t>
      </w:r>
      <w:r w:rsidR="00153EAC" w:rsidRPr="00153EAC">
        <w:rPr>
          <w:rFonts w:eastAsia="Times New Roman"/>
          <w:bCs/>
          <w:szCs w:val="28"/>
        </w:rPr>
        <w:t xml:space="preserve">značně </w:t>
      </w:r>
      <w:r w:rsidR="008F501B" w:rsidRPr="00153EAC">
        <w:rPr>
          <w:rFonts w:eastAsia="Times New Roman"/>
          <w:bCs/>
          <w:szCs w:val="28"/>
        </w:rPr>
        <w:t>p</w:t>
      </w:r>
      <w:r w:rsidRPr="00153EAC">
        <w:rPr>
          <w:rFonts w:eastAsia="Times New Roman"/>
          <w:bCs/>
          <w:szCs w:val="28"/>
        </w:rPr>
        <w:t>romě</w:t>
      </w:r>
      <w:r w:rsidR="008F501B" w:rsidRPr="00153EAC">
        <w:rPr>
          <w:rFonts w:eastAsia="Times New Roman"/>
          <w:bCs/>
          <w:szCs w:val="28"/>
        </w:rPr>
        <w:t>nil</w:t>
      </w:r>
      <w:r w:rsidR="004627F3" w:rsidRPr="00153EAC">
        <w:rPr>
          <w:rFonts w:eastAsia="Times New Roman"/>
          <w:bCs/>
          <w:szCs w:val="28"/>
        </w:rPr>
        <w:t>.</w:t>
      </w:r>
      <w:r w:rsidRPr="00153EAC">
        <w:rPr>
          <w:rFonts w:eastAsia="Times New Roman"/>
          <w:bCs/>
          <w:szCs w:val="28"/>
        </w:rPr>
        <w:t xml:space="preserve"> </w:t>
      </w:r>
      <w:r w:rsidR="004627F3" w:rsidRPr="00153EAC">
        <w:rPr>
          <w:rFonts w:eastAsia="Times New Roman"/>
          <w:bCs/>
          <w:szCs w:val="28"/>
        </w:rPr>
        <w:t>Nejvyšší mír</w:t>
      </w:r>
      <w:r w:rsidR="00153EAC" w:rsidRPr="00153EAC">
        <w:rPr>
          <w:rFonts w:eastAsia="Times New Roman"/>
          <w:bCs/>
          <w:szCs w:val="28"/>
        </w:rPr>
        <w:t>a</w:t>
      </w:r>
      <w:r w:rsidR="004627F3" w:rsidRPr="00153EAC">
        <w:rPr>
          <w:rFonts w:eastAsia="Times New Roman"/>
          <w:bCs/>
          <w:szCs w:val="28"/>
        </w:rPr>
        <w:t xml:space="preserve"> nezaměstnanosti </w:t>
      </w:r>
      <w:r w:rsidR="00153EAC" w:rsidRPr="00153EAC">
        <w:rPr>
          <w:rFonts w:eastAsia="Times New Roman"/>
          <w:bCs/>
          <w:szCs w:val="28"/>
        </w:rPr>
        <w:t>již ne</w:t>
      </w:r>
      <w:r w:rsidR="004627F3" w:rsidRPr="00153EAC">
        <w:rPr>
          <w:rFonts w:eastAsia="Times New Roman"/>
          <w:bCs/>
          <w:szCs w:val="28"/>
        </w:rPr>
        <w:t>byl</w:t>
      </w:r>
      <w:r w:rsidR="00153EAC" w:rsidRPr="00153EAC">
        <w:rPr>
          <w:rFonts w:eastAsia="Times New Roman"/>
          <w:bCs/>
          <w:szCs w:val="28"/>
        </w:rPr>
        <w:t>a</w:t>
      </w:r>
      <w:r w:rsidR="004627F3" w:rsidRPr="00153EAC">
        <w:rPr>
          <w:rFonts w:eastAsia="Times New Roman"/>
          <w:bCs/>
          <w:szCs w:val="28"/>
        </w:rPr>
        <w:t xml:space="preserve"> </w:t>
      </w:r>
      <w:r w:rsidR="004627F3" w:rsidRPr="00153EAC">
        <w:rPr>
          <w:spacing w:val="-8"/>
        </w:rPr>
        <w:t xml:space="preserve">v Moravskoslezském </w:t>
      </w:r>
      <w:r w:rsidR="009A0E1B" w:rsidRPr="00153EAC">
        <w:rPr>
          <w:spacing w:val="-8"/>
        </w:rPr>
        <w:t xml:space="preserve">kraji </w:t>
      </w:r>
      <w:r w:rsidR="004627F3" w:rsidRPr="00153EAC">
        <w:rPr>
          <w:spacing w:val="-8"/>
        </w:rPr>
        <w:t>(</w:t>
      </w:r>
      <w:r w:rsidR="00153EAC" w:rsidRPr="00153EAC">
        <w:rPr>
          <w:spacing w:val="-8"/>
        </w:rPr>
        <w:t>tam klesla na 3</w:t>
      </w:r>
      <w:r w:rsidR="004627F3" w:rsidRPr="00153EAC">
        <w:rPr>
          <w:spacing w:val="-8"/>
        </w:rPr>
        <w:t>,5 %)</w:t>
      </w:r>
      <w:r w:rsidR="009A0E1B" w:rsidRPr="00153EAC">
        <w:rPr>
          <w:spacing w:val="-8"/>
        </w:rPr>
        <w:t>,</w:t>
      </w:r>
      <w:r w:rsidR="004627F3" w:rsidRPr="00153EAC">
        <w:rPr>
          <w:spacing w:val="-8"/>
        </w:rPr>
        <w:t xml:space="preserve"> </w:t>
      </w:r>
      <w:r w:rsidR="00153EAC" w:rsidRPr="00153EAC">
        <w:rPr>
          <w:spacing w:val="-8"/>
        </w:rPr>
        <w:t>ale</w:t>
      </w:r>
      <w:r w:rsidR="004627F3" w:rsidRPr="00153EAC">
        <w:rPr>
          <w:spacing w:val="-8"/>
        </w:rPr>
        <w:t xml:space="preserve"> v Libereckém (</w:t>
      </w:r>
      <w:r w:rsidR="00153EAC" w:rsidRPr="00153EAC">
        <w:rPr>
          <w:spacing w:val="-8"/>
        </w:rPr>
        <w:t>kde se zdvojnásobila na 4,5</w:t>
      </w:r>
      <w:r w:rsidR="004627F3" w:rsidRPr="00153EAC">
        <w:rPr>
          <w:spacing w:val="-8"/>
        </w:rPr>
        <w:t xml:space="preserve"> %). </w:t>
      </w:r>
      <w:r w:rsidR="00153EAC" w:rsidRPr="00716745">
        <w:rPr>
          <w:spacing w:val="-8"/>
        </w:rPr>
        <w:t>Nejvíce míra</w:t>
      </w:r>
      <w:r w:rsidR="00153EAC" w:rsidRPr="004A45C7">
        <w:t xml:space="preserve"> nezaměstnanosti </w:t>
      </w:r>
      <w:r w:rsidR="00153EAC">
        <w:t xml:space="preserve">meziročně </w:t>
      </w:r>
      <w:r w:rsidR="00153EAC" w:rsidRPr="004A45C7">
        <w:t>klesla v</w:t>
      </w:r>
      <w:r w:rsidR="00153EAC">
        <w:t> kraji </w:t>
      </w:r>
      <w:r w:rsidR="00153EAC" w:rsidRPr="00AA0883">
        <w:t>Ol</w:t>
      </w:r>
      <w:r w:rsidR="00153EAC">
        <w:t>omouckém (o 0,7</w:t>
      </w:r>
      <w:r w:rsidR="00153EAC" w:rsidRPr="00AA0883">
        <w:t xml:space="preserve"> p. b. </w:t>
      </w:r>
      <w:proofErr w:type="gramStart"/>
      <w:r w:rsidR="00153EAC" w:rsidRPr="00AA0883">
        <w:t>na</w:t>
      </w:r>
      <w:proofErr w:type="gramEnd"/>
      <w:r w:rsidR="00153EAC" w:rsidRPr="00AA0883">
        <w:t xml:space="preserve"> 2,5 %).</w:t>
      </w:r>
      <w:r w:rsidR="00153EAC">
        <w:t xml:space="preserve"> </w:t>
      </w:r>
      <w:r w:rsidR="00153EAC" w:rsidRPr="00AA0883">
        <w:lastRenderedPageBreak/>
        <w:t>Nejnižší míru nezaměstnanosti v rámci Česka měl Kraj Vysočina (1,5 %).</w:t>
      </w:r>
      <w:r w:rsidR="00153EAC">
        <w:t xml:space="preserve"> V Praze a krajích Středočeském a Jihočeském, kde byl</w:t>
      </w:r>
      <w:r w:rsidR="00D27E64">
        <w:t>y</w:t>
      </w:r>
      <w:r w:rsidR="00153EAC">
        <w:t xml:space="preserve"> míry v loňském 2. čtvrtletí nízké, se značně zvýšily.</w:t>
      </w:r>
    </w:p>
    <w:p w:rsidR="00E22D22" w:rsidRPr="00312947" w:rsidRDefault="00E22D22" w:rsidP="00E22D22">
      <w:pPr>
        <w:rPr>
          <w:color w:val="C45911" w:themeColor="accent2" w:themeShade="BF"/>
        </w:rPr>
      </w:pPr>
      <w:r w:rsidRPr="0064336A">
        <w:rPr>
          <w:rFonts w:eastAsia="Times New Roman"/>
          <w:bCs/>
          <w:szCs w:val="28"/>
        </w:rPr>
        <w:t xml:space="preserve">Déle než rok bylo bez práce </w:t>
      </w:r>
      <w:r w:rsidR="00372A6D" w:rsidRPr="0064336A">
        <w:rPr>
          <w:rFonts w:eastAsia="Times New Roman"/>
          <w:bCs/>
          <w:szCs w:val="28"/>
        </w:rPr>
        <w:t>3</w:t>
      </w:r>
      <w:r w:rsidR="00140DEB" w:rsidRPr="0064336A">
        <w:rPr>
          <w:rFonts w:eastAsia="Times New Roman"/>
          <w:bCs/>
          <w:szCs w:val="28"/>
        </w:rPr>
        <w:t>7,5</w:t>
      </w:r>
      <w:r w:rsidRPr="0064336A">
        <w:rPr>
          <w:rFonts w:eastAsia="Times New Roman"/>
          <w:bCs/>
          <w:szCs w:val="28"/>
        </w:rPr>
        <w:t xml:space="preserve"> </w:t>
      </w:r>
      <w:r w:rsidR="00372A6D" w:rsidRPr="0064336A">
        <w:rPr>
          <w:rFonts w:eastAsia="Times New Roman"/>
          <w:bCs/>
          <w:szCs w:val="28"/>
        </w:rPr>
        <w:t>tis.</w:t>
      </w:r>
      <w:r w:rsidR="00266A81" w:rsidRPr="0064336A">
        <w:rPr>
          <w:rFonts w:eastAsia="Times New Roman"/>
          <w:bCs/>
          <w:szCs w:val="28"/>
        </w:rPr>
        <w:t>,</w:t>
      </w:r>
      <w:r w:rsidRPr="0064336A">
        <w:rPr>
          <w:rFonts w:eastAsia="Times New Roman"/>
          <w:bCs/>
          <w:szCs w:val="28"/>
        </w:rPr>
        <w:t xml:space="preserve"> </w:t>
      </w:r>
      <w:r w:rsidR="001C1FA1" w:rsidRPr="0064336A">
        <w:rPr>
          <w:rFonts w:eastAsia="Times New Roman"/>
          <w:bCs/>
          <w:szCs w:val="28"/>
        </w:rPr>
        <w:t xml:space="preserve">tj. </w:t>
      </w:r>
      <w:r w:rsidR="00266A81" w:rsidRPr="0064336A">
        <w:rPr>
          <w:rFonts w:eastAsia="Times New Roman"/>
          <w:bCs/>
          <w:szCs w:val="28"/>
        </w:rPr>
        <w:t>2</w:t>
      </w:r>
      <w:r w:rsidR="0064336A" w:rsidRPr="0064336A">
        <w:rPr>
          <w:rFonts w:eastAsia="Times New Roman"/>
          <w:bCs/>
          <w:szCs w:val="28"/>
        </w:rPr>
        <w:t>8</w:t>
      </w:r>
      <w:r w:rsidR="00140DEB" w:rsidRPr="0064336A">
        <w:rPr>
          <w:rFonts w:eastAsia="Times New Roman"/>
          <w:bCs/>
          <w:szCs w:val="28"/>
        </w:rPr>
        <w:t>,</w:t>
      </w:r>
      <w:r w:rsidR="0064336A" w:rsidRPr="0064336A">
        <w:rPr>
          <w:rFonts w:eastAsia="Times New Roman"/>
          <w:bCs/>
          <w:szCs w:val="28"/>
        </w:rPr>
        <w:t>3</w:t>
      </w:r>
      <w:r w:rsidR="00266A81" w:rsidRPr="0064336A">
        <w:rPr>
          <w:rFonts w:eastAsia="Times New Roman"/>
          <w:bCs/>
          <w:szCs w:val="28"/>
        </w:rPr>
        <w:t> % všech nezaměstnaných</w:t>
      </w:r>
      <w:r w:rsidRPr="0064336A">
        <w:rPr>
          <w:rFonts w:eastAsia="Times New Roman"/>
          <w:bCs/>
          <w:szCs w:val="28"/>
        </w:rPr>
        <w:t>, počet d</w:t>
      </w:r>
      <w:r w:rsidR="00372A6D" w:rsidRPr="0064336A">
        <w:rPr>
          <w:rFonts w:eastAsia="Times New Roman"/>
          <w:bCs/>
          <w:szCs w:val="28"/>
        </w:rPr>
        <w:t xml:space="preserve">louhodobě nezaměstnaných se </w:t>
      </w:r>
      <w:r w:rsidR="00266A81" w:rsidRPr="0064336A">
        <w:rPr>
          <w:rFonts w:eastAsia="Times New Roman"/>
          <w:bCs/>
          <w:szCs w:val="28"/>
        </w:rPr>
        <w:t xml:space="preserve">tak </w:t>
      </w:r>
      <w:r w:rsidR="00372A6D" w:rsidRPr="0064336A">
        <w:t xml:space="preserve">meziročně </w:t>
      </w:r>
      <w:r w:rsidR="00266A81" w:rsidRPr="0064336A">
        <w:t xml:space="preserve">zvýšil </w:t>
      </w:r>
      <w:r w:rsidR="00372A6D" w:rsidRPr="0064336A">
        <w:t>o </w:t>
      </w:r>
      <w:r w:rsidR="0064336A" w:rsidRPr="0064336A">
        <w:t>9,5</w:t>
      </w:r>
      <w:r w:rsidR="00372A6D" w:rsidRPr="0064336A">
        <w:t> tis.</w:t>
      </w:r>
      <w:r w:rsidR="00266A81" w:rsidRPr="0064336A">
        <w:t xml:space="preserve"> </w:t>
      </w:r>
      <w:r w:rsidR="0064336A" w:rsidRPr="0064336A">
        <w:t xml:space="preserve">Zatímco </w:t>
      </w:r>
      <w:r w:rsidR="0064336A">
        <w:t>dlouhodobě nezaměstnaných mužů meziročně přibylo, počet dlouhodobě nezaměstnaných žen ve 2. čtvrtletí 2023 byl proti stejnému období roku 2022 téměř totožný.</w:t>
      </w:r>
    </w:p>
    <w:p w:rsidR="00372A6D" w:rsidRPr="0064336A" w:rsidRDefault="00372A6D" w:rsidP="00E22D22">
      <w:pPr>
        <w:rPr>
          <w:rFonts w:eastAsia="Times New Roman"/>
          <w:bCs/>
          <w:szCs w:val="28"/>
        </w:rPr>
      </w:pPr>
      <w:r w:rsidRPr="0064336A">
        <w:rPr>
          <w:rFonts w:cs="Arial"/>
          <w:szCs w:val="20"/>
          <w:lang w:eastAsia="cs-CZ"/>
        </w:rPr>
        <w:t xml:space="preserve">Počet osob, které nelze klasifikovat jako nezaměstnané a jsou pokládány za neaktivní, leč uvádějí, že chtějí pracovat, se </w:t>
      </w:r>
      <w:r w:rsidR="00540406">
        <w:rPr>
          <w:rFonts w:cs="Arial"/>
          <w:szCs w:val="20"/>
          <w:lang w:eastAsia="cs-CZ"/>
        </w:rPr>
        <w:t xml:space="preserve">ve 2. čtvrtletí 2023 </w:t>
      </w:r>
      <w:r w:rsidRPr="0064336A">
        <w:rPr>
          <w:rFonts w:cs="Arial"/>
          <w:szCs w:val="20"/>
          <w:lang w:eastAsia="cs-CZ"/>
        </w:rPr>
        <w:t xml:space="preserve">meziročně </w:t>
      </w:r>
      <w:r w:rsidR="00266A81" w:rsidRPr="0064336A">
        <w:rPr>
          <w:rFonts w:cs="Arial"/>
          <w:szCs w:val="20"/>
          <w:lang w:eastAsia="cs-CZ"/>
        </w:rPr>
        <w:t xml:space="preserve">zvýšil </w:t>
      </w:r>
      <w:r w:rsidRPr="0064336A">
        <w:rPr>
          <w:rFonts w:cs="Arial"/>
          <w:szCs w:val="20"/>
          <w:lang w:eastAsia="cs-CZ"/>
        </w:rPr>
        <w:t>o </w:t>
      </w:r>
      <w:r w:rsidR="0064336A" w:rsidRPr="0064336A">
        <w:rPr>
          <w:rFonts w:cs="Arial"/>
          <w:szCs w:val="20"/>
          <w:lang w:eastAsia="cs-CZ"/>
        </w:rPr>
        <w:t>33,3</w:t>
      </w:r>
      <w:r w:rsidRPr="0064336A">
        <w:rPr>
          <w:rFonts w:cs="Arial"/>
          <w:szCs w:val="20"/>
          <w:lang w:eastAsia="cs-CZ"/>
        </w:rPr>
        <w:t xml:space="preserve"> tis. na </w:t>
      </w:r>
      <w:r w:rsidR="0064336A" w:rsidRPr="0064336A">
        <w:rPr>
          <w:rFonts w:cs="Arial"/>
          <w:szCs w:val="20"/>
          <w:lang w:eastAsia="cs-CZ"/>
        </w:rPr>
        <w:t>8</w:t>
      </w:r>
      <w:r w:rsidR="00266A81" w:rsidRPr="0064336A">
        <w:rPr>
          <w:rFonts w:cs="Arial"/>
          <w:szCs w:val="20"/>
          <w:lang w:eastAsia="cs-CZ"/>
        </w:rPr>
        <w:t>7</w:t>
      </w:r>
      <w:r w:rsidR="0064336A" w:rsidRPr="0064336A">
        <w:rPr>
          <w:rFonts w:cs="Arial"/>
          <w:szCs w:val="20"/>
          <w:lang w:eastAsia="cs-CZ"/>
        </w:rPr>
        <w:t>,4</w:t>
      </w:r>
      <w:r w:rsidRPr="0064336A">
        <w:rPr>
          <w:rFonts w:cs="Arial"/>
          <w:szCs w:val="20"/>
          <w:lang w:eastAsia="cs-CZ"/>
        </w:rPr>
        <w:t> tis.</w:t>
      </w:r>
      <w:r w:rsidR="00266A81" w:rsidRPr="0064336A">
        <w:rPr>
          <w:rFonts w:cs="Arial"/>
          <w:szCs w:val="20"/>
          <w:lang w:eastAsia="cs-CZ"/>
        </w:rPr>
        <w:t xml:space="preserve"> </w:t>
      </w:r>
      <w:r w:rsidR="0064336A" w:rsidRPr="0064336A">
        <w:rPr>
          <w:rFonts w:cs="Arial"/>
          <w:szCs w:val="20"/>
          <w:lang w:eastAsia="cs-CZ"/>
        </w:rPr>
        <w:t>J</w:t>
      </w:r>
      <w:r w:rsidR="00540406">
        <w:rPr>
          <w:rFonts w:cs="Arial"/>
          <w:szCs w:val="20"/>
          <w:lang w:eastAsia="cs-CZ"/>
        </w:rPr>
        <w:t>de o </w:t>
      </w:r>
      <w:r w:rsidR="0064336A" w:rsidRPr="0064336A">
        <w:rPr>
          <w:rFonts w:cs="Arial"/>
          <w:szCs w:val="20"/>
          <w:lang w:eastAsia="cs-CZ"/>
        </w:rPr>
        <w:t xml:space="preserve">druhé a výraznější </w:t>
      </w:r>
      <w:r w:rsidR="00266A81" w:rsidRPr="0064336A">
        <w:rPr>
          <w:rFonts w:cs="Arial"/>
          <w:szCs w:val="20"/>
          <w:lang w:eastAsia="cs-CZ"/>
        </w:rPr>
        <w:t>zvýšení tohoto ukazatele pracovních rezerv.</w:t>
      </w:r>
    </w:p>
    <w:p w:rsidR="00F1505C" w:rsidRPr="00312947" w:rsidRDefault="00E22D22" w:rsidP="008F501B">
      <w:pPr>
        <w:rPr>
          <w:rFonts w:eastAsia="Times New Roman"/>
          <w:bCs/>
          <w:color w:val="C45911" w:themeColor="accent2" w:themeShade="BF"/>
          <w:szCs w:val="28"/>
        </w:rPr>
      </w:pPr>
      <w:r w:rsidRPr="0064336A">
        <w:rPr>
          <w:rFonts w:eastAsia="Times New Roman"/>
          <w:bCs/>
          <w:szCs w:val="28"/>
        </w:rPr>
        <w:t>VŠPS pokrývá jen osoby bydlící v</w:t>
      </w:r>
      <w:r w:rsidR="00372A6D" w:rsidRPr="0064336A">
        <w:rPr>
          <w:rFonts w:eastAsia="Times New Roman"/>
          <w:bCs/>
          <w:szCs w:val="28"/>
        </w:rPr>
        <w:t xml:space="preserve"> bytech, nikoli na ubytovnách a </w:t>
      </w:r>
      <w:r w:rsidRPr="0064336A">
        <w:rPr>
          <w:rFonts w:eastAsia="Times New Roman"/>
          <w:bCs/>
          <w:szCs w:val="28"/>
        </w:rPr>
        <w:t>podobných kolektivních domácnostech</w:t>
      </w:r>
      <w:r w:rsidR="0064336A" w:rsidRPr="0064336A">
        <w:rPr>
          <w:rFonts w:eastAsia="Times New Roman"/>
          <w:bCs/>
          <w:szCs w:val="28"/>
        </w:rPr>
        <w:t>.</w:t>
      </w:r>
      <w:r w:rsidRPr="0064336A">
        <w:rPr>
          <w:rFonts w:eastAsia="Times New Roman"/>
          <w:bCs/>
          <w:szCs w:val="28"/>
        </w:rPr>
        <w:t xml:space="preserve"> </w:t>
      </w:r>
      <w:r w:rsidR="0064336A" w:rsidRPr="0064336A">
        <w:rPr>
          <w:rFonts w:eastAsia="Times New Roman"/>
          <w:bCs/>
          <w:szCs w:val="28"/>
        </w:rPr>
        <w:t>T</w:t>
      </w:r>
      <w:r w:rsidRPr="0064336A">
        <w:rPr>
          <w:rFonts w:eastAsia="Times New Roman"/>
          <w:bCs/>
          <w:szCs w:val="28"/>
        </w:rPr>
        <w:t>o negativně ovlivňuje zachycení cizinců, kteří takové způsoby bydlení často využívají.</w:t>
      </w:r>
      <w:r w:rsidR="00266A81" w:rsidRPr="0064336A">
        <w:rPr>
          <w:rFonts w:eastAsia="Times New Roman"/>
          <w:bCs/>
          <w:szCs w:val="28"/>
        </w:rPr>
        <w:t xml:space="preserve"> Metodika </w:t>
      </w:r>
      <w:r w:rsidR="0064336A" w:rsidRPr="0064336A">
        <w:rPr>
          <w:rFonts w:eastAsia="Times New Roman"/>
          <w:bCs/>
          <w:szCs w:val="28"/>
        </w:rPr>
        <w:t xml:space="preserve">vážení a dopočtů </w:t>
      </w:r>
      <w:r w:rsidR="00266A81" w:rsidRPr="0064336A">
        <w:rPr>
          <w:rFonts w:eastAsia="Times New Roman"/>
          <w:bCs/>
          <w:szCs w:val="28"/>
        </w:rPr>
        <w:t xml:space="preserve">VŠPS </w:t>
      </w:r>
      <w:r w:rsidR="0064336A" w:rsidRPr="0064336A">
        <w:rPr>
          <w:rFonts w:eastAsia="Times New Roman"/>
          <w:bCs/>
          <w:szCs w:val="28"/>
        </w:rPr>
        <w:t>byla v současnosti více přizpůsobena tomuto způsobu zjišťování, což drobně poznamenalo absolutní údaje o zaměstnanosti zejména v třídění na věkové skupiny; relativních ukazatelů (míry) se změna takřka nedotkla.</w:t>
      </w:r>
    </w:p>
    <w:p w:rsidR="008F501B" w:rsidRPr="00312947" w:rsidRDefault="008F501B" w:rsidP="008F501B">
      <w:pPr>
        <w:rPr>
          <w:color w:val="C45911" w:themeColor="accent2" w:themeShade="BF"/>
        </w:rPr>
      </w:pPr>
    </w:p>
    <w:p w:rsidR="00B916A5" w:rsidRPr="009F126B" w:rsidRDefault="00B916A5" w:rsidP="00B916A5">
      <w:pPr>
        <w:pStyle w:val="Nadpis1"/>
      </w:pPr>
      <w:r w:rsidRPr="009F126B">
        <w:t>Evidenční počet zaměstnanců</w:t>
      </w:r>
      <w:r w:rsidR="004B201A" w:rsidRPr="009F126B">
        <w:t xml:space="preserve"> přepočtený na plně zaměstnané</w:t>
      </w:r>
    </w:p>
    <w:p w:rsidR="00B916A5" w:rsidRPr="00CF35DF" w:rsidRDefault="00E464C2" w:rsidP="00B916A5">
      <w:pPr>
        <w:pStyle w:val="Perex"/>
        <w:spacing w:after="0"/>
        <w:rPr>
          <w:b w:val="0"/>
          <w:szCs w:val="20"/>
          <w:lang w:eastAsia="cs-CZ"/>
        </w:rPr>
      </w:pPr>
      <w:r w:rsidRPr="009F126B">
        <w:rPr>
          <w:b w:val="0"/>
          <w:szCs w:val="20"/>
          <w:lang w:eastAsia="cs-CZ"/>
        </w:rPr>
        <w:t xml:space="preserve">Předběžné údaje podnikové statistiky ČSÚ </w:t>
      </w:r>
      <w:r w:rsidR="00B41D30" w:rsidRPr="009F126B">
        <w:rPr>
          <w:b w:val="0"/>
          <w:szCs w:val="20"/>
          <w:lang w:eastAsia="cs-CZ"/>
        </w:rPr>
        <w:t xml:space="preserve">potvrdily </w:t>
      </w:r>
      <w:r w:rsidR="000E2B9C" w:rsidRPr="009F126B">
        <w:rPr>
          <w:b w:val="0"/>
          <w:szCs w:val="20"/>
          <w:lang w:eastAsia="cs-CZ"/>
        </w:rPr>
        <w:t xml:space="preserve">pozitivní trend v </w:t>
      </w:r>
      <w:r w:rsidR="00B41D30" w:rsidRPr="009F126B">
        <w:rPr>
          <w:b w:val="0"/>
          <w:szCs w:val="20"/>
          <w:lang w:eastAsia="cs-CZ"/>
        </w:rPr>
        <w:t>meziroční</w:t>
      </w:r>
      <w:r w:rsidR="000E2B9C" w:rsidRPr="009F126B">
        <w:rPr>
          <w:b w:val="0"/>
          <w:szCs w:val="20"/>
          <w:lang w:eastAsia="cs-CZ"/>
        </w:rPr>
        <w:t>m</w:t>
      </w:r>
      <w:r w:rsidR="00B41D30" w:rsidRPr="009F126B">
        <w:rPr>
          <w:b w:val="0"/>
          <w:szCs w:val="20"/>
          <w:lang w:eastAsia="cs-CZ"/>
        </w:rPr>
        <w:t xml:space="preserve"> nárůst</w:t>
      </w:r>
      <w:r w:rsidR="000E2B9C" w:rsidRPr="009F126B">
        <w:rPr>
          <w:b w:val="0"/>
          <w:szCs w:val="20"/>
          <w:lang w:eastAsia="cs-CZ"/>
        </w:rPr>
        <w:t>u</w:t>
      </w:r>
      <w:r w:rsidR="00B41D30" w:rsidRPr="009F126B">
        <w:rPr>
          <w:b w:val="0"/>
          <w:szCs w:val="20"/>
          <w:lang w:eastAsia="cs-CZ"/>
        </w:rPr>
        <w:t xml:space="preserve"> počtu zaměstnanců.</w:t>
      </w:r>
      <w:r w:rsidRPr="009F126B">
        <w:rPr>
          <w:b w:val="0"/>
          <w:szCs w:val="20"/>
          <w:lang w:eastAsia="cs-CZ"/>
        </w:rPr>
        <w:t xml:space="preserve"> </w:t>
      </w:r>
      <w:r w:rsidR="00B41D30" w:rsidRPr="009F126B">
        <w:rPr>
          <w:b w:val="0"/>
          <w:szCs w:val="20"/>
          <w:lang w:eastAsia="cs-CZ"/>
        </w:rPr>
        <w:t>Evidenční</w:t>
      </w:r>
      <w:r w:rsidR="00B916A5" w:rsidRPr="009F126B">
        <w:rPr>
          <w:b w:val="0"/>
          <w:szCs w:val="20"/>
          <w:lang w:eastAsia="cs-CZ"/>
        </w:rPr>
        <w:t xml:space="preserve"> poč</w:t>
      </w:r>
      <w:r w:rsidR="00B41D30" w:rsidRPr="009F126B">
        <w:rPr>
          <w:b w:val="0"/>
          <w:szCs w:val="20"/>
          <w:lang w:eastAsia="cs-CZ"/>
        </w:rPr>
        <w:t>e</w:t>
      </w:r>
      <w:r w:rsidR="00B916A5" w:rsidRPr="009F126B">
        <w:rPr>
          <w:b w:val="0"/>
          <w:szCs w:val="20"/>
          <w:lang w:eastAsia="cs-CZ"/>
        </w:rPr>
        <w:t>t</w:t>
      </w:r>
      <w:r w:rsidR="00B41D30" w:rsidRPr="009F126B">
        <w:rPr>
          <w:b w:val="0"/>
          <w:szCs w:val="20"/>
          <w:lang w:eastAsia="cs-CZ"/>
        </w:rPr>
        <w:t xml:space="preserve"> zaměstnanců</w:t>
      </w:r>
      <w:r w:rsidR="00166977" w:rsidRPr="009F126B">
        <w:rPr>
          <w:b w:val="0"/>
          <w:szCs w:val="20"/>
          <w:lang w:eastAsia="cs-CZ"/>
        </w:rPr>
        <w:t xml:space="preserve"> </w:t>
      </w:r>
      <w:r w:rsidR="00B41D30" w:rsidRPr="009F126B">
        <w:rPr>
          <w:b w:val="0"/>
        </w:rPr>
        <w:t>přepočtených na plně zaměstnané (FTE) se v</w:t>
      </w:r>
      <w:r w:rsidR="00CF35DF">
        <w:rPr>
          <w:b w:val="0"/>
        </w:rPr>
        <w:t>e</w:t>
      </w:r>
      <w:r w:rsidR="00B916A5" w:rsidRPr="009F126B">
        <w:rPr>
          <w:b w:val="0"/>
        </w:rPr>
        <w:t> </w:t>
      </w:r>
      <w:r w:rsidR="009F126B">
        <w:rPr>
          <w:b w:val="0"/>
        </w:rPr>
        <w:t>2</w:t>
      </w:r>
      <w:r w:rsidR="00B916A5" w:rsidRPr="009F126B">
        <w:rPr>
          <w:b w:val="0"/>
        </w:rPr>
        <w:t>.</w:t>
      </w:r>
      <w:r w:rsidR="00FD43EF" w:rsidRPr="009F126B">
        <w:rPr>
          <w:b w:val="0"/>
        </w:rPr>
        <w:t> </w:t>
      </w:r>
      <w:r w:rsidR="00E548FE" w:rsidRPr="009F126B">
        <w:rPr>
          <w:b w:val="0"/>
        </w:rPr>
        <w:t>čtvrtletí</w:t>
      </w:r>
      <w:r w:rsidR="00166977" w:rsidRPr="009F126B">
        <w:rPr>
          <w:b w:val="0"/>
        </w:rPr>
        <w:t xml:space="preserve"> </w:t>
      </w:r>
      <w:r w:rsidR="004A7A70" w:rsidRPr="009F126B">
        <w:rPr>
          <w:b w:val="0"/>
        </w:rPr>
        <w:t>202</w:t>
      </w:r>
      <w:r w:rsidR="00873528" w:rsidRPr="009F126B">
        <w:rPr>
          <w:b w:val="0"/>
        </w:rPr>
        <w:t>3</w:t>
      </w:r>
      <w:r w:rsidR="004A7A70" w:rsidRPr="009F126B">
        <w:rPr>
          <w:b w:val="0"/>
        </w:rPr>
        <w:t xml:space="preserve"> </w:t>
      </w:r>
      <w:r w:rsidR="007723E2" w:rsidRPr="009F126B">
        <w:rPr>
          <w:b w:val="0"/>
        </w:rPr>
        <w:t xml:space="preserve">meziročně </w:t>
      </w:r>
      <w:r w:rsidR="00B41D30" w:rsidRPr="00CF35DF">
        <w:rPr>
          <w:b w:val="0"/>
        </w:rPr>
        <w:t>zvýšil o </w:t>
      </w:r>
      <w:r w:rsidR="00FA01FD" w:rsidRPr="00CF35DF">
        <w:rPr>
          <w:b w:val="0"/>
        </w:rPr>
        <w:t>2</w:t>
      </w:r>
      <w:r w:rsidR="000E2B9C" w:rsidRPr="00CF35DF">
        <w:rPr>
          <w:b w:val="0"/>
        </w:rPr>
        <w:t>2,</w:t>
      </w:r>
      <w:r w:rsidR="00FA01FD" w:rsidRPr="00CF35DF">
        <w:rPr>
          <w:b w:val="0"/>
        </w:rPr>
        <w:t>3</w:t>
      </w:r>
      <w:r w:rsidR="00B916A5" w:rsidRPr="00CF35DF">
        <w:rPr>
          <w:b w:val="0"/>
        </w:rPr>
        <w:t> tis.</w:t>
      </w:r>
      <w:r w:rsidR="00B41D30" w:rsidRPr="00CF35DF">
        <w:rPr>
          <w:b w:val="0"/>
        </w:rPr>
        <w:t>,</w:t>
      </w:r>
      <w:r w:rsidR="00B916A5" w:rsidRPr="00CF35DF">
        <w:rPr>
          <w:b w:val="0"/>
        </w:rPr>
        <w:t xml:space="preserve"> </w:t>
      </w:r>
      <w:r w:rsidR="00FD43EF" w:rsidRPr="00CF35DF">
        <w:rPr>
          <w:b w:val="0"/>
        </w:rPr>
        <w:t>c</w:t>
      </w:r>
      <w:r w:rsidR="00B916A5" w:rsidRPr="00CF35DF">
        <w:rPr>
          <w:b w:val="0"/>
        </w:rPr>
        <w:t>o</w:t>
      </w:r>
      <w:r w:rsidR="00FD43EF" w:rsidRPr="00CF35DF">
        <w:rPr>
          <w:b w:val="0"/>
        </w:rPr>
        <w:t>ž</w:t>
      </w:r>
      <w:r w:rsidR="00B916A5" w:rsidRPr="00CF35DF">
        <w:rPr>
          <w:b w:val="0"/>
        </w:rPr>
        <w:t xml:space="preserve"> </w:t>
      </w:r>
      <w:r w:rsidR="00B41D30" w:rsidRPr="00CF35DF">
        <w:rPr>
          <w:b w:val="0"/>
        </w:rPr>
        <w:t>byl</w:t>
      </w:r>
      <w:r w:rsidR="00B916A5" w:rsidRPr="00CF35DF">
        <w:rPr>
          <w:b w:val="0"/>
        </w:rPr>
        <w:t xml:space="preserve"> relativní </w:t>
      </w:r>
      <w:r w:rsidR="00FA5066" w:rsidRPr="00CF35DF">
        <w:rPr>
          <w:b w:val="0"/>
        </w:rPr>
        <w:t>nárůst</w:t>
      </w:r>
      <w:r w:rsidR="00314C58" w:rsidRPr="00CF35DF">
        <w:rPr>
          <w:b w:val="0"/>
        </w:rPr>
        <w:t xml:space="preserve"> o </w:t>
      </w:r>
      <w:r w:rsidR="00FA01FD" w:rsidRPr="00CF35DF">
        <w:rPr>
          <w:b w:val="0"/>
        </w:rPr>
        <w:t>0,6</w:t>
      </w:r>
      <w:r w:rsidR="00B916A5" w:rsidRPr="00CF35DF">
        <w:rPr>
          <w:b w:val="0"/>
        </w:rPr>
        <w:t> %</w:t>
      </w:r>
      <w:r w:rsidR="00166977" w:rsidRPr="00CF35DF">
        <w:rPr>
          <w:b w:val="0"/>
        </w:rPr>
        <w:t>.</w:t>
      </w:r>
    </w:p>
    <w:p w:rsidR="001D0BC3" w:rsidRPr="00085CE7" w:rsidRDefault="00CF35DF" w:rsidP="001726A5">
      <w:pPr>
        <w:pStyle w:val="Perex"/>
        <w:spacing w:after="0"/>
        <w:rPr>
          <w:b w:val="0"/>
        </w:rPr>
      </w:pPr>
      <w:r>
        <w:rPr>
          <w:b w:val="0"/>
        </w:rPr>
        <w:t>V</w:t>
      </w:r>
      <w:r w:rsidR="002B44AE" w:rsidRPr="00CF35DF">
        <w:rPr>
          <w:b w:val="0"/>
        </w:rPr>
        <w:t xml:space="preserve"> </w:t>
      </w:r>
      <w:r w:rsidR="00B916A5" w:rsidRPr="00CF35DF">
        <w:rPr>
          <w:b w:val="0"/>
        </w:rPr>
        <w:t>odvětv</w:t>
      </w:r>
      <w:r>
        <w:rPr>
          <w:b w:val="0"/>
        </w:rPr>
        <w:t>ovém</w:t>
      </w:r>
      <w:r w:rsidR="002B44AE" w:rsidRPr="00CF35DF">
        <w:rPr>
          <w:b w:val="0"/>
        </w:rPr>
        <w:t xml:space="preserve"> </w:t>
      </w:r>
      <w:r>
        <w:rPr>
          <w:b w:val="0"/>
        </w:rPr>
        <w:t xml:space="preserve">pohledu </w:t>
      </w:r>
      <w:r w:rsidRPr="00CF35DF">
        <w:rPr>
          <w:b w:val="0"/>
        </w:rPr>
        <w:t xml:space="preserve">se růst počtu zaměstnanců soustředil do sektoru služeb, </w:t>
      </w:r>
      <w:r>
        <w:rPr>
          <w:b w:val="0"/>
        </w:rPr>
        <w:t xml:space="preserve">včetně veřejných, </w:t>
      </w:r>
      <w:r w:rsidRPr="00CF35DF">
        <w:rPr>
          <w:b w:val="0"/>
        </w:rPr>
        <w:t xml:space="preserve">zatímco </w:t>
      </w:r>
      <w:r w:rsidR="00861652" w:rsidRPr="00085CE7">
        <w:rPr>
          <w:b w:val="0"/>
        </w:rPr>
        <w:t>počty klesaly</w:t>
      </w:r>
      <w:r w:rsidR="00861652">
        <w:rPr>
          <w:b w:val="0"/>
        </w:rPr>
        <w:t xml:space="preserve"> </w:t>
      </w:r>
      <w:r w:rsidR="00085CE7">
        <w:rPr>
          <w:b w:val="0"/>
        </w:rPr>
        <w:t xml:space="preserve">obecně </w:t>
      </w:r>
      <w:r w:rsidRPr="00CF35DF">
        <w:rPr>
          <w:b w:val="0"/>
        </w:rPr>
        <w:t>v</w:t>
      </w:r>
      <w:r>
        <w:rPr>
          <w:b w:val="0"/>
        </w:rPr>
        <w:t> </w:t>
      </w:r>
      <w:r w:rsidRPr="00085CE7">
        <w:rPr>
          <w:b w:val="0"/>
        </w:rPr>
        <w:t>priméru a sekundéru, ale ta</w:t>
      </w:r>
      <w:r w:rsidR="00861652">
        <w:rPr>
          <w:b w:val="0"/>
        </w:rPr>
        <w:t>ké v obchodu a dopravě</w:t>
      </w:r>
      <w:r w:rsidRPr="00085CE7">
        <w:rPr>
          <w:b w:val="0"/>
        </w:rPr>
        <w:t xml:space="preserve">. </w:t>
      </w:r>
      <w:r w:rsidR="00544100" w:rsidRPr="00085CE7">
        <w:rPr>
          <w:b w:val="0"/>
        </w:rPr>
        <w:t xml:space="preserve">V </w:t>
      </w:r>
      <w:r w:rsidRPr="00085CE7">
        <w:rPr>
          <w:b w:val="0"/>
        </w:rPr>
        <w:t>pě</w:t>
      </w:r>
      <w:r w:rsidR="00B74757" w:rsidRPr="00085CE7">
        <w:rPr>
          <w:b w:val="0"/>
        </w:rPr>
        <w:t>t</w:t>
      </w:r>
      <w:r w:rsidR="001726A5" w:rsidRPr="00085CE7">
        <w:rPr>
          <w:b w:val="0"/>
        </w:rPr>
        <w:t>i</w:t>
      </w:r>
      <w:r w:rsidR="00544100" w:rsidRPr="00085CE7">
        <w:rPr>
          <w:b w:val="0"/>
        </w:rPr>
        <w:t xml:space="preserve"> </w:t>
      </w:r>
      <w:r w:rsidR="00DF23CA" w:rsidRPr="00085CE7">
        <w:rPr>
          <w:b w:val="0"/>
        </w:rPr>
        <w:t>sekcí</w:t>
      </w:r>
      <w:r w:rsidR="00F81099" w:rsidRPr="00085CE7">
        <w:rPr>
          <w:b w:val="0"/>
        </w:rPr>
        <w:t>ch</w:t>
      </w:r>
      <w:r w:rsidR="0042238D" w:rsidRPr="00085CE7">
        <w:rPr>
          <w:b w:val="0"/>
        </w:rPr>
        <w:t xml:space="preserve"> CZ-NACE </w:t>
      </w:r>
      <w:r w:rsidR="003E2665" w:rsidRPr="00085CE7">
        <w:rPr>
          <w:b w:val="0"/>
        </w:rPr>
        <w:t xml:space="preserve">se </w:t>
      </w:r>
      <w:r w:rsidR="0042238D" w:rsidRPr="00085CE7">
        <w:rPr>
          <w:b w:val="0"/>
        </w:rPr>
        <w:t>počet zaměstnanců</w:t>
      </w:r>
      <w:r w:rsidR="001726A5" w:rsidRPr="00085CE7">
        <w:rPr>
          <w:b w:val="0"/>
        </w:rPr>
        <w:t xml:space="preserve"> </w:t>
      </w:r>
      <w:r w:rsidR="007723E2" w:rsidRPr="00085CE7">
        <w:rPr>
          <w:b w:val="0"/>
        </w:rPr>
        <w:t xml:space="preserve">meziročně </w:t>
      </w:r>
      <w:r w:rsidR="001726A5" w:rsidRPr="00085CE7">
        <w:rPr>
          <w:b w:val="0"/>
        </w:rPr>
        <w:t>snížil</w:t>
      </w:r>
      <w:r w:rsidRPr="00085CE7">
        <w:rPr>
          <w:b w:val="0"/>
        </w:rPr>
        <w:t xml:space="preserve"> o</w:t>
      </w:r>
      <w:r w:rsidR="001D0BC3" w:rsidRPr="00085CE7">
        <w:rPr>
          <w:b w:val="0"/>
        </w:rPr>
        <w:t xml:space="preserve"> </w:t>
      </w:r>
      <w:r w:rsidR="00411F83" w:rsidRPr="00085CE7">
        <w:rPr>
          <w:b w:val="0"/>
        </w:rPr>
        <w:t>2</w:t>
      </w:r>
      <w:r w:rsidRPr="00085CE7">
        <w:rPr>
          <w:b w:val="0"/>
        </w:rPr>
        <w:t>1</w:t>
      </w:r>
      <w:r w:rsidR="001D0BC3" w:rsidRPr="00085CE7">
        <w:rPr>
          <w:b w:val="0"/>
        </w:rPr>
        <w:t xml:space="preserve"> tis. V</w:t>
      </w:r>
      <w:r w:rsidR="00B50A22" w:rsidRPr="00085CE7">
        <w:rPr>
          <w:b w:val="0"/>
        </w:rPr>
        <w:t>e zbylých</w:t>
      </w:r>
      <w:r w:rsidR="001726A5" w:rsidRPr="00085CE7">
        <w:rPr>
          <w:b w:val="0"/>
        </w:rPr>
        <w:t xml:space="preserve"> </w:t>
      </w:r>
      <w:r w:rsidR="00085CE7" w:rsidRPr="00085CE7">
        <w:rPr>
          <w:b w:val="0"/>
        </w:rPr>
        <w:t>čtr</w:t>
      </w:r>
      <w:r w:rsidR="001D0BC3" w:rsidRPr="00085CE7">
        <w:rPr>
          <w:b w:val="0"/>
        </w:rPr>
        <w:t xml:space="preserve">nácti se </w:t>
      </w:r>
      <w:r w:rsidR="0042238D" w:rsidRPr="00085CE7">
        <w:rPr>
          <w:b w:val="0"/>
        </w:rPr>
        <w:t>zvýšil</w:t>
      </w:r>
      <w:r w:rsidR="001D0BC3" w:rsidRPr="00085CE7">
        <w:rPr>
          <w:b w:val="0"/>
        </w:rPr>
        <w:t xml:space="preserve"> o </w:t>
      </w:r>
      <w:r w:rsidR="00085CE7" w:rsidRPr="00085CE7">
        <w:rPr>
          <w:b w:val="0"/>
        </w:rPr>
        <w:t>43</w:t>
      </w:r>
      <w:r w:rsidR="001D0BC3" w:rsidRPr="00085CE7">
        <w:rPr>
          <w:b w:val="0"/>
        </w:rPr>
        <w:t xml:space="preserve"> tis.</w:t>
      </w:r>
      <w:r w:rsidR="001572B0" w:rsidRPr="00085CE7">
        <w:rPr>
          <w:b w:val="0"/>
        </w:rPr>
        <w:t xml:space="preserve"> </w:t>
      </w:r>
      <w:r w:rsidR="00CB1466" w:rsidRPr="00085CE7">
        <w:rPr>
          <w:b w:val="0"/>
        </w:rPr>
        <w:t>Jednotliv</w:t>
      </w:r>
      <w:r w:rsidR="001726A5" w:rsidRPr="00085CE7">
        <w:rPr>
          <w:b w:val="0"/>
        </w:rPr>
        <w:t>ě</w:t>
      </w:r>
      <w:r w:rsidR="001572B0" w:rsidRPr="00085CE7">
        <w:rPr>
          <w:b w:val="0"/>
        </w:rPr>
        <w:t xml:space="preserve"> </w:t>
      </w:r>
      <w:r w:rsidR="001D0BC3" w:rsidRPr="00085CE7">
        <w:rPr>
          <w:b w:val="0"/>
        </w:rPr>
        <w:t xml:space="preserve">šlo o </w:t>
      </w:r>
      <w:r w:rsidR="00747301" w:rsidRPr="00085CE7">
        <w:rPr>
          <w:b w:val="0"/>
        </w:rPr>
        <w:t xml:space="preserve">relativní </w:t>
      </w:r>
      <w:r w:rsidR="001D0BC3" w:rsidRPr="00085CE7">
        <w:rPr>
          <w:b w:val="0"/>
        </w:rPr>
        <w:t xml:space="preserve">přírůstky či úbytky </w:t>
      </w:r>
      <w:r w:rsidR="001572B0" w:rsidRPr="00085CE7">
        <w:rPr>
          <w:b w:val="0"/>
        </w:rPr>
        <w:t xml:space="preserve">v rozsahu od </w:t>
      </w:r>
      <w:r w:rsidR="001726A5" w:rsidRPr="00085CE7">
        <w:rPr>
          <w:b w:val="0"/>
        </w:rPr>
        <w:t>-</w:t>
      </w:r>
      <w:r w:rsidR="00411F83" w:rsidRPr="00085CE7">
        <w:rPr>
          <w:b w:val="0"/>
        </w:rPr>
        <w:t>1,</w:t>
      </w:r>
      <w:r w:rsidR="00085CE7">
        <w:rPr>
          <w:b w:val="0"/>
        </w:rPr>
        <w:t>6</w:t>
      </w:r>
      <w:r w:rsidR="001726A5" w:rsidRPr="00085CE7">
        <w:rPr>
          <w:b w:val="0"/>
        </w:rPr>
        <w:t> %</w:t>
      </w:r>
      <w:r w:rsidR="001572B0" w:rsidRPr="00085CE7">
        <w:rPr>
          <w:b w:val="0"/>
        </w:rPr>
        <w:t xml:space="preserve"> do </w:t>
      </w:r>
      <w:r w:rsidR="00085CE7" w:rsidRPr="00085CE7">
        <w:rPr>
          <w:b w:val="0"/>
        </w:rPr>
        <w:t>6</w:t>
      </w:r>
      <w:r w:rsidR="00411F83" w:rsidRPr="00085CE7">
        <w:rPr>
          <w:b w:val="0"/>
        </w:rPr>
        <w:t>,4</w:t>
      </w:r>
      <w:r w:rsidR="00085CE7" w:rsidRPr="00085CE7">
        <w:rPr>
          <w:b w:val="0"/>
        </w:rPr>
        <w:t> </w:t>
      </w:r>
      <w:r w:rsidR="000F396B" w:rsidRPr="00085CE7">
        <w:rPr>
          <w:b w:val="0"/>
        </w:rPr>
        <w:t>%</w:t>
      </w:r>
      <w:r w:rsidR="001D0BC3" w:rsidRPr="00085CE7">
        <w:rPr>
          <w:b w:val="0"/>
        </w:rPr>
        <w:t>.</w:t>
      </w:r>
    </w:p>
    <w:p w:rsidR="00085CE7" w:rsidRDefault="00085CE7" w:rsidP="00085CE7">
      <w:pPr>
        <w:rPr>
          <w:color w:val="C45911" w:themeColor="accent2" w:themeShade="BF"/>
        </w:rPr>
      </w:pPr>
      <w:r w:rsidRPr="00085CE7">
        <w:t>Největší pokles (o 1,6 %, resp. o 17,1 tis.</w:t>
      </w:r>
      <w:r w:rsidR="00861652">
        <w:t>)</w:t>
      </w:r>
      <w:r w:rsidRPr="00085CE7">
        <w:t xml:space="preserve"> najdeme ve zpracovatelském průmyslu. Ten </w:t>
      </w:r>
      <w:r w:rsidR="00861652">
        <w:t xml:space="preserve">však stále </w:t>
      </w:r>
      <w:r w:rsidRPr="00085CE7">
        <w:t xml:space="preserve">zaměstnával </w:t>
      </w:r>
      <w:r w:rsidR="00492A75">
        <w:t xml:space="preserve">více jak milion </w:t>
      </w:r>
      <w:r w:rsidRPr="00085CE7">
        <w:t>zaměstnanců</w:t>
      </w:r>
      <w:r w:rsidR="00492A75">
        <w:t xml:space="preserve"> (</w:t>
      </w:r>
      <w:r w:rsidR="00492A75" w:rsidRPr="00085CE7">
        <w:t>1 080,2 tis.</w:t>
      </w:r>
      <w:r w:rsidR="00492A75">
        <w:t>)</w:t>
      </w:r>
      <w:r w:rsidRPr="00085CE7">
        <w:t xml:space="preserve">, což představuje </w:t>
      </w:r>
      <w:r w:rsidR="007359FC">
        <w:t xml:space="preserve">zdaleka </w:t>
      </w:r>
      <w:r w:rsidRPr="00085CE7">
        <w:t>nej</w:t>
      </w:r>
      <w:r w:rsidR="007359FC">
        <w:t>početněj</w:t>
      </w:r>
      <w:r w:rsidRPr="00085CE7">
        <w:t>ší odvětvovou sekci. Tabulka 1 Rychlých informací o průměrných mzdách</w:t>
      </w:r>
      <w:r w:rsidR="00492A75">
        <w:t xml:space="preserve"> proto</w:t>
      </w:r>
      <w:r w:rsidRPr="00085CE7">
        <w:t xml:space="preserve"> </w:t>
      </w:r>
      <w:r w:rsidR="007359FC">
        <w:t>poskyt</w:t>
      </w:r>
      <w:r w:rsidRPr="00085CE7">
        <w:t>uje oddíly CZ-NACE z této sekce, které byly největší z</w:t>
      </w:r>
      <w:r w:rsidR="00861652">
        <w:t> hlediska počtu zaměstnanců. Ve </w:t>
      </w:r>
      <w:r w:rsidRPr="00085CE7">
        <w:t xml:space="preserve">všech těchto oddílech aktuálně najdeme pokles počtu zaměstnanců, nejhlubší relativní byl ve výrobě ostatních nekovových minerálních výrobků (o 3,1 %), v absolutních číslech </w:t>
      </w:r>
      <w:r w:rsidR="00861652">
        <w:t xml:space="preserve">byl </w:t>
      </w:r>
      <w:r w:rsidRPr="00085CE7">
        <w:t xml:space="preserve">však </w:t>
      </w:r>
      <w:r w:rsidR="00861652">
        <w:t>výraznější ve výrobě</w:t>
      </w:r>
      <w:r w:rsidRPr="00085CE7">
        <w:t xml:space="preserve"> kovových konstrukcí a kovodělných výrobků, kromě strojů a zařízení (o 3,4 tis.)</w:t>
      </w:r>
      <w:r>
        <w:t xml:space="preserve">, která představuje druhý nejpočetnější oddíl po výrobě </w:t>
      </w:r>
      <w:r w:rsidRPr="00085CE7">
        <w:t>motorových vozidel (kromě motocyklů), přívěsů a návěsů.</w:t>
      </w:r>
      <w:r>
        <w:t xml:space="preserve"> V té se počet zaměstnanců snížil o 1,2 tis., resp. o 0,7 %, což byl </w:t>
      </w:r>
      <w:r w:rsidR="00861652">
        <w:t xml:space="preserve">naopak </w:t>
      </w:r>
      <w:r>
        <w:t>nejmenší relativní pokles.</w:t>
      </w:r>
    </w:p>
    <w:p w:rsidR="00085CE7" w:rsidRPr="00366F0A" w:rsidRDefault="00085CE7" w:rsidP="00085CE7">
      <w:pPr>
        <w:rPr>
          <w:szCs w:val="20"/>
          <w:lang w:eastAsia="cs-CZ"/>
        </w:rPr>
      </w:pPr>
      <w:r w:rsidRPr="00366F0A">
        <w:t>Značný propad počt</w:t>
      </w:r>
      <w:r w:rsidR="00366F0A">
        <w:t>u zaměstnanců zažilo</w:t>
      </w:r>
      <w:r w:rsidRPr="00366F0A">
        <w:t xml:space="preserve"> též zemědě</w:t>
      </w:r>
      <w:r w:rsidR="007359FC">
        <w:t>lství, lesnictví a rybářství, o </w:t>
      </w:r>
      <w:r w:rsidRPr="00366F0A">
        <w:t>1,4 %</w:t>
      </w:r>
      <w:r w:rsidR="00366F0A">
        <w:t>,</w:t>
      </w:r>
      <w:r w:rsidRPr="00366F0A">
        <w:t xml:space="preserve"> </w:t>
      </w:r>
      <w:r w:rsidR="00366F0A" w:rsidRPr="00366F0A">
        <w:t>v absolutních číslech</w:t>
      </w:r>
      <w:r w:rsidR="00366F0A">
        <w:t xml:space="preserve"> šlo o 1,3 tis. Česko má v primárním sektoru alokován malý díl zaměstnanosti, e</w:t>
      </w:r>
      <w:r w:rsidR="00366F0A" w:rsidRPr="009F126B">
        <w:rPr>
          <w:szCs w:val="20"/>
          <w:lang w:eastAsia="cs-CZ"/>
        </w:rPr>
        <w:t>videnční počet zaměstnanců</w:t>
      </w:r>
      <w:r w:rsidR="00366F0A">
        <w:rPr>
          <w:szCs w:val="20"/>
          <w:lang w:eastAsia="cs-CZ"/>
        </w:rPr>
        <w:t xml:space="preserve"> v této </w:t>
      </w:r>
      <w:r w:rsidR="00366F0A">
        <w:t>sekci</w:t>
      </w:r>
      <w:r w:rsidR="00366F0A">
        <w:rPr>
          <w:szCs w:val="20"/>
          <w:lang w:eastAsia="cs-CZ"/>
        </w:rPr>
        <w:t xml:space="preserve"> byl ak</w:t>
      </w:r>
      <w:r w:rsidR="00366F0A" w:rsidRPr="00366F0A">
        <w:rPr>
          <w:szCs w:val="20"/>
          <w:lang w:eastAsia="cs-CZ"/>
        </w:rPr>
        <w:t>tuálně 91,2 tis.</w:t>
      </w:r>
    </w:p>
    <w:p w:rsidR="00085CE7" w:rsidRPr="00366F0A" w:rsidRDefault="00366F0A" w:rsidP="00085CE7">
      <w:pPr>
        <w:pStyle w:val="Perex"/>
        <w:spacing w:after="0"/>
        <w:rPr>
          <w:b w:val="0"/>
        </w:rPr>
      </w:pPr>
      <w:r w:rsidRPr="00366F0A">
        <w:rPr>
          <w:b w:val="0"/>
        </w:rPr>
        <w:t>K dalšímu snížení</w:t>
      </w:r>
      <w:r w:rsidR="00085CE7" w:rsidRPr="00366F0A">
        <w:rPr>
          <w:b w:val="0"/>
        </w:rPr>
        <w:t xml:space="preserve"> počtu zaměstnanců </w:t>
      </w:r>
      <w:r w:rsidRPr="00366F0A">
        <w:rPr>
          <w:b w:val="0"/>
        </w:rPr>
        <w:t xml:space="preserve">došlo </w:t>
      </w:r>
      <w:r w:rsidR="00085CE7" w:rsidRPr="00366F0A">
        <w:rPr>
          <w:b w:val="0"/>
        </w:rPr>
        <w:t>v těžbě a dobývání</w:t>
      </w:r>
      <w:r w:rsidRPr="00366F0A">
        <w:rPr>
          <w:b w:val="0"/>
        </w:rPr>
        <w:t xml:space="preserve">, tam se </w:t>
      </w:r>
      <w:r w:rsidR="00085CE7" w:rsidRPr="00366F0A">
        <w:rPr>
          <w:b w:val="0"/>
        </w:rPr>
        <w:t>stavy aktuálně snížily o </w:t>
      </w:r>
      <w:r w:rsidRPr="00366F0A">
        <w:rPr>
          <w:b w:val="0"/>
        </w:rPr>
        <w:t>0,6</w:t>
      </w:r>
      <w:r w:rsidR="00085CE7" w:rsidRPr="00366F0A">
        <w:rPr>
          <w:b w:val="0"/>
        </w:rPr>
        <w:t xml:space="preserve"> %, což </w:t>
      </w:r>
      <w:r w:rsidRPr="00366F0A">
        <w:rPr>
          <w:b w:val="0"/>
        </w:rPr>
        <w:t xml:space="preserve">však </w:t>
      </w:r>
      <w:r w:rsidR="00085CE7" w:rsidRPr="00366F0A">
        <w:rPr>
          <w:b w:val="0"/>
        </w:rPr>
        <w:t xml:space="preserve">absolutně </w:t>
      </w:r>
      <w:r w:rsidRPr="00366F0A">
        <w:rPr>
          <w:b w:val="0"/>
        </w:rPr>
        <w:t>představovalo</w:t>
      </w:r>
      <w:r w:rsidR="00085CE7" w:rsidRPr="00366F0A">
        <w:rPr>
          <w:b w:val="0"/>
        </w:rPr>
        <w:t> 0,</w:t>
      </w:r>
      <w:r w:rsidRPr="00366F0A">
        <w:rPr>
          <w:b w:val="0"/>
        </w:rPr>
        <w:t>1</w:t>
      </w:r>
      <w:r w:rsidR="00085CE7" w:rsidRPr="00366F0A">
        <w:rPr>
          <w:b w:val="0"/>
        </w:rPr>
        <w:t> tis. Toto odvětví klesá od začátku století setrvale a dlouhodobě, aktuálně zaměstnává pouze 18,</w:t>
      </w:r>
      <w:r w:rsidRPr="00366F0A">
        <w:rPr>
          <w:b w:val="0"/>
        </w:rPr>
        <w:t>3</w:t>
      </w:r>
      <w:r w:rsidR="00085CE7" w:rsidRPr="00366F0A">
        <w:rPr>
          <w:b w:val="0"/>
        </w:rPr>
        <w:t> tis. zaměstnanců, což představuje početně nejmenší sekci CZ-NACE</w:t>
      </w:r>
      <w:r>
        <w:rPr>
          <w:b w:val="0"/>
        </w:rPr>
        <w:t>, a to s velkým odstupem</w:t>
      </w:r>
      <w:r w:rsidR="00085CE7" w:rsidRPr="00366F0A">
        <w:rPr>
          <w:b w:val="0"/>
        </w:rPr>
        <w:t>.</w:t>
      </w:r>
    </w:p>
    <w:p w:rsidR="00366F0A" w:rsidRPr="00492A75" w:rsidRDefault="00366F0A" w:rsidP="00366F0A">
      <w:pPr>
        <w:pStyle w:val="Perex"/>
        <w:spacing w:after="0"/>
        <w:rPr>
          <w:b w:val="0"/>
        </w:rPr>
      </w:pPr>
      <w:r w:rsidRPr="00366F0A">
        <w:rPr>
          <w:b w:val="0"/>
        </w:rPr>
        <w:t>Menší poklesy byly v dopravě a skladování, kde se stavy snížily o 0,4 %, resp. 1,1 tis., a nakonec v</w:t>
      </w:r>
      <w:r>
        <w:rPr>
          <w:b w:val="0"/>
        </w:rPr>
        <w:t> </w:t>
      </w:r>
      <w:r w:rsidRPr="00366F0A">
        <w:rPr>
          <w:b w:val="0"/>
        </w:rPr>
        <w:t>obchodě</w:t>
      </w:r>
      <w:r>
        <w:rPr>
          <w:b w:val="0"/>
        </w:rPr>
        <w:t xml:space="preserve"> (v</w:t>
      </w:r>
      <w:r w:rsidRPr="00366F0A">
        <w:rPr>
          <w:b w:val="0"/>
        </w:rPr>
        <w:t>elkoobchod a maloobchod; opravy a údržba motorových vozidel</w:t>
      </w:r>
      <w:r>
        <w:rPr>
          <w:b w:val="0"/>
        </w:rPr>
        <w:t>)</w:t>
      </w:r>
      <w:r w:rsidRPr="00366F0A">
        <w:rPr>
          <w:b w:val="0"/>
        </w:rPr>
        <w:t xml:space="preserve">, kde meziročně ubylo shodně 1,1 </w:t>
      </w:r>
      <w:r w:rsidRPr="00492A75">
        <w:rPr>
          <w:b w:val="0"/>
        </w:rPr>
        <w:t>tis. zaměstnanců, což byl ovšem relativní úbytek jen o 0,2 %, neboť obchod je druhá nejpočetnější sekce s </w:t>
      </w:r>
      <w:r w:rsidR="00492A75" w:rsidRPr="00492A75">
        <w:rPr>
          <w:b w:val="0"/>
        </w:rPr>
        <w:t>více než půl milionem zaměstnanců (</w:t>
      </w:r>
      <w:r w:rsidRPr="00492A75">
        <w:rPr>
          <w:b w:val="0"/>
        </w:rPr>
        <w:t>505,3 tis.</w:t>
      </w:r>
      <w:r w:rsidR="00492A75" w:rsidRPr="00492A75">
        <w:rPr>
          <w:b w:val="0"/>
        </w:rPr>
        <w:t>)</w:t>
      </w:r>
      <w:r w:rsidRPr="00492A75">
        <w:rPr>
          <w:b w:val="0"/>
        </w:rPr>
        <w:t>.</w:t>
      </w:r>
    </w:p>
    <w:p w:rsidR="00492A75" w:rsidRPr="00492A75" w:rsidRDefault="00492A75" w:rsidP="00EA0046">
      <w:r w:rsidRPr="00492A75">
        <w:lastRenderedPageBreak/>
        <w:t xml:space="preserve">Ve dvou menších průmyslových sekcích – zásobování vodou, činnosti související s odpadními vodami, odpady a sanacemi a v energetice (výroba a rozvod elektřiny, plynu, tepla a klimatizovaného vzduchu) – </w:t>
      </w:r>
      <w:r>
        <w:t>se počty zaměstnanců zvýšily o 2,0 %, resp. o 1,2</w:t>
      </w:r>
      <w:r w:rsidR="007359FC">
        <w:t> %</w:t>
      </w:r>
      <w:r>
        <w:t>. V souhrnu to byl</w:t>
      </w:r>
      <w:r w:rsidR="007359FC">
        <w:t xml:space="preserve"> nárůst</w:t>
      </w:r>
      <w:r>
        <w:t xml:space="preserve"> o 1,5 tis.</w:t>
      </w:r>
    </w:p>
    <w:p w:rsidR="00A4154D" w:rsidRPr="00312947" w:rsidRDefault="00A4154D" w:rsidP="00A4154D">
      <w:pPr>
        <w:rPr>
          <w:color w:val="C45911" w:themeColor="accent2" w:themeShade="BF"/>
        </w:rPr>
      </w:pPr>
      <w:r w:rsidRPr="00A4154D">
        <w:t xml:space="preserve">Mnohem více se o nárůst počtu zaměstnanců postarala tři odvětví ze sektoru služeb, kde se v součtu zvýšil počet zaměstnanců o 25,6 tis. </w:t>
      </w:r>
      <w:r>
        <w:t>Šlo o vzdělávání (o 8,6 tis.), o z</w:t>
      </w:r>
      <w:r w:rsidRPr="00A4154D">
        <w:t>dravotní a sociální péč</w:t>
      </w:r>
      <w:r>
        <w:t>i (o 8,5 tis.) a o a</w:t>
      </w:r>
      <w:r w:rsidRPr="00A4154D">
        <w:t>dministrativní a podpůrné činnosti (8,5 tis.</w:t>
      </w:r>
      <w:r w:rsidR="007359FC">
        <w:t>). V posledním jmenovaném jde o </w:t>
      </w:r>
      <w:r w:rsidRPr="00A4154D">
        <w:t>relativní zvýšení o 4,9 % na 181,2 tis. Do této sekce spadají také agenturní zaměstnanci, přičemž tato skupina nej</w:t>
      </w:r>
      <w:r>
        <w:t>citlivě</w:t>
      </w:r>
      <w:r w:rsidRPr="00A4154D">
        <w:t xml:space="preserve">ji reaguje na ekonomické výkyvy, a je tedy dobrým barometrem změn na trhu práce. V 1. </w:t>
      </w:r>
      <w:r w:rsidR="007359FC" w:rsidRPr="00492A75">
        <w:t>–</w:t>
      </w:r>
      <w:r w:rsidRPr="00A4154D">
        <w:t xml:space="preserve"> 3. čtvrtletí 2022 zde zaměstnanců ubývalo.</w:t>
      </w:r>
    </w:p>
    <w:p w:rsidR="002E371E" w:rsidRPr="00A4154D" w:rsidRDefault="00A4154D" w:rsidP="00EA0046">
      <w:r w:rsidRPr="00A4154D">
        <w:t xml:space="preserve">Vůbec </w:t>
      </w:r>
      <w:r w:rsidR="0042238D" w:rsidRPr="00A4154D">
        <w:t>nejvýznamnější</w:t>
      </w:r>
      <w:r w:rsidR="001726A5" w:rsidRPr="00A4154D">
        <w:t xml:space="preserve"> </w:t>
      </w:r>
      <w:r w:rsidRPr="00A4154D">
        <w:t xml:space="preserve">relativní </w:t>
      </w:r>
      <w:r w:rsidR="001726A5" w:rsidRPr="00A4154D">
        <w:t>nárůst</w:t>
      </w:r>
      <w:r w:rsidR="0042238D" w:rsidRPr="00A4154D">
        <w:t xml:space="preserve"> </w:t>
      </w:r>
      <w:r w:rsidR="001D0BC3" w:rsidRPr="00A4154D">
        <w:t>(o </w:t>
      </w:r>
      <w:r w:rsidRPr="00A4154D">
        <w:t>6,3</w:t>
      </w:r>
      <w:r w:rsidR="00EA0046" w:rsidRPr="00A4154D">
        <w:t> </w:t>
      </w:r>
      <w:r w:rsidR="001D0BC3" w:rsidRPr="00A4154D">
        <w:t xml:space="preserve">%) </w:t>
      </w:r>
      <w:r w:rsidR="003517C4" w:rsidRPr="00A4154D">
        <w:t>najdeme</w:t>
      </w:r>
      <w:r w:rsidR="00EA0046" w:rsidRPr="00A4154D">
        <w:t xml:space="preserve"> v odvětví činnosti v ob</w:t>
      </w:r>
      <w:r w:rsidRPr="00A4154D">
        <w:t>lasti nemovitostí, kde přibylo 2,8</w:t>
      </w:r>
      <w:r w:rsidR="00EA0046" w:rsidRPr="00A4154D">
        <w:t xml:space="preserve"> tis. pracovních míst na celkový počet 4</w:t>
      </w:r>
      <w:r w:rsidR="00411F83" w:rsidRPr="00A4154D">
        <w:t>7</w:t>
      </w:r>
      <w:r w:rsidR="00EA0046" w:rsidRPr="00A4154D">
        <w:t>,</w:t>
      </w:r>
      <w:r w:rsidRPr="00A4154D">
        <w:t>6</w:t>
      </w:r>
      <w:r w:rsidR="00EA0046" w:rsidRPr="00A4154D">
        <w:t xml:space="preserve"> tis. Toto odvětví přesto zůstává v počtech </w:t>
      </w:r>
      <w:r w:rsidR="007C7F72" w:rsidRPr="00A4154D">
        <w:t>čtvrté</w:t>
      </w:r>
      <w:r>
        <w:t xml:space="preserve"> nejmenší.</w:t>
      </w:r>
    </w:p>
    <w:p w:rsidR="00174A8F" w:rsidRPr="00A4154D" w:rsidRDefault="00A4154D" w:rsidP="00174A8F">
      <w:r>
        <w:t xml:space="preserve">V profesních, </w:t>
      </w:r>
      <w:r w:rsidRPr="00A4154D">
        <w:t>vědeck</w:t>
      </w:r>
      <w:r>
        <w:t>ých a technických činnostech byl nárůst o 2,0 %, resp. 3,5 </w:t>
      </w:r>
      <w:r w:rsidR="00574761">
        <w:t xml:space="preserve">tis. </w:t>
      </w:r>
      <w:r w:rsidRPr="00A4154D">
        <w:t>Zaznamenáníhodný</w:t>
      </w:r>
      <w:r w:rsidR="00174A8F" w:rsidRPr="00A4154D">
        <w:t xml:space="preserve"> byl </w:t>
      </w:r>
      <w:r w:rsidRPr="00A4154D">
        <w:t xml:space="preserve">ještě </w:t>
      </w:r>
      <w:r w:rsidR="00174A8F" w:rsidRPr="00A4154D">
        <w:t>nárůst ve stavebnictví o </w:t>
      </w:r>
      <w:r w:rsidRPr="00A4154D">
        <w:t>1,4</w:t>
      </w:r>
      <w:r w:rsidR="00174A8F" w:rsidRPr="00A4154D">
        <w:t> %, neboť to bylo absolutně o </w:t>
      </w:r>
      <w:r w:rsidRPr="00A4154D">
        <w:t>3,0</w:t>
      </w:r>
      <w:r w:rsidR="00174A8F" w:rsidRPr="00A4154D">
        <w:t> tis.</w:t>
      </w:r>
      <w:r w:rsidR="00574761">
        <w:t xml:space="preserve"> V dlouhodobě posilujících i</w:t>
      </w:r>
      <w:r w:rsidR="00574761" w:rsidRPr="00574761">
        <w:t>nformační</w:t>
      </w:r>
      <w:r w:rsidR="00574761">
        <w:t>ch</w:t>
      </w:r>
      <w:r w:rsidR="00574761" w:rsidRPr="00574761">
        <w:t xml:space="preserve"> a komunikační</w:t>
      </w:r>
      <w:r w:rsidR="00574761">
        <w:t>ch činnostech přibylo jedno procento (1,3 tis.).</w:t>
      </w:r>
    </w:p>
    <w:p w:rsidR="00574761" w:rsidRDefault="00574761" w:rsidP="00731F58">
      <w:pPr>
        <w:pStyle w:val="Nadpis1"/>
      </w:pPr>
    </w:p>
    <w:p w:rsidR="00731F58" w:rsidRPr="009F1F02" w:rsidRDefault="00731F58" w:rsidP="00731F58">
      <w:pPr>
        <w:pStyle w:val="Nadpis1"/>
      </w:pPr>
      <w:r w:rsidRPr="009F1F02">
        <w:t>Průměrné měsíční hrubé mzdy</w:t>
      </w:r>
    </w:p>
    <w:p w:rsidR="002516F2" w:rsidRPr="00312947" w:rsidRDefault="00731F58" w:rsidP="002516F2">
      <w:pPr>
        <w:rPr>
          <w:color w:val="C45911" w:themeColor="accent2" w:themeShade="BF"/>
          <w:szCs w:val="20"/>
        </w:rPr>
      </w:pPr>
      <w:r w:rsidRPr="00FA01FD">
        <w:rPr>
          <w:noProof/>
          <w:szCs w:val="20"/>
          <w:lang w:eastAsia="cs-CZ"/>
        </w:rPr>
        <w:t>Průměrná mzda (</w:t>
      </w:r>
      <w:r w:rsidR="00087136" w:rsidRPr="00FA01FD">
        <w:rPr>
          <w:noProof/>
          <w:szCs w:val="20"/>
          <w:lang w:eastAsia="cs-CZ"/>
        </w:rPr>
        <w:t>4</w:t>
      </w:r>
      <w:r w:rsidR="00FA01FD" w:rsidRPr="00FA01FD">
        <w:rPr>
          <w:noProof/>
          <w:szCs w:val="20"/>
          <w:lang w:eastAsia="cs-CZ"/>
        </w:rPr>
        <w:t>3</w:t>
      </w:r>
      <w:r w:rsidR="00087136" w:rsidRPr="00FA01FD">
        <w:rPr>
          <w:noProof/>
          <w:szCs w:val="20"/>
          <w:lang w:eastAsia="cs-CZ"/>
        </w:rPr>
        <w:t> </w:t>
      </w:r>
      <w:r w:rsidR="00FA01FD" w:rsidRPr="00FA01FD">
        <w:rPr>
          <w:noProof/>
          <w:szCs w:val="20"/>
          <w:lang w:eastAsia="cs-CZ"/>
        </w:rPr>
        <w:t>19</w:t>
      </w:r>
      <w:r w:rsidR="00FB581B">
        <w:rPr>
          <w:noProof/>
          <w:szCs w:val="20"/>
          <w:lang w:eastAsia="cs-CZ"/>
        </w:rPr>
        <w:t>3</w:t>
      </w:r>
      <w:r w:rsidR="00087136" w:rsidRPr="00FA01FD">
        <w:rPr>
          <w:noProof/>
          <w:szCs w:val="20"/>
          <w:lang w:eastAsia="cs-CZ"/>
        </w:rPr>
        <w:t> </w:t>
      </w:r>
      <w:r w:rsidRPr="00FA01FD">
        <w:rPr>
          <w:noProof/>
          <w:szCs w:val="20"/>
          <w:lang w:eastAsia="cs-CZ"/>
        </w:rPr>
        <w:t xml:space="preserve">Kč) </w:t>
      </w:r>
      <w:r w:rsidR="00FB581B">
        <w:rPr>
          <w:noProof/>
          <w:szCs w:val="20"/>
          <w:lang w:eastAsia="cs-CZ"/>
        </w:rPr>
        <w:t>za </w:t>
      </w:r>
      <w:r w:rsidR="00487512" w:rsidRPr="00FA01FD">
        <w:rPr>
          <w:noProof/>
          <w:szCs w:val="20"/>
          <w:lang w:eastAsia="cs-CZ"/>
        </w:rPr>
        <w:t>2</w:t>
      </w:r>
      <w:r w:rsidR="00487512">
        <w:rPr>
          <w:noProof/>
          <w:szCs w:val="20"/>
          <w:lang w:eastAsia="cs-CZ"/>
        </w:rPr>
        <w:t>. čtvrtletí </w:t>
      </w:r>
      <w:r w:rsidR="00487512" w:rsidRPr="00FA01FD">
        <w:rPr>
          <w:noProof/>
          <w:szCs w:val="20"/>
          <w:lang w:eastAsia="cs-CZ"/>
        </w:rPr>
        <w:t xml:space="preserve">2023 </w:t>
      </w:r>
      <w:r w:rsidRPr="00FA01FD">
        <w:rPr>
          <w:noProof/>
          <w:szCs w:val="20"/>
          <w:lang w:eastAsia="cs-CZ"/>
        </w:rPr>
        <w:t>vzrostla no</w:t>
      </w:r>
      <w:r w:rsidR="005B5924" w:rsidRPr="00FA01FD">
        <w:rPr>
          <w:noProof/>
          <w:szCs w:val="20"/>
          <w:lang w:eastAsia="cs-CZ"/>
        </w:rPr>
        <w:t xml:space="preserve">minálně ke stejnému období předchozího </w:t>
      </w:r>
      <w:r w:rsidR="005B5924" w:rsidRPr="00574761">
        <w:rPr>
          <w:noProof/>
          <w:szCs w:val="20"/>
          <w:lang w:eastAsia="cs-CZ"/>
        </w:rPr>
        <w:t>roku</w:t>
      </w:r>
      <w:r w:rsidRPr="00574761">
        <w:rPr>
          <w:noProof/>
          <w:szCs w:val="20"/>
          <w:lang w:eastAsia="cs-CZ"/>
        </w:rPr>
        <w:t xml:space="preserve"> o</w:t>
      </w:r>
      <w:r w:rsidR="00544100" w:rsidRPr="00574761">
        <w:rPr>
          <w:noProof/>
          <w:szCs w:val="20"/>
          <w:lang w:eastAsia="cs-CZ"/>
        </w:rPr>
        <w:t> </w:t>
      </w:r>
      <w:r w:rsidR="00E609BE" w:rsidRPr="00574761">
        <w:rPr>
          <w:noProof/>
          <w:szCs w:val="20"/>
          <w:lang w:eastAsia="cs-CZ"/>
        </w:rPr>
        <w:t>3 </w:t>
      </w:r>
      <w:r w:rsidR="00FA01FD" w:rsidRPr="00574761">
        <w:rPr>
          <w:noProof/>
          <w:szCs w:val="20"/>
          <w:lang w:eastAsia="cs-CZ"/>
        </w:rPr>
        <w:t>10</w:t>
      </w:r>
      <w:r w:rsidR="00574761" w:rsidRPr="00574761">
        <w:rPr>
          <w:noProof/>
          <w:szCs w:val="20"/>
          <w:lang w:eastAsia="cs-CZ"/>
        </w:rPr>
        <w:t>1</w:t>
      </w:r>
      <w:r w:rsidR="00FC1C67" w:rsidRPr="00574761">
        <w:rPr>
          <w:noProof/>
          <w:szCs w:val="20"/>
          <w:lang w:eastAsia="cs-CZ"/>
        </w:rPr>
        <w:t> Kč, tedy o</w:t>
      </w:r>
      <w:r w:rsidRPr="00574761">
        <w:rPr>
          <w:noProof/>
          <w:szCs w:val="20"/>
          <w:lang w:eastAsia="cs-CZ"/>
        </w:rPr>
        <w:t> </w:t>
      </w:r>
      <w:r w:rsidR="00FA01FD" w:rsidRPr="00574761">
        <w:rPr>
          <w:noProof/>
          <w:szCs w:val="20"/>
          <w:lang w:eastAsia="cs-CZ"/>
        </w:rPr>
        <w:t>7,7</w:t>
      </w:r>
      <w:r w:rsidR="00514275" w:rsidRPr="00574761">
        <w:rPr>
          <w:noProof/>
          <w:szCs w:val="20"/>
          <w:lang w:eastAsia="cs-CZ"/>
        </w:rPr>
        <w:t> %.</w:t>
      </w:r>
      <w:r w:rsidR="00573F6B" w:rsidRPr="00574761">
        <w:rPr>
          <w:szCs w:val="20"/>
        </w:rPr>
        <w:t xml:space="preserve"> </w:t>
      </w:r>
      <w:r w:rsidR="00FA073B" w:rsidRPr="00574761">
        <w:rPr>
          <w:szCs w:val="20"/>
        </w:rPr>
        <w:t xml:space="preserve">Jde </w:t>
      </w:r>
      <w:r w:rsidR="00E548FE" w:rsidRPr="00FA01FD">
        <w:rPr>
          <w:szCs w:val="20"/>
        </w:rPr>
        <w:t>při</w:t>
      </w:r>
      <w:r w:rsidR="00FA073B" w:rsidRPr="00FA01FD">
        <w:rPr>
          <w:szCs w:val="20"/>
        </w:rPr>
        <w:t>tom</w:t>
      </w:r>
      <w:r w:rsidR="00A04D70" w:rsidRPr="00FA01FD">
        <w:rPr>
          <w:szCs w:val="20"/>
        </w:rPr>
        <w:t xml:space="preserve"> </w:t>
      </w:r>
      <w:r w:rsidR="00573F6B" w:rsidRPr="00FA01FD">
        <w:rPr>
          <w:szCs w:val="20"/>
        </w:rPr>
        <w:t>o zprůměrování velmi různorodého vývoje na úrovni jednotlivých oborů, podniků či organizací.</w:t>
      </w:r>
    </w:p>
    <w:p w:rsidR="00CE683C" w:rsidRDefault="002516F2" w:rsidP="007F5985">
      <w:pPr>
        <w:rPr>
          <w:noProof/>
          <w:lang w:eastAsia="cs-CZ"/>
        </w:rPr>
      </w:pPr>
      <w:r w:rsidRPr="00FA01FD">
        <w:rPr>
          <w:noProof/>
          <w:lang w:eastAsia="cs-CZ"/>
        </w:rPr>
        <w:t xml:space="preserve">V reálném vyjádření </w:t>
      </w:r>
      <w:r w:rsidR="007A4923" w:rsidRPr="00FA01FD">
        <w:rPr>
          <w:noProof/>
          <w:lang w:eastAsia="cs-CZ"/>
        </w:rPr>
        <w:t>šlo o</w:t>
      </w:r>
      <w:r w:rsidR="00445A1A" w:rsidRPr="00FA01FD">
        <w:rPr>
          <w:noProof/>
          <w:lang w:eastAsia="cs-CZ"/>
        </w:rPr>
        <w:t> </w:t>
      </w:r>
      <w:r w:rsidR="00963388" w:rsidRPr="00FA01FD">
        <w:rPr>
          <w:noProof/>
          <w:lang w:eastAsia="cs-CZ"/>
        </w:rPr>
        <w:t xml:space="preserve">mzdový </w:t>
      </w:r>
      <w:r w:rsidR="007A4923" w:rsidRPr="00FA01FD">
        <w:rPr>
          <w:noProof/>
          <w:lang w:eastAsia="cs-CZ"/>
        </w:rPr>
        <w:t>pokles</w:t>
      </w:r>
      <w:r w:rsidR="00FB581B">
        <w:rPr>
          <w:noProof/>
          <w:lang w:eastAsia="cs-CZ"/>
        </w:rPr>
        <w:t xml:space="preserve"> o </w:t>
      </w:r>
      <w:r w:rsidR="00FA01FD">
        <w:rPr>
          <w:noProof/>
          <w:lang w:eastAsia="cs-CZ"/>
        </w:rPr>
        <w:t>3,1</w:t>
      </w:r>
      <w:r w:rsidR="0016750F" w:rsidRPr="00FA01FD">
        <w:rPr>
          <w:noProof/>
          <w:lang w:eastAsia="cs-CZ"/>
        </w:rPr>
        <w:t> %</w:t>
      </w:r>
      <w:r w:rsidR="00087136" w:rsidRPr="00FA01FD">
        <w:rPr>
          <w:noProof/>
          <w:lang w:eastAsia="cs-CZ"/>
        </w:rPr>
        <w:t>,</w:t>
      </w:r>
      <w:r w:rsidR="00D05CCB" w:rsidRPr="00FA01FD">
        <w:rPr>
          <w:noProof/>
          <w:lang w:eastAsia="cs-CZ"/>
        </w:rPr>
        <w:t xml:space="preserve"> </w:t>
      </w:r>
      <w:r w:rsidR="00087136" w:rsidRPr="00FA01FD">
        <w:rPr>
          <w:noProof/>
          <w:lang w:eastAsia="cs-CZ"/>
        </w:rPr>
        <w:t>z</w:t>
      </w:r>
      <w:r w:rsidR="007A4923" w:rsidRPr="00FA01FD">
        <w:rPr>
          <w:noProof/>
          <w:lang w:eastAsia="cs-CZ"/>
        </w:rPr>
        <w:t>am</w:t>
      </w:r>
      <w:r w:rsidR="0016750F" w:rsidRPr="00FA01FD">
        <w:rPr>
          <w:noProof/>
          <w:lang w:eastAsia="cs-CZ"/>
        </w:rPr>
        <w:t>ěstnan</w:t>
      </w:r>
      <w:r w:rsidR="007A4923" w:rsidRPr="00FA01FD">
        <w:rPr>
          <w:noProof/>
          <w:lang w:eastAsia="cs-CZ"/>
        </w:rPr>
        <w:t>ci si tedy moh</w:t>
      </w:r>
      <w:r w:rsidR="00BD1ED8" w:rsidRPr="00FA01FD">
        <w:rPr>
          <w:noProof/>
          <w:lang w:eastAsia="cs-CZ"/>
        </w:rPr>
        <w:t>l</w:t>
      </w:r>
      <w:r w:rsidR="00747301" w:rsidRPr="00FA01FD">
        <w:rPr>
          <w:noProof/>
          <w:lang w:eastAsia="cs-CZ"/>
        </w:rPr>
        <w:t>i</w:t>
      </w:r>
      <w:r w:rsidR="007A4923" w:rsidRPr="00FA01FD">
        <w:rPr>
          <w:noProof/>
          <w:lang w:eastAsia="cs-CZ"/>
        </w:rPr>
        <w:t xml:space="preserve"> koupit za průměrnou mzdu</w:t>
      </w:r>
      <w:r w:rsidR="00445A1A" w:rsidRPr="00FA01FD">
        <w:rPr>
          <w:noProof/>
          <w:lang w:eastAsia="cs-CZ"/>
        </w:rPr>
        <w:t xml:space="preserve"> </w:t>
      </w:r>
      <w:r w:rsidR="007A4923" w:rsidRPr="00FA01FD">
        <w:rPr>
          <w:noProof/>
          <w:lang w:eastAsia="cs-CZ"/>
        </w:rPr>
        <w:t>mén</w:t>
      </w:r>
      <w:r w:rsidR="00445A1A" w:rsidRPr="00FA01FD">
        <w:rPr>
          <w:noProof/>
          <w:lang w:eastAsia="cs-CZ"/>
        </w:rPr>
        <w:t xml:space="preserve">ě zboží či služeb než před rokem. </w:t>
      </w:r>
      <w:r w:rsidR="00FA01FD">
        <w:rPr>
          <w:noProof/>
          <w:lang w:eastAsia="cs-CZ"/>
        </w:rPr>
        <w:t xml:space="preserve">Meziroční poklesy </w:t>
      </w:r>
      <w:r w:rsidR="00FB581B">
        <w:rPr>
          <w:noProof/>
          <w:lang w:eastAsia="cs-CZ"/>
        </w:rPr>
        <w:t xml:space="preserve">se </w:t>
      </w:r>
      <w:r w:rsidR="00FA01FD">
        <w:rPr>
          <w:noProof/>
          <w:lang w:eastAsia="cs-CZ"/>
        </w:rPr>
        <w:t xml:space="preserve">však zmírňují a </w:t>
      </w:r>
      <w:r w:rsidR="00CE683C">
        <w:rPr>
          <w:noProof/>
          <w:lang w:eastAsia="cs-CZ"/>
        </w:rPr>
        <w:t xml:space="preserve">za </w:t>
      </w:r>
      <w:r w:rsidR="00FA01FD">
        <w:rPr>
          <w:noProof/>
          <w:lang w:eastAsia="cs-CZ"/>
        </w:rPr>
        <w:t xml:space="preserve">samotný letošní rok by </w:t>
      </w:r>
      <w:r w:rsidR="00FA01FD" w:rsidRPr="004C24B3">
        <w:rPr>
          <w:noProof/>
          <w:lang w:eastAsia="cs-CZ"/>
        </w:rPr>
        <w:t xml:space="preserve">již mzdy reálně neklesaly, příčina tkví v loňské základně. </w:t>
      </w:r>
      <w:r w:rsidR="00B21CE4" w:rsidRPr="004C24B3">
        <w:rPr>
          <w:noProof/>
          <w:lang w:eastAsia="cs-CZ"/>
        </w:rPr>
        <w:t>R</w:t>
      </w:r>
      <w:r w:rsidR="00573F6B" w:rsidRPr="004C24B3">
        <w:rPr>
          <w:noProof/>
          <w:lang w:eastAsia="cs-CZ"/>
        </w:rPr>
        <w:t xml:space="preserve">eálný </w:t>
      </w:r>
      <w:r w:rsidR="00060E79" w:rsidRPr="004C24B3">
        <w:rPr>
          <w:noProof/>
          <w:lang w:eastAsia="cs-CZ"/>
        </w:rPr>
        <w:t xml:space="preserve">mzdový </w:t>
      </w:r>
      <w:r w:rsidR="00B21CE4" w:rsidRPr="004C24B3">
        <w:rPr>
          <w:noProof/>
          <w:lang w:eastAsia="cs-CZ"/>
        </w:rPr>
        <w:t>růst</w:t>
      </w:r>
      <w:r w:rsidR="00E32403" w:rsidRPr="004C24B3">
        <w:rPr>
          <w:noProof/>
          <w:lang w:eastAsia="cs-CZ"/>
        </w:rPr>
        <w:t xml:space="preserve"> se odvíjí </w:t>
      </w:r>
      <w:r w:rsidR="00F00C7B">
        <w:rPr>
          <w:noProof/>
          <w:lang w:eastAsia="cs-CZ"/>
        </w:rPr>
        <w:t xml:space="preserve">předevěším </w:t>
      </w:r>
      <w:r w:rsidR="00E32403" w:rsidRPr="004C24B3">
        <w:rPr>
          <w:noProof/>
          <w:lang w:eastAsia="cs-CZ"/>
        </w:rPr>
        <w:t xml:space="preserve">od inflace </w:t>
      </w:r>
      <w:r w:rsidR="00E32403" w:rsidRPr="00CE683C">
        <w:rPr>
          <w:noProof/>
          <w:lang w:eastAsia="cs-CZ"/>
        </w:rPr>
        <w:t>neboli růstu spotřebitelských cen</w:t>
      </w:r>
      <w:r w:rsidR="00BC4831" w:rsidRPr="00CE683C">
        <w:rPr>
          <w:noProof/>
          <w:lang w:eastAsia="cs-CZ"/>
        </w:rPr>
        <w:t xml:space="preserve">. Ten </w:t>
      </w:r>
      <w:r w:rsidR="007A4923" w:rsidRPr="00CE683C">
        <w:rPr>
          <w:noProof/>
          <w:lang w:eastAsia="cs-CZ"/>
        </w:rPr>
        <w:t>v</w:t>
      </w:r>
      <w:r w:rsidR="00FA073B" w:rsidRPr="00CE683C">
        <w:rPr>
          <w:noProof/>
          <w:lang w:eastAsia="cs-CZ"/>
        </w:rPr>
        <w:t xml:space="preserve"> letošním</w:t>
      </w:r>
      <w:r w:rsidR="007A4923" w:rsidRPr="00CE683C">
        <w:rPr>
          <w:noProof/>
          <w:lang w:eastAsia="cs-CZ"/>
        </w:rPr>
        <w:t xml:space="preserve"> </w:t>
      </w:r>
      <w:r w:rsidR="004C24B3" w:rsidRPr="00CE683C">
        <w:rPr>
          <w:noProof/>
          <w:lang w:eastAsia="cs-CZ"/>
        </w:rPr>
        <w:t>2</w:t>
      </w:r>
      <w:r w:rsidR="00FA073B" w:rsidRPr="00CE683C">
        <w:rPr>
          <w:noProof/>
          <w:szCs w:val="20"/>
          <w:lang w:eastAsia="cs-CZ"/>
        </w:rPr>
        <w:t xml:space="preserve">. čtvrtletí </w:t>
      </w:r>
      <w:r w:rsidR="00087136" w:rsidRPr="00CE683C">
        <w:rPr>
          <w:noProof/>
          <w:szCs w:val="20"/>
          <w:lang w:eastAsia="cs-CZ"/>
        </w:rPr>
        <w:t>dosáhl</w:t>
      </w:r>
      <w:r w:rsidR="00BC4831" w:rsidRPr="00CE683C">
        <w:rPr>
          <w:noProof/>
          <w:lang w:eastAsia="cs-CZ"/>
        </w:rPr>
        <w:t xml:space="preserve"> </w:t>
      </w:r>
      <w:r w:rsidR="004C24B3" w:rsidRPr="00CE683C">
        <w:rPr>
          <w:noProof/>
          <w:lang w:eastAsia="cs-CZ"/>
        </w:rPr>
        <w:t>11,1</w:t>
      </w:r>
      <w:r w:rsidR="00CA4732" w:rsidRPr="00CE683C">
        <w:rPr>
          <w:noProof/>
          <w:lang w:eastAsia="cs-CZ"/>
        </w:rPr>
        <w:t> </w:t>
      </w:r>
      <w:r w:rsidR="0040769C" w:rsidRPr="00CE683C">
        <w:rPr>
          <w:noProof/>
          <w:lang w:eastAsia="cs-CZ"/>
        </w:rPr>
        <w:t>%</w:t>
      </w:r>
      <w:r w:rsidR="00087136" w:rsidRPr="00CE683C">
        <w:rPr>
          <w:noProof/>
          <w:lang w:eastAsia="cs-CZ"/>
        </w:rPr>
        <w:t>, což byla</w:t>
      </w:r>
      <w:r w:rsidR="00D05CCB" w:rsidRPr="00CE683C">
        <w:rPr>
          <w:noProof/>
          <w:lang w:eastAsia="cs-CZ"/>
        </w:rPr>
        <w:t xml:space="preserve"> </w:t>
      </w:r>
      <w:r w:rsidR="00F00C7B">
        <w:rPr>
          <w:noProof/>
          <w:lang w:eastAsia="cs-CZ"/>
        </w:rPr>
        <w:t xml:space="preserve">značně vysoká </w:t>
      </w:r>
      <w:r w:rsidR="00F00C7B" w:rsidRPr="00CE683C">
        <w:rPr>
          <w:noProof/>
          <w:lang w:eastAsia="cs-CZ"/>
        </w:rPr>
        <w:t>hodnota</w:t>
      </w:r>
      <w:r w:rsidR="00F00C7B">
        <w:rPr>
          <w:noProof/>
          <w:lang w:eastAsia="cs-CZ"/>
        </w:rPr>
        <w:t>, ovšem</w:t>
      </w:r>
      <w:r w:rsidR="00F00C7B" w:rsidRPr="00CE683C">
        <w:rPr>
          <w:noProof/>
          <w:lang w:eastAsia="cs-CZ"/>
        </w:rPr>
        <w:t xml:space="preserve"> </w:t>
      </w:r>
      <w:r w:rsidR="004C24B3" w:rsidRPr="00CE683C">
        <w:rPr>
          <w:noProof/>
          <w:lang w:eastAsia="cs-CZ"/>
        </w:rPr>
        <w:t xml:space="preserve">nejnižší od </w:t>
      </w:r>
      <w:r w:rsidR="00064EA4">
        <w:rPr>
          <w:noProof/>
          <w:lang w:eastAsia="cs-CZ"/>
        </w:rPr>
        <w:t>1</w:t>
      </w:r>
      <w:r w:rsidR="004C24B3" w:rsidRPr="00CE683C">
        <w:rPr>
          <w:noProof/>
          <w:lang w:eastAsia="cs-CZ"/>
        </w:rPr>
        <w:t>. čtvrtletí 202</w:t>
      </w:r>
      <w:r w:rsidR="00064EA4">
        <w:rPr>
          <w:noProof/>
          <w:lang w:eastAsia="cs-CZ"/>
        </w:rPr>
        <w:t>2</w:t>
      </w:r>
      <w:r w:rsidR="00CE683C">
        <w:rPr>
          <w:noProof/>
          <w:lang w:eastAsia="cs-CZ"/>
        </w:rPr>
        <w:t>.</w:t>
      </w:r>
    </w:p>
    <w:p w:rsidR="00CA4732" w:rsidRPr="00CE683C" w:rsidRDefault="00A300AA" w:rsidP="007F5985">
      <w:pPr>
        <w:rPr>
          <w:noProof/>
          <w:lang w:eastAsia="cs-CZ"/>
        </w:rPr>
      </w:pPr>
      <w:r w:rsidRPr="00CE683C">
        <w:rPr>
          <w:noProof/>
          <w:lang w:eastAsia="cs-CZ"/>
        </w:rPr>
        <w:t xml:space="preserve">Pro </w:t>
      </w:r>
      <w:r w:rsidR="003D5EB8" w:rsidRPr="00CE683C">
        <w:rPr>
          <w:noProof/>
          <w:lang w:eastAsia="cs-CZ"/>
        </w:rPr>
        <w:t>úplnost</w:t>
      </w:r>
      <w:r w:rsidRPr="00CE683C">
        <w:rPr>
          <w:noProof/>
          <w:lang w:eastAsia="cs-CZ"/>
        </w:rPr>
        <w:t xml:space="preserve"> sumarizujme, že </w:t>
      </w:r>
      <w:r w:rsidR="00CA4732" w:rsidRPr="00CE683C">
        <w:rPr>
          <w:noProof/>
          <w:lang w:eastAsia="cs-CZ"/>
        </w:rPr>
        <w:t>v</w:t>
      </w:r>
      <w:r w:rsidR="008448FA" w:rsidRPr="00CE683C">
        <w:rPr>
          <w:noProof/>
          <w:lang w:eastAsia="cs-CZ"/>
        </w:rPr>
        <w:t> předchozím roce</w:t>
      </w:r>
      <w:r w:rsidR="00D05CCB" w:rsidRPr="00CE683C">
        <w:rPr>
          <w:noProof/>
          <w:lang w:eastAsia="cs-CZ"/>
        </w:rPr>
        <w:t xml:space="preserve"> 2022</w:t>
      </w:r>
      <w:r w:rsidR="00CE683C" w:rsidRPr="00CE683C">
        <w:rPr>
          <w:noProof/>
          <w:lang w:eastAsia="cs-CZ"/>
        </w:rPr>
        <w:t xml:space="preserve"> byla inflace 15,1 %,</w:t>
      </w:r>
      <w:r w:rsidR="00D05CCB" w:rsidRPr="00CE683C">
        <w:rPr>
          <w:noProof/>
          <w:lang w:eastAsia="cs-CZ"/>
        </w:rPr>
        <w:t xml:space="preserve"> reálná </w:t>
      </w:r>
      <w:r w:rsidR="00C42509" w:rsidRPr="00CE683C">
        <w:rPr>
          <w:noProof/>
          <w:lang w:eastAsia="cs-CZ"/>
        </w:rPr>
        <w:t xml:space="preserve">mzda </w:t>
      </w:r>
      <w:r w:rsidR="00D05CCB" w:rsidRPr="00CE683C">
        <w:rPr>
          <w:noProof/>
          <w:lang w:eastAsia="cs-CZ"/>
        </w:rPr>
        <w:t>poklesla o </w:t>
      </w:r>
      <w:r w:rsidR="008448FA" w:rsidRPr="00CE683C">
        <w:rPr>
          <w:noProof/>
          <w:lang w:eastAsia="cs-CZ"/>
        </w:rPr>
        <w:t>8</w:t>
      </w:r>
      <w:r w:rsidR="00D05CCB" w:rsidRPr="00CE683C">
        <w:rPr>
          <w:noProof/>
          <w:lang w:eastAsia="cs-CZ"/>
        </w:rPr>
        <w:t>,5 %; v </w:t>
      </w:r>
      <w:r w:rsidR="00EE2155" w:rsidRPr="00CE683C">
        <w:rPr>
          <w:noProof/>
          <w:lang w:eastAsia="cs-CZ"/>
        </w:rPr>
        <w:t>roce</w:t>
      </w:r>
      <w:r w:rsidR="00CA4732" w:rsidRPr="00CE683C">
        <w:rPr>
          <w:noProof/>
          <w:lang w:eastAsia="cs-CZ"/>
        </w:rPr>
        <w:t xml:space="preserve"> 2021 </w:t>
      </w:r>
      <w:r w:rsidR="00CE683C" w:rsidRPr="00CE683C">
        <w:rPr>
          <w:noProof/>
          <w:lang w:eastAsia="cs-CZ"/>
        </w:rPr>
        <w:t>byla inflace 3,8 % a</w:t>
      </w:r>
      <w:r w:rsidR="00747301" w:rsidRPr="00CE683C">
        <w:rPr>
          <w:noProof/>
          <w:lang w:eastAsia="cs-CZ"/>
        </w:rPr>
        <w:t xml:space="preserve"> </w:t>
      </w:r>
      <w:r w:rsidR="00CA4732" w:rsidRPr="00CE683C">
        <w:rPr>
          <w:noProof/>
          <w:lang w:eastAsia="cs-CZ"/>
        </w:rPr>
        <w:t xml:space="preserve">průměrná mzda </w:t>
      </w:r>
      <w:r w:rsidR="00CE683C" w:rsidRPr="00CE683C">
        <w:rPr>
          <w:noProof/>
          <w:lang w:eastAsia="cs-CZ"/>
        </w:rPr>
        <w:t xml:space="preserve">se </w:t>
      </w:r>
      <w:r w:rsidR="00CA4732" w:rsidRPr="00CE683C">
        <w:rPr>
          <w:noProof/>
          <w:lang w:eastAsia="cs-CZ"/>
        </w:rPr>
        <w:t xml:space="preserve">reálně </w:t>
      </w:r>
      <w:r w:rsidR="00EE2155" w:rsidRPr="00CE683C">
        <w:rPr>
          <w:noProof/>
          <w:lang w:eastAsia="cs-CZ"/>
        </w:rPr>
        <w:t>zvýši</w:t>
      </w:r>
      <w:r w:rsidR="00BA1B99" w:rsidRPr="00CE683C">
        <w:rPr>
          <w:noProof/>
          <w:lang w:eastAsia="cs-CZ"/>
        </w:rPr>
        <w:t>la o </w:t>
      </w:r>
      <w:r w:rsidR="00EE2155" w:rsidRPr="00CE683C">
        <w:rPr>
          <w:noProof/>
          <w:lang w:eastAsia="cs-CZ"/>
        </w:rPr>
        <w:t>1,</w:t>
      </w:r>
      <w:r w:rsidR="008448FA" w:rsidRPr="00CE683C">
        <w:rPr>
          <w:noProof/>
          <w:lang w:eastAsia="cs-CZ"/>
        </w:rPr>
        <w:t>9</w:t>
      </w:r>
      <w:r w:rsidR="00CA4732" w:rsidRPr="00CE683C">
        <w:rPr>
          <w:noProof/>
          <w:lang w:eastAsia="cs-CZ"/>
        </w:rPr>
        <w:t> %</w:t>
      </w:r>
      <w:r w:rsidR="00CE683C">
        <w:rPr>
          <w:noProof/>
          <w:lang w:eastAsia="cs-CZ"/>
        </w:rPr>
        <w:t>,</w:t>
      </w:r>
      <w:r w:rsidR="00EE2155" w:rsidRPr="00CE683C">
        <w:rPr>
          <w:noProof/>
          <w:lang w:eastAsia="cs-CZ"/>
        </w:rPr>
        <w:t xml:space="preserve"> v roce 2020</w:t>
      </w:r>
      <w:r w:rsidR="00CA4732" w:rsidRPr="00CE683C">
        <w:rPr>
          <w:noProof/>
          <w:lang w:eastAsia="cs-CZ"/>
        </w:rPr>
        <w:t xml:space="preserve"> </w:t>
      </w:r>
      <w:r w:rsidR="00CE683C" w:rsidRPr="00CE683C">
        <w:rPr>
          <w:noProof/>
          <w:lang w:eastAsia="cs-CZ"/>
        </w:rPr>
        <w:t>byla inflace 3,2 %</w:t>
      </w:r>
      <w:r w:rsidR="00CE683C">
        <w:rPr>
          <w:noProof/>
          <w:lang w:eastAsia="cs-CZ"/>
        </w:rPr>
        <w:t xml:space="preserve"> a mzdy reáln</w:t>
      </w:r>
      <w:r w:rsidR="00CE683C" w:rsidRPr="00CE683C">
        <w:rPr>
          <w:noProof/>
          <w:lang w:eastAsia="cs-CZ"/>
        </w:rPr>
        <w:t xml:space="preserve">ě stouply </w:t>
      </w:r>
      <w:r w:rsidR="00CA4732" w:rsidRPr="00CE683C">
        <w:rPr>
          <w:noProof/>
          <w:lang w:eastAsia="cs-CZ"/>
        </w:rPr>
        <w:t>o </w:t>
      </w:r>
      <w:r w:rsidR="008448FA" w:rsidRPr="00CE683C">
        <w:rPr>
          <w:noProof/>
          <w:lang w:eastAsia="cs-CZ"/>
        </w:rPr>
        <w:t>1,4 %</w:t>
      </w:r>
      <w:r w:rsidR="00796A3F" w:rsidRPr="00CE683C">
        <w:rPr>
          <w:noProof/>
          <w:lang w:eastAsia="cs-CZ"/>
        </w:rPr>
        <w:t>.</w:t>
      </w:r>
      <w:r w:rsidR="00CE683C">
        <w:rPr>
          <w:noProof/>
          <w:lang w:eastAsia="cs-CZ"/>
        </w:rPr>
        <w:t xml:space="preserve"> V předchozích letech konjunktury 2015</w:t>
      </w:r>
      <w:r w:rsidR="00540BE4">
        <w:rPr>
          <w:noProof/>
          <w:lang w:eastAsia="cs-CZ"/>
        </w:rPr>
        <w:t>–</w:t>
      </w:r>
      <w:r w:rsidR="00CE683C">
        <w:rPr>
          <w:noProof/>
          <w:lang w:eastAsia="cs-CZ"/>
        </w:rPr>
        <w:t>2019 byly nárůsty reálné mzdy mnohem vyšší (od 2,9 % až do 5,9 %) a inflace se držela pod třemi procenty.</w:t>
      </w:r>
    </w:p>
    <w:p w:rsidR="00574761" w:rsidRDefault="002516F2" w:rsidP="00574761">
      <w:r w:rsidRPr="00764348">
        <w:t>Mzdov</w:t>
      </w:r>
      <w:r w:rsidR="005B3EA5">
        <w:t>á dynamika</w:t>
      </w:r>
      <w:r w:rsidRPr="00764348">
        <w:t xml:space="preserve"> byl</w:t>
      </w:r>
      <w:r w:rsidR="005B3EA5">
        <w:t>a</w:t>
      </w:r>
      <w:r w:rsidR="009D6CC1" w:rsidRPr="00764348">
        <w:t xml:space="preserve"> </w:t>
      </w:r>
      <w:r w:rsidR="00F00C7B">
        <w:t xml:space="preserve">ve </w:t>
      </w:r>
      <w:r w:rsidR="00F00C7B" w:rsidRPr="00FA01FD">
        <w:rPr>
          <w:noProof/>
          <w:szCs w:val="20"/>
          <w:lang w:eastAsia="cs-CZ"/>
        </w:rPr>
        <w:t>2</w:t>
      </w:r>
      <w:r w:rsidR="00F00C7B">
        <w:rPr>
          <w:noProof/>
          <w:szCs w:val="20"/>
          <w:lang w:eastAsia="cs-CZ"/>
        </w:rPr>
        <w:t>. čtvrtletí </w:t>
      </w:r>
      <w:r w:rsidR="00F00C7B" w:rsidRPr="00FA01FD">
        <w:rPr>
          <w:noProof/>
          <w:szCs w:val="20"/>
          <w:lang w:eastAsia="cs-CZ"/>
        </w:rPr>
        <w:t xml:space="preserve">2023 </w:t>
      </w:r>
      <w:r w:rsidR="00764348" w:rsidRPr="00764348">
        <w:t xml:space="preserve">opět </w:t>
      </w:r>
      <w:r w:rsidR="008C02E8" w:rsidRPr="00764348">
        <w:t>v</w:t>
      </w:r>
      <w:r w:rsidR="00E609BE" w:rsidRPr="00764348">
        <w:t>elmi</w:t>
      </w:r>
      <w:r w:rsidR="00D45FE7" w:rsidRPr="00764348">
        <w:t xml:space="preserve"> </w:t>
      </w:r>
      <w:r w:rsidR="008C02E8" w:rsidRPr="00764348">
        <w:t>různorod</w:t>
      </w:r>
      <w:r w:rsidR="005B3EA5">
        <w:t>á</w:t>
      </w:r>
      <w:r w:rsidR="00796A3F" w:rsidRPr="00764348">
        <w:t xml:space="preserve"> podle odvětví</w:t>
      </w:r>
      <w:r w:rsidR="007B4288" w:rsidRPr="00764348">
        <w:t>.</w:t>
      </w:r>
      <w:r w:rsidR="00E27139" w:rsidRPr="00764348">
        <w:t xml:space="preserve"> </w:t>
      </w:r>
      <w:r w:rsidR="00574761" w:rsidRPr="00764348">
        <w:t>Sice byl všude nominálně kladný nárůst, avšak takřka u všech sekcí CZ-NACE se dostal pod hodnotu nárůstu spotřebitelských cen (11,1 %), takže v reálném vyjádření šlo o pokles.</w:t>
      </w:r>
      <w:r w:rsidR="00764348" w:rsidRPr="00764348">
        <w:t xml:space="preserve"> Jedinou výjimkou byla energetika </w:t>
      </w:r>
      <w:r w:rsidR="00764348">
        <w:t>(</w:t>
      </w:r>
      <w:r w:rsidR="00764348" w:rsidRPr="00764348">
        <w:t>stejně jako v 1. čtvrtletí 2023), kde nominální nárůst o 13,7 % znamenal reálný přírůstek o 2,3 %.</w:t>
      </w:r>
      <w:r w:rsidR="00764348">
        <w:t xml:space="preserve"> Ve zpracovatelském průmyslu se pak </w:t>
      </w:r>
      <w:r w:rsidR="00A07FA5">
        <w:t xml:space="preserve">meziročnímu </w:t>
      </w:r>
      <w:r w:rsidR="0075063C">
        <w:t>snížení</w:t>
      </w:r>
      <w:r w:rsidR="00764348">
        <w:t xml:space="preserve"> reálných mezd </w:t>
      </w:r>
      <w:r w:rsidR="0075063C">
        <w:t xml:space="preserve">těsně vyhnuly </w:t>
      </w:r>
      <w:r w:rsidR="00764348">
        <w:t>oddíly</w:t>
      </w:r>
      <w:r w:rsidR="0075063C">
        <w:t xml:space="preserve"> v</w:t>
      </w:r>
      <w:r w:rsidR="0075063C" w:rsidRPr="0075063C">
        <w:t>ýroba motorových vozidel</w:t>
      </w:r>
      <w:r w:rsidR="0075063C">
        <w:t xml:space="preserve"> a v</w:t>
      </w:r>
      <w:r w:rsidR="0075063C" w:rsidRPr="0075063C">
        <w:t>ýroba elektrických zařízení</w:t>
      </w:r>
      <w:r w:rsidR="00764348">
        <w:t>.</w:t>
      </w:r>
    </w:p>
    <w:p w:rsidR="00BD6A8E" w:rsidRPr="00487512" w:rsidRDefault="00BD6A8E" w:rsidP="00BD6A8E">
      <w:r w:rsidRPr="00A07FA5">
        <w:t xml:space="preserve">Nejslabší </w:t>
      </w:r>
      <w:r w:rsidRPr="00487512">
        <w:t>nominální nárůst najdeme v ostatních činnostech (2,9</w:t>
      </w:r>
      <w:r>
        <w:t xml:space="preserve"> %), kde mzdy stouply v průměru jen o </w:t>
      </w:r>
      <w:r w:rsidRPr="00487512">
        <w:t>897</w:t>
      </w:r>
      <w:r>
        <w:t> Kč</w:t>
      </w:r>
      <w:r w:rsidRPr="00487512">
        <w:t>. Na druhém nejhorším místě byly kulturní, zábavní a rekreační činnosti s nárůstem 3,8 %</w:t>
      </w:r>
      <w:r>
        <w:t xml:space="preserve">, kde se průměrná zvýšila o 1 331 Kč na </w:t>
      </w:r>
      <w:r w:rsidRPr="00487512">
        <w:t xml:space="preserve">36 600 Kč. Třetí nejhorší místo náleží vzdělávání (4,3 %), kde stoupla pouze </w:t>
      </w:r>
      <w:r>
        <w:t xml:space="preserve">o 1 707 Kč </w:t>
      </w:r>
      <w:r w:rsidRPr="00487512">
        <w:t>na 41 658 Kč. Poté následuje blok odvětví, kde pr</w:t>
      </w:r>
      <w:r>
        <w:t>ůměrná mzda vzrostla nominálně méně než o </w:t>
      </w:r>
      <w:r w:rsidRPr="00487512">
        <w:t>osm procent, viz graf 2, a osm sekcí, kde se zvýšila více.</w:t>
      </w:r>
    </w:p>
    <w:p w:rsidR="00BD6A8E" w:rsidRPr="00487512" w:rsidRDefault="00BD6A8E" w:rsidP="00BD6A8E">
      <w:r w:rsidRPr="00487512">
        <w:lastRenderedPageBreak/>
        <w:t>Desetiprocentní či vyšší nárůst</w:t>
      </w:r>
      <w:r>
        <w:t>y</w:t>
      </w:r>
      <w:r w:rsidRPr="00487512">
        <w:t xml:space="preserve"> najdeme u peněžnictví a pojišťovnictví (10,0 %), u těžby a</w:t>
      </w:r>
      <w:r>
        <w:t> </w:t>
      </w:r>
      <w:r w:rsidRPr="00487512">
        <w:t>dobývání (10,4 %) a u nemovitostí (10,6 %).</w:t>
      </w:r>
      <w:r>
        <w:t xml:space="preserve"> Ve zpracovatelském průmyslu zvyšování mezd překročilo devítiprocentní hranici (9,2 %).</w:t>
      </w:r>
    </w:p>
    <w:p w:rsidR="00764348" w:rsidRPr="00764348" w:rsidRDefault="00764348" w:rsidP="00574761"/>
    <w:p w:rsidR="00764348" w:rsidRPr="00764348" w:rsidRDefault="00764348" w:rsidP="00574761">
      <w:pPr>
        <w:rPr>
          <w:b/>
        </w:rPr>
      </w:pPr>
      <w:r w:rsidRPr="00764348">
        <w:rPr>
          <w:b/>
        </w:rPr>
        <w:t>Graf 2  Meziroční nárůsty nominálních mezd podle odvětví (sekce CZ-NACE), v %</w:t>
      </w:r>
    </w:p>
    <w:p w:rsidR="00764348" w:rsidRDefault="00764348" w:rsidP="00574761">
      <w:pPr>
        <w:rPr>
          <w:color w:val="C45911" w:themeColor="accent2" w:themeShade="BF"/>
        </w:rPr>
      </w:pPr>
      <w:r>
        <w:rPr>
          <w:noProof/>
          <w:lang w:eastAsia="cs-CZ"/>
        </w:rPr>
        <w:drawing>
          <wp:inline distT="0" distB="0" distL="0" distR="0" wp14:anchorId="69EDBC78" wp14:editId="6C037DB7">
            <wp:extent cx="5400040" cy="3352165"/>
            <wp:effectExtent l="0" t="0" r="10160" b="635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64348" w:rsidRPr="00764348" w:rsidRDefault="00764348" w:rsidP="00574761">
      <w:pPr>
        <w:rPr>
          <w:color w:val="C45911" w:themeColor="accent2" w:themeShade="BF"/>
        </w:rPr>
      </w:pPr>
    </w:p>
    <w:p w:rsidR="00574761" w:rsidRPr="0020513E" w:rsidRDefault="00574761" w:rsidP="00574761">
      <w:r w:rsidRPr="00487512">
        <w:t xml:space="preserve">Nejvyšší průměrnou mzdu najdeme </w:t>
      </w:r>
      <w:r w:rsidR="00487512" w:rsidRPr="00487512">
        <w:t xml:space="preserve">ve </w:t>
      </w:r>
      <w:r w:rsidR="00481BF6">
        <w:rPr>
          <w:noProof/>
          <w:szCs w:val="20"/>
          <w:lang w:eastAsia="cs-CZ"/>
        </w:rPr>
        <w:t>2. čtvrtletí 2023 v </w:t>
      </w:r>
      <w:r w:rsidR="00487512" w:rsidRPr="00487512">
        <w:t>peněžn</w:t>
      </w:r>
      <w:r w:rsidR="00487512" w:rsidRPr="0020513E">
        <w:t xml:space="preserve">ictví a pojišťovnictví, kde se průměrná mzda dostala na 76 664 Kč. </w:t>
      </w:r>
      <w:r w:rsidR="0020513E" w:rsidRPr="0020513E">
        <w:t>Až na druhém místě byly</w:t>
      </w:r>
      <w:r w:rsidRPr="0020513E">
        <w:t> informační a komunikační činnost</w:t>
      </w:r>
      <w:r w:rsidR="0020513E" w:rsidRPr="0020513E">
        <w:t>i s úrovní 75</w:t>
      </w:r>
      <w:r w:rsidRPr="0020513E">
        <w:t> </w:t>
      </w:r>
      <w:r w:rsidR="0020513E" w:rsidRPr="0020513E">
        <w:t>522</w:t>
      </w:r>
      <w:r w:rsidRPr="0020513E">
        <w:t> Kč; ta</w:t>
      </w:r>
      <w:r w:rsidR="0020513E" w:rsidRPr="0020513E">
        <w:t>m</w:t>
      </w:r>
      <w:r w:rsidRPr="0020513E">
        <w:t xml:space="preserve"> vzrostl</w:t>
      </w:r>
      <w:r w:rsidR="0020513E" w:rsidRPr="0020513E">
        <w:t>y</w:t>
      </w:r>
      <w:r w:rsidRPr="0020513E">
        <w:t xml:space="preserve"> </w:t>
      </w:r>
      <w:r w:rsidR="0020513E" w:rsidRPr="0020513E">
        <w:t xml:space="preserve">mzdy </w:t>
      </w:r>
      <w:r w:rsidRPr="0020513E">
        <w:t xml:space="preserve">meziročně o </w:t>
      </w:r>
      <w:r w:rsidR="0020513E" w:rsidRPr="0020513E">
        <w:t>7</w:t>
      </w:r>
      <w:r w:rsidRPr="0020513E">
        <w:t>,5 %</w:t>
      </w:r>
      <w:r w:rsidR="0020513E" w:rsidRPr="0020513E">
        <w:t>.</w:t>
      </w:r>
      <w:r w:rsidRPr="0020513E">
        <w:t xml:space="preserve"> Třetí příčku pak s odstupem drží </w:t>
      </w:r>
      <w:r w:rsidR="0020513E">
        <w:t xml:space="preserve">již zmiňovaná </w:t>
      </w:r>
      <w:r w:rsidRPr="0020513E">
        <w:t>výroba a rozvod elektřiny, plynu, tepla a klimatizovaného vzduchu s</w:t>
      </w:r>
      <w:r w:rsidR="0020513E" w:rsidRPr="0020513E">
        <w:t> 62 995</w:t>
      </w:r>
      <w:r w:rsidRPr="0020513E">
        <w:t> Kč.</w:t>
      </w:r>
    </w:p>
    <w:p w:rsidR="00574761" w:rsidRPr="0020513E" w:rsidRDefault="00574761" w:rsidP="00574761">
      <w:r w:rsidRPr="0020513E">
        <w:t>Tradiční bylo pořadí z opačné strany. V ubytování, stravování a pohostinství vzrostla průměrná mzda o </w:t>
      </w:r>
      <w:r w:rsidR="0020513E" w:rsidRPr="0020513E">
        <w:t>8,8</w:t>
      </w:r>
      <w:r w:rsidRPr="0020513E">
        <w:t> %, ale stále zůstává na nejnižší úrovni (2</w:t>
      </w:r>
      <w:r w:rsidR="0020513E" w:rsidRPr="0020513E">
        <w:t>5</w:t>
      </w:r>
      <w:r w:rsidRPr="0020513E">
        <w:t> </w:t>
      </w:r>
      <w:r w:rsidR="0020513E" w:rsidRPr="0020513E">
        <w:t>498</w:t>
      </w:r>
      <w:r w:rsidRPr="0020513E">
        <w:t xml:space="preserve"> Kč) ze všech odvětví. Druhá nejnižší průměrná m</w:t>
      </w:r>
      <w:r w:rsidR="00481BF6">
        <w:t>zda byla v administrativních a </w:t>
      </w:r>
      <w:r w:rsidRPr="0020513E">
        <w:t>podpůrných činnostech, kde vzrostla o 6,</w:t>
      </w:r>
      <w:r w:rsidR="0020513E" w:rsidRPr="0020513E">
        <w:t>9</w:t>
      </w:r>
      <w:r w:rsidRPr="0020513E">
        <w:t> % na </w:t>
      </w:r>
      <w:r w:rsidR="0020513E" w:rsidRPr="0020513E">
        <w:t>hodnotu 30 123 </w:t>
      </w:r>
      <w:r w:rsidRPr="0020513E">
        <w:t>Kč</w:t>
      </w:r>
      <w:r w:rsidR="0020513E">
        <w:t>, a na tř</w:t>
      </w:r>
      <w:r w:rsidR="0020513E" w:rsidRPr="0020513E">
        <w:t>etím místě jsou již zmíněné ostatní činnosti</w:t>
      </w:r>
      <w:r w:rsidR="005B3EA5">
        <w:t xml:space="preserve"> s průměrnou mzdou</w:t>
      </w:r>
      <w:r w:rsidR="005B3EA5" w:rsidRPr="005B3EA5">
        <w:t xml:space="preserve"> </w:t>
      </w:r>
      <w:r w:rsidR="005B3EA5" w:rsidRPr="00487512">
        <w:t>32 008 Kč</w:t>
      </w:r>
      <w:r w:rsidR="005B3EA5">
        <w:t>.</w:t>
      </w:r>
    </w:p>
    <w:p w:rsidR="00574761" w:rsidRPr="00764348" w:rsidRDefault="00574761" w:rsidP="00574761">
      <w:pPr>
        <w:rPr>
          <w:color w:val="C45911" w:themeColor="accent2" w:themeShade="BF"/>
        </w:rPr>
      </w:pPr>
      <w:r w:rsidRPr="0020513E">
        <w:t>V obchodě (velkoobchod a maloobchod; opravy a údržba motorových vozidel) vzrostla průměrná mzda o </w:t>
      </w:r>
      <w:r w:rsidR="0020513E" w:rsidRPr="0020513E">
        <w:t>7,4 % na 40</w:t>
      </w:r>
      <w:r w:rsidRPr="0020513E">
        <w:t> </w:t>
      </w:r>
      <w:r w:rsidR="0020513E" w:rsidRPr="0020513E">
        <w:t>317</w:t>
      </w:r>
      <w:r w:rsidRPr="0020513E">
        <w:t> Kč. V</w:t>
      </w:r>
      <w:r w:rsidR="0020513E" w:rsidRPr="0020513E">
        <w:t>e zpracovatelském</w:t>
      </w:r>
      <w:r w:rsidRPr="0020513E">
        <w:t> průmysl</w:t>
      </w:r>
      <w:r w:rsidR="0020513E" w:rsidRPr="0020513E">
        <w:t>u</w:t>
      </w:r>
      <w:r w:rsidRPr="0020513E">
        <w:t xml:space="preserve"> </w:t>
      </w:r>
      <w:r w:rsidR="0020513E" w:rsidRPr="0020513E">
        <w:t>poskočily mzdy na 43 042 Kč</w:t>
      </w:r>
      <w:r w:rsidR="0020513E" w:rsidRPr="0020513E">
        <w:rPr>
          <w:smallCaps/>
        </w:rPr>
        <w:t xml:space="preserve">, </w:t>
      </w:r>
      <w:r w:rsidRPr="0020513E">
        <w:t xml:space="preserve"> </w:t>
      </w:r>
      <w:r w:rsidR="0020513E" w:rsidRPr="0020513E">
        <w:t xml:space="preserve">ve výrobě motorových vozidel se </w:t>
      </w:r>
      <w:r w:rsidRPr="0020513E">
        <w:t>dostal</w:t>
      </w:r>
      <w:r w:rsidR="0020513E" w:rsidRPr="0020513E">
        <w:t xml:space="preserve">y až na </w:t>
      </w:r>
      <w:r w:rsidRPr="0020513E">
        <w:t>5</w:t>
      </w:r>
      <w:r w:rsidR="0020513E" w:rsidRPr="0020513E">
        <w:t>6 737 Kč</w:t>
      </w:r>
      <w:r w:rsidRPr="0020513E">
        <w:t>.</w:t>
      </w:r>
      <w:r w:rsidR="0020513E">
        <w:t xml:space="preserve"> Ve zdravotní a sociální péči, kde aktuálně pracuje každý dvanáctý zaměstnanec, vzrostla průměrná mzda o 6,7 % na 46 007 Kč.</w:t>
      </w:r>
    </w:p>
    <w:p w:rsidR="00574761" w:rsidRPr="00764348" w:rsidRDefault="00574761" w:rsidP="00574761">
      <w:pPr>
        <w:rPr>
          <w:noProof/>
          <w:color w:val="C45911" w:themeColor="accent2" w:themeShade="BF"/>
          <w:lang w:eastAsia="cs-CZ"/>
        </w:rPr>
      </w:pPr>
      <w:r w:rsidRPr="00605BDC">
        <w:rPr>
          <w:noProof/>
          <w:lang w:eastAsia="cs-CZ"/>
        </w:rPr>
        <w:t xml:space="preserve">Z hlediska statistiky pracovní doby bylo </w:t>
      </w:r>
      <w:r w:rsidR="00605BDC" w:rsidRPr="00605BDC">
        <w:rPr>
          <w:noProof/>
          <w:lang w:eastAsia="cs-CZ"/>
        </w:rPr>
        <w:t>2</w:t>
      </w:r>
      <w:r w:rsidRPr="00605BDC">
        <w:rPr>
          <w:noProof/>
          <w:lang w:eastAsia="cs-CZ"/>
        </w:rPr>
        <w:t>. čtvrtletí 202</w:t>
      </w:r>
      <w:r w:rsidR="00605BDC" w:rsidRPr="00605BDC">
        <w:rPr>
          <w:noProof/>
          <w:lang w:eastAsia="cs-CZ"/>
        </w:rPr>
        <w:t>3</w:t>
      </w:r>
      <w:r w:rsidRPr="00605BDC">
        <w:rPr>
          <w:noProof/>
          <w:lang w:eastAsia="cs-CZ"/>
        </w:rPr>
        <w:t xml:space="preserve"> charakteristické vyšším počtem placených neodpracovaných hodin ve srovnání se stejným obdobím předchozího roku.</w:t>
      </w:r>
    </w:p>
    <w:p w:rsidR="00595963" w:rsidRPr="00312947" w:rsidRDefault="00595963" w:rsidP="00595963">
      <w:pPr>
        <w:rPr>
          <w:color w:val="C45911" w:themeColor="accent2" w:themeShade="BF"/>
        </w:rPr>
      </w:pPr>
    </w:p>
    <w:p w:rsidR="00B916A5" w:rsidRPr="009F1F02" w:rsidRDefault="00B916A5" w:rsidP="00B916A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rPr>
          <w:rFonts w:cs="Arial"/>
          <w:b/>
          <w:szCs w:val="20"/>
        </w:rPr>
      </w:pPr>
      <w:r w:rsidRPr="009F1F02">
        <w:rPr>
          <w:rFonts w:cs="Arial"/>
          <w:b/>
          <w:szCs w:val="20"/>
        </w:rPr>
        <w:t>Regionální vývoj</w:t>
      </w:r>
    </w:p>
    <w:p w:rsidR="00F020B0" w:rsidRPr="00F020B0" w:rsidRDefault="00526DAD" w:rsidP="007A4BE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rPr>
          <w:rFonts w:cs="Arial"/>
          <w:szCs w:val="20"/>
        </w:rPr>
      </w:pPr>
      <w:r w:rsidRPr="00F020B0">
        <w:rPr>
          <w:rFonts w:cs="Arial"/>
          <w:szCs w:val="20"/>
        </w:rPr>
        <w:t xml:space="preserve">Z pohledu </w:t>
      </w:r>
      <w:r w:rsidR="00813EDB" w:rsidRPr="00F020B0">
        <w:rPr>
          <w:rFonts w:cs="Arial"/>
          <w:szCs w:val="20"/>
        </w:rPr>
        <w:t>počt</w:t>
      </w:r>
      <w:r w:rsidRPr="00F020B0">
        <w:rPr>
          <w:rFonts w:cs="Arial"/>
          <w:szCs w:val="20"/>
        </w:rPr>
        <w:t>u</w:t>
      </w:r>
      <w:r w:rsidR="00813EDB" w:rsidRPr="00F020B0">
        <w:rPr>
          <w:rFonts w:cs="Arial"/>
          <w:szCs w:val="20"/>
        </w:rPr>
        <w:t xml:space="preserve"> zaměstnanců </w:t>
      </w:r>
      <w:r w:rsidR="00F84E8A" w:rsidRPr="00F020B0">
        <w:rPr>
          <w:rFonts w:cs="Arial"/>
          <w:szCs w:val="20"/>
        </w:rPr>
        <w:t>došlo v</w:t>
      </w:r>
      <w:r w:rsidR="004F18D1">
        <w:rPr>
          <w:rFonts w:cs="Arial"/>
          <w:szCs w:val="20"/>
        </w:rPr>
        <w:t>e</w:t>
      </w:r>
      <w:r w:rsidR="00F84E8A" w:rsidRPr="00F020B0">
        <w:rPr>
          <w:rFonts w:cs="Arial"/>
          <w:szCs w:val="20"/>
        </w:rPr>
        <w:t> </w:t>
      </w:r>
      <w:r w:rsidR="009F1F02" w:rsidRPr="00F020B0">
        <w:rPr>
          <w:rFonts w:cs="Arial"/>
          <w:szCs w:val="20"/>
        </w:rPr>
        <w:t>2</w:t>
      </w:r>
      <w:r w:rsidR="00D34B88" w:rsidRPr="00F020B0">
        <w:rPr>
          <w:rFonts w:cs="Arial"/>
          <w:szCs w:val="20"/>
        </w:rPr>
        <w:t>. </w:t>
      </w:r>
      <w:r w:rsidR="00915E31" w:rsidRPr="00F020B0">
        <w:rPr>
          <w:rFonts w:cs="Arial"/>
          <w:szCs w:val="20"/>
        </w:rPr>
        <w:t xml:space="preserve">čtvrtletí </w:t>
      </w:r>
      <w:r w:rsidR="00032252" w:rsidRPr="00F020B0">
        <w:rPr>
          <w:rFonts w:cs="Arial"/>
          <w:szCs w:val="20"/>
        </w:rPr>
        <w:t>202</w:t>
      </w:r>
      <w:r w:rsidR="00873528" w:rsidRPr="00F020B0">
        <w:rPr>
          <w:rFonts w:cs="Arial"/>
          <w:szCs w:val="20"/>
        </w:rPr>
        <w:t>3</w:t>
      </w:r>
      <w:r w:rsidR="006774B1" w:rsidRPr="00F020B0">
        <w:rPr>
          <w:rFonts w:cs="Arial"/>
          <w:szCs w:val="20"/>
        </w:rPr>
        <w:t xml:space="preserve"> </w:t>
      </w:r>
      <w:r w:rsidR="009A67A7" w:rsidRPr="00F020B0">
        <w:rPr>
          <w:rFonts w:cs="Arial"/>
          <w:szCs w:val="20"/>
        </w:rPr>
        <w:t>v</w:t>
      </w:r>
      <w:r w:rsidR="004F18D1">
        <w:rPr>
          <w:rFonts w:cs="Arial"/>
          <w:szCs w:val="20"/>
        </w:rPr>
        <w:t xml:space="preserve"> naprosté </w:t>
      </w:r>
      <w:r w:rsidR="00F020B0" w:rsidRPr="00F020B0">
        <w:rPr>
          <w:rFonts w:cs="Arial"/>
          <w:szCs w:val="20"/>
        </w:rPr>
        <w:t>většině</w:t>
      </w:r>
      <w:r w:rsidR="009A67A7" w:rsidRPr="00F020B0">
        <w:rPr>
          <w:rFonts w:cs="Arial"/>
          <w:szCs w:val="20"/>
        </w:rPr>
        <w:t> </w:t>
      </w:r>
      <w:r w:rsidR="00A61706" w:rsidRPr="00F020B0">
        <w:rPr>
          <w:rFonts w:cs="Arial"/>
          <w:szCs w:val="20"/>
        </w:rPr>
        <w:t>kraj</w:t>
      </w:r>
      <w:r w:rsidR="00F020B0" w:rsidRPr="00F020B0">
        <w:rPr>
          <w:rFonts w:cs="Arial"/>
          <w:szCs w:val="20"/>
        </w:rPr>
        <w:t>ů</w:t>
      </w:r>
      <w:r w:rsidR="00A61706" w:rsidRPr="00F020B0">
        <w:rPr>
          <w:rFonts w:cs="Arial"/>
          <w:szCs w:val="20"/>
        </w:rPr>
        <w:t xml:space="preserve"> </w:t>
      </w:r>
      <w:r w:rsidR="00915E31" w:rsidRPr="00F020B0">
        <w:rPr>
          <w:rFonts w:cs="Arial"/>
          <w:szCs w:val="20"/>
        </w:rPr>
        <w:t>k</w:t>
      </w:r>
      <w:r w:rsidR="00E75E03" w:rsidRPr="00F020B0">
        <w:rPr>
          <w:rFonts w:cs="Arial"/>
          <w:szCs w:val="20"/>
        </w:rPr>
        <w:t xml:space="preserve"> meziročnímu </w:t>
      </w:r>
      <w:r w:rsidR="00813EDB" w:rsidRPr="00F020B0">
        <w:rPr>
          <w:rFonts w:cs="Arial"/>
          <w:szCs w:val="20"/>
        </w:rPr>
        <w:t>pokles</w:t>
      </w:r>
      <w:r w:rsidR="000B3269" w:rsidRPr="00F020B0">
        <w:rPr>
          <w:rFonts w:cs="Arial"/>
          <w:szCs w:val="20"/>
        </w:rPr>
        <w:t>u</w:t>
      </w:r>
      <w:r w:rsidR="00F020B0" w:rsidRPr="00F020B0">
        <w:rPr>
          <w:rFonts w:cs="Arial"/>
          <w:szCs w:val="20"/>
        </w:rPr>
        <w:t>. Ten nejvýraznější o 1,1 % byl ve Zlínském kraji a pak o 1,0</w:t>
      </w:r>
      <w:r w:rsidR="00915E31" w:rsidRPr="00F020B0">
        <w:rPr>
          <w:rFonts w:cs="Arial"/>
          <w:szCs w:val="20"/>
        </w:rPr>
        <w:t> </w:t>
      </w:r>
      <w:r w:rsidR="00C8169C" w:rsidRPr="00F020B0">
        <w:rPr>
          <w:rFonts w:cs="Arial"/>
          <w:szCs w:val="20"/>
        </w:rPr>
        <w:t>%</w:t>
      </w:r>
      <w:r w:rsidRPr="00F020B0">
        <w:rPr>
          <w:rFonts w:cs="Arial"/>
          <w:szCs w:val="20"/>
        </w:rPr>
        <w:t xml:space="preserve"> v</w:t>
      </w:r>
      <w:r w:rsidR="00F020B0" w:rsidRPr="00F020B0">
        <w:rPr>
          <w:rFonts w:cs="Arial"/>
          <w:szCs w:val="20"/>
        </w:rPr>
        <w:t> </w:t>
      </w:r>
      <w:r w:rsidR="009806E7" w:rsidRPr="004F18D1">
        <w:rPr>
          <w:rFonts w:cs="Arial"/>
          <w:szCs w:val="20"/>
        </w:rPr>
        <w:t>Pardubickém</w:t>
      </w:r>
      <w:r w:rsidR="00F020B0" w:rsidRPr="004F18D1">
        <w:rPr>
          <w:rFonts w:cs="Arial"/>
          <w:szCs w:val="20"/>
        </w:rPr>
        <w:t xml:space="preserve">. </w:t>
      </w:r>
      <w:r w:rsidR="00F020B0" w:rsidRPr="004F18D1">
        <w:rPr>
          <w:rFonts w:cs="Arial"/>
          <w:szCs w:val="20"/>
        </w:rPr>
        <w:lastRenderedPageBreak/>
        <w:t>Na</w:t>
      </w:r>
      <w:r w:rsidR="0075063C">
        <w:rPr>
          <w:rFonts w:cs="Arial"/>
          <w:szCs w:val="20"/>
        </w:rPr>
        <w:t> </w:t>
      </w:r>
      <w:r w:rsidR="00F020B0" w:rsidRPr="004F18D1">
        <w:rPr>
          <w:rFonts w:cs="Arial"/>
          <w:szCs w:val="20"/>
        </w:rPr>
        <w:t xml:space="preserve">Vysočině se počet zaměstnanců snížil o 0,7 %, </w:t>
      </w:r>
      <w:r w:rsidR="009806E7" w:rsidRPr="004F18D1">
        <w:rPr>
          <w:rFonts w:cs="Arial"/>
          <w:szCs w:val="20"/>
        </w:rPr>
        <w:t>v</w:t>
      </w:r>
      <w:r w:rsidR="00F020B0" w:rsidRPr="004F18D1">
        <w:rPr>
          <w:rFonts w:cs="Arial"/>
          <w:szCs w:val="20"/>
        </w:rPr>
        <w:t> </w:t>
      </w:r>
      <w:r w:rsidR="009806E7" w:rsidRPr="004F18D1">
        <w:rPr>
          <w:rFonts w:cs="Arial"/>
          <w:szCs w:val="20"/>
        </w:rPr>
        <w:t>Ústeckém</w:t>
      </w:r>
      <w:r w:rsidR="00F020B0" w:rsidRPr="004F18D1">
        <w:rPr>
          <w:rFonts w:cs="Arial"/>
          <w:szCs w:val="20"/>
        </w:rPr>
        <w:t xml:space="preserve"> o </w:t>
      </w:r>
      <w:r w:rsidR="009A67A7" w:rsidRPr="004F18D1">
        <w:rPr>
          <w:rFonts w:cs="Arial"/>
          <w:szCs w:val="20"/>
        </w:rPr>
        <w:t>0,</w:t>
      </w:r>
      <w:r w:rsidR="00F020B0" w:rsidRPr="004F18D1">
        <w:rPr>
          <w:rFonts w:cs="Arial"/>
          <w:szCs w:val="20"/>
        </w:rPr>
        <w:t>6</w:t>
      </w:r>
      <w:r w:rsidR="009A67A7" w:rsidRPr="004F18D1">
        <w:rPr>
          <w:rFonts w:cs="Arial"/>
          <w:szCs w:val="20"/>
        </w:rPr>
        <w:t xml:space="preserve"> % </w:t>
      </w:r>
      <w:r w:rsidR="00F020B0" w:rsidRPr="004F18D1">
        <w:rPr>
          <w:rFonts w:cs="Arial"/>
          <w:szCs w:val="20"/>
        </w:rPr>
        <w:t>a </w:t>
      </w:r>
      <w:r w:rsidR="009A67A7" w:rsidRPr="004F18D1">
        <w:rPr>
          <w:rFonts w:cs="Arial"/>
          <w:szCs w:val="20"/>
        </w:rPr>
        <w:t xml:space="preserve">v Jihočeském </w:t>
      </w:r>
      <w:r w:rsidR="00F020B0" w:rsidRPr="004F18D1">
        <w:rPr>
          <w:rFonts w:cs="Arial"/>
          <w:szCs w:val="20"/>
        </w:rPr>
        <w:t>o 0,5 %</w:t>
      </w:r>
      <w:r w:rsidR="000B3269" w:rsidRPr="004F18D1">
        <w:rPr>
          <w:rFonts w:cs="Arial"/>
          <w:szCs w:val="20"/>
        </w:rPr>
        <w:t xml:space="preserve">. </w:t>
      </w:r>
      <w:r w:rsidR="004F18D1">
        <w:rPr>
          <w:rFonts w:cs="Arial"/>
          <w:szCs w:val="20"/>
        </w:rPr>
        <w:t>O</w:t>
      </w:r>
      <w:r w:rsidR="00686CFB">
        <w:rPr>
          <w:rFonts w:cs="Arial"/>
          <w:szCs w:val="20"/>
        </w:rPr>
        <w:t> </w:t>
      </w:r>
      <w:r w:rsidR="004F18D1">
        <w:rPr>
          <w:rFonts w:cs="Arial"/>
          <w:szCs w:val="20"/>
        </w:rPr>
        <w:t xml:space="preserve">celkové zvýšení počtu zaměstnanců se </w:t>
      </w:r>
      <w:r w:rsidR="0075063C">
        <w:rPr>
          <w:rFonts w:cs="Arial"/>
          <w:szCs w:val="20"/>
        </w:rPr>
        <w:t>zásadně postaral</w:t>
      </w:r>
      <w:r w:rsidR="004F18D1">
        <w:rPr>
          <w:rFonts w:cs="Arial"/>
          <w:szCs w:val="20"/>
        </w:rPr>
        <w:t xml:space="preserve"> </w:t>
      </w:r>
      <w:r w:rsidR="0075063C">
        <w:rPr>
          <w:rFonts w:cs="Arial"/>
          <w:szCs w:val="20"/>
        </w:rPr>
        <w:t>nárůst</w:t>
      </w:r>
      <w:r w:rsidR="009A67A7" w:rsidRPr="004F18D1">
        <w:rPr>
          <w:rFonts w:cs="Arial"/>
          <w:szCs w:val="20"/>
        </w:rPr>
        <w:t xml:space="preserve"> v Praze (</w:t>
      </w:r>
      <w:r w:rsidR="009806E7" w:rsidRPr="004F18D1">
        <w:rPr>
          <w:rFonts w:cs="Arial"/>
          <w:szCs w:val="20"/>
        </w:rPr>
        <w:t>o </w:t>
      </w:r>
      <w:r w:rsidR="00F020B0" w:rsidRPr="004F18D1">
        <w:rPr>
          <w:rFonts w:cs="Arial"/>
          <w:szCs w:val="20"/>
        </w:rPr>
        <w:t>3,7</w:t>
      </w:r>
      <w:r w:rsidRPr="004F18D1">
        <w:rPr>
          <w:rFonts w:cs="Arial"/>
          <w:szCs w:val="20"/>
        </w:rPr>
        <w:t> %)</w:t>
      </w:r>
      <w:r w:rsidR="0075063C">
        <w:rPr>
          <w:rFonts w:cs="Arial"/>
          <w:szCs w:val="20"/>
        </w:rPr>
        <w:t>,</w:t>
      </w:r>
      <w:r w:rsidRPr="004F18D1">
        <w:rPr>
          <w:rFonts w:cs="Arial"/>
          <w:szCs w:val="20"/>
        </w:rPr>
        <w:t xml:space="preserve"> </w:t>
      </w:r>
      <w:r w:rsidR="0075063C">
        <w:rPr>
          <w:rFonts w:cs="Arial"/>
          <w:szCs w:val="20"/>
        </w:rPr>
        <w:t>menší zvýšení</w:t>
      </w:r>
      <w:r w:rsidR="00B91CF5" w:rsidRPr="004F18D1">
        <w:rPr>
          <w:rFonts w:cs="Arial"/>
          <w:szCs w:val="20"/>
        </w:rPr>
        <w:t xml:space="preserve"> </w:t>
      </w:r>
      <w:r w:rsidR="000B3269" w:rsidRPr="004F18D1">
        <w:rPr>
          <w:rFonts w:cs="Arial"/>
          <w:szCs w:val="20"/>
        </w:rPr>
        <w:t>zaznamenal</w:t>
      </w:r>
      <w:r w:rsidRPr="004F18D1">
        <w:rPr>
          <w:rFonts w:cs="Arial"/>
          <w:szCs w:val="20"/>
        </w:rPr>
        <w:t xml:space="preserve"> </w:t>
      </w:r>
      <w:r w:rsidR="00074ED5" w:rsidRPr="004F18D1">
        <w:rPr>
          <w:rFonts w:cs="Arial"/>
          <w:szCs w:val="20"/>
        </w:rPr>
        <w:t>i </w:t>
      </w:r>
      <w:r w:rsidR="009A67A7" w:rsidRPr="004F18D1">
        <w:rPr>
          <w:rFonts w:cs="Arial"/>
          <w:szCs w:val="20"/>
        </w:rPr>
        <w:t>Plzeňský kraj (1,</w:t>
      </w:r>
      <w:r w:rsidR="00F020B0" w:rsidRPr="004F18D1">
        <w:rPr>
          <w:rFonts w:cs="Arial"/>
          <w:szCs w:val="20"/>
        </w:rPr>
        <w:t>2</w:t>
      </w:r>
      <w:r w:rsidR="009A67A7" w:rsidRPr="004F18D1">
        <w:rPr>
          <w:rFonts w:cs="Arial"/>
          <w:szCs w:val="20"/>
        </w:rPr>
        <w:t> %)</w:t>
      </w:r>
      <w:r w:rsidR="004F18D1">
        <w:rPr>
          <w:rFonts w:cs="Arial"/>
          <w:szCs w:val="20"/>
        </w:rPr>
        <w:t xml:space="preserve"> a</w:t>
      </w:r>
      <w:r w:rsidR="009A67A7" w:rsidRPr="004F18D1">
        <w:rPr>
          <w:rFonts w:cs="Arial"/>
          <w:szCs w:val="20"/>
        </w:rPr>
        <w:t xml:space="preserve"> </w:t>
      </w:r>
      <w:r w:rsidR="004F18D1">
        <w:rPr>
          <w:rFonts w:cs="Arial"/>
          <w:szCs w:val="20"/>
        </w:rPr>
        <w:t>v</w:t>
      </w:r>
      <w:r w:rsidR="00F020B0" w:rsidRPr="004F18D1">
        <w:rPr>
          <w:rFonts w:cs="Arial"/>
          <w:szCs w:val="20"/>
        </w:rPr>
        <w:t> Královéhradeckém počty stagnovaly</w:t>
      </w:r>
      <w:r w:rsidR="004F18D1" w:rsidRPr="004F18D1">
        <w:rPr>
          <w:rFonts w:cs="Arial"/>
          <w:szCs w:val="20"/>
        </w:rPr>
        <w:t>.</w:t>
      </w:r>
    </w:p>
    <w:p w:rsidR="005A793F" w:rsidRPr="00312947" w:rsidRDefault="00F020B0" w:rsidP="007A4BE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rPr>
          <w:rFonts w:cs="Arial"/>
          <w:color w:val="C45911" w:themeColor="accent2" w:themeShade="BF"/>
          <w:szCs w:val="20"/>
        </w:rPr>
      </w:pPr>
      <w:r w:rsidRPr="004F18D1">
        <w:rPr>
          <w:rFonts w:cs="Arial"/>
          <w:szCs w:val="20"/>
        </w:rPr>
        <w:t>U</w:t>
      </w:r>
      <w:r w:rsidR="00BD2152" w:rsidRPr="004F18D1">
        <w:rPr>
          <w:rFonts w:cs="Arial"/>
          <w:szCs w:val="20"/>
        </w:rPr>
        <w:t xml:space="preserve"> vývoje průměrných</w:t>
      </w:r>
      <w:r w:rsidR="007375BD" w:rsidRPr="004F18D1">
        <w:rPr>
          <w:rFonts w:cs="Arial"/>
          <w:szCs w:val="20"/>
        </w:rPr>
        <w:t xml:space="preserve"> mezd</w:t>
      </w:r>
      <w:r w:rsidR="00BD2152" w:rsidRPr="004F18D1">
        <w:rPr>
          <w:rFonts w:cs="Arial"/>
          <w:szCs w:val="20"/>
        </w:rPr>
        <w:t xml:space="preserve"> </w:t>
      </w:r>
      <w:r w:rsidR="00D34B88" w:rsidRPr="004F18D1">
        <w:rPr>
          <w:rFonts w:cs="Arial"/>
          <w:szCs w:val="20"/>
        </w:rPr>
        <w:t xml:space="preserve">je </w:t>
      </w:r>
      <w:r w:rsidR="00B11FC2">
        <w:rPr>
          <w:rFonts w:cs="Arial"/>
          <w:szCs w:val="20"/>
        </w:rPr>
        <w:t xml:space="preserve">krajský </w:t>
      </w:r>
      <w:r w:rsidR="00D34B88" w:rsidRPr="004F18D1">
        <w:rPr>
          <w:rFonts w:cs="Arial"/>
          <w:szCs w:val="20"/>
        </w:rPr>
        <w:t xml:space="preserve">rozptyl </w:t>
      </w:r>
      <w:r w:rsidR="00BD2152" w:rsidRPr="004F18D1">
        <w:rPr>
          <w:rFonts w:cs="Arial"/>
          <w:szCs w:val="20"/>
        </w:rPr>
        <w:t>p</w:t>
      </w:r>
      <w:r w:rsidR="00D34B88" w:rsidRPr="004F18D1">
        <w:rPr>
          <w:rFonts w:cs="Arial"/>
          <w:szCs w:val="20"/>
        </w:rPr>
        <w:t xml:space="preserve">odstatně menší než </w:t>
      </w:r>
      <w:r w:rsidR="000B5922" w:rsidRPr="004F18D1">
        <w:rPr>
          <w:rFonts w:cs="Arial"/>
          <w:szCs w:val="20"/>
        </w:rPr>
        <w:t xml:space="preserve">v třídění podle </w:t>
      </w:r>
      <w:r w:rsidR="00DF57B0" w:rsidRPr="004F18D1">
        <w:rPr>
          <w:rFonts w:cs="Arial"/>
          <w:szCs w:val="20"/>
        </w:rPr>
        <w:t>odvětví.</w:t>
      </w:r>
      <w:r w:rsidR="00D34B88" w:rsidRPr="004F18D1">
        <w:rPr>
          <w:rFonts w:cs="Arial"/>
          <w:szCs w:val="20"/>
        </w:rPr>
        <w:t xml:space="preserve"> </w:t>
      </w:r>
      <w:r w:rsidR="004F18D1" w:rsidRPr="004F18D1">
        <w:rPr>
          <w:rFonts w:cs="Arial"/>
          <w:szCs w:val="20"/>
        </w:rPr>
        <w:t xml:space="preserve">Nominálně mzdy rostly v rozmezí od 6,4 % do 8,5 %. </w:t>
      </w:r>
      <w:r w:rsidR="0009249D" w:rsidRPr="004F18D1">
        <w:rPr>
          <w:rFonts w:cs="Arial"/>
          <w:szCs w:val="20"/>
        </w:rPr>
        <w:t>P</w:t>
      </w:r>
      <w:r w:rsidR="00DF57B0" w:rsidRPr="004F18D1">
        <w:rPr>
          <w:rFonts w:cs="Arial"/>
          <w:szCs w:val="20"/>
        </w:rPr>
        <w:t>latí</w:t>
      </w:r>
      <w:r w:rsidR="00686CFB">
        <w:rPr>
          <w:rFonts w:cs="Arial"/>
          <w:szCs w:val="20"/>
        </w:rPr>
        <w:t xml:space="preserve"> tak</w:t>
      </w:r>
      <w:r w:rsidR="00DF57B0" w:rsidRPr="004F18D1">
        <w:rPr>
          <w:rFonts w:cs="Arial"/>
          <w:szCs w:val="20"/>
        </w:rPr>
        <w:t>, že reálná</w:t>
      </w:r>
      <w:r w:rsidR="00DF57B0" w:rsidRPr="00B11FC2">
        <w:rPr>
          <w:rFonts w:cs="Arial"/>
          <w:szCs w:val="20"/>
        </w:rPr>
        <w:t xml:space="preserve"> kupní síla se </w:t>
      </w:r>
      <w:r w:rsidR="00965635" w:rsidRPr="00B11FC2">
        <w:rPr>
          <w:rFonts w:cs="Arial"/>
          <w:szCs w:val="20"/>
        </w:rPr>
        <w:t xml:space="preserve">ve všech krajích </w:t>
      </w:r>
      <w:r w:rsidR="00DF57B0" w:rsidRPr="00B11FC2">
        <w:rPr>
          <w:rFonts w:cs="Arial"/>
          <w:szCs w:val="20"/>
        </w:rPr>
        <w:t>meziročně propadla</w:t>
      </w:r>
      <w:r w:rsidR="004F18D1" w:rsidRPr="00B11FC2">
        <w:rPr>
          <w:rFonts w:cs="Arial"/>
          <w:szCs w:val="20"/>
        </w:rPr>
        <w:t>.</w:t>
      </w:r>
      <w:r w:rsidR="00DF57B0" w:rsidRPr="00B11FC2">
        <w:rPr>
          <w:rFonts w:cs="Arial"/>
          <w:szCs w:val="20"/>
        </w:rPr>
        <w:t xml:space="preserve"> </w:t>
      </w:r>
      <w:r w:rsidR="00D733A0" w:rsidRPr="00B11FC2">
        <w:rPr>
          <w:rFonts w:cs="Arial"/>
          <w:szCs w:val="20"/>
        </w:rPr>
        <w:t xml:space="preserve">Hlavní město </w:t>
      </w:r>
      <w:r w:rsidR="0009249D" w:rsidRPr="00B11FC2">
        <w:rPr>
          <w:rFonts w:cs="Arial"/>
          <w:szCs w:val="20"/>
        </w:rPr>
        <w:t>op</w:t>
      </w:r>
      <w:r w:rsidR="004F18D1" w:rsidRPr="00B11FC2">
        <w:rPr>
          <w:rFonts w:cs="Arial"/>
          <w:szCs w:val="20"/>
        </w:rPr>
        <w:t>ět</w:t>
      </w:r>
      <w:r w:rsidR="0009249D" w:rsidRPr="00B11FC2">
        <w:rPr>
          <w:rFonts w:cs="Arial"/>
          <w:szCs w:val="20"/>
        </w:rPr>
        <w:t xml:space="preserve"> </w:t>
      </w:r>
      <w:r w:rsidR="00D733A0" w:rsidRPr="00B11FC2">
        <w:rPr>
          <w:rFonts w:cs="Arial"/>
          <w:szCs w:val="20"/>
        </w:rPr>
        <w:t xml:space="preserve">zaznamenalo </w:t>
      </w:r>
      <w:r w:rsidR="0009249D" w:rsidRPr="00B11FC2">
        <w:rPr>
          <w:rFonts w:cs="Arial"/>
          <w:szCs w:val="20"/>
        </w:rPr>
        <w:t>nej</w:t>
      </w:r>
      <w:r w:rsidR="00B11FC2">
        <w:rPr>
          <w:rFonts w:cs="Arial"/>
          <w:szCs w:val="20"/>
        </w:rPr>
        <w:t>nižší nominální</w:t>
      </w:r>
      <w:r w:rsidR="004F18D1" w:rsidRPr="00B11FC2">
        <w:rPr>
          <w:rFonts w:cs="Arial"/>
          <w:szCs w:val="20"/>
        </w:rPr>
        <w:t xml:space="preserve"> růst (a tedy i nej</w:t>
      </w:r>
      <w:r w:rsidR="0009249D" w:rsidRPr="00B11FC2">
        <w:rPr>
          <w:rFonts w:cs="Arial"/>
          <w:szCs w:val="20"/>
        </w:rPr>
        <w:t xml:space="preserve">vyšší </w:t>
      </w:r>
      <w:r w:rsidR="00D733A0" w:rsidRPr="00B11FC2">
        <w:rPr>
          <w:rFonts w:cs="Arial"/>
          <w:szCs w:val="20"/>
        </w:rPr>
        <w:t>propad reálné mzdy</w:t>
      </w:r>
      <w:r w:rsidR="004F18D1" w:rsidRPr="00B11FC2">
        <w:rPr>
          <w:rFonts w:cs="Arial"/>
          <w:szCs w:val="20"/>
        </w:rPr>
        <w:t>)</w:t>
      </w:r>
      <w:r w:rsidR="00D733A0" w:rsidRPr="00B11FC2">
        <w:rPr>
          <w:rFonts w:cs="Arial"/>
          <w:szCs w:val="20"/>
        </w:rPr>
        <w:t xml:space="preserve">, </w:t>
      </w:r>
      <w:r w:rsidR="004F18D1" w:rsidRPr="00B11FC2">
        <w:rPr>
          <w:rFonts w:cs="Arial"/>
          <w:szCs w:val="20"/>
        </w:rPr>
        <w:t xml:space="preserve">o 6,4 %, </w:t>
      </w:r>
      <w:r w:rsidR="0009249D" w:rsidRPr="00B11FC2">
        <w:rPr>
          <w:rFonts w:cs="Arial"/>
          <w:szCs w:val="20"/>
        </w:rPr>
        <w:t xml:space="preserve">následováno </w:t>
      </w:r>
      <w:r w:rsidR="00D733A0" w:rsidRPr="00B11FC2">
        <w:rPr>
          <w:rFonts w:cs="Arial"/>
          <w:szCs w:val="20"/>
        </w:rPr>
        <w:t>kraj</w:t>
      </w:r>
      <w:r w:rsidR="0009249D" w:rsidRPr="00B11FC2">
        <w:rPr>
          <w:rFonts w:cs="Arial"/>
          <w:szCs w:val="20"/>
        </w:rPr>
        <w:t>i</w:t>
      </w:r>
      <w:r w:rsidR="00D733A0" w:rsidRPr="00B11FC2">
        <w:rPr>
          <w:rFonts w:cs="Arial"/>
          <w:szCs w:val="20"/>
        </w:rPr>
        <w:t xml:space="preserve"> </w:t>
      </w:r>
      <w:r w:rsidR="004F18D1" w:rsidRPr="00B11FC2">
        <w:rPr>
          <w:rFonts w:cs="Arial"/>
          <w:szCs w:val="20"/>
        </w:rPr>
        <w:t>Olomouckým (7</w:t>
      </w:r>
      <w:r w:rsidR="00B11FC2">
        <w:rPr>
          <w:rFonts w:cs="Arial"/>
          <w:szCs w:val="20"/>
        </w:rPr>
        <w:t>,</w:t>
      </w:r>
      <w:r w:rsidR="004F18D1" w:rsidRPr="00B11FC2">
        <w:rPr>
          <w:rFonts w:cs="Arial"/>
          <w:szCs w:val="20"/>
        </w:rPr>
        <w:t xml:space="preserve">0 %) a </w:t>
      </w:r>
      <w:r w:rsidR="0009249D" w:rsidRPr="00B11FC2">
        <w:rPr>
          <w:rFonts w:cs="Arial"/>
          <w:szCs w:val="20"/>
        </w:rPr>
        <w:t>Karlovarským (7,2 %)</w:t>
      </w:r>
      <w:r w:rsidR="00B11FC2" w:rsidRPr="00B11FC2">
        <w:rPr>
          <w:rFonts w:cs="Arial"/>
          <w:szCs w:val="20"/>
        </w:rPr>
        <w:t>.</w:t>
      </w:r>
      <w:r w:rsidR="0009249D" w:rsidRPr="00B11FC2">
        <w:rPr>
          <w:rFonts w:cs="Arial"/>
          <w:szCs w:val="20"/>
        </w:rPr>
        <w:t xml:space="preserve"> Středočes</w:t>
      </w:r>
      <w:r w:rsidR="00D733A0" w:rsidRPr="00B11FC2">
        <w:rPr>
          <w:rFonts w:cs="Arial"/>
          <w:szCs w:val="20"/>
        </w:rPr>
        <w:t>ký</w:t>
      </w:r>
      <w:r w:rsidR="00B11FC2" w:rsidRPr="00B11FC2">
        <w:rPr>
          <w:rFonts w:cs="Arial"/>
          <w:szCs w:val="20"/>
        </w:rPr>
        <w:t xml:space="preserve"> kraj měl aktuálně nominální nárůst nejvyšší</w:t>
      </w:r>
      <w:r w:rsidR="0009249D" w:rsidRPr="00B11FC2">
        <w:rPr>
          <w:rFonts w:cs="Arial"/>
          <w:szCs w:val="20"/>
        </w:rPr>
        <w:t xml:space="preserve"> </w:t>
      </w:r>
      <w:r w:rsidR="00B11FC2" w:rsidRPr="00B11FC2">
        <w:rPr>
          <w:rFonts w:cs="Arial"/>
          <w:szCs w:val="20"/>
        </w:rPr>
        <w:t>(8,5</w:t>
      </w:r>
      <w:r w:rsidR="0009249D" w:rsidRPr="00B11FC2">
        <w:rPr>
          <w:rFonts w:cs="Arial"/>
          <w:szCs w:val="20"/>
        </w:rPr>
        <w:t> %)</w:t>
      </w:r>
      <w:r w:rsidR="00B11FC2">
        <w:rPr>
          <w:rFonts w:cs="Arial"/>
          <w:szCs w:val="20"/>
        </w:rPr>
        <w:t>, na druhém místě byl pak Ústecký (8,3 %) a Zlínský kraj (8,2 %)</w:t>
      </w:r>
      <w:r w:rsidR="0009249D" w:rsidRPr="00B11FC2">
        <w:rPr>
          <w:rFonts w:cs="Arial"/>
          <w:szCs w:val="20"/>
        </w:rPr>
        <w:t>.</w:t>
      </w:r>
    </w:p>
    <w:p w:rsidR="00915E31" w:rsidRPr="00312947" w:rsidRDefault="00D53B9E" w:rsidP="00B916A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rPr>
          <w:rFonts w:cs="Arial"/>
          <w:color w:val="C45911" w:themeColor="accent2" w:themeShade="BF"/>
          <w:szCs w:val="20"/>
        </w:rPr>
      </w:pPr>
      <w:r w:rsidRPr="00B11FC2">
        <w:rPr>
          <w:rFonts w:cs="Arial"/>
          <w:szCs w:val="20"/>
        </w:rPr>
        <w:t xml:space="preserve">Podle </w:t>
      </w:r>
      <w:r w:rsidR="00991E4B" w:rsidRPr="00B11FC2">
        <w:rPr>
          <w:rFonts w:cs="Arial"/>
          <w:szCs w:val="20"/>
        </w:rPr>
        <w:t xml:space="preserve">absolutní </w:t>
      </w:r>
      <w:r w:rsidR="00813EDB" w:rsidRPr="00B11FC2">
        <w:rPr>
          <w:rFonts w:cs="Arial"/>
          <w:szCs w:val="20"/>
        </w:rPr>
        <w:t>úrov</w:t>
      </w:r>
      <w:r w:rsidRPr="00B11FC2">
        <w:rPr>
          <w:rFonts w:cs="Arial"/>
          <w:szCs w:val="20"/>
        </w:rPr>
        <w:t>ně</w:t>
      </w:r>
      <w:r w:rsidR="00813EDB" w:rsidRPr="00B11FC2">
        <w:rPr>
          <w:rFonts w:cs="Arial"/>
          <w:szCs w:val="20"/>
        </w:rPr>
        <w:t xml:space="preserve"> výdělků </w:t>
      </w:r>
      <w:r w:rsidR="0009249D" w:rsidRPr="00B11FC2">
        <w:rPr>
          <w:rFonts w:cs="Arial"/>
          <w:szCs w:val="20"/>
        </w:rPr>
        <w:t xml:space="preserve">nicméně </w:t>
      </w:r>
      <w:r w:rsidR="00B11FC2" w:rsidRPr="00B11FC2">
        <w:rPr>
          <w:rFonts w:cs="Arial"/>
          <w:szCs w:val="20"/>
        </w:rPr>
        <w:t xml:space="preserve">zůstala </w:t>
      </w:r>
      <w:r w:rsidR="00F84E8A" w:rsidRPr="00B11FC2">
        <w:rPr>
          <w:rFonts w:cs="Arial"/>
          <w:szCs w:val="20"/>
        </w:rPr>
        <w:t>Praha</w:t>
      </w:r>
      <w:r w:rsidRPr="00B11FC2">
        <w:rPr>
          <w:rFonts w:cs="Arial"/>
          <w:szCs w:val="20"/>
        </w:rPr>
        <w:t xml:space="preserve"> stále nejbohatším regione</w:t>
      </w:r>
      <w:r w:rsidR="007A4BED" w:rsidRPr="00B11FC2">
        <w:rPr>
          <w:rFonts w:cs="Arial"/>
          <w:szCs w:val="20"/>
        </w:rPr>
        <w:t xml:space="preserve">m, průměrná mzda </w:t>
      </w:r>
      <w:r w:rsidR="00F84E8A" w:rsidRPr="00B11FC2">
        <w:rPr>
          <w:rFonts w:cs="Arial"/>
          <w:szCs w:val="20"/>
        </w:rPr>
        <w:t>tu</w:t>
      </w:r>
      <w:r w:rsidR="00740AD3" w:rsidRPr="00B11FC2">
        <w:rPr>
          <w:rFonts w:cs="Arial"/>
          <w:szCs w:val="20"/>
        </w:rPr>
        <w:t xml:space="preserve"> </w:t>
      </w:r>
      <w:r w:rsidR="00CE6689" w:rsidRPr="00B11FC2">
        <w:rPr>
          <w:rFonts w:cs="Arial"/>
          <w:szCs w:val="20"/>
        </w:rPr>
        <w:t>by</w:t>
      </w:r>
      <w:r w:rsidR="00740AD3" w:rsidRPr="00B11FC2">
        <w:rPr>
          <w:rFonts w:cs="Arial"/>
          <w:szCs w:val="20"/>
        </w:rPr>
        <w:t xml:space="preserve">la </w:t>
      </w:r>
      <w:r w:rsidR="0009249D" w:rsidRPr="00B11FC2">
        <w:rPr>
          <w:rFonts w:cs="Arial"/>
          <w:szCs w:val="20"/>
        </w:rPr>
        <w:t>52</w:t>
      </w:r>
      <w:r w:rsidRPr="00B11FC2">
        <w:rPr>
          <w:rFonts w:cs="Arial"/>
          <w:szCs w:val="20"/>
        </w:rPr>
        <w:t> </w:t>
      </w:r>
      <w:r w:rsidR="00B11FC2" w:rsidRPr="00B11FC2">
        <w:rPr>
          <w:rFonts w:cs="Arial"/>
          <w:szCs w:val="20"/>
        </w:rPr>
        <w:t>833</w:t>
      </w:r>
      <w:r w:rsidRPr="00B11FC2">
        <w:rPr>
          <w:rFonts w:cs="Arial"/>
          <w:szCs w:val="20"/>
        </w:rPr>
        <w:t> Kč</w:t>
      </w:r>
      <w:r w:rsidR="00A61706" w:rsidRPr="00B11FC2">
        <w:rPr>
          <w:rFonts w:cs="Arial"/>
          <w:szCs w:val="20"/>
        </w:rPr>
        <w:t>.</w:t>
      </w:r>
      <w:r w:rsidRPr="00B11FC2">
        <w:rPr>
          <w:rFonts w:cs="Arial"/>
          <w:szCs w:val="20"/>
        </w:rPr>
        <w:t xml:space="preserve"> </w:t>
      </w:r>
      <w:r w:rsidR="00A61706" w:rsidRPr="00B11FC2">
        <w:rPr>
          <w:rFonts w:cs="Arial"/>
          <w:szCs w:val="20"/>
        </w:rPr>
        <w:t>N</w:t>
      </w:r>
      <w:r w:rsidRPr="00B11FC2">
        <w:rPr>
          <w:rFonts w:cs="Arial"/>
          <w:szCs w:val="20"/>
        </w:rPr>
        <w:t>a druhém místě se drž</w:t>
      </w:r>
      <w:r w:rsidR="0009249D" w:rsidRPr="00B11FC2">
        <w:rPr>
          <w:rFonts w:cs="Arial"/>
          <w:szCs w:val="20"/>
        </w:rPr>
        <w:t>el</w:t>
      </w:r>
      <w:r w:rsidRPr="00B11FC2">
        <w:rPr>
          <w:rFonts w:cs="Arial"/>
          <w:szCs w:val="20"/>
        </w:rPr>
        <w:t xml:space="preserve"> </w:t>
      </w:r>
      <w:r w:rsidR="00B91CF5" w:rsidRPr="00B11FC2">
        <w:rPr>
          <w:rFonts w:cs="Arial"/>
          <w:szCs w:val="20"/>
        </w:rPr>
        <w:t xml:space="preserve">Středočeský kraj </w:t>
      </w:r>
      <w:r w:rsidRPr="00B11FC2">
        <w:rPr>
          <w:rFonts w:cs="Arial"/>
          <w:szCs w:val="20"/>
        </w:rPr>
        <w:t>s </w:t>
      </w:r>
      <w:r w:rsidR="0009249D" w:rsidRPr="00B11FC2">
        <w:rPr>
          <w:rFonts w:cs="Arial"/>
          <w:szCs w:val="20"/>
        </w:rPr>
        <w:t>4</w:t>
      </w:r>
      <w:r w:rsidR="00B11FC2" w:rsidRPr="00B11FC2">
        <w:rPr>
          <w:rFonts w:cs="Arial"/>
          <w:szCs w:val="20"/>
        </w:rPr>
        <w:t>5</w:t>
      </w:r>
      <w:r w:rsidRPr="00B11FC2">
        <w:rPr>
          <w:rFonts w:cs="Arial"/>
          <w:szCs w:val="20"/>
        </w:rPr>
        <w:t> </w:t>
      </w:r>
      <w:r w:rsidR="00B11FC2" w:rsidRPr="00B11FC2">
        <w:rPr>
          <w:rFonts w:cs="Arial"/>
          <w:szCs w:val="20"/>
        </w:rPr>
        <w:t>477</w:t>
      </w:r>
      <w:r w:rsidRPr="00B11FC2">
        <w:rPr>
          <w:rFonts w:cs="Arial"/>
          <w:szCs w:val="20"/>
        </w:rPr>
        <w:t> Kč</w:t>
      </w:r>
      <w:r w:rsidR="00B11FC2" w:rsidRPr="00B11FC2">
        <w:rPr>
          <w:rFonts w:cs="Arial"/>
          <w:szCs w:val="20"/>
        </w:rPr>
        <w:t>,</w:t>
      </w:r>
      <w:r w:rsidR="0009249D" w:rsidRPr="00B11FC2">
        <w:rPr>
          <w:rFonts w:cs="Arial"/>
          <w:szCs w:val="20"/>
        </w:rPr>
        <w:t xml:space="preserve"> na třetím byl Jihomoravsk</w:t>
      </w:r>
      <w:r w:rsidR="00470F1D" w:rsidRPr="00B11FC2">
        <w:rPr>
          <w:rFonts w:cs="Arial"/>
          <w:szCs w:val="20"/>
        </w:rPr>
        <w:t>ý</w:t>
      </w:r>
      <w:r w:rsidR="00B11FC2">
        <w:rPr>
          <w:rFonts w:cs="Arial"/>
          <w:szCs w:val="20"/>
        </w:rPr>
        <w:t xml:space="preserve"> </w:t>
      </w:r>
      <w:r w:rsidR="00B11FC2" w:rsidRPr="00B11FC2">
        <w:rPr>
          <w:rFonts w:cs="Arial"/>
          <w:szCs w:val="20"/>
        </w:rPr>
        <w:t>(41 912 Kč) a</w:t>
      </w:r>
      <w:r w:rsidR="00470F1D" w:rsidRPr="00B11FC2">
        <w:rPr>
          <w:rFonts w:cs="Arial"/>
          <w:szCs w:val="20"/>
        </w:rPr>
        <w:t xml:space="preserve"> čtyřicetitisícovou hranici </w:t>
      </w:r>
      <w:r w:rsidR="00B11FC2" w:rsidRPr="00B11FC2">
        <w:rPr>
          <w:rFonts w:cs="Arial"/>
          <w:szCs w:val="20"/>
        </w:rPr>
        <w:t>ještě překonaly Královéhradecký (41 249 Kč) a Plzeňský</w:t>
      </w:r>
      <w:r w:rsidR="00B11FC2">
        <w:rPr>
          <w:rFonts w:cs="Arial"/>
          <w:szCs w:val="20"/>
        </w:rPr>
        <w:t xml:space="preserve"> kraj</w:t>
      </w:r>
      <w:r w:rsidR="00B11FC2" w:rsidRPr="00B11FC2">
        <w:rPr>
          <w:rFonts w:cs="Arial"/>
          <w:szCs w:val="20"/>
        </w:rPr>
        <w:t xml:space="preserve"> (40 986 Kč)</w:t>
      </w:r>
      <w:r w:rsidR="00CE6689" w:rsidRPr="00B11FC2">
        <w:rPr>
          <w:rFonts w:cs="Arial"/>
          <w:szCs w:val="20"/>
        </w:rPr>
        <w:t xml:space="preserve">. </w:t>
      </w:r>
      <w:r w:rsidRPr="00B11FC2">
        <w:rPr>
          <w:rFonts w:cs="Arial"/>
          <w:szCs w:val="20"/>
        </w:rPr>
        <w:t>Na</w:t>
      </w:r>
      <w:r w:rsidR="00CE6689" w:rsidRPr="00B11FC2">
        <w:rPr>
          <w:rFonts w:cs="Arial"/>
          <w:szCs w:val="20"/>
        </w:rPr>
        <w:t>opak</w:t>
      </w:r>
      <w:r w:rsidRPr="00B11FC2">
        <w:rPr>
          <w:rFonts w:cs="Arial"/>
          <w:szCs w:val="20"/>
        </w:rPr>
        <w:t xml:space="preserve"> </w:t>
      </w:r>
      <w:r w:rsidR="00C8169C" w:rsidRPr="00B11FC2">
        <w:rPr>
          <w:rFonts w:cs="Arial"/>
          <w:szCs w:val="20"/>
        </w:rPr>
        <w:t xml:space="preserve">Karlovarský kraj </w:t>
      </w:r>
      <w:r w:rsidR="00BC7DD0" w:rsidRPr="00B11FC2">
        <w:rPr>
          <w:rFonts w:cs="Arial"/>
          <w:szCs w:val="20"/>
        </w:rPr>
        <w:t>zůst</w:t>
      </w:r>
      <w:r w:rsidR="0009249D" w:rsidRPr="00B11FC2">
        <w:rPr>
          <w:rFonts w:cs="Arial"/>
          <w:szCs w:val="20"/>
        </w:rPr>
        <w:t>al</w:t>
      </w:r>
      <w:r w:rsidR="00BC7DD0" w:rsidRPr="00B11FC2">
        <w:rPr>
          <w:rFonts w:cs="Arial"/>
          <w:szCs w:val="20"/>
        </w:rPr>
        <w:t xml:space="preserve"> nadále regionem s nejnižší mzdovou úrovní</w:t>
      </w:r>
      <w:r w:rsidR="00D733A0" w:rsidRPr="00B11FC2">
        <w:rPr>
          <w:rFonts w:cs="Arial"/>
          <w:szCs w:val="20"/>
        </w:rPr>
        <w:t xml:space="preserve"> </w:t>
      </w:r>
      <w:r w:rsidR="0009249D" w:rsidRPr="00B11FC2">
        <w:rPr>
          <w:rFonts w:cs="Arial"/>
          <w:szCs w:val="20"/>
        </w:rPr>
        <w:t>(</w:t>
      </w:r>
      <w:r w:rsidRPr="00B11FC2">
        <w:rPr>
          <w:rFonts w:cs="Arial"/>
          <w:szCs w:val="20"/>
        </w:rPr>
        <w:t>3</w:t>
      </w:r>
      <w:r w:rsidR="00B11FC2" w:rsidRPr="00B11FC2">
        <w:rPr>
          <w:rFonts w:cs="Arial"/>
          <w:szCs w:val="20"/>
        </w:rPr>
        <w:t>7</w:t>
      </w:r>
      <w:r w:rsidR="0009249D" w:rsidRPr="00B11FC2">
        <w:rPr>
          <w:rFonts w:cs="Arial"/>
          <w:szCs w:val="20"/>
        </w:rPr>
        <w:t> 0</w:t>
      </w:r>
      <w:r w:rsidR="00B11FC2" w:rsidRPr="00B11FC2">
        <w:rPr>
          <w:rFonts w:cs="Arial"/>
          <w:szCs w:val="20"/>
        </w:rPr>
        <w:t>72</w:t>
      </w:r>
      <w:r w:rsidR="00BC7DD0" w:rsidRPr="00B11FC2">
        <w:rPr>
          <w:rFonts w:cs="Arial"/>
          <w:szCs w:val="20"/>
        </w:rPr>
        <w:t> Kč</w:t>
      </w:r>
      <w:r w:rsidR="00D733A0" w:rsidRPr="00B11FC2">
        <w:rPr>
          <w:rFonts w:cs="Arial"/>
          <w:szCs w:val="20"/>
        </w:rPr>
        <w:t>).</w:t>
      </w:r>
      <w:r w:rsidR="00A61706" w:rsidRPr="00B11FC2">
        <w:rPr>
          <w:rFonts w:cs="Arial"/>
          <w:szCs w:val="20"/>
        </w:rPr>
        <w:t xml:space="preserve"> </w:t>
      </w:r>
      <w:r w:rsidR="00EA1F66" w:rsidRPr="00B11FC2">
        <w:rPr>
          <w:rFonts w:cs="Arial"/>
          <w:szCs w:val="20"/>
        </w:rPr>
        <w:t>V </w:t>
      </w:r>
      <w:r w:rsidR="00965635" w:rsidRPr="00B11FC2">
        <w:rPr>
          <w:rFonts w:cs="Arial"/>
          <w:szCs w:val="20"/>
        </w:rPr>
        <w:t xml:space="preserve">Moravskoslezském </w:t>
      </w:r>
      <w:r w:rsidR="0009249D" w:rsidRPr="00B11FC2">
        <w:rPr>
          <w:rFonts w:cs="Arial"/>
          <w:szCs w:val="20"/>
        </w:rPr>
        <w:t xml:space="preserve">kraji, což je </w:t>
      </w:r>
      <w:r w:rsidR="00470F1D" w:rsidRPr="00B11FC2">
        <w:rPr>
          <w:rFonts w:cs="Arial"/>
          <w:szCs w:val="20"/>
        </w:rPr>
        <w:t>po Praze</w:t>
      </w:r>
      <w:r w:rsidR="0009249D" w:rsidRPr="00B11FC2">
        <w:rPr>
          <w:rFonts w:cs="Arial"/>
          <w:szCs w:val="20"/>
        </w:rPr>
        <w:t>,</w:t>
      </w:r>
      <w:r w:rsidR="00965635" w:rsidRPr="00B11FC2">
        <w:rPr>
          <w:rFonts w:cs="Arial"/>
          <w:szCs w:val="20"/>
        </w:rPr>
        <w:t xml:space="preserve"> </w:t>
      </w:r>
      <w:r w:rsidR="0061273D" w:rsidRPr="00B11FC2">
        <w:rPr>
          <w:rFonts w:cs="Arial"/>
          <w:szCs w:val="20"/>
        </w:rPr>
        <w:t xml:space="preserve">Jihomoravském </w:t>
      </w:r>
      <w:r w:rsidR="00470F1D" w:rsidRPr="00B11FC2">
        <w:rPr>
          <w:rFonts w:cs="Arial"/>
          <w:szCs w:val="20"/>
        </w:rPr>
        <w:t>a </w:t>
      </w:r>
      <w:r w:rsidR="0061273D" w:rsidRPr="00B11FC2">
        <w:rPr>
          <w:rFonts w:cs="Arial"/>
          <w:szCs w:val="20"/>
        </w:rPr>
        <w:t xml:space="preserve">Středočeském </w:t>
      </w:r>
      <w:r w:rsidR="00965635" w:rsidRPr="00B11FC2">
        <w:rPr>
          <w:rFonts w:cs="Arial"/>
          <w:szCs w:val="20"/>
        </w:rPr>
        <w:t>kraj</w:t>
      </w:r>
      <w:r w:rsidR="00470F1D" w:rsidRPr="00B11FC2">
        <w:rPr>
          <w:rFonts w:cs="Arial"/>
          <w:szCs w:val="20"/>
        </w:rPr>
        <w:t>i</w:t>
      </w:r>
      <w:r w:rsidR="00965635" w:rsidRPr="00B11FC2">
        <w:rPr>
          <w:rFonts w:cs="Arial"/>
          <w:szCs w:val="20"/>
        </w:rPr>
        <w:t xml:space="preserve"> region s nejvyšším počtem zaměstnanců</w:t>
      </w:r>
      <w:r w:rsidR="00B11FC2">
        <w:rPr>
          <w:rFonts w:cs="Arial"/>
          <w:szCs w:val="20"/>
        </w:rPr>
        <w:t xml:space="preserve"> (415,8 tis.)</w:t>
      </w:r>
      <w:r w:rsidR="00965635" w:rsidRPr="00B11FC2">
        <w:rPr>
          <w:rFonts w:cs="Arial"/>
          <w:szCs w:val="20"/>
        </w:rPr>
        <w:t>, dosáhl</w:t>
      </w:r>
      <w:r w:rsidR="0009249D" w:rsidRPr="00B11FC2">
        <w:rPr>
          <w:rFonts w:cs="Arial"/>
          <w:szCs w:val="20"/>
        </w:rPr>
        <w:t>a</w:t>
      </w:r>
      <w:r w:rsidR="00965635" w:rsidRPr="00B11FC2">
        <w:rPr>
          <w:rFonts w:cs="Arial"/>
          <w:szCs w:val="20"/>
        </w:rPr>
        <w:t xml:space="preserve"> průměrn</w:t>
      </w:r>
      <w:r w:rsidR="0009249D" w:rsidRPr="00B11FC2">
        <w:rPr>
          <w:rFonts w:cs="Arial"/>
          <w:szCs w:val="20"/>
        </w:rPr>
        <w:t>á</w:t>
      </w:r>
      <w:r w:rsidR="00965635" w:rsidRPr="00B11FC2">
        <w:rPr>
          <w:rFonts w:cs="Arial"/>
          <w:szCs w:val="20"/>
        </w:rPr>
        <w:t xml:space="preserve"> mzd</w:t>
      </w:r>
      <w:r w:rsidR="0009249D" w:rsidRPr="00B11FC2">
        <w:rPr>
          <w:rFonts w:cs="Arial"/>
          <w:szCs w:val="20"/>
        </w:rPr>
        <w:t>a</w:t>
      </w:r>
      <w:r w:rsidR="00965635" w:rsidRPr="00B11FC2">
        <w:rPr>
          <w:rFonts w:cs="Arial"/>
          <w:szCs w:val="20"/>
        </w:rPr>
        <w:t xml:space="preserve"> hodnot</w:t>
      </w:r>
      <w:r w:rsidR="0009249D" w:rsidRPr="00B11FC2">
        <w:rPr>
          <w:rFonts w:cs="Arial"/>
          <w:szCs w:val="20"/>
        </w:rPr>
        <w:t>y</w:t>
      </w:r>
      <w:r w:rsidR="00965635" w:rsidRPr="00B11FC2">
        <w:rPr>
          <w:rFonts w:cs="Arial"/>
          <w:szCs w:val="20"/>
        </w:rPr>
        <w:t xml:space="preserve"> 3</w:t>
      </w:r>
      <w:r w:rsidR="00B11FC2" w:rsidRPr="00B11FC2">
        <w:rPr>
          <w:rFonts w:cs="Arial"/>
          <w:szCs w:val="20"/>
        </w:rPr>
        <w:t>9</w:t>
      </w:r>
      <w:r w:rsidR="00965635" w:rsidRPr="00B11FC2">
        <w:rPr>
          <w:rFonts w:cs="Arial"/>
          <w:szCs w:val="20"/>
        </w:rPr>
        <w:t xml:space="preserve"> </w:t>
      </w:r>
      <w:r w:rsidR="00B11FC2" w:rsidRPr="00B11FC2">
        <w:rPr>
          <w:rFonts w:cs="Arial"/>
          <w:szCs w:val="20"/>
        </w:rPr>
        <w:t>108</w:t>
      </w:r>
      <w:r w:rsidR="00965635" w:rsidRPr="00B11FC2">
        <w:rPr>
          <w:rFonts w:cs="Arial"/>
          <w:szCs w:val="20"/>
        </w:rPr>
        <w:t xml:space="preserve"> Kč</w:t>
      </w:r>
      <w:r w:rsidR="00CE6689" w:rsidRPr="00B11FC2">
        <w:rPr>
          <w:rFonts w:cs="Arial"/>
          <w:szCs w:val="20"/>
        </w:rPr>
        <w:t>.</w:t>
      </w:r>
    </w:p>
    <w:p w:rsidR="00032252" w:rsidRPr="00312947" w:rsidRDefault="00032252" w:rsidP="00B916A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rPr>
          <w:rFonts w:cs="Arial"/>
          <w:color w:val="C45911" w:themeColor="accent2" w:themeShade="BF"/>
          <w:szCs w:val="20"/>
        </w:rPr>
      </w:pPr>
    </w:p>
    <w:p w:rsidR="001931FC" w:rsidRPr="009F1F02" w:rsidRDefault="001931FC" w:rsidP="00B916A5">
      <w:pPr>
        <w:pStyle w:val="Zkladntextodsazen3"/>
        <w:spacing w:after="0" w:line="276" w:lineRule="auto"/>
        <w:ind w:firstLine="0"/>
        <w:rPr>
          <w:rFonts w:cs="Arial"/>
          <w:b/>
          <w:bCs/>
          <w:szCs w:val="20"/>
        </w:rPr>
      </w:pPr>
      <w:r w:rsidRPr="009F1F02">
        <w:rPr>
          <w:rFonts w:cs="Arial"/>
          <w:b/>
          <w:bCs/>
          <w:szCs w:val="20"/>
        </w:rPr>
        <w:t>Mediány</w:t>
      </w:r>
      <w:r w:rsidR="00936E49" w:rsidRPr="009F1F02">
        <w:rPr>
          <w:rFonts w:cs="Arial"/>
          <w:b/>
          <w:bCs/>
          <w:szCs w:val="20"/>
        </w:rPr>
        <w:t xml:space="preserve"> a decilové rozpětí</w:t>
      </w:r>
      <w:r w:rsidRPr="009F1F02">
        <w:rPr>
          <w:rFonts w:cs="Arial"/>
          <w:b/>
          <w:bCs/>
          <w:szCs w:val="20"/>
        </w:rPr>
        <w:t xml:space="preserve"> </w:t>
      </w:r>
      <w:r w:rsidR="00936E49" w:rsidRPr="009F1F02">
        <w:rPr>
          <w:rFonts w:cs="Arial"/>
          <w:b/>
          <w:bCs/>
          <w:szCs w:val="20"/>
        </w:rPr>
        <w:t>mezd</w:t>
      </w:r>
      <w:r w:rsidR="00074ED5" w:rsidRPr="009F1F02">
        <w:rPr>
          <w:rFonts w:cs="Arial"/>
          <w:b/>
          <w:bCs/>
          <w:szCs w:val="20"/>
        </w:rPr>
        <w:t>, třídění podle pohlaví</w:t>
      </w:r>
    </w:p>
    <w:p w:rsidR="00173FB8" w:rsidRPr="001B4728" w:rsidRDefault="00B916A5" w:rsidP="00B916A5">
      <w:pPr>
        <w:pStyle w:val="Zkladntextodsazen3"/>
        <w:spacing w:after="0" w:line="276" w:lineRule="auto"/>
        <w:ind w:firstLine="0"/>
        <w:rPr>
          <w:rFonts w:cs="Arial"/>
          <w:bCs/>
          <w:color w:val="000000" w:themeColor="text1"/>
          <w:szCs w:val="20"/>
        </w:rPr>
      </w:pPr>
      <w:r w:rsidRPr="009F1F02">
        <w:rPr>
          <w:rFonts w:cs="Arial"/>
          <w:bCs/>
          <w:szCs w:val="20"/>
        </w:rPr>
        <w:t xml:space="preserve">Rychlá informace za </w:t>
      </w:r>
      <w:r w:rsidR="009F1F02" w:rsidRPr="009F1F02">
        <w:rPr>
          <w:rFonts w:cs="Arial"/>
          <w:bCs/>
          <w:szCs w:val="20"/>
        </w:rPr>
        <w:t>2</w:t>
      </w:r>
      <w:r w:rsidRPr="009F1F02">
        <w:rPr>
          <w:rFonts w:cs="Arial"/>
          <w:bCs/>
          <w:szCs w:val="20"/>
        </w:rPr>
        <w:t>. čtvrtletí 20</w:t>
      </w:r>
      <w:r w:rsidR="00B7536D" w:rsidRPr="009F1F02">
        <w:rPr>
          <w:rFonts w:cs="Arial"/>
          <w:bCs/>
          <w:szCs w:val="20"/>
        </w:rPr>
        <w:t>2</w:t>
      </w:r>
      <w:r w:rsidR="00873528" w:rsidRPr="009F1F02">
        <w:rPr>
          <w:rFonts w:cs="Arial"/>
          <w:bCs/>
          <w:szCs w:val="20"/>
        </w:rPr>
        <w:t>3</w:t>
      </w:r>
      <w:r w:rsidRPr="009F1F02">
        <w:rPr>
          <w:rFonts w:cs="Arial"/>
          <w:bCs/>
          <w:szCs w:val="20"/>
        </w:rPr>
        <w:t xml:space="preserve"> obsahuje také údaj o mzdovém </w:t>
      </w:r>
      <w:r w:rsidRPr="009F1F02">
        <w:rPr>
          <w:rFonts w:cs="Arial"/>
          <w:szCs w:val="20"/>
        </w:rPr>
        <w:t>mediánu</w:t>
      </w:r>
      <w:r w:rsidRPr="009F1F02">
        <w:rPr>
          <w:rFonts w:cs="Arial"/>
          <w:bCs/>
          <w:szCs w:val="20"/>
        </w:rPr>
        <w:t xml:space="preserve">, který je vypočtený z matematického modelu distribuce a ukazuje mzdu prostředního zaměstnance, tedy běžnou </w:t>
      </w:r>
      <w:r w:rsidRPr="001B4728">
        <w:rPr>
          <w:rFonts w:cs="Arial"/>
          <w:bCs/>
          <w:color w:val="000000" w:themeColor="text1"/>
          <w:szCs w:val="20"/>
        </w:rPr>
        <w:t xml:space="preserve">mzdovou úroveň; zároveň byly vypočteny také krajní </w:t>
      </w:r>
      <w:r w:rsidR="00741EDF" w:rsidRPr="001B4728">
        <w:rPr>
          <w:rFonts w:cs="Arial"/>
          <w:bCs/>
          <w:color w:val="000000" w:themeColor="text1"/>
          <w:szCs w:val="20"/>
        </w:rPr>
        <w:t>decily. V</w:t>
      </w:r>
      <w:r w:rsidRPr="001B4728">
        <w:rPr>
          <w:rFonts w:cs="Arial"/>
          <w:bCs/>
          <w:color w:val="000000" w:themeColor="text1"/>
          <w:szCs w:val="20"/>
        </w:rPr>
        <w:t> </w:t>
      </w:r>
      <w:r w:rsidR="009F1F02" w:rsidRPr="001B4728">
        <w:rPr>
          <w:rFonts w:cs="Arial"/>
          <w:bCs/>
          <w:color w:val="000000" w:themeColor="text1"/>
          <w:szCs w:val="20"/>
        </w:rPr>
        <w:t>2</w:t>
      </w:r>
      <w:r w:rsidR="00741EDF" w:rsidRPr="001B4728">
        <w:rPr>
          <w:rFonts w:cs="Arial"/>
          <w:bCs/>
          <w:color w:val="000000" w:themeColor="text1"/>
          <w:szCs w:val="20"/>
        </w:rPr>
        <w:t>. čtvrtletí 20</w:t>
      </w:r>
      <w:r w:rsidR="00B7536D" w:rsidRPr="001B4728">
        <w:rPr>
          <w:rFonts w:cs="Arial"/>
          <w:bCs/>
          <w:color w:val="000000" w:themeColor="text1"/>
          <w:szCs w:val="20"/>
        </w:rPr>
        <w:t>2</w:t>
      </w:r>
      <w:r w:rsidR="00873528" w:rsidRPr="001B4728">
        <w:rPr>
          <w:rFonts w:cs="Arial"/>
          <w:bCs/>
          <w:color w:val="000000" w:themeColor="text1"/>
          <w:szCs w:val="20"/>
        </w:rPr>
        <w:t>3</w:t>
      </w:r>
      <w:r w:rsidRPr="001B4728">
        <w:rPr>
          <w:rFonts w:cs="Arial"/>
          <w:bCs/>
          <w:color w:val="000000" w:themeColor="text1"/>
          <w:szCs w:val="20"/>
        </w:rPr>
        <w:t xml:space="preserve"> </w:t>
      </w:r>
      <w:r w:rsidR="00173FB8" w:rsidRPr="001B4728">
        <w:rPr>
          <w:rFonts w:cs="Arial"/>
          <w:bCs/>
          <w:color w:val="000000" w:themeColor="text1"/>
          <w:szCs w:val="20"/>
        </w:rPr>
        <w:t xml:space="preserve">se </w:t>
      </w:r>
      <w:r w:rsidR="00AF2339" w:rsidRPr="001B4728">
        <w:rPr>
          <w:rFonts w:cs="Arial"/>
          <w:bCs/>
          <w:color w:val="000000" w:themeColor="text1"/>
          <w:szCs w:val="20"/>
        </w:rPr>
        <w:t xml:space="preserve">mzdový </w:t>
      </w:r>
      <w:r w:rsidR="00173FB8" w:rsidRPr="001B4728">
        <w:rPr>
          <w:rFonts w:cs="Arial"/>
          <w:bCs/>
          <w:color w:val="000000" w:themeColor="text1"/>
          <w:szCs w:val="20"/>
        </w:rPr>
        <w:t xml:space="preserve">medián </w:t>
      </w:r>
      <w:r w:rsidR="009A2D6B" w:rsidRPr="001B4728">
        <w:rPr>
          <w:rFonts w:cs="Arial"/>
          <w:bCs/>
          <w:color w:val="000000" w:themeColor="text1"/>
          <w:szCs w:val="20"/>
        </w:rPr>
        <w:t>dosta</w:t>
      </w:r>
      <w:r w:rsidR="00173FB8" w:rsidRPr="001B4728">
        <w:rPr>
          <w:rFonts w:cs="Arial"/>
          <w:bCs/>
          <w:color w:val="000000" w:themeColor="text1"/>
          <w:szCs w:val="20"/>
        </w:rPr>
        <w:t>l na</w:t>
      </w:r>
      <w:r w:rsidRPr="001B4728">
        <w:rPr>
          <w:rFonts w:cs="Arial"/>
          <w:bCs/>
          <w:color w:val="000000" w:themeColor="text1"/>
          <w:szCs w:val="20"/>
        </w:rPr>
        <w:t xml:space="preserve"> </w:t>
      </w:r>
      <w:r w:rsidR="00036CC3" w:rsidRPr="001B4728">
        <w:rPr>
          <w:rFonts w:cs="Arial"/>
          <w:bCs/>
          <w:color w:val="000000" w:themeColor="text1"/>
          <w:szCs w:val="20"/>
        </w:rPr>
        <w:t>3</w:t>
      </w:r>
      <w:r w:rsidR="001B4728">
        <w:rPr>
          <w:rFonts w:cs="Arial"/>
          <w:bCs/>
          <w:color w:val="000000" w:themeColor="text1"/>
          <w:szCs w:val="20"/>
        </w:rPr>
        <w:t>6</w:t>
      </w:r>
      <w:r w:rsidR="00036CC3" w:rsidRPr="001B4728">
        <w:rPr>
          <w:rFonts w:cs="Arial"/>
          <w:bCs/>
          <w:color w:val="000000" w:themeColor="text1"/>
          <w:szCs w:val="20"/>
        </w:rPr>
        <w:t> </w:t>
      </w:r>
      <w:r w:rsidR="001B4728">
        <w:rPr>
          <w:rFonts w:cs="Arial"/>
          <w:bCs/>
          <w:color w:val="000000" w:themeColor="text1"/>
          <w:szCs w:val="20"/>
        </w:rPr>
        <w:t>816</w:t>
      </w:r>
      <w:r w:rsidRPr="001B4728">
        <w:rPr>
          <w:rFonts w:cs="Arial"/>
          <w:bCs/>
          <w:color w:val="000000" w:themeColor="text1"/>
          <w:szCs w:val="20"/>
        </w:rPr>
        <w:t xml:space="preserve"> Kč, </w:t>
      </w:r>
      <w:r w:rsidR="00173FB8" w:rsidRPr="001B4728">
        <w:rPr>
          <w:rFonts w:cs="Arial"/>
          <w:bCs/>
          <w:color w:val="000000" w:themeColor="text1"/>
          <w:szCs w:val="20"/>
        </w:rPr>
        <w:t xml:space="preserve">to je </w:t>
      </w:r>
      <w:r w:rsidRPr="001B4728">
        <w:rPr>
          <w:rFonts w:cs="Arial"/>
          <w:bCs/>
          <w:color w:val="000000" w:themeColor="text1"/>
          <w:szCs w:val="20"/>
        </w:rPr>
        <w:t>o </w:t>
      </w:r>
      <w:r w:rsidR="00036CC3" w:rsidRPr="001B4728">
        <w:rPr>
          <w:rFonts w:cs="Arial"/>
          <w:bCs/>
          <w:color w:val="000000" w:themeColor="text1"/>
          <w:szCs w:val="20"/>
        </w:rPr>
        <w:t>2 </w:t>
      </w:r>
      <w:r w:rsidR="001B4728" w:rsidRPr="001B4728">
        <w:rPr>
          <w:rFonts w:cs="Arial"/>
          <w:bCs/>
          <w:color w:val="000000" w:themeColor="text1"/>
          <w:szCs w:val="20"/>
        </w:rPr>
        <w:t>662</w:t>
      </w:r>
      <w:r w:rsidR="00EC2845" w:rsidRPr="001B4728">
        <w:rPr>
          <w:rFonts w:cs="Arial"/>
          <w:bCs/>
          <w:color w:val="000000" w:themeColor="text1"/>
          <w:szCs w:val="20"/>
        </w:rPr>
        <w:t> Kč</w:t>
      </w:r>
      <w:r w:rsidR="007C168F" w:rsidRPr="001B4728">
        <w:rPr>
          <w:rFonts w:cs="Arial"/>
          <w:bCs/>
          <w:color w:val="000000" w:themeColor="text1"/>
          <w:szCs w:val="20"/>
        </w:rPr>
        <w:t xml:space="preserve"> (</w:t>
      </w:r>
      <w:r w:rsidRPr="001B4728">
        <w:rPr>
          <w:rFonts w:cs="Arial"/>
          <w:bCs/>
          <w:color w:val="000000" w:themeColor="text1"/>
          <w:szCs w:val="20"/>
        </w:rPr>
        <w:t>o </w:t>
      </w:r>
      <w:r w:rsidR="001B4728" w:rsidRPr="001B4728">
        <w:rPr>
          <w:rFonts w:cs="Arial"/>
          <w:bCs/>
          <w:color w:val="000000" w:themeColor="text1"/>
          <w:szCs w:val="20"/>
        </w:rPr>
        <w:t>7,8</w:t>
      </w:r>
      <w:r w:rsidRPr="001B4728">
        <w:rPr>
          <w:rFonts w:cs="Arial"/>
          <w:bCs/>
          <w:color w:val="000000" w:themeColor="text1"/>
          <w:szCs w:val="20"/>
        </w:rPr>
        <w:t xml:space="preserve"> %) </w:t>
      </w:r>
      <w:r w:rsidR="00E44B84" w:rsidRPr="001B4728">
        <w:rPr>
          <w:rFonts w:cs="Arial"/>
          <w:bCs/>
          <w:color w:val="000000" w:themeColor="text1"/>
          <w:szCs w:val="20"/>
        </w:rPr>
        <w:t>více</w:t>
      </w:r>
      <w:r w:rsidRPr="001B4728">
        <w:rPr>
          <w:rFonts w:cs="Arial"/>
          <w:bCs/>
          <w:color w:val="000000" w:themeColor="text1"/>
          <w:szCs w:val="20"/>
        </w:rPr>
        <w:t xml:space="preserve"> než ve s</w:t>
      </w:r>
      <w:r w:rsidR="004219F4" w:rsidRPr="001B4728">
        <w:rPr>
          <w:rFonts w:cs="Arial"/>
          <w:bCs/>
          <w:color w:val="000000" w:themeColor="text1"/>
          <w:szCs w:val="20"/>
        </w:rPr>
        <w:t>tejném období předchozího roku.</w:t>
      </w:r>
    </w:p>
    <w:p w:rsidR="00B916A5" w:rsidRPr="001B4728" w:rsidRDefault="00B916A5" w:rsidP="00B916A5">
      <w:pPr>
        <w:pStyle w:val="Zkladntextodsazen3"/>
        <w:spacing w:after="0" w:line="276" w:lineRule="auto"/>
        <w:ind w:firstLine="0"/>
        <w:rPr>
          <w:rFonts w:cs="Arial"/>
          <w:bCs/>
          <w:color w:val="000000" w:themeColor="text1"/>
          <w:szCs w:val="20"/>
        </w:rPr>
      </w:pPr>
      <w:r w:rsidRPr="001B4728">
        <w:rPr>
          <w:rFonts w:cs="Arial"/>
          <w:bCs/>
          <w:color w:val="000000" w:themeColor="text1"/>
          <w:szCs w:val="20"/>
        </w:rPr>
        <w:t>Mzdov</w:t>
      </w:r>
      <w:r w:rsidR="00504882" w:rsidRPr="001B4728">
        <w:rPr>
          <w:rFonts w:cs="Arial"/>
          <w:bCs/>
          <w:color w:val="000000" w:themeColor="text1"/>
          <w:szCs w:val="20"/>
        </w:rPr>
        <w:t>á</w:t>
      </w:r>
      <w:r w:rsidRPr="001B4728">
        <w:rPr>
          <w:rFonts w:cs="Arial"/>
          <w:bCs/>
          <w:color w:val="000000" w:themeColor="text1"/>
          <w:szCs w:val="20"/>
        </w:rPr>
        <w:t xml:space="preserve"> </w:t>
      </w:r>
      <w:r w:rsidR="00504882" w:rsidRPr="001B4728">
        <w:rPr>
          <w:rFonts w:cs="Arial"/>
          <w:bCs/>
          <w:color w:val="000000" w:themeColor="text1"/>
          <w:szCs w:val="20"/>
        </w:rPr>
        <w:t>distribuce</w:t>
      </w:r>
      <w:r w:rsidRPr="001B4728">
        <w:rPr>
          <w:rFonts w:cs="Arial"/>
          <w:bCs/>
          <w:color w:val="000000" w:themeColor="text1"/>
          <w:szCs w:val="20"/>
        </w:rPr>
        <w:t xml:space="preserve"> </w:t>
      </w:r>
      <w:r w:rsidR="00504882" w:rsidRPr="001B4728">
        <w:rPr>
          <w:rFonts w:cs="Arial"/>
          <w:bCs/>
          <w:color w:val="000000" w:themeColor="text1"/>
          <w:szCs w:val="20"/>
        </w:rPr>
        <w:t>se ve srovnání s </w:t>
      </w:r>
      <w:r w:rsidR="009A2D6B" w:rsidRPr="001B4728">
        <w:rPr>
          <w:rFonts w:cs="Arial"/>
          <w:bCs/>
          <w:color w:val="000000" w:themeColor="text1"/>
          <w:szCs w:val="20"/>
        </w:rPr>
        <w:t>loňsk</w:t>
      </w:r>
      <w:r w:rsidR="00504882" w:rsidRPr="001B4728">
        <w:rPr>
          <w:rFonts w:cs="Arial"/>
          <w:bCs/>
          <w:color w:val="000000" w:themeColor="text1"/>
          <w:szCs w:val="20"/>
        </w:rPr>
        <w:t>ým rokem</w:t>
      </w:r>
      <w:r w:rsidR="009A2D6B" w:rsidRPr="001B4728">
        <w:rPr>
          <w:rFonts w:cs="Arial"/>
          <w:bCs/>
          <w:color w:val="000000" w:themeColor="text1"/>
          <w:szCs w:val="20"/>
        </w:rPr>
        <w:t xml:space="preserve"> </w:t>
      </w:r>
      <w:r w:rsidR="001B4728" w:rsidRPr="001B4728">
        <w:rPr>
          <w:rFonts w:cs="Arial"/>
          <w:bCs/>
          <w:color w:val="000000" w:themeColor="text1"/>
          <w:szCs w:val="20"/>
        </w:rPr>
        <w:t>rozšířil</w:t>
      </w:r>
      <w:r w:rsidR="00504882" w:rsidRPr="001B4728">
        <w:rPr>
          <w:rFonts w:cs="Arial"/>
          <w:bCs/>
          <w:color w:val="000000" w:themeColor="text1"/>
          <w:szCs w:val="20"/>
        </w:rPr>
        <w:t>a</w:t>
      </w:r>
      <w:r w:rsidR="00113D4A" w:rsidRPr="001B4728">
        <w:rPr>
          <w:rFonts w:cs="Arial"/>
          <w:bCs/>
          <w:color w:val="000000" w:themeColor="text1"/>
          <w:szCs w:val="20"/>
        </w:rPr>
        <w:t xml:space="preserve">, </w:t>
      </w:r>
      <w:r w:rsidRPr="001B4728">
        <w:rPr>
          <w:rFonts w:cs="Arial"/>
          <w:bCs/>
          <w:color w:val="000000" w:themeColor="text1"/>
          <w:szCs w:val="20"/>
        </w:rPr>
        <w:t xml:space="preserve">desetina zaměstnanců s nejnižšími mzdami pobírala </w:t>
      </w:r>
      <w:r w:rsidR="00113D4A" w:rsidRPr="001B4728">
        <w:rPr>
          <w:rFonts w:cs="Arial"/>
          <w:bCs/>
          <w:color w:val="000000" w:themeColor="text1"/>
          <w:szCs w:val="20"/>
        </w:rPr>
        <w:t>hrubou mzdu</w:t>
      </w:r>
      <w:r w:rsidRPr="001B4728">
        <w:rPr>
          <w:rFonts w:cs="Arial"/>
          <w:bCs/>
          <w:color w:val="000000" w:themeColor="text1"/>
          <w:szCs w:val="20"/>
        </w:rPr>
        <w:t xml:space="preserve"> pod hranicí </w:t>
      </w:r>
      <w:r w:rsidR="00036CC3" w:rsidRPr="001B4728">
        <w:rPr>
          <w:rFonts w:cs="Arial"/>
          <w:bCs/>
          <w:color w:val="000000" w:themeColor="text1"/>
          <w:szCs w:val="20"/>
        </w:rPr>
        <w:t>1</w:t>
      </w:r>
      <w:r w:rsidR="001B4728" w:rsidRPr="001B4728">
        <w:rPr>
          <w:rFonts w:cs="Arial"/>
          <w:bCs/>
          <w:color w:val="000000" w:themeColor="text1"/>
          <w:szCs w:val="20"/>
        </w:rPr>
        <w:t>9</w:t>
      </w:r>
      <w:r w:rsidR="00036CC3" w:rsidRPr="001B4728">
        <w:rPr>
          <w:rFonts w:cs="Arial"/>
          <w:bCs/>
          <w:color w:val="000000" w:themeColor="text1"/>
          <w:szCs w:val="20"/>
        </w:rPr>
        <w:t> </w:t>
      </w:r>
      <w:r w:rsidR="001B4728" w:rsidRPr="001B4728">
        <w:rPr>
          <w:rFonts w:cs="Arial"/>
          <w:bCs/>
          <w:color w:val="000000" w:themeColor="text1"/>
          <w:szCs w:val="20"/>
        </w:rPr>
        <w:t>320</w:t>
      </w:r>
      <w:r w:rsidRPr="001B4728">
        <w:rPr>
          <w:rFonts w:cs="Arial"/>
          <w:bCs/>
          <w:color w:val="000000" w:themeColor="text1"/>
          <w:szCs w:val="20"/>
        </w:rPr>
        <w:t> Kč (dolní decil</w:t>
      </w:r>
      <w:r w:rsidR="00113D4A" w:rsidRPr="001B4728">
        <w:rPr>
          <w:rFonts w:cs="Arial"/>
          <w:bCs/>
          <w:color w:val="000000" w:themeColor="text1"/>
          <w:szCs w:val="20"/>
        </w:rPr>
        <w:t xml:space="preserve"> </w:t>
      </w:r>
      <w:r w:rsidR="006A1675" w:rsidRPr="001B4728">
        <w:rPr>
          <w:rFonts w:cs="Arial"/>
          <w:bCs/>
          <w:color w:val="000000" w:themeColor="text1"/>
          <w:szCs w:val="20"/>
        </w:rPr>
        <w:t xml:space="preserve">meziročně </w:t>
      </w:r>
      <w:r w:rsidR="00B82D28" w:rsidRPr="001B4728">
        <w:rPr>
          <w:rFonts w:cs="Arial"/>
          <w:bCs/>
          <w:color w:val="000000" w:themeColor="text1"/>
          <w:szCs w:val="20"/>
        </w:rPr>
        <w:t>vzrostl</w:t>
      </w:r>
      <w:r w:rsidR="00113D4A" w:rsidRPr="001B4728">
        <w:rPr>
          <w:rFonts w:cs="Arial"/>
          <w:bCs/>
          <w:color w:val="000000" w:themeColor="text1"/>
          <w:szCs w:val="20"/>
        </w:rPr>
        <w:t xml:space="preserve"> o</w:t>
      </w:r>
      <w:r w:rsidR="00B82D28" w:rsidRPr="001B4728">
        <w:rPr>
          <w:rFonts w:cs="Arial"/>
          <w:bCs/>
          <w:color w:val="000000" w:themeColor="text1"/>
          <w:szCs w:val="20"/>
        </w:rPr>
        <w:t> </w:t>
      </w:r>
      <w:r w:rsidR="001B4728" w:rsidRPr="001B4728">
        <w:rPr>
          <w:rFonts w:cs="Arial"/>
          <w:bCs/>
          <w:color w:val="000000" w:themeColor="text1"/>
          <w:szCs w:val="20"/>
        </w:rPr>
        <w:t>6,5</w:t>
      </w:r>
      <w:r w:rsidR="00B82D28" w:rsidRPr="001B4728">
        <w:rPr>
          <w:rFonts w:cs="Arial"/>
          <w:bCs/>
          <w:color w:val="000000" w:themeColor="text1"/>
          <w:szCs w:val="20"/>
        </w:rPr>
        <w:t> %</w:t>
      </w:r>
      <w:r w:rsidRPr="001B4728">
        <w:rPr>
          <w:rFonts w:cs="Arial"/>
          <w:bCs/>
          <w:color w:val="000000" w:themeColor="text1"/>
          <w:szCs w:val="20"/>
        </w:rPr>
        <w:t xml:space="preserve">), opačná desetina měla naopak mzdy nad hranicí </w:t>
      </w:r>
      <w:r w:rsidR="001B4728" w:rsidRPr="001B4728">
        <w:rPr>
          <w:rFonts w:cs="Arial"/>
          <w:bCs/>
          <w:color w:val="000000" w:themeColor="text1"/>
          <w:szCs w:val="20"/>
        </w:rPr>
        <w:t>70</w:t>
      </w:r>
      <w:r w:rsidR="00036CC3" w:rsidRPr="001B4728">
        <w:rPr>
          <w:rFonts w:cs="Arial"/>
          <w:bCs/>
          <w:color w:val="000000" w:themeColor="text1"/>
          <w:szCs w:val="20"/>
        </w:rPr>
        <w:t> </w:t>
      </w:r>
      <w:r w:rsidR="001B4728" w:rsidRPr="001B4728">
        <w:rPr>
          <w:rFonts w:cs="Arial"/>
          <w:bCs/>
          <w:color w:val="000000" w:themeColor="text1"/>
          <w:szCs w:val="20"/>
        </w:rPr>
        <w:t>247</w:t>
      </w:r>
      <w:r w:rsidRPr="001B4728">
        <w:rPr>
          <w:rFonts w:cs="Arial"/>
          <w:bCs/>
          <w:color w:val="000000" w:themeColor="text1"/>
          <w:szCs w:val="20"/>
        </w:rPr>
        <w:t> Kč (horní decil</w:t>
      </w:r>
      <w:r w:rsidR="00AF2339" w:rsidRPr="001B4728">
        <w:rPr>
          <w:rFonts w:cs="Arial"/>
          <w:bCs/>
          <w:color w:val="000000" w:themeColor="text1"/>
          <w:szCs w:val="20"/>
        </w:rPr>
        <w:t xml:space="preserve"> se zvýšil o </w:t>
      </w:r>
      <w:r w:rsidR="001B4728" w:rsidRPr="001B4728">
        <w:rPr>
          <w:rFonts w:cs="Arial"/>
          <w:bCs/>
          <w:color w:val="000000" w:themeColor="text1"/>
          <w:szCs w:val="20"/>
        </w:rPr>
        <w:t>7</w:t>
      </w:r>
      <w:r w:rsidR="00036CC3" w:rsidRPr="001B4728">
        <w:rPr>
          <w:rFonts w:cs="Arial"/>
          <w:bCs/>
          <w:color w:val="000000" w:themeColor="text1"/>
          <w:szCs w:val="20"/>
        </w:rPr>
        <w:t>,9</w:t>
      </w:r>
      <w:r w:rsidR="00B82D28" w:rsidRPr="001B4728">
        <w:rPr>
          <w:rFonts w:cs="Arial"/>
          <w:bCs/>
          <w:color w:val="000000" w:themeColor="text1"/>
          <w:szCs w:val="20"/>
        </w:rPr>
        <w:t> %</w:t>
      </w:r>
      <w:r w:rsidRPr="001B4728">
        <w:rPr>
          <w:rFonts w:cs="Arial"/>
          <w:bCs/>
          <w:color w:val="000000" w:themeColor="text1"/>
          <w:szCs w:val="20"/>
        </w:rPr>
        <w:t>).</w:t>
      </w:r>
      <w:r w:rsidR="00B82D28" w:rsidRPr="001B4728">
        <w:rPr>
          <w:rFonts w:cs="Arial"/>
          <w:bCs/>
          <w:color w:val="000000" w:themeColor="text1"/>
          <w:szCs w:val="20"/>
        </w:rPr>
        <w:t xml:space="preserve"> Decilový poměr </w:t>
      </w:r>
      <w:r w:rsidR="00AC17FF" w:rsidRPr="001B4728">
        <w:rPr>
          <w:rFonts w:cs="Arial"/>
          <w:bCs/>
          <w:color w:val="000000" w:themeColor="text1"/>
          <w:szCs w:val="20"/>
        </w:rPr>
        <w:t xml:space="preserve">se </w:t>
      </w:r>
      <w:r w:rsidR="006A1675" w:rsidRPr="001B4728">
        <w:rPr>
          <w:rFonts w:cs="Arial"/>
          <w:bCs/>
          <w:color w:val="000000" w:themeColor="text1"/>
          <w:szCs w:val="20"/>
        </w:rPr>
        <w:t xml:space="preserve">meziročně </w:t>
      </w:r>
      <w:r w:rsidR="00036CC3" w:rsidRPr="001B4728">
        <w:rPr>
          <w:rFonts w:cs="Arial"/>
          <w:bCs/>
          <w:color w:val="000000" w:themeColor="text1"/>
          <w:szCs w:val="20"/>
        </w:rPr>
        <w:t>zvýš</w:t>
      </w:r>
      <w:r w:rsidR="00AC17FF" w:rsidRPr="001B4728">
        <w:rPr>
          <w:rFonts w:cs="Arial"/>
          <w:bCs/>
          <w:color w:val="000000" w:themeColor="text1"/>
          <w:szCs w:val="20"/>
        </w:rPr>
        <w:t>il</w:t>
      </w:r>
      <w:r w:rsidR="00873528" w:rsidRPr="001B4728">
        <w:rPr>
          <w:rFonts w:cs="Arial"/>
          <w:bCs/>
          <w:color w:val="000000" w:themeColor="text1"/>
          <w:szCs w:val="20"/>
        </w:rPr>
        <w:t xml:space="preserve"> o </w:t>
      </w:r>
      <w:r w:rsidR="001B4728" w:rsidRPr="001B4728">
        <w:rPr>
          <w:rFonts w:cs="Arial"/>
          <w:bCs/>
          <w:color w:val="000000" w:themeColor="text1"/>
          <w:szCs w:val="20"/>
        </w:rPr>
        <w:t>0,05</w:t>
      </w:r>
      <w:r w:rsidR="00B82D28" w:rsidRPr="001B4728">
        <w:rPr>
          <w:rFonts w:cs="Arial"/>
          <w:bCs/>
          <w:color w:val="000000" w:themeColor="text1"/>
          <w:szCs w:val="20"/>
        </w:rPr>
        <w:t> bodu</w:t>
      </w:r>
      <w:r w:rsidR="00455379">
        <w:rPr>
          <w:rFonts w:cs="Arial"/>
          <w:bCs/>
          <w:color w:val="000000" w:themeColor="text1"/>
          <w:szCs w:val="20"/>
        </w:rPr>
        <w:t xml:space="preserve"> na 3,64</w:t>
      </w:r>
      <w:r w:rsidR="00B82D28" w:rsidRPr="001B4728">
        <w:rPr>
          <w:rFonts w:cs="Arial"/>
          <w:bCs/>
          <w:color w:val="000000" w:themeColor="text1"/>
          <w:szCs w:val="20"/>
        </w:rPr>
        <w:t>.</w:t>
      </w:r>
    </w:p>
    <w:p w:rsidR="00455379" w:rsidRPr="00312947" w:rsidRDefault="00504882" w:rsidP="00B916A5">
      <w:pPr>
        <w:pStyle w:val="Zkladntextodsazen3"/>
        <w:spacing w:after="0" w:line="276" w:lineRule="auto"/>
        <w:ind w:firstLine="0"/>
        <w:rPr>
          <w:rFonts w:cs="Arial"/>
          <w:bCs/>
          <w:color w:val="C45911" w:themeColor="accent2" w:themeShade="BF"/>
          <w:szCs w:val="20"/>
        </w:rPr>
      </w:pPr>
      <w:r w:rsidRPr="00455379">
        <w:rPr>
          <w:rFonts w:cs="Arial"/>
          <w:bCs/>
          <w:color w:val="000000" w:themeColor="text1"/>
          <w:szCs w:val="20"/>
        </w:rPr>
        <w:t>P</w:t>
      </w:r>
      <w:r w:rsidR="00DF1D0E" w:rsidRPr="00455379">
        <w:rPr>
          <w:rFonts w:cs="Arial"/>
          <w:bCs/>
          <w:color w:val="000000" w:themeColor="text1"/>
          <w:szCs w:val="20"/>
        </w:rPr>
        <w:t>ro</w:t>
      </w:r>
      <w:r w:rsidR="008F4122" w:rsidRPr="00455379">
        <w:rPr>
          <w:rFonts w:cs="Arial"/>
          <w:bCs/>
          <w:color w:val="000000" w:themeColor="text1"/>
          <w:szCs w:val="20"/>
        </w:rPr>
        <w:t xml:space="preserve">střední </w:t>
      </w:r>
      <w:r w:rsidRPr="00455379">
        <w:rPr>
          <w:rFonts w:cs="Arial"/>
          <w:bCs/>
          <w:color w:val="000000" w:themeColor="text1"/>
          <w:szCs w:val="20"/>
        </w:rPr>
        <w:t xml:space="preserve">mzdy </w:t>
      </w:r>
      <w:r w:rsidR="00F53D80" w:rsidRPr="00455379">
        <w:rPr>
          <w:rFonts w:cs="Arial"/>
          <w:bCs/>
          <w:color w:val="000000" w:themeColor="text1"/>
          <w:szCs w:val="20"/>
        </w:rPr>
        <w:t>muž</w:t>
      </w:r>
      <w:r w:rsidRPr="00455379">
        <w:rPr>
          <w:rFonts w:cs="Arial"/>
          <w:bCs/>
          <w:color w:val="000000" w:themeColor="text1"/>
          <w:szCs w:val="20"/>
        </w:rPr>
        <w:t>ů</w:t>
      </w:r>
      <w:r w:rsidR="00B916A5" w:rsidRPr="00455379">
        <w:rPr>
          <w:rFonts w:cs="Arial"/>
          <w:bCs/>
          <w:color w:val="000000" w:themeColor="text1"/>
          <w:szCs w:val="20"/>
        </w:rPr>
        <w:t xml:space="preserve"> </w:t>
      </w:r>
      <w:r w:rsidRPr="00455379">
        <w:rPr>
          <w:rFonts w:cs="Arial"/>
          <w:bCs/>
          <w:color w:val="000000" w:themeColor="text1"/>
          <w:szCs w:val="20"/>
        </w:rPr>
        <w:t>byly</w:t>
      </w:r>
      <w:r w:rsidR="00B916A5" w:rsidRPr="00455379">
        <w:rPr>
          <w:rFonts w:cs="Arial"/>
          <w:bCs/>
          <w:color w:val="000000" w:themeColor="text1"/>
          <w:szCs w:val="20"/>
        </w:rPr>
        <w:t xml:space="preserve"> vyšší</w:t>
      </w:r>
      <w:r w:rsidRPr="00455379">
        <w:rPr>
          <w:rFonts w:cs="Arial"/>
          <w:bCs/>
          <w:color w:val="000000" w:themeColor="text1"/>
          <w:szCs w:val="20"/>
        </w:rPr>
        <w:t xml:space="preserve"> než u žen,</w:t>
      </w:r>
      <w:r w:rsidR="00B916A5" w:rsidRPr="00455379">
        <w:rPr>
          <w:rFonts w:cs="Arial"/>
          <w:bCs/>
          <w:color w:val="000000" w:themeColor="text1"/>
          <w:szCs w:val="20"/>
        </w:rPr>
        <w:t xml:space="preserve"> v </w:t>
      </w:r>
      <w:r w:rsidR="009F1F02" w:rsidRPr="00455379">
        <w:rPr>
          <w:rFonts w:cs="Arial"/>
          <w:bCs/>
          <w:color w:val="000000" w:themeColor="text1"/>
          <w:szCs w:val="20"/>
        </w:rPr>
        <w:t>2</w:t>
      </w:r>
      <w:r w:rsidR="00741EDF" w:rsidRPr="00455379">
        <w:rPr>
          <w:rFonts w:cs="Arial"/>
          <w:bCs/>
          <w:color w:val="000000" w:themeColor="text1"/>
          <w:szCs w:val="20"/>
        </w:rPr>
        <w:t>. čtvrtletí 20</w:t>
      </w:r>
      <w:r w:rsidR="001E1C92" w:rsidRPr="00455379">
        <w:rPr>
          <w:rFonts w:cs="Arial"/>
          <w:bCs/>
          <w:color w:val="000000" w:themeColor="text1"/>
          <w:szCs w:val="20"/>
        </w:rPr>
        <w:t>2</w:t>
      </w:r>
      <w:r w:rsidR="00873528" w:rsidRPr="00455379">
        <w:rPr>
          <w:rFonts w:cs="Arial"/>
          <w:bCs/>
          <w:color w:val="000000" w:themeColor="text1"/>
          <w:szCs w:val="20"/>
        </w:rPr>
        <w:t>3</w:t>
      </w:r>
      <w:r w:rsidR="00B916A5" w:rsidRPr="00455379">
        <w:rPr>
          <w:rFonts w:cs="Arial"/>
          <w:bCs/>
          <w:color w:val="000000" w:themeColor="text1"/>
          <w:szCs w:val="20"/>
        </w:rPr>
        <w:t xml:space="preserve"> byl</w:t>
      </w:r>
      <w:r w:rsidR="00113D4A" w:rsidRPr="00455379">
        <w:rPr>
          <w:rFonts w:cs="Arial"/>
          <w:bCs/>
          <w:color w:val="000000" w:themeColor="text1"/>
          <w:szCs w:val="20"/>
        </w:rPr>
        <w:t>a</w:t>
      </w:r>
      <w:r w:rsidR="00B916A5" w:rsidRPr="00455379">
        <w:rPr>
          <w:rFonts w:cs="Arial"/>
          <w:bCs/>
          <w:color w:val="000000" w:themeColor="text1"/>
          <w:szCs w:val="20"/>
        </w:rPr>
        <w:t xml:space="preserve"> mediánová mzda žen </w:t>
      </w:r>
      <w:r w:rsidR="00036CC3" w:rsidRPr="00455379">
        <w:rPr>
          <w:rFonts w:cs="Arial"/>
          <w:bCs/>
          <w:color w:val="000000" w:themeColor="text1"/>
          <w:szCs w:val="20"/>
        </w:rPr>
        <w:t>3</w:t>
      </w:r>
      <w:r w:rsidR="001B4728" w:rsidRPr="00455379">
        <w:rPr>
          <w:rFonts w:cs="Arial"/>
          <w:bCs/>
          <w:color w:val="000000" w:themeColor="text1"/>
          <w:szCs w:val="20"/>
        </w:rPr>
        <w:t>3</w:t>
      </w:r>
      <w:r w:rsidR="00036CC3" w:rsidRPr="00455379">
        <w:rPr>
          <w:rFonts w:cs="Arial"/>
          <w:bCs/>
          <w:color w:val="000000" w:themeColor="text1"/>
          <w:szCs w:val="20"/>
        </w:rPr>
        <w:t> </w:t>
      </w:r>
      <w:r w:rsidR="001B4728" w:rsidRPr="00455379">
        <w:rPr>
          <w:rFonts w:cs="Arial"/>
          <w:bCs/>
          <w:color w:val="000000" w:themeColor="text1"/>
          <w:szCs w:val="20"/>
        </w:rPr>
        <w:t>862</w:t>
      </w:r>
      <w:r w:rsidR="00B916A5" w:rsidRPr="00455379">
        <w:rPr>
          <w:rFonts w:cs="Arial"/>
          <w:bCs/>
          <w:color w:val="000000" w:themeColor="text1"/>
          <w:szCs w:val="20"/>
        </w:rPr>
        <w:t> Kč</w:t>
      </w:r>
      <w:r w:rsidR="00873528" w:rsidRPr="00455379">
        <w:rPr>
          <w:rFonts w:cs="Arial"/>
          <w:bCs/>
          <w:color w:val="000000" w:themeColor="text1"/>
          <w:szCs w:val="20"/>
        </w:rPr>
        <w:t xml:space="preserve"> (meziročně vzrostla o </w:t>
      </w:r>
      <w:r w:rsidR="00036CC3" w:rsidRPr="00455379">
        <w:rPr>
          <w:rFonts w:cs="Arial"/>
          <w:bCs/>
          <w:color w:val="000000" w:themeColor="text1"/>
          <w:szCs w:val="20"/>
        </w:rPr>
        <w:t>8,</w:t>
      </w:r>
      <w:r w:rsidR="001B4728" w:rsidRPr="00455379">
        <w:rPr>
          <w:rFonts w:cs="Arial"/>
          <w:bCs/>
          <w:color w:val="000000" w:themeColor="text1"/>
          <w:szCs w:val="20"/>
        </w:rPr>
        <w:t>2</w:t>
      </w:r>
      <w:r w:rsidR="00783434" w:rsidRPr="00455379">
        <w:rPr>
          <w:rFonts w:cs="Arial"/>
          <w:bCs/>
          <w:color w:val="000000" w:themeColor="text1"/>
          <w:szCs w:val="20"/>
        </w:rPr>
        <w:t> %),</w:t>
      </w:r>
      <w:r w:rsidR="00B916A5" w:rsidRPr="00455379">
        <w:rPr>
          <w:rFonts w:cs="Arial"/>
          <w:bCs/>
          <w:color w:val="000000" w:themeColor="text1"/>
          <w:szCs w:val="20"/>
        </w:rPr>
        <w:t xml:space="preserve"> zatímco u mužů </w:t>
      </w:r>
      <w:r w:rsidR="00455379" w:rsidRPr="00455379">
        <w:rPr>
          <w:rFonts w:cs="Arial"/>
          <w:bCs/>
          <w:color w:val="000000" w:themeColor="text1"/>
          <w:szCs w:val="20"/>
        </w:rPr>
        <w:t>39</w:t>
      </w:r>
      <w:r w:rsidR="00036CC3" w:rsidRPr="00455379">
        <w:rPr>
          <w:rFonts w:cs="Arial"/>
          <w:bCs/>
          <w:color w:val="000000" w:themeColor="text1"/>
          <w:szCs w:val="20"/>
        </w:rPr>
        <w:t> </w:t>
      </w:r>
      <w:r w:rsidR="00455379" w:rsidRPr="00455379">
        <w:rPr>
          <w:rFonts w:cs="Arial"/>
          <w:bCs/>
          <w:color w:val="000000" w:themeColor="text1"/>
          <w:szCs w:val="20"/>
        </w:rPr>
        <w:t>847</w:t>
      </w:r>
      <w:r w:rsidR="005C4569" w:rsidRPr="00455379">
        <w:rPr>
          <w:rFonts w:cs="Arial"/>
          <w:bCs/>
          <w:color w:val="000000" w:themeColor="text1"/>
          <w:szCs w:val="20"/>
        </w:rPr>
        <w:t> Kč</w:t>
      </w:r>
      <w:r w:rsidR="00783434" w:rsidRPr="00455379">
        <w:rPr>
          <w:rFonts w:cs="Arial"/>
          <w:bCs/>
          <w:color w:val="000000" w:themeColor="text1"/>
          <w:szCs w:val="20"/>
        </w:rPr>
        <w:t xml:space="preserve"> (vzrostl</w:t>
      </w:r>
      <w:r w:rsidR="003C2CDD" w:rsidRPr="00455379">
        <w:rPr>
          <w:rFonts w:cs="Arial"/>
          <w:bCs/>
          <w:color w:val="000000" w:themeColor="text1"/>
          <w:szCs w:val="20"/>
        </w:rPr>
        <w:t>a</w:t>
      </w:r>
      <w:r w:rsidR="00783434" w:rsidRPr="00455379">
        <w:rPr>
          <w:rFonts w:cs="Arial"/>
          <w:bCs/>
          <w:color w:val="000000" w:themeColor="text1"/>
          <w:szCs w:val="20"/>
        </w:rPr>
        <w:t xml:space="preserve"> o </w:t>
      </w:r>
      <w:r w:rsidR="00455379" w:rsidRPr="00455379">
        <w:rPr>
          <w:rFonts w:cs="Arial"/>
          <w:bCs/>
          <w:color w:val="000000" w:themeColor="text1"/>
          <w:szCs w:val="20"/>
        </w:rPr>
        <w:t>7</w:t>
      </w:r>
      <w:r w:rsidR="00036CC3" w:rsidRPr="00455379">
        <w:rPr>
          <w:rFonts w:cs="Arial"/>
          <w:bCs/>
          <w:color w:val="000000" w:themeColor="text1"/>
          <w:szCs w:val="20"/>
        </w:rPr>
        <w:t>,7</w:t>
      </w:r>
      <w:r w:rsidR="00783434" w:rsidRPr="00455379">
        <w:rPr>
          <w:rFonts w:cs="Arial"/>
          <w:bCs/>
          <w:color w:val="000000" w:themeColor="text1"/>
          <w:szCs w:val="20"/>
        </w:rPr>
        <w:t> %)</w:t>
      </w:r>
      <w:r w:rsidR="002B3DCF" w:rsidRPr="00455379">
        <w:rPr>
          <w:rFonts w:cs="Arial"/>
          <w:bCs/>
          <w:color w:val="000000" w:themeColor="text1"/>
          <w:szCs w:val="20"/>
        </w:rPr>
        <w:t>.</w:t>
      </w:r>
      <w:r w:rsidR="00C77762" w:rsidRPr="00455379">
        <w:rPr>
          <w:rFonts w:cs="Arial"/>
          <w:bCs/>
          <w:color w:val="000000" w:themeColor="text1"/>
          <w:szCs w:val="20"/>
        </w:rPr>
        <w:t xml:space="preserve"> </w:t>
      </w:r>
      <w:r w:rsidR="00C77762" w:rsidRPr="009F1F02">
        <w:rPr>
          <w:rFonts w:cs="Arial"/>
          <w:bCs/>
          <w:szCs w:val="20"/>
        </w:rPr>
        <w:t xml:space="preserve">Mezera v prostředních výdělcích </w:t>
      </w:r>
      <w:r w:rsidR="002147CA" w:rsidRPr="009F1F02">
        <w:rPr>
          <w:rFonts w:cs="Arial"/>
          <w:bCs/>
          <w:szCs w:val="20"/>
        </w:rPr>
        <w:t xml:space="preserve">podle </w:t>
      </w:r>
      <w:r w:rsidR="002147CA" w:rsidRPr="00455379">
        <w:rPr>
          <w:rFonts w:cs="Arial"/>
          <w:bCs/>
          <w:color w:val="000000" w:themeColor="text1"/>
          <w:szCs w:val="20"/>
        </w:rPr>
        <w:t xml:space="preserve">pohlaví </w:t>
      </w:r>
      <w:r w:rsidR="009F3EC2" w:rsidRPr="00455379">
        <w:rPr>
          <w:rFonts w:cs="Arial"/>
          <w:bCs/>
          <w:color w:val="000000" w:themeColor="text1"/>
          <w:szCs w:val="20"/>
        </w:rPr>
        <w:t xml:space="preserve">se </w:t>
      </w:r>
      <w:r w:rsidR="00C77762" w:rsidRPr="00455379">
        <w:rPr>
          <w:rFonts w:cs="Arial"/>
          <w:bCs/>
          <w:color w:val="000000" w:themeColor="text1"/>
          <w:szCs w:val="20"/>
        </w:rPr>
        <w:t xml:space="preserve">tak </w:t>
      </w:r>
      <w:r w:rsidR="009F3EC2" w:rsidRPr="00455379">
        <w:rPr>
          <w:rFonts w:cs="Arial"/>
          <w:bCs/>
          <w:color w:val="000000" w:themeColor="text1"/>
          <w:szCs w:val="20"/>
        </w:rPr>
        <w:t xml:space="preserve">meziročně </w:t>
      </w:r>
      <w:r w:rsidR="00455379">
        <w:rPr>
          <w:rFonts w:cs="Arial"/>
          <w:bCs/>
          <w:color w:val="000000" w:themeColor="text1"/>
          <w:szCs w:val="20"/>
        </w:rPr>
        <w:t>sníž</w:t>
      </w:r>
      <w:r w:rsidR="009F3EC2" w:rsidRPr="00455379">
        <w:rPr>
          <w:rFonts w:cs="Arial"/>
          <w:bCs/>
          <w:color w:val="000000" w:themeColor="text1"/>
          <w:szCs w:val="20"/>
        </w:rPr>
        <w:t>i</w:t>
      </w:r>
      <w:r w:rsidR="003C2CDD" w:rsidRPr="00455379">
        <w:rPr>
          <w:rFonts w:cs="Arial"/>
          <w:bCs/>
          <w:color w:val="000000" w:themeColor="text1"/>
          <w:szCs w:val="20"/>
        </w:rPr>
        <w:t>la</w:t>
      </w:r>
      <w:r w:rsidR="00C77762" w:rsidRPr="00455379">
        <w:rPr>
          <w:rFonts w:cs="Arial"/>
          <w:bCs/>
          <w:color w:val="000000" w:themeColor="text1"/>
          <w:szCs w:val="20"/>
        </w:rPr>
        <w:t xml:space="preserve"> </w:t>
      </w:r>
      <w:r w:rsidR="003C2CDD" w:rsidRPr="00455379">
        <w:rPr>
          <w:rFonts w:cs="Arial"/>
          <w:bCs/>
          <w:color w:val="000000" w:themeColor="text1"/>
          <w:szCs w:val="20"/>
        </w:rPr>
        <w:t>o </w:t>
      </w:r>
      <w:r w:rsidR="009F3EC2" w:rsidRPr="00455379">
        <w:rPr>
          <w:rFonts w:cs="Arial"/>
          <w:bCs/>
          <w:color w:val="000000" w:themeColor="text1"/>
          <w:szCs w:val="20"/>
        </w:rPr>
        <w:t>0,</w:t>
      </w:r>
      <w:r w:rsidR="00455379" w:rsidRPr="00455379">
        <w:rPr>
          <w:rFonts w:cs="Arial"/>
          <w:bCs/>
          <w:color w:val="000000" w:themeColor="text1"/>
          <w:szCs w:val="20"/>
        </w:rPr>
        <w:t>4</w:t>
      </w:r>
      <w:r w:rsidR="00F62AAB" w:rsidRPr="00455379">
        <w:rPr>
          <w:rFonts w:cs="Arial"/>
          <w:bCs/>
          <w:color w:val="000000" w:themeColor="text1"/>
          <w:szCs w:val="20"/>
        </w:rPr>
        <w:t> p.</w:t>
      </w:r>
      <w:r w:rsidR="003C2CDD" w:rsidRPr="00455379">
        <w:rPr>
          <w:rFonts w:cs="Arial"/>
          <w:bCs/>
          <w:color w:val="000000" w:themeColor="text1"/>
          <w:szCs w:val="20"/>
        </w:rPr>
        <w:t xml:space="preserve">b. na </w:t>
      </w:r>
      <w:r w:rsidR="009F3EC2" w:rsidRPr="00455379">
        <w:rPr>
          <w:rFonts w:cs="Arial"/>
          <w:bCs/>
          <w:color w:val="000000" w:themeColor="text1"/>
          <w:szCs w:val="20"/>
        </w:rPr>
        <w:t>15,</w:t>
      </w:r>
      <w:r w:rsidR="00455379" w:rsidRPr="00455379">
        <w:rPr>
          <w:rFonts w:cs="Arial"/>
          <w:bCs/>
          <w:color w:val="000000" w:themeColor="text1"/>
          <w:szCs w:val="20"/>
        </w:rPr>
        <w:t>0</w:t>
      </w:r>
      <w:r w:rsidR="00C77762" w:rsidRPr="00455379">
        <w:rPr>
          <w:rFonts w:cs="Arial"/>
          <w:bCs/>
          <w:color w:val="000000" w:themeColor="text1"/>
          <w:szCs w:val="20"/>
        </w:rPr>
        <w:t> %.</w:t>
      </w:r>
    </w:p>
    <w:p w:rsidR="00AF2339" w:rsidRPr="007F422B" w:rsidRDefault="00B916A5" w:rsidP="00915E31">
      <w:pPr>
        <w:pStyle w:val="Zkladntextodsazen3"/>
        <w:spacing w:after="0" w:line="276" w:lineRule="auto"/>
        <w:ind w:firstLine="0"/>
        <w:rPr>
          <w:rFonts w:cs="Arial"/>
          <w:bCs/>
          <w:color w:val="C45911" w:themeColor="accent2" w:themeShade="BF"/>
          <w:szCs w:val="20"/>
        </w:rPr>
      </w:pPr>
      <w:r w:rsidRPr="009F1F02">
        <w:rPr>
          <w:rFonts w:cs="Arial"/>
          <w:bCs/>
          <w:szCs w:val="20"/>
        </w:rPr>
        <w:t xml:space="preserve">Zároveň </w:t>
      </w:r>
      <w:r w:rsidR="00EC2845" w:rsidRPr="009F1F02">
        <w:rPr>
          <w:rFonts w:cs="Arial"/>
          <w:bCs/>
          <w:szCs w:val="20"/>
        </w:rPr>
        <w:t>byly</w:t>
      </w:r>
      <w:r w:rsidRPr="009F1F02">
        <w:rPr>
          <w:rFonts w:cs="Arial"/>
          <w:bCs/>
          <w:szCs w:val="20"/>
        </w:rPr>
        <w:t xml:space="preserve"> mzdy</w:t>
      </w:r>
      <w:r w:rsidR="00EC2845" w:rsidRPr="009F1F02">
        <w:rPr>
          <w:rFonts w:cs="Arial"/>
          <w:bCs/>
          <w:szCs w:val="20"/>
        </w:rPr>
        <w:t xml:space="preserve"> mužů</w:t>
      </w:r>
      <w:r w:rsidRPr="009F1F02">
        <w:rPr>
          <w:rFonts w:cs="Arial"/>
          <w:bCs/>
          <w:szCs w:val="20"/>
        </w:rPr>
        <w:t xml:space="preserve"> rozprostřené v podstatně větší šíři, zejména oblast v</w:t>
      </w:r>
      <w:r w:rsidRPr="00455379">
        <w:rPr>
          <w:rFonts w:cs="Arial"/>
          <w:bCs/>
          <w:color w:val="000000" w:themeColor="text1"/>
          <w:szCs w:val="20"/>
        </w:rPr>
        <w:t xml:space="preserve">ysokých výdělků je </w:t>
      </w:r>
      <w:r w:rsidR="00C77762" w:rsidRPr="00455379">
        <w:rPr>
          <w:rFonts w:cs="Arial"/>
          <w:bCs/>
          <w:color w:val="000000" w:themeColor="text1"/>
          <w:szCs w:val="20"/>
        </w:rPr>
        <w:t xml:space="preserve">výrazněji </w:t>
      </w:r>
      <w:r w:rsidRPr="00455379">
        <w:rPr>
          <w:rFonts w:cs="Arial"/>
          <w:bCs/>
          <w:color w:val="000000" w:themeColor="text1"/>
          <w:szCs w:val="20"/>
        </w:rPr>
        <w:t>vyšší než u žen</w:t>
      </w:r>
      <w:r w:rsidR="0039083A" w:rsidRPr="00455379">
        <w:rPr>
          <w:rFonts w:cs="Arial"/>
          <w:bCs/>
          <w:color w:val="000000" w:themeColor="text1"/>
          <w:szCs w:val="20"/>
        </w:rPr>
        <w:t>:</w:t>
      </w:r>
      <w:r w:rsidRPr="00455379">
        <w:rPr>
          <w:rFonts w:cs="Arial"/>
          <w:bCs/>
          <w:color w:val="000000" w:themeColor="text1"/>
          <w:szCs w:val="20"/>
        </w:rPr>
        <w:t xml:space="preserve"> </w:t>
      </w:r>
      <w:r w:rsidR="00AA3CC5" w:rsidRPr="00455379">
        <w:rPr>
          <w:rFonts w:cs="Arial"/>
          <w:bCs/>
          <w:color w:val="000000" w:themeColor="text1"/>
          <w:szCs w:val="20"/>
        </w:rPr>
        <w:t xml:space="preserve">ženy </w:t>
      </w:r>
      <w:r w:rsidR="005905BF" w:rsidRPr="00455379">
        <w:rPr>
          <w:rFonts w:cs="Arial"/>
          <w:bCs/>
          <w:color w:val="000000" w:themeColor="text1"/>
          <w:szCs w:val="20"/>
        </w:rPr>
        <w:t xml:space="preserve">měly horní decil </w:t>
      </w:r>
      <w:r w:rsidR="00455379" w:rsidRPr="00455379">
        <w:rPr>
          <w:rFonts w:cs="Arial"/>
          <w:bCs/>
          <w:color w:val="000000" w:themeColor="text1"/>
          <w:szCs w:val="20"/>
        </w:rPr>
        <w:t>60</w:t>
      </w:r>
      <w:r w:rsidR="009F3EC2" w:rsidRPr="00455379">
        <w:rPr>
          <w:rFonts w:cs="Arial"/>
          <w:bCs/>
          <w:color w:val="000000" w:themeColor="text1"/>
          <w:szCs w:val="20"/>
        </w:rPr>
        <w:t> </w:t>
      </w:r>
      <w:r w:rsidR="00455379" w:rsidRPr="00455379">
        <w:rPr>
          <w:rFonts w:cs="Arial"/>
          <w:bCs/>
          <w:color w:val="000000" w:themeColor="text1"/>
          <w:szCs w:val="20"/>
        </w:rPr>
        <w:t>428</w:t>
      </w:r>
      <w:r w:rsidR="00622503" w:rsidRPr="00455379">
        <w:rPr>
          <w:rFonts w:cs="Arial"/>
          <w:bCs/>
          <w:color w:val="000000" w:themeColor="text1"/>
          <w:szCs w:val="20"/>
        </w:rPr>
        <w:t> Kč a </w:t>
      </w:r>
      <w:r w:rsidRPr="00455379">
        <w:rPr>
          <w:rFonts w:cs="Arial"/>
          <w:bCs/>
          <w:color w:val="000000" w:themeColor="text1"/>
          <w:szCs w:val="20"/>
        </w:rPr>
        <w:t xml:space="preserve">muži </w:t>
      </w:r>
      <w:r w:rsidR="009F3EC2" w:rsidRPr="00455379">
        <w:rPr>
          <w:rFonts w:cs="Arial"/>
          <w:bCs/>
          <w:color w:val="000000" w:themeColor="text1"/>
          <w:szCs w:val="20"/>
        </w:rPr>
        <w:t>7</w:t>
      </w:r>
      <w:r w:rsidR="00455379" w:rsidRPr="00455379">
        <w:rPr>
          <w:rFonts w:cs="Arial"/>
          <w:bCs/>
          <w:color w:val="000000" w:themeColor="text1"/>
          <w:szCs w:val="20"/>
        </w:rPr>
        <w:t>9</w:t>
      </w:r>
      <w:r w:rsidR="009F3EC2" w:rsidRPr="00455379">
        <w:rPr>
          <w:rFonts w:cs="Arial"/>
          <w:bCs/>
          <w:color w:val="000000" w:themeColor="text1"/>
          <w:szCs w:val="20"/>
        </w:rPr>
        <w:t> </w:t>
      </w:r>
      <w:r w:rsidR="00455379" w:rsidRPr="00455379">
        <w:rPr>
          <w:rFonts w:cs="Arial"/>
          <w:bCs/>
          <w:color w:val="000000" w:themeColor="text1"/>
          <w:szCs w:val="20"/>
        </w:rPr>
        <w:t>740</w:t>
      </w:r>
      <w:r w:rsidR="009F3EC2" w:rsidRPr="00455379">
        <w:rPr>
          <w:rFonts w:cs="Arial"/>
          <w:bCs/>
          <w:color w:val="000000" w:themeColor="text1"/>
          <w:szCs w:val="20"/>
        </w:rPr>
        <w:t> </w:t>
      </w:r>
      <w:r w:rsidRPr="00455379">
        <w:rPr>
          <w:rFonts w:cs="Arial"/>
          <w:bCs/>
          <w:color w:val="000000" w:themeColor="text1"/>
          <w:szCs w:val="20"/>
        </w:rPr>
        <w:t>Kč,</w:t>
      </w:r>
      <w:r w:rsidR="00AA3CC5" w:rsidRPr="00312947">
        <w:rPr>
          <w:rFonts w:cs="Arial"/>
          <w:bCs/>
          <w:color w:val="C45911" w:themeColor="accent2" w:themeShade="BF"/>
          <w:szCs w:val="20"/>
        </w:rPr>
        <w:t xml:space="preserve"> </w:t>
      </w:r>
      <w:r w:rsidR="002B3DCF" w:rsidRPr="009F1F02">
        <w:rPr>
          <w:rFonts w:cs="Arial"/>
          <w:bCs/>
          <w:szCs w:val="20"/>
        </w:rPr>
        <w:t>čímž byl</w:t>
      </w:r>
      <w:r w:rsidR="00C77762" w:rsidRPr="009F1F02">
        <w:rPr>
          <w:rFonts w:cs="Arial"/>
          <w:bCs/>
          <w:szCs w:val="20"/>
        </w:rPr>
        <w:t>a</w:t>
      </w:r>
      <w:r w:rsidR="00AA3CC5" w:rsidRPr="009F1F02">
        <w:rPr>
          <w:rFonts w:cs="Arial"/>
          <w:bCs/>
          <w:szCs w:val="20"/>
        </w:rPr>
        <w:t xml:space="preserve"> </w:t>
      </w:r>
      <w:r w:rsidR="00C77762" w:rsidRPr="009F1F02">
        <w:rPr>
          <w:rFonts w:cs="Arial"/>
          <w:bCs/>
          <w:szCs w:val="20"/>
        </w:rPr>
        <w:t xml:space="preserve">mezera u vysokých </w:t>
      </w:r>
      <w:r w:rsidR="00C77762" w:rsidRPr="00455379">
        <w:rPr>
          <w:rFonts w:cs="Arial"/>
          <w:bCs/>
          <w:color w:val="000000" w:themeColor="text1"/>
          <w:szCs w:val="20"/>
        </w:rPr>
        <w:t xml:space="preserve">výdělků </w:t>
      </w:r>
      <w:r w:rsidR="009F3EC2" w:rsidRPr="00455379">
        <w:rPr>
          <w:rFonts w:cs="Arial"/>
          <w:bCs/>
          <w:color w:val="000000" w:themeColor="text1"/>
          <w:szCs w:val="20"/>
        </w:rPr>
        <w:t>2</w:t>
      </w:r>
      <w:r w:rsidR="00455379" w:rsidRPr="00455379">
        <w:rPr>
          <w:rFonts w:cs="Arial"/>
          <w:bCs/>
          <w:color w:val="000000" w:themeColor="text1"/>
          <w:szCs w:val="20"/>
        </w:rPr>
        <w:t>4</w:t>
      </w:r>
      <w:r w:rsidR="009F3EC2" w:rsidRPr="00455379">
        <w:rPr>
          <w:rFonts w:cs="Arial"/>
          <w:bCs/>
          <w:color w:val="000000" w:themeColor="text1"/>
          <w:szCs w:val="20"/>
        </w:rPr>
        <w:t>,</w:t>
      </w:r>
      <w:r w:rsidR="00455379" w:rsidRPr="00455379">
        <w:rPr>
          <w:rFonts w:cs="Arial"/>
          <w:bCs/>
          <w:color w:val="000000" w:themeColor="text1"/>
          <w:szCs w:val="20"/>
        </w:rPr>
        <w:t>2</w:t>
      </w:r>
      <w:r w:rsidR="009F3EC2" w:rsidRPr="00455379">
        <w:rPr>
          <w:rFonts w:cs="Arial"/>
          <w:bCs/>
          <w:color w:val="000000" w:themeColor="text1"/>
          <w:szCs w:val="20"/>
        </w:rPr>
        <w:t> </w:t>
      </w:r>
      <w:r w:rsidR="00C77762" w:rsidRPr="00455379">
        <w:rPr>
          <w:rFonts w:cs="Arial"/>
          <w:bCs/>
          <w:color w:val="000000" w:themeColor="text1"/>
          <w:szCs w:val="20"/>
        </w:rPr>
        <w:t>%</w:t>
      </w:r>
      <w:r w:rsidR="00455379">
        <w:rPr>
          <w:rFonts w:cs="Arial"/>
          <w:bCs/>
          <w:color w:val="000000" w:themeColor="text1"/>
          <w:szCs w:val="20"/>
        </w:rPr>
        <w:t xml:space="preserve"> a meziročně n</w:t>
      </w:r>
      <w:r w:rsidR="00455379" w:rsidRPr="00455379">
        <w:rPr>
          <w:rFonts w:cs="Arial"/>
          <w:bCs/>
          <w:color w:val="000000" w:themeColor="text1"/>
          <w:szCs w:val="20"/>
        </w:rPr>
        <w:t>arostla o 1,0 procentního bodu</w:t>
      </w:r>
      <w:r w:rsidRPr="00455379">
        <w:rPr>
          <w:rFonts w:cs="Arial"/>
          <w:bCs/>
          <w:color w:val="000000" w:themeColor="text1"/>
          <w:szCs w:val="20"/>
        </w:rPr>
        <w:t xml:space="preserve">. </w:t>
      </w:r>
      <w:r w:rsidR="00DF1D0E" w:rsidRPr="00455379">
        <w:rPr>
          <w:rFonts w:cs="Arial"/>
          <w:bCs/>
          <w:color w:val="000000" w:themeColor="text1"/>
          <w:szCs w:val="20"/>
        </w:rPr>
        <w:t>U </w:t>
      </w:r>
      <w:r w:rsidRPr="00455379">
        <w:rPr>
          <w:rFonts w:cs="Arial"/>
          <w:bCs/>
          <w:color w:val="000000" w:themeColor="text1"/>
          <w:szCs w:val="20"/>
        </w:rPr>
        <w:t xml:space="preserve">nízkých výdělků </w:t>
      </w:r>
      <w:r w:rsidR="00DF1D0E" w:rsidRPr="00455379">
        <w:rPr>
          <w:rFonts w:cs="Arial"/>
          <w:bCs/>
          <w:color w:val="000000" w:themeColor="text1"/>
          <w:szCs w:val="20"/>
        </w:rPr>
        <w:t>byl</w:t>
      </w:r>
      <w:r w:rsidRPr="00455379">
        <w:rPr>
          <w:rFonts w:cs="Arial"/>
          <w:bCs/>
          <w:color w:val="000000" w:themeColor="text1"/>
          <w:szCs w:val="20"/>
        </w:rPr>
        <w:t xml:space="preserve"> </w:t>
      </w:r>
      <w:r w:rsidR="00C77762" w:rsidRPr="00455379">
        <w:rPr>
          <w:rFonts w:cs="Arial"/>
          <w:bCs/>
          <w:color w:val="000000" w:themeColor="text1"/>
          <w:szCs w:val="20"/>
        </w:rPr>
        <w:t xml:space="preserve">naopak </w:t>
      </w:r>
      <w:r w:rsidRPr="00455379">
        <w:rPr>
          <w:rFonts w:cs="Arial"/>
          <w:bCs/>
          <w:color w:val="000000" w:themeColor="text1"/>
          <w:szCs w:val="20"/>
        </w:rPr>
        <w:t>rozdíl</w:t>
      </w:r>
      <w:r w:rsidR="00455379" w:rsidRPr="00455379">
        <w:rPr>
          <w:rFonts w:cs="Arial"/>
          <w:bCs/>
          <w:color w:val="000000" w:themeColor="text1"/>
          <w:szCs w:val="20"/>
        </w:rPr>
        <w:t xml:space="preserve"> slabší a meziročně niž</w:t>
      </w:r>
      <w:r w:rsidR="002B3DCF" w:rsidRPr="00455379">
        <w:rPr>
          <w:rFonts w:cs="Arial"/>
          <w:bCs/>
          <w:color w:val="000000" w:themeColor="text1"/>
          <w:szCs w:val="20"/>
        </w:rPr>
        <w:t>ší</w:t>
      </w:r>
      <w:r w:rsidR="00455379" w:rsidRPr="00455379">
        <w:rPr>
          <w:rFonts w:cs="Arial"/>
          <w:bCs/>
          <w:color w:val="000000" w:themeColor="text1"/>
          <w:szCs w:val="20"/>
        </w:rPr>
        <w:t xml:space="preserve"> o 2,7 p.b.</w:t>
      </w:r>
      <w:r w:rsidR="00DF1D0E" w:rsidRPr="00455379">
        <w:rPr>
          <w:rFonts w:cs="Arial"/>
          <w:bCs/>
          <w:color w:val="000000" w:themeColor="text1"/>
          <w:szCs w:val="20"/>
        </w:rPr>
        <w:t xml:space="preserve">: </w:t>
      </w:r>
      <w:r w:rsidR="00AA3CC5" w:rsidRPr="00455379">
        <w:rPr>
          <w:rFonts w:cs="Arial"/>
          <w:bCs/>
          <w:color w:val="000000" w:themeColor="text1"/>
          <w:szCs w:val="20"/>
        </w:rPr>
        <w:t xml:space="preserve">ženy </w:t>
      </w:r>
      <w:r w:rsidR="003D2097" w:rsidRPr="00455379">
        <w:rPr>
          <w:rFonts w:cs="Arial"/>
          <w:bCs/>
          <w:color w:val="000000" w:themeColor="text1"/>
          <w:szCs w:val="20"/>
        </w:rPr>
        <w:t xml:space="preserve">měly </w:t>
      </w:r>
      <w:r w:rsidRPr="00455379">
        <w:rPr>
          <w:rFonts w:cs="Arial"/>
          <w:bCs/>
          <w:color w:val="000000" w:themeColor="text1"/>
          <w:szCs w:val="20"/>
        </w:rPr>
        <w:t>dolní decil</w:t>
      </w:r>
      <w:r w:rsidR="005905BF" w:rsidRPr="00455379">
        <w:rPr>
          <w:rFonts w:cs="Arial"/>
          <w:bCs/>
          <w:color w:val="000000" w:themeColor="text1"/>
          <w:szCs w:val="20"/>
        </w:rPr>
        <w:t xml:space="preserve"> </w:t>
      </w:r>
      <w:r w:rsidR="009F3EC2" w:rsidRPr="00455379">
        <w:rPr>
          <w:rFonts w:cs="Arial"/>
          <w:bCs/>
          <w:color w:val="000000" w:themeColor="text1"/>
          <w:szCs w:val="20"/>
        </w:rPr>
        <w:t>1</w:t>
      </w:r>
      <w:r w:rsidR="00455379" w:rsidRPr="00455379">
        <w:rPr>
          <w:rFonts w:cs="Arial"/>
          <w:bCs/>
          <w:color w:val="000000" w:themeColor="text1"/>
          <w:szCs w:val="20"/>
        </w:rPr>
        <w:t>8</w:t>
      </w:r>
      <w:r w:rsidR="009F3EC2" w:rsidRPr="00455379">
        <w:rPr>
          <w:rFonts w:cs="Arial"/>
          <w:bCs/>
          <w:color w:val="000000" w:themeColor="text1"/>
          <w:szCs w:val="20"/>
        </w:rPr>
        <w:t> </w:t>
      </w:r>
      <w:r w:rsidR="00455379" w:rsidRPr="00455379">
        <w:rPr>
          <w:rFonts w:cs="Arial"/>
          <w:bCs/>
          <w:color w:val="000000" w:themeColor="text1"/>
          <w:szCs w:val="20"/>
        </w:rPr>
        <w:t>696</w:t>
      </w:r>
      <w:r w:rsidR="009F3EC2" w:rsidRPr="00455379">
        <w:rPr>
          <w:rFonts w:cs="Arial"/>
          <w:bCs/>
          <w:color w:val="000000" w:themeColor="text1"/>
          <w:szCs w:val="20"/>
        </w:rPr>
        <w:t> </w:t>
      </w:r>
      <w:r w:rsidR="00C33B50" w:rsidRPr="00455379">
        <w:rPr>
          <w:rFonts w:cs="Arial"/>
          <w:bCs/>
          <w:color w:val="000000" w:themeColor="text1"/>
          <w:szCs w:val="20"/>
        </w:rPr>
        <w:t>Kč,</w:t>
      </w:r>
      <w:r w:rsidRPr="00455379">
        <w:rPr>
          <w:rFonts w:cs="Arial"/>
          <w:bCs/>
          <w:color w:val="000000" w:themeColor="text1"/>
          <w:szCs w:val="20"/>
        </w:rPr>
        <w:t xml:space="preserve"> muži</w:t>
      </w:r>
      <w:r w:rsidR="004D2D28" w:rsidRPr="00455379">
        <w:rPr>
          <w:rFonts w:cs="Arial"/>
          <w:bCs/>
          <w:color w:val="000000" w:themeColor="text1"/>
          <w:szCs w:val="20"/>
        </w:rPr>
        <w:t xml:space="preserve"> </w:t>
      </w:r>
      <w:r w:rsidR="00C33B50" w:rsidRPr="00455379">
        <w:rPr>
          <w:rFonts w:cs="Arial"/>
          <w:bCs/>
          <w:color w:val="000000" w:themeColor="text1"/>
          <w:szCs w:val="20"/>
        </w:rPr>
        <w:t xml:space="preserve">pak </w:t>
      </w:r>
      <w:r w:rsidR="00455379" w:rsidRPr="00455379">
        <w:rPr>
          <w:rFonts w:cs="Arial"/>
          <w:bCs/>
          <w:color w:val="000000" w:themeColor="text1"/>
          <w:szCs w:val="20"/>
        </w:rPr>
        <w:t>20</w:t>
      </w:r>
      <w:r w:rsidR="009F3EC2" w:rsidRPr="00455379">
        <w:rPr>
          <w:rFonts w:cs="Arial"/>
          <w:bCs/>
          <w:color w:val="000000" w:themeColor="text1"/>
          <w:szCs w:val="20"/>
        </w:rPr>
        <w:t> </w:t>
      </w:r>
      <w:r w:rsidR="00455379" w:rsidRPr="00455379">
        <w:rPr>
          <w:rFonts w:cs="Arial"/>
          <w:bCs/>
          <w:color w:val="000000" w:themeColor="text1"/>
          <w:szCs w:val="20"/>
        </w:rPr>
        <w:t>043</w:t>
      </w:r>
      <w:r w:rsidR="009F3EC2" w:rsidRPr="00455379">
        <w:rPr>
          <w:rFonts w:cs="Arial"/>
          <w:bCs/>
          <w:color w:val="000000" w:themeColor="text1"/>
          <w:szCs w:val="20"/>
        </w:rPr>
        <w:t> </w:t>
      </w:r>
      <w:r w:rsidR="004D2D28" w:rsidRPr="00455379">
        <w:rPr>
          <w:rFonts w:cs="Arial"/>
          <w:bCs/>
          <w:color w:val="000000" w:themeColor="text1"/>
          <w:szCs w:val="20"/>
        </w:rPr>
        <w:t>Kč,</w:t>
      </w:r>
      <w:r w:rsidR="00C77762" w:rsidRPr="00455379">
        <w:rPr>
          <w:rFonts w:cs="Arial"/>
          <w:bCs/>
          <w:color w:val="000000" w:themeColor="text1"/>
          <w:szCs w:val="20"/>
        </w:rPr>
        <w:t xml:space="preserve"> což představuje mezeru</w:t>
      </w:r>
      <w:r w:rsidR="002147CA" w:rsidRPr="00455379">
        <w:rPr>
          <w:rFonts w:cs="Arial"/>
          <w:bCs/>
          <w:color w:val="000000" w:themeColor="text1"/>
          <w:szCs w:val="20"/>
        </w:rPr>
        <w:t> </w:t>
      </w:r>
      <w:r w:rsidR="00455379" w:rsidRPr="00455379">
        <w:rPr>
          <w:rFonts w:cs="Arial"/>
          <w:bCs/>
          <w:color w:val="000000" w:themeColor="text1"/>
          <w:szCs w:val="20"/>
        </w:rPr>
        <w:t>6,</w:t>
      </w:r>
      <w:r w:rsidR="009F3EC2" w:rsidRPr="00455379">
        <w:rPr>
          <w:rFonts w:cs="Arial"/>
          <w:bCs/>
          <w:color w:val="000000" w:themeColor="text1"/>
          <w:szCs w:val="20"/>
        </w:rPr>
        <w:t>7</w:t>
      </w:r>
      <w:r w:rsidR="00C33B50" w:rsidRPr="00455379">
        <w:rPr>
          <w:rFonts w:cs="Arial"/>
          <w:bCs/>
          <w:color w:val="000000" w:themeColor="text1"/>
          <w:szCs w:val="20"/>
        </w:rPr>
        <w:t> %</w:t>
      </w:r>
      <w:r w:rsidR="004D2D28" w:rsidRPr="00455379">
        <w:rPr>
          <w:rFonts w:cs="Arial"/>
          <w:bCs/>
          <w:color w:val="000000" w:themeColor="text1"/>
          <w:szCs w:val="20"/>
        </w:rPr>
        <w:t>.</w:t>
      </w:r>
    </w:p>
    <w:p w:rsidR="00312947" w:rsidRPr="007F422B" w:rsidRDefault="00312947" w:rsidP="00312947">
      <w:pPr>
        <w:pStyle w:val="Zkladntextodsazen3"/>
        <w:spacing w:after="0" w:line="276" w:lineRule="auto"/>
        <w:ind w:firstLine="0"/>
        <w:rPr>
          <w:rFonts w:cs="Arial"/>
          <w:bCs/>
          <w:color w:val="C45911" w:themeColor="accent2" w:themeShade="BF"/>
          <w:szCs w:val="20"/>
        </w:rPr>
      </w:pPr>
    </w:p>
    <w:p w:rsidR="00312947" w:rsidRPr="00455379" w:rsidRDefault="00312947" w:rsidP="00312947">
      <w:pPr>
        <w:pStyle w:val="Zkladntextodsazen3"/>
        <w:spacing w:after="0" w:line="276" w:lineRule="auto"/>
        <w:ind w:left="720" w:firstLine="0"/>
        <w:jc w:val="center"/>
        <w:rPr>
          <w:rFonts w:cs="Arial"/>
          <w:bCs/>
          <w:color w:val="000000" w:themeColor="text1"/>
          <w:szCs w:val="20"/>
        </w:rPr>
      </w:pPr>
      <w:r w:rsidRPr="00455379">
        <w:rPr>
          <w:rFonts w:cs="Arial"/>
          <w:bCs/>
          <w:color w:val="000000" w:themeColor="text1"/>
          <w:szCs w:val="20"/>
        </w:rPr>
        <w:t>* * *</w:t>
      </w:r>
    </w:p>
    <w:p w:rsidR="00312947" w:rsidRPr="007F422B" w:rsidRDefault="00312947" w:rsidP="00455379">
      <w:pPr>
        <w:pStyle w:val="Zkladntextodsazen3"/>
        <w:spacing w:after="0" w:line="276" w:lineRule="auto"/>
        <w:ind w:firstLine="0"/>
        <w:rPr>
          <w:rFonts w:cs="Arial"/>
          <w:bCs/>
          <w:color w:val="C45911" w:themeColor="accent2" w:themeShade="BF"/>
          <w:szCs w:val="20"/>
        </w:rPr>
      </w:pPr>
    </w:p>
    <w:p w:rsidR="00312947" w:rsidRPr="009F1F02" w:rsidRDefault="00312947" w:rsidP="00312947">
      <w:pPr>
        <w:rPr>
          <w:rFonts w:cs="Arial"/>
        </w:rPr>
      </w:pPr>
      <w:r w:rsidRPr="009F1F02">
        <w:rPr>
          <w:rFonts w:cs="Arial"/>
        </w:rPr>
        <w:t xml:space="preserve">Předběžné výsledky </w:t>
      </w:r>
      <w:r w:rsidRPr="009F1F02">
        <w:rPr>
          <w:rFonts w:cs="Arial"/>
          <w:b/>
        </w:rPr>
        <w:t>Informačního systému o průměrném výdělku</w:t>
      </w:r>
      <w:r w:rsidRPr="009F1F02">
        <w:rPr>
          <w:rFonts w:cs="Arial"/>
        </w:rPr>
        <w:t xml:space="preserve"> (ISPV) za </w:t>
      </w:r>
      <w:r w:rsidR="007F422B" w:rsidRPr="009F1F02">
        <w:rPr>
          <w:rFonts w:cs="Arial"/>
          <w:b/>
        </w:rPr>
        <w:t>1</w:t>
      </w:r>
      <w:r w:rsidRPr="009F1F02">
        <w:rPr>
          <w:rFonts w:cs="Arial"/>
          <w:b/>
        </w:rPr>
        <w:t>. pololetí</w:t>
      </w:r>
      <w:r w:rsidRPr="009F1F02">
        <w:rPr>
          <w:rFonts w:cs="Arial"/>
        </w:rPr>
        <w:t xml:space="preserve"> 202</w:t>
      </w:r>
      <w:r w:rsidR="007F422B" w:rsidRPr="009F1F02">
        <w:rPr>
          <w:rFonts w:cs="Arial"/>
        </w:rPr>
        <w:t>3</w:t>
      </w:r>
      <w:r w:rsidRPr="009F1F02">
        <w:rPr>
          <w:rFonts w:cs="Arial"/>
        </w:rPr>
        <w:t xml:space="preserve"> přináší podrobnější vhled do mzdových struktur, distribucí a socioekonomických třídění. ISPV však používá odlišnou metodiku výpočtu osobního výdělku zaměstnance (především vylučuje veškeré absence), a tyto údaje proto nejsou porovnatelné s výše uvedenými hodnotami mezd ani s čísly v tabulkách k Rychlé informaci ČSÚ.</w:t>
      </w:r>
    </w:p>
    <w:p w:rsidR="00312947" w:rsidRPr="007F422B" w:rsidRDefault="00312947" w:rsidP="00312947">
      <w:pPr>
        <w:rPr>
          <w:rFonts w:cs="Arial"/>
          <w:color w:val="C45911" w:themeColor="accent2" w:themeShade="BF"/>
        </w:rPr>
      </w:pPr>
      <w:r w:rsidRPr="009F1F02">
        <w:rPr>
          <w:rFonts w:cs="Arial"/>
        </w:rPr>
        <w:t xml:space="preserve">Podle platné klasifikace </w:t>
      </w:r>
      <w:r w:rsidRPr="009F1F02">
        <w:rPr>
          <w:rFonts w:cs="Arial"/>
          <w:b/>
        </w:rPr>
        <w:t>zaměstnání</w:t>
      </w:r>
      <w:r w:rsidRPr="009F1F02">
        <w:rPr>
          <w:rFonts w:cs="Arial"/>
        </w:rPr>
        <w:t xml:space="preserve"> CZ-ISCO pobírali nejvyšší výdělky řídící pracovníci </w:t>
      </w:r>
      <w:r w:rsidRPr="00FB66A4">
        <w:rPr>
          <w:rFonts w:cs="Arial"/>
          <w:color w:val="000000" w:themeColor="text1"/>
        </w:rPr>
        <w:t>s mediánem 7</w:t>
      </w:r>
      <w:r w:rsidR="00FB66A4" w:rsidRPr="00FB66A4">
        <w:rPr>
          <w:rFonts w:cs="Arial"/>
          <w:color w:val="000000" w:themeColor="text1"/>
        </w:rPr>
        <w:t>6</w:t>
      </w:r>
      <w:r w:rsidRPr="00FB66A4">
        <w:rPr>
          <w:rFonts w:cs="Arial"/>
          <w:color w:val="000000" w:themeColor="text1"/>
        </w:rPr>
        <w:t> </w:t>
      </w:r>
      <w:r w:rsidR="00FB66A4" w:rsidRPr="00FB66A4">
        <w:rPr>
          <w:rFonts w:cs="Arial"/>
          <w:color w:val="000000" w:themeColor="text1"/>
        </w:rPr>
        <w:t>594</w:t>
      </w:r>
      <w:r w:rsidRPr="00FB66A4">
        <w:rPr>
          <w:rFonts w:cs="Arial"/>
          <w:color w:val="000000" w:themeColor="text1"/>
        </w:rPr>
        <w:t> Kč</w:t>
      </w:r>
      <w:r w:rsidR="007E676C">
        <w:rPr>
          <w:rFonts w:cs="Arial"/>
          <w:color w:val="000000" w:themeColor="text1"/>
        </w:rPr>
        <w:t>,</w:t>
      </w:r>
      <w:r w:rsidR="00FB66A4">
        <w:rPr>
          <w:rFonts w:cs="Arial"/>
          <w:color w:val="000000" w:themeColor="text1"/>
        </w:rPr>
        <w:t> </w:t>
      </w:r>
      <w:r w:rsidR="007E676C">
        <w:rPr>
          <w:rFonts w:cs="Arial"/>
          <w:color w:val="000000" w:themeColor="text1"/>
        </w:rPr>
        <w:t xml:space="preserve">ten se </w:t>
      </w:r>
      <w:r w:rsidRPr="00FB66A4">
        <w:rPr>
          <w:rFonts w:cs="Arial"/>
          <w:color w:val="000000" w:themeColor="text1"/>
        </w:rPr>
        <w:t xml:space="preserve">meziročně zvýšil </w:t>
      </w:r>
      <w:r w:rsidR="00FB66A4" w:rsidRPr="00FB66A4">
        <w:rPr>
          <w:rFonts w:cs="Arial"/>
          <w:color w:val="000000" w:themeColor="text1"/>
        </w:rPr>
        <w:t xml:space="preserve">nadstandardně </w:t>
      </w:r>
      <w:r w:rsidRPr="00FB66A4">
        <w:rPr>
          <w:rFonts w:cs="Arial"/>
          <w:color w:val="000000" w:themeColor="text1"/>
        </w:rPr>
        <w:t>o </w:t>
      </w:r>
      <w:r w:rsidR="00FB66A4" w:rsidRPr="00FB66A4">
        <w:rPr>
          <w:rFonts w:cs="Arial"/>
          <w:color w:val="000000" w:themeColor="text1"/>
        </w:rPr>
        <w:t>8,3</w:t>
      </w:r>
      <w:r w:rsidRPr="00FB66A4">
        <w:rPr>
          <w:rFonts w:cs="Arial"/>
          <w:color w:val="000000" w:themeColor="text1"/>
        </w:rPr>
        <w:t xml:space="preserve"> %. Jejich </w:t>
      </w:r>
      <w:r w:rsidRPr="009F1F02">
        <w:rPr>
          <w:rFonts w:cs="Arial"/>
        </w:rPr>
        <w:t>mzdy jsou nejvíce diferencované, d</w:t>
      </w:r>
      <w:r w:rsidRPr="00FB66A4">
        <w:rPr>
          <w:rFonts w:cs="Arial"/>
          <w:color w:val="000000" w:themeColor="text1"/>
        </w:rPr>
        <w:t>esetina nejlépe placených brala více než 1</w:t>
      </w:r>
      <w:r w:rsidR="00FB66A4" w:rsidRPr="00FB66A4">
        <w:rPr>
          <w:rFonts w:cs="Arial"/>
          <w:color w:val="000000" w:themeColor="text1"/>
        </w:rPr>
        <w:t>86</w:t>
      </w:r>
      <w:r w:rsidRPr="00FB66A4">
        <w:rPr>
          <w:rFonts w:cs="Arial"/>
          <w:color w:val="000000" w:themeColor="text1"/>
        </w:rPr>
        <w:t> </w:t>
      </w:r>
      <w:r w:rsidR="00FB66A4" w:rsidRPr="00FB66A4">
        <w:rPr>
          <w:rFonts w:cs="Arial"/>
          <w:color w:val="000000" w:themeColor="text1"/>
        </w:rPr>
        <w:t>908</w:t>
      </w:r>
      <w:r w:rsidRPr="00FB66A4">
        <w:rPr>
          <w:rFonts w:cs="Arial"/>
          <w:color w:val="000000" w:themeColor="text1"/>
        </w:rPr>
        <w:t xml:space="preserve"> Kč a opačná desetina méně </w:t>
      </w:r>
      <w:r w:rsidRPr="00FB66A4">
        <w:rPr>
          <w:rFonts w:cs="Arial"/>
          <w:color w:val="000000" w:themeColor="text1"/>
        </w:rPr>
        <w:lastRenderedPageBreak/>
        <w:t>než 3</w:t>
      </w:r>
      <w:r w:rsidR="00FB66A4" w:rsidRPr="00FB66A4">
        <w:rPr>
          <w:rFonts w:cs="Arial"/>
          <w:color w:val="000000" w:themeColor="text1"/>
        </w:rPr>
        <w:t>9</w:t>
      </w:r>
      <w:r w:rsidRPr="00FB66A4">
        <w:rPr>
          <w:rFonts w:cs="Arial"/>
          <w:color w:val="000000" w:themeColor="text1"/>
        </w:rPr>
        <w:t> </w:t>
      </w:r>
      <w:r w:rsidR="00FB66A4" w:rsidRPr="00FB66A4">
        <w:rPr>
          <w:rFonts w:cs="Arial"/>
          <w:color w:val="000000" w:themeColor="text1"/>
        </w:rPr>
        <w:t>639</w:t>
      </w:r>
      <w:r w:rsidRPr="00FB66A4">
        <w:rPr>
          <w:rFonts w:cs="Arial"/>
          <w:color w:val="000000" w:themeColor="text1"/>
        </w:rPr>
        <w:t xml:space="preserve"> Kč. Druhá </w:t>
      </w:r>
      <w:r w:rsidR="00FB66A4">
        <w:rPr>
          <w:rFonts w:cs="Arial"/>
          <w:color w:val="000000" w:themeColor="text1"/>
        </w:rPr>
        <w:t xml:space="preserve">hlavní třída </w:t>
      </w:r>
      <w:r w:rsidR="00FB66A4" w:rsidRPr="00FB66A4">
        <w:rPr>
          <w:rFonts w:cs="Arial"/>
          <w:color w:val="000000" w:themeColor="text1"/>
        </w:rPr>
        <w:t>specialistů</w:t>
      </w:r>
      <w:r w:rsidR="00FB66A4">
        <w:rPr>
          <w:rFonts w:cs="Arial"/>
          <w:color w:val="000000" w:themeColor="text1"/>
        </w:rPr>
        <w:t xml:space="preserve"> se stala nejpočetnější a</w:t>
      </w:r>
      <w:r w:rsidR="00FB66A4" w:rsidRPr="00FB66A4">
        <w:rPr>
          <w:rFonts w:cs="Arial"/>
          <w:color w:val="000000" w:themeColor="text1"/>
        </w:rPr>
        <w:t xml:space="preserve"> </w:t>
      </w:r>
      <w:r w:rsidR="00FB66A4">
        <w:rPr>
          <w:rFonts w:cs="Arial"/>
          <w:color w:val="000000" w:themeColor="text1"/>
        </w:rPr>
        <w:t xml:space="preserve">má také druhou </w:t>
      </w:r>
      <w:r w:rsidRPr="00FB66A4">
        <w:rPr>
          <w:rFonts w:cs="Arial"/>
          <w:color w:val="000000" w:themeColor="text1"/>
        </w:rPr>
        <w:t xml:space="preserve">nejvyšší </w:t>
      </w:r>
      <w:r w:rsidR="00FB66A4">
        <w:rPr>
          <w:rFonts w:cs="Arial"/>
          <w:color w:val="000000" w:themeColor="text1"/>
        </w:rPr>
        <w:t>mzdovou ú</w:t>
      </w:r>
      <w:r w:rsidR="00FB66A4" w:rsidRPr="00FB66A4">
        <w:rPr>
          <w:rFonts w:cs="Arial"/>
          <w:color w:val="000000" w:themeColor="text1"/>
        </w:rPr>
        <w:t xml:space="preserve">roveň </w:t>
      </w:r>
      <w:r w:rsidRPr="00FB66A4">
        <w:rPr>
          <w:rFonts w:cs="Arial"/>
          <w:color w:val="000000" w:themeColor="text1"/>
        </w:rPr>
        <w:t>s</w:t>
      </w:r>
      <w:r w:rsidR="00240EA9">
        <w:rPr>
          <w:rFonts w:cs="Arial"/>
          <w:color w:val="000000" w:themeColor="text1"/>
        </w:rPr>
        <w:t> </w:t>
      </w:r>
      <w:r w:rsidR="00FB66A4" w:rsidRPr="00FB66A4">
        <w:rPr>
          <w:rFonts w:cs="Arial"/>
          <w:color w:val="000000" w:themeColor="text1"/>
        </w:rPr>
        <w:t>mediánem</w:t>
      </w:r>
      <w:r w:rsidRPr="00FB66A4">
        <w:rPr>
          <w:rFonts w:cs="Arial"/>
          <w:color w:val="000000" w:themeColor="text1"/>
        </w:rPr>
        <w:t> </w:t>
      </w:r>
      <w:r w:rsidR="00FB66A4" w:rsidRPr="00FB66A4">
        <w:rPr>
          <w:rFonts w:cs="Arial"/>
          <w:color w:val="000000" w:themeColor="text1"/>
        </w:rPr>
        <w:t>52</w:t>
      </w:r>
      <w:r w:rsidRPr="00FB66A4">
        <w:rPr>
          <w:rFonts w:cs="Arial"/>
          <w:color w:val="000000" w:themeColor="text1"/>
        </w:rPr>
        <w:t> </w:t>
      </w:r>
      <w:r w:rsidR="00FB66A4" w:rsidRPr="00FB66A4">
        <w:rPr>
          <w:rFonts w:cs="Arial"/>
          <w:color w:val="000000" w:themeColor="text1"/>
        </w:rPr>
        <w:t>602</w:t>
      </w:r>
      <w:r w:rsidRPr="00FB66A4">
        <w:rPr>
          <w:rFonts w:cs="Arial"/>
          <w:color w:val="000000" w:themeColor="text1"/>
        </w:rPr>
        <w:t> Kč</w:t>
      </w:r>
      <w:r w:rsidR="00FB66A4" w:rsidRPr="00FB66A4">
        <w:rPr>
          <w:rFonts w:cs="Arial"/>
          <w:color w:val="000000" w:themeColor="text1"/>
        </w:rPr>
        <w:t>, přičemž desetina pobírala více než 107 199 Kč.</w:t>
      </w:r>
      <w:r w:rsidR="00FB66A4">
        <w:rPr>
          <w:rFonts w:cs="Arial"/>
          <w:color w:val="000000" w:themeColor="text1"/>
        </w:rPr>
        <w:t xml:space="preserve"> Zárove</w:t>
      </w:r>
      <w:r w:rsidR="0082733A">
        <w:rPr>
          <w:rFonts w:cs="Arial"/>
          <w:color w:val="000000" w:themeColor="text1"/>
        </w:rPr>
        <w:t>ň se však u </w:t>
      </w:r>
      <w:r w:rsidR="00FB66A4">
        <w:rPr>
          <w:rFonts w:cs="Arial"/>
          <w:color w:val="000000" w:themeColor="text1"/>
        </w:rPr>
        <w:t xml:space="preserve">nich </w:t>
      </w:r>
      <w:r w:rsidR="007E676C">
        <w:rPr>
          <w:rFonts w:cs="Arial"/>
          <w:color w:val="000000" w:themeColor="text1"/>
        </w:rPr>
        <w:t xml:space="preserve">prostřední </w:t>
      </w:r>
      <w:r w:rsidR="00FB66A4">
        <w:rPr>
          <w:rFonts w:cs="Arial"/>
          <w:color w:val="000000" w:themeColor="text1"/>
        </w:rPr>
        <w:t>mzd</w:t>
      </w:r>
      <w:r w:rsidR="007E676C">
        <w:rPr>
          <w:rFonts w:cs="Arial"/>
          <w:color w:val="000000" w:themeColor="text1"/>
        </w:rPr>
        <w:t>a</w:t>
      </w:r>
      <w:r w:rsidR="00FB66A4">
        <w:rPr>
          <w:rFonts w:cs="Arial"/>
          <w:color w:val="000000" w:themeColor="text1"/>
        </w:rPr>
        <w:t xml:space="preserve"> meziročně zvýšila nejméně, jen o 5,3 %. </w:t>
      </w:r>
      <w:r w:rsidR="00FB66A4" w:rsidRPr="00FB66A4">
        <w:rPr>
          <w:rFonts w:cs="Arial"/>
          <w:color w:val="000000" w:themeColor="text1"/>
        </w:rPr>
        <w:t>T</w:t>
      </w:r>
      <w:r w:rsidRPr="00FB66A4">
        <w:rPr>
          <w:rFonts w:cs="Arial"/>
          <w:color w:val="000000" w:themeColor="text1"/>
        </w:rPr>
        <w:t xml:space="preserve">řetí </w:t>
      </w:r>
      <w:r w:rsidR="00FB66A4" w:rsidRPr="00FB66A4">
        <w:rPr>
          <w:rFonts w:cs="Arial"/>
          <w:color w:val="000000" w:themeColor="text1"/>
        </w:rPr>
        <w:t>hlavní třída</w:t>
      </w:r>
      <w:r w:rsidRPr="00FB66A4">
        <w:rPr>
          <w:rFonts w:cs="Arial"/>
          <w:color w:val="000000" w:themeColor="text1"/>
        </w:rPr>
        <w:t xml:space="preserve"> </w:t>
      </w:r>
      <w:r w:rsidR="00FB66A4" w:rsidRPr="00FB66A4">
        <w:rPr>
          <w:rFonts w:cs="Arial"/>
          <w:color w:val="000000" w:themeColor="text1"/>
        </w:rPr>
        <w:t xml:space="preserve">zahrnuje </w:t>
      </w:r>
      <w:r w:rsidRPr="00FB66A4">
        <w:rPr>
          <w:rFonts w:cs="Arial"/>
          <w:color w:val="000000" w:themeColor="text1"/>
        </w:rPr>
        <w:t>techni</w:t>
      </w:r>
      <w:r w:rsidR="00FB66A4" w:rsidRPr="00FB66A4">
        <w:rPr>
          <w:rFonts w:cs="Arial"/>
          <w:color w:val="000000" w:themeColor="text1"/>
        </w:rPr>
        <w:t>cké</w:t>
      </w:r>
      <w:r w:rsidRPr="00FB66A4">
        <w:rPr>
          <w:rFonts w:cs="Arial"/>
          <w:color w:val="000000" w:themeColor="text1"/>
        </w:rPr>
        <w:t xml:space="preserve"> a odbo</w:t>
      </w:r>
      <w:r w:rsidR="00FB66A4" w:rsidRPr="00FB66A4">
        <w:rPr>
          <w:rFonts w:cs="Arial"/>
          <w:color w:val="000000" w:themeColor="text1"/>
        </w:rPr>
        <w:t>rné</w:t>
      </w:r>
      <w:r w:rsidRPr="00FB66A4">
        <w:rPr>
          <w:rFonts w:cs="Arial"/>
          <w:color w:val="000000" w:themeColor="text1"/>
        </w:rPr>
        <w:t xml:space="preserve"> pracovníci</w:t>
      </w:r>
      <w:r w:rsidR="00FB66A4" w:rsidRPr="00FB66A4">
        <w:rPr>
          <w:rFonts w:cs="Arial"/>
          <w:color w:val="000000" w:themeColor="text1"/>
        </w:rPr>
        <w:t>, ti měli medián</w:t>
      </w:r>
      <w:r w:rsidRPr="00FB66A4">
        <w:rPr>
          <w:rFonts w:cs="Arial"/>
          <w:color w:val="000000" w:themeColor="text1"/>
        </w:rPr>
        <w:t xml:space="preserve"> 4</w:t>
      </w:r>
      <w:r w:rsidR="00FB66A4" w:rsidRPr="00FB66A4">
        <w:rPr>
          <w:rFonts w:cs="Arial"/>
          <w:color w:val="000000" w:themeColor="text1"/>
        </w:rPr>
        <w:t>3</w:t>
      </w:r>
      <w:r w:rsidRPr="00FB66A4">
        <w:rPr>
          <w:rFonts w:cs="Arial"/>
          <w:color w:val="000000" w:themeColor="text1"/>
        </w:rPr>
        <w:t> </w:t>
      </w:r>
      <w:r w:rsidR="00FB66A4" w:rsidRPr="00FB66A4">
        <w:rPr>
          <w:rFonts w:cs="Arial"/>
          <w:color w:val="000000" w:themeColor="text1"/>
        </w:rPr>
        <w:t>952</w:t>
      </w:r>
      <w:r w:rsidRPr="00FB66A4">
        <w:rPr>
          <w:rFonts w:cs="Arial"/>
          <w:color w:val="000000" w:themeColor="text1"/>
        </w:rPr>
        <w:t> Kč</w:t>
      </w:r>
      <w:r w:rsidR="00FB66A4" w:rsidRPr="00FB66A4">
        <w:rPr>
          <w:rFonts w:cs="Arial"/>
          <w:color w:val="000000" w:themeColor="text1"/>
        </w:rPr>
        <w:t>;</w:t>
      </w:r>
      <w:r w:rsidRPr="00FB66A4">
        <w:rPr>
          <w:rFonts w:cs="Arial"/>
          <w:color w:val="000000" w:themeColor="text1"/>
        </w:rPr>
        <w:t xml:space="preserve"> </w:t>
      </w:r>
      <w:r w:rsidR="00FB66A4">
        <w:rPr>
          <w:rFonts w:cs="Arial"/>
          <w:color w:val="000000" w:themeColor="text1"/>
        </w:rPr>
        <w:t xml:space="preserve">čtvrtá </w:t>
      </w:r>
      <w:r w:rsidR="00FB66A4" w:rsidRPr="00FB66A4">
        <w:rPr>
          <w:rFonts w:cs="Arial"/>
          <w:color w:val="000000" w:themeColor="text1"/>
        </w:rPr>
        <w:t>hlavní tříd</w:t>
      </w:r>
      <w:r w:rsidR="00FB66A4">
        <w:rPr>
          <w:rFonts w:cs="Arial"/>
          <w:color w:val="000000" w:themeColor="text1"/>
        </w:rPr>
        <w:t xml:space="preserve">a </w:t>
      </w:r>
      <w:r w:rsidR="00FB66A4" w:rsidRPr="00FB66A4">
        <w:rPr>
          <w:rFonts w:cs="Arial"/>
          <w:color w:val="000000" w:themeColor="text1"/>
        </w:rPr>
        <w:t>ú</w:t>
      </w:r>
      <w:r w:rsidR="00FB66A4">
        <w:rPr>
          <w:rFonts w:cs="Arial"/>
          <w:color w:val="000000" w:themeColor="text1"/>
        </w:rPr>
        <w:t>ředníků</w:t>
      </w:r>
      <w:r w:rsidRPr="00FB66A4">
        <w:rPr>
          <w:rFonts w:cs="Arial"/>
          <w:color w:val="000000" w:themeColor="text1"/>
        </w:rPr>
        <w:t xml:space="preserve"> </w:t>
      </w:r>
      <w:r w:rsidR="00FB66A4">
        <w:rPr>
          <w:rFonts w:cs="Arial"/>
          <w:color w:val="000000" w:themeColor="text1"/>
        </w:rPr>
        <w:t xml:space="preserve">pak </w:t>
      </w:r>
      <w:r w:rsidRPr="00FB66A4">
        <w:rPr>
          <w:rFonts w:cs="Arial"/>
          <w:color w:val="000000" w:themeColor="text1"/>
        </w:rPr>
        <w:t>měl</w:t>
      </w:r>
      <w:r w:rsidR="00FB66A4">
        <w:rPr>
          <w:rFonts w:cs="Arial"/>
          <w:color w:val="000000" w:themeColor="text1"/>
        </w:rPr>
        <w:t>a</w:t>
      </w:r>
      <w:r w:rsidRPr="00FB66A4">
        <w:rPr>
          <w:rFonts w:cs="Arial"/>
          <w:color w:val="000000" w:themeColor="text1"/>
        </w:rPr>
        <w:t xml:space="preserve"> </w:t>
      </w:r>
      <w:r w:rsidR="00FB66A4" w:rsidRPr="00FB66A4">
        <w:rPr>
          <w:rFonts w:cs="Arial"/>
          <w:color w:val="000000" w:themeColor="text1"/>
        </w:rPr>
        <w:t>33</w:t>
      </w:r>
      <w:r w:rsidRPr="00FB66A4">
        <w:rPr>
          <w:rFonts w:cs="Arial"/>
          <w:color w:val="000000" w:themeColor="text1"/>
        </w:rPr>
        <w:t> </w:t>
      </w:r>
      <w:r w:rsidR="00FB66A4" w:rsidRPr="00FB66A4">
        <w:rPr>
          <w:rFonts w:cs="Arial"/>
          <w:color w:val="000000" w:themeColor="text1"/>
        </w:rPr>
        <w:t>486</w:t>
      </w:r>
      <w:r w:rsidRPr="00FB66A4">
        <w:rPr>
          <w:rFonts w:cs="Arial"/>
          <w:color w:val="000000" w:themeColor="text1"/>
        </w:rPr>
        <w:t xml:space="preserve"> Kč. </w:t>
      </w:r>
      <w:r w:rsidR="00FB66A4" w:rsidRPr="00FB66A4">
        <w:rPr>
          <w:rFonts w:cs="Arial"/>
          <w:color w:val="000000" w:themeColor="text1"/>
        </w:rPr>
        <w:t>U </w:t>
      </w:r>
      <w:r w:rsidRPr="00FB66A4">
        <w:rPr>
          <w:rFonts w:cs="Arial"/>
          <w:color w:val="000000" w:themeColor="text1"/>
        </w:rPr>
        <w:t>skupiny p</w:t>
      </w:r>
      <w:r w:rsidR="00FB66A4">
        <w:rPr>
          <w:rFonts w:cs="Arial"/>
          <w:color w:val="000000" w:themeColor="text1"/>
        </w:rPr>
        <w:t>racovníků ve službách a prodeji</w:t>
      </w:r>
      <w:r w:rsidRPr="00FB66A4">
        <w:rPr>
          <w:rFonts w:cs="Arial"/>
          <w:color w:val="000000" w:themeColor="text1"/>
        </w:rPr>
        <w:t xml:space="preserve"> </w:t>
      </w:r>
      <w:r w:rsidR="00240EA9">
        <w:rPr>
          <w:rFonts w:cs="Arial"/>
          <w:color w:val="000000" w:themeColor="text1"/>
        </w:rPr>
        <w:t>každý třetí</w:t>
      </w:r>
      <w:r w:rsidRPr="00FB66A4">
        <w:rPr>
          <w:rFonts w:cs="Arial"/>
          <w:color w:val="000000" w:themeColor="text1"/>
        </w:rPr>
        <w:t xml:space="preserve"> patří k</w:t>
      </w:r>
      <w:r w:rsidR="00FB66A4">
        <w:rPr>
          <w:rFonts w:cs="Arial"/>
          <w:color w:val="000000" w:themeColor="text1"/>
        </w:rPr>
        <w:t> tzv.</w:t>
      </w:r>
      <w:r w:rsidR="0082733A">
        <w:rPr>
          <w:rFonts w:cs="Arial"/>
          <w:color w:val="000000" w:themeColor="text1"/>
        </w:rPr>
        <w:t> </w:t>
      </w:r>
      <w:r w:rsidRPr="00FB66A4">
        <w:rPr>
          <w:rFonts w:cs="Arial"/>
          <w:color w:val="000000" w:themeColor="text1"/>
        </w:rPr>
        <w:t>nízkovýděl</w:t>
      </w:r>
      <w:r w:rsidRPr="00E74123">
        <w:rPr>
          <w:rFonts w:cs="Arial"/>
          <w:color w:val="000000" w:themeColor="text1"/>
        </w:rPr>
        <w:t>kovým zaměstnancům</w:t>
      </w:r>
      <w:r w:rsidRPr="00E74123">
        <w:rPr>
          <w:rStyle w:val="Znakapoznpodarou"/>
          <w:rFonts w:cs="Arial"/>
          <w:color w:val="000000" w:themeColor="text1"/>
        </w:rPr>
        <w:footnoteReference w:id="1"/>
      </w:r>
      <w:r w:rsidRPr="00E74123">
        <w:rPr>
          <w:rFonts w:cs="Arial"/>
          <w:color w:val="000000" w:themeColor="text1"/>
        </w:rPr>
        <w:t>: měli decilo</w:t>
      </w:r>
      <w:r w:rsidRPr="00240EA9">
        <w:rPr>
          <w:rFonts w:cs="Arial"/>
          <w:color w:val="000000" w:themeColor="text1"/>
        </w:rPr>
        <w:t xml:space="preserve">vé rozpětí </w:t>
      </w:r>
      <w:r w:rsidR="00E74123" w:rsidRPr="00240EA9">
        <w:rPr>
          <w:rFonts w:cs="Arial"/>
          <w:color w:val="000000" w:themeColor="text1"/>
        </w:rPr>
        <w:t>19</w:t>
      </w:r>
      <w:r w:rsidRPr="00240EA9">
        <w:rPr>
          <w:rFonts w:cs="Arial"/>
          <w:color w:val="000000" w:themeColor="text1"/>
        </w:rPr>
        <w:t> </w:t>
      </w:r>
      <w:r w:rsidR="00E74123" w:rsidRPr="00240EA9">
        <w:rPr>
          <w:rFonts w:cs="Arial"/>
          <w:color w:val="000000" w:themeColor="text1"/>
        </w:rPr>
        <w:t>987</w:t>
      </w:r>
      <w:r w:rsidR="00FB66A4" w:rsidRPr="00240EA9">
        <w:rPr>
          <w:rFonts w:cs="Arial"/>
          <w:color w:val="000000" w:themeColor="text1"/>
        </w:rPr>
        <w:t xml:space="preserve"> Kč až </w:t>
      </w:r>
      <w:r w:rsidR="00E74123" w:rsidRPr="00240EA9">
        <w:rPr>
          <w:rFonts w:cs="Arial"/>
          <w:color w:val="000000" w:themeColor="text1"/>
        </w:rPr>
        <w:t>4</w:t>
      </w:r>
      <w:r w:rsidR="00FB66A4" w:rsidRPr="00240EA9">
        <w:rPr>
          <w:rFonts w:cs="Arial"/>
          <w:color w:val="000000" w:themeColor="text1"/>
        </w:rPr>
        <w:t>5</w:t>
      </w:r>
      <w:r w:rsidRPr="00240EA9">
        <w:rPr>
          <w:rFonts w:cs="Arial"/>
          <w:color w:val="000000" w:themeColor="text1"/>
        </w:rPr>
        <w:t> </w:t>
      </w:r>
      <w:r w:rsidR="00E74123" w:rsidRPr="00240EA9">
        <w:rPr>
          <w:rFonts w:cs="Arial"/>
          <w:color w:val="000000" w:themeColor="text1"/>
        </w:rPr>
        <w:t>694</w:t>
      </w:r>
      <w:r w:rsidR="00FB66A4" w:rsidRPr="00240EA9">
        <w:rPr>
          <w:rFonts w:cs="Arial"/>
          <w:color w:val="000000" w:themeColor="text1"/>
        </w:rPr>
        <w:t xml:space="preserve"> Kč a medián </w:t>
      </w:r>
      <w:r w:rsidR="00E74123" w:rsidRPr="00240EA9">
        <w:rPr>
          <w:rFonts w:cs="Arial"/>
          <w:color w:val="000000" w:themeColor="text1"/>
        </w:rPr>
        <w:t>29</w:t>
      </w:r>
      <w:r w:rsidRPr="00240EA9">
        <w:rPr>
          <w:rFonts w:cs="Arial"/>
          <w:color w:val="000000" w:themeColor="text1"/>
        </w:rPr>
        <w:t> </w:t>
      </w:r>
      <w:r w:rsidR="00E74123" w:rsidRPr="00240EA9">
        <w:rPr>
          <w:rFonts w:cs="Arial"/>
          <w:color w:val="000000" w:themeColor="text1"/>
        </w:rPr>
        <w:t>039</w:t>
      </w:r>
      <w:r w:rsidRPr="00240EA9">
        <w:rPr>
          <w:rFonts w:cs="Arial"/>
          <w:color w:val="000000" w:themeColor="text1"/>
        </w:rPr>
        <w:t> Kč. Řemeslníci a opraváři měli medián 3</w:t>
      </w:r>
      <w:r w:rsidR="00240EA9" w:rsidRPr="00240EA9">
        <w:rPr>
          <w:rFonts w:cs="Arial"/>
          <w:color w:val="000000" w:themeColor="text1"/>
        </w:rPr>
        <w:t>6</w:t>
      </w:r>
      <w:r w:rsidRPr="00240EA9">
        <w:rPr>
          <w:rFonts w:cs="Arial"/>
          <w:color w:val="000000" w:themeColor="text1"/>
        </w:rPr>
        <w:t> </w:t>
      </w:r>
      <w:r w:rsidR="00240EA9" w:rsidRPr="00240EA9">
        <w:rPr>
          <w:rFonts w:cs="Arial"/>
          <w:color w:val="000000" w:themeColor="text1"/>
        </w:rPr>
        <w:t>448</w:t>
      </w:r>
      <w:r w:rsidRPr="00240EA9">
        <w:rPr>
          <w:rFonts w:cs="Arial"/>
          <w:color w:val="000000" w:themeColor="text1"/>
        </w:rPr>
        <w:t> Kč (zvýšení o </w:t>
      </w:r>
      <w:r w:rsidR="00240EA9" w:rsidRPr="00240EA9">
        <w:rPr>
          <w:rFonts w:cs="Arial"/>
          <w:color w:val="000000" w:themeColor="text1"/>
        </w:rPr>
        <w:t>8,0</w:t>
      </w:r>
      <w:r w:rsidRPr="00240EA9">
        <w:rPr>
          <w:rFonts w:cs="Arial"/>
          <w:color w:val="000000" w:themeColor="text1"/>
        </w:rPr>
        <w:t> %) a obslu</w:t>
      </w:r>
      <w:r w:rsidR="00240EA9">
        <w:rPr>
          <w:rFonts w:cs="Arial"/>
          <w:color w:val="000000" w:themeColor="text1"/>
        </w:rPr>
        <w:t>ha strojů a </w:t>
      </w:r>
      <w:r w:rsidR="00240EA9" w:rsidRPr="00240EA9">
        <w:rPr>
          <w:rFonts w:cs="Arial"/>
          <w:color w:val="000000" w:themeColor="text1"/>
        </w:rPr>
        <w:t>zařízení, montéři 34 490</w:t>
      </w:r>
      <w:r w:rsidRPr="00240EA9">
        <w:rPr>
          <w:rFonts w:cs="Arial"/>
          <w:color w:val="000000" w:themeColor="text1"/>
        </w:rPr>
        <w:t> Kč (zvýšení o </w:t>
      </w:r>
      <w:r w:rsidR="00240EA9" w:rsidRPr="00240EA9">
        <w:rPr>
          <w:rFonts w:cs="Arial"/>
          <w:color w:val="000000" w:themeColor="text1"/>
        </w:rPr>
        <w:t>7,6</w:t>
      </w:r>
      <w:r w:rsidRPr="00240EA9">
        <w:rPr>
          <w:rFonts w:cs="Arial"/>
          <w:color w:val="000000" w:themeColor="text1"/>
        </w:rPr>
        <w:t xml:space="preserve"> %). </w:t>
      </w:r>
      <w:r w:rsidRPr="009F1F02">
        <w:rPr>
          <w:rFonts w:cs="Arial"/>
        </w:rPr>
        <w:t xml:space="preserve">U pomocných a nekvalifikovaných pracovníků je </w:t>
      </w:r>
      <w:r w:rsidR="0082733A">
        <w:rPr>
          <w:rFonts w:cs="Arial"/>
        </w:rPr>
        <w:t xml:space="preserve">stabilně </w:t>
      </w:r>
      <w:r w:rsidRPr="009F1F02">
        <w:rPr>
          <w:rFonts w:cs="Arial"/>
        </w:rPr>
        <w:t xml:space="preserve">nejnižší mzdová úroveň, aktuálně vzrostl </w:t>
      </w:r>
      <w:r w:rsidRPr="00240EA9">
        <w:rPr>
          <w:rFonts w:cs="Arial"/>
          <w:color w:val="000000" w:themeColor="text1"/>
        </w:rPr>
        <w:t>medián o </w:t>
      </w:r>
      <w:r w:rsidR="00240EA9" w:rsidRPr="00240EA9">
        <w:rPr>
          <w:rFonts w:cs="Arial"/>
          <w:color w:val="000000" w:themeColor="text1"/>
        </w:rPr>
        <w:t>7,5</w:t>
      </w:r>
      <w:r w:rsidRPr="00240EA9">
        <w:rPr>
          <w:rFonts w:cs="Arial"/>
          <w:color w:val="000000" w:themeColor="text1"/>
        </w:rPr>
        <w:t> % na 2</w:t>
      </w:r>
      <w:r w:rsidR="00240EA9" w:rsidRPr="00240EA9">
        <w:rPr>
          <w:rFonts w:cs="Arial"/>
          <w:color w:val="000000" w:themeColor="text1"/>
        </w:rPr>
        <w:t>3</w:t>
      </w:r>
      <w:r w:rsidRPr="00240EA9">
        <w:rPr>
          <w:rFonts w:cs="Arial"/>
          <w:color w:val="000000" w:themeColor="text1"/>
        </w:rPr>
        <w:t> </w:t>
      </w:r>
      <w:r w:rsidR="00240EA9" w:rsidRPr="00240EA9">
        <w:rPr>
          <w:rFonts w:cs="Arial"/>
          <w:color w:val="000000" w:themeColor="text1"/>
        </w:rPr>
        <w:t>793</w:t>
      </w:r>
      <w:r w:rsidRPr="00240EA9">
        <w:rPr>
          <w:rFonts w:cs="Arial"/>
          <w:color w:val="000000" w:themeColor="text1"/>
        </w:rPr>
        <w:t xml:space="preserve"> Kč, mají tedy </w:t>
      </w:r>
      <w:r w:rsidRPr="009F1F02">
        <w:rPr>
          <w:rFonts w:cs="Arial"/>
        </w:rPr>
        <w:t>n</w:t>
      </w:r>
      <w:r w:rsidRPr="00240EA9">
        <w:rPr>
          <w:rFonts w:cs="Arial"/>
          <w:color w:val="000000" w:themeColor="text1"/>
        </w:rPr>
        <w:t>adpoloviční podíl nízkovýdělkových zaměstnanců, decilové rozpětí bylo 1</w:t>
      </w:r>
      <w:r w:rsidR="00240EA9" w:rsidRPr="00240EA9">
        <w:rPr>
          <w:rFonts w:cs="Arial"/>
          <w:color w:val="000000" w:themeColor="text1"/>
        </w:rPr>
        <w:t>7</w:t>
      </w:r>
      <w:r w:rsidRPr="00240EA9">
        <w:rPr>
          <w:rFonts w:cs="Arial"/>
          <w:color w:val="000000" w:themeColor="text1"/>
        </w:rPr>
        <w:t> </w:t>
      </w:r>
      <w:r w:rsidR="00240EA9" w:rsidRPr="00240EA9">
        <w:rPr>
          <w:rFonts w:cs="Arial"/>
          <w:color w:val="000000" w:themeColor="text1"/>
        </w:rPr>
        <w:t>808</w:t>
      </w:r>
      <w:r w:rsidRPr="00240EA9">
        <w:rPr>
          <w:rFonts w:cs="Arial"/>
          <w:color w:val="000000" w:themeColor="text1"/>
        </w:rPr>
        <w:t> Kč až 3</w:t>
      </w:r>
      <w:r w:rsidR="00240EA9" w:rsidRPr="00240EA9">
        <w:rPr>
          <w:rFonts w:cs="Arial"/>
          <w:color w:val="000000" w:themeColor="text1"/>
        </w:rPr>
        <w:t>7</w:t>
      </w:r>
      <w:r w:rsidRPr="00240EA9">
        <w:rPr>
          <w:rFonts w:cs="Arial"/>
          <w:color w:val="000000" w:themeColor="text1"/>
        </w:rPr>
        <w:t> </w:t>
      </w:r>
      <w:r w:rsidR="00240EA9" w:rsidRPr="00240EA9">
        <w:rPr>
          <w:rFonts w:cs="Arial"/>
          <w:color w:val="000000" w:themeColor="text1"/>
        </w:rPr>
        <w:t>266</w:t>
      </w:r>
      <w:r w:rsidRPr="00240EA9">
        <w:rPr>
          <w:rFonts w:cs="Arial"/>
          <w:color w:val="000000" w:themeColor="text1"/>
        </w:rPr>
        <w:t> Kč.</w:t>
      </w:r>
    </w:p>
    <w:p w:rsidR="00312947" w:rsidRPr="00827764" w:rsidRDefault="00312947" w:rsidP="00312947">
      <w:pPr>
        <w:rPr>
          <w:rFonts w:cs="Arial"/>
          <w:color w:val="000000" w:themeColor="text1"/>
        </w:rPr>
      </w:pPr>
      <w:r w:rsidRPr="009F1F02">
        <w:rPr>
          <w:rFonts w:cs="Arial"/>
        </w:rPr>
        <w:t>P</w:t>
      </w:r>
      <w:r w:rsidR="0082733A">
        <w:rPr>
          <w:rFonts w:cs="Arial"/>
        </w:rPr>
        <w:t>ro mzdy v třídění p</w:t>
      </w:r>
      <w:r w:rsidRPr="009F1F02">
        <w:rPr>
          <w:rFonts w:cs="Arial"/>
        </w:rPr>
        <w:t xml:space="preserve">odle </w:t>
      </w:r>
      <w:r w:rsidRPr="009F1F02">
        <w:rPr>
          <w:rFonts w:cs="Arial"/>
          <w:b/>
        </w:rPr>
        <w:t>věkových kategorií</w:t>
      </w:r>
      <w:r w:rsidRPr="009F1F02">
        <w:rPr>
          <w:rFonts w:cs="Arial"/>
        </w:rPr>
        <w:t xml:space="preserve"> p</w:t>
      </w:r>
      <w:r w:rsidR="0082733A">
        <w:rPr>
          <w:rFonts w:cs="Arial"/>
        </w:rPr>
        <w:t xml:space="preserve">latí, že meziročně se více zvyšovaly ty u starších kategorií než u </w:t>
      </w:r>
      <w:r w:rsidR="0082733A" w:rsidRPr="0082733A">
        <w:rPr>
          <w:rFonts w:cs="Arial"/>
          <w:color w:val="000000" w:themeColor="text1"/>
        </w:rPr>
        <w:t xml:space="preserve">mladších. Navíc </w:t>
      </w:r>
      <w:r w:rsidRPr="0082733A">
        <w:rPr>
          <w:rFonts w:cs="Arial"/>
          <w:color w:val="000000" w:themeColor="text1"/>
        </w:rPr>
        <w:t>nejnižší prostřední mzd</w:t>
      </w:r>
      <w:r w:rsidR="007E676C">
        <w:rPr>
          <w:rFonts w:cs="Arial"/>
          <w:color w:val="000000" w:themeColor="text1"/>
        </w:rPr>
        <w:t xml:space="preserve">u </w:t>
      </w:r>
      <w:r w:rsidR="0082733A" w:rsidRPr="0082733A">
        <w:rPr>
          <w:rFonts w:cs="Arial"/>
          <w:color w:val="000000" w:themeColor="text1"/>
        </w:rPr>
        <w:t xml:space="preserve">stabilně </w:t>
      </w:r>
      <w:r w:rsidR="0082733A" w:rsidRPr="0082733A">
        <w:rPr>
          <w:rFonts w:cs="Arial"/>
          <w:color w:val="000000" w:themeColor="text1"/>
        </w:rPr>
        <w:t xml:space="preserve">pobírají </w:t>
      </w:r>
      <w:r w:rsidRPr="0082733A">
        <w:rPr>
          <w:rFonts w:cs="Arial"/>
          <w:color w:val="000000" w:themeColor="text1"/>
        </w:rPr>
        <w:t>zaměstnanci do 20 let</w:t>
      </w:r>
      <w:r w:rsidR="0082733A" w:rsidRPr="0082733A">
        <w:rPr>
          <w:rFonts w:cs="Arial"/>
          <w:color w:val="000000" w:themeColor="text1"/>
        </w:rPr>
        <w:t xml:space="preserve">, aktuálně </w:t>
      </w:r>
      <w:r w:rsidR="0082733A">
        <w:rPr>
          <w:rFonts w:cs="Arial"/>
          <w:color w:val="000000" w:themeColor="text1"/>
        </w:rPr>
        <w:t>měli</w:t>
      </w:r>
      <w:r w:rsidR="0082733A" w:rsidRPr="0082733A">
        <w:rPr>
          <w:rFonts w:cs="Arial"/>
          <w:color w:val="000000" w:themeColor="text1"/>
        </w:rPr>
        <w:t xml:space="preserve"> medián</w:t>
      </w:r>
      <w:r w:rsidRPr="0082733A">
        <w:rPr>
          <w:rFonts w:cs="Arial"/>
          <w:color w:val="000000" w:themeColor="text1"/>
        </w:rPr>
        <w:t xml:space="preserve"> 2</w:t>
      </w:r>
      <w:r w:rsidR="0082733A" w:rsidRPr="0082733A">
        <w:rPr>
          <w:rFonts w:cs="Arial"/>
          <w:color w:val="000000" w:themeColor="text1"/>
        </w:rPr>
        <w:t>6</w:t>
      </w:r>
      <w:r w:rsidRPr="0082733A">
        <w:rPr>
          <w:rFonts w:cs="Arial"/>
          <w:color w:val="000000" w:themeColor="text1"/>
        </w:rPr>
        <w:t> </w:t>
      </w:r>
      <w:r w:rsidR="0082733A" w:rsidRPr="0082733A">
        <w:rPr>
          <w:rFonts w:cs="Arial"/>
          <w:color w:val="000000" w:themeColor="text1"/>
        </w:rPr>
        <w:t>928</w:t>
      </w:r>
      <w:r w:rsidRPr="0082733A">
        <w:rPr>
          <w:rFonts w:cs="Arial"/>
          <w:color w:val="000000" w:themeColor="text1"/>
        </w:rPr>
        <w:t xml:space="preserve"> Kč, zároveň jich ve vzorku </w:t>
      </w:r>
      <w:r w:rsidR="0082733A" w:rsidRPr="0082733A">
        <w:rPr>
          <w:rFonts w:cs="Arial"/>
          <w:color w:val="000000" w:themeColor="text1"/>
        </w:rPr>
        <w:t xml:space="preserve">šetření nejvíce </w:t>
      </w:r>
      <w:r w:rsidRPr="0082733A">
        <w:rPr>
          <w:rFonts w:cs="Arial"/>
          <w:color w:val="000000" w:themeColor="text1"/>
        </w:rPr>
        <w:t xml:space="preserve">přibylo </w:t>
      </w:r>
      <w:r w:rsidR="0082733A" w:rsidRPr="0082733A">
        <w:rPr>
          <w:rFonts w:cs="Arial"/>
          <w:color w:val="000000" w:themeColor="text1"/>
        </w:rPr>
        <w:t>(</w:t>
      </w:r>
      <w:r w:rsidR="007E676C">
        <w:rPr>
          <w:rFonts w:cs="Arial"/>
          <w:color w:val="000000" w:themeColor="text1"/>
        </w:rPr>
        <w:t>o </w:t>
      </w:r>
      <w:r w:rsidR="0082733A" w:rsidRPr="0082733A">
        <w:rPr>
          <w:rFonts w:cs="Arial"/>
          <w:color w:val="000000" w:themeColor="text1"/>
        </w:rPr>
        <w:t xml:space="preserve">16 %). </w:t>
      </w:r>
      <w:r w:rsidRPr="0082733A">
        <w:rPr>
          <w:rFonts w:cs="Arial"/>
          <w:color w:val="000000" w:themeColor="text1"/>
        </w:rPr>
        <w:t>Ve věku 20–29 let byl medián mezd již podstatně vyšší (</w:t>
      </w:r>
      <w:r w:rsidR="0082733A" w:rsidRPr="0082733A">
        <w:rPr>
          <w:rFonts w:cs="Arial"/>
          <w:color w:val="000000" w:themeColor="text1"/>
        </w:rPr>
        <w:t>35</w:t>
      </w:r>
      <w:r w:rsidRPr="0082733A">
        <w:rPr>
          <w:rFonts w:cs="Arial"/>
          <w:color w:val="000000" w:themeColor="text1"/>
        </w:rPr>
        <w:t> </w:t>
      </w:r>
      <w:r w:rsidR="0082733A" w:rsidRPr="0082733A">
        <w:rPr>
          <w:rFonts w:cs="Arial"/>
          <w:color w:val="000000" w:themeColor="text1"/>
        </w:rPr>
        <w:t>215</w:t>
      </w:r>
      <w:r w:rsidRPr="0082733A">
        <w:rPr>
          <w:rFonts w:cs="Arial"/>
          <w:color w:val="000000" w:themeColor="text1"/>
        </w:rPr>
        <w:t xml:space="preserve"> Kč) a pro kategorii 30–39 let byl </w:t>
      </w:r>
      <w:r w:rsidR="007E676C">
        <w:rPr>
          <w:rFonts w:cs="Arial"/>
          <w:color w:val="000000" w:themeColor="text1"/>
        </w:rPr>
        <w:t xml:space="preserve">vůbec </w:t>
      </w:r>
      <w:r w:rsidRPr="0082733A">
        <w:rPr>
          <w:rFonts w:cs="Arial"/>
          <w:color w:val="000000" w:themeColor="text1"/>
        </w:rPr>
        <w:t>nejvyšší (</w:t>
      </w:r>
      <w:r w:rsidR="0082733A" w:rsidRPr="0082733A">
        <w:rPr>
          <w:rFonts w:cs="Arial"/>
          <w:color w:val="000000" w:themeColor="text1"/>
        </w:rPr>
        <w:t>40</w:t>
      </w:r>
      <w:r w:rsidRPr="0082733A">
        <w:rPr>
          <w:rFonts w:cs="Arial"/>
          <w:color w:val="000000" w:themeColor="text1"/>
        </w:rPr>
        <w:t> </w:t>
      </w:r>
      <w:r w:rsidR="0082733A" w:rsidRPr="0082733A">
        <w:rPr>
          <w:rFonts w:cs="Arial"/>
          <w:color w:val="000000" w:themeColor="text1"/>
        </w:rPr>
        <w:t>353</w:t>
      </w:r>
      <w:r w:rsidRPr="0082733A">
        <w:rPr>
          <w:rFonts w:cs="Arial"/>
          <w:color w:val="000000" w:themeColor="text1"/>
        </w:rPr>
        <w:t xml:space="preserve"> Kč). V dalších </w:t>
      </w:r>
      <w:r w:rsidR="0082733A" w:rsidRPr="0082733A">
        <w:rPr>
          <w:rFonts w:cs="Arial"/>
          <w:color w:val="000000" w:themeColor="text1"/>
        </w:rPr>
        <w:t>dvou desetiletých</w:t>
      </w:r>
      <w:r w:rsidRPr="0082733A">
        <w:rPr>
          <w:rFonts w:cs="Arial"/>
          <w:color w:val="000000" w:themeColor="text1"/>
        </w:rPr>
        <w:t xml:space="preserve"> kategoriích se mzdy snižují, na 3</w:t>
      </w:r>
      <w:r w:rsidR="0082733A" w:rsidRPr="0082733A">
        <w:rPr>
          <w:rFonts w:cs="Arial"/>
          <w:color w:val="000000" w:themeColor="text1"/>
        </w:rPr>
        <w:t>9</w:t>
      </w:r>
      <w:r w:rsidRPr="0082733A">
        <w:rPr>
          <w:rFonts w:cs="Arial"/>
          <w:color w:val="000000" w:themeColor="text1"/>
        </w:rPr>
        <w:t> </w:t>
      </w:r>
      <w:r w:rsidR="0082733A" w:rsidRPr="0082733A">
        <w:rPr>
          <w:rFonts w:cs="Arial"/>
          <w:color w:val="000000" w:themeColor="text1"/>
        </w:rPr>
        <w:t>383</w:t>
      </w:r>
      <w:r w:rsidRPr="0082733A">
        <w:rPr>
          <w:rFonts w:cs="Arial"/>
          <w:color w:val="000000" w:themeColor="text1"/>
        </w:rPr>
        <w:t xml:space="preserve"> Kč pro </w:t>
      </w:r>
      <w:r w:rsidRPr="00827764">
        <w:rPr>
          <w:rFonts w:cs="Arial"/>
          <w:color w:val="000000" w:themeColor="text1"/>
        </w:rPr>
        <w:t>nejpočetnější kategorii 40-49 let</w:t>
      </w:r>
      <w:r w:rsidR="0082733A" w:rsidRPr="00827764">
        <w:rPr>
          <w:rFonts w:cs="Arial"/>
          <w:color w:val="000000" w:themeColor="text1"/>
        </w:rPr>
        <w:t xml:space="preserve"> a</w:t>
      </w:r>
      <w:r w:rsidRPr="00827764">
        <w:rPr>
          <w:rFonts w:cs="Arial"/>
          <w:color w:val="000000" w:themeColor="text1"/>
        </w:rPr>
        <w:t xml:space="preserve"> </w:t>
      </w:r>
      <w:r w:rsidR="0082733A" w:rsidRPr="00827764">
        <w:rPr>
          <w:rFonts w:cs="Arial"/>
          <w:color w:val="000000" w:themeColor="text1"/>
        </w:rPr>
        <w:t xml:space="preserve">na </w:t>
      </w:r>
      <w:r w:rsidRPr="00827764">
        <w:rPr>
          <w:rFonts w:cs="Arial"/>
          <w:color w:val="000000" w:themeColor="text1"/>
        </w:rPr>
        <w:t>3</w:t>
      </w:r>
      <w:r w:rsidR="0082733A" w:rsidRPr="00827764">
        <w:rPr>
          <w:rFonts w:cs="Arial"/>
          <w:color w:val="000000" w:themeColor="text1"/>
        </w:rPr>
        <w:t>7</w:t>
      </w:r>
      <w:r w:rsidRPr="00827764">
        <w:rPr>
          <w:rFonts w:cs="Arial"/>
          <w:color w:val="000000" w:themeColor="text1"/>
        </w:rPr>
        <w:t> </w:t>
      </w:r>
      <w:r w:rsidR="0082733A" w:rsidRPr="00827764">
        <w:rPr>
          <w:rFonts w:cs="Arial"/>
          <w:color w:val="000000" w:themeColor="text1"/>
        </w:rPr>
        <w:t>899</w:t>
      </w:r>
      <w:r w:rsidRPr="00827764">
        <w:rPr>
          <w:rFonts w:cs="Arial"/>
          <w:color w:val="000000" w:themeColor="text1"/>
        </w:rPr>
        <w:t> Kč pro 50-59 let</w:t>
      </w:r>
      <w:r w:rsidR="0082733A" w:rsidRPr="00827764">
        <w:rPr>
          <w:rFonts w:cs="Arial"/>
          <w:color w:val="000000" w:themeColor="text1"/>
        </w:rPr>
        <w:t>.</w:t>
      </w:r>
      <w:r w:rsidRPr="00827764">
        <w:rPr>
          <w:rFonts w:cs="Arial"/>
          <w:color w:val="000000" w:themeColor="text1"/>
        </w:rPr>
        <w:t xml:space="preserve"> </w:t>
      </w:r>
      <w:r w:rsidR="0082733A" w:rsidRPr="00827764">
        <w:rPr>
          <w:rFonts w:cs="Arial"/>
          <w:color w:val="000000" w:themeColor="text1"/>
        </w:rPr>
        <w:t>K</w:t>
      </w:r>
      <w:r w:rsidRPr="00827764">
        <w:rPr>
          <w:rFonts w:cs="Arial"/>
          <w:color w:val="000000" w:themeColor="text1"/>
        </w:rPr>
        <w:t>onečně pro 60leté a starší</w:t>
      </w:r>
      <w:r w:rsidR="0082733A" w:rsidRPr="00827764">
        <w:rPr>
          <w:rFonts w:cs="Arial"/>
          <w:color w:val="000000" w:themeColor="text1"/>
        </w:rPr>
        <w:t xml:space="preserve"> byl medián </w:t>
      </w:r>
      <w:r w:rsidR="0082733A" w:rsidRPr="00827764">
        <w:rPr>
          <w:rFonts w:cs="Arial"/>
          <w:color w:val="000000" w:themeColor="text1"/>
        </w:rPr>
        <w:t>3</w:t>
      </w:r>
      <w:r w:rsidR="0082733A" w:rsidRPr="00827764">
        <w:rPr>
          <w:rFonts w:cs="Arial"/>
          <w:color w:val="000000" w:themeColor="text1"/>
        </w:rPr>
        <w:t>8</w:t>
      </w:r>
      <w:r w:rsidR="0082733A" w:rsidRPr="00827764">
        <w:rPr>
          <w:rFonts w:cs="Arial"/>
          <w:color w:val="000000" w:themeColor="text1"/>
        </w:rPr>
        <w:t> </w:t>
      </w:r>
      <w:r w:rsidR="0082733A" w:rsidRPr="00827764">
        <w:rPr>
          <w:rFonts w:cs="Arial"/>
          <w:color w:val="000000" w:themeColor="text1"/>
        </w:rPr>
        <w:t>055</w:t>
      </w:r>
      <w:r w:rsidR="0082733A" w:rsidRPr="00827764">
        <w:rPr>
          <w:rFonts w:cs="Arial"/>
          <w:color w:val="000000" w:themeColor="text1"/>
        </w:rPr>
        <w:t> Kč</w:t>
      </w:r>
      <w:r w:rsidR="0082733A" w:rsidRPr="00827764">
        <w:rPr>
          <w:rFonts w:cs="Arial"/>
          <w:color w:val="000000" w:themeColor="text1"/>
        </w:rPr>
        <w:t xml:space="preserve">, tedy o něco vyšší než pro ty mladší, jenže v této kategorii je </w:t>
      </w:r>
      <w:r w:rsidR="007E676C">
        <w:rPr>
          <w:rFonts w:cs="Arial"/>
          <w:color w:val="000000" w:themeColor="text1"/>
        </w:rPr>
        <w:t xml:space="preserve">již </w:t>
      </w:r>
      <w:r w:rsidR="0082733A" w:rsidRPr="00827764">
        <w:rPr>
          <w:rFonts w:cs="Arial"/>
          <w:color w:val="000000" w:themeColor="text1"/>
        </w:rPr>
        <w:t xml:space="preserve">pouze třetinový počet zaměstnanců a typicky zůstávají pracovat </w:t>
      </w:r>
      <w:r w:rsidR="00827764">
        <w:rPr>
          <w:rFonts w:cs="Arial"/>
          <w:color w:val="000000" w:themeColor="text1"/>
        </w:rPr>
        <w:t xml:space="preserve">déle </w:t>
      </w:r>
      <w:r w:rsidR="0082733A" w:rsidRPr="00827764">
        <w:rPr>
          <w:rFonts w:cs="Arial"/>
          <w:color w:val="000000" w:themeColor="text1"/>
        </w:rPr>
        <w:t>ti kvalifikovanější</w:t>
      </w:r>
      <w:r w:rsidRPr="00827764">
        <w:rPr>
          <w:rFonts w:cs="Arial"/>
          <w:color w:val="000000" w:themeColor="text1"/>
        </w:rPr>
        <w:t>.</w:t>
      </w:r>
    </w:p>
    <w:p w:rsidR="00312947" w:rsidRPr="007F422B" w:rsidRDefault="00312947" w:rsidP="00312947">
      <w:pPr>
        <w:rPr>
          <w:rFonts w:cs="Arial"/>
          <w:color w:val="C45911" w:themeColor="accent2" w:themeShade="BF"/>
        </w:rPr>
      </w:pPr>
      <w:r w:rsidRPr="009F1F02">
        <w:rPr>
          <w:rFonts w:cs="Arial"/>
        </w:rPr>
        <w:t xml:space="preserve">Mzdy jsou také značně strukturované podle stupně dosaženého </w:t>
      </w:r>
      <w:r w:rsidRPr="009F1F02">
        <w:rPr>
          <w:rFonts w:cs="Arial"/>
          <w:b/>
        </w:rPr>
        <w:t xml:space="preserve">vzdělání </w:t>
      </w:r>
      <w:r w:rsidRPr="009F1F02">
        <w:rPr>
          <w:rFonts w:cs="Arial"/>
        </w:rPr>
        <w:t xml:space="preserve">zaměstnance – nejvyšší výdělky pobírali opět vysokoškoláci, prostřední mzda u </w:t>
      </w:r>
      <w:r w:rsidRPr="003B5EB7">
        <w:rPr>
          <w:rFonts w:cs="Arial"/>
          <w:color w:val="000000" w:themeColor="text1"/>
        </w:rPr>
        <w:t>nich byla 5</w:t>
      </w:r>
      <w:r w:rsidR="003B5EB7" w:rsidRPr="003B5EB7">
        <w:rPr>
          <w:rFonts w:cs="Arial"/>
          <w:color w:val="000000" w:themeColor="text1"/>
        </w:rPr>
        <w:t>3</w:t>
      </w:r>
      <w:r w:rsidRPr="003B5EB7">
        <w:rPr>
          <w:rFonts w:cs="Arial"/>
          <w:color w:val="000000" w:themeColor="text1"/>
        </w:rPr>
        <w:t> </w:t>
      </w:r>
      <w:r w:rsidR="003B5EB7" w:rsidRPr="003B5EB7">
        <w:rPr>
          <w:rFonts w:cs="Arial"/>
          <w:color w:val="000000" w:themeColor="text1"/>
        </w:rPr>
        <w:t>145</w:t>
      </w:r>
      <w:r w:rsidRPr="003B5EB7">
        <w:rPr>
          <w:rFonts w:cs="Arial"/>
          <w:color w:val="000000" w:themeColor="text1"/>
        </w:rPr>
        <w:t> Kč</w:t>
      </w:r>
      <w:r w:rsidR="003B5EB7">
        <w:rPr>
          <w:rFonts w:cs="Arial"/>
          <w:color w:val="000000" w:themeColor="text1"/>
        </w:rPr>
        <w:t>, meziročně se u nich ale zvýšila nejméně</w:t>
      </w:r>
      <w:r w:rsidR="007E676C">
        <w:rPr>
          <w:rFonts w:cs="Arial"/>
          <w:color w:val="000000" w:themeColor="text1"/>
        </w:rPr>
        <w:t>, jen</w:t>
      </w:r>
      <w:r w:rsidR="003B5EB7">
        <w:rPr>
          <w:rFonts w:cs="Arial"/>
          <w:color w:val="000000" w:themeColor="text1"/>
        </w:rPr>
        <w:t xml:space="preserve"> o 5,5 %</w:t>
      </w:r>
      <w:r w:rsidRPr="003B5EB7">
        <w:rPr>
          <w:rFonts w:cs="Arial"/>
          <w:color w:val="000000" w:themeColor="text1"/>
        </w:rPr>
        <w:t xml:space="preserve">. </w:t>
      </w:r>
      <w:r w:rsidRPr="009F1F02">
        <w:rPr>
          <w:rFonts w:cs="Arial"/>
        </w:rPr>
        <w:t xml:space="preserve">Mzdy zaměstnanců se základním či nedokončeným vzděláním zůstaly </w:t>
      </w:r>
      <w:r w:rsidRPr="003B5EB7">
        <w:rPr>
          <w:rFonts w:cs="Arial"/>
          <w:color w:val="000000" w:themeColor="text1"/>
        </w:rPr>
        <w:t>naopak nejnižší (2</w:t>
      </w:r>
      <w:r w:rsidR="003B5EB7" w:rsidRPr="003B5EB7">
        <w:rPr>
          <w:rFonts w:cs="Arial"/>
          <w:color w:val="000000" w:themeColor="text1"/>
        </w:rPr>
        <w:t>9</w:t>
      </w:r>
      <w:r w:rsidRPr="003B5EB7">
        <w:rPr>
          <w:rFonts w:cs="Arial"/>
          <w:color w:val="000000" w:themeColor="text1"/>
        </w:rPr>
        <w:t> </w:t>
      </w:r>
      <w:r w:rsidR="003B5EB7" w:rsidRPr="003B5EB7">
        <w:rPr>
          <w:rFonts w:cs="Arial"/>
          <w:color w:val="000000" w:themeColor="text1"/>
        </w:rPr>
        <w:t>626</w:t>
      </w:r>
      <w:r w:rsidRPr="003B5EB7">
        <w:rPr>
          <w:rFonts w:cs="Arial"/>
          <w:color w:val="000000" w:themeColor="text1"/>
        </w:rPr>
        <w:t> Kč)</w:t>
      </w:r>
      <w:r w:rsidR="003B5EB7">
        <w:rPr>
          <w:rFonts w:cs="Arial"/>
          <w:color w:val="000000" w:themeColor="text1"/>
        </w:rPr>
        <w:t>, třebaže se zvýšily nejvíce</w:t>
      </w:r>
      <w:r w:rsidR="007E676C">
        <w:rPr>
          <w:rFonts w:cs="Arial"/>
          <w:color w:val="000000" w:themeColor="text1"/>
        </w:rPr>
        <w:t>,</w:t>
      </w:r>
      <w:r w:rsidR="003B5EB7">
        <w:rPr>
          <w:rFonts w:cs="Arial"/>
          <w:color w:val="000000" w:themeColor="text1"/>
        </w:rPr>
        <w:t xml:space="preserve"> o 7,8</w:t>
      </w:r>
      <w:r w:rsidR="003B5EB7">
        <w:rPr>
          <w:rFonts w:cs="Arial"/>
          <w:color w:val="000000" w:themeColor="text1"/>
          <w:sz w:val="22"/>
        </w:rPr>
        <w:t> %</w:t>
      </w:r>
      <w:r w:rsidRPr="003B5EB7">
        <w:rPr>
          <w:rFonts w:cs="Arial"/>
          <w:color w:val="000000" w:themeColor="text1"/>
        </w:rPr>
        <w:t>. Středoškoláci s maturitou si vydělali mnohem více (3</w:t>
      </w:r>
      <w:r w:rsidR="003B5EB7" w:rsidRPr="003B5EB7">
        <w:rPr>
          <w:rFonts w:cs="Arial"/>
          <w:color w:val="000000" w:themeColor="text1"/>
        </w:rPr>
        <w:t>9</w:t>
      </w:r>
      <w:r w:rsidRPr="003B5EB7">
        <w:rPr>
          <w:rFonts w:cs="Arial"/>
          <w:color w:val="000000" w:themeColor="text1"/>
        </w:rPr>
        <w:t> </w:t>
      </w:r>
      <w:r w:rsidR="003B5EB7" w:rsidRPr="003B5EB7">
        <w:rPr>
          <w:rFonts w:cs="Arial"/>
          <w:color w:val="000000" w:themeColor="text1"/>
        </w:rPr>
        <w:t>153</w:t>
      </w:r>
      <w:r w:rsidRPr="003B5EB7">
        <w:rPr>
          <w:rFonts w:cs="Arial"/>
          <w:color w:val="000000" w:themeColor="text1"/>
        </w:rPr>
        <w:t> Kč) než ti bez ní (3</w:t>
      </w:r>
      <w:r w:rsidR="003B5EB7" w:rsidRPr="003B5EB7">
        <w:rPr>
          <w:rFonts w:cs="Arial"/>
          <w:color w:val="000000" w:themeColor="text1"/>
        </w:rPr>
        <w:t>2</w:t>
      </w:r>
      <w:r w:rsidRPr="003B5EB7">
        <w:rPr>
          <w:rFonts w:cs="Arial"/>
          <w:color w:val="000000" w:themeColor="text1"/>
        </w:rPr>
        <w:t> </w:t>
      </w:r>
      <w:r w:rsidR="003B5EB7" w:rsidRPr="003B5EB7">
        <w:rPr>
          <w:rFonts w:cs="Arial"/>
          <w:color w:val="000000" w:themeColor="text1"/>
        </w:rPr>
        <w:t>539</w:t>
      </w:r>
      <w:r w:rsidRPr="003B5EB7">
        <w:rPr>
          <w:rFonts w:cs="Arial"/>
          <w:color w:val="000000" w:themeColor="text1"/>
        </w:rPr>
        <w:t> Kč), ale méně než zaměstnanci s vyšším odborným, resp. bakalářským vzděláním (4</w:t>
      </w:r>
      <w:r w:rsidR="003B5EB7" w:rsidRPr="003B5EB7">
        <w:rPr>
          <w:rFonts w:cs="Arial"/>
          <w:color w:val="000000" w:themeColor="text1"/>
        </w:rPr>
        <w:t>4</w:t>
      </w:r>
      <w:r w:rsidRPr="003B5EB7">
        <w:rPr>
          <w:rFonts w:cs="Arial"/>
          <w:color w:val="000000" w:themeColor="text1"/>
        </w:rPr>
        <w:t> </w:t>
      </w:r>
      <w:r w:rsidR="003B5EB7" w:rsidRPr="003B5EB7">
        <w:rPr>
          <w:rFonts w:cs="Arial"/>
          <w:color w:val="000000" w:themeColor="text1"/>
        </w:rPr>
        <w:t>884</w:t>
      </w:r>
      <w:r w:rsidR="003B5EB7">
        <w:rPr>
          <w:rFonts w:cs="Arial"/>
          <w:color w:val="000000" w:themeColor="text1"/>
        </w:rPr>
        <w:t> Kč).</w:t>
      </w:r>
    </w:p>
    <w:p w:rsidR="00312947" w:rsidRPr="007F422B" w:rsidRDefault="00312947" w:rsidP="00B916A5">
      <w:pPr>
        <w:pStyle w:val="Zkladntextodsazen3"/>
        <w:spacing w:after="0" w:line="276" w:lineRule="auto"/>
        <w:ind w:firstLine="0"/>
        <w:rPr>
          <w:bCs/>
          <w:color w:val="C45911" w:themeColor="accent2" w:themeShade="BF"/>
          <w:szCs w:val="18"/>
        </w:rPr>
      </w:pPr>
      <w:r w:rsidRPr="009F1F02">
        <w:rPr>
          <w:rFonts w:cs="Arial"/>
        </w:rPr>
        <w:t xml:space="preserve">ISPV sleduje pololetně také výdělky podle </w:t>
      </w:r>
      <w:r w:rsidRPr="009F1F02">
        <w:rPr>
          <w:rFonts w:cs="Arial"/>
          <w:b/>
        </w:rPr>
        <w:t>státního občanství</w:t>
      </w:r>
      <w:r w:rsidRPr="009F1F02">
        <w:rPr>
          <w:rFonts w:cs="Arial"/>
        </w:rPr>
        <w:t>. Z </w:t>
      </w:r>
      <w:r w:rsidRPr="004E01E6">
        <w:rPr>
          <w:rFonts w:cs="Arial"/>
          <w:color w:val="000000" w:themeColor="text1"/>
        </w:rPr>
        <w:t xml:space="preserve">velkých cizineckých skupin </w:t>
      </w:r>
      <w:r w:rsidR="003B5EB7" w:rsidRPr="004E01E6">
        <w:rPr>
          <w:rFonts w:cs="Arial"/>
          <w:color w:val="000000" w:themeColor="text1"/>
        </w:rPr>
        <w:t xml:space="preserve">jsou </w:t>
      </w:r>
      <w:r w:rsidR="00E9311C">
        <w:rPr>
          <w:rFonts w:cs="Arial"/>
          <w:color w:val="000000" w:themeColor="text1"/>
        </w:rPr>
        <w:t xml:space="preserve">nyní </w:t>
      </w:r>
      <w:r w:rsidR="003B5EB7" w:rsidRPr="004E01E6">
        <w:rPr>
          <w:rFonts w:cs="Arial"/>
          <w:color w:val="000000" w:themeColor="text1"/>
        </w:rPr>
        <w:t xml:space="preserve">nejvíce zastoupeni Ukrajinci, u nichž se počet záznamů meziročně zvýšil o 36 %, naopak počty u Rumunů a Bulharů se propadly o 6,9 </w:t>
      </w:r>
      <w:r w:rsidR="004E01E6">
        <w:rPr>
          <w:rFonts w:cs="Arial"/>
          <w:color w:val="000000" w:themeColor="text1"/>
        </w:rPr>
        <w:t>%,</w:t>
      </w:r>
      <w:r w:rsidR="003B5EB7" w:rsidRPr="004E01E6">
        <w:rPr>
          <w:rFonts w:cs="Arial"/>
          <w:color w:val="000000" w:themeColor="text1"/>
        </w:rPr>
        <w:t xml:space="preserve"> resp. o 1,4 </w:t>
      </w:r>
      <w:r w:rsidR="004E01E6">
        <w:rPr>
          <w:rFonts w:cs="Arial"/>
          <w:color w:val="000000" w:themeColor="text1"/>
        </w:rPr>
        <w:t>%.</w:t>
      </w:r>
      <w:r w:rsidR="003B5EB7" w:rsidRPr="004E01E6">
        <w:rPr>
          <w:rFonts w:cs="Arial"/>
          <w:color w:val="000000" w:themeColor="text1"/>
        </w:rPr>
        <w:t xml:space="preserve"> </w:t>
      </w:r>
      <w:r w:rsidR="004E01E6" w:rsidRPr="004E01E6">
        <w:rPr>
          <w:rFonts w:cs="Arial"/>
          <w:color w:val="000000" w:themeColor="text1"/>
        </w:rPr>
        <w:t xml:space="preserve">Nejvyšší </w:t>
      </w:r>
      <w:r w:rsidRPr="004E01E6">
        <w:rPr>
          <w:rFonts w:cs="Arial"/>
          <w:color w:val="000000" w:themeColor="text1"/>
        </w:rPr>
        <w:t>mediánov</w:t>
      </w:r>
      <w:r w:rsidR="004E01E6">
        <w:rPr>
          <w:rFonts w:cs="Arial"/>
          <w:color w:val="000000" w:themeColor="text1"/>
        </w:rPr>
        <w:t>ou</w:t>
      </w:r>
      <w:r w:rsidRPr="004E01E6">
        <w:rPr>
          <w:rFonts w:cs="Arial"/>
          <w:color w:val="000000" w:themeColor="text1"/>
        </w:rPr>
        <w:t xml:space="preserve"> mzd</w:t>
      </w:r>
      <w:r w:rsidR="004E01E6">
        <w:rPr>
          <w:rFonts w:cs="Arial"/>
          <w:color w:val="000000" w:themeColor="text1"/>
        </w:rPr>
        <w:t>u</w:t>
      </w:r>
      <w:r w:rsidRPr="004E01E6">
        <w:rPr>
          <w:rFonts w:cs="Arial"/>
          <w:color w:val="000000" w:themeColor="text1"/>
        </w:rPr>
        <w:t xml:space="preserve"> </w:t>
      </w:r>
      <w:r w:rsidR="004E01E6" w:rsidRPr="004E01E6">
        <w:rPr>
          <w:rFonts w:cs="Arial"/>
          <w:color w:val="000000" w:themeColor="text1"/>
        </w:rPr>
        <w:t xml:space="preserve">z těchto skupin </w:t>
      </w:r>
      <w:r w:rsidRPr="004E01E6">
        <w:rPr>
          <w:rFonts w:cs="Arial"/>
          <w:color w:val="000000" w:themeColor="text1"/>
        </w:rPr>
        <w:t xml:space="preserve">v Česku </w:t>
      </w:r>
      <w:r w:rsidR="004E01E6" w:rsidRPr="004E01E6">
        <w:rPr>
          <w:rFonts w:cs="Arial"/>
          <w:color w:val="000000" w:themeColor="text1"/>
        </w:rPr>
        <w:t xml:space="preserve">měli </w:t>
      </w:r>
      <w:r w:rsidRPr="004E01E6">
        <w:rPr>
          <w:rFonts w:cs="Arial"/>
          <w:color w:val="000000" w:themeColor="text1"/>
        </w:rPr>
        <w:t>Slováci (</w:t>
      </w:r>
      <w:r w:rsidR="004E01E6" w:rsidRPr="004E01E6">
        <w:rPr>
          <w:rFonts w:cs="Arial"/>
          <w:color w:val="000000" w:themeColor="text1"/>
        </w:rPr>
        <w:t>4</w:t>
      </w:r>
      <w:r w:rsidRPr="004E01E6">
        <w:rPr>
          <w:rFonts w:cs="Arial"/>
          <w:color w:val="000000" w:themeColor="text1"/>
        </w:rPr>
        <w:t>3 </w:t>
      </w:r>
      <w:r w:rsidR="004E01E6" w:rsidRPr="004E01E6">
        <w:rPr>
          <w:rFonts w:cs="Arial"/>
          <w:color w:val="000000" w:themeColor="text1"/>
        </w:rPr>
        <w:t>182</w:t>
      </w:r>
      <w:r w:rsidR="004E01E6">
        <w:rPr>
          <w:rFonts w:cs="Arial"/>
          <w:color w:val="000000" w:themeColor="text1"/>
        </w:rPr>
        <w:t> Kč), byla o </w:t>
      </w:r>
      <w:r w:rsidRPr="004E01E6">
        <w:rPr>
          <w:rFonts w:cs="Arial"/>
          <w:color w:val="000000" w:themeColor="text1"/>
        </w:rPr>
        <w:t>1</w:t>
      </w:r>
      <w:r w:rsidR="004E01E6" w:rsidRPr="004E01E6">
        <w:rPr>
          <w:rFonts w:cs="Arial"/>
          <w:color w:val="000000" w:themeColor="text1"/>
        </w:rPr>
        <w:t>2</w:t>
      </w:r>
      <w:r w:rsidRPr="004E01E6">
        <w:rPr>
          <w:rFonts w:cs="Arial"/>
          <w:color w:val="000000" w:themeColor="text1"/>
        </w:rPr>
        <w:t> % vyšší než u zaměstnanců s českým občanstvím (3</w:t>
      </w:r>
      <w:r w:rsidR="004E01E6" w:rsidRPr="004E01E6">
        <w:rPr>
          <w:rFonts w:cs="Arial"/>
          <w:color w:val="000000" w:themeColor="text1"/>
        </w:rPr>
        <w:t>8</w:t>
      </w:r>
      <w:r w:rsidRPr="004E01E6">
        <w:rPr>
          <w:rFonts w:cs="Arial"/>
          <w:color w:val="000000" w:themeColor="text1"/>
        </w:rPr>
        <w:t> </w:t>
      </w:r>
      <w:r w:rsidR="004E01E6" w:rsidRPr="004E01E6">
        <w:rPr>
          <w:rFonts w:cs="Arial"/>
          <w:color w:val="000000" w:themeColor="text1"/>
        </w:rPr>
        <w:t>712</w:t>
      </w:r>
      <w:r w:rsidRPr="004E01E6">
        <w:rPr>
          <w:rFonts w:cs="Arial"/>
          <w:color w:val="000000" w:themeColor="text1"/>
        </w:rPr>
        <w:t xml:space="preserve"> Kč) a </w:t>
      </w:r>
      <w:r w:rsidR="004E01E6">
        <w:rPr>
          <w:rFonts w:cs="Arial"/>
          <w:color w:val="000000" w:themeColor="text1"/>
        </w:rPr>
        <w:t>vzrostla</w:t>
      </w:r>
      <w:r w:rsidRPr="004E01E6">
        <w:rPr>
          <w:rFonts w:cs="Arial"/>
          <w:color w:val="000000" w:themeColor="text1"/>
        </w:rPr>
        <w:t xml:space="preserve"> meziročně nejvíce (o </w:t>
      </w:r>
      <w:r w:rsidR="004E01E6" w:rsidRPr="004E01E6">
        <w:rPr>
          <w:rFonts w:cs="Arial"/>
          <w:color w:val="000000" w:themeColor="text1"/>
        </w:rPr>
        <w:t>8,6</w:t>
      </w:r>
      <w:r w:rsidRPr="004E01E6">
        <w:rPr>
          <w:rFonts w:cs="Arial"/>
          <w:color w:val="000000" w:themeColor="text1"/>
        </w:rPr>
        <w:t> %). Naopak o 2</w:t>
      </w:r>
      <w:r w:rsidR="004E01E6" w:rsidRPr="004E01E6">
        <w:rPr>
          <w:rFonts w:cs="Arial"/>
          <w:color w:val="000000" w:themeColor="text1"/>
        </w:rPr>
        <w:t>4</w:t>
      </w:r>
      <w:r w:rsidR="004E01E6">
        <w:rPr>
          <w:rFonts w:cs="Arial"/>
          <w:color w:val="000000" w:themeColor="text1"/>
        </w:rPr>
        <w:t> % nižší než česká</w:t>
      </w:r>
      <w:r w:rsidRPr="004E01E6">
        <w:rPr>
          <w:rFonts w:cs="Arial"/>
          <w:color w:val="000000" w:themeColor="text1"/>
        </w:rPr>
        <w:t xml:space="preserve"> byl</w:t>
      </w:r>
      <w:r w:rsidR="004E01E6">
        <w:rPr>
          <w:rFonts w:cs="Arial"/>
          <w:color w:val="000000" w:themeColor="text1"/>
        </w:rPr>
        <w:t>a mediánová</w:t>
      </w:r>
      <w:r w:rsidRPr="004E01E6">
        <w:rPr>
          <w:rFonts w:cs="Arial"/>
          <w:color w:val="000000" w:themeColor="text1"/>
        </w:rPr>
        <w:t xml:space="preserve"> mzd</w:t>
      </w:r>
      <w:r w:rsidR="004E01E6">
        <w:rPr>
          <w:rFonts w:cs="Arial"/>
          <w:color w:val="000000" w:themeColor="text1"/>
        </w:rPr>
        <w:t>a</w:t>
      </w:r>
      <w:r w:rsidRPr="004E01E6">
        <w:rPr>
          <w:rFonts w:cs="Arial"/>
          <w:color w:val="000000" w:themeColor="text1"/>
        </w:rPr>
        <w:t xml:space="preserve"> </w:t>
      </w:r>
      <w:r w:rsidR="00E9311C">
        <w:rPr>
          <w:rFonts w:cs="Arial"/>
          <w:color w:val="000000" w:themeColor="text1"/>
        </w:rPr>
        <w:t>právě u </w:t>
      </w:r>
      <w:r w:rsidRPr="004E01E6">
        <w:rPr>
          <w:rFonts w:cs="Arial"/>
          <w:color w:val="000000" w:themeColor="text1"/>
        </w:rPr>
        <w:t>Ukrajinců (2</w:t>
      </w:r>
      <w:r w:rsidR="004E01E6" w:rsidRPr="004E01E6">
        <w:rPr>
          <w:rFonts w:cs="Arial"/>
          <w:color w:val="000000" w:themeColor="text1"/>
        </w:rPr>
        <w:t>9</w:t>
      </w:r>
      <w:r w:rsidRPr="004E01E6">
        <w:rPr>
          <w:rFonts w:cs="Arial"/>
          <w:color w:val="000000" w:themeColor="text1"/>
        </w:rPr>
        <w:t> </w:t>
      </w:r>
      <w:r w:rsidR="004E01E6" w:rsidRPr="004E01E6">
        <w:rPr>
          <w:rFonts w:cs="Arial"/>
          <w:color w:val="000000" w:themeColor="text1"/>
        </w:rPr>
        <w:t>341</w:t>
      </w:r>
      <w:r w:rsidRPr="004E01E6">
        <w:rPr>
          <w:rFonts w:cs="Arial"/>
          <w:color w:val="000000" w:themeColor="text1"/>
        </w:rPr>
        <w:t> Kč), kter</w:t>
      </w:r>
      <w:r w:rsidR="004E01E6" w:rsidRPr="004E01E6">
        <w:rPr>
          <w:rFonts w:cs="Arial"/>
          <w:color w:val="000000" w:themeColor="text1"/>
        </w:rPr>
        <w:t>á</w:t>
      </w:r>
      <w:r w:rsidRPr="004E01E6">
        <w:rPr>
          <w:rFonts w:cs="Arial"/>
          <w:color w:val="000000" w:themeColor="text1"/>
        </w:rPr>
        <w:t xml:space="preserve"> se </w:t>
      </w:r>
      <w:r w:rsidR="004E01E6" w:rsidRPr="004E01E6">
        <w:rPr>
          <w:rFonts w:cs="Arial"/>
          <w:color w:val="000000" w:themeColor="text1"/>
        </w:rPr>
        <w:t>navíc meziročně zvýšila</w:t>
      </w:r>
      <w:r w:rsidRPr="004E01E6">
        <w:rPr>
          <w:rFonts w:cs="Arial"/>
          <w:color w:val="000000" w:themeColor="text1"/>
        </w:rPr>
        <w:t xml:space="preserve"> </w:t>
      </w:r>
      <w:r w:rsidR="004E01E6" w:rsidRPr="004E01E6">
        <w:rPr>
          <w:rFonts w:cs="Arial"/>
          <w:color w:val="000000" w:themeColor="text1"/>
        </w:rPr>
        <w:t>nejméně (</w:t>
      </w:r>
      <w:r w:rsidRPr="004E01E6">
        <w:rPr>
          <w:rFonts w:cs="Arial"/>
          <w:color w:val="000000" w:themeColor="text1"/>
        </w:rPr>
        <w:t>o </w:t>
      </w:r>
      <w:r w:rsidR="004E01E6" w:rsidRPr="004E01E6">
        <w:rPr>
          <w:rFonts w:cs="Arial"/>
          <w:color w:val="000000" w:themeColor="text1"/>
        </w:rPr>
        <w:t>6,2 %)</w:t>
      </w:r>
      <w:r w:rsidRPr="004E01E6">
        <w:rPr>
          <w:rFonts w:cs="Arial"/>
          <w:color w:val="000000" w:themeColor="text1"/>
        </w:rPr>
        <w:t xml:space="preserve">. </w:t>
      </w:r>
      <w:r w:rsidR="004E01E6" w:rsidRPr="004E01E6">
        <w:rPr>
          <w:rFonts w:cs="Arial"/>
          <w:color w:val="000000" w:themeColor="text1"/>
        </w:rPr>
        <w:t>N</w:t>
      </w:r>
      <w:r w:rsidRPr="004E01E6">
        <w:rPr>
          <w:rFonts w:cs="Arial"/>
          <w:color w:val="000000" w:themeColor="text1"/>
        </w:rPr>
        <w:t>ižší než české byly také mzdové úrovně u dalších tří menších skupin, tedy Bulharů (o 16 % n</w:t>
      </w:r>
      <w:r w:rsidR="004E01E6">
        <w:rPr>
          <w:rFonts w:cs="Arial"/>
          <w:color w:val="000000" w:themeColor="text1"/>
        </w:rPr>
        <w:t>iž</w:t>
      </w:r>
      <w:r w:rsidRPr="004E01E6">
        <w:rPr>
          <w:rFonts w:cs="Arial"/>
          <w:color w:val="000000" w:themeColor="text1"/>
        </w:rPr>
        <w:t>ší), Rumunů (o 1</w:t>
      </w:r>
      <w:r w:rsidR="004E01E6" w:rsidRPr="004E01E6">
        <w:rPr>
          <w:rFonts w:cs="Arial"/>
          <w:color w:val="000000" w:themeColor="text1"/>
        </w:rPr>
        <w:t>4</w:t>
      </w:r>
      <w:r w:rsidR="004E01E6">
        <w:rPr>
          <w:rFonts w:cs="Arial"/>
          <w:color w:val="000000" w:themeColor="text1"/>
        </w:rPr>
        <w:t> %) a Poláků (o 7 %).</w:t>
      </w:r>
    </w:p>
    <w:p w:rsidR="00FB3593" w:rsidRDefault="00FB3593" w:rsidP="00B916A5">
      <w:pPr>
        <w:pStyle w:val="Zkladntextodsazen3"/>
        <w:spacing w:after="0" w:line="276" w:lineRule="auto"/>
        <w:ind w:firstLine="0"/>
        <w:rPr>
          <w:bCs/>
          <w:szCs w:val="18"/>
        </w:rPr>
      </w:pPr>
    </w:p>
    <w:p w:rsidR="004E01E6" w:rsidRPr="00883328" w:rsidRDefault="004E01E6" w:rsidP="00B916A5">
      <w:pPr>
        <w:pStyle w:val="Zkladntextodsazen3"/>
        <w:spacing w:after="0" w:line="276" w:lineRule="auto"/>
        <w:ind w:firstLine="0"/>
        <w:rPr>
          <w:bCs/>
          <w:szCs w:val="18"/>
        </w:rPr>
      </w:pPr>
    </w:p>
    <w:p w:rsidR="00B916A5" w:rsidRPr="00883328" w:rsidRDefault="00530C82" w:rsidP="00B916A5">
      <w:pPr>
        <w:rPr>
          <w:b/>
        </w:rPr>
      </w:pPr>
      <w:r w:rsidRPr="00883328">
        <w:rPr>
          <w:b/>
        </w:rPr>
        <w:t>Zpracoval</w:t>
      </w:r>
      <w:r w:rsidR="00B916A5" w:rsidRPr="00883328">
        <w:rPr>
          <w:b/>
        </w:rPr>
        <w:t>: Dalibor Holý</w:t>
      </w:r>
    </w:p>
    <w:p w:rsidR="00B916A5" w:rsidRDefault="00B916A5" w:rsidP="00B916A5">
      <w:r w:rsidRPr="000571A0">
        <w:t>Odbor statistiky trhu práce a rovných příležitostí ČSÚ</w:t>
      </w:r>
      <w:bookmarkStart w:id="0" w:name="_GoBack"/>
      <w:bookmarkEnd w:id="0"/>
    </w:p>
    <w:p w:rsidR="00B916A5" w:rsidRDefault="00B916A5" w:rsidP="00B916A5">
      <w:r>
        <w:t>Tel.: +420 274 052 694</w:t>
      </w:r>
    </w:p>
    <w:p w:rsidR="00851591" w:rsidRPr="00851591" w:rsidRDefault="00B916A5" w:rsidP="00851591">
      <w:r>
        <w:t xml:space="preserve">E-mail: </w:t>
      </w:r>
      <w:hyperlink r:id="rId9" w:history="1">
        <w:r w:rsidRPr="00B23010">
          <w:rPr>
            <w:rStyle w:val="Hypertextovodkaz"/>
          </w:rPr>
          <w:t>dalibor.holy@czso.cz</w:t>
        </w:r>
      </w:hyperlink>
    </w:p>
    <w:sectPr w:rsidR="00851591" w:rsidRPr="00851591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F07" w:rsidRDefault="00BC5F07" w:rsidP="00BA6370">
      <w:r>
        <w:separator/>
      </w:r>
    </w:p>
  </w:endnote>
  <w:endnote w:type="continuationSeparator" w:id="0">
    <w:p w:rsidR="00BC5F07" w:rsidRDefault="00BC5F07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0B0" w:rsidRDefault="00F020B0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1CCD72A5" wp14:editId="10B3EF9F">
              <wp:simplePos x="0" y="0"/>
              <wp:positionH relativeFrom="page">
                <wp:posOffset>1259840</wp:posOffset>
              </wp:positionH>
              <wp:positionV relativeFrom="page">
                <wp:posOffset>9705975</wp:posOffset>
              </wp:positionV>
              <wp:extent cx="5416550" cy="61849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6184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020B0" w:rsidRPr="00112B77" w:rsidRDefault="00F020B0" w:rsidP="00DE5AE7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Český statistický úřad  |  Na padesátém 81  |  100 82  Praha 10</w:t>
                          </w:r>
                        </w:p>
                        <w:p w:rsidR="00F020B0" w:rsidRPr="001404AB" w:rsidRDefault="00F020B0" w:rsidP="00DE5AE7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F020B0" w:rsidRPr="00A81EB3" w:rsidRDefault="00F020B0" w:rsidP="00DE5AE7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</w:t>
                          </w:r>
                          <w:r w:rsidRPr="00112B77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zso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</w:t>
                          </w:r>
                          <w:r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www.stoletistatistiky.cz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l: </w:t>
                          </w:r>
                          <w:hyperlink r:id="rId1" w:history="1">
                            <w:r w:rsidRPr="00543B1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E9311C">
                            <w:rPr>
                              <w:rFonts w:cs="Arial"/>
                              <w:noProof/>
                              <w:szCs w:val="15"/>
                            </w:rPr>
                            <w:t>6</w:t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CD72A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4.25pt;width:426.5pt;height:48.7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" filled="f" stroked="f">
              <v:textbox inset="0,0,0,0">
                <w:txbxContent>
                  <w:p w:rsidR="00F020B0" w:rsidRPr="00112B77" w:rsidRDefault="00F020B0" w:rsidP="00DE5AE7">
                    <w:pPr>
                      <w:spacing w:line="220" w:lineRule="atLeast"/>
                      <w:jc w:val="lef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Český statistický úřad  |  Na padesátém 81  |  100 82  Praha 10</w:t>
                    </w:r>
                  </w:p>
                  <w:p w:rsidR="00F020B0" w:rsidRPr="001404AB" w:rsidRDefault="00F020B0" w:rsidP="00DE5AE7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F020B0" w:rsidRPr="00A81EB3" w:rsidRDefault="00F020B0" w:rsidP="00DE5AE7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</w:t>
                    </w:r>
                    <w:r w:rsidRPr="00112B77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zso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</w:t>
                    </w:r>
                    <w:r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www.stoletistatistiky.cz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l: </w:t>
                    </w:r>
                    <w:hyperlink r:id="rId2" w:history="1">
                      <w:r w:rsidRPr="00543B1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E9311C">
                      <w:rPr>
                        <w:rFonts w:cs="Arial"/>
                        <w:noProof/>
                        <w:szCs w:val="15"/>
                      </w:rPr>
                      <w:t>6</w:t>
                    </w:r>
                    <w:r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 wp14:anchorId="61FC6BC5" wp14:editId="2BBF4992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EAD2CEA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AsVnQ2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F07" w:rsidRDefault="00BC5F07" w:rsidP="00BA6370">
      <w:r>
        <w:separator/>
      </w:r>
    </w:p>
  </w:footnote>
  <w:footnote w:type="continuationSeparator" w:id="0">
    <w:p w:rsidR="00BC5F07" w:rsidRDefault="00BC5F07" w:rsidP="00BA6370">
      <w:r>
        <w:continuationSeparator/>
      </w:r>
    </w:p>
  </w:footnote>
  <w:footnote w:id="1">
    <w:p w:rsidR="00F020B0" w:rsidRDefault="00F020B0" w:rsidP="00312947">
      <w:pPr>
        <w:pStyle w:val="Textpoznpodarou"/>
      </w:pPr>
      <w:r w:rsidRPr="0043723E">
        <w:rPr>
          <w:rStyle w:val="Znakapoznpodarou"/>
        </w:rPr>
        <w:footnoteRef/>
      </w:r>
      <w:r w:rsidRPr="0043723E">
        <w:t xml:space="preserve"> </w:t>
      </w:r>
      <w:r w:rsidRPr="0043723E">
        <w:rPr>
          <w:sz w:val="18"/>
        </w:rPr>
        <w:t xml:space="preserve">Za nízkovýdělkového zaměstnance je obecně považován takový, který pobírá méně než 2/3 celkové mediánové mzdy, </w:t>
      </w:r>
      <w:r>
        <w:rPr>
          <w:sz w:val="18"/>
        </w:rPr>
        <w:t xml:space="preserve">podle předběžných výsledků ISPV </w:t>
      </w:r>
      <w:r w:rsidRPr="0043723E">
        <w:rPr>
          <w:sz w:val="18"/>
        </w:rPr>
        <w:t xml:space="preserve">za </w:t>
      </w:r>
      <w:r>
        <w:rPr>
          <w:sz w:val="18"/>
        </w:rPr>
        <w:t>1. pololetí</w:t>
      </w:r>
      <w:r w:rsidRPr="0043723E">
        <w:rPr>
          <w:sz w:val="18"/>
        </w:rPr>
        <w:t xml:space="preserve"> 202</w:t>
      </w:r>
      <w:r>
        <w:rPr>
          <w:sz w:val="18"/>
        </w:rPr>
        <w:t xml:space="preserve">3 </w:t>
      </w:r>
      <w:r w:rsidRPr="0043723E">
        <w:rPr>
          <w:sz w:val="18"/>
        </w:rPr>
        <w:t xml:space="preserve">šlo </w:t>
      </w:r>
      <w:r w:rsidRPr="006B18FD">
        <w:rPr>
          <w:sz w:val="18"/>
        </w:rPr>
        <w:t xml:space="preserve">o hranici </w:t>
      </w:r>
      <w:r w:rsidR="00E74123">
        <w:rPr>
          <w:sz w:val="18"/>
        </w:rPr>
        <w:t>25 604 </w:t>
      </w:r>
      <w:r w:rsidRPr="006B18FD">
        <w:rPr>
          <w:sz w:val="18"/>
        </w:rPr>
        <w:t>Kč.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0B0" w:rsidRDefault="00F020B0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4656" behindDoc="0" locked="0" layoutInCell="1" allowOverlap="1" wp14:anchorId="039990DD" wp14:editId="35572BF4">
              <wp:simplePos x="0" y="0"/>
              <wp:positionH relativeFrom="column">
                <wp:posOffset>-900430</wp:posOffset>
              </wp:positionH>
              <wp:positionV relativeFrom="paragraph">
                <wp:posOffset>83185</wp:posOffset>
              </wp:positionV>
              <wp:extent cx="6329045" cy="1045845"/>
              <wp:effectExtent l="4445" t="6985" r="635" b="4445"/>
              <wp:wrapNone/>
              <wp:docPr id="10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67" y="851"/>
                        <a:chExt cx="9967" cy="1647"/>
                      </a:xfrm>
                    </wpg:grpSpPr>
                    <wps:wsp>
                      <wps:cNvPr id="11" name="Rectangle 7"/>
                      <wps:cNvSpPr>
                        <a:spLocks noChangeArrowheads="1"/>
                      </wps:cNvSpPr>
                      <wps:spPr bwMode="auto">
                        <a:xfrm>
                          <a:off x="1215" y="901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Rectangle 8"/>
                      <wps:cNvSpPr>
                        <a:spLocks noChangeArrowheads="1"/>
                      </wps:cNvSpPr>
                      <wps:spPr bwMode="auto">
                        <a:xfrm>
                          <a:off x="567" y="1131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9"/>
                      <wps:cNvSpPr>
                        <a:spLocks noChangeArrowheads="1"/>
                      </wps:cNvSpPr>
                      <wps:spPr bwMode="auto">
                        <a:xfrm>
                          <a:off x="1288" y="1361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0"/>
                      <wps:cNvSpPr>
                        <a:spLocks noEditPoints="1"/>
                      </wps:cNvSpPr>
                      <wps:spPr bwMode="auto">
                        <a:xfrm>
                          <a:off x="1969" y="1311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1"/>
                      <wps:cNvSpPr>
                        <a:spLocks noEditPoints="1"/>
                      </wps:cNvSpPr>
                      <wps:spPr bwMode="auto">
                        <a:xfrm>
                          <a:off x="1962" y="1081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2"/>
                      <wps:cNvSpPr>
                        <a:spLocks noEditPoints="1"/>
                      </wps:cNvSpPr>
                      <wps:spPr bwMode="auto">
                        <a:xfrm>
                          <a:off x="1962" y="851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8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13"/>
                      <wps:cNvSpPr>
                        <a:spLocks noChangeArrowheads="1"/>
                      </wps:cNvSpPr>
                      <wps:spPr bwMode="auto">
                        <a:xfrm>
                          <a:off x="1959" y="1930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9BAD21" id="Group 23" o:spid="_x0000_s1026" style="position:absolute;margin-left:-70.9pt;margin-top:6.55pt;width:498.35pt;height:82.35pt;z-index:251654656" coordorigin="567,851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">
              <v:rect id="Rectangle 7" o:spid="_x0000_s1027" style="position:absolute;left:1215;top:901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" fillcolor="#0071bc" stroked="f"/>
              <v:rect id="Rectangle 8" o:spid="_x0000_s1028" style="position:absolute;left:567;top:1131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" fillcolor="#0071bc" stroked="f"/>
              <v:rect id="Rectangle 9" o:spid="_x0000_s1029" style="position:absolute;left:1288;top:1361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" fillcolor="#0071bc" stroked="f"/>
              <v:shape id="Freeform 10" o:spid="_x0000_s1030" style="position:absolute;left:1969;top:1311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11" o:spid="_x0000_s1031" style="position:absolute;left:1962;top:1081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12" o:spid="_x0000_s1032" style="position:absolute;left:1962;top:851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13" o:spid="_x0000_s1033" style="position:absolute;left:1959;top:1930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" fillcolor="#0071bc" stroked="f"/>
            </v:group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C3DF5EC" wp14:editId="2010471D">
              <wp:simplePos x="0" y="0"/>
              <wp:positionH relativeFrom="column">
                <wp:posOffset>818515</wp:posOffset>
              </wp:positionH>
              <wp:positionV relativeFrom="paragraph">
                <wp:posOffset>897890</wp:posOffset>
              </wp:positionV>
              <wp:extent cx="123825" cy="118110"/>
              <wp:effectExtent l="8890" t="2540" r="635" b="3175"/>
              <wp:wrapNone/>
              <wp:docPr id="9" name="Freeform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23825" cy="118110"/>
                      </a:xfrm>
                      <a:custGeom>
                        <a:avLst/>
                        <a:gdLst>
                          <a:gd name="T0" fmla="*/ 197 w 392"/>
                          <a:gd name="T1" fmla="*/ 116 h 374"/>
                          <a:gd name="T2" fmla="*/ 156 w 392"/>
                          <a:gd name="T3" fmla="*/ 236 h 374"/>
                          <a:gd name="T4" fmla="*/ 237 w 392"/>
                          <a:gd name="T5" fmla="*/ 236 h 374"/>
                          <a:gd name="T6" fmla="*/ 197 w 392"/>
                          <a:gd name="T7" fmla="*/ 116 h 374"/>
                          <a:gd name="T8" fmla="*/ 129 w 392"/>
                          <a:gd name="T9" fmla="*/ 309 h 374"/>
                          <a:gd name="T10" fmla="*/ 102 w 392"/>
                          <a:gd name="T11" fmla="*/ 374 h 374"/>
                          <a:gd name="T12" fmla="*/ 0 w 392"/>
                          <a:gd name="T13" fmla="*/ 374 h 374"/>
                          <a:gd name="T14" fmla="*/ 144 w 392"/>
                          <a:gd name="T15" fmla="*/ 0 h 374"/>
                          <a:gd name="T16" fmla="*/ 251 w 392"/>
                          <a:gd name="T17" fmla="*/ 0 h 374"/>
                          <a:gd name="T18" fmla="*/ 392 w 392"/>
                          <a:gd name="T19" fmla="*/ 374 h 374"/>
                          <a:gd name="T20" fmla="*/ 287 w 392"/>
                          <a:gd name="T21" fmla="*/ 374 h 374"/>
                          <a:gd name="T22" fmla="*/ 263 w 392"/>
                          <a:gd name="T23" fmla="*/ 309 h 374"/>
                          <a:gd name="T24" fmla="*/ 129 w 392"/>
                          <a:gd name="T25" fmla="*/ 309 h 3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</a:cxnLst>
                        <a:rect l="0" t="0" r="r" b="b"/>
                        <a:pathLst>
                          <a:path w="392" h="374">
                            <a:moveTo>
                              <a:pt x="197" y="116"/>
                            </a:moveTo>
                            <a:lnTo>
                              <a:pt x="156" y="236"/>
                            </a:lnTo>
                            <a:lnTo>
                              <a:pt x="237" y="236"/>
                            </a:lnTo>
                            <a:lnTo>
                              <a:pt x="197" y="116"/>
                            </a:lnTo>
                            <a:close/>
                            <a:moveTo>
                              <a:pt x="129" y="309"/>
                            </a:moveTo>
                            <a:lnTo>
                              <a:pt x="102" y="374"/>
                            </a:lnTo>
                            <a:lnTo>
                              <a:pt x="0" y="374"/>
                            </a:lnTo>
                            <a:lnTo>
                              <a:pt x="144" y="0"/>
                            </a:lnTo>
                            <a:lnTo>
                              <a:pt x="251" y="0"/>
                            </a:lnTo>
                            <a:lnTo>
                              <a:pt x="392" y="374"/>
                            </a:lnTo>
                            <a:lnTo>
                              <a:pt x="287" y="374"/>
                            </a:lnTo>
                            <a:lnTo>
                              <a:pt x="263" y="309"/>
                            </a:lnTo>
                            <a:lnTo>
                              <a:pt x="129" y="309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22EEE0" id="Freeform 20" o:spid="_x0000_s1026" style="position:absolute;margin-left:64.45pt;margin-top:70.7pt;width:9.75pt;height:9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2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" path="m197,116l156,236r81,l197,116xm129,309r-27,65l,374,144,,251,,392,374r-105,l263,309r-134,xe" stroked="f">
              <v:path arrowok="t" o:connecttype="custom" o:connectlocs="62228,36633;49277,74529;74864,74529;62228,36633;40749,97583;32220,118110;0,118110;45487,0;79286,0;123825,118110;90658,118110;83076,97583;40749,97583" o:connectangles="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2B84D810" wp14:editId="22619DF4">
              <wp:simplePos x="0" y="0"/>
              <wp:positionH relativeFrom="column">
                <wp:posOffset>704850</wp:posOffset>
              </wp:positionH>
              <wp:positionV relativeFrom="paragraph">
                <wp:posOffset>897890</wp:posOffset>
              </wp:positionV>
              <wp:extent cx="107950" cy="118110"/>
              <wp:effectExtent l="0" t="2540" r="6350" b="3175"/>
              <wp:wrapNone/>
              <wp:docPr id="8" name="Freeform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7950" cy="118110"/>
                      </a:xfrm>
                      <a:custGeom>
                        <a:avLst/>
                        <a:gdLst>
                          <a:gd name="T0" fmla="*/ 320 w 340"/>
                          <a:gd name="T1" fmla="*/ 292 h 374"/>
                          <a:gd name="T2" fmla="*/ 320 w 340"/>
                          <a:gd name="T3" fmla="*/ 374 h 374"/>
                          <a:gd name="T4" fmla="*/ 0 w 340"/>
                          <a:gd name="T5" fmla="*/ 374 h 374"/>
                          <a:gd name="T6" fmla="*/ 177 w 340"/>
                          <a:gd name="T7" fmla="*/ 82 h 374"/>
                          <a:gd name="T8" fmla="*/ 30 w 340"/>
                          <a:gd name="T9" fmla="*/ 82 h 374"/>
                          <a:gd name="T10" fmla="*/ 30 w 340"/>
                          <a:gd name="T11" fmla="*/ 0 h 374"/>
                          <a:gd name="T12" fmla="*/ 340 w 340"/>
                          <a:gd name="T13" fmla="*/ 0 h 374"/>
                          <a:gd name="T14" fmla="*/ 163 w 340"/>
                          <a:gd name="T15" fmla="*/ 292 h 374"/>
                          <a:gd name="T16" fmla="*/ 320 w 340"/>
                          <a:gd name="T17" fmla="*/ 292 h 3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340" h="374">
                            <a:moveTo>
                              <a:pt x="320" y="292"/>
                            </a:moveTo>
                            <a:lnTo>
                              <a:pt x="320" y="374"/>
                            </a:lnTo>
                            <a:lnTo>
                              <a:pt x="0" y="374"/>
                            </a:lnTo>
                            <a:lnTo>
                              <a:pt x="177" y="82"/>
                            </a:lnTo>
                            <a:lnTo>
                              <a:pt x="30" y="82"/>
                            </a:lnTo>
                            <a:lnTo>
                              <a:pt x="30" y="0"/>
                            </a:lnTo>
                            <a:lnTo>
                              <a:pt x="340" y="0"/>
                            </a:lnTo>
                            <a:lnTo>
                              <a:pt x="163" y="292"/>
                            </a:lnTo>
                            <a:lnTo>
                              <a:pt x="320" y="292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34C86F" id="Freeform 19" o:spid="_x0000_s1026" style="position:absolute;margin-left:55.5pt;margin-top:70.7pt;width:8.5pt;height:9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0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" path="m320,292r,82l,374,177,82,30,82,30,,340,,163,292r157,xe" stroked="f">
              <v:path arrowok="t" o:connecttype="custom" o:connectlocs="101600,92214;101600,118110;0,118110;56198,25896;9525,25896;9525,0;107950,0;51753,92214;101600,92214" o:connectangles="0,0,0,0,0,0,0,0,0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5F55FB4" wp14:editId="01652980">
              <wp:simplePos x="0" y="0"/>
              <wp:positionH relativeFrom="column">
                <wp:posOffset>584200</wp:posOffset>
              </wp:positionH>
              <wp:positionV relativeFrom="paragraph">
                <wp:posOffset>859155</wp:posOffset>
              </wp:positionV>
              <wp:extent cx="118745" cy="156845"/>
              <wp:effectExtent l="3175" t="1905" r="1905" b="3175"/>
              <wp:wrapNone/>
              <wp:docPr id="7" name="Freeform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18745" cy="156845"/>
                      </a:xfrm>
                      <a:custGeom>
                        <a:avLst/>
                        <a:gdLst>
                          <a:gd name="T0" fmla="*/ 188 w 374"/>
                          <a:gd name="T1" fmla="*/ 102 h 495"/>
                          <a:gd name="T2" fmla="*/ 154 w 374"/>
                          <a:gd name="T3" fmla="*/ 69 h 495"/>
                          <a:gd name="T4" fmla="*/ 234 w 374"/>
                          <a:gd name="T5" fmla="*/ 0 h 495"/>
                          <a:gd name="T6" fmla="*/ 281 w 374"/>
                          <a:gd name="T7" fmla="*/ 43 h 495"/>
                          <a:gd name="T8" fmla="*/ 188 w 374"/>
                          <a:gd name="T9" fmla="*/ 102 h 495"/>
                          <a:gd name="T10" fmla="*/ 0 w 374"/>
                          <a:gd name="T11" fmla="*/ 121 h 495"/>
                          <a:gd name="T12" fmla="*/ 117 w 374"/>
                          <a:gd name="T13" fmla="*/ 121 h 495"/>
                          <a:gd name="T14" fmla="*/ 187 w 374"/>
                          <a:gd name="T15" fmla="*/ 223 h 495"/>
                          <a:gd name="T16" fmla="*/ 255 w 374"/>
                          <a:gd name="T17" fmla="*/ 121 h 495"/>
                          <a:gd name="T18" fmla="*/ 374 w 374"/>
                          <a:gd name="T19" fmla="*/ 121 h 495"/>
                          <a:gd name="T20" fmla="*/ 233 w 374"/>
                          <a:gd name="T21" fmla="*/ 316 h 495"/>
                          <a:gd name="T22" fmla="*/ 233 w 374"/>
                          <a:gd name="T23" fmla="*/ 495 h 495"/>
                          <a:gd name="T24" fmla="*/ 136 w 374"/>
                          <a:gd name="T25" fmla="*/ 495 h 495"/>
                          <a:gd name="T26" fmla="*/ 136 w 374"/>
                          <a:gd name="T27" fmla="*/ 316 h 495"/>
                          <a:gd name="T28" fmla="*/ 0 w 374"/>
                          <a:gd name="T29" fmla="*/ 121 h 49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</a:cxnLst>
                        <a:rect l="0" t="0" r="r" b="b"/>
                        <a:pathLst>
                          <a:path w="374" h="495">
                            <a:moveTo>
                              <a:pt x="188" y="102"/>
                            </a:moveTo>
                            <a:lnTo>
                              <a:pt x="154" y="69"/>
                            </a:lnTo>
                            <a:lnTo>
                              <a:pt x="234" y="0"/>
                            </a:lnTo>
                            <a:lnTo>
                              <a:pt x="281" y="43"/>
                            </a:lnTo>
                            <a:lnTo>
                              <a:pt x="188" y="102"/>
                            </a:lnTo>
                            <a:close/>
                            <a:moveTo>
                              <a:pt x="0" y="121"/>
                            </a:moveTo>
                            <a:lnTo>
                              <a:pt x="117" y="121"/>
                            </a:lnTo>
                            <a:lnTo>
                              <a:pt x="187" y="223"/>
                            </a:lnTo>
                            <a:lnTo>
                              <a:pt x="255" y="121"/>
                            </a:lnTo>
                            <a:lnTo>
                              <a:pt x="374" y="121"/>
                            </a:lnTo>
                            <a:lnTo>
                              <a:pt x="233" y="316"/>
                            </a:lnTo>
                            <a:lnTo>
                              <a:pt x="233" y="495"/>
                            </a:lnTo>
                            <a:lnTo>
                              <a:pt x="136" y="495"/>
                            </a:lnTo>
                            <a:lnTo>
                              <a:pt x="136" y="316"/>
                            </a:lnTo>
                            <a:lnTo>
                              <a:pt x="0" y="121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0022E5" id="Freeform 18" o:spid="_x0000_s1026" style="position:absolute;margin-left:46pt;margin-top:67.65pt;width:9.35pt;height:12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4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" path="m188,102l154,69,234,r47,43l188,102xm,121r117,l187,223,255,121r119,l233,316r,179l136,495r,-179l,121xe" stroked="f">
              <v:path arrowok="t" o:connecttype="custom" o:connectlocs="59690,32320;48895,21863;74295,0;89218,13625;59690,32320;0,38340;37148,38340;59373,70659;80963,38340;118745,38340;73978,100127;73978,156845;43180,156845;43180,100127;0,38340" o:connectangles="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0F5D451" wp14:editId="11DEDF7A">
              <wp:simplePos x="0" y="0"/>
              <wp:positionH relativeFrom="column">
                <wp:posOffset>527685</wp:posOffset>
              </wp:positionH>
              <wp:positionV relativeFrom="paragraph">
                <wp:posOffset>897890</wp:posOffset>
              </wp:positionV>
              <wp:extent cx="67310" cy="118110"/>
              <wp:effectExtent l="3810" t="2540" r="0" b="3175"/>
              <wp:wrapNone/>
              <wp:docPr id="6" name="Freeform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7310" cy="118110"/>
                      </a:xfrm>
                      <a:custGeom>
                        <a:avLst/>
                        <a:gdLst>
                          <a:gd name="T0" fmla="*/ 97 w 213"/>
                          <a:gd name="T1" fmla="*/ 292 h 374"/>
                          <a:gd name="T2" fmla="*/ 213 w 213"/>
                          <a:gd name="T3" fmla="*/ 292 h 374"/>
                          <a:gd name="T4" fmla="*/ 213 w 213"/>
                          <a:gd name="T5" fmla="*/ 374 h 374"/>
                          <a:gd name="T6" fmla="*/ 0 w 213"/>
                          <a:gd name="T7" fmla="*/ 374 h 374"/>
                          <a:gd name="T8" fmla="*/ 0 w 213"/>
                          <a:gd name="T9" fmla="*/ 0 h 374"/>
                          <a:gd name="T10" fmla="*/ 97 w 213"/>
                          <a:gd name="T11" fmla="*/ 0 h 374"/>
                          <a:gd name="T12" fmla="*/ 97 w 213"/>
                          <a:gd name="T13" fmla="*/ 292 h 3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</a:cxnLst>
                        <a:rect l="0" t="0" r="r" b="b"/>
                        <a:pathLst>
                          <a:path w="213" h="374">
                            <a:moveTo>
                              <a:pt x="97" y="292"/>
                            </a:moveTo>
                            <a:lnTo>
                              <a:pt x="213" y="292"/>
                            </a:lnTo>
                            <a:lnTo>
                              <a:pt x="213" y="374"/>
                            </a:lnTo>
                            <a:lnTo>
                              <a:pt x="0" y="374"/>
                            </a:lnTo>
                            <a:lnTo>
                              <a:pt x="0" y="0"/>
                            </a:lnTo>
                            <a:lnTo>
                              <a:pt x="97" y="0"/>
                            </a:lnTo>
                            <a:lnTo>
                              <a:pt x="97" y="292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71C372" id="Freeform 17" o:spid="_x0000_s1026" style="position:absolute;margin-left:41.55pt;margin-top:70.7pt;width:5.3pt;height:9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3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" path="m97,292r116,l213,374,,374,,,97,r,292xe" stroked="f">
              <v:path arrowok="t" o:connecttype="custom" o:connectlocs="30653,92214;67310,92214;67310,118110;0,118110;0,0;30653,0;30653,92214" o:connectangles="0,0,0,0,0,0,0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E300534" wp14:editId="03446EBA">
              <wp:simplePos x="0" y="0"/>
              <wp:positionH relativeFrom="column">
                <wp:posOffset>389890</wp:posOffset>
              </wp:positionH>
              <wp:positionV relativeFrom="paragraph">
                <wp:posOffset>897890</wp:posOffset>
              </wp:positionV>
              <wp:extent cx="123825" cy="118110"/>
              <wp:effectExtent l="8890" t="2540" r="635" b="3175"/>
              <wp:wrapNone/>
              <wp:docPr id="5" name="Freeform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23825" cy="118110"/>
                      </a:xfrm>
                      <a:custGeom>
                        <a:avLst/>
                        <a:gdLst>
                          <a:gd name="T0" fmla="*/ 196 w 390"/>
                          <a:gd name="T1" fmla="*/ 116 h 374"/>
                          <a:gd name="T2" fmla="*/ 155 w 390"/>
                          <a:gd name="T3" fmla="*/ 236 h 374"/>
                          <a:gd name="T4" fmla="*/ 236 w 390"/>
                          <a:gd name="T5" fmla="*/ 236 h 374"/>
                          <a:gd name="T6" fmla="*/ 196 w 390"/>
                          <a:gd name="T7" fmla="*/ 116 h 374"/>
                          <a:gd name="T8" fmla="*/ 128 w 390"/>
                          <a:gd name="T9" fmla="*/ 309 h 374"/>
                          <a:gd name="T10" fmla="*/ 102 w 390"/>
                          <a:gd name="T11" fmla="*/ 374 h 374"/>
                          <a:gd name="T12" fmla="*/ 0 w 390"/>
                          <a:gd name="T13" fmla="*/ 374 h 374"/>
                          <a:gd name="T14" fmla="*/ 143 w 390"/>
                          <a:gd name="T15" fmla="*/ 0 h 374"/>
                          <a:gd name="T16" fmla="*/ 249 w 390"/>
                          <a:gd name="T17" fmla="*/ 0 h 374"/>
                          <a:gd name="T18" fmla="*/ 390 w 390"/>
                          <a:gd name="T19" fmla="*/ 374 h 374"/>
                          <a:gd name="T20" fmla="*/ 287 w 390"/>
                          <a:gd name="T21" fmla="*/ 374 h 374"/>
                          <a:gd name="T22" fmla="*/ 263 w 390"/>
                          <a:gd name="T23" fmla="*/ 309 h 374"/>
                          <a:gd name="T24" fmla="*/ 128 w 390"/>
                          <a:gd name="T25" fmla="*/ 309 h 3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</a:cxnLst>
                        <a:rect l="0" t="0" r="r" b="b"/>
                        <a:pathLst>
                          <a:path w="390" h="374">
                            <a:moveTo>
                              <a:pt x="196" y="116"/>
                            </a:moveTo>
                            <a:lnTo>
                              <a:pt x="155" y="236"/>
                            </a:lnTo>
                            <a:lnTo>
                              <a:pt x="236" y="236"/>
                            </a:lnTo>
                            <a:lnTo>
                              <a:pt x="196" y="116"/>
                            </a:lnTo>
                            <a:close/>
                            <a:moveTo>
                              <a:pt x="128" y="309"/>
                            </a:moveTo>
                            <a:lnTo>
                              <a:pt x="102" y="374"/>
                            </a:lnTo>
                            <a:lnTo>
                              <a:pt x="0" y="374"/>
                            </a:lnTo>
                            <a:lnTo>
                              <a:pt x="143" y="0"/>
                            </a:lnTo>
                            <a:lnTo>
                              <a:pt x="249" y="0"/>
                            </a:lnTo>
                            <a:lnTo>
                              <a:pt x="390" y="374"/>
                            </a:lnTo>
                            <a:lnTo>
                              <a:pt x="287" y="374"/>
                            </a:lnTo>
                            <a:lnTo>
                              <a:pt x="263" y="309"/>
                            </a:lnTo>
                            <a:lnTo>
                              <a:pt x="128" y="309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8FA53A" id="Freeform 16" o:spid="_x0000_s1026" style="position:absolute;margin-left:30.7pt;margin-top:70.7pt;width:9.75pt;height:9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0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" path="m196,116l155,236r81,l196,116xm128,309r-26,65l,374,143,,249,,390,374r-103,l263,309r-135,xe" stroked="f">
              <v:path arrowok="t" o:connecttype="custom" o:connectlocs="62230,36633;49213,74529;74930,74529;62230,36633;40640,97583;32385,118110;0,118110;45403,0;79058,0;123825,118110;91123,118110;83503,97583;40640,97583" o:connectangles="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5894B2" wp14:editId="284D5EED">
              <wp:simplePos x="0" y="0"/>
              <wp:positionH relativeFrom="column">
                <wp:posOffset>257175</wp:posOffset>
              </wp:positionH>
              <wp:positionV relativeFrom="paragraph">
                <wp:posOffset>897890</wp:posOffset>
              </wp:positionV>
              <wp:extent cx="118745" cy="118110"/>
              <wp:effectExtent l="0" t="2540" r="5080" b="3175"/>
              <wp:wrapNone/>
              <wp:docPr id="4" name="Freeform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18745" cy="118110"/>
                      </a:xfrm>
                      <a:custGeom>
                        <a:avLst/>
                        <a:gdLst>
                          <a:gd name="T0" fmla="*/ 0 w 373"/>
                          <a:gd name="T1" fmla="*/ 0 h 374"/>
                          <a:gd name="T2" fmla="*/ 97 w 373"/>
                          <a:gd name="T3" fmla="*/ 0 h 374"/>
                          <a:gd name="T4" fmla="*/ 276 w 373"/>
                          <a:gd name="T5" fmla="*/ 229 h 374"/>
                          <a:gd name="T6" fmla="*/ 276 w 373"/>
                          <a:gd name="T7" fmla="*/ 0 h 374"/>
                          <a:gd name="T8" fmla="*/ 373 w 373"/>
                          <a:gd name="T9" fmla="*/ 0 h 374"/>
                          <a:gd name="T10" fmla="*/ 373 w 373"/>
                          <a:gd name="T11" fmla="*/ 374 h 374"/>
                          <a:gd name="T12" fmla="*/ 276 w 373"/>
                          <a:gd name="T13" fmla="*/ 374 h 374"/>
                          <a:gd name="T14" fmla="*/ 97 w 373"/>
                          <a:gd name="T15" fmla="*/ 146 h 374"/>
                          <a:gd name="T16" fmla="*/ 97 w 373"/>
                          <a:gd name="T17" fmla="*/ 374 h 374"/>
                          <a:gd name="T18" fmla="*/ 0 w 373"/>
                          <a:gd name="T19" fmla="*/ 374 h 374"/>
                          <a:gd name="T20" fmla="*/ 0 w 373"/>
                          <a:gd name="T21" fmla="*/ 0 h 3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373" h="374">
                            <a:moveTo>
                              <a:pt x="0" y="0"/>
                            </a:moveTo>
                            <a:lnTo>
                              <a:pt x="97" y="0"/>
                            </a:lnTo>
                            <a:lnTo>
                              <a:pt x="276" y="229"/>
                            </a:lnTo>
                            <a:lnTo>
                              <a:pt x="276" y="0"/>
                            </a:lnTo>
                            <a:lnTo>
                              <a:pt x="373" y="0"/>
                            </a:lnTo>
                            <a:lnTo>
                              <a:pt x="373" y="374"/>
                            </a:lnTo>
                            <a:lnTo>
                              <a:pt x="276" y="374"/>
                            </a:lnTo>
                            <a:lnTo>
                              <a:pt x="97" y="146"/>
                            </a:lnTo>
                            <a:lnTo>
                              <a:pt x="97" y="374"/>
                            </a:lnTo>
                            <a:lnTo>
                              <a:pt x="0" y="374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F47622" id="Freeform 15" o:spid="_x0000_s1026" style="position:absolute;margin-left:20.25pt;margin-top:70.7pt;width:9.35pt;height:9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3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" path="m,l97,,276,229,276,r97,l373,374r-97,l97,146r,228l,374,,xe" stroked="f">
              <v:path arrowok="t" o:connecttype="custom" o:connectlocs="0,0;30880,0;87865,72319;87865,0;118745,0;118745,118110;87865,118110;30880,46107;30880,118110;0,118110;0,0" o:connectangles="0,0,0,0,0,0,0,0,0,0,0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B3F6C69" wp14:editId="0B2EC879">
              <wp:simplePos x="0" y="0"/>
              <wp:positionH relativeFrom="column">
                <wp:posOffset>120015</wp:posOffset>
              </wp:positionH>
              <wp:positionV relativeFrom="paragraph">
                <wp:posOffset>897890</wp:posOffset>
              </wp:positionV>
              <wp:extent cx="123825" cy="118110"/>
              <wp:effectExtent l="5715" t="2540" r="3810" b="3175"/>
              <wp:wrapNone/>
              <wp:docPr id="3" name="Freeform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23825" cy="118110"/>
                      </a:xfrm>
                      <a:custGeom>
                        <a:avLst/>
                        <a:gdLst>
                          <a:gd name="T0" fmla="*/ 197 w 391"/>
                          <a:gd name="T1" fmla="*/ 116 h 374"/>
                          <a:gd name="T2" fmla="*/ 156 w 391"/>
                          <a:gd name="T3" fmla="*/ 236 h 374"/>
                          <a:gd name="T4" fmla="*/ 237 w 391"/>
                          <a:gd name="T5" fmla="*/ 236 h 374"/>
                          <a:gd name="T6" fmla="*/ 197 w 391"/>
                          <a:gd name="T7" fmla="*/ 116 h 374"/>
                          <a:gd name="T8" fmla="*/ 128 w 391"/>
                          <a:gd name="T9" fmla="*/ 309 h 374"/>
                          <a:gd name="T10" fmla="*/ 104 w 391"/>
                          <a:gd name="T11" fmla="*/ 374 h 374"/>
                          <a:gd name="T12" fmla="*/ 0 w 391"/>
                          <a:gd name="T13" fmla="*/ 374 h 374"/>
                          <a:gd name="T14" fmla="*/ 143 w 391"/>
                          <a:gd name="T15" fmla="*/ 0 h 374"/>
                          <a:gd name="T16" fmla="*/ 251 w 391"/>
                          <a:gd name="T17" fmla="*/ 0 h 374"/>
                          <a:gd name="T18" fmla="*/ 391 w 391"/>
                          <a:gd name="T19" fmla="*/ 374 h 374"/>
                          <a:gd name="T20" fmla="*/ 287 w 391"/>
                          <a:gd name="T21" fmla="*/ 374 h 374"/>
                          <a:gd name="T22" fmla="*/ 263 w 391"/>
                          <a:gd name="T23" fmla="*/ 309 h 374"/>
                          <a:gd name="T24" fmla="*/ 128 w 391"/>
                          <a:gd name="T25" fmla="*/ 309 h 3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</a:cxnLst>
                        <a:rect l="0" t="0" r="r" b="b"/>
                        <a:pathLst>
                          <a:path w="391" h="374">
                            <a:moveTo>
                              <a:pt x="197" y="116"/>
                            </a:moveTo>
                            <a:lnTo>
                              <a:pt x="156" y="236"/>
                            </a:lnTo>
                            <a:lnTo>
                              <a:pt x="237" y="236"/>
                            </a:lnTo>
                            <a:lnTo>
                              <a:pt x="197" y="116"/>
                            </a:lnTo>
                            <a:close/>
                            <a:moveTo>
                              <a:pt x="128" y="309"/>
                            </a:moveTo>
                            <a:lnTo>
                              <a:pt x="104" y="374"/>
                            </a:lnTo>
                            <a:lnTo>
                              <a:pt x="0" y="374"/>
                            </a:lnTo>
                            <a:lnTo>
                              <a:pt x="143" y="0"/>
                            </a:lnTo>
                            <a:lnTo>
                              <a:pt x="251" y="0"/>
                            </a:lnTo>
                            <a:lnTo>
                              <a:pt x="391" y="374"/>
                            </a:lnTo>
                            <a:lnTo>
                              <a:pt x="287" y="374"/>
                            </a:lnTo>
                            <a:lnTo>
                              <a:pt x="263" y="309"/>
                            </a:lnTo>
                            <a:lnTo>
                              <a:pt x="128" y="309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49DBB6" id="Freeform 14" o:spid="_x0000_s1026" style="position:absolute;margin-left:9.45pt;margin-top:70.7pt;width:9.75pt;height:9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1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" path="m197,116l156,236r81,l197,116xm128,309r-24,65l,374,143,,251,,391,374r-104,l263,309r-135,xe" stroked="f">
              <v:path arrowok="t" o:connecttype="custom" o:connectlocs="62388,36633;49403,74529;75055,74529;62388,36633;40536,97583;32936,118110;0,118110;45286,0;79489,0;123825,118110;90889,118110;83289,97583;40536,97583" o:connectangles="0,0,0,0,0,0,0,0,0,0,0,0,0"/>
              <o:lock v:ext="edit" verticies="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496"/>
    <w:rsid w:val="00005752"/>
    <w:rsid w:val="00005C52"/>
    <w:rsid w:val="0001777C"/>
    <w:rsid w:val="00022C3D"/>
    <w:rsid w:val="00024642"/>
    <w:rsid w:val="0002499F"/>
    <w:rsid w:val="00026BB9"/>
    <w:rsid w:val="000313A8"/>
    <w:rsid w:val="00032252"/>
    <w:rsid w:val="0003321A"/>
    <w:rsid w:val="00036CC3"/>
    <w:rsid w:val="000372CD"/>
    <w:rsid w:val="00042A95"/>
    <w:rsid w:val="00043BF4"/>
    <w:rsid w:val="0004775E"/>
    <w:rsid w:val="00052AEE"/>
    <w:rsid w:val="00056777"/>
    <w:rsid w:val="00060E79"/>
    <w:rsid w:val="000647E2"/>
    <w:rsid w:val="00064EA4"/>
    <w:rsid w:val="000662E3"/>
    <w:rsid w:val="000674D3"/>
    <w:rsid w:val="000678C1"/>
    <w:rsid w:val="00070C63"/>
    <w:rsid w:val="00072E26"/>
    <w:rsid w:val="00073C56"/>
    <w:rsid w:val="00074ED5"/>
    <w:rsid w:val="00075E49"/>
    <w:rsid w:val="000760F8"/>
    <w:rsid w:val="00080817"/>
    <w:rsid w:val="000814DA"/>
    <w:rsid w:val="000843A5"/>
    <w:rsid w:val="00085CE7"/>
    <w:rsid w:val="00087136"/>
    <w:rsid w:val="00087D52"/>
    <w:rsid w:val="0009249D"/>
    <w:rsid w:val="00092D5F"/>
    <w:rsid w:val="00095137"/>
    <w:rsid w:val="000964AC"/>
    <w:rsid w:val="000A16F4"/>
    <w:rsid w:val="000A378F"/>
    <w:rsid w:val="000A6B8F"/>
    <w:rsid w:val="000A6D78"/>
    <w:rsid w:val="000A6FD6"/>
    <w:rsid w:val="000B0F8A"/>
    <w:rsid w:val="000B1896"/>
    <w:rsid w:val="000B3269"/>
    <w:rsid w:val="000B5922"/>
    <w:rsid w:val="000B6F63"/>
    <w:rsid w:val="000C1B32"/>
    <w:rsid w:val="000C7712"/>
    <w:rsid w:val="000C7C8E"/>
    <w:rsid w:val="000D12EA"/>
    <w:rsid w:val="000D15D1"/>
    <w:rsid w:val="000D568D"/>
    <w:rsid w:val="000D623B"/>
    <w:rsid w:val="000D7761"/>
    <w:rsid w:val="000E1A1A"/>
    <w:rsid w:val="000E2B9C"/>
    <w:rsid w:val="000E3016"/>
    <w:rsid w:val="000E5FD8"/>
    <w:rsid w:val="000F1430"/>
    <w:rsid w:val="000F396B"/>
    <w:rsid w:val="000F55B1"/>
    <w:rsid w:val="000F5B28"/>
    <w:rsid w:val="000F5E93"/>
    <w:rsid w:val="0010020E"/>
    <w:rsid w:val="0010370F"/>
    <w:rsid w:val="00106F20"/>
    <w:rsid w:val="00111592"/>
    <w:rsid w:val="00113B61"/>
    <w:rsid w:val="00113D4A"/>
    <w:rsid w:val="00114078"/>
    <w:rsid w:val="00116122"/>
    <w:rsid w:val="00120B9B"/>
    <w:rsid w:val="00120C5C"/>
    <w:rsid w:val="001231F4"/>
    <w:rsid w:val="00123EBC"/>
    <w:rsid w:val="00127216"/>
    <w:rsid w:val="00131E8A"/>
    <w:rsid w:val="00135678"/>
    <w:rsid w:val="001404AB"/>
    <w:rsid w:val="00140DEB"/>
    <w:rsid w:val="0014288F"/>
    <w:rsid w:val="00146794"/>
    <w:rsid w:val="00152B62"/>
    <w:rsid w:val="00153EAC"/>
    <w:rsid w:val="0015581B"/>
    <w:rsid w:val="001564FD"/>
    <w:rsid w:val="001572B0"/>
    <w:rsid w:val="001633E9"/>
    <w:rsid w:val="00163C63"/>
    <w:rsid w:val="001658A9"/>
    <w:rsid w:val="00166977"/>
    <w:rsid w:val="0016750F"/>
    <w:rsid w:val="00171855"/>
    <w:rsid w:val="00171B86"/>
    <w:rsid w:val="00171F3B"/>
    <w:rsid w:val="001720D5"/>
    <w:rsid w:val="0017231D"/>
    <w:rsid w:val="001726A5"/>
    <w:rsid w:val="00173FB8"/>
    <w:rsid w:val="00174A8F"/>
    <w:rsid w:val="00175ABA"/>
    <w:rsid w:val="00176100"/>
    <w:rsid w:val="00176C4A"/>
    <w:rsid w:val="00176EA1"/>
    <w:rsid w:val="001810DC"/>
    <w:rsid w:val="00181109"/>
    <w:rsid w:val="001818FF"/>
    <w:rsid w:val="0018737F"/>
    <w:rsid w:val="00190B24"/>
    <w:rsid w:val="0019165C"/>
    <w:rsid w:val="0019283C"/>
    <w:rsid w:val="00192AD9"/>
    <w:rsid w:val="001931FC"/>
    <w:rsid w:val="00193D7F"/>
    <w:rsid w:val="00194FD8"/>
    <w:rsid w:val="00196300"/>
    <w:rsid w:val="001A50FE"/>
    <w:rsid w:val="001A59BF"/>
    <w:rsid w:val="001A5D90"/>
    <w:rsid w:val="001B0BEE"/>
    <w:rsid w:val="001B1388"/>
    <w:rsid w:val="001B1C3B"/>
    <w:rsid w:val="001B36AE"/>
    <w:rsid w:val="001B4728"/>
    <w:rsid w:val="001B607F"/>
    <w:rsid w:val="001C0219"/>
    <w:rsid w:val="001C044D"/>
    <w:rsid w:val="001C11C2"/>
    <w:rsid w:val="001C1FA1"/>
    <w:rsid w:val="001C2843"/>
    <w:rsid w:val="001C5FD3"/>
    <w:rsid w:val="001D0BC3"/>
    <w:rsid w:val="001D2496"/>
    <w:rsid w:val="001D3086"/>
    <w:rsid w:val="001D369A"/>
    <w:rsid w:val="001D3B73"/>
    <w:rsid w:val="001D4669"/>
    <w:rsid w:val="001D599A"/>
    <w:rsid w:val="001D5F56"/>
    <w:rsid w:val="001D6131"/>
    <w:rsid w:val="001D7F8F"/>
    <w:rsid w:val="001E0CD3"/>
    <w:rsid w:val="001E1C92"/>
    <w:rsid w:val="001E3C31"/>
    <w:rsid w:val="001E5428"/>
    <w:rsid w:val="001E5DE1"/>
    <w:rsid w:val="001F2604"/>
    <w:rsid w:val="001F3209"/>
    <w:rsid w:val="001F62AE"/>
    <w:rsid w:val="001F6C45"/>
    <w:rsid w:val="001F7D26"/>
    <w:rsid w:val="00201DF2"/>
    <w:rsid w:val="0020513E"/>
    <w:rsid w:val="002070FB"/>
    <w:rsid w:val="00207F9C"/>
    <w:rsid w:val="00213729"/>
    <w:rsid w:val="00214581"/>
    <w:rsid w:val="002147CA"/>
    <w:rsid w:val="002232A3"/>
    <w:rsid w:val="002254DF"/>
    <w:rsid w:val="00225BAE"/>
    <w:rsid w:val="00234657"/>
    <w:rsid w:val="00237CA2"/>
    <w:rsid w:val="0024036E"/>
    <w:rsid w:val="002406FA"/>
    <w:rsid w:val="00240EA9"/>
    <w:rsid w:val="00240F9B"/>
    <w:rsid w:val="002465EB"/>
    <w:rsid w:val="002469E3"/>
    <w:rsid w:val="0024724C"/>
    <w:rsid w:val="002516F2"/>
    <w:rsid w:val="00251837"/>
    <w:rsid w:val="00253153"/>
    <w:rsid w:val="002568BA"/>
    <w:rsid w:val="0026143C"/>
    <w:rsid w:val="00261C50"/>
    <w:rsid w:val="00266A81"/>
    <w:rsid w:val="00266B76"/>
    <w:rsid w:val="002753A1"/>
    <w:rsid w:val="00275EB4"/>
    <w:rsid w:val="002844A8"/>
    <w:rsid w:val="00285DF5"/>
    <w:rsid w:val="002877ED"/>
    <w:rsid w:val="00292E1D"/>
    <w:rsid w:val="00294356"/>
    <w:rsid w:val="00297371"/>
    <w:rsid w:val="002A00A5"/>
    <w:rsid w:val="002A0F5B"/>
    <w:rsid w:val="002A58FE"/>
    <w:rsid w:val="002A6084"/>
    <w:rsid w:val="002A61D3"/>
    <w:rsid w:val="002A6EC2"/>
    <w:rsid w:val="002B0595"/>
    <w:rsid w:val="002B08FC"/>
    <w:rsid w:val="002B2E47"/>
    <w:rsid w:val="002B3A46"/>
    <w:rsid w:val="002B3DCF"/>
    <w:rsid w:val="002B3F4E"/>
    <w:rsid w:val="002B44AE"/>
    <w:rsid w:val="002C3FBD"/>
    <w:rsid w:val="002C5EA1"/>
    <w:rsid w:val="002D2173"/>
    <w:rsid w:val="002D371C"/>
    <w:rsid w:val="002D4C6B"/>
    <w:rsid w:val="002D6A6C"/>
    <w:rsid w:val="002D709A"/>
    <w:rsid w:val="002D73FB"/>
    <w:rsid w:val="002E08E5"/>
    <w:rsid w:val="002E371E"/>
    <w:rsid w:val="002E6105"/>
    <w:rsid w:val="002F0FCA"/>
    <w:rsid w:val="002F76D6"/>
    <w:rsid w:val="002F7D22"/>
    <w:rsid w:val="003007F6"/>
    <w:rsid w:val="00300A00"/>
    <w:rsid w:val="003074EB"/>
    <w:rsid w:val="003125D4"/>
    <w:rsid w:val="00312947"/>
    <w:rsid w:val="00314A46"/>
    <w:rsid w:val="00314C58"/>
    <w:rsid w:val="003211FC"/>
    <w:rsid w:val="00321CB0"/>
    <w:rsid w:val="00324407"/>
    <w:rsid w:val="003254CF"/>
    <w:rsid w:val="003263A3"/>
    <w:rsid w:val="00327A88"/>
    <w:rsid w:val="003301A3"/>
    <w:rsid w:val="00333139"/>
    <w:rsid w:val="00340D00"/>
    <w:rsid w:val="0035074C"/>
    <w:rsid w:val="0035080D"/>
    <w:rsid w:val="003517C4"/>
    <w:rsid w:val="00360D7A"/>
    <w:rsid w:val="0036189C"/>
    <w:rsid w:val="003651F6"/>
    <w:rsid w:val="00365467"/>
    <w:rsid w:val="00366F0A"/>
    <w:rsid w:val="0036777B"/>
    <w:rsid w:val="0037004C"/>
    <w:rsid w:val="00372A6D"/>
    <w:rsid w:val="00377FA7"/>
    <w:rsid w:val="00380F11"/>
    <w:rsid w:val="0038282A"/>
    <w:rsid w:val="00386976"/>
    <w:rsid w:val="0039083A"/>
    <w:rsid w:val="00393071"/>
    <w:rsid w:val="0039575D"/>
    <w:rsid w:val="00397580"/>
    <w:rsid w:val="00397650"/>
    <w:rsid w:val="003A1794"/>
    <w:rsid w:val="003A17D7"/>
    <w:rsid w:val="003A45C8"/>
    <w:rsid w:val="003A668C"/>
    <w:rsid w:val="003A6A1E"/>
    <w:rsid w:val="003A7519"/>
    <w:rsid w:val="003A7B82"/>
    <w:rsid w:val="003B0084"/>
    <w:rsid w:val="003B16E5"/>
    <w:rsid w:val="003B5B7F"/>
    <w:rsid w:val="003B5EB7"/>
    <w:rsid w:val="003C2CDD"/>
    <w:rsid w:val="003C2DCF"/>
    <w:rsid w:val="003C7FE7"/>
    <w:rsid w:val="003D0499"/>
    <w:rsid w:val="003D2097"/>
    <w:rsid w:val="003D5EB8"/>
    <w:rsid w:val="003E13CE"/>
    <w:rsid w:val="003E2665"/>
    <w:rsid w:val="003E475E"/>
    <w:rsid w:val="003E50F7"/>
    <w:rsid w:val="003E608C"/>
    <w:rsid w:val="003F526A"/>
    <w:rsid w:val="0040200B"/>
    <w:rsid w:val="00402120"/>
    <w:rsid w:val="00402229"/>
    <w:rsid w:val="00405244"/>
    <w:rsid w:val="0040769C"/>
    <w:rsid w:val="00411D97"/>
    <w:rsid w:val="00411F83"/>
    <w:rsid w:val="004219F4"/>
    <w:rsid w:val="0042238D"/>
    <w:rsid w:val="00424419"/>
    <w:rsid w:val="004275FA"/>
    <w:rsid w:val="004349D6"/>
    <w:rsid w:val="00442F57"/>
    <w:rsid w:val="004436EE"/>
    <w:rsid w:val="00445A1A"/>
    <w:rsid w:val="00453ECB"/>
    <w:rsid w:val="00454758"/>
    <w:rsid w:val="004548AF"/>
    <w:rsid w:val="00455379"/>
    <w:rsid w:val="0045547F"/>
    <w:rsid w:val="00461AA0"/>
    <w:rsid w:val="004627F3"/>
    <w:rsid w:val="00463488"/>
    <w:rsid w:val="00470F1D"/>
    <w:rsid w:val="00472FC7"/>
    <w:rsid w:val="0047324A"/>
    <w:rsid w:val="00474B2B"/>
    <w:rsid w:val="004757BC"/>
    <w:rsid w:val="00476117"/>
    <w:rsid w:val="0047747B"/>
    <w:rsid w:val="00481BF6"/>
    <w:rsid w:val="004850AB"/>
    <w:rsid w:val="004865EE"/>
    <w:rsid w:val="00487512"/>
    <w:rsid w:val="0048768A"/>
    <w:rsid w:val="004920AD"/>
    <w:rsid w:val="00492A75"/>
    <w:rsid w:val="00496C54"/>
    <w:rsid w:val="004A3228"/>
    <w:rsid w:val="004A5E94"/>
    <w:rsid w:val="004A67D2"/>
    <w:rsid w:val="004A7A70"/>
    <w:rsid w:val="004B201A"/>
    <w:rsid w:val="004B63A9"/>
    <w:rsid w:val="004C24B3"/>
    <w:rsid w:val="004C6C0B"/>
    <w:rsid w:val="004D05B3"/>
    <w:rsid w:val="004D138A"/>
    <w:rsid w:val="004D2D28"/>
    <w:rsid w:val="004E01E6"/>
    <w:rsid w:val="004E0E44"/>
    <w:rsid w:val="004E381A"/>
    <w:rsid w:val="004E4195"/>
    <w:rsid w:val="004E479E"/>
    <w:rsid w:val="004E76A1"/>
    <w:rsid w:val="004E7840"/>
    <w:rsid w:val="004F11E6"/>
    <w:rsid w:val="004F18D1"/>
    <w:rsid w:val="004F2D05"/>
    <w:rsid w:val="004F41A2"/>
    <w:rsid w:val="004F78E6"/>
    <w:rsid w:val="00504882"/>
    <w:rsid w:val="00505017"/>
    <w:rsid w:val="0050573D"/>
    <w:rsid w:val="00512A95"/>
    <w:rsid w:val="00512D99"/>
    <w:rsid w:val="00513E28"/>
    <w:rsid w:val="00514275"/>
    <w:rsid w:val="005148FB"/>
    <w:rsid w:val="00516BE1"/>
    <w:rsid w:val="0052028E"/>
    <w:rsid w:val="005209E1"/>
    <w:rsid w:val="0052268C"/>
    <w:rsid w:val="0052468F"/>
    <w:rsid w:val="00526DAD"/>
    <w:rsid w:val="00530C82"/>
    <w:rsid w:val="00531DBB"/>
    <w:rsid w:val="005320B3"/>
    <w:rsid w:val="00533A0A"/>
    <w:rsid w:val="005377F1"/>
    <w:rsid w:val="00540406"/>
    <w:rsid w:val="00540BE4"/>
    <w:rsid w:val="00544024"/>
    <w:rsid w:val="00544100"/>
    <w:rsid w:val="00544B6D"/>
    <w:rsid w:val="00545A48"/>
    <w:rsid w:val="0054695A"/>
    <w:rsid w:val="005476CB"/>
    <w:rsid w:val="00553DAA"/>
    <w:rsid w:val="00554A81"/>
    <w:rsid w:val="00554CD4"/>
    <w:rsid w:val="00555EA3"/>
    <w:rsid w:val="0055637E"/>
    <w:rsid w:val="00557E1E"/>
    <w:rsid w:val="00560FB5"/>
    <w:rsid w:val="00562EAD"/>
    <w:rsid w:val="005646B3"/>
    <w:rsid w:val="005717B6"/>
    <w:rsid w:val="00573F6B"/>
    <w:rsid w:val="00574761"/>
    <w:rsid w:val="00576430"/>
    <w:rsid w:val="00577EF6"/>
    <w:rsid w:val="005821C5"/>
    <w:rsid w:val="005838C0"/>
    <w:rsid w:val="005858FC"/>
    <w:rsid w:val="005905BF"/>
    <w:rsid w:val="00592F60"/>
    <w:rsid w:val="00595963"/>
    <w:rsid w:val="005A05F3"/>
    <w:rsid w:val="005A2588"/>
    <w:rsid w:val="005A3201"/>
    <w:rsid w:val="005A3C49"/>
    <w:rsid w:val="005A793F"/>
    <w:rsid w:val="005B0B68"/>
    <w:rsid w:val="005B11C4"/>
    <w:rsid w:val="005B1801"/>
    <w:rsid w:val="005B3EA5"/>
    <w:rsid w:val="005B5924"/>
    <w:rsid w:val="005C2BEF"/>
    <w:rsid w:val="005C4569"/>
    <w:rsid w:val="005D0C38"/>
    <w:rsid w:val="005D46EA"/>
    <w:rsid w:val="005D4E42"/>
    <w:rsid w:val="005E3C0F"/>
    <w:rsid w:val="005E3DF1"/>
    <w:rsid w:val="005E7033"/>
    <w:rsid w:val="005F699D"/>
    <w:rsid w:val="005F79FB"/>
    <w:rsid w:val="00604406"/>
    <w:rsid w:val="00605BDC"/>
    <w:rsid w:val="00605F00"/>
    <w:rsid w:val="00605F4A"/>
    <w:rsid w:val="00607822"/>
    <w:rsid w:val="006103AA"/>
    <w:rsid w:val="0061273D"/>
    <w:rsid w:val="00613BBF"/>
    <w:rsid w:val="00613E3F"/>
    <w:rsid w:val="006163D7"/>
    <w:rsid w:val="006215C8"/>
    <w:rsid w:val="00622503"/>
    <w:rsid w:val="00622B80"/>
    <w:rsid w:val="006231DA"/>
    <w:rsid w:val="006234D0"/>
    <w:rsid w:val="00626F68"/>
    <w:rsid w:val="00630748"/>
    <w:rsid w:val="006308CB"/>
    <w:rsid w:val="00631A18"/>
    <w:rsid w:val="00635BA7"/>
    <w:rsid w:val="006360B2"/>
    <w:rsid w:val="006406B2"/>
    <w:rsid w:val="0064139A"/>
    <w:rsid w:val="0064336A"/>
    <w:rsid w:val="00646500"/>
    <w:rsid w:val="00651495"/>
    <w:rsid w:val="00654E58"/>
    <w:rsid w:val="00657A7D"/>
    <w:rsid w:val="0066431D"/>
    <w:rsid w:val="00665F02"/>
    <w:rsid w:val="00666D52"/>
    <w:rsid w:val="006711F7"/>
    <w:rsid w:val="0067180E"/>
    <w:rsid w:val="006774B1"/>
    <w:rsid w:val="00681125"/>
    <w:rsid w:val="006830F9"/>
    <w:rsid w:val="00683F5D"/>
    <w:rsid w:val="00686CFB"/>
    <w:rsid w:val="00690D40"/>
    <w:rsid w:val="006945CB"/>
    <w:rsid w:val="006A1675"/>
    <w:rsid w:val="006A78E3"/>
    <w:rsid w:val="006B0C4E"/>
    <w:rsid w:val="006C02FC"/>
    <w:rsid w:val="006C09DD"/>
    <w:rsid w:val="006C6BD3"/>
    <w:rsid w:val="006E024F"/>
    <w:rsid w:val="006E24B6"/>
    <w:rsid w:val="006E4E81"/>
    <w:rsid w:val="006E6A3A"/>
    <w:rsid w:val="006F37ED"/>
    <w:rsid w:val="006F4A57"/>
    <w:rsid w:val="0070073E"/>
    <w:rsid w:val="00700F88"/>
    <w:rsid w:val="00702F2E"/>
    <w:rsid w:val="00703AD2"/>
    <w:rsid w:val="00707937"/>
    <w:rsid w:val="00707F7D"/>
    <w:rsid w:val="00710BEB"/>
    <w:rsid w:val="00711140"/>
    <w:rsid w:val="007119F7"/>
    <w:rsid w:val="007135FD"/>
    <w:rsid w:val="00717815"/>
    <w:rsid w:val="00717A9E"/>
    <w:rsid w:val="00717EC5"/>
    <w:rsid w:val="00720A40"/>
    <w:rsid w:val="0072378B"/>
    <w:rsid w:val="00726A9F"/>
    <w:rsid w:val="00730896"/>
    <w:rsid w:val="007317E0"/>
    <w:rsid w:val="00731F58"/>
    <w:rsid w:val="007359FC"/>
    <w:rsid w:val="00735FD3"/>
    <w:rsid w:val="00737182"/>
    <w:rsid w:val="00737582"/>
    <w:rsid w:val="007375BD"/>
    <w:rsid w:val="00737B80"/>
    <w:rsid w:val="00740AD3"/>
    <w:rsid w:val="00741BE7"/>
    <w:rsid w:val="00741EDF"/>
    <w:rsid w:val="00744DF2"/>
    <w:rsid w:val="00745D85"/>
    <w:rsid w:val="00746F4F"/>
    <w:rsid w:val="00747301"/>
    <w:rsid w:val="0075063C"/>
    <w:rsid w:val="00752005"/>
    <w:rsid w:val="00752816"/>
    <w:rsid w:val="00753176"/>
    <w:rsid w:val="0075388B"/>
    <w:rsid w:val="00755179"/>
    <w:rsid w:val="00757201"/>
    <w:rsid w:val="00764348"/>
    <w:rsid w:val="0076776A"/>
    <w:rsid w:val="00770944"/>
    <w:rsid w:val="007723E2"/>
    <w:rsid w:val="00774D5A"/>
    <w:rsid w:val="00775F05"/>
    <w:rsid w:val="007765CC"/>
    <w:rsid w:val="00780D19"/>
    <w:rsid w:val="00781051"/>
    <w:rsid w:val="00782168"/>
    <w:rsid w:val="00783434"/>
    <w:rsid w:val="007837CF"/>
    <w:rsid w:val="00790012"/>
    <w:rsid w:val="0079207F"/>
    <w:rsid w:val="00793368"/>
    <w:rsid w:val="00793461"/>
    <w:rsid w:val="00795396"/>
    <w:rsid w:val="007955FA"/>
    <w:rsid w:val="00796A3F"/>
    <w:rsid w:val="00797788"/>
    <w:rsid w:val="007A3658"/>
    <w:rsid w:val="007A3E1D"/>
    <w:rsid w:val="007A4923"/>
    <w:rsid w:val="007A4BED"/>
    <w:rsid w:val="007A57F2"/>
    <w:rsid w:val="007A6DF8"/>
    <w:rsid w:val="007B1333"/>
    <w:rsid w:val="007B4288"/>
    <w:rsid w:val="007B63BA"/>
    <w:rsid w:val="007B6E77"/>
    <w:rsid w:val="007C168F"/>
    <w:rsid w:val="007C1D9D"/>
    <w:rsid w:val="007C7F72"/>
    <w:rsid w:val="007D1EEE"/>
    <w:rsid w:val="007D2099"/>
    <w:rsid w:val="007E21E2"/>
    <w:rsid w:val="007E23A3"/>
    <w:rsid w:val="007E39CF"/>
    <w:rsid w:val="007E676C"/>
    <w:rsid w:val="007F422B"/>
    <w:rsid w:val="007F4AEB"/>
    <w:rsid w:val="007F54F7"/>
    <w:rsid w:val="007F5985"/>
    <w:rsid w:val="007F60D6"/>
    <w:rsid w:val="007F75B2"/>
    <w:rsid w:val="007F7E36"/>
    <w:rsid w:val="00801597"/>
    <w:rsid w:val="00803DB5"/>
    <w:rsid w:val="008043C4"/>
    <w:rsid w:val="00804BCE"/>
    <w:rsid w:val="0080782F"/>
    <w:rsid w:val="0081029A"/>
    <w:rsid w:val="008121E0"/>
    <w:rsid w:val="00813EDB"/>
    <w:rsid w:val="008147BE"/>
    <w:rsid w:val="00815588"/>
    <w:rsid w:val="0082296D"/>
    <w:rsid w:val="00826882"/>
    <w:rsid w:val="008268D8"/>
    <w:rsid w:val="0082733A"/>
    <w:rsid w:val="008274BC"/>
    <w:rsid w:val="00827764"/>
    <w:rsid w:val="00827F07"/>
    <w:rsid w:val="00830309"/>
    <w:rsid w:val="00831B1B"/>
    <w:rsid w:val="00840BAF"/>
    <w:rsid w:val="00841176"/>
    <w:rsid w:val="00843871"/>
    <w:rsid w:val="008448FA"/>
    <w:rsid w:val="00847E00"/>
    <w:rsid w:val="00851591"/>
    <w:rsid w:val="00852EEA"/>
    <w:rsid w:val="00853B5E"/>
    <w:rsid w:val="0085491F"/>
    <w:rsid w:val="00856711"/>
    <w:rsid w:val="00860340"/>
    <w:rsid w:val="00861652"/>
    <w:rsid w:val="00861D0E"/>
    <w:rsid w:val="008620EC"/>
    <w:rsid w:val="00862302"/>
    <w:rsid w:val="00862413"/>
    <w:rsid w:val="00862C7B"/>
    <w:rsid w:val="0086413A"/>
    <w:rsid w:val="00867569"/>
    <w:rsid w:val="008731CD"/>
    <w:rsid w:val="00873528"/>
    <w:rsid w:val="00874E7B"/>
    <w:rsid w:val="00877328"/>
    <w:rsid w:val="0088095D"/>
    <w:rsid w:val="0088187C"/>
    <w:rsid w:val="00883328"/>
    <w:rsid w:val="00890A3E"/>
    <w:rsid w:val="008949DC"/>
    <w:rsid w:val="00895512"/>
    <w:rsid w:val="008A18A9"/>
    <w:rsid w:val="008A3117"/>
    <w:rsid w:val="008A4D0D"/>
    <w:rsid w:val="008A750A"/>
    <w:rsid w:val="008A7B50"/>
    <w:rsid w:val="008B6CB7"/>
    <w:rsid w:val="008B707F"/>
    <w:rsid w:val="008B7B53"/>
    <w:rsid w:val="008C02E8"/>
    <w:rsid w:val="008C1705"/>
    <w:rsid w:val="008C1ADD"/>
    <w:rsid w:val="008C2124"/>
    <w:rsid w:val="008C384C"/>
    <w:rsid w:val="008C60FD"/>
    <w:rsid w:val="008C6453"/>
    <w:rsid w:val="008D0F11"/>
    <w:rsid w:val="008D204E"/>
    <w:rsid w:val="008D70D5"/>
    <w:rsid w:val="008E48CC"/>
    <w:rsid w:val="008E5EA6"/>
    <w:rsid w:val="008E6DDA"/>
    <w:rsid w:val="008E7532"/>
    <w:rsid w:val="008E7769"/>
    <w:rsid w:val="008F1145"/>
    <w:rsid w:val="008F3C72"/>
    <w:rsid w:val="008F4122"/>
    <w:rsid w:val="008F501B"/>
    <w:rsid w:val="008F599A"/>
    <w:rsid w:val="008F73B4"/>
    <w:rsid w:val="008F7D87"/>
    <w:rsid w:val="00902712"/>
    <w:rsid w:val="00903277"/>
    <w:rsid w:val="009058B9"/>
    <w:rsid w:val="00907142"/>
    <w:rsid w:val="0090741A"/>
    <w:rsid w:val="009135AE"/>
    <w:rsid w:val="00915E31"/>
    <w:rsid w:val="0091694E"/>
    <w:rsid w:val="00917C55"/>
    <w:rsid w:val="009200F3"/>
    <w:rsid w:val="0092113C"/>
    <w:rsid w:val="00926E7A"/>
    <w:rsid w:val="0092763E"/>
    <w:rsid w:val="00927A86"/>
    <w:rsid w:val="00931A52"/>
    <w:rsid w:val="00936E49"/>
    <w:rsid w:val="009375B7"/>
    <w:rsid w:val="00940EE5"/>
    <w:rsid w:val="0094379D"/>
    <w:rsid w:val="00943867"/>
    <w:rsid w:val="00952DF3"/>
    <w:rsid w:val="0095737C"/>
    <w:rsid w:val="00963388"/>
    <w:rsid w:val="00965120"/>
    <w:rsid w:val="00965635"/>
    <w:rsid w:val="00965D3C"/>
    <w:rsid w:val="009676FB"/>
    <w:rsid w:val="009729F2"/>
    <w:rsid w:val="00972E51"/>
    <w:rsid w:val="009806E7"/>
    <w:rsid w:val="00982533"/>
    <w:rsid w:val="00984F3D"/>
    <w:rsid w:val="00991E4B"/>
    <w:rsid w:val="00994FD3"/>
    <w:rsid w:val="0099591C"/>
    <w:rsid w:val="00997B27"/>
    <w:rsid w:val="009A0E1B"/>
    <w:rsid w:val="009A2D6B"/>
    <w:rsid w:val="009A67A7"/>
    <w:rsid w:val="009A68AE"/>
    <w:rsid w:val="009B55B1"/>
    <w:rsid w:val="009C1C2B"/>
    <w:rsid w:val="009C2107"/>
    <w:rsid w:val="009C36B8"/>
    <w:rsid w:val="009D0D18"/>
    <w:rsid w:val="009D1D6F"/>
    <w:rsid w:val="009D4348"/>
    <w:rsid w:val="009D4BD8"/>
    <w:rsid w:val="009D6218"/>
    <w:rsid w:val="009D6CC1"/>
    <w:rsid w:val="009D78A9"/>
    <w:rsid w:val="009E3301"/>
    <w:rsid w:val="009E7964"/>
    <w:rsid w:val="009F0579"/>
    <w:rsid w:val="009F126B"/>
    <w:rsid w:val="009F1493"/>
    <w:rsid w:val="009F1F02"/>
    <w:rsid w:val="009F32C1"/>
    <w:rsid w:val="009F3EC2"/>
    <w:rsid w:val="009F6F85"/>
    <w:rsid w:val="00A01000"/>
    <w:rsid w:val="00A01392"/>
    <w:rsid w:val="00A04D70"/>
    <w:rsid w:val="00A05E0B"/>
    <w:rsid w:val="00A06FEC"/>
    <w:rsid w:val="00A07607"/>
    <w:rsid w:val="00A07FA5"/>
    <w:rsid w:val="00A10459"/>
    <w:rsid w:val="00A10954"/>
    <w:rsid w:val="00A25F80"/>
    <w:rsid w:val="00A300AA"/>
    <w:rsid w:val="00A33389"/>
    <w:rsid w:val="00A37809"/>
    <w:rsid w:val="00A37A5A"/>
    <w:rsid w:val="00A37FB3"/>
    <w:rsid w:val="00A40A7F"/>
    <w:rsid w:val="00A4154D"/>
    <w:rsid w:val="00A4343D"/>
    <w:rsid w:val="00A46C78"/>
    <w:rsid w:val="00A47308"/>
    <w:rsid w:val="00A502F1"/>
    <w:rsid w:val="00A50544"/>
    <w:rsid w:val="00A50BDB"/>
    <w:rsid w:val="00A51EE3"/>
    <w:rsid w:val="00A540EF"/>
    <w:rsid w:val="00A56C80"/>
    <w:rsid w:val="00A57913"/>
    <w:rsid w:val="00A61706"/>
    <w:rsid w:val="00A653E8"/>
    <w:rsid w:val="00A65E73"/>
    <w:rsid w:val="00A70657"/>
    <w:rsid w:val="00A70898"/>
    <w:rsid w:val="00A70A83"/>
    <w:rsid w:val="00A72A9A"/>
    <w:rsid w:val="00A73444"/>
    <w:rsid w:val="00A756F3"/>
    <w:rsid w:val="00A778ED"/>
    <w:rsid w:val="00A81EB3"/>
    <w:rsid w:val="00A851D9"/>
    <w:rsid w:val="00A905AD"/>
    <w:rsid w:val="00A91F5D"/>
    <w:rsid w:val="00A93708"/>
    <w:rsid w:val="00A96319"/>
    <w:rsid w:val="00AA11C2"/>
    <w:rsid w:val="00AA1ADA"/>
    <w:rsid w:val="00AA3CC5"/>
    <w:rsid w:val="00AA6604"/>
    <w:rsid w:val="00AB2F2A"/>
    <w:rsid w:val="00AB41CD"/>
    <w:rsid w:val="00AB4CDC"/>
    <w:rsid w:val="00AC17FF"/>
    <w:rsid w:val="00AC73C6"/>
    <w:rsid w:val="00AC7ED1"/>
    <w:rsid w:val="00AD1BAE"/>
    <w:rsid w:val="00AD4436"/>
    <w:rsid w:val="00AE5CCF"/>
    <w:rsid w:val="00AF2339"/>
    <w:rsid w:val="00AF577C"/>
    <w:rsid w:val="00B002A0"/>
    <w:rsid w:val="00B00C1D"/>
    <w:rsid w:val="00B0382A"/>
    <w:rsid w:val="00B040B6"/>
    <w:rsid w:val="00B05A82"/>
    <w:rsid w:val="00B0693D"/>
    <w:rsid w:val="00B1109B"/>
    <w:rsid w:val="00B11978"/>
    <w:rsid w:val="00B11FC2"/>
    <w:rsid w:val="00B1532E"/>
    <w:rsid w:val="00B1628D"/>
    <w:rsid w:val="00B17995"/>
    <w:rsid w:val="00B20A22"/>
    <w:rsid w:val="00B21CE4"/>
    <w:rsid w:val="00B24F7E"/>
    <w:rsid w:val="00B31716"/>
    <w:rsid w:val="00B33194"/>
    <w:rsid w:val="00B34160"/>
    <w:rsid w:val="00B34287"/>
    <w:rsid w:val="00B40EC0"/>
    <w:rsid w:val="00B41D30"/>
    <w:rsid w:val="00B42EE0"/>
    <w:rsid w:val="00B4355A"/>
    <w:rsid w:val="00B50A22"/>
    <w:rsid w:val="00B52A73"/>
    <w:rsid w:val="00B54F21"/>
    <w:rsid w:val="00B55AB2"/>
    <w:rsid w:val="00B60AC0"/>
    <w:rsid w:val="00B60EFE"/>
    <w:rsid w:val="00B632F4"/>
    <w:rsid w:val="00B65C55"/>
    <w:rsid w:val="00B7168C"/>
    <w:rsid w:val="00B71B7D"/>
    <w:rsid w:val="00B72203"/>
    <w:rsid w:val="00B74757"/>
    <w:rsid w:val="00B7536D"/>
    <w:rsid w:val="00B76CAA"/>
    <w:rsid w:val="00B8057B"/>
    <w:rsid w:val="00B80F82"/>
    <w:rsid w:val="00B82D28"/>
    <w:rsid w:val="00B83D65"/>
    <w:rsid w:val="00B916A5"/>
    <w:rsid w:val="00B91CF5"/>
    <w:rsid w:val="00B94AAC"/>
    <w:rsid w:val="00BA10E8"/>
    <w:rsid w:val="00BA18AA"/>
    <w:rsid w:val="00BA1B99"/>
    <w:rsid w:val="00BA32D8"/>
    <w:rsid w:val="00BA439F"/>
    <w:rsid w:val="00BA53C0"/>
    <w:rsid w:val="00BA6370"/>
    <w:rsid w:val="00BB2DEA"/>
    <w:rsid w:val="00BB722E"/>
    <w:rsid w:val="00BC00C3"/>
    <w:rsid w:val="00BC0CA8"/>
    <w:rsid w:val="00BC3C05"/>
    <w:rsid w:val="00BC4831"/>
    <w:rsid w:val="00BC52B1"/>
    <w:rsid w:val="00BC5CED"/>
    <w:rsid w:val="00BC5F07"/>
    <w:rsid w:val="00BC748B"/>
    <w:rsid w:val="00BC7DD0"/>
    <w:rsid w:val="00BD1ED8"/>
    <w:rsid w:val="00BD2152"/>
    <w:rsid w:val="00BD2F70"/>
    <w:rsid w:val="00BD3B6E"/>
    <w:rsid w:val="00BD6334"/>
    <w:rsid w:val="00BD6A8E"/>
    <w:rsid w:val="00BE31B7"/>
    <w:rsid w:val="00BE5A73"/>
    <w:rsid w:val="00BE60C0"/>
    <w:rsid w:val="00BF48C6"/>
    <w:rsid w:val="00BF4E48"/>
    <w:rsid w:val="00BF584F"/>
    <w:rsid w:val="00BF59A4"/>
    <w:rsid w:val="00BF6363"/>
    <w:rsid w:val="00BF7A05"/>
    <w:rsid w:val="00C012EE"/>
    <w:rsid w:val="00C016E9"/>
    <w:rsid w:val="00C121E3"/>
    <w:rsid w:val="00C12AEF"/>
    <w:rsid w:val="00C15EFC"/>
    <w:rsid w:val="00C20952"/>
    <w:rsid w:val="00C238B7"/>
    <w:rsid w:val="00C25E39"/>
    <w:rsid w:val="00C269D4"/>
    <w:rsid w:val="00C30A07"/>
    <w:rsid w:val="00C33B50"/>
    <w:rsid w:val="00C37CD5"/>
    <w:rsid w:val="00C4160D"/>
    <w:rsid w:val="00C42509"/>
    <w:rsid w:val="00C44999"/>
    <w:rsid w:val="00C44F06"/>
    <w:rsid w:val="00C47206"/>
    <w:rsid w:val="00C51232"/>
    <w:rsid w:val="00C51FA1"/>
    <w:rsid w:val="00C524B8"/>
    <w:rsid w:val="00C5346D"/>
    <w:rsid w:val="00C56F41"/>
    <w:rsid w:val="00C677B7"/>
    <w:rsid w:val="00C71FAF"/>
    <w:rsid w:val="00C72B56"/>
    <w:rsid w:val="00C77762"/>
    <w:rsid w:val="00C80531"/>
    <w:rsid w:val="00C8169C"/>
    <w:rsid w:val="00C82C08"/>
    <w:rsid w:val="00C8406E"/>
    <w:rsid w:val="00C846AB"/>
    <w:rsid w:val="00C91B36"/>
    <w:rsid w:val="00CA4732"/>
    <w:rsid w:val="00CA574F"/>
    <w:rsid w:val="00CB1466"/>
    <w:rsid w:val="00CB21A4"/>
    <w:rsid w:val="00CB221C"/>
    <w:rsid w:val="00CB2709"/>
    <w:rsid w:val="00CB54B1"/>
    <w:rsid w:val="00CB633A"/>
    <w:rsid w:val="00CB6F89"/>
    <w:rsid w:val="00CC11AE"/>
    <w:rsid w:val="00CC2C2A"/>
    <w:rsid w:val="00CC5AE8"/>
    <w:rsid w:val="00CD117B"/>
    <w:rsid w:val="00CE1717"/>
    <w:rsid w:val="00CE1875"/>
    <w:rsid w:val="00CE1FC4"/>
    <w:rsid w:val="00CE21B9"/>
    <w:rsid w:val="00CE228C"/>
    <w:rsid w:val="00CE6689"/>
    <w:rsid w:val="00CE683C"/>
    <w:rsid w:val="00CF3363"/>
    <w:rsid w:val="00CF35DF"/>
    <w:rsid w:val="00CF545B"/>
    <w:rsid w:val="00D043AB"/>
    <w:rsid w:val="00D05CCB"/>
    <w:rsid w:val="00D072A7"/>
    <w:rsid w:val="00D076A0"/>
    <w:rsid w:val="00D07EEC"/>
    <w:rsid w:val="00D10452"/>
    <w:rsid w:val="00D221E9"/>
    <w:rsid w:val="00D251FC"/>
    <w:rsid w:val="00D27D69"/>
    <w:rsid w:val="00D27E64"/>
    <w:rsid w:val="00D30092"/>
    <w:rsid w:val="00D34B88"/>
    <w:rsid w:val="00D36DA2"/>
    <w:rsid w:val="00D448C2"/>
    <w:rsid w:val="00D45EED"/>
    <w:rsid w:val="00D45FE7"/>
    <w:rsid w:val="00D470B2"/>
    <w:rsid w:val="00D4769F"/>
    <w:rsid w:val="00D53288"/>
    <w:rsid w:val="00D53B9E"/>
    <w:rsid w:val="00D53F81"/>
    <w:rsid w:val="00D61B69"/>
    <w:rsid w:val="00D62189"/>
    <w:rsid w:val="00D666C3"/>
    <w:rsid w:val="00D6680C"/>
    <w:rsid w:val="00D66848"/>
    <w:rsid w:val="00D67882"/>
    <w:rsid w:val="00D701E8"/>
    <w:rsid w:val="00D733A0"/>
    <w:rsid w:val="00D7431F"/>
    <w:rsid w:val="00D74516"/>
    <w:rsid w:val="00D74F09"/>
    <w:rsid w:val="00D7504F"/>
    <w:rsid w:val="00D75A6F"/>
    <w:rsid w:val="00D77D51"/>
    <w:rsid w:val="00D77E0F"/>
    <w:rsid w:val="00D80578"/>
    <w:rsid w:val="00D8193A"/>
    <w:rsid w:val="00D8310F"/>
    <w:rsid w:val="00D90B0F"/>
    <w:rsid w:val="00D91154"/>
    <w:rsid w:val="00D92D82"/>
    <w:rsid w:val="00D93A3F"/>
    <w:rsid w:val="00D944FD"/>
    <w:rsid w:val="00D97146"/>
    <w:rsid w:val="00DA09ED"/>
    <w:rsid w:val="00DA1021"/>
    <w:rsid w:val="00DA67A9"/>
    <w:rsid w:val="00DB0269"/>
    <w:rsid w:val="00DB11F1"/>
    <w:rsid w:val="00DB2040"/>
    <w:rsid w:val="00DB2C34"/>
    <w:rsid w:val="00DB5F44"/>
    <w:rsid w:val="00DC0C90"/>
    <w:rsid w:val="00DC4378"/>
    <w:rsid w:val="00DD1EAE"/>
    <w:rsid w:val="00DD24FF"/>
    <w:rsid w:val="00DD2DFB"/>
    <w:rsid w:val="00DD3370"/>
    <w:rsid w:val="00DE161F"/>
    <w:rsid w:val="00DE1727"/>
    <w:rsid w:val="00DE30D5"/>
    <w:rsid w:val="00DE41BF"/>
    <w:rsid w:val="00DE439B"/>
    <w:rsid w:val="00DE441E"/>
    <w:rsid w:val="00DE5597"/>
    <w:rsid w:val="00DE5AE7"/>
    <w:rsid w:val="00DF0B9A"/>
    <w:rsid w:val="00DF15C7"/>
    <w:rsid w:val="00DF1D0E"/>
    <w:rsid w:val="00DF23CA"/>
    <w:rsid w:val="00DF47FE"/>
    <w:rsid w:val="00DF53EF"/>
    <w:rsid w:val="00DF57B0"/>
    <w:rsid w:val="00DF6242"/>
    <w:rsid w:val="00E0076C"/>
    <w:rsid w:val="00E10A71"/>
    <w:rsid w:val="00E14F9F"/>
    <w:rsid w:val="00E15594"/>
    <w:rsid w:val="00E16A42"/>
    <w:rsid w:val="00E22D22"/>
    <w:rsid w:val="00E257E5"/>
    <w:rsid w:val="00E26704"/>
    <w:rsid w:val="00E26FF0"/>
    <w:rsid w:val="00E27139"/>
    <w:rsid w:val="00E31980"/>
    <w:rsid w:val="00E32403"/>
    <w:rsid w:val="00E42AF2"/>
    <w:rsid w:val="00E42E00"/>
    <w:rsid w:val="00E44B84"/>
    <w:rsid w:val="00E464C2"/>
    <w:rsid w:val="00E4704F"/>
    <w:rsid w:val="00E47AD0"/>
    <w:rsid w:val="00E50333"/>
    <w:rsid w:val="00E533B7"/>
    <w:rsid w:val="00E548FE"/>
    <w:rsid w:val="00E565DB"/>
    <w:rsid w:val="00E609BE"/>
    <w:rsid w:val="00E63957"/>
    <w:rsid w:val="00E6423C"/>
    <w:rsid w:val="00E66CFD"/>
    <w:rsid w:val="00E7104F"/>
    <w:rsid w:val="00E74123"/>
    <w:rsid w:val="00E7536C"/>
    <w:rsid w:val="00E75E03"/>
    <w:rsid w:val="00E77AD3"/>
    <w:rsid w:val="00E8424D"/>
    <w:rsid w:val="00E86C3E"/>
    <w:rsid w:val="00E9311C"/>
    <w:rsid w:val="00E93830"/>
    <w:rsid w:val="00E93E0E"/>
    <w:rsid w:val="00E95357"/>
    <w:rsid w:val="00EA0046"/>
    <w:rsid w:val="00EA1F66"/>
    <w:rsid w:val="00EA7B94"/>
    <w:rsid w:val="00EB1ED3"/>
    <w:rsid w:val="00EB4B5C"/>
    <w:rsid w:val="00EB60EF"/>
    <w:rsid w:val="00EC1CF0"/>
    <w:rsid w:val="00EC2845"/>
    <w:rsid w:val="00EC2D51"/>
    <w:rsid w:val="00EC3A8B"/>
    <w:rsid w:val="00ED1CAD"/>
    <w:rsid w:val="00ED2A77"/>
    <w:rsid w:val="00ED7B69"/>
    <w:rsid w:val="00ED7CF2"/>
    <w:rsid w:val="00EE2155"/>
    <w:rsid w:val="00EE420E"/>
    <w:rsid w:val="00EF35E5"/>
    <w:rsid w:val="00F00C7B"/>
    <w:rsid w:val="00F020B0"/>
    <w:rsid w:val="00F12DF6"/>
    <w:rsid w:val="00F13564"/>
    <w:rsid w:val="00F142A5"/>
    <w:rsid w:val="00F1505C"/>
    <w:rsid w:val="00F1658F"/>
    <w:rsid w:val="00F170E7"/>
    <w:rsid w:val="00F17C8B"/>
    <w:rsid w:val="00F26395"/>
    <w:rsid w:val="00F30740"/>
    <w:rsid w:val="00F30A86"/>
    <w:rsid w:val="00F323A8"/>
    <w:rsid w:val="00F32DA4"/>
    <w:rsid w:val="00F3352A"/>
    <w:rsid w:val="00F3651A"/>
    <w:rsid w:val="00F424FC"/>
    <w:rsid w:val="00F42A73"/>
    <w:rsid w:val="00F4386B"/>
    <w:rsid w:val="00F477DA"/>
    <w:rsid w:val="00F5130D"/>
    <w:rsid w:val="00F53D80"/>
    <w:rsid w:val="00F56421"/>
    <w:rsid w:val="00F62AAB"/>
    <w:rsid w:val="00F65F3A"/>
    <w:rsid w:val="00F77062"/>
    <w:rsid w:val="00F773CA"/>
    <w:rsid w:val="00F80125"/>
    <w:rsid w:val="00F80732"/>
    <w:rsid w:val="00F81099"/>
    <w:rsid w:val="00F81C34"/>
    <w:rsid w:val="00F825F6"/>
    <w:rsid w:val="00F84787"/>
    <w:rsid w:val="00F84E8A"/>
    <w:rsid w:val="00F8606C"/>
    <w:rsid w:val="00F87248"/>
    <w:rsid w:val="00F90828"/>
    <w:rsid w:val="00FA01FD"/>
    <w:rsid w:val="00FA073B"/>
    <w:rsid w:val="00FA10BE"/>
    <w:rsid w:val="00FA16FF"/>
    <w:rsid w:val="00FA1B3D"/>
    <w:rsid w:val="00FA3502"/>
    <w:rsid w:val="00FA5066"/>
    <w:rsid w:val="00FB2013"/>
    <w:rsid w:val="00FB3593"/>
    <w:rsid w:val="00FB56A9"/>
    <w:rsid w:val="00FB581B"/>
    <w:rsid w:val="00FB66A4"/>
    <w:rsid w:val="00FB687C"/>
    <w:rsid w:val="00FB7512"/>
    <w:rsid w:val="00FC1C67"/>
    <w:rsid w:val="00FC2FF3"/>
    <w:rsid w:val="00FC7395"/>
    <w:rsid w:val="00FD0DAF"/>
    <w:rsid w:val="00FD0E5F"/>
    <w:rsid w:val="00FD2AC5"/>
    <w:rsid w:val="00FD43EF"/>
    <w:rsid w:val="00FD7140"/>
    <w:rsid w:val="00FE075D"/>
    <w:rsid w:val="00FE64A0"/>
    <w:rsid w:val="00FE69DE"/>
    <w:rsid w:val="00FF4351"/>
    <w:rsid w:val="00FF544D"/>
    <w:rsid w:val="00FF6506"/>
    <w:rsid w:val="00FF6A21"/>
    <w:rsid w:val="00FF6D8C"/>
    <w:rsid w:val="00FF742B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113C7221"/>
  <w15:docId w15:val="{05C7608A-0468-41D2-B9F5-7A0974909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paragraph" w:styleId="Zkladntextodsazen3">
    <w:name w:val="Body Text Indent 3"/>
    <w:basedOn w:val="Normln"/>
    <w:link w:val="Zkladntextodsazen3Char"/>
    <w:semiHidden/>
    <w:rsid w:val="00B916A5"/>
    <w:pPr>
      <w:autoSpaceDE w:val="0"/>
      <w:autoSpaceDN w:val="0"/>
      <w:adjustRightInd w:val="0"/>
      <w:spacing w:after="120" w:line="240" w:lineRule="auto"/>
      <w:ind w:firstLine="709"/>
    </w:pPr>
    <w:rPr>
      <w:rFonts w:eastAsia="Times New Roman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B916A5"/>
    <w:rPr>
      <w:rFonts w:ascii="Arial" w:eastAsia="Times New Roman" w:hAnsi="Arial"/>
      <w:szCs w:val="24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744D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4DF2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44DF2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4D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4DF2"/>
    <w:rPr>
      <w:rFonts w:ascii="Arial" w:hAnsi="Arial"/>
      <w:b/>
      <w:bCs/>
      <w:lang w:eastAsia="en-US"/>
    </w:rPr>
  </w:style>
  <w:style w:type="paragraph" w:styleId="Odstavecseseznamem">
    <w:name w:val="List Paragraph"/>
    <w:basedOn w:val="Normln"/>
    <w:uiPriority w:val="34"/>
    <w:rsid w:val="00A72A9A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C1C2B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C1C2B"/>
    <w:rPr>
      <w:rFonts w:ascii="Arial" w:hAnsi="Arial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C1C2B"/>
    <w:rPr>
      <w:vertAlign w:val="superscript"/>
    </w:rPr>
  </w:style>
  <w:style w:type="paragraph" w:styleId="Revize">
    <w:name w:val="Revision"/>
    <w:hidden/>
    <w:uiPriority w:val="99"/>
    <w:semiHidden/>
    <w:rsid w:val="003D5EB8"/>
    <w:rPr>
      <w:rFonts w:ascii="Arial" w:hAnsi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alibor.holy@czso.cz" TargetMode="Externa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holy2795\Desktop\_disk_D\U\ODBOR\RI\RI%20MZDY\2q2023\GRAF1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5" Type="http://schemas.openxmlformats.org/officeDocument/2006/relationships/chartUserShapes" Target="../drawings/drawing2.xml"/><Relationship Id="rId4" Type="http://schemas.openxmlformats.org/officeDocument/2006/relationships/package" Target="../embeddings/List_aplikace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9433892648402981E-2"/>
          <c:y val="4.6090534979423871E-2"/>
          <c:w val="0.90713692737289631"/>
          <c:h val="0.73669654256180939"/>
        </c:manualLayout>
      </c:layout>
      <c:lineChart>
        <c:grouping val="standard"/>
        <c:varyColors val="0"/>
        <c:ser>
          <c:idx val="0"/>
          <c:order val="0"/>
          <c:tx>
            <c:strRef>
              <c:f>DATA!$C$4</c:f>
              <c:strCache>
                <c:ptCount val="1"/>
                <c:pt idx="0">
                  <c:v>Ceny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DATA!$B$32:$B$53</c:f>
              <c:strCache>
                <c:ptCount val="22"/>
                <c:pt idx="0">
                  <c:v>1Q 2018</c:v>
                </c:pt>
                <c:pt idx="1">
                  <c:v>2Q 2018</c:v>
                </c:pt>
                <c:pt idx="2">
                  <c:v>3Q 2018</c:v>
                </c:pt>
                <c:pt idx="3">
                  <c:v>4Q 2018</c:v>
                </c:pt>
                <c:pt idx="4">
                  <c:v>1Q 2019</c:v>
                </c:pt>
                <c:pt idx="5">
                  <c:v>2Q 2019</c:v>
                </c:pt>
                <c:pt idx="6">
                  <c:v>3Q 2019</c:v>
                </c:pt>
                <c:pt idx="7">
                  <c:v>4Q 2019</c:v>
                </c:pt>
                <c:pt idx="8">
                  <c:v>1Q 2020</c:v>
                </c:pt>
                <c:pt idx="9">
                  <c:v>2Q 2020</c:v>
                </c:pt>
                <c:pt idx="10">
                  <c:v>3Q 2020</c:v>
                </c:pt>
                <c:pt idx="11">
                  <c:v>4Q 2020</c:v>
                </c:pt>
                <c:pt idx="12">
                  <c:v>1Q 2021</c:v>
                </c:pt>
                <c:pt idx="13">
                  <c:v>2Q 2021</c:v>
                </c:pt>
                <c:pt idx="14">
                  <c:v>3Q 2021</c:v>
                </c:pt>
                <c:pt idx="15">
                  <c:v>4Q 2021</c:v>
                </c:pt>
                <c:pt idx="16">
                  <c:v>1Q 2022</c:v>
                </c:pt>
                <c:pt idx="17">
                  <c:v>2Q 2022</c:v>
                </c:pt>
                <c:pt idx="18">
                  <c:v>3Q 2022</c:v>
                </c:pt>
                <c:pt idx="19">
                  <c:v>4Q 2022</c:v>
                </c:pt>
                <c:pt idx="20">
                  <c:v>1Q 2023</c:v>
                </c:pt>
                <c:pt idx="21">
                  <c:v>2Q 2023</c:v>
                </c:pt>
              </c:strCache>
            </c:strRef>
          </c:cat>
          <c:val>
            <c:numRef>
              <c:f>DATA!$C$32:$C$53</c:f>
              <c:numCache>
                <c:formatCode>###\ ###\ ##0</c:formatCode>
                <c:ptCount val="22"/>
                <c:pt idx="0">
                  <c:v>96.44670050761421</c:v>
                </c:pt>
                <c:pt idx="1">
                  <c:v>97.092754960775267</c:v>
                </c:pt>
                <c:pt idx="2">
                  <c:v>97.646515920627593</c:v>
                </c:pt>
                <c:pt idx="3">
                  <c:v>97.831102907245054</c:v>
                </c:pt>
                <c:pt idx="4">
                  <c:v>99.030918320258422</c:v>
                </c:pt>
                <c:pt idx="5">
                  <c:v>99.769266266728195</c:v>
                </c:pt>
                <c:pt idx="6">
                  <c:v>100.41532071988925</c:v>
                </c:pt>
                <c:pt idx="7">
                  <c:v>100.78449469312415</c:v>
                </c:pt>
                <c:pt idx="8">
                  <c:v>102.63036455929857</c:v>
                </c:pt>
                <c:pt idx="9">
                  <c:v>102.90724503922475</c:v>
                </c:pt>
                <c:pt idx="10">
                  <c:v>103.73788647900324</c:v>
                </c:pt>
                <c:pt idx="11">
                  <c:v>103.36871250576836</c:v>
                </c:pt>
                <c:pt idx="12">
                  <c:v>104.84540839870789</c:v>
                </c:pt>
                <c:pt idx="13">
                  <c:v>105.86063682510385</c:v>
                </c:pt>
                <c:pt idx="14">
                  <c:v>107.98338717120444</c:v>
                </c:pt>
                <c:pt idx="15">
                  <c:v>109.73696354407014</c:v>
                </c:pt>
                <c:pt idx="16">
                  <c:v>116.65897554222428</c:v>
                </c:pt>
                <c:pt idx="17">
                  <c:v>122.56575911398248</c:v>
                </c:pt>
                <c:pt idx="18">
                  <c:v>126.99584679280112</c:v>
                </c:pt>
                <c:pt idx="19">
                  <c:v>126.99584679280112</c:v>
                </c:pt>
                <c:pt idx="20">
                  <c:v>135.76372865712966</c:v>
                </c:pt>
                <c:pt idx="21">
                  <c:v>136.22519612367327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DAD-45EB-BECC-4A9F92BB7026}"/>
            </c:ext>
          </c:extLst>
        </c:ser>
        <c:ser>
          <c:idx val="1"/>
          <c:order val="1"/>
          <c:tx>
            <c:strRef>
              <c:f>DATA!$D$4</c:f>
              <c:strCache>
                <c:ptCount val="1"/>
                <c:pt idx="0">
                  <c:v>Mzdy</c:v>
                </c:pt>
              </c:strCache>
            </c:strRef>
          </c:tx>
          <c:spPr>
            <a:ln w="3492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DATA!$B$32:$B$53</c:f>
              <c:strCache>
                <c:ptCount val="22"/>
                <c:pt idx="0">
                  <c:v>1Q 2018</c:v>
                </c:pt>
                <c:pt idx="1">
                  <c:v>2Q 2018</c:v>
                </c:pt>
                <c:pt idx="2">
                  <c:v>3Q 2018</c:v>
                </c:pt>
                <c:pt idx="3">
                  <c:v>4Q 2018</c:v>
                </c:pt>
                <c:pt idx="4">
                  <c:v>1Q 2019</c:v>
                </c:pt>
                <c:pt idx="5">
                  <c:v>2Q 2019</c:v>
                </c:pt>
                <c:pt idx="6">
                  <c:v>3Q 2019</c:v>
                </c:pt>
                <c:pt idx="7">
                  <c:v>4Q 2019</c:v>
                </c:pt>
                <c:pt idx="8">
                  <c:v>1Q 2020</c:v>
                </c:pt>
                <c:pt idx="9">
                  <c:v>2Q 2020</c:v>
                </c:pt>
                <c:pt idx="10">
                  <c:v>3Q 2020</c:v>
                </c:pt>
                <c:pt idx="11">
                  <c:v>4Q 2020</c:v>
                </c:pt>
                <c:pt idx="12">
                  <c:v>1Q 2021</c:v>
                </c:pt>
                <c:pt idx="13">
                  <c:v>2Q 2021</c:v>
                </c:pt>
                <c:pt idx="14">
                  <c:v>3Q 2021</c:v>
                </c:pt>
                <c:pt idx="15">
                  <c:v>4Q 2021</c:v>
                </c:pt>
                <c:pt idx="16">
                  <c:v>1Q 2022</c:v>
                </c:pt>
                <c:pt idx="17">
                  <c:v>2Q 2022</c:v>
                </c:pt>
                <c:pt idx="18">
                  <c:v>3Q 2022</c:v>
                </c:pt>
                <c:pt idx="19">
                  <c:v>4Q 2022</c:v>
                </c:pt>
                <c:pt idx="20">
                  <c:v>1Q 2023</c:v>
                </c:pt>
                <c:pt idx="21">
                  <c:v>2Q 2023</c:v>
                </c:pt>
              </c:strCache>
            </c:strRef>
          </c:cat>
          <c:val>
            <c:numRef>
              <c:f>DATA!$D$32:$D$53</c:f>
              <c:numCache>
                <c:formatCode>###\ ###\ ##0</c:formatCode>
                <c:ptCount val="22"/>
                <c:pt idx="0">
                  <c:v>90.124344719101529</c:v>
                </c:pt>
                <c:pt idx="1">
                  <c:v>91.989479101119571</c:v>
                </c:pt>
                <c:pt idx="2">
                  <c:v>93.689583626083504</c:v>
                </c:pt>
                <c:pt idx="3">
                  <c:v>95.089222738268802</c:v>
                </c:pt>
                <c:pt idx="4">
                  <c:v>97.636817129896528</c:v>
                </c:pt>
                <c:pt idx="5">
                  <c:v>99.21138191756539</c:v>
                </c:pt>
                <c:pt idx="6">
                  <c:v>100.84739101728211</c:v>
                </c:pt>
                <c:pt idx="7">
                  <c:v>102.09204917716379</c:v>
                </c:pt>
                <c:pt idx="8">
                  <c:v>103.2308774339796</c:v>
                </c:pt>
                <c:pt idx="9">
                  <c:v>100.15943319374155</c:v>
                </c:pt>
                <c:pt idx="10">
                  <c:v>106.46789104208763</c:v>
                </c:pt>
                <c:pt idx="11">
                  <c:v>108.62666936616165</c:v>
                </c:pt>
                <c:pt idx="12">
                  <c:v>106.43462562142676</c:v>
                </c:pt>
                <c:pt idx="13">
                  <c:v>111.30039480980398</c:v>
                </c:pt>
                <c:pt idx="14">
                  <c:v>112.00709288926483</c:v>
                </c:pt>
                <c:pt idx="15">
                  <c:v>112.71844643624162</c:v>
                </c:pt>
                <c:pt idx="16">
                  <c:v>113.21217906275223</c:v>
                </c:pt>
                <c:pt idx="17">
                  <c:v>115.39041812041275</c:v>
                </c:pt>
                <c:pt idx="18">
                  <c:v>117.6927343096622</c:v>
                </c:pt>
                <c:pt idx="19">
                  <c:v>120.01043094195521</c:v>
                </c:pt>
                <c:pt idx="20">
                  <c:v>122.68491374793207</c:v>
                </c:pt>
                <c:pt idx="21">
                  <c:v>124.47688809333137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DAD-45EB-BECC-4A9F92BB702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69202783"/>
        <c:axId val="369196959"/>
      </c:lineChart>
      <c:catAx>
        <c:axId val="36920278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69196959"/>
        <c:crosses val="autoZero"/>
        <c:auto val="1"/>
        <c:lblAlgn val="ctr"/>
        <c:lblOffset val="100"/>
        <c:noMultiLvlLbl val="0"/>
      </c:catAx>
      <c:valAx>
        <c:axId val="369196959"/>
        <c:scaling>
          <c:orientation val="minMax"/>
          <c:min val="9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##\ ###\ 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6920278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rgbClr val="0070C0"/>
            </a:solidFill>
            <a:ln>
              <a:noFill/>
            </a:ln>
            <a:effectLst/>
          </c:spPr>
          <c:invertIfNegative val="0"/>
          <c:cat>
            <c:strRef>
              <c:f>graf2!$B$3:$B$21</c:f>
              <c:strCache>
                <c:ptCount val="19"/>
                <c:pt idx="0">
                  <c:v>Ostatní činnosti</c:v>
                </c:pt>
                <c:pt idx="1">
                  <c:v>Kulturní, zábavní činnosti</c:v>
                </c:pt>
                <c:pt idx="2">
                  <c:v>Vzdělávání</c:v>
                </c:pt>
                <c:pt idx="3">
                  <c:v>Zdravotní a sociální péče</c:v>
                </c:pt>
                <c:pt idx="4">
                  <c:v>Stavebnictví</c:v>
                </c:pt>
                <c:pt idx="5">
                  <c:v>Administrativní a podpůrné činnosti</c:v>
                </c:pt>
                <c:pt idx="6">
                  <c:v>Profesní, vědecké činnosti</c:v>
                </c:pt>
                <c:pt idx="7">
                  <c:v>Velkoobchod a maloobchod…</c:v>
                </c:pt>
                <c:pt idx="8">
                  <c:v>Informační a komunikační činnosti</c:v>
                </c:pt>
                <c:pt idx="9">
                  <c:v>Zemědělství, lesnictví a rybářství</c:v>
                </c:pt>
                <c:pt idx="10">
                  <c:v>Veřejná správa a obrana</c:v>
                </c:pt>
                <c:pt idx="11">
                  <c:v>Doprava a skladování</c:v>
                </c:pt>
                <c:pt idx="12">
                  <c:v>Zásobování vodou, odpady…</c:v>
                </c:pt>
                <c:pt idx="13">
                  <c:v>Ubytování, stravování a pohostinství</c:v>
                </c:pt>
                <c:pt idx="14">
                  <c:v>Zpracovatelský průmysl</c:v>
                </c:pt>
                <c:pt idx="15">
                  <c:v>Peněžnictví a pojišťovnictví</c:v>
                </c:pt>
                <c:pt idx="16">
                  <c:v>Těžba a dobývání</c:v>
                </c:pt>
                <c:pt idx="17">
                  <c:v>Nemovitosti</c:v>
                </c:pt>
                <c:pt idx="18">
                  <c:v>Výroba a rozvod elektřiny, plynu…</c:v>
                </c:pt>
              </c:strCache>
            </c:strRef>
          </c:cat>
          <c:val>
            <c:numRef>
              <c:f>graf2!$H$3:$H$21</c:f>
              <c:numCache>
                <c:formatCode>#,##0</c:formatCode>
                <c:ptCount val="19"/>
                <c:pt idx="0">
                  <c:v>2.9</c:v>
                </c:pt>
                <c:pt idx="1">
                  <c:v>3.8</c:v>
                </c:pt>
                <c:pt idx="2">
                  <c:v>4.3</c:v>
                </c:pt>
                <c:pt idx="3">
                  <c:v>6.7</c:v>
                </c:pt>
                <c:pt idx="4">
                  <c:v>6.8</c:v>
                </c:pt>
                <c:pt idx="5">
                  <c:v>6.9</c:v>
                </c:pt>
                <c:pt idx="6">
                  <c:v>7.1</c:v>
                </c:pt>
                <c:pt idx="7">
                  <c:v>7.4</c:v>
                </c:pt>
                <c:pt idx="8">
                  <c:v>7.5</c:v>
                </c:pt>
                <c:pt idx="9">
                  <c:v>7.7</c:v>
                </c:pt>
                <c:pt idx="10">
                  <c:v>7.7</c:v>
                </c:pt>
                <c:pt idx="11">
                  <c:v>8.5</c:v>
                </c:pt>
                <c:pt idx="12">
                  <c:v>8.6999999999999993</c:v>
                </c:pt>
                <c:pt idx="13">
                  <c:v>8.8000000000000007</c:v>
                </c:pt>
                <c:pt idx="14">
                  <c:v>9.1999999999999993</c:v>
                </c:pt>
                <c:pt idx="15">
                  <c:v>10</c:v>
                </c:pt>
                <c:pt idx="16">
                  <c:v>10.4</c:v>
                </c:pt>
                <c:pt idx="17">
                  <c:v>10.6</c:v>
                </c:pt>
                <c:pt idx="18">
                  <c:v>13.7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387-4573-9B8B-E4CD68BA4C5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1"/>
        <c:axId val="1051344368"/>
        <c:axId val="1051346032"/>
      </c:barChart>
      <c:catAx>
        <c:axId val="10513443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051346032"/>
        <c:crosses val="autoZero"/>
        <c:auto val="1"/>
        <c:lblAlgn val="ctr"/>
        <c:lblOffset val="100"/>
        <c:noMultiLvlLbl val="0"/>
      </c:catAx>
      <c:valAx>
        <c:axId val="1051346032"/>
        <c:scaling>
          <c:orientation val="minMax"/>
          <c:max val="14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0513443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4">
    <c:autoUpdate val="0"/>
  </c:externalData>
  <c:userShapes r:id="rId5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emf"/></Relationships>
</file>

<file path=word/drawing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emf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0.09957</cdr:x>
      <cdr:y>0.06502</cdr:y>
    </cdr:from>
    <cdr:to>
      <cdr:x>0.25605</cdr:x>
      <cdr:y>0.1272</cdr:y>
    </cdr:to>
    <cdr:pic>
      <cdr:nvPicPr>
        <cdr:cNvPr id="2" name="Picture 3"/>
        <cdr:cNvPicPr>
          <a:picLocks xmlns:a="http://schemas.openxmlformats.org/drawingml/2006/main" noChangeAspect="1" noChangeArrowheads="1"/>
        </cdr:cNvPicPr>
      </cdr:nvPicPr>
      <cdr:blipFill>
        <a:blip xmlns:a="http://schemas.openxmlformats.org/drawingml/2006/main" xmlns:r="http://schemas.openxmlformats.org/officeDocument/2006/relationships" r:embed="rId1"/>
        <a:srcRect xmlns:a="http://schemas.openxmlformats.org/drawingml/2006/main"/>
        <a:stretch xmlns:a="http://schemas.openxmlformats.org/drawingml/2006/main">
          <a:fillRect/>
        </a:stretch>
      </cdr:blipFill>
      <cdr:spPr bwMode="auto">
        <a:xfrm xmlns:a="http://schemas.openxmlformats.org/drawingml/2006/main">
          <a:off x="593725" y="250825"/>
          <a:ext cx="933020" cy="239859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</cdr:spPr>
    </cdr:pic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0.78281</cdr:x>
      <cdr:y>0.83618</cdr:y>
    </cdr:from>
    <cdr:to>
      <cdr:x>0.95557</cdr:x>
      <cdr:y>0.90772</cdr:y>
    </cdr:to>
    <cdr:pic>
      <cdr:nvPicPr>
        <cdr:cNvPr id="2" name="Picture 3"/>
        <cdr:cNvPicPr>
          <a:picLocks xmlns:a="http://schemas.openxmlformats.org/drawingml/2006/main" noChangeAspect="1" noChangeArrowheads="1"/>
        </cdr:cNvPicPr>
      </cdr:nvPicPr>
      <cdr:blipFill>
        <a:blip xmlns:a="http://schemas.openxmlformats.org/drawingml/2006/main" xmlns:r="http://schemas.openxmlformats.org/officeDocument/2006/relationships" r:embed="rId1"/>
        <a:srcRect xmlns:a="http://schemas.openxmlformats.org/drawingml/2006/main"/>
        <a:stretch xmlns:a="http://schemas.openxmlformats.org/drawingml/2006/main">
          <a:fillRect/>
        </a:stretch>
      </cdr:blipFill>
      <cdr:spPr bwMode="auto">
        <a:xfrm xmlns:a="http://schemas.openxmlformats.org/drawingml/2006/main">
          <a:off x="4227205" y="2803008"/>
          <a:ext cx="932911" cy="239814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</cdr:spPr>
    </cdr:pic>
  </cdr:relSizeAnchor>
  <cdr:relSizeAnchor xmlns:cdr="http://schemas.openxmlformats.org/drawingml/2006/chartDrawing">
    <cdr:from>
      <cdr:x>0.8301</cdr:x>
      <cdr:y>0.03977</cdr:y>
    </cdr:from>
    <cdr:to>
      <cdr:x>0.83187</cdr:x>
      <cdr:y>0.77273</cdr:y>
    </cdr:to>
    <cdr:cxnSp macro="">
      <cdr:nvCxnSpPr>
        <cdr:cNvPr id="4" name="Přímá spojnice 3"/>
        <cdr:cNvCxnSpPr/>
      </cdr:nvCxnSpPr>
      <cdr:spPr>
        <a:xfrm xmlns:a="http://schemas.openxmlformats.org/drawingml/2006/main">
          <a:off x="4483107" y="133350"/>
          <a:ext cx="9559" cy="245745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0.83009</cdr:x>
      <cdr:y>0.56818</cdr:y>
    </cdr:from>
    <cdr:to>
      <cdr:x>0.94513</cdr:x>
      <cdr:y>0.64205</cdr:y>
    </cdr:to>
    <cdr:sp macro="" textlink="">
      <cdr:nvSpPr>
        <cdr:cNvPr id="6" name="TextovéPole 5"/>
        <cdr:cNvSpPr txBox="1"/>
      </cdr:nvSpPr>
      <cdr:spPr>
        <a:xfrm xmlns:a="http://schemas.openxmlformats.org/drawingml/2006/main">
          <a:off x="4467226" y="1905000"/>
          <a:ext cx="61912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cs-CZ" sz="1000"/>
            <a:t>inflace</a:t>
          </a:r>
        </a:p>
      </cdr:txBody>
    </cdr:sp>
  </cdr:relSizeAnchor>
</c:userShape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6" ma:contentTypeDescription="Vytvoří nový dokument" ma:contentTypeScope="" ma:versionID="47a05c10939d943197a5a7477d71ce52">
  <xsd:schema xmlns:xsd="http://www.w3.org/2001/XMLSchema" xmlns:xs="http://www.w3.org/2001/XMLSchema" xmlns:p="http://schemas.microsoft.com/office/2006/metadata/properties" xmlns:ns2="5f927d68-6aa3-420b-a02e-a4390ec9f7ec" targetNamespace="http://schemas.microsoft.com/office/2006/metadata/properties" ma:root="true" ma:fieldsID="b0b2fba7cf7ec0ba743941e6bf355fc4" ns2:_="">
    <xsd:import namespace="5f927d68-6aa3-420b-a02e-a4390ec9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795E32-67FF-4F4B-87D8-CDB5F92088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62718E-4B57-4B83-B7B6-50AE13A09EEE}"/>
</file>

<file path=customXml/itemProps3.xml><?xml version="1.0" encoding="utf-8"?>
<ds:datastoreItem xmlns:ds="http://schemas.openxmlformats.org/officeDocument/2006/customXml" ds:itemID="{DBEA1A2D-8D23-41BE-A7CC-967E058143CA}"/>
</file>

<file path=customXml/itemProps4.xml><?xml version="1.0" encoding="utf-8"?>
<ds:datastoreItem xmlns:ds="http://schemas.openxmlformats.org/officeDocument/2006/customXml" ds:itemID="{1CFBD400-4B24-4C15-AC3B-204AF04CB8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7</Pages>
  <Words>2943</Words>
  <Characters>17368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20271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chramecky3167</dc:creator>
  <cp:keywords/>
  <cp:lastModifiedBy>Holý Dalibor</cp:lastModifiedBy>
  <cp:revision>7</cp:revision>
  <cp:lastPrinted>2021-12-01T15:35:00Z</cp:lastPrinted>
  <dcterms:created xsi:type="dcterms:W3CDTF">2023-08-31T08:55:00Z</dcterms:created>
  <dcterms:modified xsi:type="dcterms:W3CDTF">2023-08-31T11:18:00Z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</Properties>
</file>