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6147ED" w:rsidRDefault="00D26C4A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="00822CB4" w:rsidRPr="006147ED">
        <w:rPr>
          <w:b w:val="0"/>
          <w:sz w:val="22"/>
          <w:szCs w:val="22"/>
        </w:rPr>
        <w:t>Aktualiz</w:t>
      </w:r>
      <w:r>
        <w:rPr>
          <w:b w:val="0"/>
          <w:sz w:val="22"/>
          <w:szCs w:val="22"/>
        </w:rPr>
        <w:t xml:space="preserve">ováno ke dni </w:t>
      </w:r>
      <w:r w:rsidR="00EA4B8E">
        <w:rPr>
          <w:b w:val="0"/>
          <w:sz w:val="22"/>
          <w:szCs w:val="22"/>
        </w:rPr>
        <w:t>22</w:t>
      </w:r>
      <w:r w:rsidR="006147ED" w:rsidRPr="006147E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="00EA4B8E">
        <w:rPr>
          <w:b w:val="0"/>
          <w:sz w:val="22"/>
          <w:szCs w:val="22"/>
        </w:rPr>
        <w:t>3</w:t>
      </w:r>
      <w:r w:rsidR="006147ED" w:rsidRPr="006147E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="006147ED" w:rsidRPr="006147ED">
        <w:rPr>
          <w:b w:val="0"/>
          <w:sz w:val="22"/>
          <w:szCs w:val="22"/>
        </w:rPr>
        <w:t>2023</w:t>
      </w:r>
      <w:r>
        <w:rPr>
          <w:b w:val="0"/>
          <w:sz w:val="22"/>
          <w:szCs w:val="22"/>
        </w:rPr>
        <w:t>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FC5CA4" w:rsidRPr="00D26C4A" w:rsidRDefault="00442718" w:rsidP="00FC5CA4">
      <w:pPr>
        <w:rPr>
          <w:rFonts w:cs="Arial"/>
          <w:b/>
          <w:sz w:val="26"/>
          <w:szCs w:val="26"/>
          <w:u w:val="single"/>
        </w:rPr>
      </w:pPr>
      <w:r w:rsidRPr="00D26C4A">
        <w:rPr>
          <w:rStyle w:val="Zdraznn"/>
          <w:rFonts w:cs="Arial"/>
          <w:b/>
          <w:color w:val="353838"/>
          <w:sz w:val="26"/>
          <w:szCs w:val="26"/>
          <w:u w:val="single"/>
        </w:rPr>
        <w:t>Návštěvnost</w:t>
      </w:r>
      <w:r w:rsidR="009B7E3F" w:rsidRPr="00D26C4A">
        <w:rPr>
          <w:rStyle w:val="Zdraznn"/>
          <w:rFonts w:cs="Arial"/>
          <w:b/>
          <w:color w:val="353838"/>
          <w:sz w:val="26"/>
          <w:szCs w:val="26"/>
          <w:u w:val="single"/>
        </w:rPr>
        <w:t xml:space="preserve"> hromadných ubytovacích zařízení</w:t>
      </w:r>
      <w:r w:rsidR="000A2E5A" w:rsidRPr="00D26C4A">
        <w:rPr>
          <w:rStyle w:val="Siln"/>
          <w:rFonts w:cs="Arial"/>
          <w:i/>
          <w:iCs/>
          <w:color w:val="353838"/>
          <w:sz w:val="26"/>
          <w:szCs w:val="26"/>
          <w:u w:val="single"/>
        </w:rPr>
        <w:t xml:space="preserve"> v </w:t>
      </w:r>
      <w:r w:rsidR="00FB3E1D" w:rsidRPr="00D26C4A">
        <w:rPr>
          <w:rStyle w:val="Siln"/>
          <w:rFonts w:cs="Arial"/>
          <w:i/>
          <w:iCs/>
          <w:color w:val="353838"/>
          <w:sz w:val="26"/>
          <w:szCs w:val="26"/>
          <w:u w:val="single"/>
        </w:rPr>
        <w:t>oblastech</w:t>
      </w:r>
      <w:r w:rsidRPr="00D26C4A">
        <w:rPr>
          <w:rStyle w:val="Siln"/>
          <w:rFonts w:cs="Arial"/>
          <w:i/>
          <w:iCs/>
          <w:color w:val="353838"/>
          <w:sz w:val="26"/>
          <w:szCs w:val="26"/>
          <w:u w:val="single"/>
        </w:rPr>
        <w:t xml:space="preserve"> </w:t>
      </w:r>
      <w:r w:rsidR="00E86146" w:rsidRPr="00D26C4A">
        <w:rPr>
          <w:rStyle w:val="Siln"/>
          <w:rFonts w:cs="Arial"/>
          <w:i/>
          <w:iCs/>
          <w:color w:val="353838"/>
          <w:sz w:val="26"/>
          <w:szCs w:val="26"/>
          <w:u w:val="single"/>
        </w:rPr>
        <w:t>destinačních managementů</w:t>
      </w:r>
      <w:r w:rsidR="009B7E3F" w:rsidRPr="00D26C4A">
        <w:rPr>
          <w:rStyle w:val="Zdraznn"/>
          <w:rFonts w:cs="Arial"/>
          <w:b/>
          <w:color w:val="353838"/>
          <w:sz w:val="26"/>
          <w:szCs w:val="26"/>
          <w:u w:val="single"/>
        </w:rPr>
        <w:t xml:space="preserve"> </w:t>
      </w:r>
      <w:r w:rsidR="009B7E3F" w:rsidRPr="00D26C4A">
        <w:rPr>
          <w:rStyle w:val="Siln"/>
          <w:rFonts w:cs="Arial"/>
          <w:i/>
          <w:iCs/>
          <w:color w:val="353838"/>
          <w:sz w:val="26"/>
          <w:szCs w:val="26"/>
          <w:u w:val="single"/>
        </w:rPr>
        <w:t>podle zemí</w:t>
      </w:r>
    </w:p>
    <w:p w:rsidR="009B7E3F" w:rsidRDefault="009B7E3F" w:rsidP="00222387">
      <w:pPr>
        <w:pStyle w:val="Nadpis2"/>
      </w:pPr>
      <w:bookmarkStart w:id="0" w:name="_GoBack"/>
      <w:bookmarkEnd w:id="0"/>
    </w:p>
    <w:p w:rsidR="003770A0" w:rsidRDefault="003770A0" w:rsidP="00222387">
      <w:pPr>
        <w:pStyle w:val="Nadpis2"/>
      </w:pPr>
      <w:r>
        <w:t>Popis datové sady:</w:t>
      </w:r>
    </w:p>
    <w:p w:rsidR="00347443" w:rsidRPr="00996C1E" w:rsidRDefault="003770A0" w:rsidP="00347443">
      <w:r w:rsidRPr="00996C1E">
        <w:t xml:space="preserve">Datová sada obsahuje </w:t>
      </w:r>
      <w:r w:rsidR="008C5208" w:rsidRPr="00996C1E">
        <w:t xml:space="preserve">časovou řadu </w:t>
      </w:r>
      <w:r w:rsidRPr="00996C1E">
        <w:t>statistick</w:t>
      </w:r>
      <w:r w:rsidR="008C5208" w:rsidRPr="00996C1E">
        <w:t>ých</w:t>
      </w:r>
      <w:r w:rsidRPr="00996C1E">
        <w:t xml:space="preserve"> údaj</w:t>
      </w:r>
      <w:r w:rsidR="008C5208" w:rsidRPr="00996C1E">
        <w:t>ů</w:t>
      </w:r>
      <w:r w:rsidRPr="00996C1E">
        <w:t xml:space="preserve"> o počt</w:t>
      </w:r>
      <w:r w:rsidR="00E13299" w:rsidRPr="00996C1E">
        <w:t xml:space="preserve">ech </w:t>
      </w:r>
      <w:r w:rsidR="001907F2">
        <w:t xml:space="preserve">příjezdů </w:t>
      </w:r>
      <w:r w:rsidR="00DA59DF" w:rsidRPr="00996C1E">
        <w:t>turistů</w:t>
      </w:r>
      <w:r w:rsidR="00FC5CA4" w:rsidRPr="00996C1E">
        <w:t>,</w:t>
      </w:r>
      <w:r w:rsidR="00E13299" w:rsidRPr="00996C1E">
        <w:t xml:space="preserve"> </w:t>
      </w:r>
      <w:r w:rsidR="00500DDD" w:rsidRPr="00996C1E">
        <w:t xml:space="preserve">počtu </w:t>
      </w:r>
      <w:r w:rsidR="00E13299" w:rsidRPr="00996C1E">
        <w:t xml:space="preserve">přenocování </w:t>
      </w:r>
      <w:r w:rsidR="00DA59DF" w:rsidRPr="00996C1E">
        <w:t>turistů</w:t>
      </w:r>
      <w:r w:rsidR="009A3A0B">
        <w:t xml:space="preserve"> a </w:t>
      </w:r>
      <w:r w:rsidR="00FC5CA4" w:rsidRPr="00996C1E">
        <w:t xml:space="preserve">průměrném počtu </w:t>
      </w:r>
      <w:r w:rsidR="00CC2E3F" w:rsidRPr="00996C1E">
        <w:t>přenocování</w:t>
      </w:r>
      <w:r w:rsidR="00DA59DF" w:rsidRPr="00996C1E">
        <w:t xml:space="preserve"> </w:t>
      </w:r>
      <w:r w:rsidR="00E13299" w:rsidRPr="00996C1E">
        <w:t>v hromadných ubytovacích zařízeních v České republice</w:t>
      </w:r>
      <w:r w:rsidR="00FC5CA4" w:rsidRPr="00996C1E">
        <w:t xml:space="preserve"> podle země trvalého pobytu turisty.</w:t>
      </w:r>
      <w:r w:rsidR="00CC2E3F" w:rsidRPr="00996C1E">
        <w:t xml:space="preserve"> </w:t>
      </w:r>
      <w:r w:rsidR="008E54F2" w:rsidRPr="00996C1E">
        <w:t>Údaje jsou agregovány</w:t>
      </w:r>
      <w:r w:rsidR="00CC2E3F" w:rsidRPr="00996C1E">
        <w:t xml:space="preserve"> za </w:t>
      </w:r>
      <w:r w:rsidR="00DA345A" w:rsidRPr="00996C1E">
        <w:t>jednotlivé turistické oblasti DMO (organizace destinač</w:t>
      </w:r>
      <w:r w:rsidR="00763DAE" w:rsidRPr="00996C1E">
        <w:t xml:space="preserve">ního managementu) </w:t>
      </w:r>
      <w:r w:rsidR="0039522C" w:rsidRPr="00996C1E">
        <w:t>po</w:t>
      </w:r>
      <w:r w:rsidR="00E840F9" w:rsidRPr="00996C1E">
        <w:t>dle typu</w:t>
      </w:r>
      <w:r w:rsidR="00DA345A" w:rsidRPr="00996C1E">
        <w:t xml:space="preserve"> (členěné do více krajů, nečleněné).</w:t>
      </w:r>
      <w:r w:rsidR="008C5208" w:rsidRPr="00996C1E">
        <w:t xml:space="preserve"> </w:t>
      </w:r>
      <w:r w:rsidR="009A3A0B">
        <w:t>Datová sada je </w:t>
      </w:r>
      <w:r w:rsidR="00DA345A" w:rsidRPr="00996C1E">
        <w:t>zveřejňována</w:t>
      </w:r>
      <w:r w:rsidR="008C5208" w:rsidRPr="00996C1E">
        <w:t xml:space="preserve"> </w:t>
      </w:r>
      <w:r w:rsidR="00CC2E3F" w:rsidRPr="00996C1E">
        <w:t xml:space="preserve">čtvrtletně </w:t>
      </w:r>
      <w:r w:rsidR="00DA345A" w:rsidRPr="00996C1E">
        <w:t>a obsahuje data za jednotlivá čtvrtletí v časové řadě od roku 2020</w:t>
      </w:r>
      <w:r w:rsidR="00753BEE" w:rsidRPr="00996C1E">
        <w:t>.</w:t>
      </w:r>
      <w:r w:rsidR="00CC2E3F" w:rsidRPr="00996C1E">
        <w:t xml:space="preserve"> </w:t>
      </w:r>
      <w:r w:rsidR="008E54F2" w:rsidRPr="00996C1E">
        <w:t xml:space="preserve"> </w:t>
      </w:r>
    </w:p>
    <w:p w:rsidR="005B027B" w:rsidRPr="00996C1E" w:rsidRDefault="005B027B" w:rsidP="00347443">
      <w:pPr>
        <w:rPr>
          <w:i/>
        </w:rPr>
      </w:pPr>
      <w:r w:rsidRPr="00996C1E">
        <w:rPr>
          <w:i/>
        </w:rPr>
        <w:t>Metodick</w:t>
      </w:r>
      <w:r w:rsidR="00573AFB" w:rsidRPr="00996C1E">
        <w:rPr>
          <w:i/>
        </w:rPr>
        <w:t>é</w:t>
      </w:r>
      <w:r w:rsidRPr="00996C1E">
        <w:rPr>
          <w:i/>
        </w:rPr>
        <w:t xml:space="preserve"> poznámk</w:t>
      </w:r>
      <w:r w:rsidR="00573AFB" w:rsidRPr="00996C1E">
        <w:rPr>
          <w:i/>
        </w:rPr>
        <w:t>y</w:t>
      </w:r>
    </w:p>
    <w:p w:rsidR="00573AFB" w:rsidRPr="00996C1E" w:rsidRDefault="00573AFB" w:rsidP="00573AFB">
      <w:pPr>
        <w:spacing w:after="0" w:line="240" w:lineRule="auto"/>
        <w:jc w:val="left"/>
      </w:pPr>
      <w:r w:rsidRPr="00996C1E">
        <w:rPr>
          <w:b/>
        </w:rPr>
        <w:t>Hromadné ubytovací zařízení</w:t>
      </w:r>
      <w:r w:rsidRPr="00996C1E">
        <w:t xml:space="preserve"> – zařízení s minimálně pěti pokoji a zároveň deseti lůžky sloužící pro účely cestovního ruchu, tj. poskytující přechodné ubytování hostům (včetně dětí) za účelem dovolené, zájezdu, lázeňské péče, služební cesty, školení, kursu, kongresu, s</w:t>
      </w:r>
      <w:r w:rsidR="009A3A0B">
        <w:t>ymposia, pobytu dětí ve škole v </w:t>
      </w:r>
      <w:r w:rsidRPr="00996C1E">
        <w:t xml:space="preserve">přírodě, v letních a zimních táborech apod. </w:t>
      </w:r>
    </w:p>
    <w:p w:rsidR="00573AFB" w:rsidRPr="00996C1E" w:rsidRDefault="00573AFB" w:rsidP="00573AFB">
      <w:pPr>
        <w:spacing w:after="0" w:line="240" w:lineRule="auto"/>
        <w:jc w:val="left"/>
      </w:pPr>
    </w:p>
    <w:p w:rsidR="00573AFB" w:rsidRPr="00996C1E" w:rsidRDefault="00573AFB" w:rsidP="00757006">
      <w:pPr>
        <w:spacing w:after="0" w:line="240" w:lineRule="auto"/>
      </w:pPr>
      <w:r w:rsidRPr="00996C1E">
        <w:rPr>
          <w:b/>
        </w:rPr>
        <w:t xml:space="preserve">Počet </w:t>
      </w:r>
      <w:r w:rsidR="00757006" w:rsidRPr="00996C1E">
        <w:rPr>
          <w:b/>
        </w:rPr>
        <w:t>turistů (</w:t>
      </w:r>
      <w:r w:rsidRPr="00996C1E">
        <w:rPr>
          <w:b/>
        </w:rPr>
        <w:t>hostů</w:t>
      </w:r>
      <w:r w:rsidR="00757006" w:rsidRPr="00996C1E">
        <w:rPr>
          <w:b/>
        </w:rPr>
        <w:t>)</w:t>
      </w:r>
      <w:r w:rsidRPr="00996C1E">
        <w:t xml:space="preserve"> – host v ubytovacím zařízení je každá osoba (nezahrnuje se personál a majitelé ubytovacího zařízení, kteří v ubytovacím zařízení bydlí), která použila služeb zařízení k přechodnému ubytování včetně dětí. Host může použít služeb ubytovacího zařízení z důvodu dovolené, zájezdu, lázeňské péče, služební cesty, školení, kursu, kongresu, symposia, pobyt</w:t>
      </w:r>
      <w:r w:rsidR="007D3B6F">
        <w:t>u dětí ve škole v přírodě, v </w:t>
      </w:r>
      <w:r w:rsidRPr="00996C1E">
        <w:t xml:space="preserve">letních a zimních táborech. V rekreačních zařízeních a školicích střediscích podniku (odborových svazu) se hostem rozumí každá osoba, která použila zařízení k přechodnému ubytování z výše vyjmenovaných důvodu, ať se jedná o vlastní zaměstnance podniku (např. členy odborových svazů), jejich rodinné příslušníky nebo osoby k podnikům cizí. Mezi hosty se nezapočítávají osoby, které využívají služeb ubytovacího zařízení k přechodnému ubytování za účelem zaměstnání, či řádného studia (pokud doba jeho trvání překročí 1 rok). </w:t>
      </w:r>
    </w:p>
    <w:p w:rsidR="00E13299" w:rsidRPr="00996C1E" w:rsidRDefault="00573AFB" w:rsidP="00573AFB">
      <w:pPr>
        <w:spacing w:before="100" w:beforeAutospacing="1" w:after="100" w:afterAutospacing="1" w:line="240" w:lineRule="auto"/>
      </w:pPr>
      <w:r w:rsidRPr="00996C1E">
        <w:rPr>
          <w:b/>
        </w:rPr>
        <w:t>Počet přenocování</w:t>
      </w:r>
      <w:r w:rsidRPr="00996C1E">
        <w:t xml:space="preserve"> – celkový počet přenocování (strávených nocí) hostů ubytovaných v ubytovacích zařízeních ve sledovaném období.</w:t>
      </w:r>
      <w:r w:rsidR="00757006" w:rsidRPr="00996C1E">
        <w:t xml:space="preserve"> </w:t>
      </w:r>
      <w:r w:rsidR="00E13299" w:rsidRPr="00996C1E">
        <w:t xml:space="preserve">Údaje o návštěvnosti v hromadných ubytovacích zařízeních vycházejí z pravidelného šetření organizovaného ČSÚ. Do roku 2002 (včetně) byla hromadná ubytovací zařízení do šetření zahrnována na základě náhodného 30-ti % výběru z Registru ubytovacích zařízení. Byla stanovena měsíční </w:t>
      </w:r>
      <w:proofErr w:type="spellStart"/>
      <w:r w:rsidR="00E13299" w:rsidRPr="00996C1E">
        <w:t>výkaznická</w:t>
      </w:r>
      <w:proofErr w:type="spellEnd"/>
      <w:r w:rsidR="00E13299" w:rsidRPr="00996C1E">
        <w:t xml:space="preserve"> povinnost pro respondenty a výsledky byly zveřejňovány čtvrtletně. Od roku 2003 jsou do šetření zahrnuta všechna hromadná ubytovací zařízení plošně. Šetření je rozděleno na měsíční šetření, do kterého jsou zahrnuty vybrané jednotky, a čtvrtletní šetření obsahující zbylá hromadná ubytovací zařízení. Údaje o návštěvnosti jsou souhrnem zpracovaných dat za předložené dotazníky a za statisticky dopočtená data ubytovacích zařízení, od kterých nebyl vyplněný dotazník získán.</w:t>
      </w:r>
    </w:p>
    <w:p w:rsidR="00116DCD" w:rsidRPr="00996C1E" w:rsidRDefault="00116DCD" w:rsidP="00222387">
      <w:r w:rsidRPr="00996C1E">
        <w:rPr>
          <w:b/>
        </w:rPr>
        <w:t>Průměrný počet přenocování</w:t>
      </w:r>
      <w:r w:rsidRPr="00996C1E">
        <w:t xml:space="preserve"> – lze vypočítat jako podíl počtu přenocování a počtu hostů.</w:t>
      </w:r>
    </w:p>
    <w:p w:rsidR="00DA6C54" w:rsidRPr="00996C1E" w:rsidRDefault="00DA6C54" w:rsidP="00222387">
      <w:r w:rsidRPr="00996C1E">
        <w:rPr>
          <w:b/>
        </w:rPr>
        <w:t xml:space="preserve">DMO </w:t>
      </w:r>
      <w:r w:rsidR="00E840F9" w:rsidRPr="00996C1E">
        <w:t>–</w:t>
      </w:r>
      <w:r w:rsidRPr="00996C1E">
        <w:t xml:space="preserve"> </w:t>
      </w:r>
      <w:r w:rsidR="00E840F9" w:rsidRPr="00996C1E">
        <w:t>organizace destinačního managementu</w:t>
      </w:r>
    </w:p>
    <w:p w:rsidR="00996C1E" w:rsidRPr="00996C1E" w:rsidRDefault="00EA4B8E" w:rsidP="00222387">
      <w:hyperlink r:id="rId5" w:history="1">
        <w:r w:rsidR="00996C1E" w:rsidRPr="00996C1E">
          <w:rPr>
            <w:rStyle w:val="Hypertextovodkaz"/>
          </w:rPr>
          <w:t>Destinační management · #</w:t>
        </w:r>
        <w:proofErr w:type="spellStart"/>
        <w:r w:rsidR="00996C1E" w:rsidRPr="00996C1E">
          <w:rPr>
            <w:rStyle w:val="Hypertextovodkaz"/>
          </w:rPr>
          <w:t>CzechTourism</w:t>
        </w:r>
        <w:proofErr w:type="spellEnd"/>
      </w:hyperlink>
    </w:p>
    <w:p w:rsidR="00D127CC" w:rsidRPr="00996C1E" w:rsidRDefault="00D127CC" w:rsidP="00222387">
      <w:pPr>
        <w:rPr>
          <w:b/>
          <w:bCs/>
        </w:rPr>
      </w:pPr>
      <w:r w:rsidRPr="00996C1E">
        <w:rPr>
          <w:b/>
          <w:bCs/>
        </w:rPr>
        <w:t>Zpětné opravy a revize</w:t>
      </w:r>
    </w:p>
    <w:p w:rsidR="00573AFB" w:rsidRPr="00996C1E" w:rsidRDefault="00D127CC" w:rsidP="006668E7">
      <w:pPr>
        <w:keepNext/>
        <w:rPr>
          <w:b/>
          <w:bCs/>
        </w:rPr>
      </w:pPr>
      <w:r w:rsidRPr="00996C1E">
        <w:t>Pravidelná revize dat probíhá u údajů o návštěvnosti v hromadných ubytovacích zařízeních z důvodu dodatečně získaných dotazníků došlých po řádném termínu. Předběžné údaje mohou být v dalším období v průběhu zpracování daného roku revidovány. Definitivní údaje jsou k dispozici až po zpracování výsledků za celý rok (všech měsíců sled</w:t>
      </w:r>
      <w:r w:rsidR="00E273C4" w:rsidRPr="00996C1E">
        <w:t>ovaného roku) zpravidla v květnu</w:t>
      </w:r>
      <w:r w:rsidRPr="00996C1E">
        <w:t xml:space="preserve"> následujícího roku.</w:t>
      </w:r>
      <w:r w:rsidRPr="00996C1E">
        <w:br/>
      </w:r>
      <w:r w:rsidRPr="00996C1E">
        <w:br/>
      </w:r>
      <w:r w:rsidR="00573AFB" w:rsidRPr="00996C1E">
        <w:rPr>
          <w:b/>
          <w:bCs/>
        </w:rPr>
        <w:t>Ochrana důvěrných údajů</w:t>
      </w:r>
    </w:p>
    <w:p w:rsidR="00573AFB" w:rsidRPr="00996C1E" w:rsidRDefault="00CC2E3F" w:rsidP="00222387">
      <w:r w:rsidRPr="00996C1E">
        <w:t>U této datové sady se nepředpokládá nutnost ochrany důvěrných údajů</w:t>
      </w:r>
      <w:r w:rsidR="00573AFB" w:rsidRPr="00996C1E">
        <w:t xml:space="preserve">. </w:t>
      </w:r>
    </w:p>
    <w:p w:rsidR="00757006" w:rsidRPr="00996C1E" w:rsidRDefault="00757006" w:rsidP="00222387"/>
    <w:p w:rsidR="00573AFB" w:rsidRPr="00996C1E" w:rsidRDefault="00573AFB" w:rsidP="00573AFB">
      <w:pPr>
        <w:rPr>
          <w:i/>
        </w:rPr>
      </w:pPr>
      <w:r w:rsidRPr="00996C1E">
        <w:rPr>
          <w:i/>
        </w:rPr>
        <w:t>Metodická poznámka k</w:t>
      </w:r>
      <w:r w:rsidR="00753BEE" w:rsidRPr="00996C1E">
        <w:rPr>
          <w:i/>
        </w:rPr>
        <w:t xml:space="preserve"> agregacím </w:t>
      </w:r>
    </w:p>
    <w:p w:rsidR="00573AFB" w:rsidRPr="00996C1E" w:rsidRDefault="0013212B" w:rsidP="00222387">
      <w:r w:rsidRPr="00996C1E">
        <w:t>Úhrn údajů za rezidenty</w:t>
      </w:r>
      <w:r w:rsidR="00373740" w:rsidRPr="00996C1E">
        <w:t xml:space="preserve"> (země původu Česko)</w:t>
      </w:r>
      <w:r w:rsidRPr="00996C1E">
        <w:t xml:space="preserve"> a nerezidenty </w:t>
      </w:r>
      <w:r w:rsidR="00753BEE" w:rsidRPr="00996C1E">
        <w:t>představují</w:t>
      </w:r>
      <w:r w:rsidRPr="00996C1E">
        <w:t xml:space="preserve"> úhrny hosté (přenocování) celkem.</w:t>
      </w:r>
    </w:p>
    <w:p w:rsidR="00373740" w:rsidRDefault="00373740" w:rsidP="00222387">
      <w:r w:rsidRPr="00996C1E">
        <w:t>Úhrn údajů za všechny země a seskupení s výjimkou země původu Česko tvoří úhrn za nerezidenty.</w:t>
      </w:r>
    </w:p>
    <w:p w:rsidR="00573AFB" w:rsidRDefault="00573AFB" w:rsidP="00222387"/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4E0885">
        <w:t xml:space="preserve"> a </w:t>
      </w:r>
      <w:r w:rsidR="007D3B6F">
        <w:t>země, odkud turista přicestoval</w:t>
      </w:r>
      <w:r w:rsidR="00347443">
        <w:t>)</w:t>
      </w:r>
      <w:r>
        <w:t>, časového (</w:t>
      </w:r>
      <w:r w:rsidR="007D3B6F">
        <w:t xml:space="preserve">měsíc, </w:t>
      </w:r>
      <w:r w:rsidR="004E0885">
        <w:t>rok)</w:t>
      </w:r>
      <w:r>
        <w:t xml:space="preserve"> a územního (území</w:t>
      </w:r>
      <w:r w:rsidR="004E0885">
        <w:t>, kde sídlí ubytovací zařízení</w:t>
      </w:r>
      <w:r>
        <w:t xml:space="preserve">).  </w:t>
      </w:r>
    </w:p>
    <w:p w:rsidR="00222387" w:rsidRPr="00222387" w:rsidRDefault="00222387" w:rsidP="00222387"/>
    <w:tbl>
      <w:tblPr>
        <w:tblW w:w="9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912"/>
        <w:gridCol w:w="4650"/>
      </w:tblGrid>
      <w:tr w:rsidR="00347443" w:rsidRPr="00222387" w:rsidTr="00CE2355">
        <w:trPr>
          <w:cantSplit/>
          <w:trHeight w:val="314"/>
          <w:tblHeader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bookmarkStart w:id="1" w:name="RANGE!A1:C28"/>
            <w:r w:rsidRPr="00222387">
              <w:rPr>
                <w:lang w:eastAsia="cs-CZ"/>
              </w:rPr>
              <w:t>SLOUPEC</w:t>
            </w:r>
            <w:bookmarkEnd w:id="1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VYZNAM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POZNAMKA</w:t>
            </w: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222387" w:rsidRDefault="005B027B" w:rsidP="00222387">
            <w:pPr>
              <w:rPr>
                <w:lang w:eastAsia="cs-CZ"/>
              </w:rPr>
            </w:pPr>
            <w:proofErr w:type="spellStart"/>
            <w:r w:rsidRPr="00222387">
              <w:rPr>
                <w:lang w:eastAsia="cs-CZ"/>
              </w:rPr>
              <w:t>idhod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r w:rsidRPr="001447CB">
              <w:rPr>
                <w:lang w:eastAsia="cs-CZ"/>
              </w:rPr>
              <w:t>hodnota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zjištěná hodnota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zpravidla v numerickém formátu</w:t>
            </w:r>
            <w:r w:rsidR="008C5208">
              <w:rPr>
                <w:lang w:eastAsia="cs-CZ"/>
              </w:rPr>
              <w:t>,</w:t>
            </w:r>
          </w:p>
          <w:p w:rsidR="00D127CC" w:rsidRPr="00222387" w:rsidRDefault="00D127CC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 případě, že se jedná o důvěrný údaj, je sloupec prázdný</w:t>
            </w:r>
          </w:p>
        </w:tc>
      </w:tr>
      <w:tr w:rsidR="008E54F2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8E54F2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duvernost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E54F2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příznak důvěrnosti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8E54F2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veřejné údaje mají uveden text „</w:t>
            </w:r>
            <w:proofErr w:type="spellStart"/>
            <w:r>
              <w:rPr>
                <w:lang w:eastAsia="cs-CZ"/>
              </w:rPr>
              <w:t>verejny</w:t>
            </w:r>
            <w:proofErr w:type="spellEnd"/>
            <w:r>
              <w:rPr>
                <w:lang w:eastAsia="cs-CZ"/>
              </w:rPr>
              <w:t>“,</w:t>
            </w:r>
          </w:p>
          <w:p w:rsidR="008E54F2" w:rsidRPr="00222387" w:rsidRDefault="008E54F2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důvěrné údaje „</w:t>
            </w:r>
            <w:proofErr w:type="spellStart"/>
            <w:r>
              <w:rPr>
                <w:lang w:eastAsia="cs-CZ"/>
              </w:rPr>
              <w:t>duverny</w:t>
            </w:r>
            <w:proofErr w:type="spellEnd"/>
            <w:r>
              <w:rPr>
                <w:lang w:eastAsia="cs-CZ"/>
              </w:rPr>
              <w:t>“</w:t>
            </w: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347443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statistické proměnné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8E54F2" w:rsidP="00CE2355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statistická proměnná vyjadřuje základní věcné vymezení statistického údaje </w:t>
            </w:r>
          </w:p>
        </w:tc>
      </w:tr>
      <w:tr w:rsidR="005B027B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27B" w:rsidRPr="001447CB" w:rsidRDefault="005B027B" w:rsidP="00DA4AC8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stapro_txt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B" w:rsidRPr="00222387" w:rsidRDefault="005B027B" w:rsidP="00DA4AC8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název statistické proměnné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7B" w:rsidRPr="00222387" w:rsidRDefault="005B027B" w:rsidP="00DA4AC8">
            <w:pPr>
              <w:rPr>
                <w:lang w:eastAsia="cs-CZ"/>
              </w:rPr>
            </w:pPr>
          </w:p>
        </w:tc>
      </w:tr>
      <w:tr w:rsidR="008E54F2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8E54F2" w:rsidP="008E54F2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kat_cis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C5208" w:rsidP="008C5208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8E54F2">
              <w:rPr>
                <w:lang w:eastAsia="cs-CZ"/>
              </w:rPr>
              <w:t>číselník</w:t>
            </w:r>
            <w:r w:rsidR="00794DA2">
              <w:rPr>
                <w:lang w:eastAsia="cs-CZ"/>
              </w:rPr>
              <w:t>u</w:t>
            </w:r>
            <w:r w:rsidR="008E54F2">
              <w:rPr>
                <w:lang w:eastAsia="cs-CZ"/>
              </w:rPr>
              <w:t xml:space="preserve"> pro kategorii ubytovacího zařízení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CE2355" w:rsidP="008C5208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v datové sadě </w:t>
            </w:r>
            <w:r w:rsidR="008C5208">
              <w:rPr>
                <w:lang w:eastAsia="cs-CZ"/>
              </w:rPr>
              <w:t>použit číselník 154</w:t>
            </w:r>
          </w:p>
        </w:tc>
      </w:tr>
      <w:tr w:rsidR="008E54F2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8E54F2" w:rsidP="008E54F2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kat_kod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C5208" w:rsidP="008C5208">
            <w:pPr>
              <w:rPr>
                <w:lang w:eastAsia="cs-CZ"/>
              </w:rPr>
            </w:pPr>
            <w:r>
              <w:rPr>
                <w:lang w:eastAsia="cs-CZ"/>
              </w:rPr>
              <w:t>k</w:t>
            </w:r>
            <w:r w:rsidR="008E54F2">
              <w:rPr>
                <w:lang w:eastAsia="cs-CZ"/>
              </w:rPr>
              <w:t xml:space="preserve">ód </w:t>
            </w:r>
            <w:r w:rsidR="0009652E">
              <w:rPr>
                <w:lang w:eastAsia="cs-CZ"/>
              </w:rPr>
              <w:t xml:space="preserve">položky z číselníku </w:t>
            </w:r>
            <w:r w:rsidR="008E54F2">
              <w:rPr>
                <w:lang w:eastAsia="cs-CZ"/>
              </w:rPr>
              <w:t>kategorie ubytovacího zařízení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CE2355" w:rsidP="00CE2355">
            <w:pPr>
              <w:rPr>
                <w:lang w:eastAsia="cs-CZ"/>
              </w:rPr>
            </w:pPr>
            <w:r>
              <w:rPr>
                <w:lang w:eastAsia="cs-CZ"/>
              </w:rPr>
              <w:t>v datové sadě</w:t>
            </w:r>
            <w:r w:rsidR="008C5208">
              <w:rPr>
                <w:lang w:eastAsia="cs-CZ"/>
              </w:rPr>
              <w:t xml:space="preserve"> kód 1 (hromadná ubytovací zařízení)</w:t>
            </w:r>
          </w:p>
        </w:tc>
      </w:tr>
      <w:tr w:rsidR="008E54F2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8E54F2" w:rsidP="008E54F2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uzemiz_cis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09652E" w:rsidP="0009652E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</w:t>
            </w:r>
            <w:r w:rsidR="008E54F2">
              <w:rPr>
                <w:lang w:eastAsia="cs-CZ"/>
              </w:rPr>
              <w:t>číselník</w:t>
            </w:r>
            <w:r>
              <w:rPr>
                <w:lang w:eastAsia="cs-CZ"/>
              </w:rPr>
              <w:t>u</w:t>
            </w:r>
            <w:r w:rsidR="008E54F2">
              <w:rPr>
                <w:lang w:eastAsia="cs-CZ"/>
              </w:rPr>
              <w:t xml:space="preserve"> pro </w:t>
            </w:r>
            <w:r w:rsidR="00DA59DF">
              <w:rPr>
                <w:lang w:eastAsia="cs-CZ"/>
              </w:rPr>
              <w:t>zemi původu</w:t>
            </w:r>
            <w:r w:rsidR="008E54F2">
              <w:rPr>
                <w:lang w:eastAsia="cs-CZ"/>
              </w:rPr>
              <w:t>, odkud hosté přicestovali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13212B" w:rsidP="0013212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úhrn není vyplněno,</w:t>
            </w:r>
          </w:p>
          <w:p w:rsidR="0013212B" w:rsidRDefault="0013212B" w:rsidP="0013212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rezidenty</w:t>
            </w:r>
            <w:r w:rsidR="00CE2355">
              <w:rPr>
                <w:lang w:eastAsia="cs-CZ"/>
              </w:rPr>
              <w:t xml:space="preserve"> (Česko) </w:t>
            </w:r>
            <w:r w:rsidR="00AF4388">
              <w:rPr>
                <w:lang w:eastAsia="cs-CZ"/>
              </w:rPr>
              <w:t xml:space="preserve"> a jednotlivé země</w:t>
            </w:r>
            <w:r>
              <w:rPr>
                <w:lang w:eastAsia="cs-CZ"/>
              </w:rPr>
              <w:t xml:space="preserve"> se používá číselník 86,</w:t>
            </w:r>
          </w:p>
          <w:p w:rsidR="0013212B" w:rsidRDefault="0013212B" w:rsidP="00187B6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nerezidenty</w:t>
            </w:r>
            <w:r w:rsidR="00657651">
              <w:rPr>
                <w:lang w:eastAsia="cs-CZ"/>
              </w:rPr>
              <w:t xml:space="preserve"> a </w:t>
            </w:r>
            <w:r w:rsidR="00187B6C">
              <w:rPr>
                <w:lang w:eastAsia="cs-CZ"/>
              </w:rPr>
              <w:t xml:space="preserve">skupiny </w:t>
            </w:r>
            <w:r w:rsidR="00657651">
              <w:rPr>
                <w:lang w:eastAsia="cs-CZ"/>
              </w:rPr>
              <w:t>zemí</w:t>
            </w:r>
            <w:r>
              <w:rPr>
                <w:lang w:eastAsia="cs-CZ"/>
              </w:rPr>
              <w:t xml:space="preserve"> číselník 5898</w:t>
            </w:r>
          </w:p>
        </w:tc>
      </w:tr>
      <w:tr w:rsidR="008E54F2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1447CB" w:rsidRDefault="008E54F2" w:rsidP="008E54F2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uzemiz_kod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222387" w:rsidRDefault="008E54F2" w:rsidP="008E54F2">
            <w:pPr>
              <w:rPr>
                <w:lang w:eastAsia="cs-CZ"/>
              </w:rPr>
            </w:pPr>
            <w:r>
              <w:rPr>
                <w:lang w:eastAsia="cs-CZ"/>
              </w:rPr>
              <w:t>kód země</w:t>
            </w:r>
            <w:r w:rsidR="00DA59DF">
              <w:rPr>
                <w:lang w:eastAsia="cs-CZ"/>
              </w:rPr>
              <w:t xml:space="preserve"> původu</w:t>
            </w:r>
            <w:r>
              <w:rPr>
                <w:lang w:eastAsia="cs-CZ"/>
              </w:rPr>
              <w:t>, ze které hosté přicestovali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13212B" w:rsidP="0013212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úhrn není vyplněno,</w:t>
            </w:r>
          </w:p>
          <w:p w:rsidR="008E54F2" w:rsidRDefault="008E54F2" w:rsidP="002F48F1">
            <w:pPr>
              <w:spacing w:after="0"/>
              <w:rPr>
                <w:lang w:eastAsia="cs-CZ"/>
              </w:rPr>
            </w:pPr>
          </w:p>
        </w:tc>
      </w:tr>
      <w:tr w:rsidR="00C37520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520" w:rsidRPr="001447CB" w:rsidRDefault="00C37520" w:rsidP="00222387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uzemiz_txt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520" w:rsidRPr="00222387" w:rsidRDefault="00C37520" w:rsidP="00CE2355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zem</w:t>
            </w:r>
            <w:r w:rsidR="00CE2355">
              <w:rPr>
                <w:lang w:eastAsia="cs-CZ"/>
              </w:rPr>
              <w:t>ě, odkud hosté přicestovali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355" w:rsidRDefault="00CE2355" w:rsidP="00CE2355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pro úhrn není vyplněno,</w:t>
            </w:r>
          </w:p>
          <w:p w:rsidR="00C37520" w:rsidRDefault="00C37520" w:rsidP="0013212B">
            <w:pPr>
              <w:rPr>
                <w:lang w:eastAsia="cs-CZ"/>
              </w:rPr>
            </w:pPr>
            <w:r>
              <w:rPr>
                <w:lang w:eastAsia="cs-CZ"/>
              </w:rPr>
              <w:t>název země původu turisty</w:t>
            </w: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09652E" w:rsidP="0009652E">
            <w:pPr>
              <w:rPr>
                <w:lang w:eastAsia="cs-CZ"/>
              </w:rPr>
            </w:pPr>
            <w:r>
              <w:rPr>
                <w:lang w:eastAsia="cs-CZ"/>
              </w:rPr>
              <w:t>r</w:t>
            </w:r>
            <w:r w:rsidR="005B027B" w:rsidRPr="001447CB">
              <w:rPr>
                <w:lang w:eastAsia="cs-CZ"/>
              </w:rPr>
              <w:t>ok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187B6C" w:rsidP="00187B6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rok </w:t>
            </w:r>
            <w:r w:rsidR="00222387" w:rsidRPr="00222387">
              <w:rPr>
                <w:lang w:eastAsia="cs-CZ"/>
              </w:rPr>
              <w:t>referenční</w:t>
            </w:r>
            <w:r>
              <w:rPr>
                <w:lang w:eastAsia="cs-CZ"/>
              </w:rPr>
              <w:t>ho</w:t>
            </w:r>
            <w:r w:rsidR="00222387" w:rsidRPr="00222387">
              <w:rPr>
                <w:lang w:eastAsia="cs-CZ"/>
              </w:rPr>
              <w:t xml:space="preserve"> období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161AC3" w:rsidP="0013212B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rok, </w:t>
            </w:r>
            <w:r w:rsidR="0013212B">
              <w:rPr>
                <w:lang w:eastAsia="cs-CZ"/>
              </w:rPr>
              <w:t>za který</w:t>
            </w:r>
            <w:r>
              <w:rPr>
                <w:lang w:eastAsia="cs-CZ"/>
              </w:rPr>
              <w:t xml:space="preserve"> </w:t>
            </w:r>
            <w:r w:rsidR="0013212B">
              <w:rPr>
                <w:lang w:eastAsia="cs-CZ"/>
              </w:rPr>
              <w:t>se návštěvnost šetřila</w:t>
            </w:r>
          </w:p>
        </w:tc>
      </w:tr>
      <w:tr w:rsidR="001F70B8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0B8" w:rsidRPr="001447CB" w:rsidRDefault="00442718" w:rsidP="007A7E78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kvartal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B8" w:rsidRPr="00222387" w:rsidRDefault="00442718" w:rsidP="00187B6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čtvrtletí </w:t>
            </w:r>
            <w:r w:rsidR="001F70B8">
              <w:rPr>
                <w:lang w:eastAsia="cs-CZ"/>
              </w:rPr>
              <w:t>referenční</w:t>
            </w:r>
            <w:r w:rsidR="00187B6C">
              <w:rPr>
                <w:lang w:eastAsia="cs-CZ"/>
              </w:rPr>
              <w:t>ho</w:t>
            </w:r>
            <w:r w:rsidR="001F70B8">
              <w:rPr>
                <w:lang w:eastAsia="cs-CZ"/>
              </w:rPr>
              <w:t xml:space="preserve"> období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B8" w:rsidRDefault="00442718" w:rsidP="00442718">
            <w:pPr>
              <w:rPr>
                <w:lang w:eastAsia="cs-CZ"/>
              </w:rPr>
            </w:pPr>
            <w:r>
              <w:rPr>
                <w:lang w:eastAsia="cs-CZ"/>
              </w:rPr>
              <w:t>čtvrtletí</w:t>
            </w:r>
            <w:r w:rsidR="001F70B8">
              <w:rPr>
                <w:lang w:eastAsia="cs-CZ"/>
              </w:rPr>
              <w:t xml:space="preserve">, za </w:t>
            </w:r>
            <w:r>
              <w:rPr>
                <w:lang w:eastAsia="cs-CZ"/>
              </w:rPr>
              <w:t xml:space="preserve">které </w:t>
            </w:r>
            <w:r w:rsidR="001F70B8">
              <w:rPr>
                <w:lang w:eastAsia="cs-CZ"/>
              </w:rPr>
              <w:t>se návštěvnost šetřila</w:t>
            </w: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347443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Default="00222387" w:rsidP="007E3C0B">
            <w:pPr>
              <w:spacing w:after="0"/>
              <w:rPr>
                <w:lang w:eastAsia="cs-CZ"/>
              </w:rPr>
            </w:pPr>
            <w:r w:rsidRPr="00222387">
              <w:rPr>
                <w:lang w:eastAsia="cs-CZ"/>
              </w:rPr>
              <w:t>číselník odpovídá typ</w:t>
            </w:r>
            <w:r w:rsidR="007E3C0B">
              <w:rPr>
                <w:lang w:eastAsia="cs-CZ"/>
              </w:rPr>
              <w:t>ologii úze</w:t>
            </w:r>
            <w:r w:rsidRPr="00222387">
              <w:rPr>
                <w:lang w:eastAsia="cs-CZ"/>
              </w:rPr>
              <w:t>mí</w:t>
            </w:r>
            <w:r w:rsidR="0013212B">
              <w:rPr>
                <w:lang w:eastAsia="cs-CZ"/>
              </w:rPr>
              <w:t>,</w:t>
            </w:r>
          </w:p>
          <w:p w:rsidR="0013212B" w:rsidRDefault="003C6D65" w:rsidP="007E3C0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stát (</w:t>
            </w:r>
            <w:r w:rsidR="0013212B">
              <w:rPr>
                <w:lang w:eastAsia="cs-CZ"/>
              </w:rPr>
              <w:t>Česká republika</w:t>
            </w:r>
            <w:r>
              <w:rPr>
                <w:lang w:eastAsia="cs-CZ"/>
              </w:rPr>
              <w:t>)</w:t>
            </w:r>
            <w:r w:rsidR="0013212B">
              <w:rPr>
                <w:lang w:eastAsia="cs-CZ"/>
              </w:rPr>
              <w:t xml:space="preserve"> má kód 97,</w:t>
            </w:r>
          </w:p>
          <w:p w:rsidR="00222387" w:rsidRPr="00222387" w:rsidRDefault="001F70B8" w:rsidP="007E3C0B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kraje kód 100</w:t>
            </w: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58334C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kód položky číselníku pro referenční území</w:t>
            </w:r>
            <w:r w:rsidR="0058334C">
              <w:rPr>
                <w:lang w:eastAsia="cs-CZ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Default="007E3C0B" w:rsidP="003469AC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kód území</w:t>
            </w:r>
            <w:r w:rsidR="00200786">
              <w:rPr>
                <w:lang w:eastAsia="cs-CZ"/>
              </w:rPr>
              <w:t xml:space="preserve"> (sídlo </w:t>
            </w:r>
            <w:r w:rsidR="0009652E">
              <w:rPr>
                <w:lang w:eastAsia="cs-CZ"/>
              </w:rPr>
              <w:t>ubytovací</w:t>
            </w:r>
            <w:r w:rsidR="00200786">
              <w:rPr>
                <w:lang w:eastAsia="cs-CZ"/>
              </w:rPr>
              <w:t>ho</w:t>
            </w:r>
            <w:r w:rsidR="0009652E">
              <w:rPr>
                <w:lang w:eastAsia="cs-CZ"/>
              </w:rPr>
              <w:t xml:space="preserve"> zařízení</w:t>
            </w:r>
            <w:r w:rsidR="00200786">
              <w:rPr>
                <w:lang w:eastAsia="cs-CZ"/>
              </w:rPr>
              <w:t>)</w:t>
            </w:r>
          </w:p>
          <w:p w:rsidR="003469AC" w:rsidRPr="00222387" w:rsidRDefault="003469AC" w:rsidP="003469AC">
            <w:pPr>
              <w:spacing w:after="0"/>
              <w:rPr>
                <w:lang w:eastAsia="cs-CZ"/>
              </w:rPr>
            </w:pPr>
          </w:p>
        </w:tc>
      </w:tr>
      <w:tr w:rsidR="00347443" w:rsidRPr="00222387" w:rsidTr="00CE2355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1447CB" w:rsidRDefault="005B027B" w:rsidP="00222387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uzemi_txt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222387" w:rsidP="00222387">
            <w:pPr>
              <w:rPr>
                <w:lang w:eastAsia="cs-CZ"/>
              </w:rPr>
            </w:pPr>
            <w:r w:rsidRPr="0022238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222387" w:rsidRDefault="003A0180" w:rsidP="00200786">
            <w:pPr>
              <w:rPr>
                <w:lang w:eastAsia="cs-CZ"/>
              </w:rPr>
            </w:pPr>
            <w:r>
              <w:rPr>
                <w:lang w:eastAsia="cs-CZ"/>
              </w:rPr>
              <w:t>název území</w:t>
            </w:r>
            <w:r w:rsidR="00200786">
              <w:rPr>
                <w:lang w:eastAsia="cs-CZ"/>
              </w:rPr>
              <w:t xml:space="preserve"> (sídlo ubytovacího zařízení)</w:t>
            </w:r>
          </w:p>
        </w:tc>
      </w:tr>
      <w:tr w:rsidR="005F6D8B" w:rsidRPr="00222387" w:rsidTr="005F6D8B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D8B" w:rsidRPr="001447CB" w:rsidRDefault="005F6D8B" w:rsidP="005F6D8B">
            <w:pPr>
              <w:rPr>
                <w:lang w:eastAsia="cs-CZ"/>
              </w:rPr>
            </w:pPr>
            <w:proofErr w:type="spellStart"/>
            <w:r w:rsidRPr="001447CB">
              <w:rPr>
                <w:lang w:eastAsia="cs-CZ"/>
              </w:rPr>
              <w:t>uzemi_t</w:t>
            </w:r>
            <w:r>
              <w:rPr>
                <w:lang w:eastAsia="cs-CZ"/>
              </w:rPr>
              <w:t>yp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B" w:rsidRPr="00222387" w:rsidRDefault="005F6D8B" w:rsidP="00882EB4">
            <w:pPr>
              <w:rPr>
                <w:lang w:eastAsia="cs-CZ"/>
              </w:rPr>
            </w:pPr>
            <w:r>
              <w:rPr>
                <w:lang w:eastAsia="cs-CZ"/>
              </w:rPr>
              <w:t>typ území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D8B" w:rsidRPr="00222387" w:rsidRDefault="005F6D8B" w:rsidP="00882EB4">
            <w:pPr>
              <w:rPr>
                <w:lang w:eastAsia="cs-CZ"/>
              </w:rPr>
            </w:pPr>
          </w:p>
        </w:tc>
      </w:tr>
    </w:tbl>
    <w:p w:rsidR="003770A0" w:rsidRDefault="003770A0" w:rsidP="00222387">
      <w:pPr>
        <w:pStyle w:val="Nadpis2"/>
      </w:pPr>
    </w:p>
    <w:p w:rsidR="00222387" w:rsidRPr="00222387" w:rsidRDefault="00222387" w:rsidP="00222387"/>
    <w:p w:rsidR="00717972" w:rsidRDefault="003770A0" w:rsidP="00087929">
      <w:pPr>
        <w:pStyle w:val="Nadpis2"/>
      </w:pPr>
      <w:r>
        <w:t>Použité číselníky a referenční údaje:</w:t>
      </w:r>
    </w:p>
    <w:p w:rsidR="00717972" w:rsidRPr="00717972" w:rsidRDefault="00717972" w:rsidP="005F6D8B">
      <w:pPr>
        <w:keepNext/>
      </w:pPr>
      <w:r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3770A0" w:rsidRDefault="00717972" w:rsidP="005A3F35">
      <w:pPr>
        <w:keepNext/>
      </w:pPr>
      <w:r>
        <w:t>V datové sadě jsou použity:</w:t>
      </w:r>
    </w:p>
    <w:p w:rsidR="00717972" w:rsidRDefault="00717972" w:rsidP="005A3F35">
      <w:pPr>
        <w:keepNext/>
      </w:pPr>
      <w:r w:rsidRPr="00EC14FF">
        <w:rPr>
          <w:b/>
        </w:rPr>
        <w:t>Seznam statistických proměnných</w:t>
      </w:r>
      <w:r>
        <w:t xml:space="preserve"> - </w:t>
      </w:r>
      <w:hyperlink r:id="rId6" w:history="1">
        <w:r w:rsidRPr="001F5AC0">
          <w:rPr>
            <w:rStyle w:val="Hypertextovodkaz"/>
          </w:rPr>
          <w:t>https://www.czso.cz/csu/czso/statisticke-promenne-ukazatele</w:t>
        </w:r>
      </w:hyperlink>
    </w:p>
    <w:tbl>
      <w:tblPr>
        <w:tblW w:w="866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7702"/>
      </w:tblGrid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087929" w:rsidRDefault="00DA59DF" w:rsidP="00DA59D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proofErr w:type="spellStart"/>
            <w:r w:rsidRPr="00087929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stapro_kod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F133B7" w:rsidP="00F133B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stapro_txt</w:t>
            </w:r>
            <w:proofErr w:type="spellEnd"/>
          </w:p>
        </w:tc>
      </w:tr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070FB5" w:rsidP="003C6D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  <w:r w:rsidR="003C6D65">
              <w:rPr>
                <w:rFonts w:eastAsia="Times New Roman" w:cs="Arial"/>
                <w:color w:val="000000"/>
                <w:szCs w:val="20"/>
                <w:lang w:eastAsia="cs-CZ"/>
              </w:rPr>
              <w:t>654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070FB5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070FB5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Počet </w:t>
            </w:r>
            <w:r w:rsidR="003C6D65">
              <w:rPr>
                <w:rFonts w:eastAsia="Times New Roman" w:cs="Arial"/>
                <w:color w:val="000000"/>
                <w:szCs w:val="20"/>
                <w:lang w:eastAsia="cs-CZ"/>
              </w:rPr>
              <w:t>hostů (turistů)</w:t>
            </w:r>
          </w:p>
        </w:tc>
      </w:tr>
      <w:tr w:rsidR="00070FB5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  <w:hideMark/>
          </w:tcPr>
          <w:p w:rsidR="00070FB5" w:rsidRPr="00EC14FF" w:rsidRDefault="00070FB5" w:rsidP="003C6D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  <w:r w:rsidR="003C6D65">
              <w:rPr>
                <w:rFonts w:eastAsia="Times New Roman" w:cs="Arial"/>
                <w:color w:val="000000"/>
                <w:szCs w:val="20"/>
                <w:lang w:eastAsia="cs-CZ"/>
              </w:rPr>
              <w:t>655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EC14FF" w:rsidRDefault="00070FB5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070FB5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Počet </w:t>
            </w:r>
            <w:r w:rsidR="003C6D65">
              <w:rPr>
                <w:rFonts w:eastAsia="Times New Roman" w:cs="Arial"/>
                <w:color w:val="000000"/>
                <w:szCs w:val="20"/>
                <w:lang w:eastAsia="cs-CZ"/>
              </w:rPr>
              <w:t>přenocování hostů (turistů)</w:t>
            </w:r>
          </w:p>
        </w:tc>
      </w:tr>
      <w:tr w:rsidR="00200786" w:rsidRPr="00EC14FF" w:rsidTr="00070FB5">
        <w:trPr>
          <w:trHeight w:val="300"/>
        </w:trPr>
        <w:tc>
          <w:tcPr>
            <w:tcW w:w="960" w:type="dxa"/>
            <w:shd w:val="clear" w:color="auto" w:fill="auto"/>
            <w:noWrap/>
          </w:tcPr>
          <w:p w:rsidR="00200786" w:rsidRDefault="00200786" w:rsidP="003C6D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5443</w:t>
            </w:r>
          </w:p>
        </w:tc>
        <w:tc>
          <w:tcPr>
            <w:tcW w:w="7702" w:type="dxa"/>
            <w:shd w:val="clear" w:color="auto" w:fill="auto"/>
            <w:noWrap/>
          </w:tcPr>
          <w:p w:rsidR="00200786" w:rsidRPr="00070FB5" w:rsidRDefault="00200786" w:rsidP="003C6D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Průměrný počet přenocování (turistů)</w:t>
            </w:r>
          </w:p>
        </w:tc>
      </w:tr>
    </w:tbl>
    <w:p w:rsidR="005B027B" w:rsidRDefault="005B027B" w:rsidP="00EC14FF"/>
    <w:p w:rsidR="00200786" w:rsidRDefault="00DA59DF" w:rsidP="00EC14FF">
      <w:pPr>
        <w:rPr>
          <w:b/>
        </w:rPr>
      </w:pPr>
      <w:r w:rsidRPr="00DA59DF">
        <w:rPr>
          <w:b/>
        </w:rPr>
        <w:t>Kategorie ubytovacího zařízení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992"/>
        <w:gridCol w:w="6807"/>
      </w:tblGrid>
      <w:tr w:rsidR="00DA59DF" w:rsidRPr="00087929" w:rsidTr="00087929">
        <w:trPr>
          <w:trHeight w:val="300"/>
        </w:trPr>
        <w:tc>
          <w:tcPr>
            <w:tcW w:w="1358" w:type="dxa"/>
            <w:shd w:val="clear" w:color="auto" w:fill="auto"/>
            <w:noWrap/>
            <w:hideMark/>
          </w:tcPr>
          <w:p w:rsidR="00DA59DF" w:rsidRPr="00087929" w:rsidRDefault="00DA59DF" w:rsidP="0008792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proofErr w:type="spellStart"/>
            <w:r w:rsidRPr="00087929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kat_cis</w:t>
            </w:r>
            <w:proofErr w:type="spellEnd"/>
          </w:p>
        </w:tc>
        <w:tc>
          <w:tcPr>
            <w:tcW w:w="992" w:type="dxa"/>
          </w:tcPr>
          <w:p w:rsidR="00DA59DF" w:rsidRPr="00087929" w:rsidRDefault="00DA59DF" w:rsidP="0008792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proofErr w:type="spellStart"/>
            <w:r w:rsidRPr="00087929"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kat_kod</w:t>
            </w:r>
            <w:proofErr w:type="spellEnd"/>
          </w:p>
        </w:tc>
        <w:tc>
          <w:tcPr>
            <w:tcW w:w="6807" w:type="dxa"/>
            <w:shd w:val="clear" w:color="auto" w:fill="auto"/>
            <w:noWrap/>
            <w:hideMark/>
          </w:tcPr>
          <w:p w:rsidR="00DA59DF" w:rsidRPr="00087929" w:rsidRDefault="00087929" w:rsidP="00087929">
            <w:pPr>
              <w:spacing w:after="0" w:line="240" w:lineRule="auto"/>
              <w:jc w:val="left"/>
              <w:rPr>
                <w:rFonts w:eastAsia="Times New Roman" w:cs="Arial"/>
                <w:b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color w:val="000000"/>
                <w:szCs w:val="20"/>
                <w:lang w:eastAsia="cs-CZ"/>
              </w:rPr>
              <w:t>text</w:t>
            </w:r>
          </w:p>
        </w:tc>
      </w:tr>
      <w:tr w:rsidR="00DA59DF" w:rsidRPr="00EC14FF" w:rsidTr="00087929">
        <w:trPr>
          <w:trHeight w:val="300"/>
        </w:trPr>
        <w:tc>
          <w:tcPr>
            <w:tcW w:w="1358" w:type="dxa"/>
            <w:shd w:val="clear" w:color="auto" w:fill="auto"/>
            <w:noWrap/>
            <w:hideMark/>
          </w:tcPr>
          <w:p w:rsidR="00DA59DF" w:rsidRPr="00EC14FF" w:rsidRDefault="00DA59DF" w:rsidP="00DA4AC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154</w:t>
            </w:r>
          </w:p>
        </w:tc>
        <w:tc>
          <w:tcPr>
            <w:tcW w:w="992" w:type="dxa"/>
          </w:tcPr>
          <w:p w:rsidR="00DA59DF" w:rsidRPr="00070FB5" w:rsidRDefault="00DA59DF" w:rsidP="00DA4AC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  <w:tc>
          <w:tcPr>
            <w:tcW w:w="6807" w:type="dxa"/>
            <w:shd w:val="clear" w:color="auto" w:fill="auto"/>
            <w:noWrap/>
            <w:hideMark/>
          </w:tcPr>
          <w:p w:rsidR="00DA59DF" w:rsidRPr="00EC14FF" w:rsidRDefault="00DA59DF" w:rsidP="00DA4AC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A59DF">
              <w:rPr>
                <w:rFonts w:eastAsia="Times New Roman" w:cs="Arial"/>
                <w:color w:val="000000"/>
                <w:szCs w:val="20"/>
                <w:lang w:eastAsia="cs-CZ"/>
              </w:rPr>
              <w:t>Hromadná ubytovací zařízení</w:t>
            </w:r>
          </w:p>
        </w:tc>
      </w:tr>
    </w:tbl>
    <w:p w:rsidR="00DA59DF" w:rsidRPr="00DA59DF" w:rsidRDefault="00DA59DF" w:rsidP="00EC14FF">
      <w:pPr>
        <w:rPr>
          <w:b/>
        </w:rPr>
      </w:pPr>
    </w:p>
    <w:p w:rsidR="002E3113" w:rsidRPr="00087929" w:rsidRDefault="00200786" w:rsidP="00087929">
      <w:pPr>
        <w:rPr>
          <w:b/>
        </w:rPr>
      </w:pPr>
      <w:r>
        <w:rPr>
          <w:b/>
        </w:rPr>
        <w:t>Číselník zemí (země původu turisty)</w:t>
      </w:r>
      <w:r w:rsidR="00087929">
        <w:rPr>
          <w:b/>
        </w:rPr>
        <w:t xml:space="preserve"> </w:t>
      </w:r>
      <w:r w:rsidR="002E3113" w:rsidRPr="001F5277">
        <w:rPr>
          <w:rFonts w:eastAsia="Times New Roman" w:cs="Arial"/>
          <w:b/>
          <w:color w:val="000000"/>
          <w:szCs w:val="20"/>
          <w:lang w:eastAsia="cs-CZ"/>
        </w:rPr>
        <w:t>–</w:t>
      </w:r>
      <w:r w:rsidR="00D7015A">
        <w:rPr>
          <w:rFonts w:eastAsia="Times New Roman" w:cs="Arial"/>
          <w:b/>
          <w:color w:val="000000"/>
          <w:szCs w:val="20"/>
          <w:lang w:eastAsia="cs-CZ"/>
        </w:rPr>
        <w:t xml:space="preserve"> </w:t>
      </w:r>
      <w:r w:rsidR="002E3113" w:rsidRPr="001F5277">
        <w:t xml:space="preserve">kód číselníku ČSÚ </w:t>
      </w:r>
      <w:r w:rsidR="002E3113">
        <w:t>86</w:t>
      </w:r>
    </w:p>
    <w:p w:rsidR="00D7015A" w:rsidRPr="0025585A" w:rsidRDefault="00D7015A" w:rsidP="002E3113">
      <w:r w:rsidRPr="0025585A">
        <w:t xml:space="preserve">CSV: </w:t>
      </w:r>
      <w:hyperlink r:id="rId7" w:history="1">
        <w:r w:rsidR="00087929" w:rsidRPr="0025585A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 w:rsidR="006147ED" w:rsidRPr="0025585A"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="00087929" w:rsidRPr="0025585A">
          <w:rPr>
            <w:rStyle w:val="Hypertextovodkaz"/>
            <w:rFonts w:eastAsia="Times New Roman" w:cs="Arial"/>
            <w:szCs w:val="20"/>
            <w:lang w:eastAsia="cs-CZ"/>
          </w:rPr>
          <w:t>?kodcis=86&amp;typdat=0&amp;cisjaz=203&amp;format=</w:t>
        </w:r>
        <w:r w:rsidR="00087929" w:rsidRPr="0025585A">
          <w:rPr>
            <w:rStyle w:val="Hypertextovodkaz"/>
          </w:rPr>
          <w:t>2</w:t>
        </w:r>
      </w:hyperlink>
      <w:r w:rsidR="00087929" w:rsidRPr="0025585A">
        <w:t xml:space="preserve"> </w:t>
      </w:r>
    </w:p>
    <w:p w:rsidR="002E3113" w:rsidRPr="0025585A" w:rsidRDefault="00D7015A" w:rsidP="002E3113">
      <w:pPr>
        <w:rPr>
          <w:b/>
        </w:rPr>
      </w:pPr>
      <w:r w:rsidRPr="0025585A">
        <w:t xml:space="preserve">XML: </w:t>
      </w:r>
      <w:hyperlink r:id="rId8" w:history="1">
        <w:r w:rsidR="00087929" w:rsidRPr="0025585A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 w:rsidR="006147ED" w:rsidRPr="0025585A"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="00087929" w:rsidRPr="0025585A">
          <w:rPr>
            <w:rStyle w:val="Hypertextovodkaz"/>
            <w:rFonts w:eastAsia="Times New Roman" w:cs="Arial"/>
            <w:szCs w:val="20"/>
            <w:lang w:eastAsia="cs-CZ"/>
          </w:rPr>
          <w:t>?kodcis=86&amp;typdat=0&amp;cisjaz=203&amp;format=0</w:t>
        </w:r>
      </w:hyperlink>
    </w:p>
    <w:p w:rsidR="002E3113" w:rsidRPr="0025585A" w:rsidRDefault="002E3113" w:rsidP="00200786">
      <w:pPr>
        <w:spacing w:after="0"/>
        <w:rPr>
          <w:b/>
        </w:rPr>
      </w:pPr>
    </w:p>
    <w:p w:rsidR="005A3F35" w:rsidRPr="0025585A" w:rsidRDefault="00200786" w:rsidP="005A3F35">
      <w:pPr>
        <w:rPr>
          <w:b/>
        </w:rPr>
      </w:pPr>
      <w:r w:rsidRPr="0025585A">
        <w:rPr>
          <w:b/>
        </w:rPr>
        <w:t xml:space="preserve">Číselník zemí – agregace </w:t>
      </w:r>
      <w:r w:rsidR="00087929" w:rsidRPr="0025585A">
        <w:rPr>
          <w:b/>
        </w:rPr>
        <w:t xml:space="preserve">(země původu turisty) </w:t>
      </w:r>
      <w:r w:rsidRPr="0025585A">
        <w:rPr>
          <w:b/>
        </w:rPr>
        <w:t>– kód číselníku ČSÚ 5898</w:t>
      </w:r>
    </w:p>
    <w:p w:rsidR="00087929" w:rsidRPr="0025585A" w:rsidRDefault="00087929" w:rsidP="005A3F35">
      <w:r w:rsidRPr="0025585A">
        <w:t xml:space="preserve">CSV: </w:t>
      </w:r>
      <w:hyperlink r:id="rId9" w:history="1">
        <w:r w:rsidR="005A3F35" w:rsidRPr="0025585A">
          <w:rPr>
            <w:rStyle w:val="Hypertextovodkaz"/>
          </w:rPr>
          <w:t>https://apl.czso.cz/iSMS/</w:t>
        </w:r>
        <w:r w:rsidR="006147ED" w:rsidRPr="0025585A">
          <w:rPr>
            <w:rStyle w:val="Hypertextovodkaz"/>
          </w:rPr>
          <w:t>do_cis_export</w:t>
        </w:r>
        <w:r w:rsidR="005A3F35" w:rsidRPr="0025585A">
          <w:rPr>
            <w:rStyle w:val="Hypertextovodkaz"/>
          </w:rPr>
          <w:t>?kodcis=5898&amp;typdat=0&amp;cisjaz=203&amp;format=2</w:t>
        </w:r>
      </w:hyperlink>
      <w:r w:rsidRPr="0025585A">
        <w:t xml:space="preserve"> </w:t>
      </w:r>
    </w:p>
    <w:p w:rsidR="003469AC" w:rsidRDefault="00087929" w:rsidP="00200786">
      <w:pPr>
        <w:rPr>
          <w:rStyle w:val="Hypertextovodkaz"/>
          <w:rFonts w:eastAsia="Times New Roman" w:cs="Arial"/>
          <w:szCs w:val="20"/>
          <w:lang w:eastAsia="cs-CZ"/>
        </w:rPr>
      </w:pPr>
      <w:r w:rsidRPr="0025585A">
        <w:t xml:space="preserve">XML: </w:t>
      </w:r>
      <w:hyperlink r:id="rId10" w:history="1">
        <w:r w:rsidR="005A3F35" w:rsidRPr="0025585A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 w:rsidR="006147ED" w:rsidRPr="0025585A"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="005A3F35" w:rsidRPr="0025585A">
          <w:rPr>
            <w:rStyle w:val="Hypertextovodkaz"/>
            <w:rFonts w:eastAsia="Times New Roman" w:cs="Arial"/>
            <w:szCs w:val="20"/>
            <w:lang w:eastAsia="cs-CZ"/>
          </w:rPr>
          <w:t>?kodcis=5898&amp;typdat=0&amp;cisjaz=203&amp;format=0</w:t>
        </w:r>
      </w:hyperlink>
    </w:p>
    <w:p w:rsidR="0025585A" w:rsidRDefault="0025585A" w:rsidP="00200786">
      <w:pPr>
        <w:rPr>
          <w:rStyle w:val="Hypertextovodkaz"/>
          <w:rFonts w:eastAsia="Times New Roman" w:cs="Arial"/>
          <w:szCs w:val="20"/>
          <w:lang w:eastAsia="cs-CZ"/>
        </w:rPr>
      </w:pPr>
    </w:p>
    <w:p w:rsidR="00200786" w:rsidRPr="001316A6" w:rsidRDefault="001316A6" w:rsidP="00EC14FF">
      <w:r w:rsidRPr="001316A6">
        <w:t>V datové sadě se vyskytují tyto položky</w:t>
      </w:r>
      <w:r>
        <w:t>:</w:t>
      </w:r>
      <w:r w:rsidRPr="001316A6">
        <w:t xml:space="preserve"> </w:t>
      </w:r>
    </w:p>
    <w:tbl>
      <w:tblPr>
        <w:tblW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80"/>
        <w:gridCol w:w="3600"/>
      </w:tblGrid>
      <w:tr w:rsidR="001316A6" w:rsidRPr="00087929" w:rsidTr="00087929">
        <w:trPr>
          <w:cantSplit/>
          <w:trHeight w:val="300"/>
          <w:tblHeader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087929" w:rsidRDefault="001316A6" w:rsidP="00087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proofErr w:type="spellStart"/>
            <w:r w:rsidRPr="00087929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uzemiz_cis</w:t>
            </w:r>
            <w:proofErr w:type="spellEnd"/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087929" w:rsidRDefault="001316A6" w:rsidP="000879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proofErr w:type="spellStart"/>
            <w:r w:rsidRPr="00087929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uzemiz_kod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087929" w:rsidRDefault="00087929" w:rsidP="0008792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proofErr w:type="spellStart"/>
            <w:r w:rsidRPr="00087929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uzemiz_txt</w:t>
            </w:r>
            <w:proofErr w:type="spellEnd"/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Austrálie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Rakousko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Belgie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Brazílie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Bulharsko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Kanada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Čína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Tchaj-wan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Chorvatsko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196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Kypr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Česko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Dánsko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Estonsko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246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Finsko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Francie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276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Německo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Řecko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348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Maďarsko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352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Island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356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Indie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Irsko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376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Izrael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380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Itálie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392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Japonsko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410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Korejská republika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428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Lotyšsko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438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Lichtenštejnsko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440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Litva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442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Lucembursko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470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Malta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Mexiko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528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Nizozemsko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554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Nový Zéland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578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Norsko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616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Polsko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620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Portugalsko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642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Rumunsko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643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Rusko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682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Saúdská Arábie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703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Slovensko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705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Slovinsko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710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Jižní Afrika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Španělsko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752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Švédsko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756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Švýcarsko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Spojené arabské emiráty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792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Turecko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Ukrajina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826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Velká Británie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840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Spojené státy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Ostatní evropské země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Ostatní africké země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Ostatní americké země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Ostatní asijské země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Oceánie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Nerezidenti</w:t>
            </w:r>
          </w:p>
        </w:tc>
      </w:tr>
      <w:tr w:rsidR="001316A6" w:rsidRPr="001316A6" w:rsidTr="00087929">
        <w:trPr>
          <w:cantSplit/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5898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1316A6" w:rsidRPr="001316A6" w:rsidRDefault="001316A6" w:rsidP="001316A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316A6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Srbsko a Černá Hora</w:t>
            </w:r>
          </w:p>
        </w:tc>
      </w:tr>
    </w:tbl>
    <w:p w:rsidR="003C6D65" w:rsidRDefault="003C6D65" w:rsidP="00C27DAA">
      <w:pPr>
        <w:rPr>
          <w:b/>
        </w:rPr>
      </w:pPr>
    </w:p>
    <w:p w:rsidR="00C27DAA" w:rsidRDefault="003469AC" w:rsidP="00C27DAA">
      <w:r>
        <w:rPr>
          <w:b/>
        </w:rPr>
        <w:t>Č</w:t>
      </w:r>
      <w:r w:rsidR="00C27DAA" w:rsidRPr="00EC14FF">
        <w:rPr>
          <w:b/>
        </w:rPr>
        <w:t xml:space="preserve">íselník </w:t>
      </w:r>
      <w:r w:rsidR="009A71DB">
        <w:rPr>
          <w:b/>
        </w:rPr>
        <w:t>DMO nečleněné</w:t>
      </w:r>
      <w:r w:rsidR="00C27DAA">
        <w:t xml:space="preserve"> – </w:t>
      </w:r>
      <w:r w:rsidR="000E69C3" w:rsidRPr="00070FB5">
        <w:t>kód číselníku</w:t>
      </w:r>
      <w:r w:rsidR="000E69C3">
        <w:t xml:space="preserve"> ČSÚ</w:t>
      </w:r>
      <w:r w:rsidR="009A71DB">
        <w:t xml:space="preserve"> 627</w:t>
      </w:r>
      <w:r w:rsidR="00C27DAA">
        <w:t xml:space="preserve"> </w:t>
      </w:r>
    </w:p>
    <w:p w:rsidR="009A71DB" w:rsidRDefault="009A71DB" w:rsidP="00C27DAA">
      <w:r w:rsidRPr="009A71DB">
        <w:t>Turistická oblast nečleněná (Organizace destinačního managementu 1)</w:t>
      </w:r>
    </w:p>
    <w:p w:rsidR="00087929" w:rsidRDefault="00087929" w:rsidP="00087929">
      <w:r>
        <w:t xml:space="preserve">CSV: </w:t>
      </w:r>
      <w:hyperlink r:id="rId11" w:history="1">
        <w:r w:rsidR="00337D62" w:rsidRPr="00D34A25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https://apl.czso.cz/iSMS/do_cis_export?kodcis=627&amp;typdat=0&amp;cisjaz=203&amp;format=</w:t>
        </w:r>
        <w:r w:rsidR="00337D62" w:rsidRPr="00D34A25">
          <w:rPr>
            <w:rStyle w:val="Hypertextovodkaz"/>
          </w:rPr>
          <w:t>2</w:t>
        </w:r>
      </w:hyperlink>
      <w:r>
        <w:t xml:space="preserve"> </w:t>
      </w:r>
    </w:p>
    <w:p w:rsidR="00087929" w:rsidRDefault="00087929" w:rsidP="00087929">
      <w:pPr>
        <w:rPr>
          <w:b/>
        </w:rPr>
      </w:pPr>
      <w:r>
        <w:t xml:space="preserve">XML: </w:t>
      </w:r>
      <w:hyperlink r:id="rId12" w:history="1">
        <w:r w:rsidR="00CD31C1" w:rsidRPr="00D34A25">
          <w:rPr>
            <w:rStyle w:val="Hypertextovodkaz"/>
            <w:rFonts w:eastAsia="Times New Roman" w:cs="Arial"/>
            <w:szCs w:val="20"/>
            <w:lang w:eastAsia="cs-CZ"/>
          </w:rPr>
          <w:t>https://apl.czso.cz/iSMS/do_cis_export?kodcis=627&amp;typdat=0&amp;cisjaz=203&amp;format=0</w:t>
        </w:r>
      </w:hyperlink>
    </w:p>
    <w:p w:rsidR="00DA59DF" w:rsidRDefault="00DA59DF" w:rsidP="00222387">
      <w:pPr>
        <w:rPr>
          <w:i/>
          <w:color w:val="FF0000"/>
        </w:rPr>
      </w:pPr>
    </w:p>
    <w:p w:rsidR="003A6623" w:rsidRDefault="003A6623" w:rsidP="003A6623">
      <w:r>
        <w:rPr>
          <w:b/>
        </w:rPr>
        <w:t>Č</w:t>
      </w:r>
      <w:r w:rsidRPr="00EC14FF">
        <w:rPr>
          <w:b/>
        </w:rPr>
        <w:t xml:space="preserve">íselník </w:t>
      </w:r>
      <w:r>
        <w:rPr>
          <w:b/>
        </w:rPr>
        <w:t>DMO členěné</w:t>
      </w:r>
      <w:r>
        <w:t xml:space="preserve"> – </w:t>
      </w:r>
      <w:r w:rsidRPr="00070FB5">
        <w:t>kód číselníku</w:t>
      </w:r>
      <w:r>
        <w:t xml:space="preserve"> ČSÚ 628 </w:t>
      </w:r>
    </w:p>
    <w:p w:rsidR="003A6623" w:rsidRDefault="003A6623" w:rsidP="003A6623">
      <w:r>
        <w:t xml:space="preserve">Turistická oblast </w:t>
      </w:r>
      <w:r w:rsidRPr="009A71DB">
        <w:t>členěná (Organ</w:t>
      </w:r>
      <w:r>
        <w:t>izace destinačního managementu 2</w:t>
      </w:r>
      <w:r w:rsidRPr="009A71DB">
        <w:t>)</w:t>
      </w:r>
    </w:p>
    <w:p w:rsidR="00087929" w:rsidRPr="0033168B" w:rsidRDefault="00087929" w:rsidP="00087929">
      <w:r w:rsidRPr="0033168B">
        <w:t xml:space="preserve">CSV: </w:t>
      </w:r>
      <w:hyperlink r:id="rId13" w:history="1">
        <w:r w:rsidRPr="0033168B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 w:rsidR="006147ED" w:rsidRPr="0033168B"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Pr="0033168B">
          <w:rPr>
            <w:rStyle w:val="Hypertextovodkaz"/>
            <w:rFonts w:eastAsia="Times New Roman" w:cs="Arial"/>
            <w:szCs w:val="20"/>
            <w:lang w:eastAsia="cs-CZ"/>
          </w:rPr>
          <w:t>?kodcis=628&amp;typdat=0&amp;cisjaz=203&amp;format=</w:t>
        </w:r>
        <w:r w:rsidRPr="0033168B">
          <w:rPr>
            <w:rStyle w:val="Hypertextovodkaz"/>
          </w:rPr>
          <w:t>2</w:t>
        </w:r>
      </w:hyperlink>
      <w:r w:rsidRPr="0033168B">
        <w:t xml:space="preserve"> </w:t>
      </w:r>
    </w:p>
    <w:p w:rsidR="00087929" w:rsidRDefault="00087929" w:rsidP="00087929">
      <w:pPr>
        <w:rPr>
          <w:b/>
        </w:rPr>
      </w:pPr>
      <w:r w:rsidRPr="0033168B">
        <w:t xml:space="preserve">XML: </w:t>
      </w:r>
      <w:hyperlink r:id="rId14" w:history="1">
        <w:r w:rsidRPr="0033168B">
          <w:rPr>
            <w:rStyle w:val="Hypertextovodkaz"/>
            <w:rFonts w:eastAsia="Times New Roman" w:cs="Arial"/>
            <w:szCs w:val="20"/>
            <w:lang w:eastAsia="cs-CZ"/>
          </w:rPr>
          <w:t>https://apl.czso.cz/iSMS/</w:t>
        </w:r>
        <w:r w:rsidR="006147ED" w:rsidRPr="0033168B">
          <w:rPr>
            <w:rStyle w:val="Hypertextovodkaz"/>
            <w:rFonts w:eastAsia="Times New Roman" w:cs="Arial"/>
            <w:szCs w:val="20"/>
            <w:lang w:eastAsia="cs-CZ"/>
          </w:rPr>
          <w:t>do_cis_export</w:t>
        </w:r>
        <w:r w:rsidRPr="0033168B">
          <w:rPr>
            <w:rStyle w:val="Hypertextovodkaz"/>
            <w:rFonts w:eastAsia="Times New Roman" w:cs="Arial"/>
            <w:szCs w:val="20"/>
            <w:lang w:eastAsia="cs-CZ"/>
          </w:rPr>
          <w:t>?kodcis=628&amp;typdat=0&amp;cisjaz=203&amp;format=0</w:t>
        </w:r>
      </w:hyperlink>
    </w:p>
    <w:p w:rsidR="003A6623" w:rsidRDefault="003A6623" w:rsidP="00222387">
      <w:pPr>
        <w:rPr>
          <w:i/>
          <w:color w:val="FF0000"/>
        </w:rPr>
      </w:pPr>
    </w:p>
    <w:p w:rsidR="00C27DAA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C27DAA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DA59DF">
        <w:rPr>
          <w:rFonts w:eastAsia="Times New Roman" w:cs="Arial"/>
          <w:color w:val="000000"/>
          <w:szCs w:val="20"/>
          <w:lang w:eastAsia="cs-CZ"/>
        </w:rPr>
        <w:t xml:space="preserve">časovou řadu </w:t>
      </w:r>
      <w:r w:rsidR="00442718">
        <w:rPr>
          <w:rFonts w:eastAsia="Times New Roman" w:cs="Arial"/>
          <w:color w:val="000000"/>
          <w:szCs w:val="20"/>
          <w:lang w:eastAsia="cs-CZ"/>
        </w:rPr>
        <w:t xml:space="preserve">čtvrtletních </w:t>
      </w:r>
      <w:r w:rsidR="009A71DB">
        <w:rPr>
          <w:rFonts w:eastAsia="Times New Roman" w:cs="Arial"/>
          <w:color w:val="000000"/>
          <w:szCs w:val="20"/>
          <w:lang w:eastAsia="cs-CZ"/>
        </w:rPr>
        <w:t>údajů od roku 2020</w:t>
      </w:r>
      <w:r w:rsidR="00DA59DF">
        <w:rPr>
          <w:rFonts w:eastAsia="Times New Roman" w:cs="Arial"/>
          <w:color w:val="000000"/>
          <w:szCs w:val="20"/>
          <w:lang w:eastAsia="cs-CZ"/>
        </w:rPr>
        <w:t>.</w:t>
      </w:r>
      <w:r w:rsidR="0041591F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A3F35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70FB5"/>
    <w:rsid w:val="00087929"/>
    <w:rsid w:val="0009652E"/>
    <w:rsid w:val="000A2E5A"/>
    <w:rsid w:val="000A6AD0"/>
    <w:rsid w:val="000E69C3"/>
    <w:rsid w:val="00116DCD"/>
    <w:rsid w:val="001316A6"/>
    <w:rsid w:val="0013212B"/>
    <w:rsid w:val="001447CB"/>
    <w:rsid w:val="00161AC3"/>
    <w:rsid w:val="00187B6C"/>
    <w:rsid w:val="001907F2"/>
    <w:rsid w:val="001F70B8"/>
    <w:rsid w:val="00200786"/>
    <w:rsid w:val="00222387"/>
    <w:rsid w:val="0025585A"/>
    <w:rsid w:val="00270AC5"/>
    <w:rsid w:val="002E3113"/>
    <w:rsid w:val="002F48F1"/>
    <w:rsid w:val="0033168B"/>
    <w:rsid w:val="00337D62"/>
    <w:rsid w:val="003469AC"/>
    <w:rsid w:val="00347443"/>
    <w:rsid w:val="003721AA"/>
    <w:rsid w:val="003727F5"/>
    <w:rsid w:val="00373740"/>
    <w:rsid w:val="003770A0"/>
    <w:rsid w:val="0039522C"/>
    <w:rsid w:val="003A0180"/>
    <w:rsid w:val="003A6623"/>
    <w:rsid w:val="003C6D65"/>
    <w:rsid w:val="003E0ED7"/>
    <w:rsid w:val="0041591F"/>
    <w:rsid w:val="00427BC7"/>
    <w:rsid w:val="00442718"/>
    <w:rsid w:val="004B0E2B"/>
    <w:rsid w:val="004C0877"/>
    <w:rsid w:val="004C3390"/>
    <w:rsid w:val="004E0885"/>
    <w:rsid w:val="004E47F3"/>
    <w:rsid w:val="00500DDD"/>
    <w:rsid w:val="00526A21"/>
    <w:rsid w:val="00573AFB"/>
    <w:rsid w:val="0058334C"/>
    <w:rsid w:val="005A3F35"/>
    <w:rsid w:val="005B027B"/>
    <w:rsid w:val="005C7437"/>
    <w:rsid w:val="005F1D35"/>
    <w:rsid w:val="005F6D8B"/>
    <w:rsid w:val="00603920"/>
    <w:rsid w:val="006147ED"/>
    <w:rsid w:val="006505BC"/>
    <w:rsid w:val="00657651"/>
    <w:rsid w:val="006668E7"/>
    <w:rsid w:val="00677ECF"/>
    <w:rsid w:val="006E57B8"/>
    <w:rsid w:val="00717972"/>
    <w:rsid w:val="00742D9E"/>
    <w:rsid w:val="00753BEE"/>
    <w:rsid w:val="00757006"/>
    <w:rsid w:val="00763DAE"/>
    <w:rsid w:val="00794DA2"/>
    <w:rsid w:val="007A7E78"/>
    <w:rsid w:val="007D3B6F"/>
    <w:rsid w:val="007D6F04"/>
    <w:rsid w:val="007E3C0B"/>
    <w:rsid w:val="00804D77"/>
    <w:rsid w:val="008207F9"/>
    <w:rsid w:val="00822CB4"/>
    <w:rsid w:val="00824F8F"/>
    <w:rsid w:val="008954BC"/>
    <w:rsid w:val="008C5208"/>
    <w:rsid w:val="008C7F12"/>
    <w:rsid w:val="008E54F2"/>
    <w:rsid w:val="00981B0F"/>
    <w:rsid w:val="00996C1E"/>
    <w:rsid w:val="009A3A0B"/>
    <w:rsid w:val="009A71DB"/>
    <w:rsid w:val="009B7E3F"/>
    <w:rsid w:val="00A07D8F"/>
    <w:rsid w:val="00A411EC"/>
    <w:rsid w:val="00AF4388"/>
    <w:rsid w:val="00B46285"/>
    <w:rsid w:val="00BA437C"/>
    <w:rsid w:val="00BB766E"/>
    <w:rsid w:val="00C27DAA"/>
    <w:rsid w:val="00C37520"/>
    <w:rsid w:val="00C74D82"/>
    <w:rsid w:val="00C7777B"/>
    <w:rsid w:val="00C94754"/>
    <w:rsid w:val="00CA7327"/>
    <w:rsid w:val="00CC2E3F"/>
    <w:rsid w:val="00CD31C1"/>
    <w:rsid w:val="00CE0611"/>
    <w:rsid w:val="00CE2355"/>
    <w:rsid w:val="00D127CC"/>
    <w:rsid w:val="00D26C4A"/>
    <w:rsid w:val="00D7015A"/>
    <w:rsid w:val="00DA345A"/>
    <w:rsid w:val="00DA4AC8"/>
    <w:rsid w:val="00DA59DF"/>
    <w:rsid w:val="00DA6C54"/>
    <w:rsid w:val="00E13299"/>
    <w:rsid w:val="00E22369"/>
    <w:rsid w:val="00E271AA"/>
    <w:rsid w:val="00E273C4"/>
    <w:rsid w:val="00E840F9"/>
    <w:rsid w:val="00E86146"/>
    <w:rsid w:val="00EA4B8E"/>
    <w:rsid w:val="00EC14FF"/>
    <w:rsid w:val="00EE78D1"/>
    <w:rsid w:val="00F133B7"/>
    <w:rsid w:val="00F15442"/>
    <w:rsid w:val="00FB3E1D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38D5"/>
  <w15:docId w15:val="{8307EB7C-8DA5-45DC-97FB-384102C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B7E3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718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86&amp;typdat=0&amp;cisjaz=203&amp;format=0" TargetMode="External"/><Relationship Id="rId13" Type="http://schemas.openxmlformats.org/officeDocument/2006/relationships/hyperlink" Target="https://apl.czso.cz/iSMS/do_cis_export?kodcis=628&amp;typdat=0&amp;cisjaz=203&amp;format=2&amp;separator=%2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86&amp;typdat=0&amp;cisjaz=203&amp;format=2&amp;separator=%2C" TargetMode="External"/><Relationship Id="rId12" Type="http://schemas.openxmlformats.org/officeDocument/2006/relationships/hyperlink" Target="https://apl.czso.cz/iSMS/do_cis_export?kodcis=627&amp;typdat=0&amp;cisjaz=203&amp;format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statisticke-promenne-ukazatele" TargetMode="External"/><Relationship Id="rId11" Type="http://schemas.openxmlformats.org/officeDocument/2006/relationships/hyperlink" Target="https://apl.czso.cz/iSMS/do_cis_export?kodcis=627&amp;typdat=0&amp;cisjaz=203&amp;format=2&amp;separator=%2C" TargetMode="External"/><Relationship Id="rId5" Type="http://schemas.openxmlformats.org/officeDocument/2006/relationships/hyperlink" Target="https://www.czechtourism.cz/cs-CZ/Destinacni-management/Destinacni-manageme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pl.czso.cz/iSMS/do_cis_export?kodcis=5898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5898&amp;typdat=0&amp;cisjaz=203&amp;format=2&amp;separator=%2C" TargetMode="External"/><Relationship Id="rId14" Type="http://schemas.openxmlformats.org/officeDocument/2006/relationships/hyperlink" Target="https://apl.czso.cz/iSMS/do_cis_export?kodcis=628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1395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Durník</dc:creator>
  <cp:lastModifiedBy>Šimek Jan</cp:lastModifiedBy>
  <cp:revision>10</cp:revision>
  <dcterms:created xsi:type="dcterms:W3CDTF">2023-03-09T08:46:00Z</dcterms:created>
  <dcterms:modified xsi:type="dcterms:W3CDTF">2023-03-21T14:29:00Z</dcterms:modified>
</cp:coreProperties>
</file>