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A35D" w14:textId="77777777" w:rsidR="000C72B7" w:rsidRPr="00E42054" w:rsidRDefault="000C72B7" w:rsidP="000C72B7">
      <w:pPr>
        <w:pStyle w:val="Nadpis11"/>
        <w:spacing w:after="0"/>
        <w:rPr>
          <w:b w:val="0"/>
          <w:sz w:val="2"/>
          <w:szCs w:val="2"/>
        </w:rPr>
      </w:pPr>
      <w:bookmarkStart w:id="0" w:name="_Toc19090676"/>
    </w:p>
    <w:p w14:paraId="66C05D05" w14:textId="6B3BEFD7" w:rsidR="00682110" w:rsidRPr="009110F7" w:rsidRDefault="00682110" w:rsidP="000C72B7">
      <w:pPr>
        <w:pStyle w:val="Nadpis1"/>
      </w:pPr>
      <w:bookmarkStart w:id="1" w:name="_Toc58605372"/>
      <w:r w:rsidRPr="0077605B">
        <w:t>2</w:t>
      </w:r>
      <w:r>
        <w:t>. </w:t>
      </w:r>
      <w:r w:rsidRPr="0077605B">
        <w:t>Souhrnná výkonnost</w:t>
      </w:r>
      <w:bookmarkEnd w:id="1"/>
    </w:p>
    <w:tbl>
      <w:tblPr>
        <w:tblW w:w="9639" w:type="dxa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6"/>
        <w:gridCol w:w="223"/>
        <w:gridCol w:w="7610"/>
      </w:tblGrid>
      <w:tr w:rsidR="00682110" w:rsidRPr="009110F7" w14:paraId="30FD8377" w14:textId="77777777" w:rsidTr="00361FB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7CBD8438" w14:textId="77777777" w:rsidR="00682110" w:rsidRDefault="00682110" w:rsidP="00361FB7">
            <w:pPr>
              <w:pStyle w:val="Marginlie"/>
            </w:pPr>
            <w:r>
              <w:t>Ve 3. čtvrtletí došlo k výraznému mezičtvrtletnímu oživení HDP. Meziroční propad se ale udržel.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0D865EC5" w14:textId="77777777" w:rsidR="00682110" w:rsidRDefault="00682110" w:rsidP="00361FB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6EE59F2" w14:textId="77777777" w:rsidR="00682110" w:rsidRPr="00014ED0" w:rsidRDefault="00682110" w:rsidP="00361FB7">
            <w:pPr>
              <w:spacing w:after="220"/>
              <w:rPr>
                <w:spacing w:val="-2"/>
              </w:rPr>
            </w:pPr>
            <w:r>
              <w:rPr>
                <w:spacing w:val="-2"/>
              </w:rPr>
              <w:t>Česká ekonomika se po rekordním propadu ze 2. čtvrtletí (mezičtvrtletně o 8,5 %, meziročně o 10,7 %) ve 3. kvartálu zvedla ze dna. Hrubý domácí produkt (HDP)</w:t>
            </w:r>
            <w:r w:rsidRPr="00014ED0">
              <w:rPr>
                <w:rStyle w:val="Znakapoznpodarou"/>
                <w:rFonts w:cs="Arial"/>
                <w:spacing w:val="-2"/>
              </w:rPr>
              <w:footnoteReference w:id="1"/>
            </w:r>
            <w:r>
              <w:rPr>
                <w:spacing w:val="-2"/>
              </w:rPr>
              <w:t xml:space="preserve"> se oproti předchozímu čtvrtletí zvýšil o 6,9 %. Meziroční propad ale přetrvával (–5,0 %). Mezičtvrtletní přírůstek odráží zejména uvolnění restrikcí, které ve 2. čtvrtletí zčásti zastavily ekonomický provoz v zemi. Pozitivně se mezičtvrtletně vyvíjela spotřeba i bilance zahraničního obchodu, naopak investiční aktivita ve srovnání s 2. kvartálem klesla. Hrubý domácí produkt stále setrvával poměrně hluboko pod úrovní loňského 3. čtvrtletí (–5,0 %). Zaostávala především domácí poptávka. Tvorba hrubého kapitálu působila ve směru poklesu HDP –4,1 p. b.</w:t>
            </w:r>
            <w:r w:rsidRPr="00014ED0">
              <w:rPr>
                <w:rStyle w:val="Znakapoznpodarou"/>
                <w:spacing w:val="-2"/>
              </w:rPr>
              <w:footnoteReference w:id="2"/>
            </w:r>
            <w:r>
              <w:rPr>
                <w:spacing w:val="-2"/>
              </w:rPr>
              <w:t xml:space="preserve"> a spotřeba –1,3 p. b. Naopak uvolnění opatření v Česku i v Evropě pomohlo zahraničnímu obchodu. Vývoj bilance přispěl ve směru meziročního růstu HDP 0,4 p. b.</w:t>
            </w:r>
          </w:p>
        </w:tc>
      </w:tr>
      <w:tr w:rsidR="00682110" w:rsidRPr="009110F7" w14:paraId="35BEE0F5" w14:textId="77777777" w:rsidTr="00361FB7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08A92B19" w14:textId="77777777" w:rsidR="00682110" w:rsidRDefault="00682110" w:rsidP="00361FB7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5CE720C4" w14:textId="77777777" w:rsidR="00682110" w:rsidRDefault="00682110" w:rsidP="00361FB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9E0F25F" w14:textId="77777777" w:rsidR="00682110" w:rsidRPr="001208E3" w:rsidRDefault="00682110" w:rsidP="00361FB7">
            <w:pPr>
              <w:spacing w:after="0"/>
              <w:rPr>
                <w:b/>
                <w:szCs w:val="20"/>
              </w:rPr>
            </w:pPr>
            <w:r w:rsidRPr="004174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č. </w:t>
            </w:r>
            <w:r w:rsidRPr="00663018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HDP (objemové indexy, očištěno o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 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sezónní a kalendářní vlivy, v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 %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682110" w:rsidRPr="009110F7" w14:paraId="296D0E4F" w14:textId="77777777" w:rsidTr="00361FB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76C8E48D" w14:textId="77777777" w:rsidR="00682110" w:rsidRPr="009110F7" w:rsidRDefault="00682110" w:rsidP="00361FB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13F4F55A" w14:textId="77777777" w:rsidR="00682110" w:rsidRPr="009110F7" w:rsidRDefault="00682110" w:rsidP="00361FB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3775488D" w14:textId="77777777" w:rsidR="00682110" w:rsidRPr="009110F7" w:rsidRDefault="00682110" w:rsidP="00361FB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2A6F771" wp14:editId="6A6F80F7">
                  <wp:extent cx="4737600" cy="3438900"/>
                  <wp:effectExtent l="0" t="0" r="6350" b="0"/>
                  <wp:docPr id="5" name="Graf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682110" w:rsidRPr="009110F7" w14:paraId="1980558D" w14:textId="77777777" w:rsidTr="00361FB7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57CAB24E" w14:textId="77777777" w:rsidR="00682110" w:rsidRPr="009110F7" w:rsidRDefault="00682110" w:rsidP="00361FB7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162750BA" w14:textId="77777777" w:rsidR="00682110" w:rsidRPr="009110F7" w:rsidRDefault="00682110" w:rsidP="00361FB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D50A2BE" w14:textId="77777777" w:rsidR="00682110" w:rsidRPr="009110F7" w:rsidRDefault="00682110" w:rsidP="00361FB7">
            <w:pPr>
              <w:spacing w:after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Zdroj: ČSÚ, </w:t>
            </w:r>
            <w:proofErr w:type="spellStart"/>
            <w:r>
              <w:rPr>
                <w:sz w:val="14"/>
                <w:szCs w:val="14"/>
              </w:rPr>
              <w:t>Eurostat</w:t>
            </w:r>
            <w:proofErr w:type="spellEnd"/>
          </w:p>
        </w:tc>
      </w:tr>
      <w:tr w:rsidR="002C5FEB" w:rsidRPr="009110F7" w14:paraId="5BED0BA2" w14:textId="77777777" w:rsidTr="00361FB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6B5EC5E1" w14:textId="77777777" w:rsidR="002C5FEB" w:rsidRDefault="002C5FEB" w:rsidP="002C5FEB">
            <w:pPr>
              <w:pStyle w:val="Marginlie"/>
            </w:pPr>
            <w:r>
              <w:t>Podobná byla situace v EU.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DDA49C4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A4CB5F4" w14:textId="619F97A4" w:rsidR="002C5FEB" w:rsidRDefault="002C5FEB" w:rsidP="002C5FEB">
            <w:r>
              <w:t>Také v zemích EU se jarní opatření uvolnila, což vedlo k mohutnému mezičtvrtletnímu nárůstu HDP. Oproti 2. kvartálu se HDP v EU zvýšil o 11,5 %</w:t>
            </w:r>
            <w:r w:rsidRPr="009110F7">
              <w:rPr>
                <w:rStyle w:val="Znakapoznpodarou"/>
                <w:spacing w:val="-2"/>
              </w:rPr>
              <w:footnoteReference w:id="3"/>
            </w:r>
            <w:r>
              <w:t xml:space="preserve">. Podrobnější údaje ukazují na všeobecné zotavení spotřeby, ale v případě tvorby hrubého kapitálu některé země podobně jako ČR zaznamenaly mezičtvrtletní pokles (nejvíce Česko, a dále Malta, Německo, Finsko). Největších mezičtvrtletních přírůstků HDP dosáhly ekonomiky států, které byly ve 2. čtvrtletí také nejvíce zasaženy, zejména jih EU – Francie (18,7 %), Španělsko (16,7 %) a Itálie (15,9 %). Meziroční pokles HDP v Evropské unii činil 4,2 % a přispíval k němu vývoj spotřeby i investiční aktivity. Meziroční pokles HDP podle dostupných údajů přetrval ve všech zemích EU s výjimkou Irska (+8,1 %). Nejvíce se HDP propadl v Řecku (–11,7 %), Chorvatsku (–10,0 %) a na Maltě (–9,2 %). Nejmírněji meziročně poklesl HDP v Litvě (–1,6 %), Polsku (–1,8 %) a na Slovensku (–2,2 %). V Německu, které je klíčové pro další zlepšení ekonomické </w:t>
            </w:r>
            <w:r>
              <w:lastRenderedPageBreak/>
              <w:t>situace i v dalších zemích EU, HDP ve 3. čtvrtletí mezičtvrtletně vzrostl o 8,5 % a meziroční propad dosáhl 4,0 %.</w:t>
            </w:r>
          </w:p>
        </w:tc>
      </w:tr>
      <w:tr w:rsidR="002C5FEB" w:rsidRPr="009110F7" w14:paraId="4D4DBF4B" w14:textId="77777777" w:rsidTr="00361FB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FE43652" w14:textId="77777777" w:rsidR="002C5FEB" w:rsidRDefault="002C5FEB" w:rsidP="002C5FEB">
            <w:pPr>
              <w:pStyle w:val="Marginlie"/>
            </w:pPr>
            <w:r>
              <w:lastRenderedPageBreak/>
              <w:t>Trh práce byl ve 3. čtvrtletí zasažen poklesem zaměstnanosti. Růst mezd a platů se ale zčásti obnovil.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6104B3EA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C7706D5" w14:textId="77777777" w:rsidR="002C5FEB" w:rsidRPr="00014ED0" w:rsidRDefault="002C5FEB" w:rsidP="002C5FEB">
            <w:pPr>
              <w:rPr>
                <w:spacing w:val="-2"/>
              </w:rPr>
            </w:pPr>
            <w:r>
              <w:rPr>
                <w:spacing w:val="-2"/>
              </w:rPr>
              <w:t>Objem vyplacených mezd a platů ve 3. čtvrtletí meziročně vzrostl o 1,0 %. Zároveň ale pokračoval meziroční pokles celkové zaměstnanosti</w:t>
            </w:r>
            <w:r w:rsidRPr="00014ED0">
              <w:rPr>
                <w:rStyle w:val="Znakapoznpodarou"/>
                <w:spacing w:val="-2"/>
              </w:rPr>
              <w:footnoteReference w:id="4"/>
            </w:r>
            <w:r>
              <w:rPr>
                <w:spacing w:val="-2"/>
              </w:rPr>
              <w:t>, který dosáhl 1,7 %, takže výše průměrné mzdy rostla výrazněji než objem mezd a platů. Počet odpracovaných hodin naopak mírně meziročně rostl (0,3 %), poprvé po čtyřech čtvrtletích poklesů. Zaměstnanost se nejvíce snižovala u profesních, vědeckých, technických a administrativních činností (–6,8 %). Objem vyplacených mezd a platů se zde ale snižoval mírněji (–3,6 %), což souvisí i s propouštěním zejména nízkopříjmových pracovníků v rámci agentur práce. Silný meziroční pokles zaměstnanosti se týkal i zpracovatelského průmyslu (–3,9 %), kde se nejvíce z celé ekonomiky snížil objem vyplacených mezd a platů (–3,7 %). Přetrvával také pokles u uskupení obchod, doprava, ubytování a pohostinství, kde se zaměstnanost i objem mezd snížily o 2,6 %. Největší nárůst objemu vyplacených prostředků se odehrál v odvětvích s dominancí vládního sektoru</w:t>
            </w:r>
            <w:r>
              <w:rPr>
                <w:rStyle w:val="Znakapoznpodarou"/>
                <w:spacing w:val="-2"/>
              </w:rPr>
              <w:footnoteReference w:id="5"/>
            </w:r>
            <w:r>
              <w:rPr>
                <w:spacing w:val="-2"/>
              </w:rPr>
              <w:t xml:space="preserve"> (9,2 %), kde také silně meziročně rostla zaměstnanost (2,5 %). Nejvyšší přírůstek zaměstnanosti zaznamenaly informační a komunikační činnosti (3,2 %), což dalo také impulz nárůstu objemu mezd a platů (6,4 %).</w:t>
            </w:r>
          </w:p>
        </w:tc>
      </w:tr>
      <w:tr w:rsidR="002C5FEB" w:rsidRPr="009110F7" w14:paraId="6B6C64B3" w14:textId="77777777" w:rsidTr="00361FB7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3AB076A4" w14:textId="77777777" w:rsidR="002C5FEB" w:rsidRDefault="002C5FEB" w:rsidP="002C5FEB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1EC4359E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8499F2D" w14:textId="77777777" w:rsidR="002C5FEB" w:rsidRDefault="002C5FEB" w:rsidP="002C5FEB">
            <w:pPr>
              <w:spacing w:after="0"/>
            </w:pPr>
            <w:r w:rsidRPr="0041745D">
              <w:rPr>
                <w:b/>
                <w:sz w:val="18"/>
                <w:szCs w:val="18"/>
              </w:rPr>
              <w:t xml:space="preserve">Graf </w:t>
            </w:r>
            <w:r>
              <w:rPr>
                <w:b/>
                <w:sz w:val="18"/>
                <w:szCs w:val="18"/>
              </w:rPr>
              <w:t xml:space="preserve">č. 2 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Příspěvky výdajových složek k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 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reálné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 xml:space="preserve">změně HDP* </w:t>
            </w:r>
            <w:r w:rsidRPr="00363CF2">
              <w:rPr>
                <w:rFonts w:cs="Arial"/>
                <w:bCs/>
                <w:sz w:val="18"/>
                <w:szCs w:val="18"/>
                <w:lang w:eastAsia="en-US"/>
              </w:rPr>
              <w:t>(objemové indexy, meziroční růst, příspěvky v p. b., HDP v %)</w:t>
            </w:r>
          </w:p>
        </w:tc>
      </w:tr>
      <w:tr w:rsidR="002C5FEB" w:rsidRPr="009110F7" w14:paraId="228C52A4" w14:textId="77777777" w:rsidTr="00361FB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386021B0" w14:textId="77777777" w:rsidR="002C5FEB" w:rsidRDefault="002C5FEB" w:rsidP="002C5FEB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5AF91DC0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21F72D29" w14:textId="77777777" w:rsidR="002C5FEB" w:rsidRDefault="002C5FEB" w:rsidP="002C5FE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2B3788B" wp14:editId="4A244D27">
                  <wp:extent cx="4737600" cy="3432550"/>
                  <wp:effectExtent l="0" t="0" r="6350" b="0"/>
                  <wp:docPr id="7" name="Graf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C5FEB" w:rsidRPr="009110F7" w14:paraId="7A9BE24D" w14:textId="77777777" w:rsidTr="00361FB7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7C4B21C2" w14:textId="77777777" w:rsidR="002C5FEB" w:rsidRDefault="002C5FEB" w:rsidP="002C5FEB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695B1AEA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724848F" w14:textId="77777777" w:rsidR="002C5FEB" w:rsidRDefault="002C5FEB" w:rsidP="002C5FEB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  <w:p w14:paraId="7EFE3DF5" w14:textId="77777777" w:rsidR="002C5FEB" w:rsidRDefault="002C5FEB" w:rsidP="002C5FEB">
            <w:r>
              <w:rPr>
                <w:sz w:val="14"/>
                <w:szCs w:val="14"/>
              </w:rPr>
              <w:t>*po vyloučení dovozu pro konečné užití</w:t>
            </w:r>
          </w:p>
        </w:tc>
      </w:tr>
      <w:tr w:rsidR="002C5FEB" w:rsidRPr="009110F7" w14:paraId="3515F565" w14:textId="77777777" w:rsidTr="00361FB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9459F61" w14:textId="77777777" w:rsidR="002C5FEB" w:rsidRDefault="002C5FEB" w:rsidP="002C5FEB">
            <w:pPr>
              <w:pStyle w:val="Marginlie"/>
            </w:pPr>
            <w:r>
              <w:t>Spotřeba přispívala k celkovému meziročnímu poklesu HDP.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0F002C60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4B31414" w14:textId="77777777" w:rsidR="002C5FEB" w:rsidRDefault="002C5FEB" w:rsidP="002C5FEB">
            <w:r>
              <w:rPr>
                <w:spacing w:val="-2"/>
              </w:rPr>
              <w:t>Domácí spotřeba se ve 3. čtvrtletí mezičtvrtletně zvýšila o 3,2 %. Z toho spotřeba domácností narostla o 5,0 %. Naopak výdaje na spotřebu vládních institucí mezičtvrtletně klesly o 0,6 %. Celkově se nepodařilo vyrovnat propad spotřeby, který nastal ve 2. kvartálu. Spotřeba tak byla ve 3. čtvrtletí meziročně nižší o 2,7 %. Propad přetrval jen u domácností (–3,9 %), naopak výdaje vládních institucí drobně vzrostly (0,1 %). Členění spotřeby podle trvanlivosti</w:t>
            </w:r>
            <w:r>
              <w:rPr>
                <w:rStyle w:val="Znakapoznpodarou"/>
              </w:rPr>
              <w:footnoteReference w:id="6"/>
            </w:r>
            <w:r>
              <w:rPr>
                <w:spacing w:val="-2"/>
              </w:rPr>
              <w:t xml:space="preserve"> ukazuje, že výrazný meziroční pokles přetrval u segmentů, které byly jarními omezeními nejvíce ovlivněny – služby (–12,4 %) a zboží střednědobé </w:t>
            </w:r>
            <w:r>
              <w:rPr>
                <w:spacing w:val="-2"/>
              </w:rPr>
              <w:lastRenderedPageBreak/>
              <w:t>spotřeby (–7,8 %). Výdaje na zboží dlouhodobé spotřeby byly meziročně nižší jen o 0,9 % a segment netrvanlivého zboží, který obvykle nejlépe odolává cyklickým výkyvům, vzrostl o 0,2 %.</w:t>
            </w:r>
          </w:p>
        </w:tc>
      </w:tr>
      <w:tr w:rsidR="002C5FEB" w:rsidRPr="009110F7" w14:paraId="5CFA0D2C" w14:textId="77777777" w:rsidTr="00361FB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673EB06" w14:textId="77777777" w:rsidR="002C5FEB" w:rsidRDefault="002C5FEB" w:rsidP="002C5FEB">
            <w:pPr>
              <w:pStyle w:val="Marginlie"/>
            </w:pPr>
            <w:r>
              <w:lastRenderedPageBreak/>
              <w:t>Vývoj investiční aktivity byl nepříznivý. Investice se ve srovnání se 2. čtvrtletím snížily.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480C1C05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39BD9AA" w14:textId="77777777" w:rsidR="002C5FEB" w:rsidRDefault="002C5FEB" w:rsidP="002C5FEB">
            <w:r>
              <w:t>Výdaje na tvorbu hrubého kapitálu meziročně klesaly od začátku roku (–8,6 %, –7,6 % a –16,4 % v 1., 2. a 3. čtvrtletí). Z toho výdaje na tvorbu hrubého fixního kapitálu ve 3. čtvrtletí meziročně klesly o 10,7 % (–5,2 % a –5,1 % v 1. a 2. kvartálu). Je tedy vidět, že místo toho, aby se investice společně s ekonomikou zotavovaly, se ve 3. čtvrtletí meziroční propad prohloubil. Ve srovnání se 2. čtvrtletím totiž tvorba hrubého kapitálu klesla o 7,5 % a samotné investice o 5,0 %. Věcné členění tvorby hrubého fixního kapitálu</w:t>
            </w:r>
            <w:r w:rsidRPr="009110F7">
              <w:rPr>
                <w:rStyle w:val="Znakapoznpodarou"/>
              </w:rPr>
              <w:footnoteReference w:id="7"/>
            </w:r>
            <w:r>
              <w:t xml:space="preserve"> ukazuje, že se ve 3. čtvrtletí výrazně prohloubil meziroční pokles investic do dopravních prostředků a zařízení (–22,9 %). Prudce se snížily i výdaje na produkty duševního vlastnictví (–14,7 %) a nejhlubší pokles od 1. čtvrtletí 2011 proběhl u investic do obydlí (–11,3 %). V případě ICT a ostatních strojů a zařízení se meziroční propad zmírnil na 9,9 %. Naopak po výrazném nárůstu z 2. kvartálu se ve 3. čtvrtletí snížily investice do ostatních budov a staveb. Popsaný pokles investic nepřímo ukazuje zejména na pokračující nejistotu a zdrženlivost nefinančních podniků, ke kterým se přidal i sektor domácností.</w:t>
            </w:r>
          </w:p>
        </w:tc>
      </w:tr>
      <w:tr w:rsidR="002C5FEB" w:rsidRPr="009110F7" w14:paraId="6C93F96D" w14:textId="77777777" w:rsidTr="00361FB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7FD83695" w14:textId="77777777" w:rsidR="002C5FEB" w:rsidRDefault="002C5FEB" w:rsidP="002C5FEB">
            <w:pPr>
              <w:pStyle w:val="Marginlie"/>
            </w:pPr>
            <w:r>
              <w:t>Bilance zahraničního obchodu jako jediná přispívala ve směru meziročního růstu HDP.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4B2FE06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1C7E474" w14:textId="0492A881" w:rsidR="002C5FEB" w:rsidRDefault="002C5FEB" w:rsidP="002C5FEB">
            <w:r>
              <w:t>Zahraniční obchod byl ve 2. čtvrtletí paralyzován a odpovídal tomu také rekordní pokles přebytku. Uvolnění ve 3. čtvrtletí přineslo i mohutné mezičtvrtletní oživení vývozu (26,2 %)</w:t>
            </w:r>
            <w:r w:rsidRPr="009110F7">
              <w:rPr>
                <w:rStyle w:val="Znakapoznpodarou"/>
              </w:rPr>
              <w:footnoteReference w:id="8"/>
            </w:r>
            <w:r>
              <w:t xml:space="preserve"> i dovozu (16,3 %). Meziroční pokles se udržel – export byl o 3,1 % nižší než v loňském 3. čtvrtletí a import o 5,1 %. Zotavení se týkalo výhradně obchodu se zbožím. Vývoz zboží mezičtvrtletně narostl o 31,4 % a loňské 3. čtvrtletí překonal o 0,2 %, dovoz se mezičtvrtletně zvýšil o 20,6 % a meziročně zaostal o 1,3 %. Vývoz služeb se naopak držel na úrovni 2. čtvrtletí (+0,6 %) a dovoz dál mezičtvrtletně klesal</w:t>
            </w:r>
            <w:r>
              <w:br/>
              <w:t>(–8,2 %). Výsledná bilance obchodu se zbožím a službami dosáhla rekordního přebytku 12</w:t>
            </w:r>
            <w:r w:rsidR="0006551C">
              <w:t>6</w:t>
            </w:r>
            <w:r>
              <w:t>,6 mld. korun (nejvyšší zaznamenané kladné saldo). Přebytek meziročně narostl o 36,7 mld., z většiny díky obchodu se zbožím (přírůstek 31,2 mld.).</w:t>
            </w:r>
          </w:p>
        </w:tc>
      </w:tr>
      <w:tr w:rsidR="002C5FEB" w:rsidRPr="009110F7" w14:paraId="4FD719FB" w14:textId="77777777" w:rsidTr="00361FB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03D4A8CA" w14:textId="77777777" w:rsidR="002C5FEB" w:rsidRDefault="002C5FEB" w:rsidP="002C5FEB">
            <w:pPr>
              <w:pStyle w:val="Marginlie"/>
            </w:pPr>
            <w:r>
              <w:t>Mezičtvrtletní růst HPH byl výrazný zejména v odvětvích nejvíce zasažených jarními protiepidemickými omezeními.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05BFDDD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426CEC5" w14:textId="77777777" w:rsidR="002C5FEB" w:rsidRPr="00F93F2C" w:rsidRDefault="002C5FEB" w:rsidP="002C5FEB">
            <w:r>
              <w:t>Hrubá přidaná hodnota (HPH) se ve 3. čtvrtletí mezičtvrtletně zvýšila o 7,3 %. Velké přírůstky oproti 2. kvartálu zaznamenala odvětví nejvíce zasažená epidemickou situací – ostatní činnosti (21,3 %, zahrnují zejména poskytování osobních služeb – kadeřnictví, kosmetické služby apod.), zpracovatelský průmysl (16,5 %) a uskupení obchod, doprava, ubytování a pohostinství (13,5 %). Negativní vývoj pokračoval u profesních, vědeckých, technických a administrativních činností, kde HPH mezičtvrtletně klesla o 4,0 % (ve 2. čtvrtletí to bylo o 9,2 %). Mezičtvrtletně poklesla i HPH informačních a komunikačních činností (–1,2 %), kde ale jarní situace růst pouze zastavila. Slušného přírůstku HPH dosáhlo stavebnictví (3,8 %), odvětví s převahou vládních institucí (2,5 %) a peněžnictví a pojišťovnictví (2,3 %).</w:t>
            </w:r>
          </w:p>
        </w:tc>
      </w:tr>
      <w:tr w:rsidR="002C5FEB" w:rsidRPr="009110F7" w14:paraId="0C8FD78E" w14:textId="77777777" w:rsidTr="00361FB7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0A0C97CA" w14:textId="77777777" w:rsidR="002C5FEB" w:rsidRDefault="002C5FEB" w:rsidP="002C5FEB">
            <w:pPr>
              <w:pStyle w:val="Marginlie"/>
            </w:pPr>
            <w:r>
              <w:t>Většina odvětví ve 3. čtvrtletí zaznamenala meziroční pokles HPH.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027DF8D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4B7DC6B" w14:textId="77777777" w:rsidR="002C5FEB" w:rsidRDefault="002C5FEB" w:rsidP="002C5FEB">
            <w:r>
              <w:t xml:space="preserve">Oproti stejnému období minulého roku byla HPH ve 3. čtvrtletí stále nižší o 4,8 %. Meziroční pokles se prohloubil u profesních, vědeckých, technických a administrativních činností (–14,1 %). Poměrně hluboko pod úrovní loňského 3. čtvrtletí zůstala HPH také u obchodu, dopravy, ubytování a pohostinství (–9,3 %, odvětví přispělo k celkovému poklesu HPH –1,7 p. b.) a ostatních činností (–8,0 %). Zpracovatelskému </w:t>
            </w:r>
            <w:r w:rsidRPr="005820CD">
              <w:rPr>
                <w:rFonts w:ascii="hodin" w:hAnsi="hodin"/>
              </w:rPr>
              <w:t>průmyslu</w:t>
            </w:r>
            <w:r>
              <w:t xml:space="preserve"> se podařilo velký propad z předchozího kvartálu dohnat jen zčásti (meziroční pokles ve 3. čtvrtletí o 4,9 %). Jeho velká váha v ekonomice ale znamenala, že vývoj zpracovatelského průmyslu k celkovému poklesu HPH přispěl </w:t>
            </w:r>
            <w:r>
              <w:br/>
              <w:t xml:space="preserve">–1,2 p. b. </w:t>
            </w:r>
            <w:proofErr w:type="gramStart"/>
            <w:r>
              <w:t>Nižší</w:t>
            </w:r>
            <w:proofErr w:type="gramEnd"/>
            <w:r>
              <w:t xml:space="preserve"> než loni byla také HPH činností v oblasti nemovitostí (–3,4 %), stavebnictví (–2,5 %) a peněžnictví a pojišťovnictví (–2,4 %). Již 11 čtvrtletí v řadě trvá </w:t>
            </w:r>
            <w:r>
              <w:lastRenderedPageBreak/>
              <w:t>meziroční růst HPH zemědělství, lesnictví a rybářství (3,7 %). Přírůstek zaznamenala také odvětví s převahou vládního sektoru (1,4 %) a informační a komunikační činnosti (0,4 %).</w:t>
            </w:r>
          </w:p>
        </w:tc>
      </w:tr>
      <w:tr w:rsidR="002C5FEB" w:rsidRPr="009110F7" w14:paraId="0DCA90FA" w14:textId="77777777" w:rsidTr="00361FB7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054D1E88" w14:textId="77777777" w:rsidR="002C5FEB" w:rsidRDefault="002C5FEB" w:rsidP="002C5FEB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7A9906DE" w14:textId="77777777" w:rsidR="002C5FEB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BA96D14" w14:textId="77777777" w:rsidR="002C5FEB" w:rsidRPr="001208E3" w:rsidRDefault="002C5FEB" w:rsidP="002C5FEB">
            <w:pPr>
              <w:spacing w:after="0"/>
              <w:rPr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Graf č. 3 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Příspěvky odvětví k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 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>reálné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663018">
              <w:rPr>
                <w:rFonts w:cs="Arial"/>
                <w:b/>
                <w:sz w:val="18"/>
                <w:szCs w:val="18"/>
                <w:lang w:eastAsia="en-US"/>
              </w:rPr>
              <w:t xml:space="preserve">změně HPH </w:t>
            </w:r>
            <w:r w:rsidRPr="00363CF2">
              <w:rPr>
                <w:rFonts w:cs="Arial"/>
                <w:bCs/>
                <w:sz w:val="18"/>
                <w:szCs w:val="18"/>
                <w:lang w:eastAsia="en-US"/>
              </w:rPr>
              <w:t>(objemové indexy, meziroční příspěvky v p. b., HPH v %)</w:t>
            </w:r>
          </w:p>
        </w:tc>
      </w:tr>
      <w:tr w:rsidR="002C5FEB" w:rsidRPr="009110F7" w14:paraId="5A3EEFC4" w14:textId="77777777" w:rsidTr="00361FB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2F289233" w14:textId="77777777" w:rsidR="002C5FEB" w:rsidRPr="009110F7" w:rsidRDefault="002C5FEB" w:rsidP="002C5FEB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427D7E07" w14:textId="77777777" w:rsidR="002C5FEB" w:rsidRPr="009110F7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6358A1AA" w14:textId="77777777" w:rsidR="002C5FEB" w:rsidRPr="009110F7" w:rsidRDefault="002C5FEB" w:rsidP="002C5FE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DB0B725" wp14:editId="2F6EE873">
                  <wp:extent cx="4737600" cy="3372225"/>
                  <wp:effectExtent l="0" t="0" r="6350" b="0"/>
                  <wp:docPr id="8" name="Graf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2C5FEB" w:rsidRPr="009110F7" w14:paraId="1088241D" w14:textId="77777777" w:rsidTr="00361FB7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3B811974" w14:textId="77777777" w:rsidR="002C5FEB" w:rsidRPr="009110F7" w:rsidRDefault="002C5FEB" w:rsidP="002C5FEB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62BA5C84" w14:textId="77777777" w:rsidR="002C5FEB" w:rsidRPr="009110F7" w:rsidRDefault="002C5FEB" w:rsidP="002C5FEB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27C2AF1" w14:textId="77777777" w:rsidR="002C5FEB" w:rsidRPr="009110F7" w:rsidRDefault="002C5FEB" w:rsidP="002C5FEB">
            <w:pPr>
              <w:rPr>
                <w:sz w:val="14"/>
                <w:szCs w:val="14"/>
              </w:rPr>
            </w:pPr>
            <w:r w:rsidRPr="00A85DE1">
              <w:rPr>
                <w:sz w:val="14"/>
                <w:szCs w:val="14"/>
              </w:rPr>
              <w:t>Zdroj: ČSÚ</w:t>
            </w:r>
          </w:p>
        </w:tc>
      </w:tr>
    </w:tbl>
    <w:p w14:paraId="51DE27BA" w14:textId="77777777" w:rsidR="00682110" w:rsidRPr="00C41D54" w:rsidRDefault="00682110" w:rsidP="00682110">
      <w:pPr>
        <w:pStyle w:val="Nadpis11"/>
        <w:rPr>
          <w:b w:val="0"/>
          <w:sz w:val="2"/>
          <w:szCs w:val="2"/>
          <w:highlight w:val="yellow"/>
        </w:rPr>
      </w:pPr>
    </w:p>
    <w:p w14:paraId="6A57706F" w14:textId="1E866DB0" w:rsidR="0085334C" w:rsidRPr="00DA3ADF" w:rsidRDefault="0085334C" w:rsidP="00DA3ADF">
      <w:pPr>
        <w:spacing w:after="0" w:line="240" w:lineRule="auto"/>
        <w:jc w:val="left"/>
        <w:rPr>
          <w:rFonts w:eastAsia="MS Gothic"/>
          <w:bCs/>
          <w:color w:val="71818C"/>
          <w:sz w:val="2"/>
          <w:szCs w:val="2"/>
          <w:highlight w:val="yellow"/>
        </w:rPr>
      </w:pPr>
    </w:p>
    <w:p w14:paraId="18899EB9" w14:textId="77777777" w:rsidR="00E13995" w:rsidRDefault="00E13995" w:rsidP="00E13995">
      <w:pPr>
        <w:spacing w:after="0" w:line="240" w:lineRule="auto"/>
        <w:jc w:val="left"/>
        <w:rPr>
          <w:b/>
          <w:sz w:val="2"/>
          <w:szCs w:val="2"/>
          <w:highlight w:val="yellow"/>
        </w:rPr>
      </w:pPr>
      <w:bookmarkStart w:id="2" w:name="_Toc532558284"/>
      <w:bookmarkStart w:id="3" w:name="_Toc26539341"/>
      <w:bookmarkStart w:id="4" w:name="_Toc11237634"/>
      <w:bookmarkEnd w:id="0"/>
    </w:p>
    <w:bookmarkEnd w:id="2"/>
    <w:bookmarkEnd w:id="3"/>
    <w:bookmarkEnd w:id="4"/>
    <w:p w14:paraId="3E974863" w14:textId="7F85E6B3" w:rsidR="000663F0" w:rsidRPr="00E42054" w:rsidRDefault="000663F0" w:rsidP="000663F0">
      <w:pPr>
        <w:pStyle w:val="Nadpis11"/>
        <w:spacing w:after="0"/>
        <w:rPr>
          <w:b w:val="0"/>
          <w:sz w:val="2"/>
          <w:szCs w:val="2"/>
        </w:rPr>
      </w:pPr>
    </w:p>
    <w:sectPr w:rsidR="000663F0" w:rsidRPr="00E42054" w:rsidSect="0097501D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51C5" w14:textId="77777777" w:rsidR="0060120D" w:rsidRDefault="0060120D" w:rsidP="00E71A58">
      <w:r>
        <w:separator/>
      </w:r>
    </w:p>
  </w:endnote>
  <w:endnote w:type="continuationSeparator" w:id="0">
    <w:p w14:paraId="7E79BE89" w14:textId="77777777" w:rsidR="0060120D" w:rsidRDefault="0060120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od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1A0D" w14:textId="3103AF3A" w:rsidR="008D3ACD" w:rsidRPr="00932443" w:rsidRDefault="008D3AC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6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42B29">
      <w:rPr>
        <w:szCs w:val="16"/>
      </w:rPr>
      <w:t>34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7E4B" w14:textId="692BEA19" w:rsidR="008D3ACD" w:rsidRPr="00932443" w:rsidRDefault="008D3ACD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1. až 3. čtvrtletí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33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42B29">
      <w:rPr>
        <w:rStyle w:val="ZpatChar"/>
        <w:szCs w:val="16"/>
      </w:rPr>
      <w:t>35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3E61E" w14:textId="77777777" w:rsidR="0060120D" w:rsidRDefault="0060120D" w:rsidP="00A21B4D">
      <w:pPr>
        <w:spacing w:after="0"/>
      </w:pPr>
      <w:r>
        <w:separator/>
      </w:r>
    </w:p>
  </w:footnote>
  <w:footnote w:type="continuationSeparator" w:id="0">
    <w:p w14:paraId="14D7D261" w14:textId="77777777" w:rsidR="0060120D" w:rsidRDefault="0060120D" w:rsidP="00E71A58">
      <w:r>
        <w:continuationSeparator/>
      </w:r>
    </w:p>
  </w:footnote>
  <w:footnote w:id="1">
    <w:p w14:paraId="4CD84DBB" w14:textId="77777777" w:rsidR="008D3ACD" w:rsidRPr="00EF1EE3" w:rsidRDefault="008D3ACD" w:rsidP="00682110">
      <w:pPr>
        <w:pStyle w:val="Textpoznpodarou"/>
        <w:rPr>
          <w:sz w:val="16"/>
          <w:szCs w:val="16"/>
        </w:rPr>
      </w:pPr>
      <w:r w:rsidRPr="00C1246C">
        <w:rPr>
          <w:rStyle w:val="Znakapoznpodarou"/>
        </w:rPr>
        <w:footnoteRef/>
      </w:r>
      <w:r w:rsidRPr="00EF1EE3">
        <w:rPr>
          <w:sz w:val="16"/>
          <w:szCs w:val="16"/>
        </w:rPr>
        <w:t xml:space="preserve"> </w:t>
      </w:r>
      <w:r>
        <w:rPr>
          <w:sz w:val="16"/>
          <w:szCs w:val="16"/>
        </w:rPr>
        <w:t>Vývoj</w:t>
      </w:r>
      <w:r w:rsidRPr="00EF1EE3">
        <w:rPr>
          <w:sz w:val="16"/>
          <w:szCs w:val="16"/>
        </w:rPr>
        <w:t xml:space="preserve"> HDP, hrubé přidané hodnot</w:t>
      </w:r>
      <w:r>
        <w:rPr>
          <w:sz w:val="16"/>
          <w:szCs w:val="16"/>
        </w:rPr>
        <w:t>y</w:t>
      </w:r>
      <w:r w:rsidRPr="00EF1EE3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EF1EE3">
        <w:rPr>
          <w:sz w:val="16"/>
          <w:szCs w:val="16"/>
        </w:rPr>
        <w:t>jejich slož</w:t>
      </w:r>
      <w:r>
        <w:rPr>
          <w:sz w:val="16"/>
          <w:szCs w:val="16"/>
        </w:rPr>
        <w:t>e</w:t>
      </w:r>
      <w:r w:rsidRPr="00EF1EE3">
        <w:rPr>
          <w:sz w:val="16"/>
          <w:szCs w:val="16"/>
        </w:rPr>
        <w:t xml:space="preserve">k </w:t>
      </w:r>
      <w:r>
        <w:rPr>
          <w:sz w:val="16"/>
          <w:szCs w:val="16"/>
        </w:rPr>
        <w:t xml:space="preserve">je </w:t>
      </w:r>
      <w:r w:rsidRPr="00EF1EE3">
        <w:rPr>
          <w:sz w:val="16"/>
          <w:szCs w:val="16"/>
        </w:rPr>
        <w:t>vyjádřen</w:t>
      </w:r>
      <w:r>
        <w:rPr>
          <w:sz w:val="16"/>
          <w:szCs w:val="16"/>
        </w:rPr>
        <w:t xml:space="preserve"> prostřednictvím objemových indexů (tj. očištěn o vliv cen)</w:t>
      </w:r>
      <w:r w:rsidRPr="00EF1EE3">
        <w:rPr>
          <w:sz w:val="16"/>
          <w:szCs w:val="16"/>
        </w:rPr>
        <w:t xml:space="preserve"> a</w:t>
      </w:r>
      <w:r>
        <w:rPr>
          <w:sz w:val="16"/>
          <w:szCs w:val="16"/>
        </w:rPr>
        <w:t xml:space="preserve"> po </w:t>
      </w:r>
      <w:r w:rsidRPr="00EF1EE3">
        <w:rPr>
          <w:sz w:val="16"/>
          <w:szCs w:val="16"/>
        </w:rPr>
        <w:t>očištění o</w:t>
      </w:r>
      <w:r>
        <w:rPr>
          <w:sz w:val="16"/>
          <w:szCs w:val="16"/>
        </w:rPr>
        <w:t> </w:t>
      </w:r>
      <w:r w:rsidRPr="00EF1EE3">
        <w:rPr>
          <w:sz w:val="16"/>
          <w:szCs w:val="16"/>
        </w:rPr>
        <w:t>sezónní a kalendářn</w:t>
      </w:r>
      <w:r>
        <w:rPr>
          <w:sz w:val="16"/>
          <w:szCs w:val="16"/>
        </w:rPr>
        <w:t>í vlivy. Údaje jsou platné k 1. 9. 2020</w:t>
      </w:r>
      <w:r w:rsidRPr="00EF1EE3">
        <w:rPr>
          <w:sz w:val="16"/>
          <w:szCs w:val="16"/>
        </w:rPr>
        <w:t>.</w:t>
      </w:r>
    </w:p>
  </w:footnote>
  <w:footnote w:id="2">
    <w:p w14:paraId="212AE37D" w14:textId="77777777" w:rsidR="008D3ACD" w:rsidRPr="009C6EA8" w:rsidRDefault="008D3ACD" w:rsidP="00682110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Příspěvky ke změně HDP po vyloučení dovozu pro konečné užití.</w:t>
      </w:r>
    </w:p>
  </w:footnote>
  <w:footnote w:id="3">
    <w:p w14:paraId="42895A2D" w14:textId="77777777" w:rsidR="008D3ACD" w:rsidRPr="00BB319F" w:rsidRDefault="008D3ACD" w:rsidP="00C84307">
      <w:pPr>
        <w:pStyle w:val="Textpoznpodarou"/>
        <w:rPr>
          <w:sz w:val="16"/>
          <w:szCs w:val="16"/>
        </w:rPr>
      </w:pPr>
      <w:r w:rsidRPr="00AF6B7C">
        <w:rPr>
          <w:rStyle w:val="Znakapoznpodarou"/>
          <w:sz w:val="16"/>
          <w:szCs w:val="16"/>
        </w:rPr>
        <w:footnoteRef/>
      </w:r>
      <w:r w:rsidRPr="00AF6B7C">
        <w:rPr>
          <w:sz w:val="16"/>
          <w:szCs w:val="16"/>
        </w:rPr>
        <w:t xml:space="preserve"> </w:t>
      </w:r>
      <w:r w:rsidRPr="00BB319F">
        <w:rPr>
          <w:sz w:val="16"/>
          <w:szCs w:val="16"/>
        </w:rPr>
        <w:t>Nedostupná data za</w:t>
      </w:r>
      <w:r>
        <w:rPr>
          <w:sz w:val="16"/>
          <w:szCs w:val="16"/>
        </w:rPr>
        <w:t xml:space="preserve"> </w:t>
      </w:r>
      <w:r w:rsidRPr="00BB319F">
        <w:rPr>
          <w:sz w:val="16"/>
          <w:szCs w:val="16"/>
        </w:rPr>
        <w:t>Lucembursko.</w:t>
      </w:r>
      <w:r>
        <w:rPr>
          <w:sz w:val="16"/>
          <w:szCs w:val="16"/>
        </w:rPr>
        <w:t xml:space="preserve"> Data za Slovensko nejsou očištěna o kalendářní vlivy.</w:t>
      </w:r>
    </w:p>
  </w:footnote>
  <w:footnote w:id="4">
    <w:p w14:paraId="359214B3" w14:textId="77777777" w:rsidR="008D3ACD" w:rsidRDefault="008D3ACD" w:rsidP="00682110">
      <w:pPr>
        <w:pStyle w:val="Textpoznpodarou"/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</w:t>
      </w:r>
      <w:r>
        <w:rPr>
          <w:sz w:val="16"/>
          <w:szCs w:val="16"/>
        </w:rPr>
        <w:t>Zaměstnanost v</w:t>
      </w:r>
      <w:r w:rsidRPr="009C6EA8">
        <w:rPr>
          <w:sz w:val="16"/>
          <w:szCs w:val="16"/>
        </w:rPr>
        <w:t> pojetí národních účtů</w:t>
      </w:r>
      <w:r>
        <w:rPr>
          <w:sz w:val="16"/>
          <w:szCs w:val="16"/>
        </w:rPr>
        <w:t xml:space="preserve"> (osoby)</w:t>
      </w:r>
      <w:r w:rsidRPr="009C6EA8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údaj je </w:t>
      </w:r>
      <w:r w:rsidRPr="009C6EA8">
        <w:rPr>
          <w:sz w:val="16"/>
          <w:szCs w:val="16"/>
        </w:rPr>
        <w:t>sezónně očištěn</w:t>
      </w:r>
      <w:r w:rsidRPr="00004BA8">
        <w:rPr>
          <w:sz w:val="16"/>
        </w:rPr>
        <w:t>.</w:t>
      </w:r>
    </w:p>
  </w:footnote>
  <w:footnote w:id="5">
    <w:p w14:paraId="4030F477" w14:textId="77777777" w:rsidR="008D3ACD" w:rsidRPr="00771972" w:rsidRDefault="008D3ACD" w:rsidP="00682110">
      <w:pPr>
        <w:pStyle w:val="Textpoznpodarou"/>
        <w:rPr>
          <w:sz w:val="16"/>
          <w:szCs w:val="16"/>
        </w:rPr>
      </w:pPr>
      <w:r w:rsidRPr="00771972">
        <w:rPr>
          <w:rStyle w:val="Znakapoznpodarou"/>
          <w:sz w:val="16"/>
          <w:szCs w:val="16"/>
        </w:rPr>
        <w:footnoteRef/>
      </w:r>
      <w:r w:rsidRPr="00771972">
        <w:rPr>
          <w:sz w:val="16"/>
          <w:szCs w:val="16"/>
        </w:rPr>
        <w:t xml:space="preserve"> Veřejná správa a</w:t>
      </w:r>
      <w:r>
        <w:rPr>
          <w:sz w:val="16"/>
          <w:szCs w:val="16"/>
        </w:rPr>
        <w:t> </w:t>
      </w:r>
      <w:r w:rsidRPr="00771972">
        <w:rPr>
          <w:sz w:val="16"/>
          <w:szCs w:val="16"/>
        </w:rPr>
        <w:t>obrana, vzdělávání, zdravotní a</w:t>
      </w:r>
      <w:r>
        <w:rPr>
          <w:sz w:val="16"/>
          <w:szCs w:val="16"/>
        </w:rPr>
        <w:t> </w:t>
      </w:r>
      <w:r w:rsidRPr="00771972">
        <w:rPr>
          <w:sz w:val="16"/>
          <w:szCs w:val="16"/>
        </w:rPr>
        <w:t>sociální péče.</w:t>
      </w:r>
    </w:p>
  </w:footnote>
  <w:footnote w:id="6">
    <w:p w14:paraId="311F401D" w14:textId="77777777" w:rsidR="008D3ACD" w:rsidRPr="00954992" w:rsidRDefault="008D3ACD" w:rsidP="00682110">
      <w:pPr>
        <w:pStyle w:val="Textpoznpodarou"/>
        <w:rPr>
          <w:sz w:val="16"/>
          <w:szCs w:val="16"/>
        </w:rPr>
      </w:pPr>
      <w:r w:rsidRPr="00954992">
        <w:rPr>
          <w:rStyle w:val="Znakapoznpodarou"/>
          <w:sz w:val="16"/>
          <w:szCs w:val="16"/>
        </w:rPr>
        <w:footnoteRef/>
      </w:r>
      <w:r w:rsidRPr="00954992">
        <w:rPr>
          <w:sz w:val="16"/>
          <w:szCs w:val="16"/>
        </w:rPr>
        <w:t xml:space="preserve"> Údaje o</w:t>
      </w:r>
      <w:r>
        <w:rPr>
          <w:sz w:val="16"/>
          <w:szCs w:val="16"/>
        </w:rPr>
        <w:t> </w:t>
      </w:r>
      <w:r w:rsidRPr="00954992">
        <w:rPr>
          <w:sz w:val="16"/>
          <w:szCs w:val="16"/>
        </w:rPr>
        <w:t>spotřebě dle trvanlivosti jsou v domácím pojetí a</w:t>
      </w:r>
      <w:r>
        <w:rPr>
          <w:sz w:val="16"/>
          <w:szCs w:val="16"/>
        </w:rPr>
        <w:t> </w:t>
      </w:r>
      <w:r w:rsidRPr="00954992">
        <w:rPr>
          <w:sz w:val="16"/>
          <w:szCs w:val="16"/>
        </w:rPr>
        <w:t>bez sezónního očištění.</w:t>
      </w:r>
    </w:p>
  </w:footnote>
  <w:footnote w:id="7">
    <w:p w14:paraId="16EB6BEF" w14:textId="77777777" w:rsidR="008D3ACD" w:rsidRPr="0021552C" w:rsidRDefault="008D3ACD" w:rsidP="00682110">
      <w:pPr>
        <w:pStyle w:val="Textpoznpodarou"/>
        <w:rPr>
          <w:sz w:val="16"/>
          <w:szCs w:val="16"/>
        </w:rPr>
      </w:pPr>
      <w:r w:rsidRPr="0021552C">
        <w:rPr>
          <w:rStyle w:val="Znakapoznpodarou"/>
          <w:sz w:val="16"/>
          <w:szCs w:val="16"/>
        </w:rPr>
        <w:footnoteRef/>
      </w:r>
      <w:r w:rsidRPr="0021552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</w:t>
      </w:r>
      <w:r w:rsidRPr="0021552C">
        <w:rPr>
          <w:rFonts w:cs="Arial"/>
          <w:sz w:val="16"/>
          <w:szCs w:val="16"/>
        </w:rPr>
        <w:t>ata o</w:t>
      </w:r>
      <w:r>
        <w:rPr>
          <w:rFonts w:cs="Arial"/>
          <w:sz w:val="16"/>
          <w:szCs w:val="16"/>
        </w:rPr>
        <w:t> </w:t>
      </w:r>
      <w:r w:rsidRPr="0021552C">
        <w:rPr>
          <w:rFonts w:cs="Arial"/>
          <w:sz w:val="16"/>
          <w:szCs w:val="16"/>
        </w:rPr>
        <w:t xml:space="preserve">věcném členění tvorby </w:t>
      </w:r>
      <w:r>
        <w:rPr>
          <w:rFonts w:cs="Arial"/>
          <w:sz w:val="16"/>
          <w:szCs w:val="16"/>
        </w:rPr>
        <w:t>hrubého fixního kapitálu</w:t>
      </w:r>
      <w:r w:rsidRPr="0021552C">
        <w:rPr>
          <w:rFonts w:cs="Arial"/>
          <w:sz w:val="16"/>
          <w:szCs w:val="16"/>
        </w:rPr>
        <w:t xml:space="preserve"> nejsou sezónně očištěna</w:t>
      </w:r>
      <w:r>
        <w:rPr>
          <w:rFonts w:cs="Arial"/>
          <w:sz w:val="16"/>
          <w:szCs w:val="16"/>
        </w:rPr>
        <w:t>.</w:t>
      </w:r>
    </w:p>
  </w:footnote>
  <w:footnote w:id="8">
    <w:p w14:paraId="609869AB" w14:textId="77777777" w:rsidR="008D3ACD" w:rsidRPr="00167B30" w:rsidRDefault="008D3ACD" w:rsidP="00682110">
      <w:pPr>
        <w:pStyle w:val="Textpoznpodarou"/>
        <w:rPr>
          <w:sz w:val="16"/>
          <w:szCs w:val="16"/>
        </w:rPr>
      </w:pPr>
      <w:r w:rsidRPr="00167B30">
        <w:rPr>
          <w:rStyle w:val="Znakapoznpodarou"/>
          <w:sz w:val="16"/>
          <w:szCs w:val="16"/>
        </w:rPr>
        <w:footnoteRef/>
      </w:r>
      <w:r w:rsidRPr="00167B30">
        <w:rPr>
          <w:sz w:val="16"/>
          <w:szCs w:val="16"/>
        </w:rPr>
        <w:t xml:space="preserve"> Podle metodiky čtvrtletních národních účtů (vývoz a</w:t>
      </w:r>
      <w:r>
        <w:rPr>
          <w:sz w:val="16"/>
          <w:szCs w:val="16"/>
        </w:rPr>
        <w:t> </w:t>
      </w:r>
      <w:r w:rsidRPr="00167B30">
        <w:rPr>
          <w:sz w:val="16"/>
          <w:szCs w:val="16"/>
        </w:rPr>
        <w:t>dovoz v ocenění FOB/FOB)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85C8" w14:textId="77777777" w:rsidR="008D3ACD" w:rsidRDefault="008D3ACD" w:rsidP="00937AE2">
    <w:pPr>
      <w:pStyle w:val="Zhlav"/>
    </w:pPr>
    <w:r>
      <w:t>Vývoj ekonomiky České republiky</w:t>
    </w:r>
  </w:p>
  <w:p w14:paraId="675E4C41" w14:textId="77777777" w:rsidR="008D3ACD" w:rsidRPr="006F5416" w:rsidRDefault="008D3ACD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12FB" w14:textId="77777777" w:rsidR="008D3ACD" w:rsidRDefault="008D3ACD" w:rsidP="00937AE2">
    <w:pPr>
      <w:pStyle w:val="Zhlav"/>
    </w:pPr>
    <w:r>
      <w:t>Vývoj ekonomiky České republiky</w:t>
    </w:r>
  </w:p>
  <w:p w14:paraId="0CDCFD48" w14:textId="77777777" w:rsidR="008D3ACD" w:rsidRPr="006F5416" w:rsidRDefault="008D3ACD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12"/>
  </w:num>
  <w:num w:numId="15">
    <w:abstractNumId w:val="18"/>
  </w:num>
  <w:num w:numId="16">
    <w:abstractNumId w:val="14"/>
  </w:num>
  <w:num w:numId="17">
    <w:abstractNumId w:val="26"/>
  </w:num>
  <w:num w:numId="18">
    <w:abstractNumId w:val="19"/>
  </w:num>
  <w:num w:numId="19">
    <w:abstractNumId w:val="27"/>
  </w:num>
  <w:num w:numId="20">
    <w:abstractNumId w:val="28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B55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669F"/>
    <w:rsid w:val="000279E5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70A87"/>
    <w:rsid w:val="000712B3"/>
    <w:rsid w:val="00071A7C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E5F"/>
    <w:rsid w:val="000A3A2C"/>
    <w:rsid w:val="000A3D9E"/>
    <w:rsid w:val="000A4A54"/>
    <w:rsid w:val="000A4ED9"/>
    <w:rsid w:val="000A5DB7"/>
    <w:rsid w:val="000A6D94"/>
    <w:rsid w:val="000A7377"/>
    <w:rsid w:val="000A7FF4"/>
    <w:rsid w:val="000B03CC"/>
    <w:rsid w:val="000B4212"/>
    <w:rsid w:val="000B67B7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3058"/>
    <w:rsid w:val="000D310A"/>
    <w:rsid w:val="000D3EF4"/>
    <w:rsid w:val="000D4DC0"/>
    <w:rsid w:val="000D5637"/>
    <w:rsid w:val="000D6F4E"/>
    <w:rsid w:val="000D73BB"/>
    <w:rsid w:val="000E0E96"/>
    <w:rsid w:val="000E298B"/>
    <w:rsid w:val="000E2C7D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C33"/>
    <w:rsid w:val="00116D3F"/>
    <w:rsid w:val="00117474"/>
    <w:rsid w:val="00117623"/>
    <w:rsid w:val="00117FEA"/>
    <w:rsid w:val="001200CF"/>
    <w:rsid w:val="001208E3"/>
    <w:rsid w:val="0012192F"/>
    <w:rsid w:val="0012299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BBC"/>
    <w:rsid w:val="0018385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A0487"/>
    <w:rsid w:val="001A0675"/>
    <w:rsid w:val="001A1F68"/>
    <w:rsid w:val="001A21FA"/>
    <w:rsid w:val="001A4EF0"/>
    <w:rsid w:val="001A552F"/>
    <w:rsid w:val="001A70B1"/>
    <w:rsid w:val="001B0738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6CD3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1D5"/>
    <w:rsid w:val="002111E5"/>
    <w:rsid w:val="002118B9"/>
    <w:rsid w:val="00213691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120E"/>
    <w:rsid w:val="00262582"/>
    <w:rsid w:val="0026291D"/>
    <w:rsid w:val="00262CF3"/>
    <w:rsid w:val="00264309"/>
    <w:rsid w:val="0026564B"/>
    <w:rsid w:val="00265C83"/>
    <w:rsid w:val="00265E85"/>
    <w:rsid w:val="00267B49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83D"/>
    <w:rsid w:val="00275DEF"/>
    <w:rsid w:val="002763A2"/>
    <w:rsid w:val="00276B33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98D"/>
    <w:rsid w:val="002C40D2"/>
    <w:rsid w:val="002C43BD"/>
    <w:rsid w:val="002C5245"/>
    <w:rsid w:val="002C564A"/>
    <w:rsid w:val="002C59D8"/>
    <w:rsid w:val="002C5FEB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E7AE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2058C"/>
    <w:rsid w:val="003208D0"/>
    <w:rsid w:val="003209D6"/>
    <w:rsid w:val="003217B9"/>
    <w:rsid w:val="00321924"/>
    <w:rsid w:val="00321EB6"/>
    <w:rsid w:val="003220A5"/>
    <w:rsid w:val="003238E0"/>
    <w:rsid w:val="00323A1C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978B1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5B59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1EF8"/>
    <w:rsid w:val="003E2DFB"/>
    <w:rsid w:val="003E4C91"/>
    <w:rsid w:val="003E52D8"/>
    <w:rsid w:val="003E62F1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6595"/>
    <w:rsid w:val="0046746A"/>
    <w:rsid w:val="00467B14"/>
    <w:rsid w:val="004707FE"/>
    <w:rsid w:val="00470EDC"/>
    <w:rsid w:val="0047276D"/>
    <w:rsid w:val="00472AF6"/>
    <w:rsid w:val="00473482"/>
    <w:rsid w:val="00474A04"/>
    <w:rsid w:val="00476240"/>
    <w:rsid w:val="00476439"/>
    <w:rsid w:val="00476450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0498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0E"/>
    <w:rsid w:val="00557E45"/>
    <w:rsid w:val="00560C41"/>
    <w:rsid w:val="00561F44"/>
    <w:rsid w:val="00562B4D"/>
    <w:rsid w:val="00563EB8"/>
    <w:rsid w:val="005647BF"/>
    <w:rsid w:val="00564AF1"/>
    <w:rsid w:val="005655DB"/>
    <w:rsid w:val="00565E88"/>
    <w:rsid w:val="00567339"/>
    <w:rsid w:val="005678EE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94B"/>
    <w:rsid w:val="006104FB"/>
    <w:rsid w:val="0061176D"/>
    <w:rsid w:val="0061200F"/>
    <w:rsid w:val="00612756"/>
    <w:rsid w:val="00612A2F"/>
    <w:rsid w:val="00612AAE"/>
    <w:rsid w:val="00612FD9"/>
    <w:rsid w:val="006139E0"/>
    <w:rsid w:val="00614D35"/>
    <w:rsid w:val="006156B4"/>
    <w:rsid w:val="00615DAF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8032F"/>
    <w:rsid w:val="00680D37"/>
    <w:rsid w:val="0068174E"/>
    <w:rsid w:val="00681DCE"/>
    <w:rsid w:val="00682110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4355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279A"/>
    <w:rsid w:val="006E313B"/>
    <w:rsid w:val="006E34B2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C10BD"/>
    <w:rsid w:val="007C1F0C"/>
    <w:rsid w:val="007C1FFB"/>
    <w:rsid w:val="007C2D94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334C"/>
    <w:rsid w:val="00855408"/>
    <w:rsid w:val="00855D03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B7B"/>
    <w:rsid w:val="00954F39"/>
    <w:rsid w:val="009555FD"/>
    <w:rsid w:val="0095664B"/>
    <w:rsid w:val="009568DC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FCD"/>
    <w:rsid w:val="00973324"/>
    <w:rsid w:val="009736DF"/>
    <w:rsid w:val="009741AE"/>
    <w:rsid w:val="009741FC"/>
    <w:rsid w:val="00974782"/>
    <w:rsid w:val="00974923"/>
    <w:rsid w:val="0097501D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CF3"/>
    <w:rsid w:val="00993194"/>
    <w:rsid w:val="0099321E"/>
    <w:rsid w:val="00994171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C91"/>
    <w:rsid w:val="00A83150"/>
    <w:rsid w:val="00A83398"/>
    <w:rsid w:val="00A83D6E"/>
    <w:rsid w:val="00A83FD5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F"/>
    <w:rsid w:val="00AA26A9"/>
    <w:rsid w:val="00AA2996"/>
    <w:rsid w:val="00AA2AF4"/>
    <w:rsid w:val="00AA4282"/>
    <w:rsid w:val="00AA4790"/>
    <w:rsid w:val="00AA52BF"/>
    <w:rsid w:val="00AA559A"/>
    <w:rsid w:val="00AA6C31"/>
    <w:rsid w:val="00AA7752"/>
    <w:rsid w:val="00AA7CE8"/>
    <w:rsid w:val="00AB1457"/>
    <w:rsid w:val="00AB2AF1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550"/>
    <w:rsid w:val="00B00913"/>
    <w:rsid w:val="00B01593"/>
    <w:rsid w:val="00B01FF9"/>
    <w:rsid w:val="00B023F2"/>
    <w:rsid w:val="00B038CA"/>
    <w:rsid w:val="00B06DB4"/>
    <w:rsid w:val="00B0750D"/>
    <w:rsid w:val="00B0799C"/>
    <w:rsid w:val="00B102CE"/>
    <w:rsid w:val="00B10A4D"/>
    <w:rsid w:val="00B10C90"/>
    <w:rsid w:val="00B11002"/>
    <w:rsid w:val="00B1114F"/>
    <w:rsid w:val="00B121B2"/>
    <w:rsid w:val="00B141B6"/>
    <w:rsid w:val="00B14BC1"/>
    <w:rsid w:val="00B162C3"/>
    <w:rsid w:val="00B16DD1"/>
    <w:rsid w:val="00B16EB8"/>
    <w:rsid w:val="00B17E71"/>
    <w:rsid w:val="00B17FDE"/>
    <w:rsid w:val="00B20632"/>
    <w:rsid w:val="00B2379C"/>
    <w:rsid w:val="00B23D5D"/>
    <w:rsid w:val="00B23E6E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639"/>
    <w:rsid w:val="00B53C7D"/>
    <w:rsid w:val="00B53E56"/>
    <w:rsid w:val="00B55A97"/>
    <w:rsid w:val="00B55F5E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7ACC"/>
    <w:rsid w:val="00B97FE2"/>
    <w:rsid w:val="00BA0E0B"/>
    <w:rsid w:val="00BA201A"/>
    <w:rsid w:val="00BA361D"/>
    <w:rsid w:val="00BA3787"/>
    <w:rsid w:val="00BA403A"/>
    <w:rsid w:val="00BA46E8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0930"/>
    <w:rsid w:val="00BC327F"/>
    <w:rsid w:val="00BC3512"/>
    <w:rsid w:val="00BC50BE"/>
    <w:rsid w:val="00BC5332"/>
    <w:rsid w:val="00BC5715"/>
    <w:rsid w:val="00BC5C12"/>
    <w:rsid w:val="00BC7154"/>
    <w:rsid w:val="00BC731E"/>
    <w:rsid w:val="00BC7614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246C"/>
    <w:rsid w:val="00C1493E"/>
    <w:rsid w:val="00C15DBD"/>
    <w:rsid w:val="00C2010D"/>
    <w:rsid w:val="00C20CB5"/>
    <w:rsid w:val="00C21430"/>
    <w:rsid w:val="00C216DF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834"/>
    <w:rsid w:val="00CC0AEA"/>
    <w:rsid w:val="00CC20FE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6223"/>
    <w:rsid w:val="00D667B8"/>
    <w:rsid w:val="00D70289"/>
    <w:rsid w:val="00D70822"/>
    <w:rsid w:val="00D72076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5302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D1E"/>
    <w:rsid w:val="00DF77E4"/>
    <w:rsid w:val="00DF7F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0B1"/>
    <w:rsid w:val="00E35A53"/>
    <w:rsid w:val="00E3656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97BB5"/>
    <w:rsid w:val="00EA0C68"/>
    <w:rsid w:val="00EA1D0E"/>
    <w:rsid w:val="00EA2072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386"/>
    <w:rsid w:val="00ED2EA1"/>
    <w:rsid w:val="00ED3851"/>
    <w:rsid w:val="00ED3F10"/>
    <w:rsid w:val="00ED4D04"/>
    <w:rsid w:val="00ED566D"/>
    <w:rsid w:val="00ED5907"/>
    <w:rsid w:val="00ED5F5B"/>
    <w:rsid w:val="00ED62C6"/>
    <w:rsid w:val="00ED64C1"/>
    <w:rsid w:val="00ED781F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47BF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25AB"/>
    <w:rsid w:val="00F525EB"/>
    <w:rsid w:val="00F52CB5"/>
    <w:rsid w:val="00F53378"/>
    <w:rsid w:val="00F53A68"/>
    <w:rsid w:val="00F54934"/>
    <w:rsid w:val="00F55A92"/>
    <w:rsid w:val="00F575D3"/>
    <w:rsid w:val="00F62BFF"/>
    <w:rsid w:val="00F63AAE"/>
    <w:rsid w:val="00F63DDE"/>
    <w:rsid w:val="00F63FB7"/>
    <w:rsid w:val="00F6421B"/>
    <w:rsid w:val="00F647F1"/>
    <w:rsid w:val="00F649D2"/>
    <w:rsid w:val="00F6602B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0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0Q3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0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324257007767645E-2"/>
          <c:y val="2.3046636085626952E-2"/>
          <c:w val="0.92008633063154344"/>
          <c:h val="0.74192840256671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invertIfNegative val="0"/>
          <c:cat>
            <c:multiLvlStrRef>
              <c:f>'souhrnná výkonnost 1'!$A$17:$B$39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'souhrnná výkonnost 1'!$C$17:$C$39</c:f>
              <c:numCache>
                <c:formatCode>#,##0.0</c:formatCode>
                <c:ptCount val="23"/>
                <c:pt idx="0">
                  <c:v>5.3541342799457112</c:v>
                </c:pt>
                <c:pt idx="1">
                  <c:v>5.7581302882289123</c:v>
                </c:pt>
                <c:pt idx="2">
                  <c:v>5.6783705866674694</c:v>
                </c:pt>
                <c:pt idx="3">
                  <c:v>5.0736450126825758</c:v>
                </c:pt>
                <c:pt idx="4">
                  <c:v>3.4010325671467712</c:v>
                </c:pt>
                <c:pt idx="5">
                  <c:v>2.318358207366316</c:v>
                </c:pt>
                <c:pt idx="6">
                  <c:v>1.9345991649110346</c:v>
                </c:pt>
                <c:pt idx="7">
                  <c:v>2.1527896621077645</c:v>
                </c:pt>
                <c:pt idx="8">
                  <c:v>3.6789885316907771</c:v>
                </c:pt>
                <c:pt idx="9">
                  <c:v>6.0785986760951261</c:v>
                </c:pt>
                <c:pt idx="10">
                  <c:v>5.8461947005677075</c:v>
                </c:pt>
                <c:pt idx="11">
                  <c:v>5.8135548231886673</c:v>
                </c:pt>
                <c:pt idx="12">
                  <c:v>4.7768084590779267</c:v>
                </c:pt>
                <c:pt idx="13" formatCode="General">
                  <c:v>2.6475743105130789</c:v>
                </c:pt>
                <c:pt idx="14" formatCode="General">
                  <c:v>2.6903360884822547</c:v>
                </c:pt>
                <c:pt idx="15">
                  <c:v>2.5948207201504516</c:v>
                </c:pt>
                <c:pt idx="16">
                  <c:v>2.44933042272271</c:v>
                </c:pt>
                <c:pt idx="17" formatCode="General">
                  <c:v>2.3739064902964344</c:v>
                </c:pt>
                <c:pt idx="18" formatCode="General">
                  <c:v>2.282942447919396</c:v>
                </c:pt>
                <c:pt idx="19" formatCode="General">
                  <c:v>1.9682562537211652</c:v>
                </c:pt>
                <c:pt idx="20" formatCode="General">
                  <c:v>-1.9117852379155238</c:v>
                </c:pt>
                <c:pt idx="21" formatCode="General">
                  <c:v>-10.708678091771773</c:v>
                </c:pt>
                <c:pt idx="22" formatCode="General">
                  <c:v>-4.9657432507638504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54-4F3C-AA13-7B1EB16BEC79}"/>
            </c:ext>
          </c:extLst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EU27 meziroční změna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</c:spPr>
          <c:invertIfNegative val="0"/>
          <c:cat>
            <c:multiLvlStrRef>
              <c:f>'souhrnná výkonnost 1'!$A$17:$B$39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'souhrnná výkonnost 1'!$D$17:$D$39</c:f>
              <c:numCache>
                <c:formatCode>#,##0.0</c:formatCode>
                <c:ptCount val="23"/>
                <c:pt idx="0">
                  <c:v>2.1</c:v>
                </c:pt>
                <c:pt idx="1">
                  <c:v>2.2999999999999998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2</c:v>
                </c:pt>
                <c:pt idx="5">
                  <c:v>1.9</c:v>
                </c:pt>
                <c:pt idx="6">
                  <c:v>1.8</c:v>
                </c:pt>
                <c:pt idx="7">
                  <c:v>2.2000000000000002</c:v>
                </c:pt>
                <c:pt idx="8">
                  <c:v>2.4</c:v>
                </c:pt>
                <c:pt idx="9">
                  <c:v>2.8</c:v>
                </c:pt>
                <c:pt idx="10">
                  <c:v>3.1</c:v>
                </c:pt>
                <c:pt idx="11">
                  <c:v>3.2</c:v>
                </c:pt>
                <c:pt idx="12">
                  <c:v>2.7</c:v>
                </c:pt>
                <c:pt idx="13">
                  <c:v>2.4</c:v>
                </c:pt>
                <c:pt idx="14">
                  <c:v>1.8</c:v>
                </c:pt>
                <c:pt idx="15">
                  <c:v>1.5</c:v>
                </c:pt>
                <c:pt idx="16">
                  <c:v>1.8</c:v>
                </c:pt>
                <c:pt idx="17">
                  <c:v>1.5</c:v>
                </c:pt>
                <c:pt idx="18">
                  <c:v>1.7</c:v>
                </c:pt>
                <c:pt idx="19">
                  <c:v>1.2</c:v>
                </c:pt>
                <c:pt idx="20">
                  <c:v>-2.7</c:v>
                </c:pt>
                <c:pt idx="21">
                  <c:v>-13.9</c:v>
                </c:pt>
                <c:pt idx="22">
                  <c:v>-4.3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54-4F3C-AA13-7B1EB16BE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7753344"/>
        <c:axId val="267767808"/>
      </c:barChart>
      <c:lineChart>
        <c:grouping val="standard"/>
        <c:varyColors val="0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0071BC"/>
              </a:solidFill>
              <a:ln>
                <a:noFill/>
              </a:ln>
            </c:spPr>
          </c:marker>
          <c:cat>
            <c:multiLvlStrRef>
              <c:f>'souhrnná výkonnost 1'!$A$17:$B$39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'souhrnná výkonnost 1'!$E$17:$E$39</c:f>
              <c:numCache>
                <c:formatCode>#,##0.0</c:formatCode>
                <c:ptCount val="23"/>
                <c:pt idx="0">
                  <c:v>1.7876510932120624</c:v>
                </c:pt>
                <c:pt idx="1">
                  <c:v>1.4339927833768797</c:v>
                </c:pt>
                <c:pt idx="2">
                  <c:v>1.1102105904154485</c:v>
                </c:pt>
                <c:pt idx="3">
                  <c:v>0.65148104049788458</c:v>
                </c:pt>
                <c:pt idx="4">
                  <c:v>0.16734666768449813</c:v>
                </c:pt>
                <c:pt idx="5">
                  <c:v>0.37191457709397469</c:v>
                </c:pt>
                <c:pt idx="6">
                  <c:v>0.73098287137804618</c:v>
                </c:pt>
                <c:pt idx="7">
                  <c:v>0.86692502979816766</c:v>
                </c:pt>
                <c:pt idx="8">
                  <c:v>1.6638823155019793</c:v>
                </c:pt>
                <c:pt idx="9">
                  <c:v>2.6949837721494561</c:v>
                </c:pt>
                <c:pt idx="10">
                  <c:v>0.51029480450817744</c:v>
                </c:pt>
                <c:pt idx="11">
                  <c:v>0.83582061386817941</c:v>
                </c:pt>
                <c:pt idx="12">
                  <c:v>0.6677938604066469</c:v>
                </c:pt>
                <c:pt idx="13">
                  <c:v>0.60805566706811476</c:v>
                </c:pt>
                <c:pt idx="14">
                  <c:v>0.55216621685197254</c:v>
                </c:pt>
                <c:pt idx="15">
                  <c:v>0.74203018612357141</c:v>
                </c:pt>
                <c:pt idx="16">
                  <c:v>0.52503629070346847</c:v>
                </c:pt>
                <c:pt idx="17" formatCode="General">
                  <c:v>0.53398729433338588</c:v>
                </c:pt>
                <c:pt idx="18" formatCode="General">
                  <c:v>0.46282087659461979</c:v>
                </c:pt>
                <c:pt idx="19" formatCode="General">
                  <c:v>0.43208480015448458</c:v>
                </c:pt>
                <c:pt idx="20" formatCode="General">
                  <c:v>-3.3000885676220406</c:v>
                </c:pt>
                <c:pt idx="21" formatCode="General">
                  <c:v>-8.4822509616518005</c:v>
                </c:pt>
                <c:pt idx="22" formatCode="General">
                  <c:v>6.924271126274121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54-4F3C-AA13-7B1EB16BEC79}"/>
            </c:ext>
          </c:extLst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EU27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BD1B21"/>
              </a:solidFill>
              <a:ln>
                <a:noFill/>
              </a:ln>
            </c:spPr>
          </c:marker>
          <c:cat>
            <c:multiLvlStrRef>
              <c:f>'souhrnná výkonnost 1'!$A$17:$B$39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'souhrnná výkonnost 1'!$F$17:$F$39</c:f>
              <c:numCache>
                <c:formatCode>#,##0.0</c:formatCode>
                <c:ptCount val="23"/>
                <c:pt idx="0">
                  <c:v>0.8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0.6</c:v>
                </c:pt>
                <c:pt idx="5">
                  <c:v>0.4</c:v>
                </c:pt>
                <c:pt idx="6">
                  <c:v>0.4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  <c:pt idx="12">
                  <c:v>0.4</c:v>
                </c:pt>
                <c:pt idx="13">
                  <c:v>0.5</c:v>
                </c:pt>
                <c:pt idx="14">
                  <c:v>0.2</c:v>
                </c:pt>
                <c:pt idx="15">
                  <c:v>0.5</c:v>
                </c:pt>
                <c:pt idx="16">
                  <c:v>0.6</c:v>
                </c:pt>
                <c:pt idx="17">
                  <c:v>0.2</c:v>
                </c:pt>
                <c:pt idx="18">
                  <c:v>0.4</c:v>
                </c:pt>
                <c:pt idx="19">
                  <c:v>0.1</c:v>
                </c:pt>
                <c:pt idx="20">
                  <c:v>-3.3</c:v>
                </c:pt>
                <c:pt idx="21">
                  <c:v>-11.4</c:v>
                </c:pt>
                <c:pt idx="22">
                  <c:v>11.6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454-4F3C-AA13-7B1EB16BEC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753344"/>
        <c:axId val="267767808"/>
      </c:lineChart>
      <c:catAx>
        <c:axId val="267753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7767808"/>
        <c:crosses val="autoZero"/>
        <c:auto val="1"/>
        <c:lblAlgn val="ctr"/>
        <c:lblOffset val="100"/>
        <c:noMultiLvlLbl val="0"/>
      </c:catAx>
      <c:valAx>
        <c:axId val="267767808"/>
        <c:scaling>
          <c:orientation val="minMax"/>
          <c:max val="12"/>
          <c:min val="-1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7753344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8431906450523471E-2"/>
          <c:y val="0.89437255125717996"/>
          <c:w val="0.91838441404930771"/>
          <c:h val="9.0301755758791014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629137115839245E-2"/>
          <c:y val="2.8458510079622041E-2"/>
          <c:w val="0.93688386524822698"/>
          <c:h val="0.6497469886299676"/>
        </c:manualLayout>
      </c:layout>
      <c:barChart>
        <c:barDir val="col"/>
        <c:grouping val="stacked"/>
        <c:varyColors val="0"/>
        <c:ser>
          <c:idx val="5"/>
          <c:order val="1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3'!$D$18:$D$40</c:f>
              <c:numCache>
                <c:formatCode>#,##0.0</c:formatCode>
                <c:ptCount val="23"/>
                <c:pt idx="0">
                  <c:v>1.0004416838991848</c:v>
                </c:pt>
                <c:pt idx="1">
                  <c:v>1.1245121794719866</c:v>
                </c:pt>
                <c:pt idx="2">
                  <c:v>1.2521979797185689</c:v>
                </c:pt>
                <c:pt idx="3">
                  <c:v>1.5140922770621217</c:v>
                </c:pt>
                <c:pt idx="4">
                  <c:v>1.011033178528604</c:v>
                </c:pt>
                <c:pt idx="5">
                  <c:v>0.84092037321111202</c:v>
                </c:pt>
                <c:pt idx="6">
                  <c:v>1.0599389176360645</c:v>
                </c:pt>
                <c:pt idx="7">
                  <c:v>0.97961312874423945</c:v>
                </c:pt>
                <c:pt idx="8">
                  <c:v>1.0820067439812537</c:v>
                </c:pt>
                <c:pt idx="9">
                  <c:v>1.4390025136660056</c:v>
                </c:pt>
                <c:pt idx="10">
                  <c:v>1.3061872269069228</c:v>
                </c:pt>
                <c:pt idx="11">
                  <c:v>1.0872722376357689</c:v>
                </c:pt>
                <c:pt idx="12">
                  <c:v>1.4841358084274829</c:v>
                </c:pt>
                <c:pt idx="13">
                  <c:v>1.2073185637569239</c:v>
                </c:pt>
                <c:pt idx="14">
                  <c:v>1.0110919461066379</c:v>
                </c:pt>
                <c:pt idx="15">
                  <c:v>0.91827339775759576</c:v>
                </c:pt>
                <c:pt idx="16">
                  <c:v>0.95709419842434051</c:v>
                </c:pt>
                <c:pt idx="17">
                  <c:v>1.3452005145206245</c:v>
                </c:pt>
                <c:pt idx="18">
                  <c:v>1.1867517998339108</c:v>
                </c:pt>
                <c:pt idx="19">
                  <c:v>1.3517576838625602</c:v>
                </c:pt>
                <c:pt idx="20">
                  <c:v>9.1193736138592343E-2</c:v>
                </c:pt>
                <c:pt idx="21">
                  <c:v>-2.2995473068930297</c:v>
                </c:pt>
                <c:pt idx="22">
                  <c:v>-1.349958333307862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67-45DD-9BF4-C64F4EB22ED9}"/>
            </c:ext>
          </c:extLst>
        </c:ser>
        <c:ser>
          <c:idx val="4"/>
          <c:order val="2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3'!$E$18:$E$40</c:f>
              <c:numCache>
                <c:formatCode>#,##0.0</c:formatCode>
                <c:ptCount val="23"/>
                <c:pt idx="0">
                  <c:v>0.36711313994295081</c:v>
                </c:pt>
                <c:pt idx="1">
                  <c:v>0.38184726381267609</c:v>
                </c:pt>
                <c:pt idx="2">
                  <c:v>0.5911601763482196</c:v>
                </c:pt>
                <c:pt idx="3">
                  <c:v>0.43670380992842678</c:v>
                </c:pt>
                <c:pt idx="4">
                  <c:v>0.42501610259126504</c:v>
                </c:pt>
                <c:pt idx="5">
                  <c:v>0.47017789747807115</c:v>
                </c:pt>
                <c:pt idx="6">
                  <c:v>0.42973407124759544</c:v>
                </c:pt>
                <c:pt idx="7">
                  <c:v>0.47700779378045444</c:v>
                </c:pt>
                <c:pt idx="8">
                  <c:v>0.4285629075979569</c:v>
                </c:pt>
                <c:pt idx="9">
                  <c:v>0.36487116628719296</c:v>
                </c:pt>
                <c:pt idx="10">
                  <c:v>0.22397478701370191</c:v>
                </c:pt>
                <c:pt idx="11">
                  <c:v>0.25198788808759842</c:v>
                </c:pt>
                <c:pt idx="12">
                  <c:v>0.55090223595657939</c:v>
                </c:pt>
                <c:pt idx="13">
                  <c:v>0.5614476104031324</c:v>
                </c:pt>
                <c:pt idx="14">
                  <c:v>0.87498347752231842</c:v>
                </c:pt>
                <c:pt idx="15">
                  <c:v>0.79469994126147958</c:v>
                </c:pt>
                <c:pt idx="16">
                  <c:v>0.36969712355591594</c:v>
                </c:pt>
                <c:pt idx="17">
                  <c:v>0.50543252930386484</c:v>
                </c:pt>
                <c:pt idx="18">
                  <c:v>0.40522723257515153</c:v>
                </c:pt>
                <c:pt idx="19">
                  <c:v>0.4012060779431087</c:v>
                </c:pt>
                <c:pt idx="20">
                  <c:v>0.94374121695343438</c:v>
                </c:pt>
                <c:pt idx="21">
                  <c:v>0.39608344904897302</c:v>
                </c:pt>
                <c:pt idx="22">
                  <c:v>3.7135758390534353E-2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67-45DD-9BF4-C64F4EB22ED9}"/>
            </c:ext>
          </c:extLst>
        </c:ser>
        <c:ser>
          <c:idx val="3"/>
          <c:order val="3"/>
          <c:tx>
            <c:strRef>
              <c:f>'souhrnná výkonnost 3'!$G$5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3'!$G$18:$G$40</c:f>
              <c:numCache>
                <c:formatCode>#,##0.0</c:formatCode>
                <c:ptCount val="23"/>
                <c:pt idx="0">
                  <c:v>3.1310050244124823</c:v>
                </c:pt>
                <c:pt idx="1">
                  <c:v>3.7310848346723087</c:v>
                </c:pt>
                <c:pt idx="2">
                  <c:v>2.34505813454797</c:v>
                </c:pt>
                <c:pt idx="3">
                  <c:v>1.0284887473308018</c:v>
                </c:pt>
                <c:pt idx="4">
                  <c:v>0.1426787206126395</c:v>
                </c:pt>
                <c:pt idx="5">
                  <c:v>-1.4507925661177268</c:v>
                </c:pt>
                <c:pt idx="6">
                  <c:v>-0.98123446043739548</c:v>
                </c:pt>
                <c:pt idx="7">
                  <c:v>-0.61353806390597054</c:v>
                </c:pt>
                <c:pt idx="8">
                  <c:v>-0.96942712410588472</c:v>
                </c:pt>
                <c:pt idx="9">
                  <c:v>0.73262216993952523</c:v>
                </c:pt>
                <c:pt idx="10">
                  <c:v>1.5238713260674783</c:v>
                </c:pt>
                <c:pt idx="11">
                  <c:v>2.2323726403134958</c:v>
                </c:pt>
                <c:pt idx="12">
                  <c:v>3.1139088122024097</c:v>
                </c:pt>
                <c:pt idx="13">
                  <c:v>1.5785709692492593</c:v>
                </c:pt>
                <c:pt idx="14">
                  <c:v>1.7413269758016987</c:v>
                </c:pt>
                <c:pt idx="15">
                  <c:v>0.51220455181690849</c:v>
                </c:pt>
                <c:pt idx="16">
                  <c:v>0.91852512375984641</c:v>
                </c:pt>
                <c:pt idx="17">
                  <c:v>-1.1054000753810638</c:v>
                </c:pt>
                <c:pt idx="18">
                  <c:v>-1.1725505853239804</c:v>
                </c:pt>
                <c:pt idx="19">
                  <c:v>1.02328337892609</c:v>
                </c:pt>
                <c:pt idx="20">
                  <c:v>-2.3930122953049486</c:v>
                </c:pt>
                <c:pt idx="21">
                  <c:v>-0.79319726736412166</c:v>
                </c:pt>
                <c:pt idx="22">
                  <c:v>-4.0530224397134731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67-45DD-9BF4-C64F4EB22ED9}"/>
            </c:ext>
          </c:extLst>
        </c:ser>
        <c:ser>
          <c:idx val="1"/>
          <c:order val="4"/>
          <c:tx>
            <c:strRef>
              <c:f>'souhrnná výkonnost 3'!$F$5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3'!$F$18:$F$40</c:f>
              <c:numCache>
                <c:formatCode>#,##0.0</c:formatCode>
                <c:ptCount val="23"/>
                <c:pt idx="0">
                  <c:v>0.85358800053760486</c:v>
                </c:pt>
                <c:pt idx="1">
                  <c:v>0.50682849323072787</c:v>
                </c:pt>
                <c:pt idx="2">
                  <c:v>1.4713169429104394</c:v>
                </c:pt>
                <c:pt idx="3">
                  <c:v>2.0731040792572153</c:v>
                </c:pt>
                <c:pt idx="4">
                  <c:v>1.7620830562499514</c:v>
                </c:pt>
                <c:pt idx="5">
                  <c:v>2.3990552594367274</c:v>
                </c:pt>
                <c:pt idx="6">
                  <c:v>1.370993307029881</c:v>
                </c:pt>
                <c:pt idx="7">
                  <c:v>1.2526206333504177</c:v>
                </c:pt>
                <c:pt idx="8">
                  <c:v>3.0648181369329626</c:v>
                </c:pt>
                <c:pt idx="9">
                  <c:v>3.4601141630489307</c:v>
                </c:pt>
                <c:pt idx="10">
                  <c:v>2.7091491429512415</c:v>
                </c:pt>
                <c:pt idx="11">
                  <c:v>2.1602088091475098</c:v>
                </c:pt>
                <c:pt idx="12">
                  <c:v>-0.49012514161118581</c:v>
                </c:pt>
                <c:pt idx="13">
                  <c:v>-0.81047776037827601</c:v>
                </c:pt>
                <c:pt idx="14">
                  <c:v>-1.04647898349734</c:v>
                </c:pt>
                <c:pt idx="15">
                  <c:v>0.26106115108900063</c:v>
                </c:pt>
                <c:pt idx="16">
                  <c:v>0.12604869637815186</c:v>
                </c:pt>
                <c:pt idx="17">
                  <c:v>1.5557019835323573</c:v>
                </c:pt>
                <c:pt idx="18">
                  <c:v>1.7857076729316352</c:v>
                </c:pt>
                <c:pt idx="19">
                  <c:v>-0.89056835169597359</c:v>
                </c:pt>
                <c:pt idx="20">
                  <c:v>-0.57728417657846076</c:v>
                </c:pt>
                <c:pt idx="21">
                  <c:v>-8.0032378632536929</c:v>
                </c:pt>
                <c:pt idx="22">
                  <c:v>0.43331236263029993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67-45DD-9BF4-C64F4EB22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267591040"/>
        <c:axId val="267605120"/>
      </c:barChart>
      <c:lineChart>
        <c:grouping val="standard"/>
        <c:varyColors val="0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3'!$A$18:$B$40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'souhrnná výkonnost 3'!$C$18:$C$40</c:f>
              <c:numCache>
                <c:formatCode>#,##0.0</c:formatCode>
                <c:ptCount val="23"/>
                <c:pt idx="0">
                  <c:v>5.3541479116968844</c:v>
                </c:pt>
                <c:pt idx="1">
                  <c:v>5.7580987456543795</c:v>
                </c:pt>
                <c:pt idx="2">
                  <c:v>5.6783364148190572</c:v>
                </c:pt>
                <c:pt idx="3">
                  <c:v>5.0736477020698771</c:v>
                </c:pt>
                <c:pt idx="4">
                  <c:v>3.4010558338826229</c:v>
                </c:pt>
                <c:pt idx="5">
                  <c:v>2.3184007606832324</c:v>
                </c:pt>
                <c:pt idx="6">
                  <c:v>1.9346258296187244</c:v>
                </c:pt>
                <c:pt idx="7">
                  <c:v>2.1527861842497913</c:v>
                </c:pt>
                <c:pt idx="8">
                  <c:v>3.6789755923611835</c:v>
                </c:pt>
                <c:pt idx="9">
                  <c:v>6.0785791748313187</c:v>
                </c:pt>
                <c:pt idx="10">
                  <c:v>5.8461673142579968</c:v>
                </c:pt>
                <c:pt idx="11">
                  <c:v>5.8135294348367665</c:v>
                </c:pt>
                <c:pt idx="12">
                  <c:v>4.7768522995265954</c:v>
                </c:pt>
                <c:pt idx="13">
                  <c:v>2.647594839576044</c:v>
                </c:pt>
                <c:pt idx="14">
                  <c:v>2.6903782593896892</c:v>
                </c:pt>
                <c:pt idx="15">
                  <c:v>2.5948102218219304</c:v>
                </c:pt>
                <c:pt idx="16">
                  <c:v>2.4492683454218138</c:v>
                </c:pt>
                <c:pt idx="17">
                  <c:v>2.3738828500299576</c:v>
                </c:pt>
                <c:pt idx="18">
                  <c:v>2.2829391747994663</c:v>
                </c:pt>
                <c:pt idx="19">
                  <c:v>1.9683208351430466</c:v>
                </c:pt>
                <c:pt idx="20">
                  <c:v>-1.9117753893330587</c:v>
                </c:pt>
                <c:pt idx="21">
                  <c:v>-10.708635183939975</c:v>
                </c:pt>
                <c:pt idx="22">
                  <c:v>-4.9657278840176815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667-45DD-9BF4-C64F4EB22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591040"/>
        <c:axId val="267605120"/>
      </c:lineChart>
      <c:catAx>
        <c:axId val="267591040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7605120"/>
        <c:crosses val="autoZero"/>
        <c:auto val="1"/>
        <c:lblAlgn val="ctr"/>
        <c:lblOffset val="100"/>
        <c:noMultiLvlLbl val="0"/>
      </c:catAx>
      <c:valAx>
        <c:axId val="267605120"/>
        <c:scaling>
          <c:orientation val="minMax"/>
          <c:max val="7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7591040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71766295170556E-2"/>
          <c:y val="0.79301446583361457"/>
          <c:w val="0.93781598277608913"/>
          <c:h val="0.19014325115388939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26857480580882E-2"/>
          <c:y val="3.7154479717354444E-2"/>
          <c:w val="0.9260266801756164"/>
          <c:h val="0.63445260610154264"/>
        </c:manualLayout>
      </c:layout>
      <c:barChart>
        <c:barDir val="col"/>
        <c:grouping val="stacked"/>
        <c:varyColors val="0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4'!$C$18:$C$40</c:f>
              <c:numCache>
                <c:formatCode>#,##0.0</c:formatCode>
                <c:ptCount val="23"/>
                <c:pt idx="0">
                  <c:v>0.30368485614942081</c:v>
                </c:pt>
                <c:pt idx="1">
                  <c:v>0.2304988905076614</c:v>
                </c:pt>
                <c:pt idx="2">
                  <c:v>0.11798809635792069</c:v>
                </c:pt>
                <c:pt idx="3">
                  <c:v>7.2282252647939291E-2</c:v>
                </c:pt>
                <c:pt idx="4">
                  <c:v>5.3855687366031392E-2</c:v>
                </c:pt>
                <c:pt idx="5">
                  <c:v>0.14849879547587463</c:v>
                </c:pt>
                <c:pt idx="6">
                  <c:v>0.21032935295139474</c:v>
                </c:pt>
                <c:pt idx="7">
                  <c:v>0.10195129284322399</c:v>
                </c:pt>
                <c:pt idx="8">
                  <c:v>-9.6443702202456318E-3</c:v>
                </c:pt>
                <c:pt idx="9">
                  <c:v>-0.1183984267345688</c:v>
                </c:pt>
                <c:pt idx="10">
                  <c:v>-0.19416190528766372</c:v>
                </c:pt>
                <c:pt idx="11">
                  <c:v>-3.0322150838633197E-2</c:v>
                </c:pt>
                <c:pt idx="12">
                  <c:v>4.7508651359557938E-2</c:v>
                </c:pt>
                <c:pt idx="13">
                  <c:v>7.2085897061104368E-2</c:v>
                </c:pt>
                <c:pt idx="14">
                  <c:v>0.13381218456459662</c:v>
                </c:pt>
                <c:pt idx="15">
                  <c:v>0.11519772003582743</c:v>
                </c:pt>
                <c:pt idx="16">
                  <c:v>7.457032591061126E-2</c:v>
                </c:pt>
                <c:pt idx="17">
                  <c:v>6.6379351512401832E-2</c:v>
                </c:pt>
                <c:pt idx="18">
                  <c:v>0.13821919543862568</c:v>
                </c:pt>
                <c:pt idx="19">
                  <c:v>0.18322443828145188</c:v>
                </c:pt>
                <c:pt idx="20">
                  <c:v>0.15102733828836876</c:v>
                </c:pt>
                <c:pt idx="21">
                  <c:v>4.5453442047112706E-2</c:v>
                </c:pt>
                <c:pt idx="22">
                  <c:v>7.8639952220000253E-2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91-4C50-BD91-4FCB5D6DEE4A}"/>
            </c:ext>
          </c:extLst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4'!$D$18:$D$40</c:f>
              <c:numCache>
                <c:formatCode>#,##0.0</c:formatCode>
                <c:ptCount val="23"/>
                <c:pt idx="0">
                  <c:v>2.2974970288931655</c:v>
                </c:pt>
                <c:pt idx="1">
                  <c:v>2.1003819539683337</c:v>
                </c:pt>
                <c:pt idx="2">
                  <c:v>2.161753605301608</c:v>
                </c:pt>
                <c:pt idx="3">
                  <c:v>1.6515907003433452</c:v>
                </c:pt>
                <c:pt idx="4">
                  <c:v>1.5749274984416446</c:v>
                </c:pt>
                <c:pt idx="5">
                  <c:v>0.83208666717303936</c:v>
                </c:pt>
                <c:pt idx="6">
                  <c:v>0.93499427724552242</c:v>
                </c:pt>
                <c:pt idx="7">
                  <c:v>1.2180600651181106</c:v>
                </c:pt>
                <c:pt idx="8">
                  <c:v>1.3791245235480027</c:v>
                </c:pt>
                <c:pt idx="9">
                  <c:v>3.156295399272143</c:v>
                </c:pt>
                <c:pt idx="10">
                  <c:v>3.0056722211992475</c:v>
                </c:pt>
                <c:pt idx="11">
                  <c:v>2.3263082145418474</c:v>
                </c:pt>
                <c:pt idx="12">
                  <c:v>1.5546773349415703</c:v>
                </c:pt>
                <c:pt idx="13">
                  <c:v>0.22194728168834105</c:v>
                </c:pt>
                <c:pt idx="14">
                  <c:v>2.6880525117532916E-2</c:v>
                </c:pt>
                <c:pt idx="15">
                  <c:v>0.25993633689265211</c:v>
                </c:pt>
                <c:pt idx="16">
                  <c:v>0.65103012374599667</c:v>
                </c:pt>
                <c:pt idx="17">
                  <c:v>0.89397063689155354</c:v>
                </c:pt>
                <c:pt idx="18">
                  <c:v>0.93507380037800703</c:v>
                </c:pt>
                <c:pt idx="19">
                  <c:v>0.4321570928817503</c:v>
                </c:pt>
                <c:pt idx="20">
                  <c:v>-0.75716758532043549</c:v>
                </c:pt>
                <c:pt idx="21">
                  <c:v>-4.49722384600783</c:v>
                </c:pt>
                <c:pt idx="22">
                  <c:v>-1.2301440796610801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91-4C50-BD91-4FCB5D6DEE4A}"/>
            </c:ext>
          </c:extLst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 D, 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4'!$E$18:$E$40</c:f>
              <c:numCache>
                <c:formatCode>#,##0.0</c:formatCode>
                <c:ptCount val="23"/>
                <c:pt idx="0">
                  <c:v>-0.2238083391325838</c:v>
                </c:pt>
                <c:pt idx="1">
                  <c:v>-0.23838971368947015</c:v>
                </c:pt>
                <c:pt idx="2">
                  <c:v>-0.2053609549377069</c:v>
                </c:pt>
                <c:pt idx="3">
                  <c:v>-0.35147060330963598</c:v>
                </c:pt>
                <c:pt idx="4">
                  <c:v>-0.61869060635239537</c:v>
                </c:pt>
                <c:pt idx="5">
                  <c:v>-0.25512934357205408</c:v>
                </c:pt>
                <c:pt idx="6">
                  <c:v>-0.19959002476284948</c:v>
                </c:pt>
                <c:pt idx="7">
                  <c:v>3.2746825671393198E-2</c:v>
                </c:pt>
                <c:pt idx="8">
                  <c:v>0.18450614676852783</c:v>
                </c:pt>
                <c:pt idx="9">
                  <c:v>9.0995210938591864E-2</c:v>
                </c:pt>
                <c:pt idx="10">
                  <c:v>9.3791960410576802E-2</c:v>
                </c:pt>
                <c:pt idx="11">
                  <c:v>9.7481504130754182E-3</c:v>
                </c:pt>
                <c:pt idx="12">
                  <c:v>-2.2551156456915189E-2</c:v>
                </c:pt>
                <c:pt idx="13">
                  <c:v>-2.698234320952228E-2</c:v>
                </c:pt>
                <c:pt idx="14" formatCode="General">
                  <c:v>6.5626615130826169E-2</c:v>
                </c:pt>
                <c:pt idx="15" formatCode="General">
                  <c:v>-0.13276822997746235</c:v>
                </c:pt>
                <c:pt idx="16" formatCode="General">
                  <c:v>-0.16605613821776544</c:v>
                </c:pt>
                <c:pt idx="17" formatCode="General">
                  <c:v>-0.17578686521880382</c:v>
                </c:pt>
                <c:pt idx="18" formatCode="General">
                  <c:v>-0.17747063964733789</c:v>
                </c:pt>
                <c:pt idx="19" formatCode="General">
                  <c:v>8.7594056433330181E-2</c:v>
                </c:pt>
                <c:pt idx="20" formatCode="General">
                  <c:v>-0.24297118440564047</c:v>
                </c:pt>
                <c:pt idx="21" formatCode="General">
                  <c:v>-0.67420301930346227</c:v>
                </c:pt>
                <c:pt idx="22" formatCode="General">
                  <c:v>-0.38217533262047776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91-4C50-BD91-4FCB5D6DEE4A}"/>
            </c:ext>
          </c:extLst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val>
            <c:numRef>
              <c:f>'souhrnná výkonnost 4'!$F$18:$F$40</c:f>
              <c:numCache>
                <c:formatCode>#,##0.0</c:formatCode>
                <c:ptCount val="23"/>
                <c:pt idx="0">
                  <c:v>0.13087923173458302</c:v>
                </c:pt>
                <c:pt idx="1">
                  <c:v>0.16519036862091754</c:v>
                </c:pt>
                <c:pt idx="2">
                  <c:v>0.21120786680843179</c:v>
                </c:pt>
                <c:pt idx="3">
                  <c:v>-1.2415147928913664E-2</c:v>
                </c:pt>
                <c:pt idx="4">
                  <c:v>-0.10952448541686127</c:v>
                </c:pt>
                <c:pt idx="5">
                  <c:v>-0.28214741197780213</c:v>
                </c:pt>
                <c:pt idx="6">
                  <c:v>-0.27168672817032663</c:v>
                </c:pt>
                <c:pt idx="7">
                  <c:v>-0.20754684715757324</c:v>
                </c:pt>
                <c:pt idx="8">
                  <c:v>-8.524394743114426E-2</c:v>
                </c:pt>
                <c:pt idx="9">
                  <c:v>0.11383434006711636</c:v>
                </c:pt>
                <c:pt idx="10">
                  <c:v>4.3349635308544285E-2</c:v>
                </c:pt>
                <c:pt idx="11">
                  <c:v>0.17858744375528909</c:v>
                </c:pt>
                <c:pt idx="12">
                  <c:v>0.11808587682306973</c:v>
                </c:pt>
                <c:pt idx="13">
                  <c:v>6.8021503066315213E-3</c:v>
                </c:pt>
                <c:pt idx="14">
                  <c:v>-1.6571363358896852E-2</c:v>
                </c:pt>
                <c:pt idx="15">
                  <c:v>-0.14898361382784628</c:v>
                </c:pt>
                <c:pt idx="16">
                  <c:v>-0.20748910270418172</c:v>
                </c:pt>
                <c:pt idx="17">
                  <c:v>-0.16731055129880157</c:v>
                </c:pt>
                <c:pt idx="18">
                  <c:v>-0.12605835918279604</c:v>
                </c:pt>
                <c:pt idx="19">
                  <c:v>-7.4487643149214286E-2</c:v>
                </c:pt>
                <c:pt idx="20">
                  <c:v>3.8553744056270094E-2</c:v>
                </c:pt>
                <c:pt idx="21">
                  <c:v>-0.3438777371985457</c:v>
                </c:pt>
                <c:pt idx="22">
                  <c:v>-0.14219725948438569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91-4C50-BD91-4FCB5D6DEE4A}"/>
            </c:ext>
          </c:extLst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4'!$G$18:$G$40</c:f>
              <c:numCache>
                <c:formatCode>#,##0.0</c:formatCode>
                <c:ptCount val="23"/>
                <c:pt idx="0">
                  <c:v>2.2069915595993166</c:v>
                </c:pt>
                <c:pt idx="1">
                  <c:v>2.8395836710030271</c:v>
                </c:pt>
                <c:pt idx="2">
                  <c:v>2.9673304933717439</c:v>
                </c:pt>
                <c:pt idx="3">
                  <c:v>3.1996488393000861</c:v>
                </c:pt>
                <c:pt idx="4">
                  <c:v>2.2669828358604827</c:v>
                </c:pt>
                <c:pt idx="5">
                  <c:v>1.7472095584606271</c:v>
                </c:pt>
                <c:pt idx="6">
                  <c:v>1.2199893940422677</c:v>
                </c:pt>
                <c:pt idx="7">
                  <c:v>1.2038927401746593</c:v>
                </c:pt>
                <c:pt idx="8">
                  <c:v>2.1828063096576567</c:v>
                </c:pt>
                <c:pt idx="9">
                  <c:v>3.1402341655549573</c:v>
                </c:pt>
                <c:pt idx="10">
                  <c:v>2.9649621789836469</c:v>
                </c:pt>
                <c:pt idx="11">
                  <c:v>3.2019367955598788</c:v>
                </c:pt>
                <c:pt idx="12">
                  <c:v>3.1991581139545291</c:v>
                </c:pt>
                <c:pt idx="13">
                  <c:v>2.4596297734516672</c:v>
                </c:pt>
                <c:pt idx="14" formatCode="General">
                  <c:v>2.8096801810569541</c:v>
                </c:pt>
                <c:pt idx="15" formatCode="General">
                  <c:v>2.633591469545653</c:v>
                </c:pt>
                <c:pt idx="16" formatCode="General">
                  <c:v>2.1778121572999853</c:v>
                </c:pt>
                <c:pt idx="17" formatCode="General">
                  <c:v>1.5872692836963305</c:v>
                </c:pt>
                <c:pt idx="18" formatCode="General">
                  <c:v>1.2887133109854405</c:v>
                </c:pt>
                <c:pt idx="19" formatCode="General">
                  <c:v>1.0856896115678327</c:v>
                </c:pt>
                <c:pt idx="20" formatCode="General">
                  <c:v>-0.48124590267359491</c:v>
                </c:pt>
                <c:pt idx="21" formatCode="General">
                  <c:v>-5.4415065478229661</c:v>
                </c:pt>
                <c:pt idx="22" formatCode="General">
                  <c:v>-3.1422176458583198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91-4C50-BD91-4FCB5D6DE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69005952"/>
        <c:axId val="269007488"/>
      </c:barChart>
      <c:lineChart>
        <c:grouping val="standard"/>
        <c:varyColors val="0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4'!$A$18:$B$40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'souhrnná výkonnost 4'!$H$18:$H$40</c:f>
              <c:numCache>
                <c:formatCode>#,##0.0</c:formatCode>
                <c:ptCount val="23"/>
                <c:pt idx="0">
                  <c:v>4.715513587220201</c:v>
                </c:pt>
                <c:pt idx="1">
                  <c:v>5.0971004057791305</c:v>
                </c:pt>
                <c:pt idx="2">
                  <c:v>5.2530196431134613</c:v>
                </c:pt>
                <c:pt idx="3">
                  <c:v>4.5592485406007199</c:v>
                </c:pt>
                <c:pt idx="4">
                  <c:v>3.1674424411731508</c:v>
                </c:pt>
                <c:pt idx="5">
                  <c:v>2.1906580742636379</c:v>
                </c:pt>
                <c:pt idx="6">
                  <c:v>1.8939325302629584</c:v>
                </c:pt>
                <c:pt idx="7">
                  <c:v>2.3492580716968376</c:v>
                </c:pt>
                <c:pt idx="8">
                  <c:v>3.6516543205207768</c:v>
                </c:pt>
                <c:pt idx="9">
                  <c:v>6.3830027976023729</c:v>
                </c:pt>
                <c:pt idx="10">
                  <c:v>5.9135095065788903</c:v>
                </c:pt>
                <c:pt idx="11">
                  <c:v>5.6861848632479877</c:v>
                </c:pt>
                <c:pt idx="12">
                  <c:v>4.9690415467186284</c:v>
                </c:pt>
                <c:pt idx="13">
                  <c:v>2.7334464292361815</c:v>
                </c:pt>
                <c:pt idx="14">
                  <c:v>3.0193557965321673</c:v>
                </c:pt>
                <c:pt idx="15">
                  <c:v>2.7273005906640861</c:v>
                </c:pt>
                <c:pt idx="16">
                  <c:v>2.5300143206718104</c:v>
                </c:pt>
                <c:pt idx="17">
                  <c:v>2.204495611197089</c:v>
                </c:pt>
                <c:pt idx="18">
                  <c:v>2.0584748568752218</c:v>
                </c:pt>
                <c:pt idx="19">
                  <c:v>1.7139510638243536</c:v>
                </c:pt>
                <c:pt idx="20">
                  <c:v>-1.2918902380627486</c:v>
                </c:pt>
                <c:pt idx="21">
                  <c:v>-10.911350133964973</c:v>
                </c:pt>
                <c:pt idx="22">
                  <c:v>-4.817934328097266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891-4C50-BD91-4FCB5D6DEE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005952"/>
        <c:axId val="269007488"/>
      </c:lineChart>
      <c:catAx>
        <c:axId val="26900595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9007488"/>
        <c:crosses val="autoZero"/>
        <c:auto val="1"/>
        <c:lblAlgn val="ctr"/>
        <c:lblOffset val="100"/>
        <c:noMultiLvlLbl val="0"/>
      </c:catAx>
      <c:valAx>
        <c:axId val="269007488"/>
        <c:scaling>
          <c:orientation val="minMax"/>
          <c:max val="7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9005952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4144292468760548E-2"/>
          <c:y val="0.79016604750647301"/>
          <c:w val="0.92386482607227283"/>
          <c:h val="0.1946248452099494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FEEC-555B-468C-9496-7B0F163A8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627F8-3586-452C-A4C4-A11705E0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2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8807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4</cp:revision>
  <cp:lastPrinted>2019-04-08T10:52:00Z</cp:lastPrinted>
  <dcterms:created xsi:type="dcterms:W3CDTF">2020-12-16T06:31:00Z</dcterms:created>
  <dcterms:modified xsi:type="dcterms:W3CDTF">2020-12-16T07:53:00Z</dcterms:modified>
</cp:coreProperties>
</file>