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A2206" w14:textId="77777777" w:rsidR="00961623" w:rsidRPr="005A0C8F" w:rsidRDefault="00961623" w:rsidP="00961623">
      <w:pPr>
        <w:pStyle w:val="Nadpis1"/>
        <w:spacing w:after="120"/>
        <w:ind w:right="-1"/>
        <w:rPr>
          <w:spacing w:val="-4"/>
          <w:sz w:val="30"/>
          <w:szCs w:val="30"/>
        </w:rPr>
      </w:pPr>
      <w:bookmarkStart w:id="0" w:name="_Toc444112495"/>
      <w:bookmarkStart w:id="1" w:name="_GoBack"/>
      <w:bookmarkEnd w:id="1"/>
      <w:r w:rsidRPr="005A0C8F">
        <w:rPr>
          <w:rFonts w:cs="Arial"/>
          <w:spacing w:val="-4"/>
          <w:sz w:val="30"/>
          <w:szCs w:val="30"/>
        </w:rPr>
        <w:t xml:space="preserve">1. </w:t>
      </w:r>
      <w:r w:rsidR="0065652C">
        <w:rPr>
          <w:rFonts w:cs="Arial"/>
          <w:spacing w:val="-4"/>
          <w:sz w:val="30"/>
          <w:szCs w:val="30"/>
        </w:rPr>
        <w:t>Přístup</w:t>
      </w:r>
      <w:r>
        <w:rPr>
          <w:rFonts w:cs="Arial"/>
          <w:spacing w:val="-4"/>
          <w:sz w:val="30"/>
          <w:szCs w:val="30"/>
        </w:rPr>
        <w:t xml:space="preserve"> k internetu</w:t>
      </w:r>
    </w:p>
    <w:bookmarkEnd w:id="0"/>
    <w:p w14:paraId="7F083391" w14:textId="328E9DE8" w:rsidR="00251B13" w:rsidRPr="00A4270E" w:rsidRDefault="00251B13" w:rsidP="00C85B69">
      <w:pPr>
        <w:pStyle w:val="Zkladntext"/>
        <w:spacing w:before="0" w:after="80" w:line="264" w:lineRule="auto"/>
        <w:ind w:right="-1"/>
        <w:rPr>
          <w:rFonts w:ascii="Arial" w:hAnsi="Arial" w:cs="Arial"/>
          <w:i/>
          <w:spacing w:val="-8"/>
          <w:sz w:val="20"/>
        </w:rPr>
      </w:pPr>
      <w:r w:rsidRPr="00A4270E">
        <w:rPr>
          <w:rFonts w:ascii="Arial" w:hAnsi="Arial" w:cs="Arial"/>
          <w:i/>
          <w:spacing w:val="-8"/>
          <w:sz w:val="20"/>
        </w:rPr>
        <w:t xml:space="preserve">Od počátku rozvoje </w:t>
      </w:r>
      <w:r w:rsidR="000F7770">
        <w:rPr>
          <w:rFonts w:ascii="Arial" w:hAnsi="Arial" w:cs="Arial"/>
          <w:i/>
          <w:spacing w:val="-8"/>
          <w:sz w:val="20"/>
        </w:rPr>
        <w:t>internetu</w:t>
      </w:r>
      <w:r w:rsidRPr="00A4270E">
        <w:rPr>
          <w:rFonts w:ascii="Arial" w:hAnsi="Arial" w:cs="Arial"/>
          <w:i/>
          <w:spacing w:val="-8"/>
          <w:sz w:val="20"/>
        </w:rPr>
        <w:t xml:space="preserve"> v České republice bylo zřejmé, že bude </w:t>
      </w:r>
      <w:r w:rsidR="000F7770">
        <w:rPr>
          <w:rFonts w:ascii="Arial" w:hAnsi="Arial" w:cs="Arial"/>
          <w:i/>
          <w:spacing w:val="-8"/>
          <w:sz w:val="20"/>
        </w:rPr>
        <w:t xml:space="preserve">brzy </w:t>
      </w:r>
      <w:r w:rsidRPr="00A4270E">
        <w:rPr>
          <w:rFonts w:ascii="Arial" w:hAnsi="Arial" w:cs="Arial"/>
          <w:i/>
          <w:spacing w:val="-8"/>
          <w:sz w:val="20"/>
        </w:rPr>
        <w:t>pro podniky</w:t>
      </w:r>
      <w:r w:rsidR="000F7770">
        <w:rPr>
          <w:rFonts w:ascii="Arial" w:hAnsi="Arial" w:cs="Arial"/>
          <w:i/>
          <w:spacing w:val="-8"/>
          <w:sz w:val="20"/>
        </w:rPr>
        <w:t>, a nejen pro ně,</w:t>
      </w:r>
      <w:r w:rsidRPr="00A4270E">
        <w:rPr>
          <w:rFonts w:ascii="Arial" w:hAnsi="Arial" w:cs="Arial"/>
          <w:i/>
          <w:spacing w:val="-8"/>
          <w:sz w:val="20"/>
        </w:rPr>
        <w:t xml:space="preserve"> velmi užitečn</w:t>
      </w:r>
      <w:r w:rsidR="00504E22">
        <w:rPr>
          <w:rFonts w:ascii="Arial" w:hAnsi="Arial" w:cs="Arial"/>
          <w:i/>
          <w:spacing w:val="-8"/>
          <w:sz w:val="20"/>
        </w:rPr>
        <w:t>ou</w:t>
      </w:r>
      <w:r w:rsidRPr="00A4270E">
        <w:rPr>
          <w:rFonts w:ascii="Arial" w:hAnsi="Arial" w:cs="Arial"/>
          <w:i/>
          <w:spacing w:val="-8"/>
          <w:sz w:val="20"/>
        </w:rPr>
        <w:t xml:space="preserve"> a časem</w:t>
      </w:r>
      <w:r w:rsidR="000F7770">
        <w:rPr>
          <w:rFonts w:ascii="Arial" w:hAnsi="Arial" w:cs="Arial"/>
          <w:i/>
          <w:spacing w:val="-8"/>
          <w:sz w:val="20"/>
        </w:rPr>
        <w:t xml:space="preserve"> i</w:t>
      </w:r>
      <w:r w:rsidRPr="00A4270E">
        <w:rPr>
          <w:rFonts w:ascii="Arial" w:hAnsi="Arial" w:cs="Arial"/>
          <w:i/>
          <w:spacing w:val="-8"/>
          <w:sz w:val="20"/>
        </w:rPr>
        <w:t xml:space="preserve"> prakticky nezbytn</w:t>
      </w:r>
      <w:r w:rsidR="00504E22">
        <w:rPr>
          <w:rFonts w:ascii="Arial" w:hAnsi="Arial" w:cs="Arial"/>
          <w:i/>
          <w:spacing w:val="-8"/>
          <w:sz w:val="20"/>
        </w:rPr>
        <w:t>ou</w:t>
      </w:r>
      <w:r w:rsidRPr="00A4270E">
        <w:rPr>
          <w:rFonts w:ascii="Arial" w:hAnsi="Arial" w:cs="Arial"/>
          <w:i/>
          <w:spacing w:val="-8"/>
          <w:sz w:val="20"/>
        </w:rPr>
        <w:t xml:space="preserve"> technologi</w:t>
      </w:r>
      <w:r w:rsidR="00504E22">
        <w:rPr>
          <w:rFonts w:ascii="Arial" w:hAnsi="Arial" w:cs="Arial"/>
          <w:i/>
          <w:spacing w:val="-8"/>
          <w:sz w:val="20"/>
        </w:rPr>
        <w:t>í</w:t>
      </w:r>
      <w:r w:rsidRPr="00A4270E">
        <w:rPr>
          <w:rFonts w:ascii="Arial" w:hAnsi="Arial" w:cs="Arial"/>
          <w:i/>
          <w:spacing w:val="-8"/>
          <w:sz w:val="20"/>
        </w:rPr>
        <w:t xml:space="preserve">. </w:t>
      </w:r>
      <w:r w:rsidR="00BB5A60" w:rsidRPr="00A4270E">
        <w:rPr>
          <w:rFonts w:ascii="Arial" w:hAnsi="Arial" w:cs="Arial"/>
          <w:i/>
          <w:spacing w:val="-8"/>
          <w:sz w:val="20"/>
        </w:rPr>
        <w:t>Důležitá je především jeho dostatečná rychlost, spolehlivost a bezpečnost. </w:t>
      </w:r>
      <w:r w:rsidRPr="00A4270E">
        <w:rPr>
          <w:rFonts w:ascii="Arial" w:hAnsi="Arial" w:cs="Arial"/>
          <w:i/>
          <w:spacing w:val="-8"/>
          <w:sz w:val="20"/>
        </w:rPr>
        <w:t>V</w:t>
      </w:r>
      <w:r w:rsidR="0065652C">
        <w:rPr>
          <w:rFonts w:ascii="Arial" w:hAnsi="Arial" w:cs="Arial"/>
          <w:i/>
          <w:spacing w:val="-8"/>
          <w:sz w:val="20"/>
        </w:rPr>
        <w:t> letech 2021 i 2022</w:t>
      </w:r>
      <w:r w:rsidRPr="00A4270E">
        <w:rPr>
          <w:rFonts w:ascii="Arial" w:hAnsi="Arial" w:cs="Arial"/>
          <w:i/>
          <w:spacing w:val="-8"/>
          <w:sz w:val="20"/>
        </w:rPr>
        <w:t xml:space="preserve"> nebyly připojené k internetu jen </w:t>
      </w:r>
      <w:r w:rsidR="006E25F7" w:rsidRPr="00A4270E">
        <w:rPr>
          <w:rFonts w:ascii="Arial" w:hAnsi="Arial" w:cs="Arial"/>
          <w:i/>
          <w:spacing w:val="-8"/>
          <w:sz w:val="20"/>
        </w:rPr>
        <w:t>čtyři</w:t>
      </w:r>
      <w:r w:rsidRPr="00A4270E">
        <w:rPr>
          <w:rFonts w:ascii="Arial" w:hAnsi="Arial" w:cs="Arial"/>
          <w:i/>
          <w:spacing w:val="-8"/>
          <w:sz w:val="20"/>
        </w:rPr>
        <w:t xml:space="preserve"> podniky ze sta. Velmi podobná situace </w:t>
      </w:r>
      <w:r w:rsidR="007F4B05">
        <w:rPr>
          <w:rFonts w:ascii="Arial" w:hAnsi="Arial" w:cs="Arial"/>
          <w:i/>
          <w:spacing w:val="-8"/>
          <w:sz w:val="20"/>
        </w:rPr>
        <w:t>panuje i</w:t>
      </w:r>
      <w:r w:rsidR="002E7427">
        <w:rPr>
          <w:rFonts w:ascii="Arial" w:hAnsi="Arial" w:cs="Arial"/>
          <w:i/>
          <w:spacing w:val="-8"/>
          <w:sz w:val="20"/>
        </w:rPr>
        <w:t> </w:t>
      </w:r>
      <w:r w:rsidR="007F4B05">
        <w:rPr>
          <w:rFonts w:ascii="Arial" w:hAnsi="Arial" w:cs="Arial"/>
          <w:i/>
          <w:spacing w:val="-8"/>
          <w:sz w:val="20"/>
        </w:rPr>
        <w:t xml:space="preserve">ve </w:t>
      </w:r>
      <w:r w:rsidRPr="00A4270E">
        <w:rPr>
          <w:rFonts w:ascii="Arial" w:hAnsi="Arial" w:cs="Arial"/>
          <w:i/>
          <w:spacing w:val="-8"/>
          <w:sz w:val="20"/>
        </w:rPr>
        <w:t>většin</w:t>
      </w:r>
      <w:r w:rsidR="007F4B05">
        <w:rPr>
          <w:rFonts w:ascii="Arial" w:hAnsi="Arial" w:cs="Arial"/>
          <w:i/>
          <w:spacing w:val="-8"/>
          <w:sz w:val="20"/>
        </w:rPr>
        <w:t>ě</w:t>
      </w:r>
      <w:r w:rsidRPr="00A4270E">
        <w:rPr>
          <w:rFonts w:ascii="Arial" w:hAnsi="Arial" w:cs="Arial"/>
          <w:i/>
          <w:spacing w:val="-8"/>
          <w:sz w:val="20"/>
        </w:rPr>
        <w:t xml:space="preserve"> zemí EU. Zásadní otázkou již tedy není, zda</w:t>
      </w:r>
      <w:r w:rsidR="00A15CBC">
        <w:rPr>
          <w:rFonts w:ascii="Arial" w:hAnsi="Arial" w:cs="Arial"/>
          <w:i/>
          <w:spacing w:val="-8"/>
          <w:sz w:val="20"/>
        </w:rPr>
        <w:t xml:space="preserve"> je</w:t>
      </w:r>
      <w:r w:rsidRPr="00A4270E">
        <w:rPr>
          <w:rFonts w:ascii="Arial" w:hAnsi="Arial" w:cs="Arial"/>
          <w:i/>
          <w:spacing w:val="-8"/>
          <w:sz w:val="20"/>
        </w:rPr>
        <w:t xml:space="preserve"> podnik k internetu připojen, ale jakým způsobem a k jakým účelům internet využív</w:t>
      </w:r>
      <w:r w:rsidR="00C85B69" w:rsidRPr="00A4270E">
        <w:rPr>
          <w:rFonts w:ascii="Arial" w:hAnsi="Arial" w:cs="Arial"/>
          <w:i/>
          <w:spacing w:val="-8"/>
          <w:sz w:val="20"/>
        </w:rPr>
        <w:t>á</w:t>
      </w:r>
      <w:r w:rsidRPr="00A4270E">
        <w:rPr>
          <w:rFonts w:ascii="Arial" w:hAnsi="Arial" w:cs="Arial"/>
          <w:i/>
          <w:spacing w:val="-8"/>
          <w:sz w:val="20"/>
        </w:rPr>
        <w:t>.</w:t>
      </w:r>
      <w:r w:rsidR="00026363" w:rsidRPr="00A4270E">
        <w:rPr>
          <w:rFonts w:ascii="Arial" w:hAnsi="Arial" w:cs="Arial"/>
          <w:i/>
          <w:spacing w:val="-8"/>
          <w:sz w:val="20"/>
        </w:rPr>
        <w:t xml:space="preserve"> </w:t>
      </w:r>
    </w:p>
    <w:p w14:paraId="78AF3763" w14:textId="77777777" w:rsidR="00251B13" w:rsidRPr="00B112AC" w:rsidRDefault="00251B13" w:rsidP="00C85B69">
      <w:pPr>
        <w:pStyle w:val="Nadpis2"/>
        <w:spacing w:before="240" w:after="120" w:line="240" w:lineRule="auto"/>
        <w:ind w:right="-1"/>
        <w:rPr>
          <w:sz w:val="24"/>
          <w:szCs w:val="24"/>
        </w:rPr>
      </w:pPr>
      <w:r w:rsidRPr="00B112AC">
        <w:rPr>
          <w:sz w:val="24"/>
          <w:szCs w:val="24"/>
        </w:rPr>
        <w:t>Hlavní zjištění</w:t>
      </w:r>
    </w:p>
    <w:p w14:paraId="74ECB896" w14:textId="302E22B0" w:rsidR="00961623" w:rsidRPr="00A44DB1" w:rsidRDefault="00961623" w:rsidP="00961623">
      <w:pPr>
        <w:numPr>
          <w:ilvl w:val="0"/>
          <w:numId w:val="14"/>
        </w:numPr>
        <w:autoSpaceDE w:val="0"/>
        <w:autoSpaceDN w:val="0"/>
        <w:adjustRightInd w:val="0"/>
        <w:spacing w:after="60" w:line="276" w:lineRule="auto"/>
        <w:ind w:right="-1"/>
        <w:jc w:val="both"/>
        <w:rPr>
          <w:rFonts w:cs="Arial"/>
          <w:iCs/>
          <w:szCs w:val="20"/>
        </w:rPr>
      </w:pPr>
      <w:r w:rsidRPr="00A44DB1">
        <w:rPr>
          <w:rFonts w:cs="Arial"/>
        </w:rPr>
        <w:t xml:space="preserve">K </w:t>
      </w:r>
      <w:r w:rsidRPr="00A470F9">
        <w:rPr>
          <w:rFonts w:cs="Arial"/>
          <w:b/>
        </w:rPr>
        <w:t>rozšíření internetu</w:t>
      </w:r>
      <w:r w:rsidRPr="00A44DB1">
        <w:rPr>
          <w:rFonts w:cs="Arial"/>
        </w:rPr>
        <w:t xml:space="preserve"> do</w:t>
      </w:r>
      <w:r w:rsidR="00171691" w:rsidRPr="00A44DB1">
        <w:rPr>
          <w:rFonts w:cs="Arial"/>
        </w:rPr>
        <w:t>cházelo</w:t>
      </w:r>
      <w:r w:rsidRPr="00A44DB1">
        <w:rPr>
          <w:rFonts w:cs="Arial"/>
        </w:rPr>
        <w:t xml:space="preserve"> v</w:t>
      </w:r>
      <w:r w:rsidR="00171691" w:rsidRPr="00A44DB1">
        <w:rPr>
          <w:rFonts w:cs="Arial"/>
        </w:rPr>
        <w:t> </w:t>
      </w:r>
      <w:r w:rsidRPr="00A44DB1">
        <w:rPr>
          <w:rFonts w:cs="Arial"/>
        </w:rPr>
        <w:t>Česku</w:t>
      </w:r>
      <w:r w:rsidR="00171691" w:rsidRPr="00A44DB1">
        <w:rPr>
          <w:rFonts w:cs="Arial"/>
        </w:rPr>
        <w:t xml:space="preserve"> v podnicích</w:t>
      </w:r>
      <w:r w:rsidRPr="00A44DB1">
        <w:rPr>
          <w:rFonts w:cs="Arial"/>
        </w:rPr>
        <w:t xml:space="preserve"> výrazně rychleji než v domácnostech. Již od roku 2003 </w:t>
      </w:r>
      <w:r w:rsidR="00D050FE">
        <w:rPr>
          <w:rFonts w:cs="Arial"/>
        </w:rPr>
        <w:t xml:space="preserve">bylo k internetu připojeno </w:t>
      </w:r>
      <w:r w:rsidRPr="00A44DB1">
        <w:rPr>
          <w:rFonts w:cs="Arial"/>
        </w:rPr>
        <w:t>více než 90 % firem s deseti a více zaměstnanci</w:t>
      </w:r>
      <w:r w:rsidR="002E2495">
        <w:rPr>
          <w:rFonts w:cs="Arial"/>
        </w:rPr>
        <w:t xml:space="preserve"> a v roce 2022 se jednalo o 96 %</w:t>
      </w:r>
      <w:r w:rsidRPr="00A44DB1">
        <w:rPr>
          <w:rFonts w:cs="Arial"/>
        </w:rPr>
        <w:t xml:space="preserve">. </w:t>
      </w:r>
    </w:p>
    <w:p w14:paraId="38725ACA" w14:textId="77777777" w:rsidR="00961623" w:rsidRPr="00A44DB1" w:rsidRDefault="00961623" w:rsidP="00961623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60" w:line="276" w:lineRule="auto"/>
        <w:jc w:val="both"/>
        <w:rPr>
          <w:rFonts w:eastAsia="Calibri" w:cs="Arial"/>
          <w:bCs/>
          <w:szCs w:val="20"/>
          <w:lang w:eastAsia="en-US"/>
        </w:rPr>
      </w:pPr>
      <w:r w:rsidRPr="00A44DB1">
        <w:rPr>
          <w:rFonts w:eastAsia="Calibri" w:cs="Arial"/>
          <w:bCs/>
          <w:szCs w:val="20"/>
          <w:lang w:eastAsia="en-US"/>
        </w:rPr>
        <w:t xml:space="preserve">Stabilně vysoký podíl podniků používá v Česku i nadále </w:t>
      </w:r>
      <w:r w:rsidRPr="00A44DB1">
        <w:rPr>
          <w:rFonts w:eastAsia="Calibri" w:cs="Arial"/>
          <w:b/>
          <w:bCs/>
          <w:szCs w:val="20"/>
          <w:lang w:eastAsia="en-US"/>
        </w:rPr>
        <w:t>pevný přístup</w:t>
      </w:r>
      <w:r w:rsidRPr="00A44DB1">
        <w:rPr>
          <w:rFonts w:eastAsia="Calibri" w:cs="Arial"/>
          <w:bCs/>
          <w:szCs w:val="20"/>
          <w:lang w:eastAsia="en-US"/>
        </w:rPr>
        <w:t xml:space="preserve"> k internetu. </w:t>
      </w:r>
      <w:r w:rsidR="00E92B58" w:rsidRPr="00A44DB1">
        <w:rPr>
          <w:rFonts w:eastAsia="Calibri" w:cs="Arial"/>
          <w:bCs/>
          <w:szCs w:val="20"/>
          <w:lang w:eastAsia="en-US"/>
        </w:rPr>
        <w:t xml:space="preserve">V roce 2022 používalo některou z technologií pevného připojení k internetu 89 % podniků s deseti a více zaměstnanci. </w:t>
      </w:r>
      <w:r w:rsidRPr="00A44DB1">
        <w:rPr>
          <w:rFonts w:eastAsia="Calibri" w:cs="Arial"/>
          <w:bCs/>
          <w:szCs w:val="20"/>
          <w:lang w:eastAsia="en-US"/>
        </w:rPr>
        <w:t>Může jít např. o připojení prostřednictvím DSL technologie</w:t>
      </w:r>
      <w:r w:rsidR="00855028" w:rsidRPr="00A44DB1">
        <w:rPr>
          <w:rFonts w:eastAsia="Calibri" w:cs="Arial"/>
          <w:bCs/>
          <w:szCs w:val="20"/>
          <w:lang w:eastAsia="en-US"/>
        </w:rPr>
        <w:t>, tedy přes kabely pevné telefonní linky</w:t>
      </w:r>
      <w:r w:rsidRPr="00A44DB1">
        <w:rPr>
          <w:rFonts w:eastAsia="Calibri" w:cs="Arial"/>
          <w:bCs/>
          <w:szCs w:val="20"/>
          <w:lang w:eastAsia="en-US"/>
        </w:rPr>
        <w:t>,</w:t>
      </w:r>
      <w:r w:rsidR="00855028" w:rsidRPr="00A44DB1">
        <w:rPr>
          <w:rFonts w:eastAsia="Calibri" w:cs="Arial"/>
          <w:bCs/>
          <w:szCs w:val="20"/>
          <w:lang w:eastAsia="en-US"/>
        </w:rPr>
        <w:t xml:space="preserve"> o optický internet</w:t>
      </w:r>
      <w:r w:rsidRPr="00A44DB1">
        <w:rPr>
          <w:rFonts w:eastAsia="Calibri" w:cs="Arial"/>
          <w:bCs/>
          <w:szCs w:val="20"/>
          <w:lang w:eastAsia="en-US"/>
        </w:rPr>
        <w:t xml:space="preserve">, </w:t>
      </w:r>
      <w:r w:rsidR="00855028" w:rsidRPr="00A44DB1">
        <w:rPr>
          <w:rFonts w:eastAsia="Calibri" w:cs="Arial"/>
          <w:bCs/>
          <w:szCs w:val="20"/>
          <w:lang w:eastAsia="en-US"/>
        </w:rPr>
        <w:t xml:space="preserve">přístup přes </w:t>
      </w:r>
      <w:r w:rsidRPr="00A44DB1">
        <w:rPr>
          <w:rFonts w:eastAsia="Calibri" w:cs="Arial"/>
          <w:bCs/>
          <w:szCs w:val="20"/>
          <w:lang w:eastAsia="en-US"/>
        </w:rPr>
        <w:t>datov</w:t>
      </w:r>
      <w:r w:rsidR="00855028" w:rsidRPr="00A44DB1">
        <w:rPr>
          <w:rFonts w:eastAsia="Calibri" w:cs="Arial"/>
          <w:bCs/>
          <w:szCs w:val="20"/>
          <w:lang w:eastAsia="en-US"/>
        </w:rPr>
        <w:t>ý</w:t>
      </w:r>
      <w:r w:rsidRPr="00A44DB1">
        <w:rPr>
          <w:rFonts w:eastAsia="Calibri" w:cs="Arial"/>
          <w:bCs/>
          <w:szCs w:val="20"/>
          <w:lang w:eastAsia="en-US"/>
        </w:rPr>
        <w:t xml:space="preserve"> okruh od telekomunikačních operátorů, o pevné externí bezdrátové připojení </w:t>
      </w:r>
      <w:r w:rsidR="00855028" w:rsidRPr="00A44DB1">
        <w:rPr>
          <w:rFonts w:eastAsia="Calibri" w:cs="Arial"/>
          <w:bCs/>
          <w:szCs w:val="20"/>
          <w:lang w:eastAsia="en-US"/>
        </w:rPr>
        <w:t>nebo</w:t>
      </w:r>
      <w:r w:rsidRPr="00A44DB1">
        <w:rPr>
          <w:rFonts w:eastAsia="Calibri" w:cs="Arial"/>
          <w:bCs/>
          <w:szCs w:val="20"/>
          <w:lang w:eastAsia="en-US"/>
        </w:rPr>
        <w:t xml:space="preserve"> </w:t>
      </w:r>
      <w:r w:rsidR="00855028" w:rsidRPr="00A44DB1">
        <w:rPr>
          <w:rFonts w:eastAsia="Calibri" w:cs="Arial"/>
          <w:bCs/>
          <w:szCs w:val="20"/>
          <w:lang w:eastAsia="en-US"/>
        </w:rPr>
        <w:t>o</w:t>
      </w:r>
      <w:r w:rsidR="000A65B3" w:rsidRPr="00A44DB1">
        <w:rPr>
          <w:rFonts w:eastAsia="Calibri" w:cs="Arial"/>
          <w:bCs/>
          <w:szCs w:val="20"/>
          <w:lang w:eastAsia="en-US"/>
        </w:rPr>
        <w:t> </w:t>
      </w:r>
      <w:r w:rsidR="00855028" w:rsidRPr="00A44DB1">
        <w:rPr>
          <w:rFonts w:eastAsia="Calibri" w:cs="Arial"/>
          <w:bCs/>
          <w:szCs w:val="20"/>
          <w:lang w:eastAsia="en-US"/>
        </w:rPr>
        <w:t xml:space="preserve">internet </w:t>
      </w:r>
      <w:r w:rsidRPr="00A44DB1">
        <w:rPr>
          <w:rFonts w:eastAsia="Calibri" w:cs="Arial"/>
          <w:bCs/>
          <w:szCs w:val="20"/>
          <w:lang w:eastAsia="en-US"/>
        </w:rPr>
        <w:t xml:space="preserve">prostřednictvím kabelové televize. </w:t>
      </w:r>
    </w:p>
    <w:p w14:paraId="1611BA72" w14:textId="0F5CAD97" w:rsidR="00E92B58" w:rsidRPr="003D58CD" w:rsidRDefault="00E92B58" w:rsidP="00961623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60" w:line="276" w:lineRule="auto"/>
        <w:jc w:val="both"/>
        <w:rPr>
          <w:rFonts w:eastAsia="Calibri" w:cs="Arial"/>
          <w:bCs/>
          <w:szCs w:val="20"/>
          <w:lang w:eastAsia="en-US"/>
        </w:rPr>
      </w:pPr>
      <w:r w:rsidRPr="003D58CD">
        <w:rPr>
          <w:rFonts w:eastAsia="Calibri" w:cs="Arial"/>
          <w:bCs/>
          <w:szCs w:val="20"/>
          <w:lang w:eastAsia="en-US"/>
        </w:rPr>
        <w:t>Pevné připojení k internetu měl</w:t>
      </w:r>
      <w:r w:rsidR="006C1D68">
        <w:rPr>
          <w:rFonts w:eastAsia="Calibri" w:cs="Arial"/>
          <w:bCs/>
          <w:szCs w:val="20"/>
          <w:lang w:eastAsia="en-US"/>
        </w:rPr>
        <w:t>y</w:t>
      </w:r>
      <w:r w:rsidRPr="003D58CD">
        <w:rPr>
          <w:rFonts w:eastAsia="Calibri" w:cs="Arial"/>
          <w:bCs/>
          <w:szCs w:val="20"/>
          <w:lang w:eastAsia="en-US"/>
        </w:rPr>
        <w:t xml:space="preserve"> v</w:t>
      </w:r>
      <w:r w:rsidR="006C1D68">
        <w:rPr>
          <w:rFonts w:eastAsia="Calibri" w:cs="Arial"/>
          <w:bCs/>
          <w:szCs w:val="20"/>
          <w:lang w:eastAsia="en-US"/>
        </w:rPr>
        <w:t xml:space="preserve"> roce 2022 v </w:t>
      </w:r>
      <w:r w:rsidRPr="003D58CD">
        <w:rPr>
          <w:rFonts w:eastAsia="Calibri" w:cs="Arial"/>
          <w:bCs/>
          <w:szCs w:val="20"/>
          <w:lang w:eastAsia="en-US"/>
        </w:rPr>
        <w:t>rámci EU27</w:t>
      </w:r>
      <w:r w:rsidR="002E7427" w:rsidRPr="00637C9B">
        <w:rPr>
          <w:rStyle w:val="Znakapoznpodarou"/>
          <w:rFonts w:cs="Arial"/>
        </w:rPr>
        <w:footnoteReference w:id="1"/>
      </w:r>
      <w:r w:rsidR="002E7427" w:rsidRPr="00637C9B">
        <w:rPr>
          <w:rFonts w:cs="Arial"/>
        </w:rPr>
        <w:t xml:space="preserve"> </w:t>
      </w:r>
      <w:r w:rsidR="006C1D68">
        <w:rPr>
          <w:rFonts w:eastAsia="Calibri" w:cs="Arial"/>
          <w:bCs/>
          <w:szCs w:val="20"/>
          <w:lang w:eastAsia="en-US"/>
        </w:rPr>
        <w:t>všechny</w:t>
      </w:r>
      <w:r w:rsidRPr="003D58CD">
        <w:rPr>
          <w:rFonts w:eastAsia="Calibri" w:cs="Arial"/>
          <w:bCs/>
          <w:szCs w:val="20"/>
          <w:lang w:eastAsia="en-US"/>
        </w:rPr>
        <w:t xml:space="preserve"> podnik</w:t>
      </w:r>
      <w:r w:rsidR="006C1D68">
        <w:rPr>
          <w:rFonts w:eastAsia="Calibri" w:cs="Arial"/>
          <w:bCs/>
          <w:szCs w:val="20"/>
          <w:lang w:eastAsia="en-US"/>
        </w:rPr>
        <w:t>y</w:t>
      </w:r>
      <w:r w:rsidRPr="003D58CD">
        <w:rPr>
          <w:rFonts w:eastAsia="Calibri" w:cs="Arial"/>
          <w:bCs/>
          <w:szCs w:val="20"/>
          <w:lang w:eastAsia="en-US"/>
        </w:rPr>
        <w:t xml:space="preserve"> v</w:t>
      </w:r>
      <w:r w:rsidR="006C1D68">
        <w:rPr>
          <w:rFonts w:eastAsia="Calibri" w:cs="Arial"/>
          <w:bCs/>
          <w:szCs w:val="20"/>
          <w:lang w:eastAsia="en-US"/>
        </w:rPr>
        <w:t> </w:t>
      </w:r>
      <w:r w:rsidRPr="003D58CD">
        <w:rPr>
          <w:rFonts w:eastAsia="Calibri" w:cs="Arial"/>
          <w:bCs/>
          <w:szCs w:val="20"/>
          <w:lang w:eastAsia="en-US"/>
        </w:rPr>
        <w:t>Dánsku</w:t>
      </w:r>
      <w:r w:rsidR="006C1D68">
        <w:rPr>
          <w:rFonts w:eastAsia="Calibri" w:cs="Arial"/>
          <w:bCs/>
          <w:szCs w:val="20"/>
          <w:lang w:eastAsia="en-US"/>
        </w:rPr>
        <w:t xml:space="preserve"> a více než 97 % podniků v</w:t>
      </w:r>
      <w:r w:rsidR="00281D6D" w:rsidRPr="003D58CD">
        <w:rPr>
          <w:rFonts w:eastAsia="Calibri" w:cs="Arial"/>
          <w:bCs/>
          <w:szCs w:val="20"/>
          <w:lang w:eastAsia="en-US"/>
        </w:rPr>
        <w:t xml:space="preserve"> Itálii,</w:t>
      </w:r>
      <w:r w:rsidR="003D58CD" w:rsidRPr="003D58CD">
        <w:rPr>
          <w:rFonts w:eastAsia="Calibri" w:cs="Arial"/>
          <w:bCs/>
          <w:szCs w:val="20"/>
          <w:lang w:eastAsia="en-US"/>
        </w:rPr>
        <w:t xml:space="preserve"> Belgii, Německu, Finsku, Francii</w:t>
      </w:r>
      <w:r w:rsidR="00281D6D" w:rsidRPr="003D58CD">
        <w:rPr>
          <w:rFonts w:eastAsia="Calibri" w:cs="Arial"/>
          <w:bCs/>
          <w:szCs w:val="20"/>
          <w:lang w:eastAsia="en-US"/>
        </w:rPr>
        <w:t xml:space="preserve"> nebo </w:t>
      </w:r>
      <w:r w:rsidR="003D58CD" w:rsidRPr="003D58CD">
        <w:rPr>
          <w:rFonts w:eastAsia="Calibri" w:cs="Arial"/>
          <w:bCs/>
          <w:szCs w:val="20"/>
          <w:lang w:eastAsia="en-US"/>
        </w:rPr>
        <w:t>v Rumunsku</w:t>
      </w:r>
      <w:r w:rsidR="00281D6D" w:rsidRPr="003D58CD">
        <w:rPr>
          <w:rFonts w:eastAsia="Calibri" w:cs="Arial"/>
          <w:bCs/>
          <w:szCs w:val="20"/>
          <w:lang w:eastAsia="en-US"/>
        </w:rPr>
        <w:t>. Nejméně podniků s pevným přístupem k internetu bylo v roce 2022 v</w:t>
      </w:r>
      <w:r w:rsidR="003D58CD" w:rsidRPr="003D58CD">
        <w:rPr>
          <w:rFonts w:eastAsia="Calibri" w:cs="Arial"/>
          <w:bCs/>
          <w:szCs w:val="20"/>
          <w:lang w:eastAsia="en-US"/>
        </w:rPr>
        <w:t> Lotyšsku (77 %)</w:t>
      </w:r>
      <w:r w:rsidR="00281D6D" w:rsidRPr="003D58CD">
        <w:rPr>
          <w:rFonts w:eastAsia="Calibri" w:cs="Arial"/>
          <w:bCs/>
          <w:szCs w:val="20"/>
          <w:lang w:eastAsia="en-US"/>
        </w:rPr>
        <w:t xml:space="preserve">. </w:t>
      </w:r>
    </w:p>
    <w:p w14:paraId="412A70B2" w14:textId="1324AAA0" w:rsidR="00961623" w:rsidRPr="00A44DB1" w:rsidRDefault="00961623" w:rsidP="00961623">
      <w:pPr>
        <w:numPr>
          <w:ilvl w:val="0"/>
          <w:numId w:val="14"/>
        </w:numPr>
        <w:autoSpaceDE w:val="0"/>
        <w:autoSpaceDN w:val="0"/>
        <w:adjustRightInd w:val="0"/>
        <w:spacing w:after="60" w:line="276" w:lineRule="auto"/>
        <w:jc w:val="both"/>
        <w:rPr>
          <w:rFonts w:cs="Arial"/>
        </w:rPr>
      </w:pPr>
      <w:r w:rsidRPr="00A44DB1">
        <w:rPr>
          <w:rFonts w:eastAsia="Calibri" w:cs="Arial"/>
          <w:bCs/>
          <w:szCs w:val="20"/>
          <w:lang w:eastAsia="en-US"/>
        </w:rPr>
        <w:t xml:space="preserve">Kromě pevného přístupu k internetu je mezi podniky stále oblíbenější </w:t>
      </w:r>
      <w:r w:rsidRPr="00A44DB1">
        <w:rPr>
          <w:rFonts w:eastAsia="Calibri" w:cs="Arial"/>
          <w:b/>
          <w:bCs/>
          <w:szCs w:val="20"/>
          <w:lang w:eastAsia="en-US"/>
        </w:rPr>
        <w:t xml:space="preserve">mobilní připojení </w:t>
      </w:r>
      <w:r w:rsidR="00BC20EA" w:rsidRPr="00A44DB1">
        <w:rPr>
          <w:rFonts w:eastAsia="Calibri" w:cs="Arial"/>
          <w:bCs/>
          <w:szCs w:val="20"/>
          <w:lang w:eastAsia="en-US"/>
        </w:rPr>
        <w:t>k</w:t>
      </w:r>
      <w:r w:rsidR="00BC20EA" w:rsidRPr="00A44DB1">
        <w:rPr>
          <w:rFonts w:eastAsia="Calibri" w:cs="Arial"/>
          <w:b/>
          <w:bCs/>
          <w:szCs w:val="20"/>
          <w:lang w:eastAsia="en-US"/>
        </w:rPr>
        <w:t> </w:t>
      </w:r>
      <w:r w:rsidRPr="00A44DB1">
        <w:rPr>
          <w:rFonts w:eastAsia="Calibri" w:cs="Arial"/>
          <w:bCs/>
          <w:szCs w:val="20"/>
          <w:lang w:eastAsia="en-US"/>
        </w:rPr>
        <w:t>internetu</w:t>
      </w:r>
      <w:r w:rsidR="00BC20EA" w:rsidRPr="00A44DB1">
        <w:rPr>
          <w:rFonts w:eastAsia="Calibri" w:cs="Arial"/>
          <w:bCs/>
          <w:szCs w:val="20"/>
          <w:lang w:eastAsia="en-US"/>
        </w:rPr>
        <w:t>, v</w:t>
      </w:r>
      <w:r w:rsidRPr="00A44DB1">
        <w:rPr>
          <w:rFonts w:cs="Arial"/>
        </w:rPr>
        <w:t> roce 202</w:t>
      </w:r>
      <w:r w:rsidR="00793BBA" w:rsidRPr="00A44DB1">
        <w:rPr>
          <w:rFonts w:cs="Arial"/>
        </w:rPr>
        <w:t>2</w:t>
      </w:r>
      <w:r w:rsidR="00BC20EA" w:rsidRPr="00A44DB1">
        <w:rPr>
          <w:rFonts w:cs="Arial"/>
        </w:rPr>
        <w:t xml:space="preserve"> jej</w:t>
      </w:r>
      <w:r w:rsidRPr="00A44DB1">
        <w:rPr>
          <w:rFonts w:cs="Arial"/>
        </w:rPr>
        <w:t xml:space="preserve"> mělo </w:t>
      </w:r>
      <w:r w:rsidR="00793BBA" w:rsidRPr="00A44DB1">
        <w:rPr>
          <w:rFonts w:cs="Arial"/>
        </w:rPr>
        <w:t>devět</w:t>
      </w:r>
      <w:r w:rsidRPr="00A44DB1">
        <w:rPr>
          <w:rFonts w:cs="Arial"/>
        </w:rPr>
        <w:t xml:space="preserve"> firem </w:t>
      </w:r>
      <w:r w:rsidR="00793BBA" w:rsidRPr="00A44DB1">
        <w:rPr>
          <w:rFonts w:cs="Arial"/>
        </w:rPr>
        <w:t>z</w:t>
      </w:r>
      <w:r w:rsidR="00A15CBC" w:rsidRPr="00A44DB1">
        <w:rPr>
          <w:rFonts w:cs="Arial"/>
        </w:rPr>
        <w:t> </w:t>
      </w:r>
      <w:r w:rsidR="00793BBA" w:rsidRPr="00A44DB1">
        <w:rPr>
          <w:rFonts w:cs="Arial"/>
        </w:rPr>
        <w:t>deseti</w:t>
      </w:r>
      <w:r w:rsidR="00A15CBC" w:rsidRPr="00A44DB1">
        <w:rPr>
          <w:rFonts w:cs="Arial"/>
        </w:rPr>
        <w:t xml:space="preserve"> a již 99 % velkých podniků s 250 a více zaměstnanci</w:t>
      </w:r>
      <w:r w:rsidRPr="00A44DB1">
        <w:rPr>
          <w:rFonts w:cs="Arial"/>
        </w:rPr>
        <w:t xml:space="preserve">. </w:t>
      </w:r>
      <w:r w:rsidR="0058794C">
        <w:rPr>
          <w:rFonts w:cs="Arial"/>
        </w:rPr>
        <w:t>Ještě v</w:t>
      </w:r>
      <w:r w:rsidRPr="00A44DB1">
        <w:rPr>
          <w:rFonts w:cs="Arial"/>
        </w:rPr>
        <w:t xml:space="preserve"> roce 2015 poskytovala svým zaměstnanců</w:t>
      </w:r>
      <w:r w:rsidR="00BC20EA" w:rsidRPr="00A44DB1">
        <w:rPr>
          <w:rFonts w:cs="Arial"/>
        </w:rPr>
        <w:t>m</w:t>
      </w:r>
      <w:r w:rsidRPr="00A44DB1">
        <w:rPr>
          <w:rFonts w:cs="Arial"/>
        </w:rPr>
        <w:t xml:space="preserve"> přístup k internetu prostřednictvím datového tarifu od mobilních operátorů </w:t>
      </w:r>
      <w:r w:rsidR="00BC20EA" w:rsidRPr="00A44DB1">
        <w:rPr>
          <w:rFonts w:cs="Arial"/>
        </w:rPr>
        <w:t>n</w:t>
      </w:r>
      <w:r w:rsidRPr="00A44DB1">
        <w:rPr>
          <w:rFonts w:cs="Arial"/>
        </w:rPr>
        <w:t>ecelá třetina firem</w:t>
      </w:r>
      <w:r w:rsidR="00A15CBC" w:rsidRPr="00A44DB1">
        <w:rPr>
          <w:rFonts w:cs="Arial"/>
        </w:rPr>
        <w:t>.</w:t>
      </w:r>
      <w:r w:rsidRPr="00A44DB1">
        <w:rPr>
          <w:rFonts w:cs="Arial"/>
        </w:rPr>
        <w:t xml:space="preserve"> </w:t>
      </w:r>
      <w:r w:rsidR="00BC20EA" w:rsidRPr="00A44DB1">
        <w:rPr>
          <w:rFonts w:cs="Arial"/>
        </w:rPr>
        <w:t>Mobilní připojení k internetu</w:t>
      </w:r>
      <w:r w:rsidRPr="00A44DB1">
        <w:rPr>
          <w:rFonts w:cs="Arial"/>
        </w:rPr>
        <w:t xml:space="preserve"> firmy často využívají jako</w:t>
      </w:r>
      <w:r w:rsidR="00EE027F">
        <w:rPr>
          <w:rFonts w:cs="Arial"/>
        </w:rPr>
        <w:t xml:space="preserve"> další možnost připojení</w:t>
      </w:r>
      <w:r w:rsidRPr="00A44DB1">
        <w:rPr>
          <w:rFonts w:cs="Arial"/>
        </w:rPr>
        <w:t xml:space="preserve"> pro zaměstnance</w:t>
      </w:r>
      <w:r w:rsidR="00793BBA" w:rsidRPr="00A44DB1">
        <w:rPr>
          <w:rFonts w:cs="Arial"/>
        </w:rPr>
        <w:t xml:space="preserve"> a například v</w:t>
      </w:r>
      <w:r w:rsidRPr="00A44DB1">
        <w:rPr>
          <w:rFonts w:cs="Arial"/>
        </w:rPr>
        <w:t xml:space="preserve"> době pandemie se připojení </w:t>
      </w:r>
      <w:r w:rsidR="00793BBA" w:rsidRPr="00A44DB1">
        <w:rPr>
          <w:rFonts w:cs="Arial"/>
        </w:rPr>
        <w:t>přes mobilní sítě</w:t>
      </w:r>
      <w:r w:rsidR="00BC20EA" w:rsidRPr="00A44DB1">
        <w:rPr>
          <w:rFonts w:cs="Arial"/>
        </w:rPr>
        <w:t xml:space="preserve"> </w:t>
      </w:r>
      <w:r w:rsidRPr="00A44DB1">
        <w:rPr>
          <w:rFonts w:cs="Arial"/>
        </w:rPr>
        <w:t>stalo nezbytnou alternativou k pevnému přístupu na internet.</w:t>
      </w:r>
    </w:p>
    <w:p w14:paraId="143228DE" w14:textId="19044DA1" w:rsidR="00961623" w:rsidRPr="00A44DB1" w:rsidRDefault="000A65B3" w:rsidP="00961623">
      <w:pPr>
        <w:pStyle w:val="Odstavecseseznamem"/>
        <w:numPr>
          <w:ilvl w:val="0"/>
          <w:numId w:val="14"/>
        </w:numPr>
        <w:spacing w:after="60" w:line="276" w:lineRule="auto"/>
        <w:jc w:val="both"/>
        <w:rPr>
          <w:rFonts w:cs="Arial"/>
        </w:rPr>
      </w:pPr>
      <w:r w:rsidRPr="00A44DB1">
        <w:rPr>
          <w:rFonts w:cs="Arial"/>
        </w:rPr>
        <w:t xml:space="preserve">Podniků, které mají přístup na internet </w:t>
      </w:r>
      <w:r w:rsidRPr="00857F85">
        <w:rPr>
          <w:rFonts w:cs="Arial"/>
          <w:b/>
        </w:rPr>
        <w:t>pouze přes mobilní sítě</w:t>
      </w:r>
      <w:r w:rsidRPr="00A44DB1">
        <w:rPr>
          <w:rFonts w:cs="Arial"/>
        </w:rPr>
        <w:t xml:space="preserve"> a pevné internetové připojení nevyužívají</w:t>
      </w:r>
      <w:r w:rsidR="0032298C" w:rsidRPr="00A44DB1">
        <w:rPr>
          <w:rFonts w:cs="Arial"/>
        </w:rPr>
        <w:t>,</w:t>
      </w:r>
      <w:r w:rsidRPr="00A44DB1">
        <w:rPr>
          <w:rFonts w:cs="Arial"/>
        </w:rPr>
        <w:t xml:space="preserve"> </w:t>
      </w:r>
      <w:r w:rsidR="009E263A" w:rsidRPr="00A44DB1">
        <w:rPr>
          <w:rFonts w:cs="Arial"/>
        </w:rPr>
        <w:t>bylo</w:t>
      </w:r>
      <w:r w:rsidR="0032298C" w:rsidRPr="00A44DB1">
        <w:rPr>
          <w:rFonts w:cs="Arial"/>
        </w:rPr>
        <w:t xml:space="preserve"> v roce 2022 </w:t>
      </w:r>
      <w:r w:rsidR="009E263A" w:rsidRPr="00A44DB1">
        <w:rPr>
          <w:rFonts w:cs="Arial"/>
        </w:rPr>
        <w:t xml:space="preserve">v Česku </w:t>
      </w:r>
      <w:r w:rsidR="0032298C" w:rsidRPr="00A44DB1">
        <w:rPr>
          <w:rFonts w:cs="Arial"/>
        </w:rPr>
        <w:t>7 %</w:t>
      </w:r>
      <w:r w:rsidR="009E263A" w:rsidRPr="00A44DB1">
        <w:rPr>
          <w:rFonts w:cs="Arial"/>
        </w:rPr>
        <w:t xml:space="preserve">. Nejčastěji </w:t>
      </w:r>
      <w:r w:rsidR="004743F4" w:rsidRPr="00A44DB1">
        <w:rPr>
          <w:rFonts w:cs="Arial"/>
        </w:rPr>
        <w:t>nacházíme</w:t>
      </w:r>
      <w:r w:rsidR="004743F4">
        <w:rPr>
          <w:rFonts w:cs="Arial"/>
        </w:rPr>
        <w:t xml:space="preserve"> pouze mobilní</w:t>
      </w:r>
      <w:r w:rsidR="009E263A" w:rsidRPr="00A44DB1">
        <w:rPr>
          <w:rFonts w:cs="Arial"/>
        </w:rPr>
        <w:t xml:space="preserve"> připojení k internetu v malých firmách a v odvětvích, kde je potřeba cestovat a nebýt připojen pouze v jednom místě, tedy např. kurýrní nebo veterinární činnosti.</w:t>
      </w:r>
      <w:r w:rsidR="00961623" w:rsidRPr="00A44DB1">
        <w:rPr>
          <w:rFonts w:cs="Arial"/>
        </w:rPr>
        <w:t xml:space="preserve"> </w:t>
      </w:r>
      <w:r w:rsidRPr="00857F85">
        <w:rPr>
          <w:rFonts w:cs="Arial"/>
          <w:b/>
        </w:rPr>
        <w:t>Pouze fixní</w:t>
      </w:r>
      <w:r w:rsidR="00A15CBC" w:rsidRPr="00857F85">
        <w:rPr>
          <w:rFonts w:cs="Arial"/>
          <w:b/>
        </w:rPr>
        <w:t>m připojením</w:t>
      </w:r>
      <w:r w:rsidR="00A15CBC" w:rsidRPr="00A44DB1">
        <w:rPr>
          <w:rFonts w:cs="Arial"/>
        </w:rPr>
        <w:t xml:space="preserve"> bez přístupu na mobilní data disponovala v roce 202</w:t>
      </w:r>
      <w:r w:rsidR="00857F85">
        <w:rPr>
          <w:rFonts w:cs="Arial"/>
        </w:rPr>
        <w:t>2</w:t>
      </w:r>
      <w:r w:rsidR="00A15CBC" w:rsidRPr="00A44DB1">
        <w:rPr>
          <w:rFonts w:cs="Arial"/>
        </w:rPr>
        <w:t xml:space="preserve"> desetina firem v ČR. </w:t>
      </w:r>
      <w:r w:rsidR="004743F4" w:rsidRPr="00A44DB1">
        <w:rPr>
          <w:rFonts w:cs="Arial"/>
        </w:rPr>
        <w:t>T</w:t>
      </w:r>
      <w:r w:rsidR="004743F4">
        <w:rPr>
          <w:rFonts w:cs="Arial"/>
        </w:rPr>
        <w:t>ento</w:t>
      </w:r>
      <w:r w:rsidR="004743F4" w:rsidRPr="00A44DB1">
        <w:rPr>
          <w:rFonts w:cs="Arial"/>
        </w:rPr>
        <w:t xml:space="preserve"> </w:t>
      </w:r>
      <w:r w:rsidR="00A15CBC" w:rsidRPr="00A44DB1">
        <w:rPr>
          <w:rFonts w:cs="Arial"/>
        </w:rPr>
        <w:t xml:space="preserve">přístup k internetu je nejčastější v malých firmách a z hlediska odvětví </w:t>
      </w:r>
      <w:r w:rsidR="0032298C" w:rsidRPr="00A44DB1">
        <w:rPr>
          <w:rFonts w:cs="Arial"/>
        </w:rPr>
        <w:t>se jedná o stravování a pohostinství, maloobchod či oděvní průmysl nebo výrobu potravin a</w:t>
      </w:r>
      <w:r w:rsidR="0094330F">
        <w:rPr>
          <w:rFonts w:cs="Arial"/>
        </w:rPr>
        <w:t> </w:t>
      </w:r>
      <w:r w:rsidR="0032298C" w:rsidRPr="00A44DB1">
        <w:rPr>
          <w:rFonts w:cs="Arial"/>
        </w:rPr>
        <w:t xml:space="preserve">nápojů, tedy odvětví, </w:t>
      </w:r>
      <w:r w:rsidR="008035A5">
        <w:rPr>
          <w:rFonts w:cs="Arial"/>
        </w:rPr>
        <w:t>ve který se nepředpokládá významné cestování zaměstnanců</w:t>
      </w:r>
      <w:r w:rsidR="0032298C" w:rsidRPr="00A44DB1">
        <w:rPr>
          <w:rFonts w:cs="Arial"/>
        </w:rPr>
        <w:t>.</w:t>
      </w:r>
      <w:r w:rsidR="00A15CBC" w:rsidRPr="00A44DB1">
        <w:rPr>
          <w:rFonts w:cs="Arial"/>
        </w:rPr>
        <w:t xml:space="preserve"> </w:t>
      </w:r>
      <w:r w:rsidRPr="00A44DB1">
        <w:rPr>
          <w:rFonts w:cs="Arial"/>
        </w:rPr>
        <w:t xml:space="preserve"> </w:t>
      </w:r>
    </w:p>
    <w:p w14:paraId="63569C12" w14:textId="2E8F89B6" w:rsidR="00961623" w:rsidRPr="003D58CD" w:rsidRDefault="00961623" w:rsidP="00BE19E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60" w:line="276" w:lineRule="auto"/>
        <w:jc w:val="both"/>
        <w:rPr>
          <w:rFonts w:cs="Arial"/>
        </w:rPr>
      </w:pPr>
      <w:r w:rsidRPr="003D58CD">
        <w:rPr>
          <w:rFonts w:cs="Arial"/>
        </w:rPr>
        <w:t xml:space="preserve">V rámci 21 </w:t>
      </w:r>
      <w:r w:rsidRPr="003D58CD">
        <w:rPr>
          <w:rFonts w:cs="Arial"/>
          <w:b/>
        </w:rPr>
        <w:t>zemí EU</w:t>
      </w:r>
      <w:r w:rsidRPr="003D58CD">
        <w:rPr>
          <w:rFonts w:cs="Arial"/>
        </w:rPr>
        <w:t xml:space="preserve">, za které jsou k dispozici </w:t>
      </w:r>
      <w:r w:rsidR="00126150" w:rsidRPr="003D58CD">
        <w:rPr>
          <w:rFonts w:cs="Arial"/>
        </w:rPr>
        <w:t xml:space="preserve">nejnovější </w:t>
      </w:r>
      <w:r w:rsidRPr="003D58CD">
        <w:rPr>
          <w:rFonts w:cs="Arial"/>
        </w:rPr>
        <w:t>údaje o používání mobilního přístupu k internetu, patří</w:t>
      </w:r>
      <w:r w:rsidR="00126150" w:rsidRPr="003D58CD">
        <w:rPr>
          <w:rFonts w:cs="Arial"/>
        </w:rPr>
        <w:t xml:space="preserve"> </w:t>
      </w:r>
      <w:r w:rsidR="00126150" w:rsidRPr="003D58CD">
        <w:rPr>
          <w:rFonts w:cs="Arial"/>
          <w:b/>
        </w:rPr>
        <w:t xml:space="preserve">podnikům v Česku </w:t>
      </w:r>
      <w:r w:rsidRPr="003D58CD">
        <w:rPr>
          <w:rFonts w:cs="Arial"/>
          <w:b/>
        </w:rPr>
        <w:t xml:space="preserve">v tomto ukazateli </w:t>
      </w:r>
      <w:r w:rsidR="003D58CD" w:rsidRPr="003D58CD">
        <w:rPr>
          <w:rFonts w:cs="Arial"/>
          <w:b/>
        </w:rPr>
        <w:t>páté</w:t>
      </w:r>
      <w:r w:rsidRPr="003D58CD">
        <w:rPr>
          <w:rFonts w:cs="Arial"/>
          <w:b/>
        </w:rPr>
        <w:t xml:space="preserve"> místo</w:t>
      </w:r>
      <w:r w:rsidRPr="003D58CD">
        <w:rPr>
          <w:rFonts w:cs="Arial"/>
        </w:rPr>
        <w:t xml:space="preserve">. Vyšší podíl podniků majících přístup na internet přes mobilní sítě a přenosná </w:t>
      </w:r>
      <w:r w:rsidR="00126150" w:rsidRPr="003D58CD">
        <w:rPr>
          <w:rFonts w:cs="Arial"/>
        </w:rPr>
        <w:t xml:space="preserve">ICT </w:t>
      </w:r>
      <w:r w:rsidRPr="003D58CD">
        <w:rPr>
          <w:rFonts w:cs="Arial"/>
        </w:rPr>
        <w:t>zařízení</w:t>
      </w:r>
      <w:r w:rsidR="00126150" w:rsidRPr="003D58CD">
        <w:rPr>
          <w:rFonts w:cs="Arial"/>
        </w:rPr>
        <w:t>,</w:t>
      </w:r>
      <w:r w:rsidRPr="003D58CD">
        <w:rPr>
          <w:rFonts w:cs="Arial"/>
        </w:rPr>
        <w:t xml:space="preserve"> byl</w:t>
      </w:r>
      <w:r w:rsidR="00126150" w:rsidRPr="003D58CD">
        <w:rPr>
          <w:rFonts w:cs="Arial"/>
        </w:rPr>
        <w:t xml:space="preserve"> v roce 202</w:t>
      </w:r>
      <w:r w:rsidR="003D58CD" w:rsidRPr="003D58CD">
        <w:rPr>
          <w:rFonts w:cs="Arial"/>
        </w:rPr>
        <w:t>2</w:t>
      </w:r>
      <w:r w:rsidRPr="003D58CD">
        <w:rPr>
          <w:rFonts w:cs="Arial"/>
        </w:rPr>
        <w:t xml:space="preserve"> ve </w:t>
      </w:r>
      <w:r w:rsidR="003D58CD" w:rsidRPr="003D58CD">
        <w:rPr>
          <w:rFonts w:cs="Arial"/>
        </w:rPr>
        <w:t>Švédsku (98 %), v Litvě (94 %), v Polsku (92 %)</w:t>
      </w:r>
      <w:r w:rsidRPr="003D58CD">
        <w:rPr>
          <w:rFonts w:cs="Arial"/>
        </w:rPr>
        <w:t xml:space="preserve"> a ve Slovinsku</w:t>
      </w:r>
      <w:r w:rsidR="003D58CD" w:rsidRPr="003D58CD">
        <w:rPr>
          <w:rFonts w:cs="Arial"/>
        </w:rPr>
        <w:t xml:space="preserve"> (90 %)</w:t>
      </w:r>
      <w:r w:rsidRPr="003D58CD">
        <w:rPr>
          <w:rFonts w:cs="Arial"/>
        </w:rPr>
        <w:t>.</w:t>
      </w:r>
      <w:r w:rsidR="0058794C">
        <w:rPr>
          <w:rFonts w:cs="Arial"/>
        </w:rPr>
        <w:t xml:space="preserve"> Nejnižší byl naproti tomu v podnicích v Řecku (69 %).</w:t>
      </w:r>
    </w:p>
    <w:p w14:paraId="0CAE4D10" w14:textId="2C9A1125" w:rsidR="00961623" w:rsidRPr="00A44DB1" w:rsidRDefault="00961623" w:rsidP="00BE19E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60" w:line="276" w:lineRule="auto"/>
        <w:jc w:val="both"/>
        <w:rPr>
          <w:rFonts w:eastAsia="Calibri" w:cs="Arial"/>
          <w:bCs/>
          <w:szCs w:val="20"/>
          <w:lang w:eastAsia="en-US"/>
        </w:rPr>
      </w:pPr>
      <w:r w:rsidRPr="00A44DB1">
        <w:rPr>
          <w:rFonts w:eastAsia="Calibri" w:cs="Arial"/>
          <w:bCs/>
          <w:szCs w:val="20"/>
          <w:lang w:eastAsia="en-US"/>
        </w:rPr>
        <w:t>Firmy si uvědomují, že v souvislosti s rozšiřujícím se používáním</w:t>
      </w:r>
      <w:r w:rsidR="00126150" w:rsidRPr="00A44DB1">
        <w:rPr>
          <w:rFonts w:eastAsia="Calibri" w:cs="Arial"/>
          <w:bCs/>
          <w:szCs w:val="20"/>
          <w:lang w:eastAsia="en-US"/>
        </w:rPr>
        <w:t xml:space="preserve"> přenosných ICT zařízení jako jsou</w:t>
      </w:r>
      <w:r w:rsidRPr="00A44DB1">
        <w:rPr>
          <w:rFonts w:eastAsia="Calibri" w:cs="Arial"/>
          <w:bCs/>
          <w:szCs w:val="20"/>
          <w:lang w:eastAsia="en-US"/>
        </w:rPr>
        <w:t xml:space="preserve"> </w:t>
      </w:r>
      <w:proofErr w:type="spellStart"/>
      <w:r w:rsidR="00F17923" w:rsidRPr="00A44DB1">
        <w:rPr>
          <w:rFonts w:eastAsia="Calibri" w:cs="Arial"/>
          <w:bCs/>
          <w:szCs w:val="20"/>
          <w:lang w:eastAsia="en-US"/>
        </w:rPr>
        <w:t>smartphony</w:t>
      </w:r>
      <w:proofErr w:type="spellEnd"/>
      <w:r w:rsidRPr="00A44DB1">
        <w:rPr>
          <w:rFonts w:eastAsia="Calibri" w:cs="Arial"/>
          <w:bCs/>
          <w:szCs w:val="20"/>
          <w:lang w:eastAsia="en-US"/>
        </w:rPr>
        <w:t>, notebook</w:t>
      </w:r>
      <w:r w:rsidR="00126150" w:rsidRPr="00A44DB1">
        <w:rPr>
          <w:rFonts w:eastAsia="Calibri" w:cs="Arial"/>
          <w:bCs/>
          <w:szCs w:val="20"/>
          <w:lang w:eastAsia="en-US"/>
        </w:rPr>
        <w:t>y</w:t>
      </w:r>
      <w:r w:rsidRPr="00A44DB1">
        <w:rPr>
          <w:rFonts w:eastAsia="Calibri" w:cs="Arial"/>
          <w:bCs/>
          <w:szCs w:val="20"/>
          <w:lang w:eastAsia="en-US"/>
        </w:rPr>
        <w:t xml:space="preserve"> či tablet</w:t>
      </w:r>
      <w:r w:rsidR="00126150" w:rsidRPr="00A44DB1">
        <w:rPr>
          <w:rFonts w:eastAsia="Calibri" w:cs="Arial"/>
          <w:bCs/>
          <w:szCs w:val="20"/>
          <w:lang w:eastAsia="en-US"/>
        </w:rPr>
        <w:t xml:space="preserve">y </w:t>
      </w:r>
      <w:r w:rsidRPr="00A44DB1">
        <w:rPr>
          <w:rFonts w:eastAsia="Calibri" w:cs="Arial"/>
          <w:bCs/>
          <w:szCs w:val="20"/>
          <w:lang w:eastAsia="en-US"/>
        </w:rPr>
        <w:t>je potřebné a zároveň finančně výhodné v kancelářských i dalších společných prostor</w:t>
      </w:r>
      <w:r w:rsidR="00126150" w:rsidRPr="00A44DB1">
        <w:rPr>
          <w:rFonts w:eastAsia="Calibri" w:cs="Arial"/>
          <w:bCs/>
          <w:szCs w:val="20"/>
          <w:lang w:eastAsia="en-US"/>
        </w:rPr>
        <w:t>ách</w:t>
      </w:r>
      <w:r w:rsidRPr="00A44DB1">
        <w:rPr>
          <w:rFonts w:eastAsia="Calibri" w:cs="Arial"/>
          <w:bCs/>
          <w:szCs w:val="20"/>
          <w:lang w:eastAsia="en-US"/>
        </w:rPr>
        <w:t xml:space="preserve"> instalovat </w:t>
      </w:r>
      <w:proofErr w:type="spellStart"/>
      <w:r w:rsidR="00104DEB" w:rsidRPr="00A44DB1">
        <w:rPr>
          <w:rFonts w:eastAsia="Calibri" w:cs="Arial"/>
          <w:b/>
          <w:bCs/>
          <w:szCs w:val="20"/>
          <w:lang w:eastAsia="en-US"/>
        </w:rPr>
        <w:t>Wi</w:t>
      </w:r>
      <w:r w:rsidRPr="00A44DB1">
        <w:rPr>
          <w:rFonts w:eastAsia="Calibri" w:cs="Arial"/>
          <w:b/>
          <w:bCs/>
          <w:szCs w:val="20"/>
          <w:lang w:eastAsia="en-US"/>
        </w:rPr>
        <w:t>Fi</w:t>
      </w:r>
      <w:proofErr w:type="spellEnd"/>
      <w:r w:rsidRPr="00A44DB1">
        <w:rPr>
          <w:rFonts w:eastAsia="Calibri" w:cs="Arial"/>
          <w:b/>
          <w:bCs/>
          <w:szCs w:val="20"/>
          <w:lang w:eastAsia="en-US"/>
        </w:rPr>
        <w:t xml:space="preserve"> sítě</w:t>
      </w:r>
      <w:r w:rsidRPr="00A44DB1">
        <w:rPr>
          <w:rFonts w:eastAsia="Calibri" w:cs="Arial"/>
          <w:bCs/>
          <w:szCs w:val="20"/>
          <w:lang w:eastAsia="en-US"/>
        </w:rPr>
        <w:t xml:space="preserve"> nebo </w:t>
      </w:r>
      <w:r w:rsidRPr="00A44DB1">
        <w:rPr>
          <w:rFonts w:eastAsia="Calibri" w:cs="Arial"/>
          <w:b/>
          <w:bCs/>
          <w:szCs w:val="20"/>
          <w:lang w:eastAsia="en-US"/>
        </w:rPr>
        <w:t xml:space="preserve">mobilní přístupové body (tzv. </w:t>
      </w:r>
      <w:proofErr w:type="spellStart"/>
      <w:r w:rsidRPr="00A44DB1">
        <w:rPr>
          <w:rFonts w:eastAsia="Calibri" w:cs="Arial"/>
          <w:b/>
          <w:bCs/>
          <w:szCs w:val="20"/>
          <w:lang w:eastAsia="en-US"/>
        </w:rPr>
        <w:t>hotspoty</w:t>
      </w:r>
      <w:proofErr w:type="spellEnd"/>
      <w:r w:rsidRPr="00A44DB1">
        <w:rPr>
          <w:rFonts w:eastAsia="Calibri" w:cs="Arial"/>
          <w:b/>
          <w:bCs/>
          <w:szCs w:val="20"/>
          <w:lang w:eastAsia="en-US"/>
        </w:rPr>
        <w:t>)</w:t>
      </w:r>
      <w:r w:rsidRPr="00A44DB1">
        <w:rPr>
          <w:rFonts w:eastAsia="Calibri" w:cs="Arial"/>
          <w:bCs/>
          <w:szCs w:val="20"/>
          <w:lang w:eastAsia="en-US"/>
        </w:rPr>
        <w:t>. </w:t>
      </w:r>
      <w:r w:rsidR="00104DEB" w:rsidRPr="00A44DB1">
        <w:rPr>
          <w:rFonts w:eastAsia="Calibri" w:cs="Arial"/>
          <w:bCs/>
          <w:szCs w:val="20"/>
          <w:lang w:eastAsia="en-US"/>
        </w:rPr>
        <w:t xml:space="preserve">V roce 2022 </w:t>
      </w:r>
      <w:r w:rsidR="007A32A2">
        <w:rPr>
          <w:rFonts w:eastAsia="Calibri" w:cs="Arial"/>
          <w:bCs/>
          <w:szCs w:val="20"/>
          <w:lang w:eastAsia="en-US"/>
        </w:rPr>
        <w:t>poskytovalo</w:t>
      </w:r>
      <w:r w:rsidR="007A32A2" w:rsidRPr="00A44DB1">
        <w:rPr>
          <w:rFonts w:eastAsia="Calibri" w:cs="Arial"/>
          <w:bCs/>
          <w:szCs w:val="20"/>
          <w:lang w:eastAsia="en-US"/>
        </w:rPr>
        <w:t xml:space="preserve"> </w:t>
      </w:r>
      <w:r w:rsidR="00104DEB" w:rsidRPr="00A44DB1">
        <w:rPr>
          <w:rFonts w:eastAsia="Calibri" w:cs="Arial"/>
          <w:bCs/>
          <w:szCs w:val="20"/>
          <w:lang w:eastAsia="en-US"/>
        </w:rPr>
        <w:t>v </w:t>
      </w:r>
      <w:r w:rsidRPr="00A44DB1">
        <w:rPr>
          <w:rFonts w:eastAsia="Calibri" w:cs="Arial"/>
          <w:bCs/>
          <w:szCs w:val="20"/>
          <w:lang w:eastAsia="en-US"/>
        </w:rPr>
        <w:t>Česku</w:t>
      </w:r>
      <w:r w:rsidR="00104DEB" w:rsidRPr="00A44DB1">
        <w:rPr>
          <w:rFonts w:eastAsia="Calibri" w:cs="Arial"/>
          <w:bCs/>
          <w:szCs w:val="20"/>
          <w:lang w:eastAsia="en-US"/>
        </w:rPr>
        <w:t xml:space="preserve"> </w:t>
      </w:r>
      <w:r w:rsidR="007A32A2" w:rsidRPr="00A44DB1">
        <w:rPr>
          <w:rFonts w:eastAsia="Calibri" w:cs="Arial"/>
          <w:bCs/>
          <w:szCs w:val="20"/>
          <w:lang w:eastAsia="en-US"/>
        </w:rPr>
        <w:t>80</w:t>
      </w:r>
      <w:r w:rsidR="007A32A2">
        <w:rPr>
          <w:rFonts w:eastAsia="Calibri" w:cs="Arial"/>
          <w:bCs/>
          <w:szCs w:val="20"/>
          <w:lang w:eastAsia="en-US"/>
        </w:rPr>
        <w:t> %</w:t>
      </w:r>
      <w:r w:rsidR="007A32A2" w:rsidRPr="00A44DB1">
        <w:rPr>
          <w:rFonts w:eastAsia="Calibri" w:cs="Arial"/>
          <w:bCs/>
          <w:szCs w:val="20"/>
          <w:lang w:eastAsia="en-US"/>
        </w:rPr>
        <w:t xml:space="preserve"> firem</w:t>
      </w:r>
      <w:r w:rsidR="007A32A2">
        <w:rPr>
          <w:rFonts w:eastAsia="Calibri" w:cs="Arial"/>
          <w:bCs/>
          <w:szCs w:val="20"/>
          <w:lang w:eastAsia="en-US"/>
        </w:rPr>
        <w:t xml:space="preserve"> ve </w:t>
      </w:r>
      <w:r w:rsidRPr="00A44DB1">
        <w:rPr>
          <w:rFonts w:eastAsia="Calibri" w:cs="Arial"/>
          <w:bCs/>
          <w:szCs w:val="20"/>
          <w:lang w:eastAsia="en-US"/>
        </w:rPr>
        <w:t>svých prostorách</w:t>
      </w:r>
      <w:r w:rsidRPr="00A44DB1">
        <w:rPr>
          <w:rFonts w:eastAsia="Calibri" w:cs="Arial"/>
          <w:b/>
          <w:bCs/>
          <w:szCs w:val="20"/>
          <w:lang w:eastAsia="en-US"/>
        </w:rPr>
        <w:t xml:space="preserve"> bezdrátový přístup</w:t>
      </w:r>
      <w:r w:rsidRPr="00A44DB1">
        <w:rPr>
          <w:rFonts w:eastAsia="Calibri" w:cs="Arial"/>
          <w:bCs/>
          <w:szCs w:val="20"/>
          <w:lang w:eastAsia="en-US"/>
        </w:rPr>
        <w:t xml:space="preserve"> k internetu. Děje se tak </w:t>
      </w:r>
      <w:r w:rsidR="00104DEB" w:rsidRPr="00A44DB1">
        <w:rPr>
          <w:rFonts w:eastAsia="Calibri" w:cs="Arial"/>
          <w:bCs/>
          <w:szCs w:val="20"/>
          <w:lang w:eastAsia="en-US"/>
        </w:rPr>
        <w:t>v 97 %</w:t>
      </w:r>
      <w:r w:rsidRPr="00A44DB1">
        <w:rPr>
          <w:rFonts w:eastAsia="Calibri" w:cs="Arial"/>
          <w:bCs/>
          <w:szCs w:val="20"/>
          <w:lang w:eastAsia="en-US"/>
        </w:rPr>
        <w:t xml:space="preserve"> velkých fir</w:t>
      </w:r>
      <w:r w:rsidR="00104DEB" w:rsidRPr="00A44DB1">
        <w:rPr>
          <w:rFonts w:eastAsia="Calibri" w:cs="Arial"/>
          <w:bCs/>
          <w:szCs w:val="20"/>
          <w:lang w:eastAsia="en-US"/>
        </w:rPr>
        <w:t>e</w:t>
      </w:r>
      <w:r w:rsidRPr="00A44DB1">
        <w:rPr>
          <w:rFonts w:eastAsia="Calibri" w:cs="Arial"/>
          <w:bCs/>
          <w:szCs w:val="20"/>
          <w:lang w:eastAsia="en-US"/>
        </w:rPr>
        <w:t>m, z</w:t>
      </w:r>
      <w:r w:rsidR="00104DEB" w:rsidRPr="00A44DB1">
        <w:rPr>
          <w:rFonts w:eastAsia="Calibri" w:cs="Arial"/>
          <w:bCs/>
          <w:szCs w:val="20"/>
          <w:lang w:eastAsia="en-US"/>
        </w:rPr>
        <w:t> hlediska odvětví pak nejčastěji např. v telekomunikačních činnostech, v I</w:t>
      </w:r>
      <w:r w:rsidRPr="00A44DB1">
        <w:rPr>
          <w:rFonts w:eastAsia="Calibri" w:cs="Arial"/>
          <w:bCs/>
          <w:szCs w:val="20"/>
          <w:lang w:eastAsia="en-US"/>
        </w:rPr>
        <w:t xml:space="preserve">T </w:t>
      </w:r>
      <w:r w:rsidR="00104DEB" w:rsidRPr="00A44DB1">
        <w:rPr>
          <w:rFonts w:eastAsia="Calibri" w:cs="Arial"/>
          <w:bCs/>
          <w:szCs w:val="20"/>
          <w:lang w:eastAsia="en-US"/>
        </w:rPr>
        <w:t>obore</w:t>
      </w:r>
      <w:r w:rsidRPr="00A44DB1">
        <w:rPr>
          <w:rFonts w:eastAsia="Calibri" w:cs="Arial"/>
          <w:bCs/>
          <w:szCs w:val="20"/>
          <w:lang w:eastAsia="en-US"/>
        </w:rPr>
        <w:t>ch, v</w:t>
      </w:r>
      <w:r w:rsidR="002E7427">
        <w:rPr>
          <w:rFonts w:eastAsia="Calibri" w:cs="Arial"/>
          <w:bCs/>
          <w:szCs w:val="20"/>
          <w:lang w:eastAsia="en-US"/>
        </w:rPr>
        <w:t> </w:t>
      </w:r>
      <w:r w:rsidRPr="00A44DB1">
        <w:rPr>
          <w:rFonts w:eastAsia="Calibri" w:cs="Arial"/>
          <w:bCs/>
          <w:szCs w:val="20"/>
          <w:lang w:eastAsia="en-US"/>
        </w:rPr>
        <w:t xml:space="preserve">ubytování </w:t>
      </w:r>
      <w:r w:rsidR="009E263A" w:rsidRPr="00A44DB1">
        <w:rPr>
          <w:rFonts w:eastAsia="Calibri" w:cs="Arial"/>
          <w:bCs/>
          <w:szCs w:val="20"/>
          <w:lang w:eastAsia="en-US"/>
        </w:rPr>
        <w:t>či</w:t>
      </w:r>
      <w:r w:rsidRPr="00A44DB1">
        <w:rPr>
          <w:rFonts w:eastAsia="Calibri" w:cs="Arial"/>
          <w:bCs/>
          <w:szCs w:val="20"/>
          <w:lang w:eastAsia="en-US"/>
        </w:rPr>
        <w:t xml:space="preserve"> v</w:t>
      </w:r>
      <w:r w:rsidR="00104DEB" w:rsidRPr="00A44DB1">
        <w:rPr>
          <w:rFonts w:eastAsia="Calibri" w:cs="Arial"/>
          <w:bCs/>
          <w:szCs w:val="20"/>
          <w:lang w:eastAsia="en-US"/>
        </w:rPr>
        <w:t> o</w:t>
      </w:r>
      <w:r w:rsidRPr="00A44DB1">
        <w:rPr>
          <w:rFonts w:eastAsia="Calibri" w:cs="Arial"/>
          <w:bCs/>
          <w:szCs w:val="20"/>
          <w:lang w:eastAsia="en-US"/>
        </w:rPr>
        <w:t xml:space="preserve">bchodě. </w:t>
      </w:r>
      <w:r w:rsidR="007A32A2">
        <w:rPr>
          <w:rFonts w:eastAsia="Calibri" w:cs="Arial"/>
          <w:bCs/>
          <w:szCs w:val="20"/>
          <w:lang w:eastAsia="en-US"/>
        </w:rPr>
        <w:t xml:space="preserve">Mezi malými firmami má </w:t>
      </w:r>
      <w:proofErr w:type="spellStart"/>
      <w:r w:rsidR="007A32A2">
        <w:rPr>
          <w:rFonts w:eastAsia="Calibri" w:cs="Arial"/>
          <w:bCs/>
          <w:szCs w:val="20"/>
          <w:lang w:eastAsia="en-US"/>
        </w:rPr>
        <w:t>WiFi</w:t>
      </w:r>
      <w:proofErr w:type="spellEnd"/>
      <w:r w:rsidR="007A32A2">
        <w:rPr>
          <w:rFonts w:eastAsia="Calibri" w:cs="Arial"/>
          <w:bCs/>
          <w:szCs w:val="20"/>
          <w:lang w:eastAsia="en-US"/>
        </w:rPr>
        <w:t xml:space="preserve"> připojení ve svých prostorách 77 % z nich.</w:t>
      </w:r>
    </w:p>
    <w:p w14:paraId="15CF0F38" w14:textId="2E6EBB04" w:rsidR="00961623" w:rsidRPr="00A44DB1" w:rsidRDefault="00961623" w:rsidP="00BE19E0">
      <w:pPr>
        <w:pStyle w:val="Zkladntext"/>
        <w:numPr>
          <w:ilvl w:val="0"/>
          <w:numId w:val="15"/>
        </w:numPr>
        <w:spacing w:before="0" w:after="60" w:line="276" w:lineRule="auto"/>
        <w:ind w:right="0"/>
        <w:rPr>
          <w:rFonts w:ascii="Arial" w:eastAsia="Calibri" w:hAnsi="Arial" w:cs="Arial"/>
          <w:sz w:val="20"/>
          <w:szCs w:val="22"/>
          <w:lang w:eastAsia="en-US"/>
        </w:rPr>
      </w:pPr>
      <w:r w:rsidRPr="00A44DB1">
        <w:rPr>
          <w:rFonts w:ascii="Arial" w:eastAsia="Calibri" w:hAnsi="Arial" w:cs="Arial"/>
          <w:sz w:val="20"/>
          <w:szCs w:val="22"/>
          <w:lang w:eastAsia="en-US"/>
        </w:rPr>
        <w:t xml:space="preserve">V souvislosti s rozšiřováním nových či vylepšením stávajících technologií používaných pro přístup k internetu, roste i smluvně stanovená </w:t>
      </w:r>
      <w:r w:rsidRPr="00A44DB1">
        <w:rPr>
          <w:rFonts w:ascii="Arial" w:eastAsia="Calibri" w:hAnsi="Arial" w:cs="Arial"/>
          <w:b/>
          <w:sz w:val="20"/>
          <w:szCs w:val="22"/>
          <w:lang w:eastAsia="en-US"/>
        </w:rPr>
        <w:t>rychlost stahování dat</w:t>
      </w:r>
      <w:r w:rsidRPr="00A44DB1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Pr="00A44DB1">
        <w:rPr>
          <w:rFonts w:ascii="Arial" w:eastAsia="Calibri" w:hAnsi="Arial" w:cs="Arial"/>
          <w:b/>
          <w:sz w:val="20"/>
          <w:szCs w:val="22"/>
          <w:lang w:eastAsia="en-US"/>
        </w:rPr>
        <w:t>u pevného internetového připojení</w:t>
      </w:r>
      <w:r w:rsidRPr="00A44DB1">
        <w:rPr>
          <w:rFonts w:ascii="Arial" w:eastAsia="Calibri" w:hAnsi="Arial" w:cs="Arial"/>
          <w:sz w:val="20"/>
          <w:szCs w:val="22"/>
          <w:lang w:eastAsia="en-US"/>
        </w:rPr>
        <w:t xml:space="preserve"> používaného v podnicích. Je udávaná v megabitech za sekundu (</w:t>
      </w:r>
      <w:proofErr w:type="spellStart"/>
      <w:r w:rsidRPr="00A44DB1">
        <w:rPr>
          <w:rFonts w:ascii="Arial" w:eastAsia="Calibri" w:hAnsi="Arial" w:cs="Arial"/>
          <w:sz w:val="20"/>
          <w:szCs w:val="22"/>
          <w:lang w:eastAsia="en-US"/>
        </w:rPr>
        <w:t>Mbit</w:t>
      </w:r>
      <w:proofErr w:type="spellEnd"/>
      <w:r w:rsidRPr="00A44DB1">
        <w:rPr>
          <w:rFonts w:ascii="Arial" w:eastAsia="Calibri" w:hAnsi="Arial" w:cs="Arial"/>
          <w:sz w:val="20"/>
          <w:szCs w:val="22"/>
          <w:lang w:eastAsia="en-US"/>
        </w:rPr>
        <w:t xml:space="preserve">/s) a v dalším textu je zjednodušeně nazývána </w:t>
      </w:r>
      <w:r w:rsidRPr="00A44DB1">
        <w:rPr>
          <w:rFonts w:ascii="Arial" w:eastAsia="Calibri" w:hAnsi="Arial" w:cs="Arial"/>
          <w:b/>
          <w:sz w:val="20"/>
          <w:szCs w:val="22"/>
          <w:lang w:eastAsia="en-US"/>
        </w:rPr>
        <w:t>rychlostí internetového připojení</w:t>
      </w:r>
      <w:r w:rsidRPr="00A44DB1">
        <w:rPr>
          <w:rFonts w:ascii="Arial" w:eastAsia="Calibri" w:hAnsi="Arial" w:cs="Arial"/>
          <w:sz w:val="20"/>
          <w:szCs w:val="22"/>
          <w:lang w:eastAsia="en-US"/>
        </w:rPr>
        <w:t>. V roce 201</w:t>
      </w:r>
      <w:r w:rsidR="00352E51" w:rsidRPr="00A44DB1">
        <w:rPr>
          <w:rFonts w:ascii="Arial" w:eastAsia="Calibri" w:hAnsi="Arial" w:cs="Arial"/>
          <w:sz w:val="20"/>
          <w:szCs w:val="22"/>
          <w:lang w:eastAsia="en-US"/>
        </w:rPr>
        <w:t>2</w:t>
      </w:r>
      <w:r w:rsidR="00857F85">
        <w:rPr>
          <w:rFonts w:ascii="Arial" w:eastAsia="Calibri" w:hAnsi="Arial" w:cs="Arial"/>
          <w:sz w:val="20"/>
          <w:szCs w:val="22"/>
          <w:lang w:eastAsia="en-US"/>
        </w:rPr>
        <w:t xml:space="preserve"> se k internetu </w:t>
      </w:r>
      <w:r w:rsidR="00857F85" w:rsidRPr="00A44DB1">
        <w:rPr>
          <w:rFonts w:ascii="Arial" w:eastAsia="Calibri" w:hAnsi="Arial" w:cs="Arial"/>
          <w:sz w:val="20"/>
          <w:szCs w:val="22"/>
          <w:lang w:eastAsia="en-US"/>
        </w:rPr>
        <w:t>rychlost</w:t>
      </w:r>
      <w:r w:rsidR="00857F85">
        <w:rPr>
          <w:rFonts w:ascii="Arial" w:eastAsia="Calibri" w:hAnsi="Arial" w:cs="Arial"/>
          <w:sz w:val="20"/>
          <w:szCs w:val="22"/>
          <w:lang w:eastAsia="en-US"/>
        </w:rPr>
        <w:t>í</w:t>
      </w:r>
      <w:r w:rsidR="00857F85" w:rsidRPr="00A44DB1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857F85" w:rsidRPr="00A44DB1">
        <w:rPr>
          <w:rFonts w:ascii="Arial" w:eastAsia="Calibri" w:hAnsi="Arial" w:cs="Arial"/>
          <w:b/>
          <w:sz w:val="20"/>
          <w:szCs w:val="22"/>
          <w:lang w:eastAsia="en-US"/>
        </w:rPr>
        <w:t xml:space="preserve">30 </w:t>
      </w:r>
      <w:proofErr w:type="spellStart"/>
      <w:r w:rsidR="00857F85" w:rsidRPr="00A44DB1">
        <w:rPr>
          <w:rFonts w:ascii="Arial" w:eastAsia="Calibri" w:hAnsi="Arial" w:cs="Arial"/>
          <w:b/>
          <w:sz w:val="20"/>
          <w:szCs w:val="22"/>
          <w:lang w:eastAsia="en-US"/>
        </w:rPr>
        <w:t>Mbit</w:t>
      </w:r>
      <w:proofErr w:type="spellEnd"/>
      <w:r w:rsidR="00857F85" w:rsidRPr="00A44DB1">
        <w:rPr>
          <w:rFonts w:ascii="Arial" w:eastAsia="Calibri" w:hAnsi="Arial" w:cs="Arial"/>
          <w:b/>
          <w:sz w:val="20"/>
          <w:szCs w:val="22"/>
          <w:lang w:eastAsia="en-US"/>
        </w:rPr>
        <w:t xml:space="preserve">/s </w:t>
      </w:r>
      <w:r w:rsidR="00857F85">
        <w:rPr>
          <w:rFonts w:ascii="Arial" w:eastAsia="Calibri" w:hAnsi="Arial" w:cs="Arial"/>
          <w:b/>
          <w:sz w:val="20"/>
          <w:szCs w:val="22"/>
          <w:lang w:eastAsia="en-US"/>
        </w:rPr>
        <w:t>nebo</w:t>
      </w:r>
      <w:r w:rsidR="00857F85" w:rsidRPr="00A44DB1">
        <w:rPr>
          <w:rFonts w:ascii="Arial" w:eastAsia="Calibri" w:hAnsi="Arial" w:cs="Arial"/>
          <w:b/>
          <w:sz w:val="20"/>
          <w:szCs w:val="22"/>
          <w:lang w:eastAsia="en-US"/>
        </w:rPr>
        <w:t> vyšší</w:t>
      </w:r>
      <w:r w:rsidR="00857F85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857F85">
        <w:rPr>
          <w:rFonts w:ascii="Arial" w:eastAsia="Calibri" w:hAnsi="Arial" w:cs="Arial"/>
          <w:sz w:val="20"/>
          <w:szCs w:val="22"/>
          <w:lang w:eastAsia="en-US"/>
        </w:rPr>
        <w:lastRenderedPageBreak/>
        <w:t>připojovalo 1</w:t>
      </w:r>
      <w:r w:rsidR="00352E51" w:rsidRPr="00A44DB1">
        <w:rPr>
          <w:rFonts w:ascii="Arial" w:eastAsia="Calibri" w:hAnsi="Arial" w:cs="Arial"/>
          <w:sz w:val="20"/>
          <w:szCs w:val="22"/>
          <w:lang w:eastAsia="en-US"/>
        </w:rPr>
        <w:t>8 %</w:t>
      </w:r>
      <w:r w:rsidRPr="00A44DB1">
        <w:rPr>
          <w:rFonts w:ascii="Arial" w:eastAsia="Calibri" w:hAnsi="Arial" w:cs="Arial"/>
          <w:sz w:val="20"/>
          <w:szCs w:val="22"/>
          <w:lang w:eastAsia="en-US"/>
        </w:rPr>
        <w:t xml:space="preserve"> podniků s deseti a</w:t>
      </w:r>
      <w:r w:rsidR="000E6044" w:rsidRPr="00A44DB1">
        <w:rPr>
          <w:rFonts w:ascii="Arial" w:eastAsia="Calibri" w:hAnsi="Arial" w:cs="Arial"/>
          <w:sz w:val="20"/>
          <w:szCs w:val="22"/>
          <w:lang w:eastAsia="en-US"/>
        </w:rPr>
        <w:t> </w:t>
      </w:r>
      <w:r w:rsidRPr="00A44DB1">
        <w:rPr>
          <w:rFonts w:ascii="Arial" w:eastAsia="Calibri" w:hAnsi="Arial" w:cs="Arial"/>
          <w:sz w:val="20"/>
          <w:szCs w:val="22"/>
          <w:lang w:eastAsia="en-US"/>
        </w:rPr>
        <w:t>více zaměstnanci</w:t>
      </w:r>
      <w:r w:rsidR="000E6044" w:rsidRPr="00A44DB1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857F85">
        <w:rPr>
          <w:rFonts w:ascii="Arial" w:eastAsia="Calibri" w:hAnsi="Arial" w:cs="Arial"/>
          <w:sz w:val="20"/>
          <w:szCs w:val="22"/>
          <w:lang w:eastAsia="en-US"/>
        </w:rPr>
        <w:t>a</w:t>
      </w:r>
      <w:r w:rsidRPr="00A44DB1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953645">
        <w:rPr>
          <w:rFonts w:ascii="Arial" w:eastAsia="Calibri" w:hAnsi="Arial" w:cs="Arial"/>
          <w:sz w:val="20"/>
          <w:szCs w:val="22"/>
          <w:lang w:eastAsia="en-US"/>
        </w:rPr>
        <w:t>do roku</w:t>
      </w:r>
      <w:r w:rsidRPr="00A44DB1">
        <w:rPr>
          <w:rFonts w:ascii="Arial" w:eastAsia="Calibri" w:hAnsi="Arial" w:cs="Arial"/>
          <w:sz w:val="20"/>
          <w:szCs w:val="22"/>
          <w:lang w:eastAsia="en-US"/>
        </w:rPr>
        <w:t xml:space="preserve"> 202</w:t>
      </w:r>
      <w:r w:rsidR="009E263A" w:rsidRPr="00A44DB1">
        <w:rPr>
          <w:rFonts w:ascii="Arial" w:eastAsia="Calibri" w:hAnsi="Arial" w:cs="Arial"/>
          <w:sz w:val="20"/>
          <w:szCs w:val="22"/>
          <w:lang w:eastAsia="en-US"/>
        </w:rPr>
        <w:t>2</w:t>
      </w:r>
      <w:r w:rsidRPr="00A44DB1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="00352E51" w:rsidRPr="00A44DB1">
        <w:rPr>
          <w:rFonts w:ascii="Arial" w:eastAsia="Calibri" w:hAnsi="Arial" w:cs="Arial"/>
          <w:sz w:val="20"/>
          <w:szCs w:val="22"/>
          <w:lang w:eastAsia="en-US"/>
        </w:rPr>
        <w:t>se jejich podíl zvýšil více než čtyřnásobně na</w:t>
      </w:r>
      <w:r w:rsidRPr="00A44DB1">
        <w:rPr>
          <w:rFonts w:ascii="Arial" w:eastAsia="Calibri" w:hAnsi="Arial" w:cs="Arial"/>
          <w:sz w:val="20"/>
          <w:szCs w:val="22"/>
          <w:lang w:eastAsia="en-US"/>
        </w:rPr>
        <w:t xml:space="preserve"> 7</w:t>
      </w:r>
      <w:r w:rsidR="009E263A" w:rsidRPr="00A44DB1">
        <w:rPr>
          <w:rFonts w:ascii="Arial" w:eastAsia="Calibri" w:hAnsi="Arial" w:cs="Arial"/>
          <w:sz w:val="20"/>
          <w:szCs w:val="22"/>
          <w:lang w:eastAsia="en-US"/>
        </w:rPr>
        <w:t>6</w:t>
      </w:r>
      <w:r w:rsidRPr="00A44DB1">
        <w:rPr>
          <w:rFonts w:ascii="Arial" w:eastAsia="Calibri" w:hAnsi="Arial" w:cs="Arial"/>
          <w:sz w:val="20"/>
          <w:szCs w:val="22"/>
          <w:lang w:eastAsia="en-US"/>
        </w:rPr>
        <w:t xml:space="preserve"> %.  </w:t>
      </w:r>
    </w:p>
    <w:p w14:paraId="438797DB" w14:textId="77777777" w:rsidR="00961623" w:rsidRPr="00A44DB1" w:rsidRDefault="00352E51" w:rsidP="00BE19E0">
      <w:pPr>
        <w:pStyle w:val="Odstavecseseznamem"/>
        <w:numPr>
          <w:ilvl w:val="0"/>
          <w:numId w:val="15"/>
        </w:numPr>
        <w:spacing w:after="60" w:line="276" w:lineRule="auto"/>
        <w:jc w:val="both"/>
        <w:rPr>
          <w:rFonts w:eastAsia="Calibri" w:cs="Arial"/>
          <w:szCs w:val="22"/>
          <w:lang w:eastAsia="en-US"/>
        </w:rPr>
      </w:pPr>
      <w:r w:rsidRPr="00A44DB1">
        <w:rPr>
          <w:rFonts w:eastAsia="Calibri" w:cs="Arial"/>
          <w:szCs w:val="22"/>
          <w:lang w:eastAsia="en-US"/>
        </w:rPr>
        <w:t>43</w:t>
      </w:r>
      <w:r w:rsidR="00961623" w:rsidRPr="00A44DB1">
        <w:rPr>
          <w:rFonts w:eastAsia="Calibri" w:cs="Arial"/>
          <w:szCs w:val="22"/>
          <w:lang w:eastAsia="en-US"/>
        </w:rPr>
        <w:t> % firem se</w:t>
      </w:r>
      <w:r w:rsidR="000E6044" w:rsidRPr="00A44DB1">
        <w:rPr>
          <w:rFonts w:eastAsia="Calibri" w:cs="Arial"/>
          <w:szCs w:val="22"/>
          <w:lang w:eastAsia="en-US"/>
        </w:rPr>
        <w:t xml:space="preserve"> v roce 202</w:t>
      </w:r>
      <w:r w:rsidRPr="00A44DB1">
        <w:rPr>
          <w:rFonts w:eastAsia="Calibri" w:cs="Arial"/>
          <w:szCs w:val="22"/>
          <w:lang w:eastAsia="en-US"/>
        </w:rPr>
        <w:t>2</w:t>
      </w:r>
      <w:r w:rsidR="00961623" w:rsidRPr="00A44DB1">
        <w:rPr>
          <w:rFonts w:eastAsia="Calibri" w:cs="Arial"/>
          <w:szCs w:val="22"/>
          <w:lang w:eastAsia="en-US"/>
        </w:rPr>
        <w:t xml:space="preserve"> připojovalo </w:t>
      </w:r>
      <w:r w:rsidR="00961623" w:rsidRPr="00A44DB1">
        <w:rPr>
          <w:rFonts w:eastAsia="Calibri" w:cs="Arial"/>
          <w:b/>
          <w:szCs w:val="22"/>
          <w:lang w:eastAsia="en-US"/>
        </w:rPr>
        <w:t xml:space="preserve">rychlostí převyšující 100 </w:t>
      </w:r>
      <w:proofErr w:type="spellStart"/>
      <w:r w:rsidR="00961623" w:rsidRPr="00A44DB1">
        <w:rPr>
          <w:rFonts w:eastAsia="Calibri" w:cs="Arial"/>
          <w:b/>
          <w:szCs w:val="22"/>
          <w:lang w:eastAsia="en-US"/>
        </w:rPr>
        <w:t>Mbit</w:t>
      </w:r>
      <w:proofErr w:type="spellEnd"/>
      <w:r w:rsidR="00961623" w:rsidRPr="00A44DB1">
        <w:rPr>
          <w:rFonts w:eastAsia="Calibri" w:cs="Arial"/>
          <w:b/>
          <w:szCs w:val="22"/>
          <w:lang w:eastAsia="en-US"/>
        </w:rPr>
        <w:t>/s</w:t>
      </w:r>
      <w:r w:rsidR="00961623" w:rsidRPr="00A44DB1">
        <w:rPr>
          <w:rFonts w:eastAsia="Calibri" w:cs="Arial"/>
          <w:szCs w:val="22"/>
          <w:lang w:eastAsia="en-US"/>
        </w:rPr>
        <w:t xml:space="preserve">, v případě velkých firem to bylo </w:t>
      </w:r>
      <w:r w:rsidRPr="00A44DB1">
        <w:rPr>
          <w:rFonts w:eastAsia="Calibri" w:cs="Arial"/>
          <w:szCs w:val="22"/>
          <w:lang w:eastAsia="en-US"/>
        </w:rPr>
        <w:t>70</w:t>
      </w:r>
      <w:r w:rsidR="00961623" w:rsidRPr="00A44DB1">
        <w:rPr>
          <w:rFonts w:eastAsia="Calibri" w:cs="Arial"/>
          <w:szCs w:val="22"/>
          <w:lang w:eastAsia="en-US"/>
        </w:rPr>
        <w:t xml:space="preserve"> %. Nejrychlejší internetové připojení nacházíme ve firmách působících v telekomunikacích. Více </w:t>
      </w:r>
      <w:r w:rsidR="000E6044" w:rsidRPr="00A44DB1">
        <w:rPr>
          <w:rFonts w:eastAsia="Calibri" w:cs="Arial"/>
          <w:szCs w:val="22"/>
          <w:lang w:eastAsia="en-US"/>
        </w:rPr>
        <w:t>než</w:t>
      </w:r>
      <w:r w:rsidR="00961623" w:rsidRPr="00A44DB1">
        <w:rPr>
          <w:rFonts w:eastAsia="Calibri" w:cs="Arial"/>
          <w:szCs w:val="22"/>
          <w:lang w:eastAsia="en-US"/>
        </w:rPr>
        <w:t xml:space="preserve"> polovina z nich (53 %) disponuje rychlostí pevného internetu převyšující </w:t>
      </w:r>
      <w:r w:rsidR="000E6044" w:rsidRPr="00A44DB1">
        <w:rPr>
          <w:rFonts w:eastAsia="Calibri" w:cs="Arial"/>
          <w:szCs w:val="22"/>
          <w:lang w:eastAsia="en-US"/>
        </w:rPr>
        <w:t xml:space="preserve">dokonce </w:t>
      </w:r>
      <w:r w:rsidR="00961623" w:rsidRPr="00A44DB1">
        <w:rPr>
          <w:rFonts w:eastAsia="Calibri" w:cs="Arial"/>
          <w:szCs w:val="22"/>
          <w:lang w:eastAsia="en-US"/>
        </w:rPr>
        <w:t xml:space="preserve">1 </w:t>
      </w:r>
      <w:proofErr w:type="spellStart"/>
      <w:r w:rsidR="00961623" w:rsidRPr="00A44DB1">
        <w:rPr>
          <w:rFonts w:eastAsia="Calibri" w:cs="Arial"/>
          <w:szCs w:val="22"/>
          <w:lang w:eastAsia="en-US"/>
        </w:rPr>
        <w:t>Gbit</w:t>
      </w:r>
      <w:proofErr w:type="spellEnd"/>
      <w:r w:rsidR="00961623" w:rsidRPr="00A44DB1">
        <w:rPr>
          <w:rFonts w:eastAsia="Calibri" w:cs="Arial"/>
          <w:szCs w:val="22"/>
          <w:lang w:eastAsia="en-US"/>
        </w:rPr>
        <w:t>/s.</w:t>
      </w:r>
    </w:p>
    <w:p w14:paraId="43D99575" w14:textId="0BB51B63" w:rsidR="00961623" w:rsidRPr="00A470F9" w:rsidRDefault="00961623" w:rsidP="00A470F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60" w:line="276" w:lineRule="auto"/>
        <w:jc w:val="both"/>
        <w:rPr>
          <w:rFonts w:cs="Arial"/>
          <w:b/>
        </w:rPr>
      </w:pPr>
      <w:r w:rsidRPr="00661B8C">
        <w:rPr>
          <w:rFonts w:cs="Arial"/>
        </w:rPr>
        <w:t xml:space="preserve">V evropském žebříčku podniků s připojením k internetu rychlostí 100 </w:t>
      </w:r>
      <w:proofErr w:type="spellStart"/>
      <w:r w:rsidRPr="00661B8C">
        <w:rPr>
          <w:rFonts w:cs="Arial"/>
        </w:rPr>
        <w:t>Mbit</w:t>
      </w:r>
      <w:proofErr w:type="spellEnd"/>
      <w:r w:rsidRPr="00661B8C">
        <w:rPr>
          <w:rFonts w:cs="Arial"/>
        </w:rPr>
        <w:t xml:space="preserve">/s </w:t>
      </w:r>
      <w:r w:rsidR="00377E00">
        <w:rPr>
          <w:rFonts w:cs="Arial"/>
        </w:rPr>
        <w:t>nebo</w:t>
      </w:r>
      <w:r w:rsidRPr="00661B8C">
        <w:rPr>
          <w:rFonts w:cs="Arial"/>
        </w:rPr>
        <w:t xml:space="preserve"> vyšší, se firmy v Česku v</w:t>
      </w:r>
      <w:r w:rsidR="006E154D" w:rsidRPr="00661B8C">
        <w:rPr>
          <w:rFonts w:cs="Arial"/>
        </w:rPr>
        <w:t> </w:t>
      </w:r>
      <w:r w:rsidRPr="00661B8C">
        <w:rPr>
          <w:rFonts w:cs="Arial"/>
        </w:rPr>
        <w:t>roce 202</w:t>
      </w:r>
      <w:r w:rsidR="00661B8C" w:rsidRPr="00661B8C">
        <w:rPr>
          <w:rFonts w:cs="Arial"/>
        </w:rPr>
        <w:t>2</w:t>
      </w:r>
      <w:r w:rsidRPr="00661B8C">
        <w:rPr>
          <w:rFonts w:cs="Arial"/>
        </w:rPr>
        <w:t xml:space="preserve"> umístily hluboko pod průměrem EU27, přesto </w:t>
      </w:r>
      <w:r w:rsidR="00661B8C" w:rsidRPr="00661B8C">
        <w:rPr>
          <w:rFonts w:cs="Arial"/>
        </w:rPr>
        <w:t>o něco lépe než podniky</w:t>
      </w:r>
      <w:r w:rsidRPr="00661B8C">
        <w:rPr>
          <w:rFonts w:cs="Arial"/>
        </w:rPr>
        <w:t xml:space="preserve"> např.</w:t>
      </w:r>
      <w:r w:rsidR="00661B8C" w:rsidRPr="00661B8C">
        <w:rPr>
          <w:rFonts w:cs="Arial"/>
        </w:rPr>
        <w:t xml:space="preserve"> v</w:t>
      </w:r>
      <w:r w:rsidR="00A470F9">
        <w:rPr>
          <w:rFonts w:cs="Arial"/>
        </w:rPr>
        <w:t xml:space="preserve"> </w:t>
      </w:r>
      <w:r w:rsidRPr="00661B8C">
        <w:rPr>
          <w:rFonts w:cs="Arial"/>
        </w:rPr>
        <w:t>Rakousk</w:t>
      </w:r>
      <w:r w:rsidR="00661B8C" w:rsidRPr="00661B8C">
        <w:rPr>
          <w:rFonts w:cs="Arial"/>
        </w:rPr>
        <w:t>u</w:t>
      </w:r>
      <w:r w:rsidR="00A470F9">
        <w:rPr>
          <w:rFonts w:cs="Arial"/>
        </w:rPr>
        <w:t xml:space="preserve"> (39</w:t>
      </w:r>
      <w:r w:rsidR="00377E00">
        <w:rPr>
          <w:rFonts w:cs="Arial"/>
        </w:rPr>
        <w:t> </w:t>
      </w:r>
      <w:r w:rsidR="00A470F9">
        <w:rPr>
          <w:rFonts w:cs="Arial"/>
        </w:rPr>
        <w:t>%)</w:t>
      </w:r>
      <w:r w:rsidR="00661B8C" w:rsidRPr="00661B8C">
        <w:rPr>
          <w:rFonts w:cs="Arial"/>
        </w:rPr>
        <w:t xml:space="preserve"> nebo na Slovensku</w:t>
      </w:r>
      <w:r w:rsidR="00A470F9">
        <w:rPr>
          <w:rFonts w:cs="Arial"/>
        </w:rPr>
        <w:t xml:space="preserve"> (40 %)</w:t>
      </w:r>
      <w:r w:rsidRPr="00A470F9">
        <w:rPr>
          <w:rFonts w:cs="Arial"/>
        </w:rPr>
        <w:t>.  Nejrychlejší připojení k internetu mají dlouhodobě podniky v Dánsku, kde v roce 202</w:t>
      </w:r>
      <w:r w:rsidR="00661B8C" w:rsidRPr="00A470F9">
        <w:rPr>
          <w:rFonts w:cs="Arial"/>
        </w:rPr>
        <w:t>2</w:t>
      </w:r>
      <w:r w:rsidRPr="00A470F9">
        <w:rPr>
          <w:rFonts w:cs="Arial"/>
        </w:rPr>
        <w:t xml:space="preserve"> uvedlo více než </w:t>
      </w:r>
      <w:r w:rsidR="00661B8C" w:rsidRPr="00A470F9">
        <w:rPr>
          <w:rFonts w:cs="Arial"/>
        </w:rPr>
        <w:t>85</w:t>
      </w:r>
      <w:r w:rsidRPr="00A470F9">
        <w:rPr>
          <w:rFonts w:cs="Arial"/>
        </w:rPr>
        <w:t xml:space="preserve"> % podniků s deseti a více zaměstnanci, že má k dispozici internetové připojení umožňující maximální rychlost stahování vyšší než 100 </w:t>
      </w:r>
      <w:proofErr w:type="spellStart"/>
      <w:r w:rsidRPr="00A470F9">
        <w:rPr>
          <w:rFonts w:cs="Arial"/>
        </w:rPr>
        <w:t>Mbit</w:t>
      </w:r>
      <w:proofErr w:type="spellEnd"/>
      <w:r w:rsidRPr="00A470F9">
        <w:rPr>
          <w:rFonts w:cs="Arial"/>
        </w:rPr>
        <w:t>/s.</w:t>
      </w:r>
    </w:p>
    <w:p w14:paraId="0D3B84FD" w14:textId="77777777" w:rsidR="00453A1D" w:rsidRDefault="00453A1D">
      <w:pPr>
        <w:spacing w:after="0" w:line="240" w:lineRule="auto"/>
        <w:rPr>
          <w:rFonts w:cs="Arial"/>
          <w:b/>
        </w:rPr>
      </w:pPr>
    </w:p>
    <w:p w14:paraId="3F698459" w14:textId="08EBEA39" w:rsidR="00453A1D" w:rsidRDefault="00453A1D" w:rsidP="00453A1D">
      <w:pPr>
        <w:autoSpaceDE w:val="0"/>
        <w:autoSpaceDN w:val="0"/>
        <w:adjustRightInd w:val="0"/>
        <w:spacing w:before="60" w:after="120" w:line="240" w:lineRule="auto"/>
        <w:ind w:left="4678" w:right="-1" w:hanging="4678"/>
        <w:rPr>
          <w:rFonts w:cs="Arial"/>
          <w:b/>
        </w:rPr>
      </w:pPr>
      <w:r>
        <w:rPr>
          <w:rFonts w:cs="Arial"/>
          <w:b/>
        </w:rPr>
        <w:t>Graf 1</w:t>
      </w:r>
      <w:r w:rsidRPr="000B070C">
        <w:rPr>
          <w:rFonts w:cs="Arial"/>
          <w:b/>
        </w:rPr>
        <w:t>.</w:t>
      </w:r>
      <w:r>
        <w:rPr>
          <w:rFonts w:cs="Arial"/>
          <w:b/>
        </w:rPr>
        <w:t>1</w:t>
      </w:r>
      <w:r w:rsidRPr="000B070C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 w:rsidR="00101B0D">
        <w:rPr>
          <w:rFonts w:cs="Arial"/>
          <w:b/>
        </w:rPr>
        <w:t>P</w:t>
      </w:r>
      <w:r>
        <w:rPr>
          <w:rFonts w:cs="Arial"/>
          <w:b/>
        </w:rPr>
        <w:t>odni</w:t>
      </w:r>
      <w:r w:rsidR="00101B0D">
        <w:rPr>
          <w:rFonts w:cs="Arial"/>
          <w:b/>
        </w:rPr>
        <w:t>ky</w:t>
      </w:r>
      <w:r>
        <w:rPr>
          <w:rFonts w:cs="Arial"/>
          <w:b/>
        </w:rPr>
        <w:t xml:space="preserve"> s 10 a více zaměstnanci v ČR </w:t>
      </w:r>
      <w:r w:rsidR="00101B0D">
        <w:rPr>
          <w:rFonts w:cs="Arial"/>
          <w:b/>
        </w:rPr>
        <w:t>s přístupem k</w:t>
      </w:r>
      <w:r w:rsidR="00E01DC5">
        <w:rPr>
          <w:rFonts w:cs="Arial"/>
          <w:b/>
        </w:rPr>
        <w:t> </w:t>
      </w:r>
      <w:r w:rsidR="00101B0D">
        <w:rPr>
          <w:rFonts w:cs="Arial"/>
          <w:b/>
        </w:rPr>
        <w:t>internetu</w:t>
      </w:r>
    </w:p>
    <w:p w14:paraId="3474E9C1" w14:textId="6D19D81D" w:rsidR="00E01DC5" w:rsidRDefault="00E01DC5" w:rsidP="00453A1D">
      <w:pPr>
        <w:autoSpaceDE w:val="0"/>
        <w:autoSpaceDN w:val="0"/>
        <w:adjustRightInd w:val="0"/>
        <w:spacing w:before="60" w:after="120" w:line="240" w:lineRule="auto"/>
        <w:ind w:left="4678" w:right="-1" w:hanging="4678"/>
        <w:rPr>
          <w:rFonts w:cs="Arial"/>
          <w:b/>
        </w:rPr>
      </w:pPr>
      <w:r>
        <w:rPr>
          <w:rFonts w:cs="Arial"/>
          <w:b/>
          <w:noProof/>
        </w:rPr>
        <w:drawing>
          <wp:inline distT="0" distB="0" distL="0" distR="0" wp14:anchorId="5C9BA591" wp14:editId="0F87F049">
            <wp:extent cx="6084570" cy="28594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0ED1A2" w14:textId="1D2952F2" w:rsidR="00101B0D" w:rsidRDefault="00101B0D" w:rsidP="00101B0D">
      <w:pPr>
        <w:autoSpaceDE w:val="0"/>
        <w:autoSpaceDN w:val="0"/>
        <w:adjustRightInd w:val="0"/>
        <w:spacing w:after="0"/>
        <w:ind w:right="-142"/>
        <w:jc w:val="both"/>
        <w:rPr>
          <w:rFonts w:cs="Arial"/>
          <w:i/>
          <w:sz w:val="18"/>
          <w:szCs w:val="18"/>
        </w:rPr>
      </w:pPr>
      <w:r w:rsidRPr="007E2BB1">
        <w:rPr>
          <w:rFonts w:cs="Arial"/>
          <w:i/>
          <w:sz w:val="18"/>
          <w:szCs w:val="18"/>
        </w:rPr>
        <w:t xml:space="preserve">podíl na celkovém počtu </w:t>
      </w:r>
      <w:r>
        <w:rPr>
          <w:rFonts w:cs="Arial"/>
          <w:i/>
          <w:sz w:val="18"/>
          <w:szCs w:val="18"/>
        </w:rPr>
        <w:t>podniků</w:t>
      </w:r>
      <w:r w:rsidRPr="007E2BB1">
        <w:rPr>
          <w:rFonts w:cs="Arial"/>
          <w:i/>
          <w:sz w:val="18"/>
          <w:szCs w:val="18"/>
        </w:rPr>
        <w:t xml:space="preserve"> s 10 a více zaměstnanci </w:t>
      </w:r>
      <w:r w:rsidR="002E7427">
        <w:rPr>
          <w:rFonts w:cs="Arial"/>
          <w:i/>
          <w:sz w:val="18"/>
          <w:szCs w:val="18"/>
        </w:rPr>
        <w:t>v daných letech</w:t>
      </w:r>
    </w:p>
    <w:p w14:paraId="585C80D5" w14:textId="77777777" w:rsidR="00377E00" w:rsidRDefault="00101B0D" w:rsidP="00101B0D">
      <w:pPr>
        <w:autoSpaceDE w:val="0"/>
        <w:autoSpaceDN w:val="0"/>
        <w:adjustRightInd w:val="0"/>
        <w:spacing w:before="120" w:after="0" w:line="240" w:lineRule="auto"/>
        <w:ind w:right="-1"/>
        <w:jc w:val="right"/>
        <w:rPr>
          <w:rFonts w:cs="Arial"/>
          <w:sz w:val="18"/>
          <w:szCs w:val="18"/>
        </w:rPr>
      </w:pPr>
      <w:r w:rsidRPr="00E334D1">
        <w:rPr>
          <w:rFonts w:cs="Arial"/>
          <w:sz w:val="18"/>
          <w:szCs w:val="18"/>
        </w:rPr>
        <w:t>Zdroj: Český statistický úřad, 20</w:t>
      </w:r>
      <w:r>
        <w:rPr>
          <w:rFonts w:cs="Arial"/>
          <w:sz w:val="18"/>
          <w:szCs w:val="18"/>
        </w:rPr>
        <w:t>22</w:t>
      </w:r>
    </w:p>
    <w:p w14:paraId="2F474299" w14:textId="77777777" w:rsidR="00377E00" w:rsidRDefault="00377E00" w:rsidP="00377E00">
      <w:pPr>
        <w:spacing w:after="120" w:line="240" w:lineRule="auto"/>
        <w:rPr>
          <w:rFonts w:cs="Arial"/>
          <w:b/>
        </w:rPr>
      </w:pPr>
    </w:p>
    <w:p w14:paraId="6FC761D7" w14:textId="1ECFB2AA" w:rsidR="00377E00" w:rsidRDefault="00377E00" w:rsidP="00377E00">
      <w:pPr>
        <w:spacing w:after="120" w:line="240" w:lineRule="auto"/>
        <w:rPr>
          <w:rFonts w:cs="Arial"/>
          <w:b/>
        </w:rPr>
      </w:pPr>
      <w:r>
        <w:rPr>
          <w:rFonts w:cs="Arial"/>
          <w:b/>
        </w:rPr>
        <w:t>Graf 1</w:t>
      </w:r>
      <w:r w:rsidRPr="000B070C">
        <w:rPr>
          <w:rFonts w:cs="Arial"/>
          <w:b/>
        </w:rPr>
        <w:t>.</w:t>
      </w:r>
      <w:r>
        <w:rPr>
          <w:rFonts w:cs="Arial"/>
          <w:b/>
        </w:rPr>
        <w:t>2</w:t>
      </w:r>
      <w:r w:rsidRPr="000B070C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 w:rsidRPr="00950485">
        <w:rPr>
          <w:rFonts w:cs="Arial"/>
          <w:b/>
        </w:rPr>
        <w:t xml:space="preserve">Podniky v zemích EU s připojením k internetu rychlostí 30 </w:t>
      </w:r>
      <w:proofErr w:type="spellStart"/>
      <w:r w:rsidRPr="00950485">
        <w:rPr>
          <w:rFonts w:cs="Arial"/>
          <w:b/>
        </w:rPr>
        <w:t>Mbit</w:t>
      </w:r>
      <w:proofErr w:type="spellEnd"/>
      <w:r w:rsidRPr="00950485">
        <w:rPr>
          <w:rFonts w:cs="Arial"/>
          <w:b/>
        </w:rPr>
        <w:t>/s a vyšší</w:t>
      </w:r>
      <w:r>
        <w:rPr>
          <w:rFonts w:cs="Arial"/>
          <w:b/>
        </w:rPr>
        <w:t>;</w:t>
      </w:r>
      <w:r w:rsidRPr="00950485">
        <w:rPr>
          <w:rFonts w:cs="Arial"/>
          <w:b/>
        </w:rPr>
        <w:t xml:space="preserve"> 202</w:t>
      </w:r>
      <w:r>
        <w:rPr>
          <w:rFonts w:cs="Arial"/>
          <w:b/>
        </w:rPr>
        <w:t>2</w:t>
      </w:r>
    </w:p>
    <w:p w14:paraId="7ABF11F7" w14:textId="1564E4D8" w:rsidR="00377E00" w:rsidRDefault="00377E00" w:rsidP="00377E00">
      <w:pPr>
        <w:spacing w:after="120" w:line="240" w:lineRule="auto"/>
        <w:rPr>
          <w:rFonts w:cs="Arial"/>
          <w:b/>
        </w:rPr>
      </w:pPr>
      <w:r>
        <w:rPr>
          <w:rFonts w:cs="Arial"/>
          <w:b/>
          <w:noProof/>
        </w:rPr>
        <w:drawing>
          <wp:inline distT="0" distB="0" distL="0" distR="0" wp14:anchorId="030DCE5D" wp14:editId="0460ECB1">
            <wp:extent cx="6193790" cy="2816860"/>
            <wp:effectExtent l="0" t="0" r="0" b="254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281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452C4B" w14:textId="77777777" w:rsidR="00377E00" w:rsidRDefault="00377E00" w:rsidP="00377E00">
      <w:pPr>
        <w:autoSpaceDE w:val="0"/>
        <w:autoSpaceDN w:val="0"/>
        <w:adjustRightInd w:val="0"/>
        <w:spacing w:before="60" w:after="40"/>
        <w:jc w:val="both"/>
        <w:rPr>
          <w:rFonts w:cs="Arial"/>
          <w:sz w:val="18"/>
          <w:szCs w:val="18"/>
        </w:rPr>
      </w:pPr>
      <w:r w:rsidRPr="00950485">
        <w:rPr>
          <w:rFonts w:cs="Arial"/>
          <w:i/>
          <w:sz w:val="18"/>
          <w:szCs w:val="18"/>
        </w:rPr>
        <w:t xml:space="preserve">podíl na celkovém počtu podniků s 10 a více zaměstnanci v dané </w:t>
      </w:r>
      <w:proofErr w:type="gramStart"/>
      <w:r w:rsidRPr="00950485">
        <w:rPr>
          <w:rFonts w:cs="Arial"/>
          <w:i/>
          <w:sz w:val="18"/>
          <w:szCs w:val="18"/>
        </w:rPr>
        <w:t>zemi                          z</w:t>
      </w:r>
      <w:r w:rsidRPr="00950485">
        <w:rPr>
          <w:rFonts w:cs="Arial"/>
          <w:sz w:val="18"/>
          <w:szCs w:val="18"/>
        </w:rPr>
        <w:t>droj</w:t>
      </w:r>
      <w:proofErr w:type="gramEnd"/>
      <w:r w:rsidRPr="00950485">
        <w:rPr>
          <w:rFonts w:cs="Arial"/>
          <w:sz w:val="18"/>
          <w:szCs w:val="18"/>
        </w:rPr>
        <w:t xml:space="preserve"> dat: </w:t>
      </w:r>
      <w:proofErr w:type="spellStart"/>
      <w:r w:rsidRPr="00950485">
        <w:rPr>
          <w:rFonts w:cs="Arial"/>
          <w:sz w:val="18"/>
          <w:szCs w:val="18"/>
        </w:rPr>
        <w:t>Eurostat</w:t>
      </w:r>
      <w:proofErr w:type="spellEnd"/>
      <w:r w:rsidRPr="00950485">
        <w:rPr>
          <w:rFonts w:cs="Arial"/>
          <w:sz w:val="18"/>
          <w:szCs w:val="18"/>
        </w:rPr>
        <w:t>, prosinec 202</w:t>
      </w:r>
      <w:r>
        <w:rPr>
          <w:rFonts w:cs="Arial"/>
          <w:sz w:val="18"/>
          <w:szCs w:val="18"/>
        </w:rPr>
        <w:t>2</w:t>
      </w:r>
    </w:p>
    <w:p w14:paraId="7A0EE256" w14:textId="0793F6E7" w:rsidR="007B5BB8" w:rsidRDefault="00101B0D" w:rsidP="00804849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  <w:r w:rsidR="009930EF" w:rsidRPr="0022756F">
        <w:rPr>
          <w:rFonts w:cs="Arial"/>
          <w:b/>
        </w:rPr>
        <w:lastRenderedPageBreak/>
        <w:t xml:space="preserve">Tab. </w:t>
      </w:r>
      <w:r w:rsidR="009930EF">
        <w:rPr>
          <w:rFonts w:cs="Arial"/>
          <w:b/>
        </w:rPr>
        <w:t>1</w:t>
      </w:r>
      <w:r w:rsidR="009930EF" w:rsidRPr="0022756F">
        <w:rPr>
          <w:rFonts w:cs="Arial"/>
          <w:b/>
        </w:rPr>
        <w:t xml:space="preserve">.1:  </w:t>
      </w:r>
      <w:r w:rsidR="009930EF">
        <w:rPr>
          <w:rFonts w:cs="Arial"/>
          <w:b/>
        </w:rPr>
        <w:t>Podniky s 10 a více zaměstnanci v ČR s přístupem k</w:t>
      </w:r>
      <w:r w:rsidR="00A470F9">
        <w:rPr>
          <w:rFonts w:cs="Arial"/>
          <w:b/>
        </w:rPr>
        <w:t> </w:t>
      </w:r>
      <w:r w:rsidR="009930EF" w:rsidRPr="0022756F">
        <w:rPr>
          <w:rFonts w:cs="Arial"/>
          <w:b/>
        </w:rPr>
        <w:t>internetu</w:t>
      </w:r>
      <w:r w:rsidR="00A470F9">
        <w:rPr>
          <w:rFonts w:cs="Arial"/>
          <w:b/>
        </w:rPr>
        <w:t>;</w:t>
      </w:r>
      <w:r w:rsidR="009930EF" w:rsidRPr="0022756F">
        <w:rPr>
          <w:rFonts w:cs="Arial"/>
          <w:b/>
        </w:rPr>
        <w:t xml:space="preserve"> 20</w:t>
      </w:r>
      <w:r w:rsidR="009930EF">
        <w:rPr>
          <w:rFonts w:cs="Arial"/>
          <w:b/>
        </w:rPr>
        <w:t>2</w:t>
      </w:r>
      <w:r w:rsidR="00900E50">
        <w:rPr>
          <w:rFonts w:cs="Arial"/>
          <w:b/>
        </w:rPr>
        <w:t>2</w:t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1360"/>
        <w:gridCol w:w="1360"/>
        <w:gridCol w:w="1360"/>
        <w:gridCol w:w="1936"/>
      </w:tblGrid>
      <w:tr w:rsidR="00636718" w:rsidRPr="00636718" w14:paraId="4A1DBF0E" w14:textId="77777777" w:rsidTr="00636718">
        <w:trPr>
          <w:trHeight w:val="338"/>
        </w:trPr>
        <w:tc>
          <w:tcPr>
            <w:tcW w:w="3340" w:type="dxa"/>
            <w:vMerge w:val="restart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80E0709" w14:textId="77777777" w:rsidR="00636718" w:rsidRPr="00636718" w:rsidRDefault="00636718" w:rsidP="00636718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8" w:space="0" w:color="808080"/>
              <w:left w:val="single" w:sz="4" w:space="0" w:color="969696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30BF9C" w14:textId="77777777" w:rsidR="00636718" w:rsidRPr="00636718" w:rsidRDefault="00636718" w:rsidP="0063671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36718">
              <w:rPr>
                <w:rFonts w:cs="Arial"/>
                <w:sz w:val="16"/>
                <w:szCs w:val="16"/>
              </w:rPr>
              <w:t>Podniky</w:t>
            </w:r>
            <w:r w:rsidRPr="00636718">
              <w:rPr>
                <w:rFonts w:cs="Arial"/>
                <w:sz w:val="16"/>
                <w:szCs w:val="16"/>
              </w:rPr>
              <w:br/>
              <w:t xml:space="preserve">s připojením </w:t>
            </w:r>
            <w:r w:rsidRPr="00636718">
              <w:rPr>
                <w:rFonts w:cs="Arial"/>
                <w:sz w:val="16"/>
                <w:szCs w:val="16"/>
              </w:rPr>
              <w:br/>
              <w:t xml:space="preserve">k internetu </w:t>
            </w:r>
            <w:r w:rsidRPr="00636718">
              <w:rPr>
                <w:rFonts w:cs="Arial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2720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2338743" w14:textId="77777777" w:rsidR="00636718" w:rsidRPr="00636718" w:rsidRDefault="00636718" w:rsidP="0063671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36718">
              <w:rPr>
                <w:rFonts w:cs="Arial"/>
                <w:sz w:val="16"/>
                <w:szCs w:val="16"/>
              </w:rPr>
              <w:t>z toho:</w:t>
            </w:r>
          </w:p>
        </w:tc>
        <w:tc>
          <w:tcPr>
            <w:tcW w:w="1936" w:type="dxa"/>
            <w:vMerge w:val="restart"/>
            <w:tcBorders>
              <w:top w:val="single" w:sz="8" w:space="0" w:color="808080"/>
              <w:left w:val="single" w:sz="4" w:space="0" w:color="969696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DD8C2AC" w14:textId="77777777" w:rsidR="00636718" w:rsidRPr="00636718" w:rsidRDefault="00636718" w:rsidP="0063671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636718">
              <w:rPr>
                <w:rFonts w:cs="Arial"/>
                <w:sz w:val="16"/>
                <w:szCs w:val="16"/>
              </w:rPr>
              <w:t xml:space="preserve">Podniky umožňující </w:t>
            </w:r>
            <w:r w:rsidRPr="00636718">
              <w:rPr>
                <w:rFonts w:cs="Arial"/>
                <w:sz w:val="16"/>
                <w:szCs w:val="16"/>
              </w:rPr>
              <w:br/>
              <w:t xml:space="preserve">ve svých prostorách </w:t>
            </w:r>
            <w:r w:rsidRPr="00636718">
              <w:rPr>
                <w:rFonts w:cs="Arial"/>
                <w:sz w:val="16"/>
                <w:szCs w:val="16"/>
                <w:u w:val="single"/>
              </w:rPr>
              <w:t xml:space="preserve">bezdrátový přístup </w:t>
            </w:r>
          </w:p>
          <w:p w14:paraId="5FB11633" w14:textId="77777777" w:rsidR="00636718" w:rsidRDefault="00636718" w:rsidP="0063671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36718">
              <w:rPr>
                <w:rFonts w:cs="Arial"/>
                <w:sz w:val="16"/>
                <w:szCs w:val="16"/>
                <w:u w:val="single"/>
              </w:rPr>
              <w:t>k internetu</w:t>
            </w:r>
          </w:p>
          <w:p w14:paraId="27AD9AF0" w14:textId="77777777" w:rsidR="00636718" w:rsidRPr="00636718" w:rsidRDefault="00636718" w:rsidP="0063671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(např. </w:t>
            </w:r>
            <w:proofErr w:type="spellStart"/>
            <w:r>
              <w:rPr>
                <w:rFonts w:cs="Arial"/>
                <w:sz w:val="16"/>
                <w:szCs w:val="16"/>
              </w:rPr>
              <w:t>WiFi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Arial"/>
                <w:sz w:val="16"/>
                <w:szCs w:val="16"/>
              </w:rPr>
              <w:t>hotspot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636718" w:rsidRPr="00636718" w14:paraId="028DBB7D" w14:textId="77777777" w:rsidTr="00636718">
        <w:trPr>
          <w:trHeight w:val="684"/>
        </w:trPr>
        <w:tc>
          <w:tcPr>
            <w:tcW w:w="3340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72375C11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808080"/>
              <w:left w:val="single" w:sz="4" w:space="0" w:color="969696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0D3EC2A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17E7FD" w14:textId="77777777" w:rsidR="00636718" w:rsidRPr="00636718" w:rsidRDefault="00636718" w:rsidP="0063671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36718">
              <w:rPr>
                <w:rFonts w:cs="Arial"/>
                <w:sz w:val="16"/>
                <w:szCs w:val="16"/>
              </w:rPr>
              <w:t xml:space="preserve">s </w:t>
            </w:r>
            <w:r w:rsidRPr="00636718">
              <w:rPr>
                <w:rFonts w:cs="Arial"/>
                <w:sz w:val="16"/>
                <w:szCs w:val="16"/>
                <w:u w:val="single"/>
              </w:rPr>
              <w:t>pevným</w:t>
            </w:r>
            <w:r w:rsidRPr="00636718">
              <w:rPr>
                <w:rFonts w:cs="Arial"/>
                <w:sz w:val="16"/>
                <w:szCs w:val="16"/>
              </w:rPr>
              <w:t xml:space="preserve"> připojením </w:t>
            </w:r>
            <w:r w:rsidRPr="00636718">
              <w:rPr>
                <w:rFonts w:cs="Arial"/>
                <w:sz w:val="16"/>
                <w:szCs w:val="16"/>
              </w:rPr>
              <w:br/>
              <w:t>k internetu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92BC1DB" w14:textId="77777777" w:rsidR="00636718" w:rsidRPr="00636718" w:rsidRDefault="00636718" w:rsidP="0063671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636718">
              <w:rPr>
                <w:rFonts w:cs="Arial"/>
                <w:sz w:val="16"/>
                <w:szCs w:val="16"/>
              </w:rPr>
              <w:t xml:space="preserve">s přístupem </w:t>
            </w:r>
            <w:r w:rsidRPr="00636718">
              <w:rPr>
                <w:rFonts w:cs="Arial"/>
                <w:sz w:val="16"/>
                <w:szCs w:val="16"/>
              </w:rPr>
              <w:br/>
              <w:t xml:space="preserve">na internet </w:t>
            </w:r>
            <w:r w:rsidRPr="00636718">
              <w:rPr>
                <w:rFonts w:cs="Arial"/>
                <w:sz w:val="16"/>
                <w:szCs w:val="16"/>
                <w:u w:val="single"/>
              </w:rPr>
              <w:t>přes mobilní sítě</w:t>
            </w:r>
          </w:p>
        </w:tc>
        <w:tc>
          <w:tcPr>
            <w:tcW w:w="1936" w:type="dxa"/>
            <w:vMerge/>
            <w:tcBorders>
              <w:top w:val="single" w:sz="8" w:space="0" w:color="808080"/>
              <w:left w:val="single" w:sz="4" w:space="0" w:color="969696"/>
              <w:bottom w:val="single" w:sz="4" w:space="0" w:color="808080"/>
              <w:right w:val="nil"/>
            </w:tcBorders>
            <w:vAlign w:val="center"/>
            <w:hideMark/>
          </w:tcPr>
          <w:p w14:paraId="2EB8CC98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36718" w:rsidRPr="00636718" w14:paraId="1DE219B8" w14:textId="77777777" w:rsidTr="0063671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14:paraId="125E5CD7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b/>
                <w:bCs/>
                <w:color w:val="000000"/>
                <w:sz w:val="16"/>
                <w:szCs w:val="16"/>
              </w:rPr>
              <w:t>Podniky celkem (10+)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14:paraId="491C60F3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96,1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14:paraId="60C027A3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89,2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14:paraId="46BD7E7E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89,6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6EAA7F4A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80,3 </w:t>
            </w:r>
          </w:p>
        </w:tc>
      </w:tr>
      <w:tr w:rsidR="00636718" w:rsidRPr="00636718" w14:paraId="1F35DE57" w14:textId="77777777" w:rsidTr="0063671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01679D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b/>
                <w:bCs/>
                <w:color w:val="000000"/>
                <w:sz w:val="16"/>
                <w:szCs w:val="16"/>
              </w:rPr>
              <w:t>Velikost podniku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F0953F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9AA053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057588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B31B" w14:textId="77777777" w:rsidR="00636718" w:rsidRPr="00636718" w:rsidRDefault="00636718" w:rsidP="00636718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3671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36718" w:rsidRPr="00636718" w14:paraId="74BF0719" w14:textId="77777777" w:rsidTr="0063671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9F66AD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10–49 zaměstnanců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32E818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95,3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FEB443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87,3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565C7C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87,8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DB7D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77,3 </w:t>
            </w:r>
          </w:p>
        </w:tc>
      </w:tr>
      <w:tr w:rsidR="00636718" w:rsidRPr="00636718" w14:paraId="354A6DC8" w14:textId="77777777" w:rsidTr="0063671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804F3A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50–249 zaměstnanců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6C5BBB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99,1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07F1D8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95,2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D5CE4C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95,7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29DA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90,3 </w:t>
            </w:r>
          </w:p>
        </w:tc>
      </w:tr>
      <w:tr w:rsidR="00636718" w:rsidRPr="00636718" w14:paraId="7F88EE92" w14:textId="77777777" w:rsidTr="0063671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62667B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250 a více zaměstnanců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022179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99,9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CAFFE9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99,7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C88FA4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99,3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8C79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97,3 </w:t>
            </w:r>
          </w:p>
        </w:tc>
      </w:tr>
      <w:tr w:rsidR="00636718" w:rsidRPr="00636718" w14:paraId="0EF48CA5" w14:textId="77777777" w:rsidTr="0063671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355777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b/>
                <w:bCs/>
                <w:color w:val="000000"/>
                <w:sz w:val="16"/>
                <w:szCs w:val="16"/>
              </w:rPr>
              <w:t>Odvětví (ekonomická činnost)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6956F4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39CFF8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EC245B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6091" w14:textId="77777777" w:rsidR="00636718" w:rsidRPr="00636718" w:rsidRDefault="00636718" w:rsidP="00636718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36718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36718" w:rsidRPr="00636718" w14:paraId="490E3ABE" w14:textId="77777777" w:rsidTr="0063671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C453FB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Zpracovatelský průmysl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D6AD4F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97,8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C38377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92,4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976F48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90,7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EB29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81,6 </w:t>
            </w:r>
          </w:p>
        </w:tc>
      </w:tr>
      <w:tr w:rsidR="00636718" w:rsidRPr="00636718" w14:paraId="6C551EED" w14:textId="77777777" w:rsidTr="0063671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F0635E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Výroba a rozvod energie, plynu, tepla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20D202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97,0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256DCC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92,4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F1E123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92,2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ADC4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82,3 </w:t>
            </w:r>
          </w:p>
        </w:tc>
      </w:tr>
      <w:tr w:rsidR="00636718" w:rsidRPr="00636718" w14:paraId="1E41588F" w14:textId="77777777" w:rsidTr="0063671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906B6D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Stavebnictví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75FBDA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90,7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4BD070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79,9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87FE13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89,4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113E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76,6 </w:t>
            </w:r>
          </w:p>
        </w:tc>
      </w:tr>
      <w:tr w:rsidR="00636718" w:rsidRPr="00636718" w14:paraId="3B689928" w14:textId="77777777" w:rsidTr="0063671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EF220B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Obchod a opravy motorových vozidel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F9CD66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98,1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498DE2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94,0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D4EA0D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94,5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AB1E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91,9 </w:t>
            </w:r>
          </w:p>
        </w:tc>
      </w:tr>
      <w:tr w:rsidR="00636718" w:rsidRPr="00636718" w14:paraId="19A80E98" w14:textId="77777777" w:rsidTr="0063671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C865A7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Velkoobchod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F09481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98,5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7DF4B9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90,6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225192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95,4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2B41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82,7 </w:t>
            </w:r>
          </w:p>
        </w:tc>
      </w:tr>
      <w:tr w:rsidR="00636718" w:rsidRPr="00636718" w14:paraId="4CA34767" w14:textId="77777777" w:rsidTr="0063671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44969D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Maloobchod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52E41E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96,1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063FFF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87,2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D1DF18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79,3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842C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68,9 </w:t>
            </w:r>
          </w:p>
        </w:tc>
      </w:tr>
      <w:tr w:rsidR="00636718" w:rsidRPr="00636718" w14:paraId="4239AB24" w14:textId="77777777" w:rsidTr="0063671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F715D5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Doprava a skladování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0D56EE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96,0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CCDE67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87,2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7CC525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92,0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1154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74,7 </w:t>
            </w:r>
          </w:p>
        </w:tc>
      </w:tr>
      <w:tr w:rsidR="00636718" w:rsidRPr="00636718" w14:paraId="2E81526D" w14:textId="77777777" w:rsidTr="0063671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6765EF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Ubytování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BE6434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98,2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170BAF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91,1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282EE4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89,9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8D1D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94,2 </w:t>
            </w:r>
          </w:p>
        </w:tc>
      </w:tr>
      <w:tr w:rsidR="00636718" w:rsidRPr="00636718" w14:paraId="7ADCFB13" w14:textId="77777777" w:rsidTr="0063671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43DE9D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Stravování a pohostinství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BFFDA8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92,9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7300F5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84,5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F87246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77,6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B4E8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74,5 </w:t>
            </w:r>
          </w:p>
        </w:tc>
      </w:tr>
      <w:tr w:rsidR="00636718" w:rsidRPr="00636718" w14:paraId="599DDEC1" w14:textId="77777777" w:rsidTr="0063671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98FD18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Činnosti cestovních agentur a kanceláří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32387E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98,8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AE0B25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95,5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EE6E53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95,0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1E80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90,2 </w:t>
            </w:r>
          </w:p>
        </w:tc>
      </w:tr>
      <w:tr w:rsidR="00636718" w:rsidRPr="00636718" w14:paraId="643CDE9D" w14:textId="77777777" w:rsidTr="0063671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776C2E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Audiovizuální činnosti; vydavatelství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7DE0ED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99,4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2AB120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98,2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D9E7FA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94,9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2303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95,1 </w:t>
            </w:r>
          </w:p>
        </w:tc>
      </w:tr>
      <w:tr w:rsidR="00636718" w:rsidRPr="00636718" w14:paraId="4D44DD70" w14:textId="77777777" w:rsidTr="0063671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35138A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Telekomunikační činnosti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3B5B31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99,1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263A45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98,3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96503E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98,5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3902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96,4 </w:t>
            </w:r>
          </w:p>
        </w:tc>
      </w:tr>
      <w:tr w:rsidR="00636718" w:rsidRPr="00636718" w14:paraId="4D4E0D44" w14:textId="77777777" w:rsidTr="0063671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EFF81D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Činnosti v oblasti IT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0E55FD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99,8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05A281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97,8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37EF4D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94,6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3EE8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96,3 </w:t>
            </w:r>
          </w:p>
        </w:tc>
      </w:tr>
      <w:tr w:rsidR="00636718" w:rsidRPr="00636718" w14:paraId="0A2FD02B" w14:textId="77777777" w:rsidTr="0063671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5FD261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Činnosti v oblasti nemovitostí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16A38F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95,1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8D9A5D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89,2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67AD76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87,8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733C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77,6 </w:t>
            </w:r>
          </w:p>
        </w:tc>
      </w:tr>
      <w:tr w:rsidR="00636718" w:rsidRPr="00636718" w14:paraId="76A11C42" w14:textId="77777777" w:rsidTr="0063671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51AF66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Profesní, vědecké a technické činnosti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C2DB95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98,8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6EC2D0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94,5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347DAE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91,3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4710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89,9 </w:t>
            </w:r>
          </w:p>
        </w:tc>
      </w:tr>
      <w:tr w:rsidR="00636718" w:rsidRPr="00636718" w14:paraId="39A4FE39" w14:textId="77777777" w:rsidTr="0063671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C5FBF3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Ostatní administrativní a podpůrné činnosti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5F6960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91,1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5A6863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81,2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634FA5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84,7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1F330D4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68,0 </w:t>
            </w:r>
          </w:p>
        </w:tc>
      </w:tr>
    </w:tbl>
    <w:p w14:paraId="09B995F2" w14:textId="77777777" w:rsidR="007B5BB8" w:rsidRDefault="00156D71" w:rsidP="00156D71">
      <w:pPr>
        <w:spacing w:before="120" w:after="120" w:line="240" w:lineRule="auto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p</w:t>
      </w:r>
      <w:r w:rsidRPr="00804120">
        <w:rPr>
          <w:rFonts w:cs="Arial"/>
          <w:i/>
          <w:sz w:val="18"/>
          <w:szCs w:val="18"/>
        </w:rPr>
        <w:t xml:space="preserve">odíl na celkovém počtu </w:t>
      </w:r>
      <w:r>
        <w:rPr>
          <w:rFonts w:cs="Arial"/>
          <w:i/>
          <w:sz w:val="18"/>
          <w:szCs w:val="18"/>
        </w:rPr>
        <w:t>podniků</w:t>
      </w:r>
      <w:r w:rsidRPr="00586602">
        <w:rPr>
          <w:rFonts w:cs="Arial"/>
          <w:i/>
          <w:sz w:val="18"/>
          <w:szCs w:val="18"/>
        </w:rPr>
        <w:t xml:space="preserve"> s 10 a více zaměstnanci</w:t>
      </w:r>
      <w:r w:rsidRPr="00804120">
        <w:rPr>
          <w:rFonts w:cs="Arial"/>
          <w:i/>
          <w:sz w:val="18"/>
          <w:szCs w:val="18"/>
        </w:rPr>
        <w:t xml:space="preserve"> v dané velikostní a odvětvové skupině (v %)</w:t>
      </w:r>
    </w:p>
    <w:p w14:paraId="2FBA1219" w14:textId="77777777" w:rsidR="00156D71" w:rsidRDefault="00156D71" w:rsidP="00156D71">
      <w:pPr>
        <w:spacing w:before="120" w:after="120" w:line="240" w:lineRule="auto"/>
        <w:rPr>
          <w:rFonts w:cs="Arial"/>
          <w:i/>
          <w:sz w:val="18"/>
          <w:szCs w:val="18"/>
        </w:rPr>
      </w:pPr>
    </w:p>
    <w:p w14:paraId="105510DE" w14:textId="2FDB8967" w:rsidR="00156D71" w:rsidRDefault="00156D71" w:rsidP="00156D71">
      <w:pPr>
        <w:spacing w:after="120" w:line="240" w:lineRule="auto"/>
        <w:rPr>
          <w:rFonts w:cs="Arial"/>
          <w:b/>
        </w:rPr>
      </w:pPr>
      <w:r w:rsidRPr="0022756F">
        <w:rPr>
          <w:rFonts w:cs="Arial"/>
          <w:b/>
        </w:rPr>
        <w:t xml:space="preserve">Tab. </w:t>
      </w:r>
      <w:r>
        <w:rPr>
          <w:rFonts w:cs="Arial"/>
          <w:b/>
        </w:rPr>
        <w:t>1</w:t>
      </w:r>
      <w:r w:rsidRPr="0022756F">
        <w:rPr>
          <w:rFonts w:cs="Arial"/>
          <w:b/>
        </w:rPr>
        <w:t>.</w:t>
      </w:r>
      <w:r>
        <w:rPr>
          <w:rFonts w:cs="Arial"/>
          <w:b/>
        </w:rPr>
        <w:t>2</w:t>
      </w:r>
      <w:r w:rsidRPr="0022756F">
        <w:rPr>
          <w:rFonts w:cs="Arial"/>
          <w:b/>
        </w:rPr>
        <w:t xml:space="preserve">:  </w:t>
      </w:r>
      <w:r w:rsidRPr="00804120">
        <w:rPr>
          <w:rFonts w:cs="Arial"/>
          <w:b/>
        </w:rPr>
        <w:t>Rychlost</w:t>
      </w:r>
      <w:r>
        <w:rPr>
          <w:rFonts w:cs="Arial"/>
          <w:b/>
        </w:rPr>
        <w:t xml:space="preserve"> pevného</w:t>
      </w:r>
      <w:r w:rsidRPr="00804120">
        <w:rPr>
          <w:rFonts w:cs="Arial"/>
          <w:b/>
        </w:rPr>
        <w:t xml:space="preserve"> připojení k internetu </w:t>
      </w:r>
      <w:r>
        <w:rPr>
          <w:rFonts w:cs="Arial"/>
          <w:b/>
        </w:rPr>
        <w:t>v podnicích s 10 a více zaměstnanci v</w:t>
      </w:r>
      <w:r w:rsidR="00A52804">
        <w:rPr>
          <w:rFonts w:cs="Arial"/>
          <w:b/>
        </w:rPr>
        <w:t> </w:t>
      </w:r>
      <w:r w:rsidRPr="00804120">
        <w:rPr>
          <w:rFonts w:cs="Arial"/>
          <w:b/>
        </w:rPr>
        <w:t>ČR</w:t>
      </w:r>
      <w:r w:rsidR="00A52804">
        <w:rPr>
          <w:rFonts w:cs="Arial"/>
          <w:b/>
        </w:rPr>
        <w:t>;</w:t>
      </w:r>
      <w:r w:rsidRPr="00804120">
        <w:rPr>
          <w:rFonts w:cs="Arial"/>
          <w:b/>
        </w:rPr>
        <w:t xml:space="preserve"> 20</w:t>
      </w:r>
      <w:r>
        <w:rPr>
          <w:rFonts w:cs="Arial"/>
          <w:b/>
        </w:rPr>
        <w:t>2</w:t>
      </w:r>
      <w:r w:rsidR="00636718">
        <w:rPr>
          <w:rFonts w:cs="Arial"/>
          <w:b/>
        </w:rPr>
        <w:t>2</w:t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560"/>
        <w:gridCol w:w="1417"/>
        <w:gridCol w:w="1418"/>
        <w:gridCol w:w="1559"/>
      </w:tblGrid>
      <w:tr w:rsidR="00636718" w:rsidRPr="00636718" w14:paraId="46964C25" w14:textId="77777777" w:rsidTr="00726B1B">
        <w:trPr>
          <w:trHeight w:val="539"/>
        </w:trPr>
        <w:tc>
          <w:tcPr>
            <w:tcW w:w="3402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A74C893" w14:textId="77777777" w:rsidR="00636718" w:rsidRPr="00636718" w:rsidRDefault="00636718" w:rsidP="00636718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14:paraId="5D3F8485" w14:textId="77777777" w:rsidR="00636718" w:rsidRPr="00636718" w:rsidRDefault="00171691" w:rsidP="00636718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71691">
              <w:rPr>
                <w:rFonts w:cs="Arial"/>
                <w:color w:val="000000"/>
                <w:sz w:val="16"/>
                <w:szCs w:val="16"/>
              </w:rPr>
              <w:t>&lt;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636718" w:rsidRPr="00636718">
              <w:rPr>
                <w:rFonts w:cs="Arial"/>
                <w:color w:val="000000"/>
                <w:sz w:val="16"/>
                <w:szCs w:val="16"/>
              </w:rPr>
              <w:t xml:space="preserve">30 </w:t>
            </w:r>
            <w:proofErr w:type="spellStart"/>
            <w:r w:rsidR="00636718" w:rsidRPr="00636718">
              <w:rPr>
                <w:rFonts w:cs="Arial"/>
                <w:color w:val="000000"/>
                <w:sz w:val="16"/>
                <w:szCs w:val="16"/>
              </w:rPr>
              <w:t>Mbit</w:t>
            </w:r>
            <w:proofErr w:type="spellEnd"/>
            <w:r w:rsidR="00636718" w:rsidRPr="00636718">
              <w:rPr>
                <w:rFonts w:cs="Arial"/>
                <w:color w:val="000000"/>
                <w:sz w:val="16"/>
                <w:szCs w:val="16"/>
              </w:rPr>
              <w:t>/s</w:t>
            </w:r>
          </w:p>
        </w:tc>
        <w:tc>
          <w:tcPr>
            <w:tcW w:w="1417" w:type="dxa"/>
            <w:tcBorders>
              <w:top w:val="single" w:sz="8" w:space="0" w:color="969696"/>
              <w:left w:val="dotted" w:sz="4" w:space="0" w:color="808080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14:paraId="68CBC957" w14:textId="77777777" w:rsidR="00636718" w:rsidRPr="00636718" w:rsidRDefault="00171691" w:rsidP="00171691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71691">
              <w:rPr>
                <w:rFonts w:cs="Arial"/>
                <w:color w:val="000000"/>
                <w:sz w:val="16"/>
                <w:szCs w:val="16"/>
              </w:rPr>
              <w:t>&gt;=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636718" w:rsidRPr="00636718">
              <w:rPr>
                <w:rFonts w:cs="Arial"/>
                <w:color w:val="000000"/>
                <w:sz w:val="16"/>
                <w:szCs w:val="16"/>
              </w:rPr>
              <w:t xml:space="preserve">30 </w:t>
            </w:r>
            <w:proofErr w:type="spellStart"/>
            <w:r w:rsidR="00636718" w:rsidRPr="00636718">
              <w:rPr>
                <w:rFonts w:cs="Arial"/>
                <w:color w:val="000000"/>
                <w:sz w:val="16"/>
                <w:szCs w:val="16"/>
              </w:rPr>
              <w:t>Mbit</w:t>
            </w:r>
            <w:proofErr w:type="spellEnd"/>
            <w:r w:rsidR="00636718" w:rsidRPr="00636718">
              <w:rPr>
                <w:rFonts w:cs="Arial"/>
                <w:color w:val="000000"/>
                <w:sz w:val="16"/>
                <w:szCs w:val="16"/>
              </w:rPr>
              <w:t>/s</w:t>
            </w:r>
          </w:p>
        </w:tc>
        <w:tc>
          <w:tcPr>
            <w:tcW w:w="1418" w:type="dxa"/>
            <w:tcBorders>
              <w:top w:val="single" w:sz="8" w:space="0" w:color="969696"/>
              <w:left w:val="single" w:sz="4" w:space="0" w:color="808080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14:paraId="6CF80570" w14:textId="77777777" w:rsidR="00636718" w:rsidRPr="00636718" w:rsidRDefault="00171691" w:rsidP="00171691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171691">
              <w:rPr>
                <w:rFonts w:cs="Arial"/>
                <w:color w:val="000000"/>
                <w:sz w:val="16"/>
                <w:szCs w:val="16"/>
              </w:rPr>
              <w:t>&gt;=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636718" w:rsidRPr="00636718">
              <w:rPr>
                <w:rFonts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r w:rsidR="00636718" w:rsidRPr="00636718">
              <w:rPr>
                <w:rFonts w:cs="Arial"/>
                <w:color w:val="000000"/>
                <w:sz w:val="16"/>
                <w:szCs w:val="16"/>
              </w:rPr>
              <w:t>Mbit</w:t>
            </w:r>
            <w:proofErr w:type="spellEnd"/>
            <w:r w:rsidR="00636718" w:rsidRPr="00636718">
              <w:rPr>
                <w:rFonts w:cs="Arial"/>
                <w:color w:val="000000"/>
                <w:sz w:val="16"/>
                <w:szCs w:val="16"/>
              </w:rPr>
              <w:t>/s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01F59D0A" w14:textId="77777777" w:rsidR="00636718" w:rsidRPr="00636718" w:rsidRDefault="00171691" w:rsidP="00171691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71691">
              <w:rPr>
                <w:rFonts w:cs="Arial"/>
                <w:color w:val="000000"/>
                <w:sz w:val="16"/>
                <w:szCs w:val="16"/>
              </w:rPr>
              <w:t>&gt;=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636718" w:rsidRPr="00636718">
              <w:rPr>
                <w:rFonts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 w:rsidR="00636718" w:rsidRPr="00636718">
              <w:rPr>
                <w:rFonts w:cs="Arial"/>
                <w:color w:val="000000"/>
                <w:sz w:val="16"/>
                <w:szCs w:val="16"/>
              </w:rPr>
              <w:t>Gbit</w:t>
            </w:r>
            <w:proofErr w:type="spellEnd"/>
            <w:r w:rsidR="00636718" w:rsidRPr="00636718">
              <w:rPr>
                <w:rFonts w:cs="Arial"/>
                <w:color w:val="000000"/>
                <w:sz w:val="16"/>
                <w:szCs w:val="16"/>
              </w:rPr>
              <w:t>/s</w:t>
            </w:r>
          </w:p>
        </w:tc>
      </w:tr>
      <w:tr w:rsidR="00636718" w:rsidRPr="00636718" w14:paraId="021C8E52" w14:textId="77777777" w:rsidTr="00726B1B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14:paraId="0EF3F42C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b/>
                <w:bCs/>
                <w:color w:val="000000"/>
                <w:sz w:val="16"/>
                <w:szCs w:val="16"/>
              </w:rPr>
              <w:t>Podniky celkem (10+)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14:paraId="3FEB0677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12,9 </w:t>
            </w:r>
          </w:p>
        </w:tc>
        <w:tc>
          <w:tcPr>
            <w:tcW w:w="141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3663CBD6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76,3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2D8FAAF5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42,8 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14:paraId="7B9E4727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7,1 </w:t>
            </w:r>
          </w:p>
        </w:tc>
      </w:tr>
      <w:tr w:rsidR="00636718" w:rsidRPr="00636718" w14:paraId="2540F52F" w14:textId="77777777" w:rsidTr="00726B1B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8C89AD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b/>
                <w:bCs/>
                <w:color w:val="000000"/>
                <w:sz w:val="16"/>
                <w:szCs w:val="16"/>
              </w:rPr>
              <w:t>Velikost podniku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8A79EE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8644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9A46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326A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636718" w:rsidRPr="00636718" w14:paraId="549B7585" w14:textId="77777777" w:rsidTr="00726B1B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0ADC66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10–49 zaměstnanců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B6041A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13,7 </w:t>
            </w:r>
          </w:p>
        </w:tc>
        <w:tc>
          <w:tcPr>
            <w:tcW w:w="141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4B7C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73,6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BF6C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40,3 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050E0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6,3 </w:t>
            </w:r>
          </w:p>
        </w:tc>
      </w:tr>
      <w:tr w:rsidR="00636718" w:rsidRPr="00636718" w14:paraId="13D50529" w14:textId="77777777" w:rsidTr="00726B1B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F8487B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50–249 zaměstnanců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01765E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10,7 </w:t>
            </w:r>
          </w:p>
        </w:tc>
        <w:tc>
          <w:tcPr>
            <w:tcW w:w="141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CC57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84,5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F76D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48,6 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F7ED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9,1 </w:t>
            </w:r>
          </w:p>
        </w:tc>
      </w:tr>
      <w:tr w:rsidR="00636718" w:rsidRPr="00636718" w14:paraId="0A7B9F1D" w14:textId="77777777" w:rsidTr="00726B1B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33A300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250 a více zaměstnanců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011E2D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5,7 </w:t>
            </w:r>
          </w:p>
        </w:tc>
        <w:tc>
          <w:tcPr>
            <w:tcW w:w="141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82D6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94,0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0117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70,2 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B5C8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14,4 </w:t>
            </w:r>
          </w:p>
        </w:tc>
      </w:tr>
      <w:tr w:rsidR="00636718" w:rsidRPr="00636718" w14:paraId="7446F797" w14:textId="77777777" w:rsidTr="00726B1B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93CCC3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b/>
                <w:bCs/>
                <w:color w:val="000000"/>
                <w:sz w:val="16"/>
                <w:szCs w:val="16"/>
              </w:rPr>
              <w:t>Odvětví (ekonomická činnost)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233BA5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E483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3894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4814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636718" w:rsidRPr="00636718" w14:paraId="1F47AB49" w14:textId="77777777" w:rsidTr="00726B1B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9541E8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Zpracovatelský průmysl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0E4A68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15,0 </w:t>
            </w:r>
          </w:p>
        </w:tc>
        <w:tc>
          <w:tcPr>
            <w:tcW w:w="141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4B8D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77,5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3CE8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41,9 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8492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6,2 </w:t>
            </w:r>
          </w:p>
        </w:tc>
      </w:tr>
      <w:tr w:rsidR="00636718" w:rsidRPr="00636718" w14:paraId="0E5D0121" w14:textId="77777777" w:rsidTr="00726B1B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82C59F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Výroba a rozvod energie, plynu, tepla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E41DC9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16,6 </w:t>
            </w:r>
          </w:p>
        </w:tc>
        <w:tc>
          <w:tcPr>
            <w:tcW w:w="141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6444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75,9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39AE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39,7 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A2CA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8,5 </w:t>
            </w:r>
          </w:p>
        </w:tc>
      </w:tr>
      <w:tr w:rsidR="00636718" w:rsidRPr="00636718" w14:paraId="6143008F" w14:textId="77777777" w:rsidTr="00726B1B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0113C6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Stavebnictví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606307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12,2 </w:t>
            </w:r>
          </w:p>
        </w:tc>
        <w:tc>
          <w:tcPr>
            <w:tcW w:w="141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E40D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67,7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9EC3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40,8 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8917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6,0 </w:t>
            </w:r>
          </w:p>
        </w:tc>
      </w:tr>
      <w:tr w:rsidR="00636718" w:rsidRPr="00636718" w14:paraId="3453B3D7" w14:textId="77777777" w:rsidTr="00726B1B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79598B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Obchod a opravy motorových vozidel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6D2367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10,9 </w:t>
            </w:r>
          </w:p>
        </w:tc>
        <w:tc>
          <w:tcPr>
            <w:tcW w:w="141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1490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83,1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B29A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42,9 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9310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6,3 </w:t>
            </w:r>
          </w:p>
        </w:tc>
      </w:tr>
      <w:tr w:rsidR="00636718" w:rsidRPr="00636718" w14:paraId="066D19BE" w14:textId="77777777" w:rsidTr="00726B1B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270F95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Velkoobchod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8D7DC1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11,1 </w:t>
            </w:r>
          </w:p>
        </w:tc>
        <w:tc>
          <w:tcPr>
            <w:tcW w:w="141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188D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79,5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9EFB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39,5 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E125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8,7 </w:t>
            </w:r>
          </w:p>
        </w:tc>
      </w:tr>
      <w:tr w:rsidR="00636718" w:rsidRPr="00636718" w14:paraId="58804FAB" w14:textId="77777777" w:rsidTr="00726B1B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814493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Maloobchod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3077DE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13,6 </w:t>
            </w:r>
          </w:p>
        </w:tc>
        <w:tc>
          <w:tcPr>
            <w:tcW w:w="141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6FE4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73,7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5B6B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34,5 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7C654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4,4 </w:t>
            </w:r>
          </w:p>
        </w:tc>
      </w:tr>
      <w:tr w:rsidR="00636718" w:rsidRPr="00636718" w14:paraId="2F880D9F" w14:textId="77777777" w:rsidTr="00726B1B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7D3F8B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Doprava a skladování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FB8AF7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17,4 </w:t>
            </w:r>
          </w:p>
        </w:tc>
        <w:tc>
          <w:tcPr>
            <w:tcW w:w="141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0CE8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69,9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FEB0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36,1 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A10B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7,6 </w:t>
            </w:r>
          </w:p>
        </w:tc>
      </w:tr>
      <w:tr w:rsidR="00636718" w:rsidRPr="00636718" w14:paraId="62DEBBBE" w14:textId="77777777" w:rsidTr="00726B1B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7F5273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Ubytování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8AB668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6,0 </w:t>
            </w:r>
          </w:p>
        </w:tc>
        <w:tc>
          <w:tcPr>
            <w:tcW w:w="141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8933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85,1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4611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50,5 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BA2A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7,9 </w:t>
            </w:r>
          </w:p>
        </w:tc>
      </w:tr>
      <w:tr w:rsidR="00636718" w:rsidRPr="00636718" w14:paraId="235AC344" w14:textId="77777777" w:rsidTr="00726B1B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D543BD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Stravování a pohostinství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9469BA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12,8 </w:t>
            </w:r>
          </w:p>
        </w:tc>
        <w:tc>
          <w:tcPr>
            <w:tcW w:w="141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8C3A9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71,7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01FC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39,8 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0759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3,7 </w:t>
            </w:r>
          </w:p>
        </w:tc>
      </w:tr>
      <w:tr w:rsidR="00636718" w:rsidRPr="00636718" w14:paraId="15AC706E" w14:textId="77777777" w:rsidTr="00726B1B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01CAB0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Činnosti cestovních agentur a kanceláří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C9AA9D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13,3 </w:t>
            </w:r>
          </w:p>
        </w:tc>
        <w:tc>
          <w:tcPr>
            <w:tcW w:w="141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196F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82,2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8D57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44,9 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23087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13,0 </w:t>
            </w:r>
          </w:p>
        </w:tc>
      </w:tr>
      <w:tr w:rsidR="00636718" w:rsidRPr="00636718" w14:paraId="55ECB826" w14:textId="77777777" w:rsidTr="00726B1B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61E715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Audiovizuální činnosti; vydavatelství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EAD02B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9,0 </w:t>
            </w:r>
          </w:p>
        </w:tc>
        <w:tc>
          <w:tcPr>
            <w:tcW w:w="141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DCA9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89,2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0D78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65,3 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98C6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19,5 </w:t>
            </w:r>
          </w:p>
        </w:tc>
      </w:tr>
      <w:tr w:rsidR="00636718" w:rsidRPr="00636718" w14:paraId="74FEF54D" w14:textId="77777777" w:rsidTr="00726B1B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6169EF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Telekomunikační činnosti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29F7C0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5964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97,0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2699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85,4 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8A2E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45,7 </w:t>
            </w:r>
          </w:p>
        </w:tc>
      </w:tr>
      <w:tr w:rsidR="00636718" w:rsidRPr="00636718" w14:paraId="5A1210A6" w14:textId="77777777" w:rsidTr="00726B1B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158F12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Činnosti v oblasti IT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1E885E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3,1 </w:t>
            </w:r>
          </w:p>
        </w:tc>
        <w:tc>
          <w:tcPr>
            <w:tcW w:w="141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6E78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94,7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AFDC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70,9 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6298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20,1 </w:t>
            </w:r>
          </w:p>
        </w:tc>
      </w:tr>
      <w:tr w:rsidR="00636718" w:rsidRPr="00636718" w14:paraId="08F221BA" w14:textId="77777777" w:rsidTr="00726B1B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158953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Činnosti v oblasti nemovitostí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41E08A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11,8 </w:t>
            </w:r>
          </w:p>
        </w:tc>
        <w:tc>
          <w:tcPr>
            <w:tcW w:w="141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C821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77,4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7B19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43,3 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3126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5,7 </w:t>
            </w:r>
          </w:p>
        </w:tc>
      </w:tr>
      <w:tr w:rsidR="00636718" w:rsidRPr="00636718" w14:paraId="12D28F25" w14:textId="77777777" w:rsidTr="00726B1B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048269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Profesní, vědecké a technické činnosti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0BC591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11,3 </w:t>
            </w:r>
          </w:p>
        </w:tc>
        <w:tc>
          <w:tcPr>
            <w:tcW w:w="1417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3A32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83,2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66EE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55,0 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9F56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5,8 </w:t>
            </w:r>
          </w:p>
        </w:tc>
      </w:tr>
      <w:tr w:rsidR="00636718" w:rsidRPr="00636718" w14:paraId="74A67957" w14:textId="77777777" w:rsidTr="00726B1B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CA3D4F" w14:textId="77777777" w:rsidR="00636718" w:rsidRPr="00636718" w:rsidRDefault="00636718" w:rsidP="0063671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  Ostatní administrativní a podpůrné činnosti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9EC263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12,4 </w:t>
            </w:r>
          </w:p>
        </w:tc>
        <w:tc>
          <w:tcPr>
            <w:tcW w:w="1417" w:type="dxa"/>
            <w:tcBorders>
              <w:top w:val="nil"/>
              <w:left w:val="dotted" w:sz="4" w:space="0" w:color="808080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C941CC4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68,8 </w:t>
            </w:r>
          </w:p>
        </w:tc>
        <w:tc>
          <w:tcPr>
            <w:tcW w:w="1418" w:type="dxa"/>
            <w:tcBorders>
              <w:top w:val="nil"/>
              <w:left w:val="single" w:sz="4" w:space="0" w:color="808080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9206C02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40,0 </w:t>
            </w:r>
          </w:p>
        </w:tc>
        <w:tc>
          <w:tcPr>
            <w:tcW w:w="1559" w:type="dxa"/>
            <w:tcBorders>
              <w:top w:val="nil"/>
              <w:left w:val="single" w:sz="4" w:space="0" w:color="808080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BDC7CA5" w14:textId="77777777" w:rsidR="00636718" w:rsidRPr="00636718" w:rsidRDefault="00636718" w:rsidP="0063671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636718">
              <w:rPr>
                <w:rFonts w:cs="Arial"/>
                <w:color w:val="000000"/>
                <w:sz w:val="16"/>
                <w:szCs w:val="16"/>
              </w:rPr>
              <w:t xml:space="preserve">6,8 </w:t>
            </w:r>
          </w:p>
        </w:tc>
      </w:tr>
    </w:tbl>
    <w:p w14:paraId="3189EFAC" w14:textId="77777777" w:rsidR="00156D71" w:rsidRPr="00156D71" w:rsidRDefault="00156D71" w:rsidP="00156D71">
      <w:pPr>
        <w:spacing w:before="120" w:after="120" w:line="240" w:lineRule="auto"/>
        <w:rPr>
          <w:rFonts w:cs="Arial"/>
          <w:i/>
          <w:sz w:val="18"/>
          <w:szCs w:val="18"/>
        </w:rPr>
      </w:pPr>
      <w:r w:rsidRPr="00156D71">
        <w:rPr>
          <w:rFonts w:cs="Arial"/>
          <w:i/>
          <w:sz w:val="18"/>
          <w:szCs w:val="18"/>
        </w:rPr>
        <w:t>podíl na celkovém počtu podniků s 10 a více zaměstnanci v dané velikostní a odvětvové skupině (v %)</w:t>
      </w:r>
    </w:p>
    <w:p w14:paraId="5433F4A3" w14:textId="77777777" w:rsidR="00726B1B" w:rsidRDefault="00726B1B" w:rsidP="000D7B4A">
      <w:pPr>
        <w:autoSpaceDE w:val="0"/>
        <w:autoSpaceDN w:val="0"/>
        <w:adjustRightInd w:val="0"/>
        <w:spacing w:before="120" w:after="0" w:line="240" w:lineRule="auto"/>
        <w:ind w:right="-1"/>
        <w:jc w:val="right"/>
        <w:rPr>
          <w:rFonts w:cs="Arial"/>
          <w:sz w:val="18"/>
          <w:szCs w:val="18"/>
        </w:rPr>
      </w:pPr>
    </w:p>
    <w:p w14:paraId="13BC7713" w14:textId="4323EC7B" w:rsidR="00156D71" w:rsidRPr="00E334D1" w:rsidRDefault="00156D71" w:rsidP="000D7B4A">
      <w:pPr>
        <w:autoSpaceDE w:val="0"/>
        <w:autoSpaceDN w:val="0"/>
        <w:adjustRightInd w:val="0"/>
        <w:spacing w:before="120" w:after="0" w:line="240" w:lineRule="auto"/>
        <w:ind w:right="-1"/>
        <w:jc w:val="right"/>
        <w:rPr>
          <w:rFonts w:cs="Arial"/>
          <w:sz w:val="18"/>
          <w:szCs w:val="18"/>
        </w:rPr>
      </w:pPr>
      <w:r w:rsidRPr="00E334D1">
        <w:rPr>
          <w:rFonts w:cs="Arial"/>
          <w:sz w:val="18"/>
          <w:szCs w:val="18"/>
        </w:rPr>
        <w:t>Zdroj: Český statistický úřad, 20</w:t>
      </w:r>
      <w:r>
        <w:rPr>
          <w:rFonts w:cs="Arial"/>
          <w:sz w:val="18"/>
          <w:szCs w:val="18"/>
        </w:rPr>
        <w:t>2</w:t>
      </w:r>
      <w:r w:rsidR="00636718">
        <w:rPr>
          <w:rFonts w:cs="Arial"/>
          <w:sz w:val="18"/>
          <w:szCs w:val="18"/>
        </w:rPr>
        <w:t>2</w:t>
      </w:r>
    </w:p>
    <w:p w14:paraId="4030C25C" w14:textId="77777777" w:rsidR="00171691" w:rsidRDefault="00171691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299D0E94" w14:textId="30A025C6" w:rsidR="00747F53" w:rsidRDefault="00747F53" w:rsidP="000D7B4A">
      <w:pPr>
        <w:autoSpaceDE w:val="0"/>
        <w:autoSpaceDN w:val="0"/>
        <w:adjustRightInd w:val="0"/>
        <w:spacing w:before="60" w:after="120" w:line="240" w:lineRule="auto"/>
        <w:ind w:left="4678" w:right="-1" w:hanging="4678"/>
        <w:rPr>
          <w:rFonts w:cs="Arial"/>
          <w:b/>
        </w:rPr>
      </w:pPr>
      <w:r>
        <w:rPr>
          <w:rFonts w:cs="Arial"/>
          <w:b/>
        </w:rPr>
        <w:lastRenderedPageBreak/>
        <w:t>Graf 1</w:t>
      </w:r>
      <w:r w:rsidRPr="000B070C">
        <w:rPr>
          <w:rFonts w:cs="Arial"/>
          <w:b/>
        </w:rPr>
        <w:t>.</w:t>
      </w:r>
      <w:r w:rsidR="00726B1B">
        <w:rPr>
          <w:rFonts w:cs="Arial"/>
          <w:b/>
        </w:rPr>
        <w:t>3</w:t>
      </w:r>
      <w:r w:rsidRPr="000B070C">
        <w:rPr>
          <w:rFonts w:cs="Arial"/>
          <w:b/>
        </w:rPr>
        <w:t>:</w:t>
      </w:r>
      <w:r>
        <w:rPr>
          <w:rFonts w:cs="Arial"/>
          <w:b/>
        </w:rPr>
        <w:t xml:space="preserve"> Rychlost pevného připojení k internetu v podnicí</w:t>
      </w:r>
      <w:r w:rsidR="00726B1B">
        <w:rPr>
          <w:rFonts w:cs="Arial"/>
          <w:b/>
        </w:rPr>
        <w:t xml:space="preserve">ch s 10 a více zaměstnanci v ČR; </w:t>
      </w:r>
      <w:r>
        <w:rPr>
          <w:rFonts w:cs="Arial"/>
          <w:b/>
        </w:rPr>
        <w:t>202</w:t>
      </w:r>
      <w:r w:rsidR="00171691">
        <w:rPr>
          <w:rFonts w:cs="Arial"/>
          <w:b/>
        </w:rPr>
        <w:t>2</w:t>
      </w:r>
    </w:p>
    <w:p w14:paraId="36D4C5E9" w14:textId="6239FF1F" w:rsidR="00726B1B" w:rsidRDefault="00726B1B" w:rsidP="000D7B4A">
      <w:pPr>
        <w:autoSpaceDE w:val="0"/>
        <w:autoSpaceDN w:val="0"/>
        <w:adjustRightInd w:val="0"/>
        <w:spacing w:before="60" w:after="120" w:line="240" w:lineRule="auto"/>
        <w:ind w:left="4678" w:right="-1" w:hanging="4678"/>
        <w:rPr>
          <w:rFonts w:cs="Arial"/>
          <w:b/>
        </w:rPr>
      </w:pPr>
      <w:r>
        <w:rPr>
          <w:rFonts w:cs="Arial"/>
          <w:b/>
          <w:noProof/>
        </w:rPr>
        <w:drawing>
          <wp:inline distT="0" distB="0" distL="0" distR="0" wp14:anchorId="2FC92C34" wp14:editId="57BBFF32">
            <wp:extent cx="6108700" cy="2755900"/>
            <wp:effectExtent l="0" t="0" r="6350" b="635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DEEAE9" w14:textId="77777777" w:rsidR="00747F53" w:rsidRDefault="00747F53" w:rsidP="00747F53">
      <w:pPr>
        <w:autoSpaceDE w:val="0"/>
        <w:autoSpaceDN w:val="0"/>
        <w:adjustRightInd w:val="0"/>
        <w:spacing w:after="0"/>
        <w:ind w:right="-142"/>
        <w:jc w:val="both"/>
        <w:rPr>
          <w:rFonts w:cs="Arial"/>
          <w:i/>
          <w:sz w:val="18"/>
          <w:szCs w:val="18"/>
        </w:rPr>
      </w:pPr>
      <w:r w:rsidRPr="007E2BB1">
        <w:rPr>
          <w:rFonts w:cs="Arial"/>
          <w:i/>
          <w:sz w:val="18"/>
          <w:szCs w:val="18"/>
        </w:rPr>
        <w:t xml:space="preserve">podíl na celkovém počtu </w:t>
      </w:r>
      <w:r>
        <w:rPr>
          <w:rFonts w:cs="Arial"/>
          <w:i/>
          <w:sz w:val="18"/>
          <w:szCs w:val="18"/>
        </w:rPr>
        <w:t>podniků</w:t>
      </w:r>
      <w:r w:rsidRPr="007E2BB1">
        <w:rPr>
          <w:rFonts w:cs="Arial"/>
          <w:i/>
          <w:sz w:val="18"/>
          <w:szCs w:val="18"/>
        </w:rPr>
        <w:t xml:space="preserve"> s 10 a více zaměstnanci </w:t>
      </w:r>
    </w:p>
    <w:p w14:paraId="20E6BE2B" w14:textId="77777777" w:rsidR="003D19CA" w:rsidRDefault="003D19CA" w:rsidP="00747F53">
      <w:pPr>
        <w:autoSpaceDE w:val="0"/>
        <w:autoSpaceDN w:val="0"/>
        <w:adjustRightInd w:val="0"/>
        <w:spacing w:after="0"/>
        <w:ind w:right="-142"/>
        <w:jc w:val="both"/>
        <w:rPr>
          <w:rFonts w:cs="Arial"/>
          <w:i/>
          <w:sz w:val="18"/>
          <w:szCs w:val="18"/>
        </w:rPr>
      </w:pPr>
    </w:p>
    <w:p w14:paraId="4F1A4313" w14:textId="4B0470C9" w:rsidR="00D43B5B" w:rsidRDefault="00D43B5B" w:rsidP="00D43B5B">
      <w:pPr>
        <w:autoSpaceDE w:val="0"/>
        <w:autoSpaceDN w:val="0"/>
        <w:adjustRightInd w:val="0"/>
        <w:spacing w:before="60" w:after="120" w:line="240" w:lineRule="auto"/>
        <w:ind w:left="4678" w:right="-142" w:hanging="4678"/>
        <w:rPr>
          <w:rFonts w:cs="Arial"/>
          <w:b/>
        </w:rPr>
      </w:pPr>
      <w:r>
        <w:rPr>
          <w:rFonts w:cs="Arial"/>
          <w:b/>
        </w:rPr>
        <w:t>Graf 1</w:t>
      </w:r>
      <w:r w:rsidRPr="000B070C">
        <w:rPr>
          <w:rFonts w:cs="Arial"/>
          <w:b/>
        </w:rPr>
        <w:t>.</w:t>
      </w:r>
      <w:r w:rsidR="00726B1B">
        <w:rPr>
          <w:rFonts w:cs="Arial"/>
          <w:b/>
        </w:rPr>
        <w:t>4</w:t>
      </w:r>
      <w:r w:rsidRPr="000B070C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 w:rsidR="00B72B56">
        <w:rPr>
          <w:rFonts w:cs="Arial"/>
          <w:b/>
        </w:rPr>
        <w:t>Rychlost pevného připojení k internetu v podnicích s 10 a více zaměstnanci v</w:t>
      </w:r>
      <w:r w:rsidR="00804849">
        <w:rPr>
          <w:rFonts w:cs="Arial"/>
          <w:b/>
        </w:rPr>
        <w:t> </w:t>
      </w:r>
      <w:r w:rsidR="00B72B56">
        <w:rPr>
          <w:rFonts w:cs="Arial"/>
          <w:b/>
        </w:rPr>
        <w:t>ČR</w:t>
      </w:r>
    </w:p>
    <w:p w14:paraId="3D8C065F" w14:textId="77777777" w:rsidR="00804849" w:rsidRDefault="00804849" w:rsidP="00D43B5B">
      <w:pPr>
        <w:autoSpaceDE w:val="0"/>
        <w:autoSpaceDN w:val="0"/>
        <w:adjustRightInd w:val="0"/>
        <w:spacing w:before="60" w:after="120" w:line="240" w:lineRule="auto"/>
        <w:ind w:left="4678" w:right="-142" w:hanging="4678"/>
        <w:rPr>
          <w:rFonts w:cs="Arial"/>
          <w:b/>
        </w:rPr>
      </w:pPr>
      <w:r>
        <w:rPr>
          <w:rFonts w:cs="Arial"/>
          <w:b/>
          <w:noProof/>
        </w:rPr>
        <w:drawing>
          <wp:inline distT="0" distB="0" distL="0" distR="0" wp14:anchorId="0F3B6C2F" wp14:editId="75B1F17B">
            <wp:extent cx="6078220" cy="2188845"/>
            <wp:effectExtent l="0" t="0" r="0" b="190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218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DD3584" w14:textId="77777777" w:rsidR="00A71C4A" w:rsidRPr="00156D71" w:rsidRDefault="00A71C4A" w:rsidP="00A71C4A">
      <w:pPr>
        <w:spacing w:before="120" w:after="120" w:line="240" w:lineRule="auto"/>
        <w:rPr>
          <w:rFonts w:cs="Arial"/>
          <w:i/>
          <w:sz w:val="18"/>
          <w:szCs w:val="18"/>
        </w:rPr>
      </w:pPr>
      <w:r w:rsidRPr="00156D71">
        <w:rPr>
          <w:rFonts w:cs="Arial"/>
          <w:i/>
          <w:sz w:val="18"/>
          <w:szCs w:val="18"/>
        </w:rPr>
        <w:t>podíl na celkovém počtu podniků s 10 a více zaměstnanci v dané velikostní skupině</w:t>
      </w:r>
      <w:r>
        <w:rPr>
          <w:rFonts w:cs="Arial"/>
          <w:i/>
          <w:sz w:val="18"/>
          <w:szCs w:val="18"/>
        </w:rPr>
        <w:t xml:space="preserve"> v daném roce</w:t>
      </w:r>
    </w:p>
    <w:p w14:paraId="245ADBFA" w14:textId="77777777" w:rsidR="00747F53" w:rsidRDefault="00747F53" w:rsidP="00394351">
      <w:pPr>
        <w:autoSpaceDE w:val="0"/>
        <w:autoSpaceDN w:val="0"/>
        <w:adjustRightInd w:val="0"/>
        <w:spacing w:after="0"/>
        <w:ind w:right="-142"/>
        <w:rPr>
          <w:rFonts w:cs="Arial"/>
          <w:sz w:val="18"/>
          <w:szCs w:val="18"/>
        </w:rPr>
      </w:pPr>
    </w:p>
    <w:p w14:paraId="4CB5C330" w14:textId="54A015A9" w:rsidR="00394351" w:rsidRDefault="00394351" w:rsidP="00B45E10">
      <w:pPr>
        <w:autoSpaceDE w:val="0"/>
        <w:autoSpaceDN w:val="0"/>
        <w:adjustRightInd w:val="0"/>
        <w:spacing w:after="0"/>
        <w:ind w:right="-142"/>
        <w:rPr>
          <w:rFonts w:cs="Arial"/>
          <w:sz w:val="18"/>
          <w:szCs w:val="18"/>
        </w:rPr>
      </w:pPr>
      <w:r>
        <w:rPr>
          <w:rFonts w:cs="Arial"/>
          <w:b/>
        </w:rPr>
        <w:t>Graf 1</w:t>
      </w:r>
      <w:r w:rsidRPr="000B070C">
        <w:rPr>
          <w:rFonts w:cs="Arial"/>
          <w:b/>
        </w:rPr>
        <w:t>.</w:t>
      </w:r>
      <w:r w:rsidR="00726B1B">
        <w:rPr>
          <w:rFonts w:cs="Arial"/>
          <w:b/>
        </w:rPr>
        <w:t>5</w:t>
      </w:r>
      <w:r w:rsidRPr="000B070C">
        <w:rPr>
          <w:rFonts w:cs="Arial"/>
          <w:b/>
        </w:rPr>
        <w:t>:</w:t>
      </w:r>
      <w:r>
        <w:rPr>
          <w:rFonts w:cs="Arial"/>
          <w:b/>
        </w:rPr>
        <w:t xml:space="preserve"> Podniky v ČR</w:t>
      </w:r>
      <w:r w:rsidR="00B45E10" w:rsidRPr="00B45E10">
        <w:t xml:space="preserve"> </w:t>
      </w:r>
      <w:r w:rsidR="00B45E10" w:rsidRPr="00B45E10">
        <w:rPr>
          <w:rFonts w:cs="Arial"/>
          <w:b/>
        </w:rPr>
        <w:t xml:space="preserve">umožňující ve svých prostorách bezdrátový přístup k internetu </w:t>
      </w:r>
      <w:r w:rsidR="00146523">
        <w:rPr>
          <w:rFonts w:cs="Arial"/>
          <w:b/>
        </w:rPr>
        <w:br/>
      </w:r>
      <w:r w:rsidR="00B45E10" w:rsidRPr="00B45E10">
        <w:rPr>
          <w:rFonts w:cs="Arial"/>
          <w:b/>
        </w:rPr>
        <w:t xml:space="preserve">(např. </w:t>
      </w:r>
      <w:proofErr w:type="spellStart"/>
      <w:r w:rsidR="00B45E10" w:rsidRPr="00B45E10">
        <w:rPr>
          <w:rFonts w:cs="Arial"/>
          <w:b/>
        </w:rPr>
        <w:t>WiFi</w:t>
      </w:r>
      <w:proofErr w:type="spellEnd"/>
      <w:r w:rsidR="00B45E10" w:rsidRPr="00B45E10">
        <w:rPr>
          <w:rFonts w:cs="Arial"/>
          <w:b/>
        </w:rPr>
        <w:t xml:space="preserve">, </w:t>
      </w:r>
      <w:proofErr w:type="spellStart"/>
      <w:r w:rsidR="00B45E10" w:rsidRPr="00B45E10">
        <w:rPr>
          <w:rFonts w:cs="Arial"/>
          <w:b/>
        </w:rPr>
        <w:t>hotspot</w:t>
      </w:r>
      <w:proofErr w:type="spellEnd"/>
      <w:r w:rsidR="00B45E10" w:rsidRPr="00B45E10">
        <w:rPr>
          <w:rFonts w:cs="Arial"/>
          <w:b/>
        </w:rPr>
        <w:t>)</w:t>
      </w:r>
      <w:r>
        <w:rPr>
          <w:rFonts w:cs="Arial"/>
          <w:b/>
        </w:rPr>
        <w:t xml:space="preserve"> </w:t>
      </w:r>
      <w:r w:rsidR="00726B1B">
        <w:rPr>
          <w:rFonts w:cs="Arial"/>
          <w:b/>
        </w:rPr>
        <w:t>– top 5 odvětví;</w:t>
      </w:r>
      <w:r w:rsidR="00B45E10">
        <w:rPr>
          <w:rFonts w:cs="Arial"/>
          <w:b/>
        </w:rPr>
        <w:t xml:space="preserve"> 2022</w:t>
      </w:r>
      <w:r w:rsidR="00146523">
        <w:rPr>
          <w:rFonts w:cs="Arial"/>
          <w:b/>
          <w:noProof/>
        </w:rPr>
        <w:drawing>
          <wp:inline distT="0" distB="0" distL="0" distR="0" wp14:anchorId="4689F48B" wp14:editId="357751E3">
            <wp:extent cx="6218555" cy="1993265"/>
            <wp:effectExtent l="0" t="0" r="0" b="698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55" cy="199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0DD935" w14:textId="77777777" w:rsidR="00BE6C51" w:rsidRPr="00156D71" w:rsidRDefault="00BE6C51" w:rsidP="00BE6C51">
      <w:pPr>
        <w:spacing w:before="120" w:after="120" w:line="240" w:lineRule="auto"/>
        <w:rPr>
          <w:rFonts w:cs="Arial"/>
          <w:i/>
          <w:sz w:val="18"/>
          <w:szCs w:val="18"/>
        </w:rPr>
      </w:pPr>
      <w:r w:rsidRPr="00156D71">
        <w:rPr>
          <w:rFonts w:cs="Arial"/>
          <w:i/>
          <w:sz w:val="18"/>
          <w:szCs w:val="18"/>
        </w:rPr>
        <w:t xml:space="preserve">podíl na celkovém počtu podniků s 10 a více zaměstnanci </w:t>
      </w:r>
      <w:r>
        <w:rPr>
          <w:rFonts w:cs="Arial"/>
          <w:i/>
          <w:sz w:val="18"/>
          <w:szCs w:val="18"/>
        </w:rPr>
        <w:t>v</w:t>
      </w:r>
      <w:r w:rsidR="00B45E10">
        <w:rPr>
          <w:rFonts w:cs="Arial"/>
          <w:i/>
          <w:sz w:val="18"/>
          <w:szCs w:val="18"/>
        </w:rPr>
        <w:t> dané odvětvové skupině</w:t>
      </w:r>
    </w:p>
    <w:p w14:paraId="5252BF1D" w14:textId="77777777" w:rsidR="003D19CA" w:rsidRDefault="00747F53" w:rsidP="003D19CA">
      <w:pPr>
        <w:autoSpaceDE w:val="0"/>
        <w:autoSpaceDN w:val="0"/>
        <w:adjustRightInd w:val="0"/>
        <w:spacing w:after="0"/>
        <w:ind w:right="-1"/>
        <w:jc w:val="right"/>
        <w:rPr>
          <w:rFonts w:cs="Arial"/>
          <w:b/>
        </w:rPr>
      </w:pPr>
      <w:r w:rsidRPr="00E334D1">
        <w:rPr>
          <w:rFonts w:cs="Arial"/>
          <w:sz w:val="18"/>
          <w:szCs w:val="18"/>
        </w:rPr>
        <w:t>Zdroj: Český statistický úřad, 20</w:t>
      </w:r>
      <w:r>
        <w:rPr>
          <w:rFonts w:cs="Arial"/>
          <w:sz w:val="18"/>
          <w:szCs w:val="18"/>
        </w:rPr>
        <w:t>2</w:t>
      </w:r>
      <w:r w:rsidR="00B45E10">
        <w:rPr>
          <w:rFonts w:cs="Arial"/>
          <w:sz w:val="18"/>
          <w:szCs w:val="18"/>
        </w:rPr>
        <w:t>2</w:t>
      </w:r>
      <w:r w:rsidR="003D19CA">
        <w:rPr>
          <w:rFonts w:cs="Arial"/>
          <w:b/>
        </w:rPr>
        <w:br w:type="page"/>
      </w:r>
    </w:p>
    <w:p w14:paraId="4B7A94ED" w14:textId="144A6E83" w:rsidR="00434DEA" w:rsidRDefault="00434DEA" w:rsidP="00434DEA">
      <w:pPr>
        <w:spacing w:after="120" w:line="240" w:lineRule="auto"/>
        <w:rPr>
          <w:rFonts w:cs="Arial"/>
          <w:b/>
          <w:noProof/>
        </w:rPr>
      </w:pPr>
      <w:r>
        <w:rPr>
          <w:rFonts w:cs="Arial"/>
          <w:b/>
        </w:rPr>
        <w:lastRenderedPageBreak/>
        <w:t>Graf 1</w:t>
      </w:r>
      <w:r w:rsidRPr="000B070C">
        <w:rPr>
          <w:rFonts w:cs="Arial"/>
          <w:b/>
        </w:rPr>
        <w:t>.</w:t>
      </w:r>
      <w:r w:rsidR="00726B1B">
        <w:rPr>
          <w:rFonts w:cs="Arial"/>
          <w:b/>
        </w:rPr>
        <w:t>6</w:t>
      </w:r>
      <w:r w:rsidRPr="000B070C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 w:rsidRPr="00950485">
        <w:rPr>
          <w:rFonts w:cs="Arial"/>
          <w:b/>
        </w:rPr>
        <w:t>Podniky v zemích EU s</w:t>
      </w:r>
      <w:r w:rsidR="00726B1B">
        <w:rPr>
          <w:rFonts w:cs="Arial"/>
          <w:b/>
        </w:rPr>
        <w:t xml:space="preserve"> pevným </w:t>
      </w:r>
      <w:r w:rsidRPr="00950485">
        <w:rPr>
          <w:rFonts w:cs="Arial"/>
          <w:b/>
        </w:rPr>
        <w:t>připojením k</w:t>
      </w:r>
      <w:r w:rsidR="002E7427">
        <w:rPr>
          <w:rFonts w:cs="Arial"/>
          <w:b/>
        </w:rPr>
        <w:t> </w:t>
      </w:r>
      <w:r w:rsidRPr="00950485">
        <w:rPr>
          <w:rFonts w:cs="Arial"/>
          <w:b/>
        </w:rPr>
        <w:t>internetu</w:t>
      </w:r>
      <w:r w:rsidR="002E7427">
        <w:rPr>
          <w:rFonts w:cs="Arial"/>
          <w:b/>
        </w:rPr>
        <w:t>;</w:t>
      </w:r>
      <w:r w:rsidRPr="00950485">
        <w:rPr>
          <w:rFonts w:cs="Arial"/>
          <w:b/>
        </w:rPr>
        <w:t xml:space="preserve"> 202</w:t>
      </w:r>
      <w:r w:rsidR="00692A4E">
        <w:rPr>
          <w:rFonts w:cs="Arial"/>
          <w:b/>
        </w:rPr>
        <w:t>2</w:t>
      </w:r>
    </w:p>
    <w:p w14:paraId="51EC39C6" w14:textId="67F572CB" w:rsidR="002E7427" w:rsidRDefault="00726B1B" w:rsidP="00AC038A">
      <w:pPr>
        <w:autoSpaceDE w:val="0"/>
        <w:autoSpaceDN w:val="0"/>
        <w:adjustRightInd w:val="0"/>
        <w:spacing w:before="60" w:after="40"/>
        <w:jc w:val="both"/>
        <w:rPr>
          <w:rFonts w:cs="Arial"/>
          <w:i/>
          <w:sz w:val="18"/>
          <w:szCs w:val="18"/>
        </w:rPr>
      </w:pPr>
      <w:r>
        <w:rPr>
          <w:noProof/>
        </w:rPr>
        <w:drawing>
          <wp:inline distT="0" distB="0" distL="0" distR="0" wp14:anchorId="4E41B31B" wp14:editId="2D2F6C5B">
            <wp:extent cx="6105525" cy="3076575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EA7B827" w14:textId="77777777" w:rsidR="0058794C" w:rsidRDefault="0058794C" w:rsidP="00AC038A">
      <w:pPr>
        <w:autoSpaceDE w:val="0"/>
        <w:autoSpaceDN w:val="0"/>
        <w:adjustRightInd w:val="0"/>
        <w:spacing w:before="60" w:after="40"/>
        <w:jc w:val="both"/>
        <w:rPr>
          <w:rFonts w:cs="Arial"/>
          <w:i/>
          <w:sz w:val="18"/>
          <w:szCs w:val="18"/>
        </w:rPr>
      </w:pPr>
    </w:p>
    <w:p w14:paraId="565539E7" w14:textId="362FB10B" w:rsidR="00AC038A" w:rsidRDefault="00AC038A" w:rsidP="00AC038A">
      <w:pPr>
        <w:autoSpaceDE w:val="0"/>
        <w:autoSpaceDN w:val="0"/>
        <w:adjustRightInd w:val="0"/>
        <w:spacing w:before="60" w:after="40"/>
        <w:jc w:val="both"/>
        <w:rPr>
          <w:rFonts w:cs="Arial"/>
          <w:sz w:val="18"/>
          <w:szCs w:val="18"/>
        </w:rPr>
      </w:pPr>
      <w:r w:rsidRPr="00950485">
        <w:rPr>
          <w:rFonts w:cs="Arial"/>
          <w:i/>
          <w:sz w:val="18"/>
          <w:szCs w:val="18"/>
        </w:rPr>
        <w:t xml:space="preserve">podíl na celkovém počtu podniků s 10 a více zaměstnanci v dané </w:t>
      </w:r>
      <w:proofErr w:type="gramStart"/>
      <w:r w:rsidRPr="00950485">
        <w:rPr>
          <w:rFonts w:cs="Arial"/>
          <w:i/>
          <w:sz w:val="18"/>
          <w:szCs w:val="18"/>
        </w:rPr>
        <w:t>zemi                          z</w:t>
      </w:r>
      <w:r w:rsidRPr="00950485">
        <w:rPr>
          <w:rFonts w:cs="Arial"/>
          <w:sz w:val="18"/>
          <w:szCs w:val="18"/>
        </w:rPr>
        <w:t>droj</w:t>
      </w:r>
      <w:proofErr w:type="gramEnd"/>
      <w:r w:rsidRPr="00950485">
        <w:rPr>
          <w:rFonts w:cs="Arial"/>
          <w:sz w:val="18"/>
          <w:szCs w:val="18"/>
        </w:rPr>
        <w:t xml:space="preserve"> dat: </w:t>
      </w:r>
      <w:proofErr w:type="spellStart"/>
      <w:r w:rsidRPr="00950485">
        <w:rPr>
          <w:rFonts w:cs="Arial"/>
          <w:sz w:val="18"/>
          <w:szCs w:val="18"/>
        </w:rPr>
        <w:t>Eurostat</w:t>
      </w:r>
      <w:proofErr w:type="spellEnd"/>
      <w:r w:rsidRPr="00950485">
        <w:rPr>
          <w:rFonts w:cs="Arial"/>
          <w:sz w:val="18"/>
          <w:szCs w:val="18"/>
        </w:rPr>
        <w:t>, prosinec 202</w:t>
      </w:r>
      <w:r w:rsidR="00692A4E">
        <w:rPr>
          <w:rFonts w:cs="Arial"/>
          <w:sz w:val="18"/>
          <w:szCs w:val="18"/>
        </w:rPr>
        <w:t>2</w:t>
      </w:r>
    </w:p>
    <w:p w14:paraId="1E9B4543" w14:textId="37F7C7C6" w:rsidR="00AC038A" w:rsidRDefault="00AC038A" w:rsidP="00950485">
      <w:pPr>
        <w:spacing w:after="120" w:line="240" w:lineRule="auto"/>
        <w:rPr>
          <w:rFonts w:cs="Arial"/>
          <w:b/>
        </w:rPr>
      </w:pPr>
    </w:p>
    <w:p w14:paraId="37B7C215" w14:textId="77777777" w:rsidR="00726B1B" w:rsidRDefault="00726B1B" w:rsidP="00950485">
      <w:pPr>
        <w:spacing w:after="120" w:line="240" w:lineRule="auto"/>
        <w:rPr>
          <w:rFonts w:cs="Arial"/>
          <w:b/>
        </w:rPr>
      </w:pPr>
    </w:p>
    <w:p w14:paraId="1255A1B3" w14:textId="1B367C66" w:rsidR="00726B1B" w:rsidRDefault="00726B1B" w:rsidP="00726B1B">
      <w:pPr>
        <w:spacing w:after="120" w:line="240" w:lineRule="auto"/>
        <w:rPr>
          <w:rFonts w:cs="Arial"/>
          <w:b/>
        </w:rPr>
      </w:pPr>
      <w:r>
        <w:rPr>
          <w:rFonts w:cs="Arial"/>
          <w:b/>
        </w:rPr>
        <w:t>Graf 1</w:t>
      </w:r>
      <w:r w:rsidRPr="000B070C">
        <w:rPr>
          <w:rFonts w:cs="Arial"/>
          <w:b/>
        </w:rPr>
        <w:t>.</w:t>
      </w:r>
      <w:r>
        <w:rPr>
          <w:rFonts w:cs="Arial"/>
          <w:b/>
        </w:rPr>
        <w:t>7</w:t>
      </w:r>
      <w:r w:rsidRPr="000B070C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 w:rsidRPr="00950485">
        <w:rPr>
          <w:rFonts w:cs="Arial"/>
          <w:b/>
        </w:rPr>
        <w:t>Podniky v zemích EU s</w:t>
      </w:r>
      <w:r>
        <w:rPr>
          <w:rFonts w:cs="Arial"/>
          <w:b/>
        </w:rPr>
        <w:t> </w:t>
      </w:r>
      <w:r w:rsidRPr="00950485">
        <w:rPr>
          <w:rFonts w:cs="Arial"/>
          <w:b/>
        </w:rPr>
        <w:t>připojením k</w:t>
      </w:r>
      <w:r>
        <w:rPr>
          <w:rFonts w:cs="Arial"/>
          <w:b/>
        </w:rPr>
        <w:t> </w:t>
      </w:r>
      <w:r w:rsidRPr="00950485">
        <w:rPr>
          <w:rFonts w:cs="Arial"/>
          <w:b/>
        </w:rPr>
        <w:t>internetu</w:t>
      </w:r>
      <w:r>
        <w:rPr>
          <w:rFonts w:cs="Arial"/>
          <w:b/>
        </w:rPr>
        <w:t xml:space="preserve"> přes mobilní sítě</w:t>
      </w:r>
      <w:r w:rsidR="00504E22">
        <w:rPr>
          <w:rFonts w:cs="Arial"/>
          <w:b/>
        </w:rPr>
        <w:t>*</w:t>
      </w:r>
      <w:r>
        <w:rPr>
          <w:rFonts w:cs="Arial"/>
          <w:b/>
        </w:rPr>
        <w:t>;</w:t>
      </w:r>
      <w:r w:rsidRPr="00950485">
        <w:rPr>
          <w:rFonts w:cs="Arial"/>
          <w:b/>
        </w:rPr>
        <w:t xml:space="preserve"> 202</w:t>
      </w:r>
      <w:r>
        <w:rPr>
          <w:rFonts w:cs="Arial"/>
          <w:b/>
        </w:rPr>
        <w:t>2</w:t>
      </w:r>
    </w:p>
    <w:p w14:paraId="250B2784" w14:textId="77777777" w:rsidR="00726B1B" w:rsidRDefault="00726B1B" w:rsidP="00726B1B">
      <w:pPr>
        <w:spacing w:after="120" w:line="240" w:lineRule="auto"/>
        <w:rPr>
          <w:rFonts w:cs="Arial"/>
          <w:b/>
          <w:noProof/>
        </w:rPr>
      </w:pPr>
    </w:p>
    <w:p w14:paraId="7A2906A6" w14:textId="39B7BD87" w:rsidR="00726B1B" w:rsidRDefault="00726B1B" w:rsidP="00726B1B">
      <w:pPr>
        <w:autoSpaceDE w:val="0"/>
        <w:autoSpaceDN w:val="0"/>
        <w:adjustRightInd w:val="0"/>
        <w:spacing w:before="60" w:after="40"/>
        <w:jc w:val="both"/>
        <w:rPr>
          <w:rFonts w:cs="Arial"/>
          <w:i/>
          <w:sz w:val="18"/>
          <w:szCs w:val="18"/>
        </w:rPr>
      </w:pPr>
      <w:r>
        <w:rPr>
          <w:noProof/>
        </w:rPr>
        <w:drawing>
          <wp:inline distT="0" distB="0" distL="0" distR="0" wp14:anchorId="58EEA561" wp14:editId="5A3EE828">
            <wp:extent cx="6181725" cy="3333750"/>
            <wp:effectExtent l="0" t="0" r="0" b="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85AD5FA" w14:textId="77777777" w:rsidR="00726B1B" w:rsidRDefault="00726B1B" w:rsidP="00726B1B">
      <w:pPr>
        <w:spacing w:after="120" w:line="240" w:lineRule="auto"/>
        <w:rPr>
          <w:rFonts w:cs="Arial"/>
          <w:i/>
          <w:sz w:val="18"/>
          <w:szCs w:val="18"/>
        </w:rPr>
      </w:pPr>
    </w:p>
    <w:p w14:paraId="72601E34" w14:textId="704F0085" w:rsidR="00726B1B" w:rsidRDefault="00504E22" w:rsidP="00504E22">
      <w:pPr>
        <w:spacing w:after="120" w:line="240" w:lineRule="auto"/>
        <w:rPr>
          <w:rFonts w:cs="Arial"/>
          <w:i/>
          <w:spacing w:val="-2"/>
          <w:sz w:val="18"/>
          <w:szCs w:val="18"/>
        </w:rPr>
      </w:pPr>
      <w:r w:rsidRPr="00504E22">
        <w:rPr>
          <w:rFonts w:cs="Arial"/>
          <w:i/>
          <w:spacing w:val="-2"/>
          <w:sz w:val="18"/>
          <w:szCs w:val="18"/>
        </w:rPr>
        <w:t xml:space="preserve">* jedná se o podniky, jejichž zaměstnanci mají přístup na internet přes mobilní sítě k pracovním účelům z přenosného zařízení jako je notebook, tablet nebo mobilní telefon, přičemž poplatky za internetové připojení alespoň zčásti hradí firma </w:t>
      </w:r>
    </w:p>
    <w:p w14:paraId="21D3DA37" w14:textId="62CF7F31" w:rsidR="00504E22" w:rsidRPr="00504E22" w:rsidRDefault="00504E22" w:rsidP="00504E22">
      <w:pPr>
        <w:spacing w:after="120" w:line="240" w:lineRule="auto"/>
        <w:rPr>
          <w:rFonts w:cs="Arial"/>
          <w:i/>
          <w:spacing w:val="-2"/>
          <w:sz w:val="18"/>
          <w:szCs w:val="18"/>
        </w:rPr>
      </w:pPr>
      <w:r>
        <w:rPr>
          <w:rFonts w:cs="Arial"/>
          <w:i/>
          <w:spacing w:val="-2"/>
          <w:sz w:val="18"/>
          <w:szCs w:val="18"/>
        </w:rPr>
        <w:t>Tento ukazatel byl v rámci šetření zařazen na dobrovolné bázi, proto nejsou dostupné údaje za všechny členské státy.</w:t>
      </w:r>
    </w:p>
    <w:p w14:paraId="59DE91D6" w14:textId="4FCFCFB4" w:rsidR="00726B1B" w:rsidRDefault="00726B1B" w:rsidP="00726B1B">
      <w:pPr>
        <w:spacing w:after="120" w:line="240" w:lineRule="auto"/>
        <w:rPr>
          <w:rFonts w:cs="Arial"/>
          <w:b/>
        </w:rPr>
      </w:pPr>
      <w:r w:rsidRPr="00950485">
        <w:rPr>
          <w:rFonts w:cs="Arial"/>
          <w:i/>
          <w:sz w:val="18"/>
          <w:szCs w:val="18"/>
        </w:rPr>
        <w:t xml:space="preserve">podíl na celkovém počtu podniků s 10 a více zaměstnanci v dané </w:t>
      </w:r>
      <w:proofErr w:type="gramStart"/>
      <w:r w:rsidRPr="00950485">
        <w:rPr>
          <w:rFonts w:cs="Arial"/>
          <w:i/>
          <w:sz w:val="18"/>
          <w:szCs w:val="18"/>
        </w:rPr>
        <w:t>zemi                          z</w:t>
      </w:r>
      <w:r w:rsidRPr="00950485">
        <w:rPr>
          <w:rFonts w:cs="Arial"/>
          <w:sz w:val="18"/>
          <w:szCs w:val="18"/>
        </w:rPr>
        <w:t>droj</w:t>
      </w:r>
      <w:proofErr w:type="gramEnd"/>
      <w:r w:rsidRPr="00950485">
        <w:rPr>
          <w:rFonts w:cs="Arial"/>
          <w:sz w:val="18"/>
          <w:szCs w:val="18"/>
        </w:rPr>
        <w:t xml:space="preserve"> dat: </w:t>
      </w:r>
      <w:proofErr w:type="spellStart"/>
      <w:r w:rsidRPr="00950485">
        <w:rPr>
          <w:rFonts w:cs="Arial"/>
          <w:sz w:val="18"/>
          <w:szCs w:val="18"/>
        </w:rPr>
        <w:t>Eurostat</w:t>
      </w:r>
      <w:proofErr w:type="spellEnd"/>
      <w:r w:rsidRPr="00950485">
        <w:rPr>
          <w:rFonts w:cs="Arial"/>
          <w:sz w:val="18"/>
          <w:szCs w:val="18"/>
        </w:rPr>
        <w:t>, prosinec 202</w:t>
      </w:r>
      <w:r>
        <w:rPr>
          <w:rFonts w:cs="Arial"/>
          <w:sz w:val="18"/>
          <w:szCs w:val="18"/>
        </w:rPr>
        <w:t>2</w:t>
      </w:r>
    </w:p>
    <w:sectPr w:rsidR="00726B1B" w:rsidSect="0073394A">
      <w:footerReference w:type="default" r:id="rId15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2F4A4" w14:textId="77777777" w:rsidR="005D06BA" w:rsidRDefault="005D06BA" w:rsidP="00E71A58">
      <w:r>
        <w:separator/>
      </w:r>
    </w:p>
  </w:endnote>
  <w:endnote w:type="continuationSeparator" w:id="0">
    <w:p w14:paraId="16A07CBD" w14:textId="77777777" w:rsidR="005D06BA" w:rsidRDefault="005D06BA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B9092" w14:textId="77777777" w:rsidR="00156D71" w:rsidRPr="00932443" w:rsidRDefault="00156D71" w:rsidP="00A418BC">
    <w:pPr>
      <w:pStyle w:val="Zpat"/>
      <w:rPr>
        <w:szCs w:val="16"/>
      </w:rPr>
    </w:pPr>
    <w:r w:rsidRPr="00932443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75BF4" w14:textId="77777777" w:rsidR="005D06BA" w:rsidRDefault="005D06BA" w:rsidP="00E71A58">
      <w:r>
        <w:separator/>
      </w:r>
    </w:p>
  </w:footnote>
  <w:footnote w:type="continuationSeparator" w:id="0">
    <w:p w14:paraId="660E4A1A" w14:textId="77777777" w:rsidR="005D06BA" w:rsidRDefault="005D06BA" w:rsidP="00E71A58">
      <w:r>
        <w:continuationSeparator/>
      </w:r>
    </w:p>
  </w:footnote>
  <w:footnote w:id="1">
    <w:p w14:paraId="014B5AEF" w14:textId="59667D6E" w:rsidR="002E7427" w:rsidRPr="002C05D3" w:rsidRDefault="002E7427" w:rsidP="002E7427">
      <w:pPr>
        <w:pStyle w:val="Textpoznpodarou"/>
        <w:spacing w:after="0"/>
        <w:rPr>
          <w:rFonts w:ascii="Arial" w:hAnsi="Arial" w:cs="Arial"/>
          <w:sz w:val="16"/>
          <w:szCs w:val="16"/>
        </w:rPr>
      </w:pPr>
      <w:r w:rsidRPr="002E7427">
        <w:rPr>
          <w:rStyle w:val="Znakapoznpodarou"/>
          <w:rFonts w:ascii="Arial" w:hAnsi="Arial" w:cs="Arial"/>
          <w:sz w:val="16"/>
          <w:szCs w:val="16"/>
        </w:rPr>
        <w:footnoteRef/>
      </w:r>
      <w:r w:rsidRPr="002E7427">
        <w:rPr>
          <w:rFonts w:ascii="Arial" w:hAnsi="Arial" w:cs="Arial"/>
          <w:sz w:val="16"/>
          <w:szCs w:val="16"/>
        </w:rPr>
        <w:t xml:space="preserve"> Zdrojem dat pro mezinárodní srovnání je databáze </w:t>
      </w:r>
      <w:proofErr w:type="spellStart"/>
      <w:r w:rsidRPr="002E7427">
        <w:rPr>
          <w:rFonts w:ascii="Arial" w:hAnsi="Arial" w:cs="Arial"/>
          <w:sz w:val="16"/>
          <w:szCs w:val="16"/>
        </w:rPr>
        <w:t>Eurostatu</w:t>
      </w:r>
      <w:proofErr w:type="spellEnd"/>
      <w:r w:rsidRPr="002E7427">
        <w:rPr>
          <w:rFonts w:ascii="Arial" w:hAnsi="Arial" w:cs="Arial"/>
          <w:sz w:val="16"/>
          <w:szCs w:val="16"/>
        </w:rPr>
        <w:t xml:space="preserve">. Údaje v ní se vztahují k roku 2022: </w:t>
      </w:r>
      <w:hyperlink r:id="rId1" w:history="1">
        <w:r w:rsidRPr="002E7427">
          <w:rPr>
            <w:rStyle w:val="Hypertextovodkaz"/>
            <w:rFonts w:ascii="Arial" w:hAnsi="Arial" w:cs="Arial"/>
            <w:sz w:val="16"/>
            <w:szCs w:val="16"/>
          </w:rPr>
          <w:t xml:space="preserve">http://ec.europa.eu/eurostat/web/digital-economy-and-society/data/comprehensive-database 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7F720E"/>
    <w:multiLevelType w:val="hybridMultilevel"/>
    <w:tmpl w:val="DBEED0E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F4F20"/>
    <w:multiLevelType w:val="hybridMultilevel"/>
    <w:tmpl w:val="DBEED0E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EC"/>
    <w:rsid w:val="0000209D"/>
    <w:rsid w:val="00004D5A"/>
    <w:rsid w:val="000056D5"/>
    <w:rsid w:val="0000767A"/>
    <w:rsid w:val="00010702"/>
    <w:rsid w:val="000234D6"/>
    <w:rsid w:val="00023D29"/>
    <w:rsid w:val="00026363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65B3"/>
    <w:rsid w:val="000C2C20"/>
    <w:rsid w:val="000C3408"/>
    <w:rsid w:val="000C4570"/>
    <w:rsid w:val="000C6AFD"/>
    <w:rsid w:val="000D5637"/>
    <w:rsid w:val="000D7B4A"/>
    <w:rsid w:val="000E6044"/>
    <w:rsid w:val="000E6FBD"/>
    <w:rsid w:val="000F7770"/>
    <w:rsid w:val="00100F5C"/>
    <w:rsid w:val="00101B0D"/>
    <w:rsid w:val="00104C4C"/>
    <w:rsid w:val="00104DEB"/>
    <w:rsid w:val="0012192F"/>
    <w:rsid w:val="00125D69"/>
    <w:rsid w:val="00126150"/>
    <w:rsid w:val="001405FA"/>
    <w:rsid w:val="001425C3"/>
    <w:rsid w:val="00146523"/>
    <w:rsid w:val="00156D71"/>
    <w:rsid w:val="00156E2E"/>
    <w:rsid w:val="0016256B"/>
    <w:rsid w:val="00163793"/>
    <w:rsid w:val="00164DA1"/>
    <w:rsid w:val="001706D6"/>
    <w:rsid w:val="001714F2"/>
    <w:rsid w:val="00171691"/>
    <w:rsid w:val="00184B08"/>
    <w:rsid w:val="00185010"/>
    <w:rsid w:val="001A552F"/>
    <w:rsid w:val="001B2CA9"/>
    <w:rsid w:val="001B3110"/>
    <w:rsid w:val="001B4729"/>
    <w:rsid w:val="001B6C09"/>
    <w:rsid w:val="001C05CD"/>
    <w:rsid w:val="001C4144"/>
    <w:rsid w:val="001D005B"/>
    <w:rsid w:val="001D68B2"/>
    <w:rsid w:val="001F4597"/>
    <w:rsid w:val="002118B9"/>
    <w:rsid w:val="00217C5B"/>
    <w:rsid w:val="0022139E"/>
    <w:rsid w:val="002252E0"/>
    <w:rsid w:val="002255F6"/>
    <w:rsid w:val="00227850"/>
    <w:rsid w:val="00227A53"/>
    <w:rsid w:val="00230C6E"/>
    <w:rsid w:val="00236443"/>
    <w:rsid w:val="00242BEC"/>
    <w:rsid w:val="002436BA"/>
    <w:rsid w:val="00244A15"/>
    <w:rsid w:val="00247319"/>
    <w:rsid w:val="0024799E"/>
    <w:rsid w:val="00251B13"/>
    <w:rsid w:val="00253C0F"/>
    <w:rsid w:val="00271465"/>
    <w:rsid w:val="00281D6D"/>
    <w:rsid w:val="00285412"/>
    <w:rsid w:val="00287C71"/>
    <w:rsid w:val="002A16D4"/>
    <w:rsid w:val="002A230C"/>
    <w:rsid w:val="002B2785"/>
    <w:rsid w:val="002C0075"/>
    <w:rsid w:val="002C43BD"/>
    <w:rsid w:val="002D0E59"/>
    <w:rsid w:val="002D5FD4"/>
    <w:rsid w:val="002D786C"/>
    <w:rsid w:val="002E02A1"/>
    <w:rsid w:val="002E2495"/>
    <w:rsid w:val="002E4E4C"/>
    <w:rsid w:val="002E7427"/>
    <w:rsid w:val="00304771"/>
    <w:rsid w:val="003052D4"/>
    <w:rsid w:val="00306C5B"/>
    <w:rsid w:val="003171A0"/>
    <w:rsid w:val="00320135"/>
    <w:rsid w:val="003209D6"/>
    <w:rsid w:val="00321924"/>
    <w:rsid w:val="0032298C"/>
    <w:rsid w:val="003250F9"/>
    <w:rsid w:val="0032656E"/>
    <w:rsid w:val="00332190"/>
    <w:rsid w:val="003442FE"/>
    <w:rsid w:val="00344668"/>
    <w:rsid w:val="003462D9"/>
    <w:rsid w:val="00352E51"/>
    <w:rsid w:val="00360C86"/>
    <w:rsid w:val="003657F3"/>
    <w:rsid w:val="00377E00"/>
    <w:rsid w:val="003818DC"/>
    <w:rsid w:val="00384327"/>
    <w:rsid w:val="00385D98"/>
    <w:rsid w:val="00394351"/>
    <w:rsid w:val="003A2B4D"/>
    <w:rsid w:val="003A478C"/>
    <w:rsid w:val="003A5525"/>
    <w:rsid w:val="003A6B38"/>
    <w:rsid w:val="003B5A32"/>
    <w:rsid w:val="003C3490"/>
    <w:rsid w:val="003C4B0B"/>
    <w:rsid w:val="003D19CA"/>
    <w:rsid w:val="003D58CD"/>
    <w:rsid w:val="003D6920"/>
    <w:rsid w:val="003D7360"/>
    <w:rsid w:val="003E4C91"/>
    <w:rsid w:val="003F313C"/>
    <w:rsid w:val="003F4B2C"/>
    <w:rsid w:val="003F551C"/>
    <w:rsid w:val="003F7D23"/>
    <w:rsid w:val="004029DA"/>
    <w:rsid w:val="0040534F"/>
    <w:rsid w:val="00407C13"/>
    <w:rsid w:val="00410638"/>
    <w:rsid w:val="00432A58"/>
    <w:rsid w:val="00434617"/>
    <w:rsid w:val="00434DEA"/>
    <w:rsid w:val="00440900"/>
    <w:rsid w:val="004441A0"/>
    <w:rsid w:val="00453A1D"/>
    <w:rsid w:val="00460FB3"/>
    <w:rsid w:val="004743F4"/>
    <w:rsid w:val="00476240"/>
    <w:rsid w:val="00476439"/>
    <w:rsid w:val="0047735C"/>
    <w:rsid w:val="004776BC"/>
    <w:rsid w:val="0048139F"/>
    <w:rsid w:val="00481D8C"/>
    <w:rsid w:val="00481E40"/>
    <w:rsid w:val="00484ECE"/>
    <w:rsid w:val="004860D9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C17F9"/>
    <w:rsid w:val="004C384C"/>
    <w:rsid w:val="004C3867"/>
    <w:rsid w:val="004C4CD0"/>
    <w:rsid w:val="004C70DC"/>
    <w:rsid w:val="004D0211"/>
    <w:rsid w:val="004D0794"/>
    <w:rsid w:val="004F06F5"/>
    <w:rsid w:val="004F33A0"/>
    <w:rsid w:val="00504E22"/>
    <w:rsid w:val="005108C0"/>
    <w:rsid w:val="00511679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5599F"/>
    <w:rsid w:val="00556D68"/>
    <w:rsid w:val="005647BF"/>
    <w:rsid w:val="0057364B"/>
    <w:rsid w:val="00574773"/>
    <w:rsid w:val="005808CA"/>
    <w:rsid w:val="0058166E"/>
    <w:rsid w:val="00583FFD"/>
    <w:rsid w:val="0058794C"/>
    <w:rsid w:val="005911BE"/>
    <w:rsid w:val="00593152"/>
    <w:rsid w:val="005A0C8F"/>
    <w:rsid w:val="005A10F2"/>
    <w:rsid w:val="005A1CF6"/>
    <w:rsid w:val="005A21E0"/>
    <w:rsid w:val="005A28FF"/>
    <w:rsid w:val="005A3DF8"/>
    <w:rsid w:val="005A5549"/>
    <w:rsid w:val="005B121D"/>
    <w:rsid w:val="005C06ED"/>
    <w:rsid w:val="005D06BA"/>
    <w:rsid w:val="005D2F35"/>
    <w:rsid w:val="005D5802"/>
    <w:rsid w:val="005D7890"/>
    <w:rsid w:val="005E554D"/>
    <w:rsid w:val="005E7C78"/>
    <w:rsid w:val="005F3EB1"/>
    <w:rsid w:val="005F5469"/>
    <w:rsid w:val="005F7C53"/>
    <w:rsid w:val="00604307"/>
    <w:rsid w:val="0060487F"/>
    <w:rsid w:val="00604EAD"/>
    <w:rsid w:val="006104FB"/>
    <w:rsid w:val="006114D5"/>
    <w:rsid w:val="00612A2F"/>
    <w:rsid w:val="00616E05"/>
    <w:rsid w:val="00624093"/>
    <w:rsid w:val="006245FA"/>
    <w:rsid w:val="00636718"/>
    <w:rsid w:val="006404A7"/>
    <w:rsid w:val="006451E4"/>
    <w:rsid w:val="00645B33"/>
    <w:rsid w:val="006516CB"/>
    <w:rsid w:val="006550B4"/>
    <w:rsid w:val="0065652C"/>
    <w:rsid w:val="00657E87"/>
    <w:rsid w:val="00661B8C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2A4E"/>
    <w:rsid w:val="00695BEF"/>
    <w:rsid w:val="006977F6"/>
    <w:rsid w:val="00697A13"/>
    <w:rsid w:val="006A109C"/>
    <w:rsid w:val="006B115E"/>
    <w:rsid w:val="006B344A"/>
    <w:rsid w:val="006B78D8"/>
    <w:rsid w:val="006C113F"/>
    <w:rsid w:val="006C123E"/>
    <w:rsid w:val="006C1D68"/>
    <w:rsid w:val="006C56D4"/>
    <w:rsid w:val="006C6924"/>
    <w:rsid w:val="006C7CA6"/>
    <w:rsid w:val="006D3E8A"/>
    <w:rsid w:val="006D61F6"/>
    <w:rsid w:val="006E154D"/>
    <w:rsid w:val="006E25F7"/>
    <w:rsid w:val="006E279A"/>
    <w:rsid w:val="006E313B"/>
    <w:rsid w:val="006F5416"/>
    <w:rsid w:val="00703765"/>
    <w:rsid w:val="00706AD4"/>
    <w:rsid w:val="007076E4"/>
    <w:rsid w:val="007140BE"/>
    <w:rsid w:val="007211F5"/>
    <w:rsid w:val="00725BB5"/>
    <w:rsid w:val="00726B1B"/>
    <w:rsid w:val="00730AE8"/>
    <w:rsid w:val="0073394A"/>
    <w:rsid w:val="00741493"/>
    <w:rsid w:val="0074753F"/>
    <w:rsid w:val="00747F5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3BBA"/>
    <w:rsid w:val="0079453C"/>
    <w:rsid w:val="00794677"/>
    <w:rsid w:val="007A32A2"/>
    <w:rsid w:val="007B5BB8"/>
    <w:rsid w:val="007B6689"/>
    <w:rsid w:val="007C6224"/>
    <w:rsid w:val="007D40DF"/>
    <w:rsid w:val="007E7E61"/>
    <w:rsid w:val="007F0845"/>
    <w:rsid w:val="007F4B05"/>
    <w:rsid w:val="008035A5"/>
    <w:rsid w:val="00804849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028"/>
    <w:rsid w:val="00855408"/>
    <w:rsid w:val="00856D65"/>
    <w:rsid w:val="00857F85"/>
    <w:rsid w:val="00861B41"/>
    <w:rsid w:val="00863434"/>
    <w:rsid w:val="00865330"/>
    <w:rsid w:val="00865E4C"/>
    <w:rsid w:val="008701E4"/>
    <w:rsid w:val="00875A32"/>
    <w:rsid w:val="00876086"/>
    <w:rsid w:val="00884525"/>
    <w:rsid w:val="008873D4"/>
    <w:rsid w:val="00893E85"/>
    <w:rsid w:val="00894031"/>
    <w:rsid w:val="008A2B59"/>
    <w:rsid w:val="008B7C02"/>
    <w:rsid w:val="008B7D2B"/>
    <w:rsid w:val="008C0049"/>
    <w:rsid w:val="008C0E88"/>
    <w:rsid w:val="008D1E6A"/>
    <w:rsid w:val="008D2A16"/>
    <w:rsid w:val="008D3336"/>
    <w:rsid w:val="008E2C57"/>
    <w:rsid w:val="008E31FF"/>
    <w:rsid w:val="008E6F06"/>
    <w:rsid w:val="008F029B"/>
    <w:rsid w:val="008F3FC9"/>
    <w:rsid w:val="008F585B"/>
    <w:rsid w:val="009003A8"/>
    <w:rsid w:val="00900E50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330F"/>
    <w:rsid w:val="0094427A"/>
    <w:rsid w:val="00950485"/>
    <w:rsid w:val="00953645"/>
    <w:rsid w:val="00961623"/>
    <w:rsid w:val="00974923"/>
    <w:rsid w:val="00980D3D"/>
    <w:rsid w:val="00987A30"/>
    <w:rsid w:val="00992CF3"/>
    <w:rsid w:val="009930EF"/>
    <w:rsid w:val="009968D6"/>
    <w:rsid w:val="009A1CAB"/>
    <w:rsid w:val="009A60D1"/>
    <w:rsid w:val="009B6FD3"/>
    <w:rsid w:val="009B7B98"/>
    <w:rsid w:val="009C1750"/>
    <w:rsid w:val="009C2E29"/>
    <w:rsid w:val="009C554B"/>
    <w:rsid w:val="009C719E"/>
    <w:rsid w:val="009D3ACD"/>
    <w:rsid w:val="009E263A"/>
    <w:rsid w:val="009E5273"/>
    <w:rsid w:val="009E5DDB"/>
    <w:rsid w:val="009F4CA7"/>
    <w:rsid w:val="00A10D66"/>
    <w:rsid w:val="00A14114"/>
    <w:rsid w:val="00A15CBC"/>
    <w:rsid w:val="00A16413"/>
    <w:rsid w:val="00A23E43"/>
    <w:rsid w:val="00A30F65"/>
    <w:rsid w:val="00A418BC"/>
    <w:rsid w:val="00A4270E"/>
    <w:rsid w:val="00A44DB1"/>
    <w:rsid w:val="00A46DE0"/>
    <w:rsid w:val="00A470F9"/>
    <w:rsid w:val="00A50D73"/>
    <w:rsid w:val="00A52804"/>
    <w:rsid w:val="00A52CAD"/>
    <w:rsid w:val="00A53FC7"/>
    <w:rsid w:val="00A62CE1"/>
    <w:rsid w:val="00A6741E"/>
    <w:rsid w:val="00A67EDA"/>
    <w:rsid w:val="00A71C4A"/>
    <w:rsid w:val="00A75E40"/>
    <w:rsid w:val="00A77D1D"/>
    <w:rsid w:val="00A857C0"/>
    <w:rsid w:val="00A95A83"/>
    <w:rsid w:val="00AA2659"/>
    <w:rsid w:val="00AA2996"/>
    <w:rsid w:val="00AA52BF"/>
    <w:rsid w:val="00AA559A"/>
    <w:rsid w:val="00AB2AF1"/>
    <w:rsid w:val="00AC038A"/>
    <w:rsid w:val="00AC4E8F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5E10"/>
    <w:rsid w:val="00B46604"/>
    <w:rsid w:val="00B530CD"/>
    <w:rsid w:val="00B55F5E"/>
    <w:rsid w:val="00B5752E"/>
    <w:rsid w:val="00B63A11"/>
    <w:rsid w:val="00B64C24"/>
    <w:rsid w:val="00B6608F"/>
    <w:rsid w:val="00B679FB"/>
    <w:rsid w:val="00B72B56"/>
    <w:rsid w:val="00B74064"/>
    <w:rsid w:val="00B76D1E"/>
    <w:rsid w:val="00B80EC6"/>
    <w:rsid w:val="00B92D1D"/>
    <w:rsid w:val="00B938C5"/>
    <w:rsid w:val="00B95940"/>
    <w:rsid w:val="00BA3E45"/>
    <w:rsid w:val="00BB46F3"/>
    <w:rsid w:val="00BB4CB1"/>
    <w:rsid w:val="00BB4F98"/>
    <w:rsid w:val="00BB5A60"/>
    <w:rsid w:val="00BB7A28"/>
    <w:rsid w:val="00BC20EA"/>
    <w:rsid w:val="00BC7154"/>
    <w:rsid w:val="00BD366B"/>
    <w:rsid w:val="00BD6D50"/>
    <w:rsid w:val="00BE18B9"/>
    <w:rsid w:val="00BE19E0"/>
    <w:rsid w:val="00BE2495"/>
    <w:rsid w:val="00BE40B4"/>
    <w:rsid w:val="00BE6C51"/>
    <w:rsid w:val="00BF1578"/>
    <w:rsid w:val="00BF3A84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85B69"/>
    <w:rsid w:val="00C90CF4"/>
    <w:rsid w:val="00C92EB6"/>
    <w:rsid w:val="00C93389"/>
    <w:rsid w:val="00CA321C"/>
    <w:rsid w:val="00CA6665"/>
    <w:rsid w:val="00CB3F33"/>
    <w:rsid w:val="00CB4930"/>
    <w:rsid w:val="00CC2E7D"/>
    <w:rsid w:val="00CD10A5"/>
    <w:rsid w:val="00CD2076"/>
    <w:rsid w:val="00CE670B"/>
    <w:rsid w:val="00CF35C6"/>
    <w:rsid w:val="00CF51EC"/>
    <w:rsid w:val="00CF73AE"/>
    <w:rsid w:val="00D040DD"/>
    <w:rsid w:val="00D050FE"/>
    <w:rsid w:val="00D101AA"/>
    <w:rsid w:val="00D13986"/>
    <w:rsid w:val="00D235B7"/>
    <w:rsid w:val="00D25F28"/>
    <w:rsid w:val="00D27973"/>
    <w:rsid w:val="00D43B5B"/>
    <w:rsid w:val="00D50F46"/>
    <w:rsid w:val="00D66223"/>
    <w:rsid w:val="00D7397E"/>
    <w:rsid w:val="00D74601"/>
    <w:rsid w:val="00D8084C"/>
    <w:rsid w:val="00D837A0"/>
    <w:rsid w:val="00DA7C0C"/>
    <w:rsid w:val="00DB2EC8"/>
    <w:rsid w:val="00DC5B3B"/>
    <w:rsid w:val="00DD129F"/>
    <w:rsid w:val="00DD3BFD"/>
    <w:rsid w:val="00DF355B"/>
    <w:rsid w:val="00DF42FF"/>
    <w:rsid w:val="00E01C0E"/>
    <w:rsid w:val="00E01DC5"/>
    <w:rsid w:val="00E03F9A"/>
    <w:rsid w:val="00E04694"/>
    <w:rsid w:val="00E12B1E"/>
    <w:rsid w:val="00E17262"/>
    <w:rsid w:val="00E25121"/>
    <w:rsid w:val="00E253A2"/>
    <w:rsid w:val="00E3309D"/>
    <w:rsid w:val="00E41920"/>
    <w:rsid w:val="00E50156"/>
    <w:rsid w:val="00E53470"/>
    <w:rsid w:val="00E539F6"/>
    <w:rsid w:val="00E6519D"/>
    <w:rsid w:val="00E67696"/>
    <w:rsid w:val="00E71A58"/>
    <w:rsid w:val="00E72A2C"/>
    <w:rsid w:val="00E72A7A"/>
    <w:rsid w:val="00E75C94"/>
    <w:rsid w:val="00E92B58"/>
    <w:rsid w:val="00E93820"/>
    <w:rsid w:val="00EA0C68"/>
    <w:rsid w:val="00EA32BC"/>
    <w:rsid w:val="00EB4511"/>
    <w:rsid w:val="00EC03D7"/>
    <w:rsid w:val="00ED62C6"/>
    <w:rsid w:val="00ED64C1"/>
    <w:rsid w:val="00EE027F"/>
    <w:rsid w:val="00EE2D36"/>
    <w:rsid w:val="00EE3446"/>
    <w:rsid w:val="00EE3E78"/>
    <w:rsid w:val="00EE4B1B"/>
    <w:rsid w:val="00EF150D"/>
    <w:rsid w:val="00EF1B47"/>
    <w:rsid w:val="00EF1F5A"/>
    <w:rsid w:val="00EF302A"/>
    <w:rsid w:val="00EF47BF"/>
    <w:rsid w:val="00F04811"/>
    <w:rsid w:val="00F0488C"/>
    <w:rsid w:val="00F10F11"/>
    <w:rsid w:val="00F15AAA"/>
    <w:rsid w:val="00F15BEF"/>
    <w:rsid w:val="00F17923"/>
    <w:rsid w:val="00F23957"/>
    <w:rsid w:val="00F24407"/>
    <w:rsid w:val="00F24FAA"/>
    <w:rsid w:val="00F3364D"/>
    <w:rsid w:val="00F37AB4"/>
    <w:rsid w:val="00F437CC"/>
    <w:rsid w:val="00F441A6"/>
    <w:rsid w:val="00F47067"/>
    <w:rsid w:val="00F525EB"/>
    <w:rsid w:val="00F63DDE"/>
    <w:rsid w:val="00F63FB7"/>
    <w:rsid w:val="00F649D2"/>
    <w:rsid w:val="00F6602B"/>
    <w:rsid w:val="00F73A0C"/>
    <w:rsid w:val="00F756DB"/>
    <w:rsid w:val="00F85066"/>
    <w:rsid w:val="00FA5D4D"/>
    <w:rsid w:val="00FB0EE2"/>
    <w:rsid w:val="00FB542E"/>
    <w:rsid w:val="00FC0E5F"/>
    <w:rsid w:val="00FC1A49"/>
    <w:rsid w:val="00FC1A95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0085EE2B"/>
  <w15:docId w15:val="{9E7901D0-1F8B-418D-808C-2DB6BD00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65330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9BB4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865330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865330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86533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BB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65330"/>
    <w:rPr>
      <w:rFonts w:ascii="Arial" w:eastAsia="MS Gothic" w:hAnsi="Arial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865330"/>
    <w:rPr>
      <w:rFonts w:ascii="Arial" w:eastAsia="MS Gothic" w:hAnsi="Arial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865330"/>
    <w:rPr>
      <w:rFonts w:ascii="Arial" w:eastAsia="MS Gothic" w:hAnsi="Arial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865330"/>
    <w:rPr>
      <w:rFonts w:ascii="Arial" w:eastAsia="MS Gothic" w:hAnsi="Arial"/>
      <w:b/>
      <w:bCs/>
      <w:iCs/>
      <w:color w:val="009BB4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65330"/>
    <w:pPr>
      <w:spacing w:after="80" w:line="288" w:lineRule="auto"/>
    </w:pPr>
    <w:rPr>
      <w:rFonts w:ascii="Arial" w:eastAsia="Times New Roman" w:hAnsi="Arial"/>
      <w:b/>
      <w:color w:val="009BB4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865330"/>
    <w:pPr>
      <w:shd w:val="clear" w:color="auto" w:fill="D9F0F4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865330"/>
    <w:pPr>
      <w:spacing w:before="240" w:after="240" w:line="288" w:lineRule="auto"/>
      <w:ind w:left="709"/>
      <w:contextualSpacing/>
    </w:pPr>
    <w:rPr>
      <w:rFonts w:ascii="Arial" w:hAnsi="Arial" w:cs="Arial"/>
      <w:color w:val="009BB4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65330"/>
    <w:pPr>
      <w:spacing w:line="288" w:lineRule="auto"/>
    </w:pPr>
    <w:rPr>
      <w:rFonts w:ascii="Arial" w:eastAsia="Times New Roman" w:hAnsi="Arial"/>
      <w:b/>
      <w:bCs/>
      <w:caps/>
      <w:color w:val="009BB4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65330"/>
    <w:rPr>
      <w:rFonts w:ascii="Arial" w:eastAsia="Times New Roman" w:hAnsi="Arial"/>
      <w:b/>
      <w:bCs/>
      <w:caps/>
      <w:color w:val="009BB4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65330"/>
    <w:pPr>
      <w:spacing w:line="288" w:lineRule="auto"/>
    </w:pPr>
    <w:rPr>
      <w:rFonts w:ascii="Arial" w:eastAsia="Times New Roman" w:hAnsi="Arial" w:cs="Arial"/>
      <w:b/>
      <w:color w:val="009BB4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65330"/>
    <w:rPr>
      <w:rFonts w:ascii="Arial" w:eastAsia="Times New Roman" w:hAnsi="Arial" w:cs="Arial"/>
      <w:b/>
      <w:color w:val="009BB4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Zkladntext">
    <w:name w:val="Body Text"/>
    <w:basedOn w:val="Normln"/>
    <w:link w:val="ZkladntextChar"/>
    <w:semiHidden/>
    <w:rsid w:val="00251B13"/>
    <w:pPr>
      <w:spacing w:before="120" w:after="120" w:line="240" w:lineRule="auto"/>
      <w:ind w:right="-13"/>
      <w:jc w:val="both"/>
    </w:pPr>
    <w:rPr>
      <w:rFonts w:ascii="Times New Roman" w:hAnsi="Times New Roman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251B13"/>
    <w:rPr>
      <w:rFonts w:ascii="Times New Roman" w:eastAsia="Times New Roman" w:hAnsi="Times New Roman"/>
      <w:sz w:val="22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51B13"/>
    <w:pPr>
      <w:spacing w:after="200" w:line="276" w:lineRule="auto"/>
    </w:pPr>
    <w:rPr>
      <w:rFonts w:ascii="Times New Roman" w:eastAsia="Calibri" w:hAnsi="Times New Roman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1B13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251B13"/>
    <w:rPr>
      <w:vertAlign w:val="superscript"/>
    </w:rPr>
  </w:style>
  <w:style w:type="paragraph" w:styleId="Odstavecseseznamem">
    <w:name w:val="List Paragraph"/>
    <w:basedOn w:val="Normln"/>
    <w:uiPriority w:val="34"/>
    <w:rsid w:val="0002636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D58CD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050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50F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50FE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50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50FE"/>
    <w:rPr>
      <w:rFonts w:ascii="Arial" w:eastAsia="Times New Roman" w:hAnsi="Arial"/>
      <w:b/>
      <w:bCs/>
      <w:lang w:eastAsia="cs-CZ"/>
    </w:rPr>
  </w:style>
  <w:style w:type="paragraph" w:styleId="Revize">
    <w:name w:val="Revision"/>
    <w:hidden/>
    <w:uiPriority w:val="99"/>
    <w:semiHidden/>
    <w:rsid w:val="00A470F9"/>
    <w:rPr>
      <w:rFonts w:ascii="Arial" w:eastAsia="Times New Roman" w:hAnsi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urostat/web/digital-economy-and-society/data/comprehensive-database%20%2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resova4073\Downloads\Publikace%20bar%20CZ_veda%20IT_2017-08-14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resova4073\Documents\publikace\062005-22\pomocny_analyza_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resova4073\Documents\publikace\062005-22\pomocny_analyza_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459942507186599E-2"/>
          <c:y val="0.10693836764380356"/>
          <c:w val="0.94969779478499772"/>
          <c:h val="0.7176437219541105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9BB4"/>
            </a:solidFill>
            <a:ln w="25400">
              <a:noFill/>
            </a:ln>
          </c:spPr>
          <c:invertIfNegative val="0"/>
          <c:dPt>
            <c:idx val="4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1-3AA4-4D84-9ACB-B985BC6A1D9A}"/>
              </c:ext>
            </c:extLst>
          </c:dPt>
          <c:dPt>
            <c:idx val="6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3-3AA4-4D84-9ACB-B985BC6A1D9A}"/>
              </c:ext>
            </c:extLst>
          </c:dPt>
          <c:dPt>
            <c:idx val="10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5-3AA4-4D84-9ACB-B985BC6A1D9A}"/>
              </c:ext>
            </c:extLst>
          </c:dPt>
          <c:dPt>
            <c:idx val="11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7-3AA4-4D84-9ACB-B985BC6A1D9A}"/>
              </c:ext>
            </c:extLst>
          </c:dPt>
          <c:dPt>
            <c:idx val="12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9-3AA4-4D84-9ACB-B985BC6A1D9A}"/>
              </c:ext>
            </c:extLst>
          </c:dPt>
          <c:dPt>
            <c:idx val="13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B-3AA4-4D84-9ACB-B985BC6A1D9A}"/>
              </c:ext>
            </c:extLst>
          </c:dPt>
          <c:dPt>
            <c:idx val="14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D-3AA4-4D84-9ACB-B985BC6A1D9A}"/>
              </c:ext>
            </c:extLst>
          </c:dPt>
          <c:dPt>
            <c:idx val="15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F-3AA4-4D84-9ACB-B985BC6A1D9A}"/>
              </c:ext>
            </c:extLst>
          </c:dPt>
          <c:dPt>
            <c:idx val="16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1-3AA4-4D84-9ACB-B985BC6A1D9A}"/>
              </c:ext>
            </c:extLst>
          </c:dPt>
          <c:dPt>
            <c:idx val="18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3-3AA4-4D84-9ACB-B985BC6A1D9A}"/>
              </c:ext>
            </c:extLst>
          </c:dPt>
          <c:dPt>
            <c:idx val="19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5-3AA4-4D84-9ACB-B985BC6A1D9A}"/>
              </c:ext>
            </c:extLst>
          </c:dPt>
          <c:dPt>
            <c:idx val="20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7-3AA4-4D84-9ACB-B985BC6A1D9A}"/>
              </c:ext>
            </c:extLst>
          </c:dPt>
          <c:dPt>
            <c:idx val="21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9-3AA4-4D84-9ACB-B985BC6A1D9A}"/>
              </c:ext>
            </c:extLst>
          </c:dPt>
          <c:dPt>
            <c:idx val="22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B-3AA4-4D84-9ACB-B985BC6A1D9A}"/>
              </c:ext>
            </c:extLst>
          </c:dPt>
          <c:dPt>
            <c:idx val="24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D-3AA4-4D84-9ACB-B985BC6A1D9A}"/>
              </c:ext>
            </c:extLst>
          </c:dPt>
          <c:dLbls>
            <c:dLbl>
              <c:idx val="15"/>
              <c:spPr>
                <a:noFill/>
                <a:ln>
                  <a:noFill/>
                </a:ln>
                <a:effectLst/>
              </c:spPr>
              <c:txPr>
                <a:bodyPr rot="0" vert="horz"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AA4-4D84-9ACB-B985BC6A1D9A}"/>
                </c:ext>
              </c:extLst>
            </c:dLbl>
            <c:dLbl>
              <c:idx val="21"/>
              <c:spPr>
                <a:noFill/>
                <a:ln>
                  <a:noFill/>
                </a:ln>
                <a:effectLst/>
              </c:spPr>
              <c:txPr>
                <a:bodyPr rot="0" vert="horz"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3AA4-4D84-9ACB-B985BC6A1D9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internet!$A$155:$A$182</c:f>
              <c:strCache>
                <c:ptCount val="28"/>
                <c:pt idx="0">
                  <c:v>Dánsko</c:v>
                </c:pt>
                <c:pt idx="1">
                  <c:v>Itálie</c:v>
                </c:pt>
                <c:pt idx="2">
                  <c:v>Belgie</c:v>
                </c:pt>
                <c:pt idx="3">
                  <c:v>Německo</c:v>
                </c:pt>
                <c:pt idx="4">
                  <c:v>Finsko</c:v>
                </c:pt>
                <c:pt idx="5">
                  <c:v>Francie</c:v>
                </c:pt>
                <c:pt idx="6">
                  <c:v>Rumunsko</c:v>
                </c:pt>
                <c:pt idx="7">
                  <c:v>Nizozemsko</c:v>
                </c:pt>
                <c:pt idx="8">
                  <c:v>Lucembursko</c:v>
                </c:pt>
                <c:pt idx="9">
                  <c:v>Litva</c:v>
                </c:pt>
                <c:pt idx="10">
                  <c:v>Slovinsko</c:v>
                </c:pt>
                <c:pt idx="11">
                  <c:v>Portugalsko</c:v>
                </c:pt>
                <c:pt idx="12">
                  <c:v>Španělsko</c:v>
                </c:pt>
                <c:pt idx="13">
                  <c:v>Malta</c:v>
                </c:pt>
                <c:pt idx="14">
                  <c:v>Švédsko</c:v>
                </c:pt>
                <c:pt idx="15">
                  <c:v>EU27</c:v>
                </c:pt>
                <c:pt idx="16">
                  <c:v>Řecko</c:v>
                </c:pt>
                <c:pt idx="17">
                  <c:v>Estonsko</c:v>
                </c:pt>
                <c:pt idx="18">
                  <c:v>Kypr</c:v>
                </c:pt>
                <c:pt idx="19">
                  <c:v>Irsko</c:v>
                </c:pt>
                <c:pt idx="20">
                  <c:v>Slovensko</c:v>
                </c:pt>
                <c:pt idx="21">
                  <c:v>Česko</c:v>
                </c:pt>
                <c:pt idx="22">
                  <c:v>Bulharsko</c:v>
                </c:pt>
                <c:pt idx="23">
                  <c:v>Chorvatsko</c:v>
                </c:pt>
                <c:pt idx="24">
                  <c:v>Maďarsko</c:v>
                </c:pt>
                <c:pt idx="25">
                  <c:v>Rakousko</c:v>
                </c:pt>
                <c:pt idx="26">
                  <c:v>Polsko</c:v>
                </c:pt>
                <c:pt idx="27">
                  <c:v>Lotyšsko</c:v>
                </c:pt>
              </c:strCache>
            </c:strRef>
          </c:cat>
          <c:val>
            <c:numRef>
              <c:f>internet!$B$155:$B$182</c:f>
              <c:numCache>
                <c:formatCode>0%</c:formatCode>
                <c:ptCount val="28"/>
                <c:pt idx="0">
                  <c:v>1</c:v>
                </c:pt>
                <c:pt idx="1">
                  <c:v>0.97572000000000003</c:v>
                </c:pt>
                <c:pt idx="2">
                  <c:v>0.96655899999999995</c:v>
                </c:pt>
                <c:pt idx="3">
                  <c:v>0.96588600000000002</c:v>
                </c:pt>
                <c:pt idx="4">
                  <c:v>0.96582199999999996</c:v>
                </c:pt>
                <c:pt idx="5">
                  <c:v>0.96575299999999997</c:v>
                </c:pt>
                <c:pt idx="6">
                  <c:v>0.96524299999999996</c:v>
                </c:pt>
                <c:pt idx="7">
                  <c:v>0.964943</c:v>
                </c:pt>
                <c:pt idx="8">
                  <c:v>0.95093399999999995</c:v>
                </c:pt>
                <c:pt idx="9">
                  <c:v>0.95065299999999997</c:v>
                </c:pt>
                <c:pt idx="10">
                  <c:v>0.95061099999999998</c:v>
                </c:pt>
                <c:pt idx="11">
                  <c:v>0.950492</c:v>
                </c:pt>
                <c:pt idx="12">
                  <c:v>0.94987100000000002</c:v>
                </c:pt>
                <c:pt idx="13">
                  <c:v>0.94899800000000001</c:v>
                </c:pt>
                <c:pt idx="14">
                  <c:v>0.94294</c:v>
                </c:pt>
                <c:pt idx="15">
                  <c:v>0.94176700000000002</c:v>
                </c:pt>
                <c:pt idx="16">
                  <c:v>0.93978200000000001</c:v>
                </c:pt>
                <c:pt idx="17">
                  <c:v>0.93782900000000002</c:v>
                </c:pt>
                <c:pt idx="18">
                  <c:v>0.919292</c:v>
                </c:pt>
                <c:pt idx="19">
                  <c:v>0.89920800000000001</c:v>
                </c:pt>
                <c:pt idx="20">
                  <c:v>0.89410400000000001</c:v>
                </c:pt>
                <c:pt idx="21">
                  <c:v>0.89150499999999999</c:v>
                </c:pt>
                <c:pt idx="22">
                  <c:v>0.89130900000000002</c:v>
                </c:pt>
                <c:pt idx="23">
                  <c:v>0.86474099999999998</c:v>
                </c:pt>
                <c:pt idx="24">
                  <c:v>0.85547700000000004</c:v>
                </c:pt>
                <c:pt idx="25">
                  <c:v>0.84622900000000001</c:v>
                </c:pt>
                <c:pt idx="26">
                  <c:v>0.84181899999999998</c:v>
                </c:pt>
                <c:pt idx="27">
                  <c:v>0.77070099999999997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3AA4-4D84-9ACB-B985BC6A1D9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176426368"/>
        <c:axId val="176432256"/>
      </c:barChart>
      <c:catAx>
        <c:axId val="176426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868686"/>
            </a:solidFill>
            <a:prstDash val="solid"/>
          </a:ln>
        </c:spPr>
        <c:txPr>
          <a:bodyPr rot="-5400000" vert="horz"/>
          <a:lstStyle/>
          <a:p>
            <a:pPr>
              <a:defRPr/>
            </a:pPr>
            <a:endParaRPr lang="cs-CZ"/>
          </a:p>
        </c:txPr>
        <c:crossAx val="176432256"/>
        <c:crosses val="autoZero"/>
        <c:auto val="1"/>
        <c:lblAlgn val="ctr"/>
        <c:lblOffset val="100"/>
        <c:noMultiLvlLbl val="0"/>
      </c:catAx>
      <c:valAx>
        <c:axId val="176432256"/>
        <c:scaling>
          <c:orientation val="minMax"/>
          <c:max val="1"/>
          <c:min val="0"/>
        </c:scaling>
        <c:delete val="0"/>
        <c:axPos val="l"/>
        <c:majorGridlines>
          <c:spPr>
            <a:ln w="6350">
              <a:solidFill>
                <a:srgbClr val="A6A6A6">
                  <a:alpha val="34000"/>
                </a:srgbClr>
              </a:solidFill>
              <a:prstDash val="dash"/>
            </a:ln>
          </c:spPr>
        </c:majorGridlines>
        <c:numFmt formatCode="0%" sourceLinked="1"/>
        <c:majorTickMark val="out"/>
        <c:minorTickMark val="none"/>
        <c:tickLblPos val="nextTo"/>
        <c:spPr>
          <a:ln w="9525">
            <a:solidFill>
              <a:srgbClr val="868686"/>
            </a:solidFill>
          </a:ln>
        </c:spPr>
        <c:txPr>
          <a:bodyPr/>
          <a:lstStyle/>
          <a:p>
            <a:pPr>
              <a:defRPr sz="700"/>
            </a:pPr>
            <a:endParaRPr lang="cs-CZ"/>
          </a:p>
        </c:txPr>
        <c:crossAx val="176426368"/>
        <c:crosses val="autoZero"/>
        <c:crossBetween val="between"/>
        <c:majorUnit val="0.25"/>
      </c:valAx>
      <c:spPr>
        <a:noFill/>
        <a:ln w="12700">
          <a:noFill/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459942507186599E-2"/>
          <c:y val="3.6052227648759094E-2"/>
          <c:w val="0.94969779478499772"/>
          <c:h val="0.773458254427057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9BB4"/>
            </a:solidFill>
            <a:ln w="25400">
              <a:noFill/>
            </a:ln>
          </c:spPr>
          <c:invertIfNegative val="0"/>
          <c:dPt>
            <c:idx val="4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1-E2D1-4B95-BE4E-0B748CA06064}"/>
              </c:ext>
            </c:extLst>
          </c:dPt>
          <c:dPt>
            <c:idx val="6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3-E2D1-4B95-BE4E-0B748CA06064}"/>
              </c:ext>
            </c:extLst>
          </c:dPt>
          <c:dPt>
            <c:idx val="10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5-E2D1-4B95-BE4E-0B748CA06064}"/>
              </c:ext>
            </c:extLst>
          </c:dPt>
          <c:dPt>
            <c:idx val="11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7-E2D1-4B95-BE4E-0B748CA06064}"/>
              </c:ext>
            </c:extLst>
          </c:dPt>
          <c:dPt>
            <c:idx val="12"/>
            <c:invertIfNegative val="0"/>
            <c:bubble3D val="0"/>
            <c:spPr>
              <a:solidFill>
                <a:srgbClr val="47E5FF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9-E2D1-4B95-BE4E-0B748CA06064}"/>
              </c:ext>
            </c:extLst>
          </c:dPt>
          <c:dPt>
            <c:idx val="13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B-E2D1-4B95-BE4E-0B748CA06064}"/>
              </c:ext>
            </c:extLst>
          </c:dPt>
          <c:dPt>
            <c:idx val="14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D-E2D1-4B95-BE4E-0B748CA06064}"/>
              </c:ext>
            </c:extLst>
          </c:dPt>
          <c:dPt>
            <c:idx val="15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F-E2D1-4B95-BE4E-0B748CA06064}"/>
              </c:ext>
            </c:extLst>
          </c:dPt>
          <c:dPt>
            <c:idx val="16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1-E2D1-4B95-BE4E-0B748CA06064}"/>
              </c:ext>
            </c:extLst>
          </c:dPt>
          <c:dPt>
            <c:idx val="18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3-E2D1-4B95-BE4E-0B748CA06064}"/>
              </c:ext>
            </c:extLst>
          </c:dPt>
          <c:dPt>
            <c:idx val="19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5-E2D1-4B95-BE4E-0B748CA06064}"/>
              </c:ext>
            </c:extLst>
          </c:dPt>
          <c:dPt>
            <c:idx val="20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7-E2D1-4B95-BE4E-0B748CA06064}"/>
              </c:ext>
            </c:extLst>
          </c:dPt>
          <c:dPt>
            <c:idx val="21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9-E2D1-4B95-BE4E-0B748CA06064}"/>
              </c:ext>
            </c:extLst>
          </c:dPt>
          <c:dPt>
            <c:idx val="22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B-E2D1-4B95-BE4E-0B748CA06064}"/>
              </c:ext>
            </c:extLst>
          </c:dPt>
          <c:dPt>
            <c:idx val="24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D-E2D1-4B95-BE4E-0B748CA06064}"/>
              </c:ext>
            </c:extLst>
          </c:dPt>
          <c:dLbls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2D1-4B95-BE4E-0B748CA06064}"/>
                </c:ext>
              </c:extLst>
            </c:dLbl>
            <c:dLbl>
              <c:idx val="1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2D1-4B95-BE4E-0B748CA0606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internet!$A$185:$A$206</c:f>
              <c:strCache>
                <c:ptCount val="22"/>
                <c:pt idx="0">
                  <c:v>Švédsko</c:v>
                </c:pt>
                <c:pt idx="1">
                  <c:v>Litva</c:v>
                </c:pt>
                <c:pt idx="2">
                  <c:v>Polsko</c:v>
                </c:pt>
                <c:pt idx="3">
                  <c:v>Slovinsko</c:v>
                </c:pt>
                <c:pt idx="4">
                  <c:v>Česko</c:v>
                </c:pt>
                <c:pt idx="5">
                  <c:v>Lotyšsko</c:v>
                </c:pt>
                <c:pt idx="6">
                  <c:v>Španělsko</c:v>
                </c:pt>
                <c:pt idx="7">
                  <c:v>Rakousko</c:v>
                </c:pt>
                <c:pt idx="8">
                  <c:v>Německo</c:v>
                </c:pt>
                <c:pt idx="9">
                  <c:v>Estonsko</c:v>
                </c:pt>
                <c:pt idx="10">
                  <c:v>Malta</c:v>
                </c:pt>
                <c:pt idx="11">
                  <c:v>Kypr</c:v>
                </c:pt>
                <c:pt idx="12">
                  <c:v>EU27</c:v>
                </c:pt>
                <c:pt idx="13">
                  <c:v>Portugalsko</c:v>
                </c:pt>
                <c:pt idx="14">
                  <c:v>Irsko</c:v>
                </c:pt>
                <c:pt idx="15">
                  <c:v>Nizozemsko</c:v>
                </c:pt>
                <c:pt idx="16">
                  <c:v>Maďarsko</c:v>
                </c:pt>
                <c:pt idx="17">
                  <c:v>Lucembursko</c:v>
                </c:pt>
                <c:pt idx="18">
                  <c:v>Bulharsko</c:v>
                </c:pt>
                <c:pt idx="19">
                  <c:v>Rumunsko</c:v>
                </c:pt>
                <c:pt idx="20">
                  <c:v>Slovensko</c:v>
                </c:pt>
                <c:pt idx="21">
                  <c:v>Řecko</c:v>
                </c:pt>
              </c:strCache>
            </c:strRef>
          </c:cat>
          <c:val>
            <c:numRef>
              <c:f>internet!$B$185:$B$206</c:f>
              <c:numCache>
                <c:formatCode>0%</c:formatCode>
                <c:ptCount val="22"/>
                <c:pt idx="0">
                  <c:v>0.97688600000000003</c:v>
                </c:pt>
                <c:pt idx="1">
                  <c:v>0.93744300000000003</c:v>
                </c:pt>
                <c:pt idx="2">
                  <c:v>0.91854000000000002</c:v>
                </c:pt>
                <c:pt idx="3">
                  <c:v>0.90111200000000002</c:v>
                </c:pt>
                <c:pt idx="4">
                  <c:v>0.89585899999999996</c:v>
                </c:pt>
                <c:pt idx="5">
                  <c:v>0.88117999999999996</c:v>
                </c:pt>
                <c:pt idx="6">
                  <c:v>0.87325600000000003</c:v>
                </c:pt>
                <c:pt idx="7">
                  <c:v>0.87212199999999995</c:v>
                </c:pt>
                <c:pt idx="8">
                  <c:v>0.871556</c:v>
                </c:pt>
                <c:pt idx="9">
                  <c:v>0.87090699999999999</c:v>
                </c:pt>
                <c:pt idx="10">
                  <c:v>0.86279799999999995</c:v>
                </c:pt>
                <c:pt idx="11">
                  <c:v>0.85879300000000003</c:v>
                </c:pt>
                <c:pt idx="12">
                  <c:v>0.85779399999999995</c:v>
                </c:pt>
                <c:pt idx="13">
                  <c:v>0.85702500000000004</c:v>
                </c:pt>
                <c:pt idx="14">
                  <c:v>0.81255999999999995</c:v>
                </c:pt>
                <c:pt idx="15">
                  <c:v>0.80146899999999999</c:v>
                </c:pt>
                <c:pt idx="16">
                  <c:v>0.80042899999999995</c:v>
                </c:pt>
                <c:pt idx="17">
                  <c:v>0.78252100000000002</c:v>
                </c:pt>
                <c:pt idx="18">
                  <c:v>0.78087300000000004</c:v>
                </c:pt>
                <c:pt idx="19">
                  <c:v>0.76186900000000002</c:v>
                </c:pt>
                <c:pt idx="20">
                  <c:v>0.68610899999999997</c:v>
                </c:pt>
                <c:pt idx="21">
                  <c:v>0.68510499999999996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E2D1-4B95-BE4E-0B748CA0606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176426368"/>
        <c:axId val="176432256"/>
      </c:barChart>
      <c:catAx>
        <c:axId val="176426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868686"/>
            </a:solidFill>
            <a:prstDash val="solid"/>
          </a:ln>
        </c:spPr>
        <c:txPr>
          <a:bodyPr rot="-5400000" vert="horz"/>
          <a:lstStyle/>
          <a:p>
            <a:pPr>
              <a:defRPr/>
            </a:pPr>
            <a:endParaRPr lang="cs-CZ"/>
          </a:p>
        </c:txPr>
        <c:crossAx val="176432256"/>
        <c:crosses val="autoZero"/>
        <c:auto val="1"/>
        <c:lblAlgn val="ctr"/>
        <c:lblOffset val="100"/>
        <c:noMultiLvlLbl val="0"/>
      </c:catAx>
      <c:valAx>
        <c:axId val="176432256"/>
        <c:scaling>
          <c:orientation val="minMax"/>
          <c:max val="1"/>
          <c:min val="0"/>
        </c:scaling>
        <c:delete val="0"/>
        <c:axPos val="l"/>
        <c:majorGridlines>
          <c:spPr>
            <a:ln w="6350">
              <a:solidFill>
                <a:srgbClr val="A6A6A6">
                  <a:alpha val="34000"/>
                </a:srgbClr>
              </a:solidFill>
              <a:prstDash val="dash"/>
            </a:ln>
          </c:spPr>
        </c:majorGridlines>
        <c:numFmt formatCode="0%" sourceLinked="1"/>
        <c:majorTickMark val="out"/>
        <c:minorTickMark val="none"/>
        <c:tickLblPos val="nextTo"/>
        <c:spPr>
          <a:ln w="9525">
            <a:solidFill>
              <a:srgbClr val="868686"/>
            </a:solidFill>
          </a:ln>
        </c:spPr>
        <c:txPr>
          <a:bodyPr/>
          <a:lstStyle/>
          <a:p>
            <a:pPr>
              <a:defRPr sz="700"/>
            </a:pPr>
            <a:endParaRPr lang="cs-CZ"/>
          </a:p>
        </c:txPr>
        <c:crossAx val="176426368"/>
        <c:crosses val="autoZero"/>
        <c:crossBetween val="between"/>
        <c:majorUnit val="0.25"/>
      </c:valAx>
      <c:spPr>
        <a:noFill/>
        <a:ln w="12700">
          <a:noFill/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26CE9-8442-40FE-873C-34B00C4C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CZ_veda IT_2017-08-14.dotx</Template>
  <TotalTime>889</TotalTime>
  <Pages>5</Pages>
  <Words>1399</Words>
  <Characters>8256</Characters>
  <Application>Microsoft Office Word</Application>
  <DocSecurity>0</DocSecurity>
  <Lines>68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9636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Burešová</dc:creator>
  <cp:keywords/>
  <dc:description/>
  <cp:lastModifiedBy>Burešová Kamila</cp:lastModifiedBy>
  <cp:revision>52</cp:revision>
  <cp:lastPrinted>2023-01-10T15:35:00Z</cp:lastPrinted>
  <dcterms:created xsi:type="dcterms:W3CDTF">2022-10-17T10:12:00Z</dcterms:created>
  <dcterms:modified xsi:type="dcterms:W3CDTF">2023-01-16T10:18:00Z</dcterms:modified>
  <cp:category/>
</cp:coreProperties>
</file>