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949B1" w14:textId="77777777" w:rsidR="00B8548A" w:rsidRPr="00D8339D" w:rsidRDefault="00B8548A" w:rsidP="00B8548A">
      <w:pPr>
        <w:pStyle w:val="Nadpis8"/>
        <w:spacing w:after="120" w:line="233" w:lineRule="auto"/>
        <w:rPr>
          <w:rStyle w:val="Siln"/>
          <w:rFonts w:cs="Arial"/>
          <w:b/>
          <w:bCs/>
        </w:rPr>
      </w:pPr>
      <w:r>
        <w:rPr>
          <w:rStyle w:val="Siln"/>
          <w:rFonts w:cs="Arial"/>
          <w:b/>
          <w:bCs/>
        </w:rPr>
        <w:t>ZMĚNY ÚZEMNÍ STRUKTURY</w:t>
      </w:r>
    </w:p>
    <w:p w14:paraId="7D8CD7F3" w14:textId="77777777" w:rsidR="003F0A24" w:rsidRDefault="00571410" w:rsidP="00B8548A">
      <w:pPr>
        <w:pStyle w:val="Zkladntext3"/>
        <w:spacing w:after="120"/>
        <w:rPr>
          <w:rFonts w:cs="Arial"/>
          <w:szCs w:val="20"/>
        </w:rPr>
      </w:pPr>
      <w:r w:rsidRPr="00073DE6">
        <w:rPr>
          <w:rFonts w:cs="Arial"/>
          <w:b/>
          <w:szCs w:val="20"/>
        </w:rPr>
        <w:t xml:space="preserve">K </w:t>
      </w:r>
      <w:r w:rsidR="00D8339D" w:rsidRPr="00073DE6">
        <w:rPr>
          <w:rFonts w:cs="Arial"/>
          <w:b/>
          <w:szCs w:val="20"/>
        </w:rPr>
        <w:t>1.</w:t>
      </w:r>
      <w:r w:rsidRPr="00073DE6">
        <w:rPr>
          <w:rFonts w:cs="Arial"/>
          <w:b/>
          <w:szCs w:val="20"/>
        </w:rPr>
        <w:t> </w:t>
      </w:r>
      <w:r w:rsidR="00D8339D" w:rsidRPr="00073DE6">
        <w:rPr>
          <w:rFonts w:cs="Arial"/>
          <w:b/>
          <w:szCs w:val="20"/>
        </w:rPr>
        <w:t>1.</w:t>
      </w:r>
      <w:r w:rsidRPr="00073DE6">
        <w:rPr>
          <w:rFonts w:cs="Arial"/>
          <w:b/>
          <w:szCs w:val="20"/>
        </w:rPr>
        <w:t> </w:t>
      </w:r>
      <w:r w:rsidR="00D8339D" w:rsidRPr="00073DE6">
        <w:rPr>
          <w:rFonts w:cs="Arial"/>
          <w:b/>
          <w:szCs w:val="20"/>
        </w:rPr>
        <w:t>2021</w:t>
      </w:r>
      <w:r w:rsidR="00D8339D">
        <w:rPr>
          <w:rFonts w:cs="Arial"/>
          <w:szCs w:val="20"/>
        </w:rPr>
        <w:t xml:space="preserve"> nabyl účinnosti </w:t>
      </w:r>
      <w:r w:rsidR="00D8339D" w:rsidRPr="004363BE">
        <w:rPr>
          <w:rFonts w:cs="Arial"/>
          <w:b/>
          <w:szCs w:val="20"/>
        </w:rPr>
        <w:t>zákon č. 51/2020 Sb., o</w:t>
      </w:r>
      <w:r>
        <w:rPr>
          <w:rFonts w:cs="Arial"/>
          <w:b/>
          <w:szCs w:val="20"/>
        </w:rPr>
        <w:t> </w:t>
      </w:r>
      <w:r w:rsidR="00D8339D" w:rsidRPr="004363BE">
        <w:rPr>
          <w:rFonts w:cs="Arial"/>
          <w:b/>
          <w:szCs w:val="20"/>
        </w:rPr>
        <w:t>územně správním členění státu</w:t>
      </w:r>
      <w:r w:rsidR="00D8339D" w:rsidRPr="00D8339D">
        <w:rPr>
          <w:rFonts w:cs="Arial"/>
          <w:szCs w:val="20"/>
        </w:rPr>
        <w:t xml:space="preserve"> a o</w:t>
      </w:r>
      <w:r>
        <w:rPr>
          <w:rFonts w:cs="Arial"/>
          <w:szCs w:val="20"/>
        </w:rPr>
        <w:t> </w:t>
      </w:r>
      <w:r w:rsidR="00D8339D" w:rsidRPr="00D8339D">
        <w:rPr>
          <w:rFonts w:cs="Arial"/>
          <w:szCs w:val="20"/>
        </w:rPr>
        <w:t xml:space="preserve">změně souvisejících zákonů ze dne 29. ledna 2020 </w:t>
      </w:r>
      <w:r w:rsidR="00D8339D">
        <w:rPr>
          <w:rFonts w:cs="Arial"/>
          <w:szCs w:val="20"/>
        </w:rPr>
        <w:t>(</w:t>
      </w:r>
      <w:r w:rsidR="00D8339D" w:rsidRPr="00D8339D">
        <w:rPr>
          <w:rFonts w:cs="Arial"/>
          <w:szCs w:val="20"/>
        </w:rPr>
        <w:t>zveřejněn v částce 22/2020 Sb</w:t>
      </w:r>
      <w:r w:rsidR="0003704E">
        <w:rPr>
          <w:rFonts w:cs="Arial"/>
          <w:szCs w:val="20"/>
        </w:rPr>
        <w:t>.</w:t>
      </w:r>
      <w:r w:rsidR="00D8339D">
        <w:rPr>
          <w:rFonts w:cs="Arial"/>
          <w:szCs w:val="20"/>
        </w:rPr>
        <w:t>)</w:t>
      </w:r>
      <w:r w:rsidR="00D8339D" w:rsidRPr="00D8339D">
        <w:rPr>
          <w:rFonts w:cs="Arial"/>
          <w:szCs w:val="20"/>
        </w:rPr>
        <w:t xml:space="preserve">. </w:t>
      </w:r>
      <w:r w:rsidR="00D8339D">
        <w:rPr>
          <w:rFonts w:cs="Arial"/>
          <w:szCs w:val="20"/>
        </w:rPr>
        <w:t>V</w:t>
      </w:r>
      <w:r w:rsidR="0003704E">
        <w:rPr>
          <w:rFonts w:cs="Arial"/>
          <w:szCs w:val="20"/>
        </w:rPr>
        <w:t> návaznosti na tento zákon a</w:t>
      </w:r>
      <w:r>
        <w:rPr>
          <w:rFonts w:cs="Arial"/>
          <w:szCs w:val="20"/>
        </w:rPr>
        <w:t> </w:t>
      </w:r>
      <w:r w:rsidR="0003704E">
        <w:rPr>
          <w:rFonts w:cs="Arial"/>
          <w:szCs w:val="20"/>
        </w:rPr>
        <w:t xml:space="preserve">Vyhlášku </w:t>
      </w:r>
      <w:r w:rsidR="0003704E" w:rsidRPr="0003704E">
        <w:rPr>
          <w:rFonts w:cs="Arial"/>
          <w:szCs w:val="20"/>
        </w:rPr>
        <w:t>č.</w:t>
      </w:r>
      <w:r w:rsidR="0003704E">
        <w:rPr>
          <w:rFonts w:cs="Arial"/>
          <w:szCs w:val="20"/>
        </w:rPr>
        <w:t> </w:t>
      </w:r>
      <w:r w:rsidR="0003704E" w:rsidRPr="0003704E">
        <w:rPr>
          <w:rFonts w:cs="Arial"/>
          <w:szCs w:val="20"/>
        </w:rPr>
        <w:t>346/2020 Sb., o stanovení správních obvodů obcí s rozšířenou působností, území obvodů hlavního města Prahy a příslušnosti některých obcí do jiného okresu ze dne 28. července 2020</w:t>
      </w:r>
      <w:r w:rsidR="0003704E">
        <w:rPr>
          <w:rFonts w:cs="Arial"/>
          <w:szCs w:val="20"/>
        </w:rPr>
        <w:t>,</w:t>
      </w:r>
      <w:r w:rsidR="00D8339D">
        <w:rPr>
          <w:rFonts w:cs="Arial"/>
          <w:szCs w:val="20"/>
        </w:rPr>
        <w:t xml:space="preserve"> došlo ke</w:t>
      </w:r>
      <w:r w:rsidR="00B46946">
        <w:rPr>
          <w:rFonts w:cs="Arial"/>
          <w:szCs w:val="20"/>
        </w:rPr>
        <w:t> </w:t>
      </w:r>
      <w:r w:rsidR="00D8339D">
        <w:rPr>
          <w:rFonts w:cs="Arial"/>
          <w:szCs w:val="20"/>
        </w:rPr>
        <w:t>změně územního vymezení několika okresů a několika správních obvodů s rozšířenou působností (území krajů zůstalo nezměněno</w:t>
      </w:r>
      <w:r w:rsidR="003F0A24">
        <w:rPr>
          <w:rFonts w:cs="Arial"/>
          <w:szCs w:val="20"/>
        </w:rPr>
        <w:t>)</w:t>
      </w:r>
      <w:r w:rsidR="00D8339D">
        <w:rPr>
          <w:rFonts w:cs="Arial"/>
          <w:szCs w:val="20"/>
        </w:rPr>
        <w:t>.</w:t>
      </w:r>
    </w:p>
    <w:p w14:paraId="1F457E83" w14:textId="77777777" w:rsidR="004363BE" w:rsidRDefault="004363BE" w:rsidP="004363BE">
      <w:pPr>
        <w:pStyle w:val="Zkladntext3"/>
        <w:spacing w:after="120"/>
        <w:rPr>
          <w:rFonts w:cs="Arial"/>
          <w:szCs w:val="20"/>
        </w:rPr>
      </w:pPr>
      <w:r>
        <w:rPr>
          <w:rFonts w:cs="Arial"/>
          <w:szCs w:val="20"/>
        </w:rPr>
        <w:t xml:space="preserve">Z pohledu </w:t>
      </w:r>
      <w:r w:rsidRPr="004363BE">
        <w:rPr>
          <w:rFonts w:cs="Arial"/>
          <w:b/>
          <w:szCs w:val="20"/>
        </w:rPr>
        <w:t>okresů</w:t>
      </w:r>
      <w:r>
        <w:rPr>
          <w:rFonts w:cs="Arial"/>
          <w:szCs w:val="20"/>
        </w:rPr>
        <w:t xml:space="preserve"> došlo </w:t>
      </w:r>
      <w:r w:rsidR="00D97DDB">
        <w:rPr>
          <w:rFonts w:cs="Arial"/>
          <w:szCs w:val="20"/>
        </w:rPr>
        <w:t xml:space="preserve">ve Středočeském kraji </w:t>
      </w:r>
      <w:r w:rsidR="00571410">
        <w:rPr>
          <w:rFonts w:cs="Arial"/>
          <w:szCs w:val="20"/>
        </w:rPr>
        <w:t xml:space="preserve">k </w:t>
      </w:r>
      <w:r w:rsidR="003F0A24">
        <w:rPr>
          <w:rFonts w:cs="Arial"/>
          <w:szCs w:val="20"/>
        </w:rPr>
        <w:t>přesunu</w:t>
      </w:r>
      <w:r>
        <w:rPr>
          <w:rFonts w:cs="Arial"/>
          <w:szCs w:val="20"/>
        </w:rPr>
        <w:t xml:space="preserve"> 1 obce</w:t>
      </w:r>
      <w:r w:rsidR="003F0A24" w:rsidRPr="003F0A24">
        <w:rPr>
          <w:rFonts w:cs="Arial"/>
          <w:szCs w:val="20"/>
        </w:rPr>
        <w:t xml:space="preserve"> z okresu Nymburk do okresu Kolín</w:t>
      </w:r>
      <w:r>
        <w:rPr>
          <w:rFonts w:cs="Arial"/>
          <w:szCs w:val="20"/>
        </w:rPr>
        <w:t xml:space="preserve">, </w:t>
      </w:r>
      <w:r w:rsidR="00D97DDB">
        <w:rPr>
          <w:rFonts w:cs="Arial"/>
          <w:szCs w:val="20"/>
        </w:rPr>
        <w:t xml:space="preserve">v Plzeňském kraji </w:t>
      </w:r>
      <w:r w:rsidR="003F0A24" w:rsidRPr="003F0A24">
        <w:rPr>
          <w:rFonts w:cs="Arial"/>
          <w:szCs w:val="20"/>
        </w:rPr>
        <w:t>9 obcí z okresu Domažlice do okresu Plzeň-jih</w:t>
      </w:r>
      <w:r>
        <w:rPr>
          <w:rFonts w:cs="Arial"/>
          <w:szCs w:val="20"/>
        </w:rPr>
        <w:t xml:space="preserve">, </w:t>
      </w:r>
      <w:r w:rsidR="00D97DDB">
        <w:rPr>
          <w:rFonts w:cs="Arial"/>
          <w:szCs w:val="20"/>
        </w:rPr>
        <w:t xml:space="preserve">v Libereckém kraji </w:t>
      </w:r>
      <w:r>
        <w:rPr>
          <w:rFonts w:cs="Arial"/>
          <w:szCs w:val="20"/>
        </w:rPr>
        <w:t>1</w:t>
      </w:r>
      <w:r w:rsidR="003F0A24" w:rsidRPr="003F0A24">
        <w:rPr>
          <w:rFonts w:cs="Arial"/>
          <w:szCs w:val="20"/>
        </w:rPr>
        <w:t xml:space="preserve"> obc</w:t>
      </w:r>
      <w:r>
        <w:rPr>
          <w:rFonts w:cs="Arial"/>
          <w:szCs w:val="20"/>
        </w:rPr>
        <w:t>e</w:t>
      </w:r>
      <w:r w:rsidR="00D97DDB">
        <w:rPr>
          <w:rFonts w:cs="Arial"/>
          <w:szCs w:val="20"/>
        </w:rPr>
        <w:t xml:space="preserve"> </w:t>
      </w:r>
      <w:r w:rsidR="003F0A24" w:rsidRPr="003F0A24">
        <w:rPr>
          <w:rFonts w:cs="Arial"/>
          <w:szCs w:val="20"/>
        </w:rPr>
        <w:t>z okresu Semily do okresu Jablonec nad Nisou</w:t>
      </w:r>
      <w:r>
        <w:rPr>
          <w:rFonts w:cs="Arial"/>
          <w:szCs w:val="20"/>
        </w:rPr>
        <w:t xml:space="preserve"> a ve</w:t>
      </w:r>
      <w:r w:rsidR="00D97DDB">
        <w:rPr>
          <w:rFonts w:cs="Arial"/>
          <w:szCs w:val="20"/>
        </w:rPr>
        <w:t xml:space="preserve"> Zlínském </w:t>
      </w:r>
      <w:r>
        <w:rPr>
          <w:rFonts w:cs="Arial"/>
          <w:szCs w:val="20"/>
        </w:rPr>
        <w:t xml:space="preserve">kraji </w:t>
      </w:r>
      <w:r w:rsidR="009A48BD">
        <w:rPr>
          <w:rFonts w:cs="Arial"/>
          <w:szCs w:val="20"/>
        </w:rPr>
        <w:t>2</w:t>
      </w:r>
      <w:r w:rsidR="00D97DDB" w:rsidRPr="00D97DDB">
        <w:rPr>
          <w:rFonts w:cs="Arial"/>
          <w:szCs w:val="20"/>
        </w:rPr>
        <w:t xml:space="preserve"> obc</w:t>
      </w:r>
      <w:r>
        <w:rPr>
          <w:rFonts w:cs="Arial"/>
          <w:szCs w:val="20"/>
        </w:rPr>
        <w:t>í</w:t>
      </w:r>
      <w:r w:rsidR="00D97DDB" w:rsidRPr="00D97DDB">
        <w:rPr>
          <w:rFonts w:cs="Arial"/>
          <w:szCs w:val="20"/>
        </w:rPr>
        <w:t xml:space="preserve"> z okresu Vsetín do okresu Zlín</w:t>
      </w:r>
      <w:r>
        <w:rPr>
          <w:rFonts w:cs="Arial"/>
          <w:szCs w:val="20"/>
        </w:rPr>
        <w:t>.</w:t>
      </w:r>
    </w:p>
    <w:p w14:paraId="48133D88" w14:textId="77777777" w:rsidR="004363BE" w:rsidRDefault="00D97DDB" w:rsidP="004363BE">
      <w:pPr>
        <w:pStyle w:val="Zkladntext3"/>
        <w:spacing w:after="120"/>
        <w:rPr>
          <w:bCs/>
          <w:szCs w:val="20"/>
        </w:rPr>
      </w:pPr>
      <w:r>
        <w:rPr>
          <w:rFonts w:cs="Arial"/>
          <w:szCs w:val="20"/>
        </w:rPr>
        <w:t xml:space="preserve">Ve </w:t>
      </w:r>
      <w:r w:rsidRPr="004363BE">
        <w:rPr>
          <w:rFonts w:cs="Arial"/>
          <w:b/>
          <w:szCs w:val="20"/>
        </w:rPr>
        <w:t>správních obvodech obcí s rozšířenou působností</w:t>
      </w:r>
      <w:r>
        <w:rPr>
          <w:rFonts w:cs="Arial"/>
          <w:szCs w:val="20"/>
        </w:rPr>
        <w:t xml:space="preserve"> </w:t>
      </w:r>
      <w:r w:rsidR="004363BE">
        <w:rPr>
          <w:rFonts w:cs="Arial"/>
          <w:szCs w:val="20"/>
        </w:rPr>
        <w:t xml:space="preserve">(SO ORP) byly přesunuty </w:t>
      </w:r>
      <w:r>
        <w:rPr>
          <w:rFonts w:cs="Arial"/>
          <w:szCs w:val="20"/>
        </w:rPr>
        <w:t xml:space="preserve">ve Středočeském kraji </w:t>
      </w:r>
      <w:r w:rsidRPr="00D97DDB">
        <w:rPr>
          <w:rFonts w:cs="Arial"/>
          <w:szCs w:val="20"/>
        </w:rPr>
        <w:t>3</w:t>
      </w:r>
      <w:r w:rsidR="004363BE">
        <w:rPr>
          <w:rFonts w:cs="Arial"/>
          <w:szCs w:val="20"/>
        </w:rPr>
        <w:t> </w:t>
      </w:r>
      <w:r w:rsidRPr="00D97DDB">
        <w:rPr>
          <w:rFonts w:cs="Arial"/>
          <w:szCs w:val="20"/>
        </w:rPr>
        <w:t xml:space="preserve">obce </w:t>
      </w:r>
      <w:r w:rsidR="004363BE">
        <w:rPr>
          <w:rFonts w:cs="Arial"/>
          <w:szCs w:val="20"/>
        </w:rPr>
        <w:t>z</w:t>
      </w:r>
      <w:r w:rsidRPr="00D97DDB">
        <w:rPr>
          <w:rFonts w:cs="Arial"/>
          <w:szCs w:val="20"/>
        </w:rPr>
        <w:t xml:space="preserve"> SO ORP Český Brod do</w:t>
      </w:r>
      <w:r w:rsidR="009A48BD">
        <w:rPr>
          <w:rFonts w:cs="Arial"/>
          <w:szCs w:val="20"/>
        </w:rPr>
        <w:t> </w:t>
      </w:r>
      <w:r w:rsidRPr="00D97DDB">
        <w:rPr>
          <w:rFonts w:cs="Arial"/>
          <w:szCs w:val="20"/>
        </w:rPr>
        <w:t>SO</w:t>
      </w:r>
      <w:r w:rsidR="009A48BD">
        <w:rPr>
          <w:rFonts w:cs="Arial"/>
          <w:szCs w:val="20"/>
        </w:rPr>
        <w:t> </w:t>
      </w:r>
      <w:r w:rsidRPr="00D97DDB">
        <w:rPr>
          <w:rFonts w:cs="Arial"/>
          <w:szCs w:val="20"/>
        </w:rPr>
        <w:t>ORP Lysá nad Labem</w:t>
      </w:r>
      <w:r w:rsidR="004363BE">
        <w:rPr>
          <w:rFonts w:cs="Arial"/>
          <w:szCs w:val="20"/>
        </w:rPr>
        <w:t xml:space="preserve">, </w:t>
      </w:r>
      <w:r w:rsidR="009A48BD">
        <w:rPr>
          <w:rFonts w:cs="Arial"/>
          <w:szCs w:val="20"/>
        </w:rPr>
        <w:t xml:space="preserve">v Libereckém kraji </w:t>
      </w:r>
      <w:r w:rsidRPr="00D97DDB">
        <w:rPr>
          <w:rFonts w:cs="Arial"/>
          <w:szCs w:val="20"/>
        </w:rPr>
        <w:t>1 obec</w:t>
      </w:r>
      <w:r w:rsidR="009A48BD">
        <w:rPr>
          <w:rFonts w:cs="Arial"/>
          <w:szCs w:val="20"/>
        </w:rPr>
        <w:t xml:space="preserve"> </w:t>
      </w:r>
      <w:r w:rsidRPr="00D97DDB">
        <w:rPr>
          <w:rFonts w:cs="Arial"/>
          <w:szCs w:val="20"/>
        </w:rPr>
        <w:t>z SO ORP Turnov do</w:t>
      </w:r>
      <w:r w:rsidR="004363BE">
        <w:rPr>
          <w:rFonts w:cs="Arial"/>
          <w:szCs w:val="20"/>
        </w:rPr>
        <w:t> </w:t>
      </w:r>
      <w:r w:rsidRPr="00D97DDB">
        <w:rPr>
          <w:rFonts w:cs="Arial"/>
          <w:szCs w:val="20"/>
        </w:rPr>
        <w:t>SO ORP Jablonec nad Nisou</w:t>
      </w:r>
      <w:r w:rsidR="004363BE">
        <w:rPr>
          <w:rFonts w:cs="Arial"/>
          <w:szCs w:val="20"/>
        </w:rPr>
        <w:t xml:space="preserve"> a v</w:t>
      </w:r>
      <w:r w:rsidR="009A48BD" w:rsidRPr="009F442E">
        <w:rPr>
          <w:rFonts w:cs="Arial"/>
          <w:szCs w:val="20"/>
        </w:rPr>
        <w:t xml:space="preserve"> Kraji Vysočina </w:t>
      </w:r>
      <w:r w:rsidRPr="009F442E">
        <w:rPr>
          <w:rFonts w:cs="Arial"/>
          <w:szCs w:val="20"/>
        </w:rPr>
        <w:t>1 obec</w:t>
      </w:r>
      <w:r w:rsidR="009A48BD" w:rsidRPr="009F442E">
        <w:rPr>
          <w:rFonts w:cs="Arial"/>
          <w:szCs w:val="20"/>
        </w:rPr>
        <w:t xml:space="preserve"> (</w:t>
      </w:r>
      <w:r w:rsidRPr="009F442E">
        <w:rPr>
          <w:bCs/>
          <w:szCs w:val="20"/>
        </w:rPr>
        <w:t>z SO ORP Jihlava do SO ORP Havlíčkův Brod</w:t>
      </w:r>
      <w:r w:rsidR="00571410">
        <w:rPr>
          <w:bCs/>
          <w:szCs w:val="20"/>
        </w:rPr>
        <w:t>)</w:t>
      </w:r>
      <w:r w:rsidR="004363BE">
        <w:rPr>
          <w:bCs/>
          <w:szCs w:val="20"/>
        </w:rPr>
        <w:t>.</w:t>
      </w:r>
    </w:p>
    <w:p w14:paraId="252C715C" w14:textId="77777777" w:rsidR="00B35AF9" w:rsidRDefault="00B35AF9" w:rsidP="00073DE6">
      <w:pPr>
        <w:pStyle w:val="Zkladntext3"/>
        <w:spacing w:after="120"/>
        <w:rPr>
          <w:rFonts w:cs="Arial"/>
          <w:spacing w:val="-4"/>
          <w:szCs w:val="20"/>
        </w:rPr>
      </w:pPr>
      <w:r w:rsidRPr="0031466D">
        <w:rPr>
          <w:rFonts w:cs="Arial"/>
          <w:b/>
          <w:spacing w:val="-4"/>
          <w:szCs w:val="20"/>
        </w:rPr>
        <w:t>K 1. 1</w:t>
      </w:r>
      <w:r w:rsidR="003F7EF0" w:rsidRPr="0031466D">
        <w:rPr>
          <w:rFonts w:cs="Arial"/>
          <w:b/>
          <w:spacing w:val="-4"/>
          <w:szCs w:val="20"/>
        </w:rPr>
        <w:t>.</w:t>
      </w:r>
      <w:r w:rsidRPr="0031466D">
        <w:rPr>
          <w:rFonts w:cs="Arial"/>
          <w:b/>
          <w:spacing w:val="-4"/>
          <w:szCs w:val="20"/>
        </w:rPr>
        <w:t xml:space="preserve"> 2023</w:t>
      </w:r>
      <w:r w:rsidRPr="0031466D">
        <w:rPr>
          <w:rFonts w:cs="Arial"/>
          <w:spacing w:val="-4"/>
          <w:szCs w:val="20"/>
        </w:rPr>
        <w:t xml:space="preserve"> došlo v Olomouckém kraji k přesunu 1 obce (Přemyslovice) z SO ORP Prostějov do SO OPR Konice.</w:t>
      </w:r>
    </w:p>
    <w:p w14:paraId="5A33A8F5" w14:textId="35025BF2" w:rsidR="00910530" w:rsidRDefault="00D86779" w:rsidP="00073DE6">
      <w:pPr>
        <w:pStyle w:val="Zkladntext3"/>
        <w:spacing w:after="120"/>
        <w:rPr>
          <w:rFonts w:cs="Arial"/>
          <w:spacing w:val="-4"/>
          <w:szCs w:val="20"/>
        </w:rPr>
      </w:pPr>
      <w:r>
        <w:t xml:space="preserve">Při poslední územní změně </w:t>
      </w:r>
      <w:proofErr w:type="gramStart"/>
      <w:r>
        <w:t>s</w:t>
      </w:r>
      <w:proofErr w:type="gramEnd"/>
      <w:r>
        <w:t xml:space="preserve"> účinnosti od 1. 1. 2026 došlo k přesunu obce </w:t>
      </w:r>
      <w:r w:rsidR="00D3196E">
        <w:t>Libomyšl (531448) z SO ORP Hořovice do SO ORP Beroun, obce Velký Třebešov (574589) z SO ORP Jaroměř do SO ORP Náchod a obce Bohuňovice (500852) z SO ORP Olomouc do SO ORP Šternberk.</w:t>
      </w:r>
    </w:p>
    <w:p w14:paraId="33D52835" w14:textId="5D7029FD" w:rsidR="00CF5AA4" w:rsidRDefault="00CF5AA4" w:rsidP="00D63EC6">
      <w:pPr>
        <w:pStyle w:val="Zkladntext3"/>
        <w:rPr>
          <w:rFonts w:cs="Arial"/>
          <w:szCs w:val="20"/>
        </w:rPr>
      </w:pPr>
      <w:r>
        <w:rPr>
          <w:rFonts w:cs="Arial"/>
          <w:szCs w:val="20"/>
        </w:rPr>
        <w:t xml:space="preserve">Všechny údaje jsou ve statistických bulletinech zásadně publikovány </w:t>
      </w:r>
      <w:r w:rsidRPr="00CF5AA4">
        <w:rPr>
          <w:rFonts w:cs="Arial"/>
          <w:b/>
          <w:szCs w:val="20"/>
        </w:rPr>
        <w:t>v územní struktuře platné v příslušném roce</w:t>
      </w:r>
      <w:r>
        <w:rPr>
          <w:rFonts w:cs="Arial"/>
          <w:szCs w:val="20"/>
        </w:rPr>
        <w:t>. Při posuzování dat v meziročním vývoji je proto nutno změny území zohlednit.</w:t>
      </w:r>
    </w:p>
    <w:p w14:paraId="3307A441" w14:textId="6B241768" w:rsidR="00D63EC6" w:rsidRDefault="00D63EC6" w:rsidP="00D63EC6">
      <w:pPr>
        <w:pStyle w:val="Zkladntext3"/>
        <w:rPr>
          <w:rFonts w:cs="Arial"/>
          <w:szCs w:val="20"/>
        </w:rPr>
      </w:pPr>
    </w:p>
    <w:p w14:paraId="62A2D436" w14:textId="77777777" w:rsidR="00D63EC6" w:rsidRPr="00D63EC6" w:rsidRDefault="00D63EC6" w:rsidP="00D63EC6">
      <w:pPr>
        <w:pStyle w:val="Zkladntext3"/>
        <w:rPr>
          <w:rStyle w:val="Siln"/>
          <w:rFonts w:cs="Arial"/>
          <w:b w:val="0"/>
          <w:bCs w:val="0"/>
          <w:szCs w:val="20"/>
        </w:rPr>
      </w:pPr>
    </w:p>
    <w:p w14:paraId="13743C51" w14:textId="77777777" w:rsidR="001613CD" w:rsidRPr="00C63FAD" w:rsidRDefault="001613CD" w:rsidP="00E271D6">
      <w:pPr>
        <w:pStyle w:val="Nadpis8"/>
        <w:spacing w:after="120" w:line="233" w:lineRule="auto"/>
        <w:rPr>
          <w:rStyle w:val="Siln"/>
          <w:rFonts w:cs="Arial"/>
        </w:rPr>
      </w:pPr>
      <w:r w:rsidRPr="00C63FAD">
        <w:rPr>
          <w:rStyle w:val="Siln"/>
          <w:rFonts w:cs="Arial"/>
          <w:b/>
          <w:bCs/>
        </w:rPr>
        <w:t>OBYVATELSTVO</w:t>
      </w:r>
      <w:r w:rsidRPr="00C63FAD">
        <w:rPr>
          <w:rStyle w:val="Siln"/>
          <w:rFonts w:cs="Arial"/>
        </w:rPr>
        <w:t xml:space="preserve"> </w:t>
      </w:r>
    </w:p>
    <w:p w14:paraId="6D3AB8B4" w14:textId="70103899" w:rsidR="00073DE6" w:rsidRPr="00073DE6" w:rsidRDefault="00073DE6" w:rsidP="00073DE6">
      <w:pPr>
        <w:pStyle w:val="Zkladntext3"/>
        <w:spacing w:after="120"/>
        <w:rPr>
          <w:rFonts w:cs="Arial"/>
          <w:szCs w:val="20"/>
        </w:rPr>
      </w:pPr>
      <w:r w:rsidRPr="00073DE6">
        <w:rPr>
          <w:rFonts w:cs="Arial"/>
          <w:szCs w:val="20"/>
        </w:rPr>
        <w:t xml:space="preserve">Základem pro údaje </w:t>
      </w:r>
      <w:r w:rsidRPr="00073DE6">
        <w:rPr>
          <w:rFonts w:cs="Arial"/>
          <w:b/>
          <w:szCs w:val="20"/>
        </w:rPr>
        <w:t>o počtu a struktuře obyvatelstva</w:t>
      </w:r>
      <w:r w:rsidRPr="00073DE6">
        <w:rPr>
          <w:rFonts w:cs="Arial"/>
          <w:szCs w:val="20"/>
        </w:rPr>
        <w:t xml:space="preserve"> jsou výsledky sčítání lidu, domů a bytů, která jsou uskutečňována zhruba v desetiletých intervalech. Na tyto výsledky pak navazují (každoroční) </w:t>
      </w:r>
      <w:proofErr w:type="spellStart"/>
      <w:r w:rsidRPr="00073DE6">
        <w:rPr>
          <w:rFonts w:cs="Arial"/>
          <w:szCs w:val="20"/>
        </w:rPr>
        <w:t>intercenzální</w:t>
      </w:r>
      <w:proofErr w:type="spellEnd"/>
      <w:r w:rsidRPr="00073DE6">
        <w:rPr>
          <w:rFonts w:cs="Arial"/>
          <w:szCs w:val="20"/>
        </w:rPr>
        <w:t xml:space="preserve"> statistické bilance obyvatel vycházející ze zpracování </w:t>
      </w:r>
      <w:r w:rsidR="00E75BC7">
        <w:rPr>
          <w:rFonts w:cs="Arial"/>
          <w:szCs w:val="20"/>
        </w:rPr>
        <w:t>údajů</w:t>
      </w:r>
      <w:r w:rsidRPr="00073DE6">
        <w:rPr>
          <w:rFonts w:cs="Arial"/>
          <w:szCs w:val="20"/>
        </w:rPr>
        <w:t xml:space="preserve"> o na</w:t>
      </w:r>
      <w:r w:rsidR="0031466D">
        <w:rPr>
          <w:rFonts w:cs="Arial"/>
          <w:szCs w:val="20"/>
        </w:rPr>
        <w:t>rozeních, úmrtích a z </w:t>
      </w:r>
      <w:r w:rsidRPr="00073DE6">
        <w:rPr>
          <w:rFonts w:cs="Arial"/>
          <w:szCs w:val="20"/>
        </w:rPr>
        <w:t xml:space="preserve">dat o stěhování. </w:t>
      </w:r>
    </w:p>
    <w:p w14:paraId="339175AF" w14:textId="04900831" w:rsidR="008E2524" w:rsidRPr="00073DE6" w:rsidRDefault="008E2524" w:rsidP="008E2524">
      <w:pPr>
        <w:pStyle w:val="Zkladntext3"/>
        <w:spacing w:after="120"/>
        <w:rPr>
          <w:rFonts w:cs="Arial"/>
          <w:szCs w:val="20"/>
        </w:rPr>
      </w:pPr>
      <w:r>
        <w:rPr>
          <w:rFonts w:cs="Arial"/>
          <w:szCs w:val="20"/>
        </w:rPr>
        <w:t>V</w:t>
      </w:r>
      <w:r w:rsidRPr="00073DE6">
        <w:rPr>
          <w:rFonts w:cs="Arial"/>
          <w:szCs w:val="20"/>
        </w:rPr>
        <w:t>eškeré údaje týkají občanů Česk</w:t>
      </w:r>
      <w:r>
        <w:rPr>
          <w:rFonts w:cs="Arial"/>
          <w:szCs w:val="20"/>
        </w:rPr>
        <w:t>a</w:t>
      </w:r>
      <w:r w:rsidRPr="00073DE6">
        <w:rPr>
          <w:rFonts w:cs="Arial"/>
          <w:szCs w:val="20"/>
        </w:rPr>
        <w:t xml:space="preserve"> a cizinců s trvalým pobytem v Česk</w:t>
      </w:r>
      <w:r>
        <w:rPr>
          <w:rFonts w:cs="Arial"/>
          <w:szCs w:val="20"/>
        </w:rPr>
        <w:t>u</w:t>
      </w:r>
      <w:r w:rsidRPr="00073DE6">
        <w:rPr>
          <w:rFonts w:cs="Arial"/>
          <w:szCs w:val="20"/>
        </w:rPr>
        <w:t>, občanů třetích zemí s přechodným pobytem na území Česk</w:t>
      </w:r>
      <w:r>
        <w:rPr>
          <w:rFonts w:cs="Arial"/>
          <w:szCs w:val="20"/>
        </w:rPr>
        <w:t>a</w:t>
      </w:r>
      <w:r w:rsidRPr="00073DE6">
        <w:rPr>
          <w:rFonts w:cs="Arial"/>
          <w:szCs w:val="20"/>
        </w:rPr>
        <w:t xml:space="preserve"> na základě dlouhodobého víza (nad 90 dnů) nebo povolení k dlouhodobému pobytu, občanů zemí EU, Norska, Švýcarska, Islandu, Lichtenštejnska a jejich rodinných příslušníků s hlášeným přechodným pobytem na území Česk</w:t>
      </w:r>
      <w:r>
        <w:rPr>
          <w:rFonts w:cs="Arial"/>
          <w:szCs w:val="20"/>
        </w:rPr>
        <w:t>a,</w:t>
      </w:r>
      <w:r w:rsidRPr="00073DE6">
        <w:rPr>
          <w:rFonts w:cs="Arial"/>
          <w:szCs w:val="20"/>
        </w:rPr>
        <w:t xml:space="preserve"> cizinců </w:t>
      </w:r>
      <w:r w:rsidRPr="00516BAB">
        <w:rPr>
          <w:rFonts w:cs="Arial"/>
          <w:szCs w:val="20"/>
        </w:rPr>
        <w:t>s</w:t>
      </w:r>
      <w:r>
        <w:rPr>
          <w:rFonts w:cs="Arial"/>
          <w:szCs w:val="20"/>
        </w:rPr>
        <w:t> </w:t>
      </w:r>
      <w:r w:rsidRPr="00516BAB">
        <w:rPr>
          <w:rFonts w:cs="Arial"/>
          <w:szCs w:val="20"/>
        </w:rPr>
        <w:t xml:space="preserve">mezinárodní </w:t>
      </w:r>
      <w:r>
        <w:rPr>
          <w:rFonts w:cs="Arial"/>
          <w:szCs w:val="20"/>
        </w:rPr>
        <w:t>oc</w:t>
      </w:r>
      <w:r w:rsidRPr="00516BAB">
        <w:rPr>
          <w:rFonts w:cs="Arial"/>
          <w:szCs w:val="20"/>
        </w:rPr>
        <w:t>hranou v Česk</w:t>
      </w:r>
      <w:r>
        <w:rPr>
          <w:rFonts w:cs="Arial"/>
          <w:szCs w:val="20"/>
        </w:rPr>
        <w:t>u a cizinců s udělenou dočasnou ochranou v Česku.</w:t>
      </w:r>
    </w:p>
    <w:p w14:paraId="4A865D81" w14:textId="1C5AA9B3" w:rsidR="00073DE6" w:rsidRPr="00073DE6" w:rsidRDefault="00073DE6" w:rsidP="00073DE6">
      <w:pPr>
        <w:pStyle w:val="Zkladntext3"/>
        <w:spacing w:after="120"/>
        <w:rPr>
          <w:rFonts w:cs="Arial"/>
          <w:szCs w:val="20"/>
        </w:rPr>
      </w:pPr>
      <w:r w:rsidRPr="00073DE6">
        <w:rPr>
          <w:rFonts w:cs="Arial"/>
          <w:szCs w:val="20"/>
        </w:rPr>
        <w:t xml:space="preserve">Údaje jsou zveřejňovány čtvrtletně v členění </w:t>
      </w:r>
      <w:r>
        <w:rPr>
          <w:rFonts w:cs="Arial"/>
          <w:szCs w:val="20"/>
        </w:rPr>
        <w:t>podle</w:t>
      </w:r>
      <w:r w:rsidRPr="00073DE6">
        <w:rPr>
          <w:rFonts w:cs="Arial"/>
          <w:szCs w:val="20"/>
        </w:rPr>
        <w:t xml:space="preserve"> krajů</w:t>
      </w:r>
      <w:r w:rsidR="00E75BC7">
        <w:rPr>
          <w:rFonts w:cs="Arial"/>
          <w:szCs w:val="20"/>
        </w:rPr>
        <w:t>,</w:t>
      </w:r>
      <w:r w:rsidRPr="00073DE6">
        <w:rPr>
          <w:rFonts w:cs="Arial"/>
          <w:szCs w:val="20"/>
        </w:rPr>
        <w:t xml:space="preserve"> okresů </w:t>
      </w:r>
      <w:r w:rsidR="00E75BC7">
        <w:rPr>
          <w:rFonts w:cs="Arial"/>
          <w:szCs w:val="20"/>
        </w:rPr>
        <w:t xml:space="preserve">a správních obvodů obcí s rozšířenou působností </w:t>
      </w:r>
      <w:r w:rsidRPr="00073DE6">
        <w:rPr>
          <w:rFonts w:cs="Arial"/>
          <w:szCs w:val="20"/>
        </w:rPr>
        <w:t xml:space="preserve">(v Praze </w:t>
      </w:r>
      <w:r w:rsidR="00E75BC7">
        <w:rPr>
          <w:rFonts w:cs="Arial"/>
          <w:szCs w:val="20"/>
        </w:rPr>
        <w:t>do</w:t>
      </w:r>
      <w:r>
        <w:rPr>
          <w:rFonts w:cs="Arial"/>
          <w:szCs w:val="20"/>
        </w:rPr>
        <w:t> </w:t>
      </w:r>
      <w:r w:rsidRPr="00073DE6">
        <w:rPr>
          <w:rFonts w:cs="Arial"/>
          <w:szCs w:val="20"/>
        </w:rPr>
        <w:t xml:space="preserve">městských částí), jednou ročně pak i do jednotlivých obcí. </w:t>
      </w:r>
    </w:p>
    <w:p w14:paraId="1FBDECFE" w14:textId="77777777" w:rsidR="00073DE6" w:rsidRPr="00073DE6" w:rsidRDefault="00073DE6" w:rsidP="00073DE6">
      <w:pPr>
        <w:pStyle w:val="Zkladntext3"/>
        <w:spacing w:after="120"/>
        <w:rPr>
          <w:rFonts w:cs="Arial"/>
          <w:szCs w:val="20"/>
        </w:rPr>
      </w:pPr>
      <w:r w:rsidRPr="00073DE6">
        <w:rPr>
          <w:rFonts w:cs="Arial"/>
          <w:szCs w:val="20"/>
        </w:rPr>
        <w:t xml:space="preserve">Údaje pro intenzitní ukazatele </w:t>
      </w:r>
      <w:r w:rsidRPr="00073DE6">
        <w:rPr>
          <w:rFonts w:cs="Arial"/>
          <w:b/>
          <w:szCs w:val="20"/>
        </w:rPr>
        <w:t>hrubých relativních měr demografických událostí</w:t>
      </w:r>
      <w:r w:rsidRPr="00073DE6">
        <w:rPr>
          <w:rFonts w:cs="Arial"/>
          <w:szCs w:val="20"/>
        </w:rPr>
        <w:t xml:space="preserve"> jsou vztaženy na</w:t>
      </w:r>
      <w:r>
        <w:rPr>
          <w:rFonts w:cs="Arial"/>
          <w:szCs w:val="20"/>
        </w:rPr>
        <w:t> </w:t>
      </w:r>
      <w:r w:rsidRPr="00073DE6">
        <w:rPr>
          <w:rFonts w:cs="Arial"/>
          <w:szCs w:val="20"/>
        </w:rPr>
        <w:t>1</w:t>
      </w:r>
      <w:r>
        <w:rPr>
          <w:rFonts w:cs="Arial"/>
          <w:szCs w:val="20"/>
        </w:rPr>
        <w:t> </w:t>
      </w:r>
      <w:r w:rsidRPr="00073DE6">
        <w:rPr>
          <w:rFonts w:cs="Arial"/>
          <w:szCs w:val="20"/>
        </w:rPr>
        <w:t>000</w:t>
      </w:r>
      <w:r>
        <w:rPr>
          <w:rFonts w:cs="Arial"/>
          <w:szCs w:val="20"/>
        </w:rPr>
        <w:t> </w:t>
      </w:r>
      <w:r w:rsidRPr="00073DE6">
        <w:rPr>
          <w:rFonts w:cs="Arial"/>
          <w:szCs w:val="20"/>
        </w:rPr>
        <w:t>obyvatel středního stavu. Střední stav obyvatel obecně vyjadřuje počet obyvatel daného území v</w:t>
      </w:r>
      <w:r w:rsidR="009432A6">
        <w:rPr>
          <w:rFonts w:cs="Arial"/>
          <w:szCs w:val="20"/>
        </w:rPr>
        <w:t> </w:t>
      </w:r>
      <w:r w:rsidRPr="00073DE6">
        <w:rPr>
          <w:rFonts w:cs="Arial"/>
          <w:szCs w:val="20"/>
        </w:rPr>
        <w:t xml:space="preserve">okamžiku, který byl zvolen za střed sledovaného období. Za střední stav obyvatel v kalendářním roce je považován počet obyvatel daného území o půlnoci z 30. 6. na 1. 7. sledovaného roku, který vychází z bilance pohybu obyvatel daného území od počátku roku do konce června. Za střední stav obyvatel v období (vymezeném kalendářními měsíci) </w:t>
      </w:r>
      <w:proofErr w:type="gramStart"/>
      <w:r w:rsidRPr="00073DE6">
        <w:rPr>
          <w:rFonts w:cs="Arial"/>
          <w:szCs w:val="20"/>
        </w:rPr>
        <w:t>kratším</w:t>
      </w:r>
      <w:proofErr w:type="gramEnd"/>
      <w:r w:rsidRPr="00073DE6">
        <w:rPr>
          <w:rFonts w:cs="Arial"/>
          <w:szCs w:val="20"/>
        </w:rPr>
        <w:t xml:space="preserve"> než jeden rok je považován průměr středních měsíčních stavů za dané období, přičemž měsíční střední stav je průměrem z počátečního a koncového stavu daného měsíce. </w:t>
      </w:r>
    </w:p>
    <w:p w14:paraId="54398405" w14:textId="4A9F53EA" w:rsidR="00E271D6" w:rsidRDefault="00073DE6" w:rsidP="009432A6">
      <w:pPr>
        <w:pStyle w:val="Zkladntext3"/>
        <w:rPr>
          <w:rFonts w:cs="Arial"/>
          <w:szCs w:val="20"/>
        </w:rPr>
      </w:pPr>
      <w:r w:rsidRPr="00073DE6">
        <w:rPr>
          <w:rFonts w:cs="Arial"/>
          <w:szCs w:val="20"/>
        </w:rPr>
        <w:t>.</w:t>
      </w:r>
    </w:p>
    <w:p w14:paraId="3D8A930D" w14:textId="77777777" w:rsidR="00073DE6" w:rsidRPr="00FD1B27" w:rsidRDefault="00073DE6" w:rsidP="00073DE6">
      <w:pPr>
        <w:jc w:val="both"/>
        <w:rPr>
          <w:rFonts w:ascii="Arial" w:hAnsi="Arial" w:cs="Arial"/>
          <w:szCs w:val="20"/>
        </w:rPr>
      </w:pPr>
    </w:p>
    <w:p w14:paraId="08382E65" w14:textId="5D631ECF" w:rsidR="00E271D6" w:rsidRPr="00C63FAD" w:rsidRDefault="000A050D" w:rsidP="00FD1B27">
      <w:pPr>
        <w:pStyle w:val="Nadpis8"/>
        <w:spacing w:line="233" w:lineRule="auto"/>
        <w:rPr>
          <w:rStyle w:val="Siln"/>
          <w:rFonts w:cs="Arial"/>
        </w:rPr>
      </w:pPr>
      <w:r>
        <w:rPr>
          <w:rStyle w:val="Siln"/>
          <w:rFonts w:cs="Arial"/>
          <w:b/>
          <w:bCs/>
        </w:rPr>
        <w:t>ZAMĚSTNANOST A NEZAMĚSTNANOST (VŠPS)</w:t>
      </w:r>
    </w:p>
    <w:p w14:paraId="6E5895E8" w14:textId="60475456" w:rsidR="00E271D6" w:rsidRPr="00C63FAD" w:rsidRDefault="00E271D6" w:rsidP="00E271D6">
      <w:pPr>
        <w:pStyle w:val="Zkladntext3"/>
        <w:spacing w:before="120" w:after="120"/>
        <w:rPr>
          <w:rFonts w:cs="Arial"/>
          <w:szCs w:val="20"/>
        </w:rPr>
      </w:pPr>
      <w:r w:rsidRPr="00C63FAD">
        <w:rPr>
          <w:rFonts w:cs="Arial"/>
          <w:szCs w:val="20"/>
        </w:rPr>
        <w:t xml:space="preserve">Výběrové šetření </w:t>
      </w:r>
      <w:r w:rsidRPr="00C63FAD">
        <w:rPr>
          <w:rFonts w:cs="Arial"/>
          <w:bCs/>
        </w:rPr>
        <w:t>pracovních</w:t>
      </w:r>
      <w:r w:rsidRPr="00C63FAD">
        <w:rPr>
          <w:rFonts w:cs="Arial"/>
          <w:szCs w:val="20"/>
        </w:rPr>
        <w:t xml:space="preserve"> sil </w:t>
      </w:r>
      <w:r w:rsidR="000A050D">
        <w:rPr>
          <w:rFonts w:cs="Arial"/>
          <w:szCs w:val="20"/>
        </w:rPr>
        <w:t xml:space="preserve">(VŠPS) </w:t>
      </w:r>
      <w:r w:rsidRPr="00C63FAD">
        <w:rPr>
          <w:rFonts w:cs="Arial"/>
          <w:szCs w:val="20"/>
        </w:rPr>
        <w:t>je prováděno v náhodně vybraných bytech (0,</w:t>
      </w:r>
      <w:r w:rsidR="001065EB">
        <w:rPr>
          <w:rFonts w:cs="Arial"/>
          <w:szCs w:val="20"/>
        </w:rPr>
        <w:t>5</w:t>
      </w:r>
      <w:r w:rsidR="001065EB" w:rsidRPr="00C63FAD">
        <w:rPr>
          <w:rFonts w:cs="Arial"/>
          <w:szCs w:val="20"/>
        </w:rPr>
        <w:t xml:space="preserve"> </w:t>
      </w:r>
      <w:r w:rsidRPr="00C63FAD">
        <w:rPr>
          <w:rFonts w:cs="Arial"/>
          <w:szCs w:val="20"/>
        </w:rPr>
        <w:t xml:space="preserve">% všech </w:t>
      </w:r>
      <w:r w:rsidR="00E26F1D">
        <w:rPr>
          <w:rFonts w:cs="Arial"/>
          <w:szCs w:val="20"/>
        </w:rPr>
        <w:t>obvykle</w:t>
      </w:r>
      <w:r w:rsidR="00E26F1D" w:rsidRPr="00024870">
        <w:rPr>
          <w:rFonts w:cs="Arial"/>
          <w:szCs w:val="20"/>
        </w:rPr>
        <w:t xml:space="preserve"> obydlených bytů</w:t>
      </w:r>
      <w:r w:rsidRPr="00C63FAD">
        <w:rPr>
          <w:rFonts w:cs="Arial"/>
          <w:szCs w:val="20"/>
        </w:rPr>
        <w:t>). Zjištěné údaje jsou převáženy četností jednotlivých věkových skupin mužů a žen.</w:t>
      </w:r>
      <w:r w:rsidR="00471F5E" w:rsidRPr="00471F5E">
        <w:t xml:space="preserve"> </w:t>
      </w:r>
      <w:r w:rsidR="00471F5E" w:rsidRPr="00471F5E">
        <w:rPr>
          <w:rFonts w:cs="Arial"/>
          <w:szCs w:val="20"/>
        </w:rPr>
        <w:t>Výběrový soubor je vztažený k celkovému počtu obyvatel z demografické statistiky, od kterého jsou odečítány odhady počtu osob žijících mimo byty, tj. zejména v ubytovnách a v kolektivních domácnostech (např. domovech důchodců, ústavech sociální péče, nápravných zařízeních apod.).</w:t>
      </w:r>
    </w:p>
    <w:p w14:paraId="577BCE7B" w14:textId="77777777" w:rsidR="009D4D95" w:rsidRDefault="009D4D95" w:rsidP="009D4D95">
      <w:pPr>
        <w:pStyle w:val="Normlnweb"/>
        <w:spacing w:before="0" w:beforeAutospacing="0" w:after="0" w:afterAutospacing="0"/>
        <w:jc w:val="both"/>
        <w:rPr>
          <w:rFonts w:ascii="Arial" w:hAnsi="Arial" w:cs="Arial"/>
          <w:color w:val="auto"/>
          <w:sz w:val="20"/>
        </w:rPr>
      </w:pPr>
      <w:r w:rsidRPr="00C63FAD">
        <w:rPr>
          <w:rFonts w:ascii="Arial" w:hAnsi="Arial" w:cs="Arial"/>
          <w:color w:val="auto"/>
          <w:sz w:val="20"/>
          <w:szCs w:val="20"/>
        </w:rPr>
        <w:t xml:space="preserve">Pro všechny charakteristiky výběrového šetření je možné konstruovat </w:t>
      </w:r>
      <w:r w:rsidRPr="00C63FAD">
        <w:rPr>
          <w:rFonts w:ascii="Arial" w:hAnsi="Arial" w:cs="Arial"/>
          <w:b/>
          <w:bCs/>
          <w:color w:val="auto"/>
          <w:sz w:val="20"/>
          <w:szCs w:val="20"/>
        </w:rPr>
        <w:t>95% interval spolehlivosti</w:t>
      </w:r>
      <w:r w:rsidRPr="00C63FAD">
        <w:rPr>
          <w:rFonts w:ascii="Arial" w:hAnsi="Arial" w:cs="Arial"/>
          <w:color w:val="auto"/>
          <w:sz w:val="20"/>
          <w:szCs w:val="20"/>
        </w:rPr>
        <w:t xml:space="preserve">, tedy interval, v němž s </w:t>
      </w:r>
      <w:proofErr w:type="gramStart"/>
      <w:r w:rsidRPr="00C63FAD">
        <w:rPr>
          <w:rFonts w:ascii="Arial" w:hAnsi="Arial" w:cs="Arial"/>
          <w:color w:val="auto"/>
          <w:sz w:val="20"/>
          <w:szCs w:val="20"/>
        </w:rPr>
        <w:t>95%</w:t>
      </w:r>
      <w:proofErr w:type="gramEnd"/>
      <w:r w:rsidRPr="00C63FAD">
        <w:rPr>
          <w:rFonts w:ascii="Arial" w:hAnsi="Arial" w:cs="Arial"/>
          <w:color w:val="auto"/>
          <w:sz w:val="20"/>
          <w:szCs w:val="20"/>
        </w:rPr>
        <w:t xml:space="preserve"> pravděpodobností leží skutečná hodnota odhadované charakteristiky. Velikost intervalu spolehlivosti pro odhad základních charakteristik je zřejmá z následující tabulky:</w:t>
      </w:r>
      <w:r w:rsidRPr="00C63FAD">
        <w:rPr>
          <w:rFonts w:ascii="Arial" w:hAnsi="Arial" w:cs="Arial"/>
          <w:color w:val="auto"/>
          <w:sz w:val="20"/>
        </w:rPr>
        <w:t xml:space="preserve"> </w:t>
      </w:r>
    </w:p>
    <w:p w14:paraId="43AD1F6C" w14:textId="77777777" w:rsidR="00CF5AA4" w:rsidRPr="00FD1B27" w:rsidRDefault="00CF5AA4" w:rsidP="009D4D95">
      <w:pPr>
        <w:pStyle w:val="Normlnweb"/>
        <w:spacing w:before="120" w:beforeAutospacing="0" w:after="120" w:afterAutospacing="0"/>
        <w:jc w:val="center"/>
        <w:rPr>
          <w:rFonts w:ascii="Arial" w:hAnsi="Arial" w:cs="Arial"/>
          <w:b/>
          <w:color w:val="auto"/>
          <w:sz w:val="20"/>
          <w:highlight w:val="yellow"/>
        </w:rPr>
      </w:pPr>
    </w:p>
    <w:p w14:paraId="579168C6" w14:textId="656BBE76" w:rsidR="00290A84" w:rsidRDefault="009D4D95" w:rsidP="0080394E">
      <w:pPr>
        <w:pStyle w:val="Normlnweb"/>
        <w:spacing w:before="120" w:beforeAutospacing="0" w:after="120" w:afterAutospacing="0" w:line="276" w:lineRule="auto"/>
        <w:jc w:val="center"/>
        <w:rPr>
          <w:rFonts w:ascii="Arial" w:hAnsi="Arial" w:cs="Arial"/>
          <w:b/>
          <w:color w:val="auto"/>
          <w:sz w:val="20"/>
        </w:rPr>
      </w:pPr>
      <w:r w:rsidRPr="00CA0CE4">
        <w:rPr>
          <w:rFonts w:ascii="Arial" w:hAnsi="Arial" w:cs="Arial"/>
          <w:b/>
          <w:color w:val="auto"/>
          <w:sz w:val="20"/>
        </w:rPr>
        <w:lastRenderedPageBreak/>
        <w:t>Intervaly spolehlivosti (</w:t>
      </w:r>
      <w:proofErr w:type="gramStart"/>
      <w:r w:rsidRPr="00CA0CE4">
        <w:rPr>
          <w:rFonts w:ascii="Arial" w:hAnsi="Arial" w:cs="Arial"/>
          <w:b/>
          <w:color w:val="auto"/>
          <w:sz w:val="20"/>
        </w:rPr>
        <w:t>95%</w:t>
      </w:r>
      <w:proofErr w:type="gramEnd"/>
      <w:r w:rsidRPr="00CA0CE4">
        <w:rPr>
          <w:rFonts w:ascii="Arial" w:hAnsi="Arial" w:cs="Arial"/>
          <w:b/>
          <w:color w:val="auto"/>
          <w:sz w:val="20"/>
        </w:rPr>
        <w:t>) pro odhad počtu zaměstnaných v NH,</w:t>
      </w:r>
      <w:r w:rsidRPr="00CA0CE4">
        <w:rPr>
          <w:rFonts w:ascii="Arial" w:hAnsi="Arial" w:cs="Arial"/>
          <w:b/>
          <w:color w:val="auto"/>
          <w:sz w:val="20"/>
        </w:rPr>
        <w:br/>
      </w:r>
      <w:r w:rsidRPr="0081715F">
        <w:rPr>
          <w:rFonts w:ascii="Arial" w:hAnsi="Arial" w:cs="Arial"/>
          <w:b/>
          <w:color w:val="auto"/>
          <w:sz w:val="20"/>
        </w:rPr>
        <w:t xml:space="preserve">nezaměstnaných a </w:t>
      </w:r>
      <w:r w:rsidR="00D64D80" w:rsidRPr="0081715F">
        <w:rPr>
          <w:rFonts w:ascii="Arial" w:hAnsi="Arial" w:cs="Arial"/>
          <w:b/>
          <w:color w:val="auto"/>
          <w:sz w:val="20"/>
        </w:rPr>
        <w:t xml:space="preserve">obecné míry </w:t>
      </w:r>
      <w:r w:rsidRPr="0081715F">
        <w:rPr>
          <w:rFonts w:ascii="Arial" w:hAnsi="Arial" w:cs="Arial"/>
          <w:b/>
          <w:color w:val="auto"/>
          <w:sz w:val="20"/>
        </w:rPr>
        <w:t>nezaměstnanosti (</w:t>
      </w:r>
      <w:r w:rsidR="00910530">
        <w:rPr>
          <w:rFonts w:ascii="Arial" w:hAnsi="Arial" w:cs="Arial"/>
          <w:b/>
          <w:color w:val="auto"/>
          <w:sz w:val="20"/>
        </w:rPr>
        <w:t>1</w:t>
      </w:r>
      <w:r w:rsidRPr="0081715F">
        <w:rPr>
          <w:rFonts w:ascii="Arial" w:hAnsi="Arial" w:cs="Arial"/>
          <w:b/>
          <w:color w:val="auto"/>
          <w:sz w:val="20"/>
        </w:rPr>
        <w:t>. čtvrtletí 202</w:t>
      </w:r>
      <w:r w:rsidR="00910530">
        <w:rPr>
          <w:rFonts w:ascii="Arial" w:hAnsi="Arial" w:cs="Arial"/>
          <w:b/>
          <w:color w:val="auto"/>
          <w:sz w:val="20"/>
        </w:rPr>
        <w:t>6</w:t>
      </w:r>
      <w:r w:rsidRPr="0081715F">
        <w:rPr>
          <w:rFonts w:ascii="Arial" w:hAnsi="Arial" w:cs="Arial"/>
          <w:b/>
          <w:color w:val="auto"/>
          <w:sz w:val="20"/>
        </w:rPr>
        <w:t>)</w:t>
      </w:r>
      <w:r w:rsidR="00A35C02" w:rsidRPr="00A35C02">
        <w:rPr>
          <w:rFonts w:ascii="Arial" w:hAnsi="Arial" w:cs="Arial"/>
          <w:b/>
          <w:sz w:val="20"/>
        </w:rPr>
        <w:t xml:space="preserve"> </w:t>
      </w:r>
      <w:r w:rsidR="009B54FB" w:rsidRPr="009B54FB">
        <w:rPr>
          <w:rFonts w:ascii="Arial" w:hAnsi="Arial" w:cs="Arial"/>
          <w:b/>
          <w:sz w:val="20"/>
        </w:rPr>
        <w:t xml:space="preserve"> </w:t>
      </w:r>
      <w:r w:rsidR="009B54FB" w:rsidRPr="009B54FB">
        <w:rPr>
          <w:rFonts w:ascii="Arial" w:hAnsi="Arial" w:cs="Arial"/>
          <w:b/>
          <w:noProof/>
          <w:sz w:val="20"/>
        </w:rPr>
        <w:drawing>
          <wp:inline distT="0" distB="0" distL="0" distR="0" wp14:anchorId="5B2FFD32" wp14:editId="1F3C7FA5">
            <wp:extent cx="6120130" cy="4122420"/>
            <wp:effectExtent l="0" t="0" r="0" b="0"/>
            <wp:docPr id="1506834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122420"/>
                    </a:xfrm>
                    <a:prstGeom prst="rect">
                      <a:avLst/>
                    </a:prstGeom>
                    <a:noFill/>
                    <a:ln>
                      <a:noFill/>
                    </a:ln>
                  </pic:spPr>
                </pic:pic>
              </a:graphicData>
            </a:graphic>
          </wp:inline>
        </w:drawing>
      </w:r>
    </w:p>
    <w:p w14:paraId="006D46A8" w14:textId="77777777" w:rsidR="00125712" w:rsidRPr="00C63FAD" w:rsidRDefault="00125712" w:rsidP="00125712">
      <w:pPr>
        <w:pStyle w:val="Zkladntext3"/>
        <w:spacing w:after="120"/>
        <w:rPr>
          <w:rFonts w:cs="Arial"/>
          <w:szCs w:val="20"/>
        </w:rPr>
      </w:pPr>
      <w:r w:rsidRPr="00C63FAD">
        <w:rPr>
          <w:rFonts w:cs="Arial"/>
          <w:szCs w:val="20"/>
        </w:rPr>
        <w:t xml:space="preserve">Do počtu </w:t>
      </w:r>
      <w:r w:rsidRPr="00C63FAD">
        <w:rPr>
          <w:rFonts w:cs="Arial"/>
          <w:b/>
          <w:bCs/>
          <w:szCs w:val="20"/>
        </w:rPr>
        <w:t>zaměstnaných</w:t>
      </w:r>
      <w:r w:rsidRPr="00C63FAD">
        <w:rPr>
          <w:rFonts w:cs="Arial"/>
          <w:szCs w:val="20"/>
        </w:rPr>
        <w:t xml:space="preserve"> jsou zahrnuty všechny osoby patnáctileté a starší, které během referenčního týdne příslušely mezi zaměstnance vč. členů produkčních družstev, pracující na vlastní účet, zaměstnavatele či </w:t>
      </w:r>
      <w:r>
        <w:rPr>
          <w:szCs w:val="20"/>
        </w:rPr>
        <w:t xml:space="preserve">neplacené </w:t>
      </w:r>
      <w:r w:rsidRPr="00C63FAD">
        <w:rPr>
          <w:rFonts w:cs="Arial"/>
          <w:szCs w:val="20"/>
        </w:rPr>
        <w:t xml:space="preserve">pomáhající rodinné příslušníky. </w:t>
      </w:r>
      <w:r>
        <w:rPr>
          <w:szCs w:val="20"/>
        </w:rPr>
        <w:t>Osoby</w:t>
      </w:r>
      <w:r w:rsidRPr="008C1A21">
        <w:rPr>
          <w:szCs w:val="20"/>
        </w:rPr>
        <w:t xml:space="preserve">, které uvedly, že v referenčním týdnu byly v práci dočasně nepřítomné, jsou považovány za zaměstnané, pokud jejich nepřítomnost z ostatních (osobních, rodinných aj.) </w:t>
      </w:r>
      <w:r>
        <w:rPr>
          <w:szCs w:val="20"/>
        </w:rPr>
        <w:t xml:space="preserve">důvodů byla kratší než 3 měsíce. Mezi zaměstnané jsou zařazovány osoby zaměstnané jako </w:t>
      </w:r>
      <w:r w:rsidRPr="002865DD">
        <w:rPr>
          <w:szCs w:val="20"/>
        </w:rPr>
        <w:t>profe</w:t>
      </w:r>
      <w:r>
        <w:rPr>
          <w:szCs w:val="20"/>
        </w:rPr>
        <w:t xml:space="preserve">sionální příslušníci armády a </w:t>
      </w:r>
      <w:r w:rsidRPr="002865DD">
        <w:rPr>
          <w:szCs w:val="20"/>
        </w:rPr>
        <w:t xml:space="preserve">osoby na mateřské dovolené, které </w:t>
      </w:r>
      <w:r>
        <w:rPr>
          <w:szCs w:val="20"/>
        </w:rPr>
        <w:t>před nástupem na mateřskou dovolenou pracovaly.</w:t>
      </w:r>
    </w:p>
    <w:p w14:paraId="7B3C3C85" w14:textId="77777777" w:rsidR="00125712" w:rsidRPr="00C63FAD" w:rsidRDefault="00125712" w:rsidP="00125712">
      <w:pPr>
        <w:pStyle w:val="Zkladntext3"/>
        <w:spacing w:after="120"/>
        <w:rPr>
          <w:rFonts w:cs="Arial"/>
          <w:szCs w:val="20"/>
        </w:rPr>
      </w:pPr>
      <w:r w:rsidRPr="00C63FAD">
        <w:rPr>
          <w:rFonts w:cs="Arial"/>
          <w:szCs w:val="20"/>
        </w:rPr>
        <w:t xml:space="preserve">Za </w:t>
      </w:r>
      <w:r w:rsidRPr="00C63FAD">
        <w:rPr>
          <w:rFonts w:cs="Arial"/>
          <w:b/>
          <w:bCs/>
          <w:szCs w:val="20"/>
        </w:rPr>
        <w:t>nezaměstnané</w:t>
      </w:r>
      <w:r w:rsidRPr="00C63FAD">
        <w:rPr>
          <w:rFonts w:cs="Arial"/>
          <w:szCs w:val="20"/>
        </w:rPr>
        <w:t xml:space="preserve"> se považují všechny osoby patnáctileté a starší, které ve sledovaném období byly bez</w:t>
      </w:r>
      <w:r>
        <w:rPr>
          <w:rFonts w:cs="Arial"/>
          <w:szCs w:val="20"/>
        </w:rPr>
        <w:t> </w:t>
      </w:r>
      <w:r w:rsidRPr="00C63FAD">
        <w:rPr>
          <w:rFonts w:cs="Arial"/>
          <w:szCs w:val="20"/>
        </w:rPr>
        <w:t>práce, aktivně ji hledaly a byly připraveny k nástupu do zaměstnání nejpozději do 14 dnů. Za</w:t>
      </w:r>
      <w:r>
        <w:rPr>
          <w:rFonts w:cs="Arial"/>
          <w:szCs w:val="20"/>
        </w:rPr>
        <w:t> </w:t>
      </w:r>
      <w:r w:rsidRPr="00C63FAD">
        <w:rPr>
          <w:rFonts w:cs="Arial"/>
          <w:szCs w:val="20"/>
        </w:rPr>
        <w:t>nezaměstnané</w:t>
      </w:r>
      <w:r>
        <w:rPr>
          <w:rFonts w:cs="Arial"/>
          <w:szCs w:val="20"/>
        </w:rPr>
        <w:t xml:space="preserve"> </w:t>
      </w:r>
      <w:r w:rsidRPr="00C63FAD">
        <w:rPr>
          <w:rFonts w:cs="Arial"/>
          <w:szCs w:val="20"/>
        </w:rPr>
        <w:t xml:space="preserve">jsou považování i ti, kteří již práci našli, ale nástup je stanoven nejpozději do tří měsíců. </w:t>
      </w:r>
    </w:p>
    <w:p w14:paraId="50EAC1F0" w14:textId="77777777" w:rsidR="00125712" w:rsidRPr="00C63FAD" w:rsidRDefault="00125712" w:rsidP="00125712">
      <w:pPr>
        <w:pStyle w:val="Zkladntext3"/>
        <w:spacing w:after="120"/>
        <w:rPr>
          <w:rFonts w:cs="Arial"/>
          <w:szCs w:val="20"/>
        </w:rPr>
      </w:pPr>
      <w:r w:rsidRPr="00C63FAD">
        <w:rPr>
          <w:rFonts w:cs="Arial"/>
          <w:b/>
          <w:bCs/>
          <w:szCs w:val="20"/>
        </w:rPr>
        <w:t>Míra ekonomické aktivity</w:t>
      </w:r>
      <w:r w:rsidRPr="00C63FAD">
        <w:rPr>
          <w:rFonts w:cs="Arial"/>
          <w:szCs w:val="20"/>
        </w:rPr>
        <w:t xml:space="preserve"> vyjadřuje podíl počtu zaměstnaných a nezaměst</w:t>
      </w:r>
      <w:r>
        <w:rPr>
          <w:rFonts w:cs="Arial"/>
          <w:szCs w:val="20"/>
        </w:rPr>
        <w:t xml:space="preserve">naných (pracovní síly) na počtu </w:t>
      </w:r>
      <w:r w:rsidRPr="00C63FAD">
        <w:rPr>
          <w:rFonts w:cs="Arial"/>
          <w:szCs w:val="20"/>
        </w:rPr>
        <w:t xml:space="preserve">všech osob starších patnácti let </w:t>
      </w:r>
      <w:r>
        <w:rPr>
          <w:rFonts w:cs="Arial"/>
          <w:szCs w:val="20"/>
        </w:rPr>
        <w:t>–</w:t>
      </w:r>
      <w:r w:rsidRPr="00C63FAD">
        <w:rPr>
          <w:rFonts w:cs="Arial"/>
          <w:szCs w:val="20"/>
        </w:rPr>
        <w:t xml:space="preserve"> udává se v %. </w:t>
      </w:r>
    </w:p>
    <w:p w14:paraId="591EF0B9" w14:textId="77777777" w:rsidR="00125712" w:rsidRDefault="00125712" w:rsidP="00125712">
      <w:pPr>
        <w:pStyle w:val="Zkladntext3"/>
        <w:rPr>
          <w:rFonts w:cs="Arial"/>
        </w:rPr>
      </w:pPr>
      <w:r w:rsidRPr="00C63FAD">
        <w:rPr>
          <w:rFonts w:cs="Arial"/>
          <w:b/>
          <w:bCs/>
          <w:szCs w:val="20"/>
        </w:rPr>
        <w:t>Obecná míra nezaměstnanosti</w:t>
      </w:r>
      <w:r w:rsidRPr="00C63FAD">
        <w:rPr>
          <w:rFonts w:cs="Arial"/>
          <w:szCs w:val="20"/>
        </w:rPr>
        <w:t xml:space="preserve"> vyjadřuje podíl počtu nezaměstnaných osob na celkové pracovní síle (součet všech zaměstnaných a nezaměstnaných) </w:t>
      </w:r>
      <w:r>
        <w:rPr>
          <w:rFonts w:cs="Arial"/>
          <w:szCs w:val="20"/>
        </w:rPr>
        <w:t>– udává se v %.</w:t>
      </w:r>
      <w:r>
        <w:rPr>
          <w:rFonts w:cs="Arial"/>
        </w:rPr>
        <w:t xml:space="preserve"> </w:t>
      </w:r>
    </w:p>
    <w:p w14:paraId="722E6D6E" w14:textId="77777777" w:rsidR="009B54FB" w:rsidRPr="00A90BA4" w:rsidRDefault="009B54FB" w:rsidP="00125712">
      <w:pPr>
        <w:pStyle w:val="Zkladntext3"/>
        <w:rPr>
          <w:rFonts w:cs="Arial"/>
          <w:szCs w:val="20"/>
        </w:rPr>
      </w:pPr>
    </w:p>
    <w:p w14:paraId="1305CF90" w14:textId="77777777" w:rsidR="00E271D6" w:rsidRDefault="00E271D6" w:rsidP="003E0A67">
      <w:pPr>
        <w:pStyle w:val="Nadpis8"/>
        <w:spacing w:line="233" w:lineRule="auto"/>
        <w:rPr>
          <w:rStyle w:val="Siln"/>
          <w:rFonts w:cs="Arial"/>
          <w:b/>
          <w:bCs/>
        </w:rPr>
      </w:pPr>
    </w:p>
    <w:p w14:paraId="60F87F6F" w14:textId="77777777" w:rsidR="001613CD" w:rsidRPr="00C63FAD" w:rsidRDefault="001613CD" w:rsidP="00FD1B27">
      <w:pPr>
        <w:pStyle w:val="Nadpis8"/>
        <w:spacing w:line="233" w:lineRule="auto"/>
        <w:rPr>
          <w:rStyle w:val="Siln"/>
          <w:rFonts w:cs="Arial"/>
        </w:rPr>
      </w:pPr>
      <w:r w:rsidRPr="00C63FAD">
        <w:rPr>
          <w:rStyle w:val="Siln"/>
          <w:rFonts w:cs="Arial"/>
          <w:b/>
          <w:bCs/>
        </w:rPr>
        <w:t>ZAMĚSTNAN</w:t>
      </w:r>
      <w:r w:rsidR="00E271D6">
        <w:rPr>
          <w:rStyle w:val="Siln"/>
          <w:rFonts w:cs="Arial"/>
          <w:b/>
          <w:bCs/>
        </w:rPr>
        <w:t>CI</w:t>
      </w:r>
      <w:r w:rsidRPr="00C63FAD">
        <w:rPr>
          <w:rStyle w:val="Siln"/>
          <w:rFonts w:cs="Arial"/>
          <w:b/>
          <w:bCs/>
        </w:rPr>
        <w:t xml:space="preserve"> A MZDY</w:t>
      </w:r>
      <w:r w:rsidRPr="00C63FAD">
        <w:rPr>
          <w:rStyle w:val="Siln"/>
          <w:rFonts w:cs="Arial"/>
        </w:rPr>
        <w:t xml:space="preserve"> </w:t>
      </w:r>
    </w:p>
    <w:p w14:paraId="383DA10A" w14:textId="77777777" w:rsidR="00125712" w:rsidRPr="00A16978" w:rsidRDefault="00125712" w:rsidP="00125712">
      <w:pPr>
        <w:pStyle w:val="Zkladntext3"/>
        <w:spacing w:before="120" w:after="120" w:line="233" w:lineRule="auto"/>
        <w:rPr>
          <w:rFonts w:cs="Arial"/>
          <w:szCs w:val="20"/>
        </w:rPr>
      </w:pPr>
      <w:r>
        <w:rPr>
          <w:rFonts w:cs="Arial"/>
          <w:bCs/>
          <w:szCs w:val="20"/>
        </w:rPr>
        <w:t>Údaje</w:t>
      </w:r>
      <w:r w:rsidRPr="000A050D">
        <w:rPr>
          <w:rFonts w:cs="Arial"/>
          <w:bCs/>
          <w:szCs w:val="20"/>
        </w:rPr>
        <w:t xml:space="preserve"> </w:t>
      </w:r>
      <w:r w:rsidRPr="00506239">
        <w:rPr>
          <w:rFonts w:cs="Arial"/>
          <w:bCs/>
          <w:szCs w:val="20"/>
        </w:rPr>
        <w:t>jsou publikovány</w:t>
      </w:r>
      <w:r w:rsidRPr="00A16978">
        <w:rPr>
          <w:rFonts w:cs="Arial"/>
          <w:b/>
          <w:bCs/>
          <w:szCs w:val="20"/>
        </w:rPr>
        <w:t xml:space="preserve"> za celou populaci podniků </w:t>
      </w:r>
      <w:r w:rsidRPr="00A16978">
        <w:rPr>
          <w:rFonts w:cs="Arial"/>
          <w:szCs w:val="20"/>
        </w:rPr>
        <w:t xml:space="preserve">se zvýšeným důrazem na </w:t>
      </w:r>
      <w:r w:rsidRPr="00A16978">
        <w:rPr>
          <w:rFonts w:cs="Arial"/>
          <w:b/>
          <w:bCs/>
          <w:szCs w:val="20"/>
        </w:rPr>
        <w:t>průměrné</w:t>
      </w:r>
      <w:r w:rsidRPr="00A16978">
        <w:rPr>
          <w:rFonts w:cs="Arial"/>
          <w:szCs w:val="20"/>
        </w:rPr>
        <w:t xml:space="preserve"> </w:t>
      </w:r>
      <w:r w:rsidRPr="00A16978">
        <w:rPr>
          <w:rFonts w:cs="Arial"/>
          <w:b/>
          <w:bCs/>
          <w:szCs w:val="20"/>
        </w:rPr>
        <w:t>mzdy zaměstnanců přepočtené na plně zaměstnané</w:t>
      </w:r>
      <w:r w:rsidRPr="00A16978">
        <w:rPr>
          <w:rFonts w:cs="Arial"/>
          <w:szCs w:val="20"/>
        </w:rPr>
        <w:t>, které zohledňují délku pracovního úvazku.</w:t>
      </w:r>
    </w:p>
    <w:p w14:paraId="2F57BCB3" w14:textId="77777777" w:rsidR="00125712" w:rsidRPr="00A16978" w:rsidRDefault="00125712" w:rsidP="00125712">
      <w:pPr>
        <w:pStyle w:val="Normlnweb"/>
        <w:spacing w:before="0" w:beforeAutospacing="0" w:after="120" w:afterAutospacing="0"/>
        <w:jc w:val="both"/>
        <w:rPr>
          <w:rFonts w:ascii="Arial" w:hAnsi="Arial" w:cs="Arial"/>
          <w:color w:val="auto"/>
          <w:sz w:val="20"/>
          <w:szCs w:val="20"/>
        </w:rPr>
      </w:pPr>
      <w:r w:rsidRPr="00A16978">
        <w:rPr>
          <w:rFonts w:ascii="Arial" w:hAnsi="Arial" w:cs="Arial"/>
          <w:b/>
          <w:color w:val="auto"/>
          <w:sz w:val="20"/>
          <w:szCs w:val="20"/>
        </w:rPr>
        <w:t>Od roku 2011 je územní třídění (na rozdíl od předchozích let) provedeno</w:t>
      </w:r>
      <w:r w:rsidRPr="00A16978">
        <w:rPr>
          <w:rFonts w:ascii="Arial" w:hAnsi="Arial" w:cs="Arial"/>
          <w:color w:val="auto"/>
          <w:sz w:val="20"/>
          <w:szCs w:val="20"/>
        </w:rPr>
        <w:t xml:space="preserve"> </w:t>
      </w:r>
      <w:r w:rsidRPr="00A16978">
        <w:rPr>
          <w:rFonts w:ascii="Arial" w:hAnsi="Arial" w:cs="Arial"/>
          <w:b/>
          <w:bCs/>
          <w:color w:val="auto"/>
          <w:sz w:val="20"/>
          <w:szCs w:val="20"/>
        </w:rPr>
        <w:t xml:space="preserve">podle místa skutečného pracoviště zaměstnanců, tzv. </w:t>
      </w:r>
      <w:proofErr w:type="spellStart"/>
      <w:r w:rsidRPr="00A16978">
        <w:rPr>
          <w:rFonts w:ascii="Arial" w:hAnsi="Arial" w:cs="Arial"/>
          <w:b/>
          <w:bCs/>
          <w:color w:val="auto"/>
          <w:sz w:val="20"/>
          <w:szCs w:val="20"/>
        </w:rPr>
        <w:t>pracovištní</w:t>
      </w:r>
      <w:proofErr w:type="spellEnd"/>
      <w:r w:rsidRPr="00A16978">
        <w:rPr>
          <w:rFonts w:ascii="Arial" w:hAnsi="Arial" w:cs="Arial"/>
          <w:b/>
          <w:bCs/>
          <w:color w:val="auto"/>
          <w:sz w:val="20"/>
          <w:szCs w:val="20"/>
        </w:rPr>
        <w:t xml:space="preserve"> metodou</w:t>
      </w:r>
      <w:r w:rsidRPr="00A16978">
        <w:rPr>
          <w:rFonts w:ascii="Arial" w:hAnsi="Arial" w:cs="Arial"/>
          <w:bCs/>
          <w:color w:val="auto"/>
          <w:sz w:val="20"/>
          <w:szCs w:val="20"/>
        </w:rPr>
        <w:t>, která poskytuje pravdivější regionální pohled na trh práce než</w:t>
      </w:r>
      <w:r w:rsidRPr="00A16978">
        <w:rPr>
          <w:rFonts w:ascii="Arial" w:hAnsi="Arial" w:cs="Arial"/>
          <w:b/>
          <w:bCs/>
          <w:color w:val="auto"/>
          <w:sz w:val="20"/>
          <w:szCs w:val="20"/>
        </w:rPr>
        <w:t xml:space="preserve"> </w:t>
      </w:r>
      <w:r w:rsidRPr="00A16978">
        <w:rPr>
          <w:rFonts w:ascii="Arial" w:hAnsi="Arial" w:cs="Arial"/>
          <w:bCs/>
          <w:color w:val="auto"/>
          <w:sz w:val="20"/>
          <w:szCs w:val="20"/>
        </w:rPr>
        <w:t>dříve zveřejňovaná podniková metoda (zařazení celého vykazujícího ekonomického subjektu do</w:t>
      </w:r>
      <w:r>
        <w:rPr>
          <w:rFonts w:ascii="Arial" w:hAnsi="Arial" w:cs="Arial"/>
          <w:bCs/>
          <w:color w:val="auto"/>
          <w:sz w:val="20"/>
          <w:szCs w:val="20"/>
        </w:rPr>
        <w:t> </w:t>
      </w:r>
      <w:r w:rsidRPr="00A16978">
        <w:rPr>
          <w:rFonts w:ascii="Arial" w:hAnsi="Arial" w:cs="Arial"/>
          <w:bCs/>
          <w:color w:val="auto"/>
          <w:sz w:val="20"/>
          <w:szCs w:val="20"/>
        </w:rPr>
        <w:t xml:space="preserve">kraje, v němž sídlí jeho ústředí). </w:t>
      </w:r>
    </w:p>
    <w:p w14:paraId="53EEDE1E" w14:textId="77777777" w:rsidR="00125712" w:rsidRPr="00A16978" w:rsidRDefault="00125712" w:rsidP="00125712">
      <w:pPr>
        <w:pStyle w:val="Zkladntext3"/>
        <w:spacing w:after="120"/>
        <w:rPr>
          <w:rFonts w:cs="Arial"/>
          <w:szCs w:val="20"/>
        </w:rPr>
      </w:pPr>
      <w:r w:rsidRPr="00A16978">
        <w:rPr>
          <w:rFonts w:cs="Arial"/>
          <w:b/>
          <w:bCs/>
          <w:szCs w:val="20"/>
        </w:rPr>
        <w:t>Průměrný evidenční počet zaměstnanců přepočtený</w:t>
      </w:r>
      <w:r w:rsidRPr="00A16978">
        <w:rPr>
          <w:rFonts w:cs="Arial"/>
          <w:szCs w:val="20"/>
        </w:rPr>
        <w:t xml:space="preserve"> vyjadřuje přepočet na plně zaměstnané (s plnou pracovní dobou). Do evidenčního počtu zaměstnanců se zahrnují všichni stálí i dočasní zaměstnanci, kteří jsou ke zpravodajské jednotce v pracovním, služebním nebo členském poměru (kde součástí členství je pracovní vztah). Nezahrnují se např. ženy na mateřské dovolené, osoby na rodičovské dovolené (nepracují-li </w:t>
      </w:r>
      <w:r w:rsidRPr="00A16978">
        <w:rPr>
          <w:rFonts w:cs="Arial"/>
          <w:szCs w:val="20"/>
        </w:rPr>
        <w:lastRenderedPageBreak/>
        <w:t xml:space="preserve">současně v pracovním poměru), učni, osoby pracující pro firmu na základě dohod o pracích konaných mimo pracovní poměr, osoby vykonávající veřejné funkce (např. poslanci, senátoři, uvolnění členové zastupitelstev všech stupňů, soudci aj.). </w:t>
      </w:r>
    </w:p>
    <w:p w14:paraId="0DCBFC7E" w14:textId="77777777" w:rsidR="00125712" w:rsidRPr="00A16978" w:rsidRDefault="00125712" w:rsidP="00125712">
      <w:pPr>
        <w:spacing w:after="120"/>
        <w:jc w:val="both"/>
        <w:rPr>
          <w:rFonts w:ascii="Arial" w:hAnsi="Arial" w:cs="Arial"/>
          <w:sz w:val="20"/>
          <w:szCs w:val="20"/>
        </w:rPr>
      </w:pPr>
      <w:r w:rsidRPr="00A16978">
        <w:rPr>
          <w:rFonts w:ascii="Arial" w:hAnsi="Arial" w:cs="Arial"/>
          <w:b/>
          <w:bCs/>
          <w:sz w:val="20"/>
          <w:szCs w:val="20"/>
        </w:rPr>
        <w:t>Průměrná hrubá měsíční mzda</w:t>
      </w:r>
      <w:r w:rsidRPr="00A16978">
        <w:rPr>
          <w:rFonts w:ascii="Arial" w:hAnsi="Arial" w:cs="Arial"/>
          <w:sz w:val="20"/>
          <w:szCs w:val="20"/>
        </w:rPr>
        <w:t xml:space="preserve"> představuje podíl mezd bez ostatních osobních nákladů připadající na</w:t>
      </w:r>
      <w:r>
        <w:rPr>
          <w:rFonts w:ascii="Arial" w:hAnsi="Arial" w:cs="Arial"/>
          <w:sz w:val="20"/>
          <w:szCs w:val="20"/>
        </w:rPr>
        <w:t> </w:t>
      </w:r>
      <w:r w:rsidRPr="00A16978">
        <w:rPr>
          <w:rFonts w:ascii="Arial" w:hAnsi="Arial" w:cs="Arial"/>
          <w:sz w:val="20"/>
          <w:szCs w:val="20"/>
        </w:rPr>
        <w:t>jednoho zaměstnance evidenčního počtu za měsíc. Do mezd se zahrnují základní mzdy a platy, příplatky a doplatky ke mzdě nebo platu, odměny, náhrady mezd a platů, odměny za pracovní pohotovost a jiné složky mzdy nebo platu, které byly v daném období zaměstnancům zúčtovány k výplatě. Nezahrnují se náhrady mzdy nebo platu za dobu trvání dočasné pracovní neschopnosti nebo karantény placené zaměstnavatelem.</w:t>
      </w:r>
    </w:p>
    <w:p w14:paraId="19D3AF8D" w14:textId="23C3059F" w:rsidR="00125712" w:rsidRPr="00A16978" w:rsidRDefault="00125712" w:rsidP="00125712">
      <w:pPr>
        <w:pStyle w:val="Zkladntext3"/>
        <w:rPr>
          <w:rFonts w:cs="Arial"/>
          <w:szCs w:val="20"/>
        </w:rPr>
      </w:pPr>
      <w:r w:rsidRPr="00A16978">
        <w:rPr>
          <w:rFonts w:cs="Arial"/>
          <w:szCs w:val="20"/>
        </w:rPr>
        <w:t xml:space="preserve">Jedná se o hrubé mzdy, tj. před snížením o pojistné na veřejné zdravotní pojištění a sociální zabezpečení, zálohové splátky daně z příjmů fyzických osob a další zákonné nebo se zaměstnancem dohodnuté srážky. </w:t>
      </w:r>
    </w:p>
    <w:p w14:paraId="69027735" w14:textId="30463160" w:rsidR="00125712" w:rsidRDefault="00125712" w:rsidP="00125712">
      <w:pPr>
        <w:rPr>
          <w:rFonts w:ascii="Arial" w:hAnsi="Arial" w:cs="Arial"/>
          <w:sz w:val="20"/>
        </w:rPr>
      </w:pPr>
      <w:r>
        <w:rPr>
          <w:rFonts w:ascii="Arial" w:hAnsi="Arial" w:cs="Arial"/>
          <w:sz w:val="20"/>
        </w:rPr>
        <w:t xml:space="preserve">Podrobnější informace jsou k dispozici na </w:t>
      </w:r>
      <w:hyperlink r:id="rId12" w:history="1">
        <w:r w:rsidR="00BD6177" w:rsidRPr="0031466D">
          <w:rPr>
            <w:rStyle w:val="Hypertextovodkaz"/>
            <w:rFonts w:ascii="Arial" w:hAnsi="Arial" w:cs="Arial"/>
            <w:sz w:val="20"/>
          </w:rPr>
          <w:t>https://csu.gov.cz/1-pmz_m</w:t>
        </w:r>
      </w:hyperlink>
      <w:r>
        <w:rPr>
          <w:color w:val="000000" w:themeColor="text1"/>
        </w:rPr>
        <w:t>.</w:t>
      </w:r>
      <w:r>
        <w:rPr>
          <w:rFonts w:ascii="Arial" w:hAnsi="Arial" w:cs="Arial"/>
          <w:sz w:val="20"/>
        </w:rPr>
        <w:t xml:space="preserve"> </w:t>
      </w:r>
    </w:p>
    <w:p w14:paraId="14012ABC" w14:textId="77777777" w:rsidR="009B54FB" w:rsidRPr="00AE73A3" w:rsidRDefault="009B54FB" w:rsidP="00125712">
      <w:pPr>
        <w:rPr>
          <w:color w:val="000000" w:themeColor="text1"/>
        </w:rPr>
      </w:pPr>
    </w:p>
    <w:p w14:paraId="1EA414EE" w14:textId="77777777" w:rsidR="00987DCD" w:rsidRPr="00B46946" w:rsidRDefault="00987DCD" w:rsidP="00987DCD">
      <w:pPr>
        <w:rPr>
          <w:rFonts w:ascii="Arial" w:hAnsi="Arial" w:cs="Arial"/>
          <w:b/>
          <w:sz w:val="22"/>
        </w:rPr>
      </w:pPr>
    </w:p>
    <w:p w14:paraId="17C3BEC9" w14:textId="77777777" w:rsidR="009C5FE5" w:rsidRPr="00C63FAD" w:rsidRDefault="009C5FE5" w:rsidP="00E5328D">
      <w:pPr>
        <w:pStyle w:val="Nadpis8"/>
        <w:rPr>
          <w:rStyle w:val="Siln"/>
          <w:rFonts w:cs="Arial"/>
          <w:b/>
          <w:bCs/>
        </w:rPr>
      </w:pPr>
      <w:r w:rsidRPr="00C63FAD">
        <w:rPr>
          <w:rStyle w:val="Siln"/>
          <w:rFonts w:cs="Arial"/>
          <w:b/>
          <w:bCs/>
        </w:rPr>
        <w:t xml:space="preserve">NEZAMĚSTNANOST (MPSV) </w:t>
      </w:r>
    </w:p>
    <w:p w14:paraId="4B7AF412" w14:textId="77777777" w:rsidR="00125712" w:rsidRPr="00C63FAD" w:rsidRDefault="00125712" w:rsidP="00125712">
      <w:pPr>
        <w:pStyle w:val="Normlnweb"/>
        <w:spacing w:before="120" w:beforeAutospacing="0" w:after="120" w:afterAutospacing="0"/>
        <w:jc w:val="both"/>
        <w:rPr>
          <w:rFonts w:ascii="Arial" w:hAnsi="Arial" w:cs="Arial"/>
          <w:color w:val="auto"/>
          <w:sz w:val="20"/>
          <w:szCs w:val="20"/>
        </w:rPr>
      </w:pPr>
      <w:r w:rsidRPr="00C63FAD">
        <w:rPr>
          <w:rFonts w:ascii="Arial" w:hAnsi="Arial" w:cs="Arial"/>
          <w:color w:val="auto"/>
          <w:sz w:val="20"/>
          <w:szCs w:val="20"/>
        </w:rPr>
        <w:t xml:space="preserve">Údaje o </w:t>
      </w:r>
      <w:r w:rsidRPr="009D4D95">
        <w:rPr>
          <w:rFonts w:ascii="Arial" w:hAnsi="Arial" w:cs="Arial"/>
          <w:b/>
          <w:color w:val="auto"/>
          <w:sz w:val="20"/>
          <w:szCs w:val="20"/>
        </w:rPr>
        <w:t xml:space="preserve">registrované </w:t>
      </w:r>
      <w:r w:rsidRPr="009D4D95">
        <w:rPr>
          <w:rFonts w:ascii="Arial" w:hAnsi="Arial" w:cs="Arial"/>
          <w:b/>
          <w:bCs/>
          <w:color w:val="auto"/>
          <w:sz w:val="20"/>
          <w:szCs w:val="20"/>
        </w:rPr>
        <w:t>nezam</w:t>
      </w:r>
      <w:r w:rsidRPr="00C63FAD">
        <w:rPr>
          <w:rFonts w:ascii="Arial" w:hAnsi="Arial" w:cs="Arial"/>
          <w:b/>
          <w:bCs/>
          <w:color w:val="auto"/>
          <w:sz w:val="20"/>
          <w:szCs w:val="20"/>
        </w:rPr>
        <w:t>ěstnanosti</w:t>
      </w:r>
      <w:r w:rsidRPr="006B662A">
        <w:rPr>
          <w:rFonts w:ascii="Arial" w:hAnsi="Arial" w:cs="Arial"/>
          <w:bCs/>
          <w:color w:val="auto"/>
          <w:sz w:val="20"/>
          <w:szCs w:val="20"/>
        </w:rPr>
        <w:t xml:space="preserve"> </w:t>
      </w:r>
      <w:r w:rsidRPr="00C63FAD">
        <w:rPr>
          <w:rFonts w:ascii="Arial" w:hAnsi="Arial" w:cs="Arial"/>
          <w:color w:val="auto"/>
          <w:sz w:val="20"/>
          <w:szCs w:val="20"/>
        </w:rPr>
        <w:t>jsou převzaty z informačního systému Ministerstva práce a</w:t>
      </w:r>
      <w:r>
        <w:rPr>
          <w:rFonts w:ascii="Arial" w:hAnsi="Arial" w:cs="Arial"/>
          <w:color w:val="auto"/>
          <w:sz w:val="20"/>
          <w:szCs w:val="20"/>
        </w:rPr>
        <w:t> </w:t>
      </w:r>
      <w:r w:rsidRPr="00C63FAD">
        <w:rPr>
          <w:rFonts w:ascii="Arial" w:hAnsi="Arial" w:cs="Arial"/>
          <w:color w:val="auto"/>
          <w:sz w:val="20"/>
          <w:szCs w:val="20"/>
        </w:rPr>
        <w:t xml:space="preserve">sociálních věcí (podle evidence úřadů práce). </w:t>
      </w:r>
      <w:r w:rsidRPr="00C63FAD">
        <w:rPr>
          <w:rFonts w:ascii="Arial" w:hAnsi="Arial" w:cs="Arial"/>
          <w:b/>
          <w:color w:val="auto"/>
          <w:sz w:val="20"/>
          <w:szCs w:val="20"/>
        </w:rPr>
        <w:t>Uchazeči o zaměstnání v evidenci úřadu práce</w:t>
      </w:r>
      <w:r w:rsidRPr="00C63FAD">
        <w:rPr>
          <w:rFonts w:ascii="Arial" w:hAnsi="Arial" w:cs="Arial"/>
          <w:color w:val="auto"/>
          <w:sz w:val="20"/>
          <w:szCs w:val="20"/>
        </w:rPr>
        <w:t xml:space="preserve"> jsou fyzické osoby, které osobně požáda</w:t>
      </w:r>
      <w:r>
        <w:rPr>
          <w:rFonts w:ascii="Arial" w:hAnsi="Arial" w:cs="Arial"/>
          <w:color w:val="auto"/>
          <w:sz w:val="20"/>
          <w:szCs w:val="20"/>
        </w:rPr>
        <w:t>jí</w:t>
      </w:r>
      <w:r w:rsidRPr="00C63FAD">
        <w:rPr>
          <w:rFonts w:ascii="Arial" w:hAnsi="Arial" w:cs="Arial"/>
          <w:color w:val="auto"/>
          <w:sz w:val="20"/>
          <w:szCs w:val="20"/>
        </w:rPr>
        <w:t xml:space="preserve"> o zprostředkování vhodného zaměstnání krajskou pobočku úřadu práce, v jejímž obvodu mají bydliště, a při splnění zákonem stanovených podmínek jsou krajskou pobočkou úřadu práce zařazeny do evidence uchazečů o zaměstnání.</w:t>
      </w:r>
      <w:r w:rsidRPr="00C63FAD" w:rsidDel="00CC501A">
        <w:rPr>
          <w:rFonts w:ascii="Arial" w:hAnsi="Arial" w:cs="Arial"/>
          <w:color w:val="auto"/>
          <w:sz w:val="20"/>
          <w:szCs w:val="20"/>
        </w:rPr>
        <w:t xml:space="preserve"> </w:t>
      </w:r>
      <w:r w:rsidRPr="00C63FAD">
        <w:rPr>
          <w:rFonts w:ascii="Arial" w:hAnsi="Arial" w:cs="Arial"/>
          <w:b/>
          <w:color w:val="auto"/>
          <w:sz w:val="20"/>
          <w:szCs w:val="20"/>
        </w:rPr>
        <w:t xml:space="preserve">Dosažitelní </w:t>
      </w:r>
      <w:r w:rsidRPr="00432B7E">
        <w:rPr>
          <w:rFonts w:ascii="Arial" w:hAnsi="Arial" w:cs="Arial"/>
          <w:b/>
          <w:color w:val="auto"/>
          <w:sz w:val="20"/>
          <w:szCs w:val="20"/>
        </w:rPr>
        <w:t>uchazeči o zaměstnání</w:t>
      </w:r>
      <w:r w:rsidRPr="00C63FAD">
        <w:rPr>
          <w:rFonts w:ascii="Arial" w:hAnsi="Arial" w:cs="Arial"/>
          <w:color w:val="auto"/>
          <w:sz w:val="20"/>
          <w:szCs w:val="20"/>
        </w:rPr>
        <w:t xml:space="preserve"> </w:t>
      </w:r>
      <w:r w:rsidRPr="00C63FAD">
        <w:rPr>
          <w:rFonts w:ascii="Arial" w:hAnsi="Arial" w:cs="Arial"/>
          <w:b/>
          <w:color w:val="auto"/>
          <w:sz w:val="20"/>
          <w:szCs w:val="20"/>
        </w:rPr>
        <w:t>v evidenci úřadu práce</w:t>
      </w:r>
      <w:r w:rsidRPr="00C63FAD">
        <w:rPr>
          <w:rFonts w:ascii="Arial" w:hAnsi="Arial" w:cs="Arial"/>
          <w:color w:val="auto"/>
          <w:sz w:val="20"/>
          <w:szCs w:val="20"/>
        </w:rPr>
        <w:t xml:space="preserve"> jsou evidovaní uchazeči (včetně občanů EU a EHP), kteří mohou bezprostředně nastoupit do</w:t>
      </w:r>
      <w:r>
        <w:rPr>
          <w:rFonts w:ascii="Arial" w:hAnsi="Arial" w:cs="Arial"/>
          <w:color w:val="auto"/>
          <w:sz w:val="20"/>
          <w:szCs w:val="20"/>
        </w:rPr>
        <w:t> </w:t>
      </w:r>
      <w:r w:rsidRPr="00C63FAD">
        <w:rPr>
          <w:rFonts w:ascii="Arial" w:hAnsi="Arial" w:cs="Arial"/>
          <w:color w:val="auto"/>
          <w:sz w:val="20"/>
          <w:szCs w:val="20"/>
        </w:rPr>
        <w:t>zaměstnání při nabídce vhodného pracovního místa, protože nemají žádnou objektivní překážku pro přijetí do zaměstnání (nejsou ve vazbě, ve výkonu trestu, nepobírají peněžitou pomoc v mateřství, hmotné zabezpečení po dobu mateřské dovolené, nejsou v pracovní neschopnosti, nejsou zařazeni do rekvalifikačních kurzů a</w:t>
      </w:r>
      <w:r>
        <w:rPr>
          <w:rFonts w:ascii="Arial" w:hAnsi="Arial" w:cs="Arial"/>
          <w:color w:val="auto"/>
          <w:sz w:val="20"/>
          <w:szCs w:val="20"/>
        </w:rPr>
        <w:t> </w:t>
      </w:r>
      <w:r w:rsidRPr="00C63FAD">
        <w:rPr>
          <w:rFonts w:ascii="Arial" w:hAnsi="Arial" w:cs="Arial"/>
          <w:color w:val="auto"/>
          <w:sz w:val="20"/>
          <w:szCs w:val="20"/>
        </w:rPr>
        <w:t>nevykonávají krátkodobé zaměstnání).</w:t>
      </w:r>
    </w:p>
    <w:p w14:paraId="46F22237" w14:textId="77777777" w:rsidR="00125712" w:rsidRDefault="00125712" w:rsidP="00125712">
      <w:pPr>
        <w:pStyle w:val="Normlnweb"/>
        <w:spacing w:before="0" w:beforeAutospacing="0" w:after="120" w:afterAutospacing="0"/>
        <w:jc w:val="both"/>
        <w:rPr>
          <w:rFonts w:ascii="Arial" w:hAnsi="Arial" w:cs="Arial"/>
          <w:color w:val="auto"/>
          <w:sz w:val="20"/>
          <w:szCs w:val="20"/>
        </w:rPr>
      </w:pPr>
      <w:r w:rsidRPr="00C63FAD">
        <w:rPr>
          <w:rFonts w:ascii="Arial" w:hAnsi="Arial" w:cs="Arial"/>
          <w:b/>
          <w:color w:val="auto"/>
          <w:sz w:val="20"/>
          <w:szCs w:val="20"/>
        </w:rPr>
        <w:t>Podíl nezaměstnaných osob</w:t>
      </w:r>
      <w:r w:rsidRPr="00C63FAD">
        <w:rPr>
          <w:rFonts w:ascii="Arial" w:hAnsi="Arial" w:cs="Arial"/>
          <w:color w:val="auto"/>
          <w:sz w:val="20"/>
          <w:szCs w:val="20"/>
        </w:rPr>
        <w:t xml:space="preserve"> vyjadřuje podíl dosažitelných uchazečů o zaměstnání v evidenci úřadu práce ve věku 15–64 let ze všech obyvatel ve stejném věku. </w:t>
      </w:r>
    </w:p>
    <w:p w14:paraId="44C25955" w14:textId="6D4E49EE" w:rsidR="001065EB" w:rsidRPr="0021597C" w:rsidRDefault="00125712" w:rsidP="001065EB">
      <w:pPr>
        <w:jc w:val="both"/>
        <w:rPr>
          <w:rFonts w:ascii="Arial" w:hAnsi="Arial" w:cs="Arial"/>
          <w:sz w:val="20"/>
        </w:rPr>
      </w:pPr>
      <w:r w:rsidRPr="00C63FAD">
        <w:rPr>
          <w:rFonts w:ascii="Arial" w:hAnsi="Arial" w:cs="Arial"/>
          <w:b/>
          <w:sz w:val="20"/>
          <w:szCs w:val="20"/>
        </w:rPr>
        <w:t>Pracovními místy v evidenci úřadu práce</w:t>
      </w:r>
      <w:r w:rsidRPr="00C63FAD">
        <w:rPr>
          <w:rFonts w:ascii="Arial" w:hAnsi="Arial" w:cs="Arial"/>
          <w:sz w:val="20"/>
          <w:szCs w:val="20"/>
        </w:rPr>
        <w:t xml:space="preserve"> se rozumí nově vytvořená nebo uvolněná pracovní místa, na která zaměstnavatel zamýšlí získat zaměstnance nebo je hodlá obsadit dočasně přidělenými zaměstnanci </w:t>
      </w:r>
      <w:r w:rsidRPr="00C63FAD">
        <w:rPr>
          <w:rFonts w:ascii="Arial" w:hAnsi="Arial" w:cs="Arial"/>
          <w:b/>
          <w:sz w:val="20"/>
          <w:szCs w:val="20"/>
        </w:rPr>
        <w:t>agentury práce</w:t>
      </w:r>
      <w:r w:rsidRPr="00C63FAD">
        <w:rPr>
          <w:rFonts w:ascii="Arial" w:hAnsi="Arial" w:cs="Arial"/>
          <w:sz w:val="20"/>
          <w:szCs w:val="20"/>
        </w:rPr>
        <w:t xml:space="preserve"> (zákon č. 435/2004 Sb. o zaměstnanosti § 35).</w:t>
      </w:r>
      <w:r w:rsidR="001065EB" w:rsidRPr="001065EB">
        <w:rPr>
          <w:rFonts w:ascii="Arial" w:hAnsi="Arial" w:cs="Arial"/>
          <w:sz w:val="20"/>
        </w:rPr>
        <w:t xml:space="preserve"> </w:t>
      </w:r>
      <w:r w:rsidR="001065EB" w:rsidRPr="0021597C">
        <w:rPr>
          <w:rFonts w:ascii="Arial" w:hAnsi="Arial" w:cs="Arial"/>
          <w:sz w:val="20"/>
        </w:rPr>
        <w:t>V souvislosti s legislativní změnou se od 1. 1. 2025 za neobsazené pracovní místo v evidenci úřadu práce ČR považuje pouze místo, které je v evidenci vedeno po dobu maximálně 6 měsíců. Údaje z předchozích období tedy nejsou srovnatelné.</w:t>
      </w:r>
    </w:p>
    <w:p w14:paraId="1FB13BC2" w14:textId="77777777" w:rsidR="001065EB" w:rsidRDefault="001065EB" w:rsidP="001065EB">
      <w:pPr>
        <w:jc w:val="both"/>
        <w:rPr>
          <w:rFonts w:ascii="Arial" w:hAnsi="Arial" w:cs="Arial"/>
          <w:sz w:val="20"/>
        </w:rPr>
      </w:pPr>
      <w:r w:rsidRPr="0021597C">
        <w:rPr>
          <w:rFonts w:ascii="Arial" w:hAnsi="Arial" w:cs="Arial"/>
          <w:sz w:val="20"/>
        </w:rPr>
        <w:t>Od roku 2025 došlo ke sloučení datového podkladu v okresech Praha-východ a Praha-západ a v okresech Plzeň-jih a Plzeň-sever, z tohoto důvodu je vykazována pouze jedna společná hodnota.</w:t>
      </w:r>
    </w:p>
    <w:p w14:paraId="74A15137" w14:textId="77777777" w:rsidR="009B54FB" w:rsidRPr="0021597C" w:rsidRDefault="009B54FB" w:rsidP="001065EB">
      <w:pPr>
        <w:jc w:val="both"/>
        <w:rPr>
          <w:rFonts w:ascii="Arial" w:hAnsi="Arial" w:cs="Arial"/>
          <w:sz w:val="20"/>
        </w:rPr>
      </w:pPr>
    </w:p>
    <w:p w14:paraId="6B16F8B2" w14:textId="77777777" w:rsidR="00125712" w:rsidRPr="00C63FAD" w:rsidRDefault="00125712" w:rsidP="00125712">
      <w:pPr>
        <w:jc w:val="both"/>
        <w:rPr>
          <w:rFonts w:ascii="Arial" w:hAnsi="Arial" w:cs="Arial"/>
          <w:sz w:val="20"/>
          <w:szCs w:val="20"/>
        </w:rPr>
      </w:pPr>
    </w:p>
    <w:p w14:paraId="6B4FBF2B" w14:textId="77777777" w:rsidR="00956E81" w:rsidRPr="00C63FAD" w:rsidRDefault="005D1668" w:rsidP="00956E81">
      <w:pPr>
        <w:pStyle w:val="Nadpis8"/>
        <w:rPr>
          <w:rFonts w:cs="Arial"/>
          <w:b w:val="0"/>
          <w:bCs w:val="0"/>
        </w:rPr>
      </w:pPr>
      <w:r>
        <w:rPr>
          <w:rStyle w:val="Siln"/>
          <w:rFonts w:cs="Arial"/>
          <w:b/>
          <w:bCs/>
        </w:rPr>
        <w:t>EKONOMICKÉ SUBJEKTY</w:t>
      </w:r>
    </w:p>
    <w:p w14:paraId="6D65D439" w14:textId="59FF57ED" w:rsidR="00125712" w:rsidRPr="00C63FAD" w:rsidRDefault="00125712" w:rsidP="00125712">
      <w:pPr>
        <w:pStyle w:val="Zkladntext3"/>
        <w:spacing w:before="120" w:after="120"/>
        <w:rPr>
          <w:rFonts w:cs="Arial"/>
        </w:rPr>
      </w:pPr>
      <w:r w:rsidRPr="005D1668">
        <w:rPr>
          <w:rFonts w:cs="Arial"/>
          <w:szCs w:val="20"/>
        </w:rPr>
        <w:t>Údaje o ekonomických subjektech jsou sestaveny z dat vedených v</w:t>
      </w:r>
      <w:r w:rsidRPr="00C63FAD">
        <w:rPr>
          <w:rFonts w:cs="Arial"/>
        </w:rPr>
        <w:t xml:space="preserve"> Registr</w:t>
      </w:r>
      <w:r>
        <w:rPr>
          <w:rFonts w:cs="Arial"/>
        </w:rPr>
        <w:t>u</w:t>
      </w:r>
      <w:r w:rsidRPr="00C63FAD">
        <w:rPr>
          <w:rFonts w:cs="Arial"/>
        </w:rPr>
        <w:t xml:space="preserve"> ekonomických subjektů (dále jen RES). RES je veřejným seznamem, který vytváří a spravuje ČSÚ na základě zákona č. 89/1995 Sb., o státní statistické službě ve znění pozdějších předpisů. Registr se využívá především pro přípravu a realizaci statistických zjišťování. Je průběžně aktualizován daty ze statistických zjišťování</w:t>
      </w:r>
      <w:r w:rsidR="00BA0BE4">
        <w:rPr>
          <w:rFonts w:cs="Arial"/>
        </w:rPr>
        <w:t>,</w:t>
      </w:r>
      <w:r w:rsidRPr="00C63FAD">
        <w:rPr>
          <w:rFonts w:cs="Arial"/>
        </w:rPr>
        <w:t xml:space="preserve"> </w:t>
      </w:r>
      <w:r w:rsidR="00C90D69" w:rsidRPr="00C90D69">
        <w:rPr>
          <w:rFonts w:cs="Arial"/>
        </w:rPr>
        <w:t xml:space="preserve">údaji z obchodního rejstříku, živnostenských úřadů a z dalších </w:t>
      </w:r>
      <w:r w:rsidRPr="00C63FAD">
        <w:rPr>
          <w:rFonts w:cs="Arial"/>
        </w:rPr>
        <w:t xml:space="preserve">administrativních zdrojů. Po spuštění základních registrů veřejné správy od 1. 7. 2012 se hlavním zdrojem pro jeho aktualizaci stal Registr osob (ROS). </w:t>
      </w:r>
    </w:p>
    <w:p w14:paraId="768B756E" w14:textId="77777777" w:rsidR="00125712" w:rsidRPr="00C63FAD" w:rsidRDefault="00125712" w:rsidP="00125712">
      <w:pPr>
        <w:pStyle w:val="Rbntext"/>
        <w:spacing w:before="0" w:after="120"/>
        <w:rPr>
          <w:rFonts w:cs="Arial"/>
          <w:szCs w:val="24"/>
        </w:rPr>
      </w:pPr>
      <w:r w:rsidRPr="00C63FAD">
        <w:rPr>
          <w:rFonts w:cs="Arial"/>
        </w:rPr>
        <w:t xml:space="preserve">V RES jsou evidovány </w:t>
      </w:r>
      <w:r w:rsidRPr="00C63FAD">
        <w:rPr>
          <w:rFonts w:cs="Arial"/>
          <w:b/>
          <w:bCs/>
        </w:rPr>
        <w:t>právnické osoby</w:t>
      </w:r>
      <w:r w:rsidRPr="00C63FAD">
        <w:rPr>
          <w:rFonts w:cs="Arial"/>
        </w:rPr>
        <w:t xml:space="preserve"> včetně organizačních složek státu a </w:t>
      </w:r>
      <w:r w:rsidRPr="00C63FAD">
        <w:rPr>
          <w:rFonts w:cs="Arial"/>
          <w:b/>
          <w:bCs/>
        </w:rPr>
        <w:t>fyzické osoby</w:t>
      </w:r>
      <w:r w:rsidRPr="00C63FAD">
        <w:rPr>
          <w:rFonts w:cs="Arial"/>
        </w:rPr>
        <w:t xml:space="preserve">, které mají postavení podnikatele. </w:t>
      </w:r>
      <w:r w:rsidRPr="00C63FAD">
        <w:rPr>
          <w:rFonts w:cs="Arial"/>
          <w:b/>
          <w:bCs/>
          <w:szCs w:val="24"/>
        </w:rPr>
        <w:t>Fyzické osoby</w:t>
      </w:r>
      <w:r w:rsidRPr="00CA5B96">
        <w:rPr>
          <w:rFonts w:cs="Arial"/>
          <w:bCs/>
          <w:szCs w:val="24"/>
        </w:rPr>
        <w:t xml:space="preserve"> </w:t>
      </w:r>
      <w:r w:rsidRPr="00C63FAD">
        <w:rPr>
          <w:rFonts w:cs="Arial"/>
          <w:szCs w:val="24"/>
        </w:rPr>
        <w:t xml:space="preserve">zahrnují soukromé podnikatele </w:t>
      </w:r>
      <w:r w:rsidRPr="00C63FAD">
        <w:rPr>
          <w:rFonts w:cs="Arial"/>
        </w:rPr>
        <w:t>podnikající</w:t>
      </w:r>
      <w:r w:rsidRPr="00C63FAD">
        <w:rPr>
          <w:rFonts w:cs="Arial"/>
          <w:szCs w:val="24"/>
        </w:rPr>
        <w:t xml:space="preserve"> dle živnostenského zákona, zemědělské podnikatele – fyzické osoby, fyzické osoby provozující jinou podnikatelskou činnost podle zvláštních předpisů a od roku 2014 zahraniční fyzické osoby a odštěpné závody zahraničních fyzických osob (kód 424 a 425).</w:t>
      </w:r>
    </w:p>
    <w:p w14:paraId="5F24FE5C" w14:textId="77777777" w:rsidR="00125712" w:rsidRPr="00C63FAD" w:rsidRDefault="00125712" w:rsidP="00125712">
      <w:pPr>
        <w:pStyle w:val="Rbntext"/>
        <w:spacing w:before="0" w:after="120"/>
        <w:rPr>
          <w:rFonts w:cs="Arial"/>
        </w:rPr>
      </w:pPr>
      <w:r w:rsidRPr="00C63FAD">
        <w:rPr>
          <w:rFonts w:cs="Arial"/>
          <w:b/>
          <w:bCs/>
        </w:rPr>
        <w:t>Obchodní společnosti</w:t>
      </w:r>
      <w:r w:rsidRPr="00C63FAD">
        <w:rPr>
          <w:rFonts w:cs="Arial"/>
        </w:rPr>
        <w:t xml:space="preserve"> zahrnují veřejné obchodní společnosti, společnosti s ručením omezeným, komanditní společnosti, akciové společnosti, </w:t>
      </w:r>
      <w:r w:rsidRPr="00C63FAD">
        <w:rPr>
          <w:rFonts w:cs="Arial"/>
          <w:lang w:eastAsia="ko-KR"/>
        </w:rPr>
        <w:t>evropská hospodářská zájmová sdružení (kód 931) a evropské společnosti (932)</w:t>
      </w:r>
      <w:r w:rsidRPr="00C63FAD">
        <w:rPr>
          <w:rFonts w:cs="Arial"/>
        </w:rPr>
        <w:t xml:space="preserve">. </w:t>
      </w:r>
      <w:r w:rsidRPr="00C63FAD">
        <w:rPr>
          <w:rFonts w:cs="Arial"/>
          <w:b/>
          <w:bCs/>
        </w:rPr>
        <w:t>Družstva</w:t>
      </w:r>
      <w:r w:rsidRPr="00C63FAD">
        <w:rPr>
          <w:rFonts w:cs="Arial"/>
        </w:rPr>
        <w:t xml:space="preserve"> zahrnují i evropské družstevní společnosti (kód 933). </w:t>
      </w:r>
    </w:p>
    <w:p w14:paraId="293F03F0" w14:textId="1C7E281B" w:rsidR="00987DCD" w:rsidRPr="00C63FAD" w:rsidRDefault="00125712" w:rsidP="00125712">
      <w:pPr>
        <w:jc w:val="both"/>
        <w:rPr>
          <w:rFonts w:ascii="Arial" w:hAnsi="Arial" w:cs="Arial"/>
          <w:sz w:val="20"/>
        </w:rPr>
      </w:pPr>
      <w:r w:rsidRPr="00C63FAD">
        <w:rPr>
          <w:rFonts w:ascii="Arial" w:hAnsi="Arial" w:cs="Arial"/>
          <w:sz w:val="20"/>
        </w:rPr>
        <w:t xml:space="preserve">Členění RES </w:t>
      </w:r>
      <w:r w:rsidRPr="00C63FAD">
        <w:rPr>
          <w:rFonts w:ascii="Arial" w:hAnsi="Arial" w:cs="Arial"/>
          <w:b/>
          <w:bCs/>
          <w:sz w:val="20"/>
        </w:rPr>
        <w:t>podle převažující činnost</w:t>
      </w:r>
      <w:r w:rsidRPr="00C63FAD">
        <w:rPr>
          <w:rFonts w:ascii="Arial" w:hAnsi="Arial" w:cs="Arial"/>
          <w:sz w:val="20"/>
        </w:rPr>
        <w:t xml:space="preserve">i odpovídá sekcím a oddílům </w:t>
      </w:r>
      <w:r w:rsidR="00910530">
        <w:rPr>
          <w:rFonts w:ascii="Arial" w:hAnsi="Arial" w:cs="Arial"/>
          <w:sz w:val="20"/>
        </w:rPr>
        <w:t xml:space="preserve">nové </w:t>
      </w:r>
      <w:r>
        <w:rPr>
          <w:rFonts w:ascii="Arial" w:hAnsi="Arial" w:cs="Arial"/>
          <w:sz w:val="20"/>
        </w:rPr>
        <w:t>K</w:t>
      </w:r>
      <w:r w:rsidRPr="00C63FAD">
        <w:rPr>
          <w:rFonts w:ascii="Arial" w:hAnsi="Arial" w:cs="Arial"/>
          <w:sz w:val="20"/>
        </w:rPr>
        <w:t xml:space="preserve">lasifikace ekonomických činností </w:t>
      </w:r>
      <w:r w:rsidRPr="00F90EB0">
        <w:rPr>
          <w:rFonts w:ascii="Arial" w:hAnsi="Arial" w:cs="Arial"/>
          <w:b/>
          <w:bCs/>
          <w:sz w:val="20"/>
        </w:rPr>
        <w:t>CZ</w:t>
      </w:r>
      <w:r w:rsidRPr="00F90EB0">
        <w:rPr>
          <w:rFonts w:ascii="Arial" w:hAnsi="Arial" w:cs="Arial"/>
          <w:b/>
          <w:bCs/>
          <w:sz w:val="20"/>
        </w:rPr>
        <w:noBreakHyphen/>
        <w:t>NACE</w:t>
      </w:r>
      <w:r w:rsidR="00910530" w:rsidRPr="00F90EB0">
        <w:rPr>
          <w:rFonts w:ascii="Arial" w:hAnsi="Arial" w:cs="Arial"/>
          <w:b/>
          <w:bCs/>
          <w:sz w:val="20"/>
        </w:rPr>
        <w:t xml:space="preserve"> 2025</w:t>
      </w:r>
      <w:r w:rsidR="002765D4">
        <w:rPr>
          <w:rFonts w:ascii="Arial" w:hAnsi="Arial" w:cs="Arial"/>
          <w:sz w:val="20"/>
        </w:rPr>
        <w:t>, platné od 1. 1. 2025</w:t>
      </w:r>
      <w:r w:rsidRPr="00C63FAD">
        <w:rPr>
          <w:rFonts w:ascii="Arial" w:hAnsi="Arial" w:cs="Arial"/>
          <w:sz w:val="20"/>
        </w:rPr>
        <w:t xml:space="preserve">. </w:t>
      </w:r>
      <w:r w:rsidR="005F24C3">
        <w:rPr>
          <w:rFonts w:ascii="Arial" w:hAnsi="Arial" w:cs="Arial"/>
          <w:sz w:val="20"/>
        </w:rPr>
        <w:t xml:space="preserve">Zařazení subjektů do kategorie podle počtu zaměstnanců vychází z údajů o počtu zaměstnanců (fyzických osob, včetně zaměstnaných na dohody), které ČSÚ přebírá od České správy sociálního zabezpečení. </w:t>
      </w:r>
      <w:r w:rsidRPr="00C63FAD">
        <w:rPr>
          <w:rFonts w:ascii="Arial" w:hAnsi="Arial" w:cs="Arial"/>
          <w:sz w:val="20"/>
        </w:rPr>
        <w:t xml:space="preserve">Členění </w:t>
      </w:r>
      <w:r>
        <w:rPr>
          <w:rFonts w:ascii="Arial" w:hAnsi="Arial" w:cs="Arial"/>
          <w:sz w:val="20"/>
        </w:rPr>
        <w:t>pro</w:t>
      </w:r>
      <w:r w:rsidRPr="00C63FAD">
        <w:rPr>
          <w:rFonts w:ascii="Arial" w:hAnsi="Arial" w:cs="Arial"/>
          <w:sz w:val="20"/>
        </w:rPr>
        <w:t xml:space="preserve"> zařazení subjektů do institucionálních sektorů (pouze roční data) vychází z Klasifikace institucionálních </w:t>
      </w:r>
      <w:r w:rsidRPr="00C63FAD">
        <w:rPr>
          <w:rFonts w:ascii="Arial" w:hAnsi="Arial" w:cs="Arial"/>
          <w:sz w:val="20"/>
          <w:szCs w:val="20"/>
        </w:rPr>
        <w:t>sektorů</w:t>
      </w:r>
      <w:r w:rsidRPr="00C63FAD">
        <w:rPr>
          <w:rFonts w:ascii="Arial" w:hAnsi="Arial" w:cs="Arial"/>
          <w:sz w:val="20"/>
        </w:rPr>
        <w:t xml:space="preserve"> a </w:t>
      </w:r>
      <w:proofErr w:type="spellStart"/>
      <w:r w:rsidRPr="00C63FAD">
        <w:rPr>
          <w:rFonts w:ascii="Arial" w:hAnsi="Arial" w:cs="Arial"/>
          <w:sz w:val="20"/>
        </w:rPr>
        <w:t>subsektorů</w:t>
      </w:r>
      <w:proofErr w:type="spellEnd"/>
      <w:r w:rsidRPr="00C63FAD">
        <w:rPr>
          <w:rFonts w:ascii="Arial" w:hAnsi="Arial" w:cs="Arial"/>
          <w:sz w:val="20"/>
        </w:rPr>
        <w:t xml:space="preserve"> (dle ESA 2010).</w:t>
      </w:r>
    </w:p>
    <w:p w14:paraId="5C586A8E" w14:textId="77777777" w:rsidR="005D1668" w:rsidRPr="00C63FAD" w:rsidRDefault="005D1668" w:rsidP="005D1668">
      <w:pPr>
        <w:pStyle w:val="Nadpis8"/>
        <w:rPr>
          <w:rFonts w:cs="Arial"/>
          <w:b w:val="0"/>
          <w:bCs w:val="0"/>
        </w:rPr>
      </w:pPr>
      <w:r w:rsidRPr="00C63FAD">
        <w:rPr>
          <w:rStyle w:val="Siln"/>
          <w:rFonts w:cs="Arial"/>
          <w:b/>
          <w:bCs/>
        </w:rPr>
        <w:lastRenderedPageBreak/>
        <w:t>ZEMĚDĚLSTVÍ</w:t>
      </w:r>
      <w:r w:rsidRPr="00C63FAD">
        <w:rPr>
          <w:rFonts w:cs="Arial"/>
          <w:b w:val="0"/>
          <w:bCs w:val="0"/>
        </w:rPr>
        <w:t xml:space="preserve"> </w:t>
      </w:r>
    </w:p>
    <w:p w14:paraId="46FCAA2B" w14:textId="77777777" w:rsidR="005D1668" w:rsidRPr="00C63FAD" w:rsidRDefault="005D1668" w:rsidP="0031028F">
      <w:pPr>
        <w:pStyle w:val="Zkladntext3"/>
        <w:spacing w:before="120" w:after="120"/>
        <w:rPr>
          <w:rFonts w:cs="Arial"/>
        </w:rPr>
      </w:pPr>
      <w:r w:rsidRPr="0079301E">
        <w:rPr>
          <w:rFonts w:cs="Arial"/>
          <w:b/>
          <w:szCs w:val="20"/>
        </w:rPr>
        <w:t>Výroba masa</w:t>
      </w:r>
      <w:r w:rsidRPr="00E62003">
        <w:rPr>
          <w:rFonts w:cs="Arial"/>
          <w:szCs w:val="20"/>
        </w:rPr>
        <w:t xml:space="preserve"> (bez drůbežího) představuje jatečnou hmotnost zvířat (bez ohledu na to, zda jsou tuzemského původu nebo byla dovezena ze zahraničí) poražených na registrovaných jatkách. Zahrnuje maso (i</w:t>
      </w:r>
      <w:r>
        <w:rPr>
          <w:rFonts w:cs="Arial"/>
          <w:szCs w:val="20"/>
        </w:rPr>
        <w:t> </w:t>
      </w:r>
      <w:r w:rsidRPr="00E62003">
        <w:rPr>
          <w:rFonts w:cs="Arial"/>
          <w:szCs w:val="20"/>
        </w:rPr>
        <w:t>z</w:t>
      </w:r>
      <w:r>
        <w:rPr>
          <w:rFonts w:cs="Arial"/>
          <w:szCs w:val="20"/>
        </w:rPr>
        <w:t> </w:t>
      </w:r>
      <w:r w:rsidRPr="00E62003">
        <w:rPr>
          <w:rFonts w:cs="Arial"/>
          <w:szCs w:val="20"/>
        </w:rPr>
        <w:t>nutných porážek), které bylo uznáno za vhodné pro lidskou spotřebu. Jatečná hmotnost je hmotnost jatečně upravených těl dle definice stanovené v nařízeních Rady EU.</w:t>
      </w:r>
      <w:r>
        <w:rPr>
          <w:rFonts w:cs="Arial"/>
          <w:szCs w:val="20"/>
        </w:rPr>
        <w:t xml:space="preserve"> </w:t>
      </w:r>
      <w:r w:rsidRPr="00C63FAD">
        <w:rPr>
          <w:rFonts w:cs="Arial"/>
          <w:szCs w:val="20"/>
        </w:rPr>
        <w:t>Výroba masa</w:t>
      </w:r>
      <w:r>
        <w:rPr>
          <w:rFonts w:cs="Arial"/>
          <w:szCs w:val="20"/>
        </w:rPr>
        <w:t xml:space="preserve"> celkem (bez drůbežího)</w:t>
      </w:r>
      <w:r w:rsidRPr="00C63FAD">
        <w:rPr>
          <w:rFonts w:cs="Arial"/>
          <w:szCs w:val="20"/>
        </w:rPr>
        <w:t xml:space="preserve"> zahrnuje výrobu hovězího, telecího, vepřového, skopového, </w:t>
      </w:r>
      <w:r>
        <w:rPr>
          <w:rFonts w:cs="Arial"/>
          <w:szCs w:val="20"/>
        </w:rPr>
        <w:t xml:space="preserve">jehněčího, </w:t>
      </w:r>
      <w:r w:rsidRPr="00C63FAD">
        <w:rPr>
          <w:rFonts w:cs="Arial"/>
          <w:szCs w:val="20"/>
        </w:rPr>
        <w:t>kozího a koňského masa</w:t>
      </w:r>
      <w:r>
        <w:rPr>
          <w:rFonts w:cs="Arial"/>
          <w:szCs w:val="20"/>
        </w:rPr>
        <w:t xml:space="preserve">. </w:t>
      </w:r>
      <w:r w:rsidRPr="00F752DB">
        <w:rPr>
          <w:rFonts w:cs="Arial"/>
          <w:szCs w:val="20"/>
        </w:rPr>
        <w:t>Telecí maso je maso skotu poraženého ve věku do osmi měsíců, jehněčí maso je maso ovcí por</w:t>
      </w:r>
      <w:r>
        <w:rPr>
          <w:rFonts w:cs="Arial"/>
          <w:szCs w:val="20"/>
        </w:rPr>
        <w:t>ažených ve věku do jednoho roku</w:t>
      </w:r>
      <w:r w:rsidR="001A6F24">
        <w:rPr>
          <w:rFonts w:cs="Arial"/>
          <w:szCs w:val="20"/>
        </w:rPr>
        <w:t>.</w:t>
      </w:r>
    </w:p>
    <w:p w14:paraId="661912A1" w14:textId="68A6532D" w:rsidR="005D1668" w:rsidRDefault="001A6F24" w:rsidP="005D1668">
      <w:pPr>
        <w:jc w:val="both"/>
      </w:pPr>
      <w:r w:rsidRPr="00C63FAD">
        <w:rPr>
          <w:rFonts w:ascii="Arial" w:hAnsi="Arial" w:cs="Arial"/>
          <w:sz w:val="20"/>
          <w:szCs w:val="26"/>
        </w:rPr>
        <w:t xml:space="preserve">Obsah tabulky </w:t>
      </w:r>
      <w:r>
        <w:rPr>
          <w:rFonts w:ascii="Arial" w:hAnsi="Arial" w:cs="Arial"/>
          <w:sz w:val="20"/>
          <w:szCs w:val="26"/>
        </w:rPr>
        <w:t>I</w:t>
      </w:r>
      <w:r w:rsidRPr="00C63FAD">
        <w:rPr>
          <w:rFonts w:ascii="Arial" w:hAnsi="Arial" w:cs="Arial"/>
          <w:sz w:val="20"/>
          <w:szCs w:val="26"/>
        </w:rPr>
        <w:t xml:space="preserve">.2 </w:t>
      </w:r>
      <w:r>
        <w:rPr>
          <w:rFonts w:ascii="Arial" w:hAnsi="Arial" w:cs="Arial"/>
          <w:sz w:val="20"/>
          <w:szCs w:val="26"/>
        </w:rPr>
        <w:t xml:space="preserve">(popřípadě I.3) </w:t>
      </w:r>
      <w:r w:rsidRPr="00C63FAD">
        <w:rPr>
          <w:rFonts w:ascii="Arial" w:hAnsi="Arial" w:cs="Arial"/>
          <w:sz w:val="20"/>
          <w:szCs w:val="26"/>
        </w:rPr>
        <w:t>je proměnlivý</w:t>
      </w:r>
      <w:r w:rsidR="00BD6177">
        <w:rPr>
          <w:rFonts w:ascii="Arial" w:hAnsi="Arial" w:cs="Arial"/>
          <w:sz w:val="20"/>
          <w:szCs w:val="26"/>
        </w:rPr>
        <w:t>.</w:t>
      </w:r>
      <w:r w:rsidRPr="00C63FAD">
        <w:rPr>
          <w:rFonts w:ascii="Arial" w:hAnsi="Arial" w:cs="Arial"/>
          <w:sz w:val="20"/>
          <w:szCs w:val="26"/>
        </w:rPr>
        <w:t xml:space="preserve"> </w:t>
      </w:r>
      <w:r w:rsidR="00BD6177">
        <w:rPr>
          <w:rFonts w:ascii="Arial" w:hAnsi="Arial" w:cs="Arial"/>
          <w:sz w:val="20"/>
          <w:szCs w:val="26"/>
        </w:rPr>
        <w:t>V</w:t>
      </w:r>
      <w:r>
        <w:rPr>
          <w:rFonts w:ascii="Arial" w:hAnsi="Arial" w:cs="Arial"/>
          <w:sz w:val="20"/>
          <w:szCs w:val="26"/>
        </w:rPr>
        <w:t xml:space="preserve"> </w:t>
      </w:r>
      <w:r w:rsidRPr="00C63FAD">
        <w:rPr>
          <w:rFonts w:ascii="Arial" w:hAnsi="Arial" w:cs="Arial"/>
          <w:sz w:val="20"/>
          <w:szCs w:val="26"/>
        </w:rPr>
        <w:t>bulletin</w:t>
      </w:r>
      <w:r>
        <w:rPr>
          <w:rFonts w:ascii="Arial" w:hAnsi="Arial" w:cs="Arial"/>
          <w:sz w:val="20"/>
          <w:szCs w:val="26"/>
        </w:rPr>
        <w:t>u</w:t>
      </w:r>
      <w:r w:rsidRPr="00C63FAD">
        <w:rPr>
          <w:rFonts w:ascii="Arial" w:hAnsi="Arial" w:cs="Arial"/>
          <w:sz w:val="20"/>
          <w:szCs w:val="26"/>
        </w:rPr>
        <w:t xml:space="preserve"> za 1. čtvrtletí </w:t>
      </w:r>
      <w:r w:rsidR="00F90685">
        <w:rPr>
          <w:rFonts w:ascii="Arial" w:hAnsi="Arial" w:cs="Arial"/>
          <w:sz w:val="20"/>
          <w:szCs w:val="26"/>
        </w:rPr>
        <w:t xml:space="preserve">je </w:t>
      </w:r>
      <w:r>
        <w:rPr>
          <w:rFonts w:ascii="Arial" w:hAnsi="Arial" w:cs="Arial"/>
          <w:sz w:val="20"/>
          <w:szCs w:val="26"/>
        </w:rPr>
        <w:t xml:space="preserve">uveden </w:t>
      </w:r>
      <w:r w:rsidRPr="00C63FAD">
        <w:rPr>
          <w:rFonts w:ascii="Arial" w:hAnsi="Arial" w:cs="Arial"/>
          <w:b/>
          <w:sz w:val="20"/>
          <w:szCs w:val="26"/>
        </w:rPr>
        <w:t>s</w:t>
      </w:r>
      <w:r>
        <w:rPr>
          <w:rFonts w:ascii="Arial" w:hAnsi="Arial" w:cs="Arial"/>
          <w:b/>
          <w:sz w:val="20"/>
          <w:szCs w:val="26"/>
        </w:rPr>
        <w:t>tav</w:t>
      </w:r>
      <w:r w:rsidRPr="00C63FAD">
        <w:rPr>
          <w:rFonts w:ascii="Arial" w:hAnsi="Arial" w:cs="Arial"/>
          <w:b/>
          <w:sz w:val="20"/>
          <w:szCs w:val="26"/>
        </w:rPr>
        <w:t xml:space="preserve"> hospodářských zvířat</w:t>
      </w:r>
      <w:r w:rsidRPr="00C63FAD">
        <w:rPr>
          <w:rFonts w:ascii="Arial" w:hAnsi="Arial" w:cs="Arial"/>
          <w:sz w:val="20"/>
          <w:szCs w:val="26"/>
        </w:rPr>
        <w:t xml:space="preserve"> k </w:t>
      </w:r>
      <w:r>
        <w:rPr>
          <w:rFonts w:ascii="Arial" w:hAnsi="Arial" w:cs="Arial"/>
          <w:sz w:val="20"/>
          <w:szCs w:val="26"/>
        </w:rPr>
        <w:t>31</w:t>
      </w:r>
      <w:r w:rsidRPr="00C63FAD">
        <w:rPr>
          <w:rFonts w:ascii="Arial" w:hAnsi="Arial" w:cs="Arial"/>
          <w:sz w:val="20"/>
          <w:szCs w:val="26"/>
        </w:rPr>
        <w:t>. </w:t>
      </w:r>
      <w:r>
        <w:rPr>
          <w:rFonts w:ascii="Arial" w:hAnsi="Arial" w:cs="Arial"/>
          <w:sz w:val="20"/>
          <w:szCs w:val="26"/>
        </w:rPr>
        <w:t>12</w:t>
      </w:r>
      <w:r w:rsidRPr="00C63FAD">
        <w:rPr>
          <w:rFonts w:ascii="Arial" w:hAnsi="Arial" w:cs="Arial"/>
          <w:sz w:val="20"/>
          <w:szCs w:val="26"/>
        </w:rPr>
        <w:t>.</w:t>
      </w:r>
      <w:r>
        <w:rPr>
          <w:rFonts w:ascii="Arial" w:hAnsi="Arial" w:cs="Arial"/>
          <w:sz w:val="20"/>
          <w:szCs w:val="26"/>
        </w:rPr>
        <w:t xml:space="preserve"> </w:t>
      </w:r>
      <w:r w:rsidR="00C90D69" w:rsidRPr="00C90D69">
        <w:rPr>
          <w:rFonts w:ascii="Arial" w:hAnsi="Arial" w:cs="Arial"/>
          <w:sz w:val="20"/>
          <w:szCs w:val="26"/>
        </w:rPr>
        <w:t>202</w:t>
      </w:r>
      <w:r w:rsidR="00910530">
        <w:rPr>
          <w:rFonts w:ascii="Arial" w:hAnsi="Arial" w:cs="Arial"/>
          <w:sz w:val="20"/>
          <w:szCs w:val="26"/>
        </w:rPr>
        <w:t>5</w:t>
      </w:r>
      <w:r w:rsidR="00C90D69" w:rsidRPr="00C90D69">
        <w:rPr>
          <w:rFonts w:ascii="Arial" w:hAnsi="Arial" w:cs="Arial"/>
          <w:sz w:val="20"/>
          <w:szCs w:val="26"/>
        </w:rPr>
        <w:t>, který vychází ze statistick</w:t>
      </w:r>
      <w:r w:rsidR="00910530">
        <w:rPr>
          <w:rFonts w:ascii="Arial" w:hAnsi="Arial" w:cs="Arial"/>
          <w:sz w:val="20"/>
          <w:szCs w:val="26"/>
        </w:rPr>
        <w:t>ých</w:t>
      </w:r>
      <w:r w:rsidR="00C90D69" w:rsidRPr="00C90D69">
        <w:rPr>
          <w:rFonts w:ascii="Arial" w:hAnsi="Arial" w:cs="Arial"/>
          <w:sz w:val="20"/>
          <w:szCs w:val="26"/>
        </w:rPr>
        <w:t xml:space="preserve"> zjišťování</w:t>
      </w:r>
      <w:r w:rsidR="00991FD9">
        <w:rPr>
          <w:rFonts w:ascii="Arial" w:hAnsi="Arial" w:cs="Arial"/>
          <w:sz w:val="20"/>
          <w:szCs w:val="26"/>
        </w:rPr>
        <w:t xml:space="preserve"> a z </w:t>
      </w:r>
      <w:r w:rsidR="00C90D69" w:rsidRPr="00C90D69">
        <w:rPr>
          <w:rFonts w:ascii="Arial" w:hAnsi="Arial" w:cs="Arial"/>
          <w:sz w:val="20"/>
          <w:szCs w:val="26"/>
        </w:rPr>
        <w:t>Integrovaného zemědělského registru</w:t>
      </w:r>
      <w:r w:rsidR="00F90EB0">
        <w:rPr>
          <w:rFonts w:ascii="Arial" w:hAnsi="Arial" w:cs="Arial"/>
          <w:sz w:val="20"/>
          <w:szCs w:val="26"/>
        </w:rPr>
        <w:t xml:space="preserve"> </w:t>
      </w:r>
      <w:r w:rsidR="00910530">
        <w:rPr>
          <w:rFonts w:ascii="Arial" w:hAnsi="Arial" w:cs="Arial"/>
          <w:sz w:val="20"/>
          <w:szCs w:val="26"/>
        </w:rPr>
        <w:t xml:space="preserve">spravovaného </w:t>
      </w:r>
      <w:proofErr w:type="spellStart"/>
      <w:r w:rsidR="00910530">
        <w:rPr>
          <w:rFonts w:ascii="Arial" w:hAnsi="Arial" w:cs="Arial"/>
          <w:sz w:val="20"/>
          <w:szCs w:val="26"/>
        </w:rPr>
        <w:t>MZe</w:t>
      </w:r>
      <w:proofErr w:type="spellEnd"/>
      <w:r w:rsidR="00C90D69" w:rsidRPr="00C90D69">
        <w:rPr>
          <w:rFonts w:ascii="Arial" w:hAnsi="Arial" w:cs="Arial"/>
          <w:sz w:val="20"/>
          <w:szCs w:val="26"/>
        </w:rPr>
        <w:t>.</w:t>
      </w:r>
      <w:r w:rsidRPr="00C63FAD">
        <w:rPr>
          <w:rFonts w:ascii="Arial" w:hAnsi="Arial" w:cs="Arial"/>
          <w:sz w:val="20"/>
          <w:szCs w:val="26"/>
        </w:rPr>
        <w:t xml:space="preserve"> </w:t>
      </w:r>
      <w:r w:rsidR="00C90D69">
        <w:rPr>
          <w:rFonts w:ascii="Arial" w:hAnsi="Arial" w:cs="Arial"/>
          <w:sz w:val="20"/>
          <w:szCs w:val="26"/>
        </w:rPr>
        <w:t>B</w:t>
      </w:r>
      <w:r w:rsidRPr="00C63FAD">
        <w:rPr>
          <w:rFonts w:ascii="Arial" w:hAnsi="Arial" w:cs="Arial"/>
          <w:sz w:val="20"/>
          <w:szCs w:val="26"/>
        </w:rPr>
        <w:t>ulletin za</w:t>
      </w:r>
      <w:r>
        <w:rPr>
          <w:rFonts w:ascii="Arial" w:hAnsi="Arial" w:cs="Arial"/>
          <w:sz w:val="20"/>
          <w:szCs w:val="26"/>
        </w:rPr>
        <w:t> </w:t>
      </w:r>
      <w:r w:rsidRPr="00C63FAD">
        <w:rPr>
          <w:rFonts w:ascii="Arial" w:hAnsi="Arial" w:cs="Arial"/>
          <w:sz w:val="20"/>
          <w:szCs w:val="26"/>
        </w:rPr>
        <w:t>1.</w:t>
      </w:r>
      <w:r>
        <w:rPr>
          <w:rFonts w:ascii="Arial" w:hAnsi="Arial" w:cs="Arial"/>
          <w:sz w:val="20"/>
          <w:szCs w:val="26"/>
        </w:rPr>
        <w:t> </w:t>
      </w:r>
      <w:r w:rsidRPr="00C63FAD">
        <w:rPr>
          <w:rFonts w:ascii="Arial" w:hAnsi="Arial" w:cs="Arial"/>
          <w:sz w:val="20"/>
          <w:szCs w:val="26"/>
        </w:rPr>
        <w:t xml:space="preserve">až 2. čtvrtletí </w:t>
      </w:r>
      <w:r>
        <w:rPr>
          <w:rFonts w:ascii="Arial" w:hAnsi="Arial" w:cs="Arial"/>
          <w:sz w:val="20"/>
          <w:szCs w:val="26"/>
        </w:rPr>
        <w:t xml:space="preserve">přináší </w:t>
      </w:r>
      <w:r w:rsidRPr="00C63FAD">
        <w:rPr>
          <w:rFonts w:ascii="Arial" w:hAnsi="Arial" w:cs="Arial"/>
          <w:sz w:val="20"/>
          <w:szCs w:val="26"/>
        </w:rPr>
        <w:t xml:space="preserve">údaje o </w:t>
      </w:r>
      <w:r w:rsidRPr="00C63FAD">
        <w:rPr>
          <w:rFonts w:ascii="Arial" w:hAnsi="Arial" w:cs="Arial"/>
          <w:b/>
          <w:sz w:val="20"/>
          <w:szCs w:val="26"/>
        </w:rPr>
        <w:t>osevních plochách</w:t>
      </w:r>
      <w:r w:rsidRPr="00C63FAD">
        <w:rPr>
          <w:rFonts w:ascii="Arial" w:hAnsi="Arial" w:cs="Arial"/>
          <w:sz w:val="20"/>
          <w:szCs w:val="26"/>
        </w:rPr>
        <w:t xml:space="preserve"> </w:t>
      </w:r>
      <w:r>
        <w:rPr>
          <w:rFonts w:ascii="Arial" w:hAnsi="Arial" w:cs="Arial"/>
          <w:sz w:val="20"/>
          <w:szCs w:val="26"/>
        </w:rPr>
        <w:t xml:space="preserve">zjištěné šetřením </w:t>
      </w:r>
      <w:r w:rsidRPr="00C63FAD">
        <w:rPr>
          <w:rFonts w:ascii="Arial" w:hAnsi="Arial" w:cs="Arial"/>
          <w:sz w:val="20"/>
          <w:szCs w:val="26"/>
        </w:rPr>
        <w:t>k 31.</w:t>
      </w:r>
      <w:r w:rsidR="00C90D69">
        <w:rPr>
          <w:rFonts w:ascii="Arial" w:hAnsi="Arial" w:cs="Arial"/>
          <w:sz w:val="20"/>
          <w:szCs w:val="26"/>
        </w:rPr>
        <w:t> </w:t>
      </w:r>
      <w:r w:rsidRPr="00C63FAD">
        <w:rPr>
          <w:rFonts w:ascii="Arial" w:hAnsi="Arial" w:cs="Arial"/>
          <w:sz w:val="20"/>
          <w:szCs w:val="26"/>
        </w:rPr>
        <w:t>5., bulletin za 1.</w:t>
      </w:r>
      <w:r>
        <w:rPr>
          <w:rFonts w:ascii="Arial" w:hAnsi="Arial" w:cs="Arial"/>
          <w:sz w:val="20"/>
          <w:szCs w:val="26"/>
        </w:rPr>
        <w:t> </w:t>
      </w:r>
      <w:r w:rsidRPr="00C63FAD">
        <w:rPr>
          <w:rFonts w:ascii="Arial" w:hAnsi="Arial" w:cs="Arial"/>
          <w:sz w:val="20"/>
          <w:szCs w:val="26"/>
        </w:rPr>
        <w:t>až 3.</w:t>
      </w:r>
      <w:r w:rsidR="00C90D69">
        <w:rPr>
          <w:rFonts w:ascii="Arial" w:hAnsi="Arial" w:cs="Arial"/>
          <w:sz w:val="20"/>
          <w:szCs w:val="26"/>
        </w:rPr>
        <w:t> </w:t>
      </w:r>
      <w:r w:rsidRPr="00C63FAD">
        <w:rPr>
          <w:rFonts w:ascii="Arial" w:hAnsi="Arial" w:cs="Arial"/>
          <w:sz w:val="20"/>
          <w:szCs w:val="26"/>
        </w:rPr>
        <w:t xml:space="preserve">čtvrtletí </w:t>
      </w:r>
      <w:r w:rsidRPr="00C63FAD">
        <w:rPr>
          <w:rFonts w:ascii="Arial" w:hAnsi="Arial" w:cs="Arial"/>
          <w:b/>
          <w:sz w:val="20"/>
          <w:szCs w:val="26"/>
        </w:rPr>
        <w:t>odhad sklizně</w:t>
      </w:r>
      <w:r w:rsidRPr="00C63FAD">
        <w:rPr>
          <w:rFonts w:ascii="Arial" w:hAnsi="Arial" w:cs="Arial"/>
          <w:sz w:val="20"/>
          <w:szCs w:val="26"/>
        </w:rPr>
        <w:t xml:space="preserve"> </w:t>
      </w:r>
      <w:r w:rsidRPr="00F53B9F">
        <w:rPr>
          <w:rFonts w:ascii="Arial" w:hAnsi="Arial" w:cs="Arial"/>
          <w:sz w:val="20"/>
          <w:szCs w:val="26"/>
        </w:rPr>
        <w:t>a</w:t>
      </w:r>
      <w:r w:rsidR="00910530">
        <w:rPr>
          <w:rFonts w:ascii="Arial" w:hAnsi="Arial" w:cs="Arial"/>
          <w:sz w:val="20"/>
          <w:szCs w:val="26"/>
        </w:rPr>
        <w:t> </w:t>
      </w:r>
      <w:r w:rsidRPr="00F53B9F">
        <w:rPr>
          <w:rFonts w:ascii="Arial" w:hAnsi="Arial" w:cs="Arial"/>
          <w:sz w:val="20"/>
          <w:szCs w:val="26"/>
        </w:rPr>
        <w:t>odhad hektarových výnosů sklizně</w:t>
      </w:r>
      <w:r>
        <w:rPr>
          <w:rFonts w:ascii="Arial" w:hAnsi="Arial" w:cs="Arial"/>
          <w:sz w:val="20"/>
          <w:szCs w:val="26"/>
        </w:rPr>
        <w:t xml:space="preserve"> </w:t>
      </w:r>
      <w:r w:rsidRPr="00C63FAD">
        <w:rPr>
          <w:rFonts w:ascii="Arial" w:hAnsi="Arial" w:cs="Arial"/>
          <w:sz w:val="20"/>
          <w:szCs w:val="26"/>
        </w:rPr>
        <w:t xml:space="preserve">zemědělských plodin </w:t>
      </w:r>
      <w:r>
        <w:rPr>
          <w:rFonts w:ascii="Arial" w:hAnsi="Arial" w:cs="Arial"/>
          <w:sz w:val="20"/>
          <w:szCs w:val="26"/>
        </w:rPr>
        <w:t>k 30.</w:t>
      </w:r>
      <w:r w:rsidR="00C90D69">
        <w:rPr>
          <w:rFonts w:ascii="Arial" w:hAnsi="Arial" w:cs="Arial"/>
          <w:sz w:val="20"/>
          <w:szCs w:val="26"/>
        </w:rPr>
        <w:t> </w:t>
      </w:r>
      <w:r>
        <w:rPr>
          <w:rFonts w:ascii="Arial" w:hAnsi="Arial" w:cs="Arial"/>
          <w:sz w:val="20"/>
          <w:szCs w:val="26"/>
        </w:rPr>
        <w:t xml:space="preserve">9. </w:t>
      </w:r>
      <w:r w:rsidRPr="00C63FAD">
        <w:rPr>
          <w:rFonts w:ascii="Arial" w:hAnsi="Arial" w:cs="Arial"/>
          <w:sz w:val="20"/>
          <w:szCs w:val="26"/>
        </w:rPr>
        <w:t>a bulletin za 1. až 4.</w:t>
      </w:r>
      <w:r w:rsidR="00C90D69">
        <w:rPr>
          <w:rFonts w:ascii="Arial" w:hAnsi="Arial" w:cs="Arial"/>
          <w:sz w:val="20"/>
          <w:szCs w:val="26"/>
        </w:rPr>
        <w:t> </w:t>
      </w:r>
      <w:r w:rsidRPr="00C63FAD">
        <w:rPr>
          <w:rFonts w:ascii="Arial" w:hAnsi="Arial" w:cs="Arial"/>
          <w:sz w:val="20"/>
          <w:szCs w:val="26"/>
        </w:rPr>
        <w:t xml:space="preserve">čtvrtletí </w:t>
      </w:r>
      <w:r w:rsidRPr="00C63FAD">
        <w:rPr>
          <w:rFonts w:ascii="Arial" w:hAnsi="Arial" w:cs="Arial"/>
          <w:b/>
          <w:sz w:val="20"/>
          <w:szCs w:val="26"/>
        </w:rPr>
        <w:t>výsledky sklizně</w:t>
      </w:r>
      <w:r w:rsidRPr="00C90D69">
        <w:rPr>
          <w:rFonts w:ascii="Arial" w:hAnsi="Arial" w:cs="Arial"/>
          <w:sz w:val="20"/>
          <w:szCs w:val="26"/>
        </w:rPr>
        <w:t xml:space="preserve"> </w:t>
      </w:r>
      <w:r w:rsidRPr="00F53B9F">
        <w:rPr>
          <w:rFonts w:ascii="Arial" w:hAnsi="Arial" w:cs="Arial"/>
          <w:sz w:val="20"/>
          <w:szCs w:val="26"/>
        </w:rPr>
        <w:t>a hektarové výnosy sklizně</w:t>
      </w:r>
      <w:r>
        <w:rPr>
          <w:rFonts w:ascii="Arial" w:hAnsi="Arial" w:cs="Arial"/>
          <w:sz w:val="20"/>
          <w:szCs w:val="26"/>
        </w:rPr>
        <w:t xml:space="preserve">. </w:t>
      </w:r>
      <w:r w:rsidRPr="00C63FAD">
        <w:rPr>
          <w:rFonts w:ascii="Arial" w:hAnsi="Arial" w:cs="Arial"/>
          <w:sz w:val="20"/>
          <w:szCs w:val="26"/>
        </w:rPr>
        <w:t>Podrobné metodické vysvětlivky k tabulkám jsou uvedeny v</w:t>
      </w:r>
      <w:r>
        <w:rPr>
          <w:rFonts w:ascii="Arial" w:hAnsi="Arial" w:cs="Arial"/>
          <w:sz w:val="20"/>
          <w:szCs w:val="26"/>
        </w:rPr>
        <w:t> </w:t>
      </w:r>
      <w:r w:rsidRPr="00C63FAD">
        <w:rPr>
          <w:rFonts w:ascii="Arial" w:hAnsi="Arial" w:cs="Arial"/>
          <w:sz w:val="20"/>
          <w:szCs w:val="26"/>
        </w:rPr>
        <w:t>příslušných speciálních publikacích ČSÚ.</w:t>
      </w:r>
      <w:r w:rsidR="009F08C7" w:rsidRPr="009F08C7">
        <w:t xml:space="preserve"> </w:t>
      </w:r>
    </w:p>
    <w:p w14:paraId="313BD56E" w14:textId="77777777" w:rsidR="009B54FB" w:rsidRDefault="009B54FB" w:rsidP="005D1668">
      <w:pPr>
        <w:jc w:val="both"/>
        <w:rPr>
          <w:rFonts w:ascii="Arial" w:hAnsi="Arial" w:cs="Arial"/>
          <w:sz w:val="20"/>
          <w:szCs w:val="26"/>
        </w:rPr>
      </w:pPr>
    </w:p>
    <w:p w14:paraId="6AEC909D" w14:textId="77777777" w:rsidR="001A6F24" w:rsidRPr="00F90685" w:rsidRDefault="001A6F24" w:rsidP="005D1668">
      <w:pPr>
        <w:jc w:val="both"/>
        <w:rPr>
          <w:rFonts w:ascii="Arial" w:hAnsi="Arial" w:cs="Arial"/>
          <w:sz w:val="22"/>
          <w:szCs w:val="26"/>
        </w:rPr>
      </w:pPr>
    </w:p>
    <w:p w14:paraId="1074C6FB" w14:textId="77777777" w:rsidR="005D1668" w:rsidRPr="00C63FAD" w:rsidRDefault="005D1668" w:rsidP="0031028F">
      <w:pPr>
        <w:pStyle w:val="Nadpis8"/>
        <w:rPr>
          <w:rFonts w:cs="Arial"/>
          <w:b w:val="0"/>
          <w:bCs w:val="0"/>
        </w:rPr>
      </w:pPr>
      <w:r w:rsidRPr="00C63FAD">
        <w:rPr>
          <w:rStyle w:val="Siln"/>
          <w:rFonts w:cs="Arial"/>
          <w:b/>
          <w:bCs/>
        </w:rPr>
        <w:t>PRŮMYSL</w:t>
      </w:r>
      <w:r w:rsidRPr="00C63FAD">
        <w:rPr>
          <w:rFonts w:cs="Arial"/>
          <w:b w:val="0"/>
          <w:bCs w:val="0"/>
        </w:rPr>
        <w:t xml:space="preserve"> </w:t>
      </w:r>
    </w:p>
    <w:p w14:paraId="6B024D0B" w14:textId="602FD513" w:rsidR="001A6F24" w:rsidRPr="009F08C7" w:rsidRDefault="001A6F24" w:rsidP="00F90EB0">
      <w:pPr>
        <w:jc w:val="both"/>
        <w:rPr>
          <w:rFonts w:ascii="Arial" w:hAnsi="Arial" w:cs="Arial"/>
          <w:sz w:val="20"/>
          <w:szCs w:val="26"/>
        </w:rPr>
      </w:pPr>
      <w:r w:rsidRPr="001A6F24">
        <w:rPr>
          <w:rFonts w:ascii="Arial" w:hAnsi="Arial" w:cs="Arial"/>
          <w:sz w:val="20"/>
          <w:szCs w:val="20"/>
        </w:rPr>
        <w:t xml:space="preserve">Údaje jsou publikovány za podnikatelské subjekty s převažující průmyslovou činností (sekce CZ-NACE B, C, D = Těžba a dobývání, Zpracovatelský průmysl a Výroba a rozvod elektřiny, plynu, tepla a klimatizovaného vzduchu) </w:t>
      </w:r>
      <w:r w:rsidRPr="001A6F24">
        <w:rPr>
          <w:rFonts w:ascii="Arial" w:hAnsi="Arial" w:cs="Arial"/>
          <w:b/>
          <w:sz w:val="20"/>
          <w:szCs w:val="20"/>
        </w:rPr>
        <w:t xml:space="preserve">se 100 a více zaměstnanci </w:t>
      </w:r>
      <w:r w:rsidRPr="001A6F24">
        <w:rPr>
          <w:rFonts w:ascii="Arial" w:hAnsi="Arial" w:cs="Arial"/>
          <w:sz w:val="20"/>
          <w:szCs w:val="20"/>
        </w:rPr>
        <w:t xml:space="preserve">a zjišťovány podnikovou metodou, tedy za podniky </w:t>
      </w:r>
      <w:r w:rsidRPr="001A6F24">
        <w:rPr>
          <w:rFonts w:ascii="Arial" w:hAnsi="Arial" w:cs="Arial"/>
          <w:b/>
          <w:sz w:val="20"/>
          <w:szCs w:val="20"/>
        </w:rPr>
        <w:t>se sídlem na příslušném území</w:t>
      </w:r>
      <w:r w:rsidRPr="001A6F24">
        <w:rPr>
          <w:rFonts w:ascii="Arial" w:hAnsi="Arial" w:cs="Arial"/>
          <w:sz w:val="20"/>
          <w:szCs w:val="20"/>
        </w:rPr>
        <w:t xml:space="preserve"> včetně jejich závodů a provozoven v jiných krajích. V kategorii </w:t>
      </w:r>
      <w:r w:rsidR="00E26F1D">
        <w:rPr>
          <w:rFonts w:ascii="Arial" w:hAnsi="Arial" w:cs="Arial"/>
          <w:sz w:val="20"/>
          <w:szCs w:val="20"/>
        </w:rPr>
        <w:t xml:space="preserve">subjektů </w:t>
      </w:r>
      <w:r w:rsidRPr="001A6F24">
        <w:rPr>
          <w:rFonts w:ascii="Arial" w:hAnsi="Arial" w:cs="Arial"/>
          <w:sz w:val="20"/>
          <w:szCs w:val="20"/>
        </w:rPr>
        <w:t>100 a více zaměstnanců je zjišťování úplné.</w:t>
      </w:r>
      <w:r w:rsidR="009F08C7" w:rsidRPr="009F08C7">
        <w:rPr>
          <w:rFonts w:ascii="Arial" w:hAnsi="Arial" w:cs="Arial"/>
          <w:sz w:val="20"/>
          <w:szCs w:val="26"/>
        </w:rPr>
        <w:t xml:space="preserve"> Data jsou tříděna dle</w:t>
      </w:r>
      <w:r w:rsidR="009F08C7">
        <w:rPr>
          <w:rFonts w:ascii="Arial" w:hAnsi="Arial" w:cs="Arial"/>
          <w:sz w:val="20"/>
          <w:szCs w:val="26"/>
        </w:rPr>
        <w:t xml:space="preserve"> Klasifikace ekonomických činností</w:t>
      </w:r>
      <w:r w:rsidR="009F08C7" w:rsidRPr="009F08C7">
        <w:rPr>
          <w:rFonts w:ascii="Arial" w:hAnsi="Arial" w:cs="Arial"/>
          <w:sz w:val="20"/>
          <w:szCs w:val="26"/>
        </w:rPr>
        <w:t xml:space="preserve"> </w:t>
      </w:r>
      <w:r w:rsidR="009F08C7" w:rsidRPr="00F90EB0">
        <w:rPr>
          <w:rFonts w:ascii="Arial" w:hAnsi="Arial" w:cs="Arial"/>
          <w:b/>
          <w:bCs/>
          <w:sz w:val="20"/>
          <w:szCs w:val="26"/>
        </w:rPr>
        <w:t>CZ-NACE</w:t>
      </w:r>
      <w:r w:rsidR="009F08C7">
        <w:rPr>
          <w:rFonts w:ascii="Arial" w:hAnsi="Arial" w:cs="Arial"/>
          <w:sz w:val="20"/>
          <w:szCs w:val="26"/>
        </w:rPr>
        <w:t>, která je platná od roku</w:t>
      </w:r>
      <w:r w:rsidR="009F08C7" w:rsidRPr="009F08C7">
        <w:rPr>
          <w:rFonts w:ascii="Arial" w:hAnsi="Arial" w:cs="Arial"/>
          <w:sz w:val="20"/>
          <w:szCs w:val="26"/>
        </w:rPr>
        <w:t xml:space="preserve"> 2008.</w:t>
      </w:r>
    </w:p>
    <w:p w14:paraId="5252923C" w14:textId="77777777" w:rsidR="001A6F24" w:rsidRPr="001A6F24" w:rsidRDefault="001A6F24" w:rsidP="001A6F24">
      <w:pPr>
        <w:pStyle w:val="Normlnweb"/>
        <w:spacing w:before="120" w:beforeAutospacing="0" w:after="120" w:afterAutospacing="0"/>
        <w:jc w:val="both"/>
        <w:rPr>
          <w:rFonts w:ascii="Arial" w:hAnsi="Arial" w:cs="Arial"/>
          <w:sz w:val="20"/>
          <w:szCs w:val="20"/>
        </w:rPr>
      </w:pPr>
      <w:r w:rsidRPr="001A6F24">
        <w:rPr>
          <w:rFonts w:ascii="Arial" w:hAnsi="Arial" w:cs="Arial"/>
          <w:b/>
          <w:sz w:val="20"/>
          <w:szCs w:val="20"/>
        </w:rPr>
        <w:t>Tržby z prodeje výrobků a služeb</w:t>
      </w:r>
      <w:r w:rsidRPr="001A6F24">
        <w:rPr>
          <w:rFonts w:ascii="Arial" w:hAnsi="Arial" w:cs="Arial"/>
          <w:sz w:val="20"/>
          <w:szCs w:val="20"/>
        </w:rPr>
        <w:t xml:space="preserve"> </w:t>
      </w:r>
      <w:r w:rsidRPr="001A6F24">
        <w:rPr>
          <w:rFonts w:ascii="Arial" w:hAnsi="Arial" w:cs="Arial"/>
          <w:b/>
          <w:sz w:val="20"/>
          <w:szCs w:val="20"/>
        </w:rPr>
        <w:t>průmyslové povahy</w:t>
      </w:r>
      <w:r w:rsidRPr="001A6F24">
        <w:rPr>
          <w:rFonts w:ascii="Arial" w:hAnsi="Arial" w:cs="Arial"/>
          <w:sz w:val="20"/>
          <w:szCs w:val="20"/>
        </w:rPr>
        <w:t xml:space="preserve"> jsou uvedeny v základních běžných cenách, které fakturuje výrobce kupujícímu. </w:t>
      </w:r>
      <w:r w:rsidRPr="001A6F24">
        <w:rPr>
          <w:rFonts w:ascii="Arial" w:hAnsi="Arial" w:cs="Arial"/>
          <w:bCs/>
          <w:sz w:val="20"/>
          <w:szCs w:val="20"/>
        </w:rPr>
        <w:t xml:space="preserve">Zařazeny jsou pouze tržby za výrobky a služby z CZ-CPA 05–39, jedná se tedy o tržby očištěné od neprůmyslových činností podniku. Mezi služby průmyslové povahy patří rovněž obchod, přenos, distribuce a rozvod energií. Tržbou za tuto službu je rozdíl mezi hodnotou nakoupené a prodané (předané) energie. </w:t>
      </w:r>
      <w:r w:rsidRPr="001A6F24">
        <w:rPr>
          <w:rFonts w:ascii="Arial" w:hAnsi="Arial" w:cs="Arial"/>
          <w:sz w:val="20"/>
          <w:szCs w:val="20"/>
        </w:rPr>
        <w:t>Tržby (příjmy) zahrnují prodej vlastní hmotné a nehmotné produkce, oceněné v běžných cenách. Součástí těchto tržeb není DPH, spotřební daň ani clo.</w:t>
      </w:r>
    </w:p>
    <w:p w14:paraId="44C0EFB9" w14:textId="77777777" w:rsidR="001A6F24" w:rsidRDefault="001A6F24" w:rsidP="001A6F24">
      <w:pPr>
        <w:pStyle w:val="Zkladntext3"/>
        <w:spacing w:after="120"/>
        <w:rPr>
          <w:rFonts w:cs="Arial"/>
          <w:szCs w:val="18"/>
        </w:rPr>
      </w:pPr>
      <w:r>
        <w:rPr>
          <w:rFonts w:cs="Arial"/>
          <w:b/>
          <w:szCs w:val="18"/>
        </w:rPr>
        <w:t>Průměrný evidenční počet zaměstnanců</w:t>
      </w:r>
      <w:r>
        <w:rPr>
          <w:rFonts w:cs="Arial"/>
          <w:szCs w:val="18"/>
        </w:rPr>
        <w:t xml:space="preserve"> </w:t>
      </w:r>
      <w:r w:rsidRPr="006A20C7">
        <w:rPr>
          <w:szCs w:val="20"/>
        </w:rPr>
        <w:t>(ve fyzických osobách) zahrnuje všechny stálé, sezónní a</w:t>
      </w:r>
      <w:r>
        <w:rPr>
          <w:szCs w:val="20"/>
        </w:rPr>
        <w:t> </w:t>
      </w:r>
      <w:r w:rsidRPr="006A20C7">
        <w:rPr>
          <w:szCs w:val="20"/>
        </w:rPr>
        <w:t>dočasné zaměstnance, kteří jsou v pracovním poměru k zaměstnavateli a</w:t>
      </w:r>
      <w:r>
        <w:rPr>
          <w:szCs w:val="20"/>
        </w:rPr>
        <w:t> </w:t>
      </w:r>
      <w:r w:rsidRPr="006A20C7">
        <w:rPr>
          <w:szCs w:val="20"/>
        </w:rPr>
        <w:t>za svou práci dostávají od zaměstnavatele mzdu.</w:t>
      </w:r>
      <w:r w:rsidRPr="006A20C7">
        <w:rPr>
          <w:rFonts w:cs="Arial"/>
          <w:szCs w:val="20"/>
        </w:rPr>
        <w:t xml:space="preserve"> </w:t>
      </w:r>
      <w:r>
        <w:rPr>
          <w:rFonts w:cs="Arial"/>
          <w:szCs w:val="18"/>
        </w:rPr>
        <w:t xml:space="preserve">Počítá se jako součet počtu fyzických osob v jednotlivých dnech sledovaného měsíce (včetně dnů pracovního klidu a pracovního volna), který se dělí počtem všech kalendářních dnů </w:t>
      </w:r>
      <w:r>
        <w:rPr>
          <w:rFonts w:cs="Arial"/>
          <w:szCs w:val="20"/>
        </w:rPr>
        <w:t>měsíce</w:t>
      </w:r>
      <w:r>
        <w:rPr>
          <w:rFonts w:cs="Arial"/>
          <w:szCs w:val="18"/>
        </w:rPr>
        <w:t>.</w:t>
      </w:r>
    </w:p>
    <w:p w14:paraId="38B96393" w14:textId="77777777" w:rsidR="001A6F24" w:rsidRDefault="001A6F24" w:rsidP="001A6F24">
      <w:pPr>
        <w:pStyle w:val="Normlnweb"/>
        <w:spacing w:before="120" w:beforeAutospacing="0" w:after="0" w:afterAutospacing="0"/>
        <w:jc w:val="both"/>
        <w:rPr>
          <w:rFonts w:ascii="Arial" w:hAnsi="Arial" w:cs="Arial"/>
          <w:sz w:val="20"/>
          <w:szCs w:val="20"/>
        </w:rPr>
      </w:pPr>
      <w:r w:rsidRPr="001A6F24">
        <w:rPr>
          <w:rFonts w:ascii="Arial" w:hAnsi="Arial" w:cs="Arial"/>
          <w:b/>
          <w:sz w:val="20"/>
          <w:szCs w:val="20"/>
        </w:rPr>
        <w:t>Průměrná hrubá měsíční mzda</w:t>
      </w:r>
      <w:r w:rsidRPr="001A6F24">
        <w:rPr>
          <w:rFonts w:ascii="Arial" w:hAnsi="Arial" w:cs="Arial"/>
          <w:sz w:val="20"/>
          <w:szCs w:val="20"/>
        </w:rPr>
        <w:t xml:space="preserve"> jednoho zaměstnance vyjadřuje všechny pracovní příjmy (základní mzdy, osobní příplatky a ohodnocení, prémie a odměny, podíly na výsledcích hospodaření a náhrady mzdy), které byly zúčtovány zaměstnancům v evidenčním počtu podle příslušných platových a mzdových předpisů. Nezahrnují se náhrady mzdy nebo platu za dobu trvání dočasné pracovní neschopnosti nebo karantény placené zaměstnavatelem.</w:t>
      </w:r>
    </w:p>
    <w:p w14:paraId="0B768D23" w14:textId="77777777" w:rsidR="009B54FB" w:rsidRDefault="009B54FB" w:rsidP="001A6F24">
      <w:pPr>
        <w:pStyle w:val="Normlnweb"/>
        <w:spacing w:before="120" w:beforeAutospacing="0" w:after="0" w:afterAutospacing="0"/>
        <w:jc w:val="both"/>
        <w:rPr>
          <w:rFonts w:ascii="Arial" w:hAnsi="Arial" w:cs="Arial"/>
          <w:sz w:val="20"/>
          <w:szCs w:val="20"/>
        </w:rPr>
      </w:pPr>
    </w:p>
    <w:p w14:paraId="3B2DD04D" w14:textId="516F7158" w:rsidR="001A6F24" w:rsidRPr="00F90685" w:rsidRDefault="001A6F24" w:rsidP="001A6F24">
      <w:pPr>
        <w:pStyle w:val="Normlnweb"/>
        <w:spacing w:before="120" w:beforeAutospacing="0" w:after="0" w:afterAutospacing="0"/>
        <w:jc w:val="both"/>
        <w:rPr>
          <w:rFonts w:ascii="Arial" w:hAnsi="Arial" w:cs="Arial"/>
          <w:sz w:val="22"/>
          <w:szCs w:val="20"/>
        </w:rPr>
      </w:pPr>
    </w:p>
    <w:p w14:paraId="679CE1E7" w14:textId="77777777" w:rsidR="005D1668" w:rsidRPr="00C63FAD" w:rsidRDefault="005D1668" w:rsidP="005D1668">
      <w:pPr>
        <w:pStyle w:val="Nadpis8"/>
        <w:rPr>
          <w:rFonts w:cs="Arial"/>
          <w:b w:val="0"/>
          <w:bCs w:val="0"/>
        </w:rPr>
      </w:pPr>
      <w:r w:rsidRPr="00C63FAD">
        <w:rPr>
          <w:rStyle w:val="Siln"/>
          <w:rFonts w:cs="Arial"/>
          <w:b/>
          <w:bCs/>
        </w:rPr>
        <w:t>STAVEBNICTVÍ</w:t>
      </w:r>
      <w:r w:rsidRPr="00C63FAD">
        <w:rPr>
          <w:rFonts w:cs="Arial"/>
          <w:b w:val="0"/>
          <w:bCs w:val="0"/>
        </w:rPr>
        <w:t xml:space="preserve"> </w:t>
      </w:r>
    </w:p>
    <w:p w14:paraId="08934326" w14:textId="77777777" w:rsidR="001A6F24" w:rsidRPr="00CC0ABB" w:rsidRDefault="001A6F24" w:rsidP="001A6F24">
      <w:pPr>
        <w:pStyle w:val="Normlnweb"/>
        <w:spacing w:before="120" w:beforeAutospacing="0" w:after="120" w:afterAutospacing="0"/>
        <w:jc w:val="both"/>
        <w:rPr>
          <w:rFonts w:ascii="Arial" w:hAnsi="Arial" w:cs="Arial"/>
          <w:sz w:val="20"/>
          <w:szCs w:val="20"/>
        </w:rPr>
      </w:pPr>
      <w:r w:rsidRPr="00CC0ABB">
        <w:rPr>
          <w:rFonts w:ascii="Arial" w:hAnsi="Arial" w:cs="Arial"/>
          <w:sz w:val="20"/>
          <w:szCs w:val="20"/>
        </w:rPr>
        <w:t xml:space="preserve">Údaje jsou publikovány za podnikatelské subjekty s převažující stavební činností (oddíl 41, 42 a 43 klasifikace CZ-NACE) </w:t>
      </w:r>
      <w:r w:rsidRPr="00CC0ABB">
        <w:rPr>
          <w:rFonts w:ascii="Arial" w:hAnsi="Arial" w:cs="Arial"/>
          <w:b/>
          <w:bCs/>
          <w:sz w:val="20"/>
          <w:szCs w:val="20"/>
        </w:rPr>
        <w:t>s 50 a více zaměstnanci</w:t>
      </w:r>
      <w:r w:rsidRPr="00CC0ABB">
        <w:rPr>
          <w:rFonts w:ascii="Arial" w:hAnsi="Arial" w:cs="Arial"/>
          <w:sz w:val="20"/>
          <w:szCs w:val="20"/>
        </w:rPr>
        <w:t xml:space="preserve">. Subjekty jsou územně zařazeny podle </w:t>
      </w:r>
      <w:r w:rsidRPr="00CC0ABB">
        <w:rPr>
          <w:rFonts w:ascii="Arial" w:hAnsi="Arial" w:cs="Arial"/>
          <w:b/>
          <w:bCs/>
          <w:sz w:val="20"/>
          <w:szCs w:val="20"/>
        </w:rPr>
        <w:t>kraje sídla podniku</w:t>
      </w:r>
      <w:r w:rsidRPr="00CC0ABB">
        <w:rPr>
          <w:rFonts w:ascii="Arial" w:hAnsi="Arial" w:cs="Arial"/>
          <w:sz w:val="20"/>
          <w:szCs w:val="20"/>
        </w:rPr>
        <w:t>.</w:t>
      </w:r>
    </w:p>
    <w:p w14:paraId="1AE99E34" w14:textId="7A2DDA84" w:rsidR="001A6F24" w:rsidRPr="00CC0ABB" w:rsidRDefault="001A6F24" w:rsidP="001A6F24">
      <w:pPr>
        <w:pStyle w:val="Normlnweb"/>
        <w:spacing w:before="120" w:beforeAutospacing="0" w:after="120" w:afterAutospacing="0"/>
        <w:jc w:val="both"/>
        <w:rPr>
          <w:rFonts w:ascii="Arial" w:hAnsi="Arial" w:cs="Arial"/>
          <w:sz w:val="20"/>
          <w:szCs w:val="20"/>
        </w:rPr>
      </w:pPr>
      <w:r w:rsidRPr="00CC0ABB">
        <w:rPr>
          <w:rFonts w:ascii="Arial" w:hAnsi="Arial" w:cs="Arial"/>
          <w:b/>
          <w:bCs/>
          <w:sz w:val="20"/>
          <w:szCs w:val="20"/>
        </w:rPr>
        <w:t>Stavební práce</w:t>
      </w:r>
      <w:r w:rsidRPr="00CC0ABB">
        <w:rPr>
          <w:rFonts w:ascii="Arial" w:hAnsi="Arial" w:cs="Arial"/>
          <w:sz w:val="20"/>
          <w:szCs w:val="20"/>
        </w:rPr>
        <w:t xml:space="preserve"> jsou zejména práce na výstavbě, přestavbě, rozšíření, obnově, opravách a údržbě stálých i dočasných budov a staveb. Zahrnují i montážní práce stavebních konstrukcí a hodnotu zabudovaného materiálu a konstrukcí</w:t>
      </w:r>
      <w:r w:rsidRPr="00853717">
        <w:rPr>
          <w:rFonts w:ascii="Arial" w:hAnsi="Arial" w:cs="Arial"/>
          <w:color w:val="auto"/>
          <w:sz w:val="20"/>
          <w:szCs w:val="20"/>
        </w:rPr>
        <w:t>. Hodnota stavebních prací je uváděna bez daně z přidané hodnoty.</w:t>
      </w:r>
      <w:r w:rsidRPr="00853717">
        <w:rPr>
          <w:rFonts w:ascii="Arial" w:hAnsi="Arial" w:cs="Arial"/>
          <w:b/>
          <w:bCs/>
          <w:color w:val="auto"/>
          <w:sz w:val="20"/>
          <w:szCs w:val="20"/>
        </w:rPr>
        <w:t xml:space="preserve"> </w:t>
      </w:r>
      <w:r w:rsidRPr="00CC0ABB">
        <w:rPr>
          <w:rFonts w:ascii="Arial" w:hAnsi="Arial" w:cs="Arial"/>
          <w:b/>
          <w:bCs/>
          <w:sz w:val="20"/>
          <w:szCs w:val="20"/>
        </w:rPr>
        <w:t xml:space="preserve">Základní stavební výroba (ZSV) </w:t>
      </w:r>
      <w:r w:rsidRPr="00CC0ABB">
        <w:rPr>
          <w:rFonts w:ascii="Arial" w:hAnsi="Arial" w:cs="Arial"/>
          <w:sz w:val="20"/>
          <w:szCs w:val="20"/>
        </w:rPr>
        <w:t>představuje objem stavebních prací, které jednotka provedla pracovníky zahrnutými do jejího evidenčního stavu včetně produktivní práce učňů a objemu stavebních prací na vlastním hmotném majetku.</w:t>
      </w:r>
    </w:p>
    <w:p w14:paraId="0F66FA53" w14:textId="77777777" w:rsidR="001A6F24" w:rsidRPr="00CC0ABB" w:rsidRDefault="001A6F24" w:rsidP="001A6F24">
      <w:pPr>
        <w:pStyle w:val="Normlnweb"/>
        <w:spacing w:before="120" w:beforeAutospacing="0" w:after="120" w:afterAutospacing="0"/>
        <w:jc w:val="both"/>
        <w:rPr>
          <w:rFonts w:ascii="Arial" w:hAnsi="Arial" w:cs="Arial"/>
          <w:sz w:val="20"/>
          <w:szCs w:val="20"/>
        </w:rPr>
      </w:pPr>
      <w:r w:rsidRPr="00AA25C4">
        <w:rPr>
          <w:rFonts w:ascii="Arial" w:hAnsi="Arial" w:cs="Arial"/>
          <w:b/>
          <w:sz w:val="20"/>
          <w:szCs w:val="20"/>
        </w:rPr>
        <w:t>Pozemní stavitelství</w:t>
      </w:r>
      <w:r w:rsidRPr="00CC0ABB">
        <w:rPr>
          <w:rFonts w:ascii="Arial" w:hAnsi="Arial" w:cs="Arial"/>
          <w:sz w:val="20"/>
          <w:szCs w:val="20"/>
        </w:rPr>
        <w:t xml:space="preserve"> zahrnuje veškeré stavební práce provedené na pozemních stavbách v tuzemsku, tj. výstavbu bytových a nebytových budov.</w:t>
      </w:r>
    </w:p>
    <w:p w14:paraId="7C9DF5ED" w14:textId="77777777" w:rsidR="001A6F24" w:rsidRDefault="001A6F24" w:rsidP="001A6F24">
      <w:pPr>
        <w:pStyle w:val="Normlnweb"/>
        <w:spacing w:before="120" w:beforeAutospacing="0" w:after="0" w:afterAutospacing="0"/>
        <w:jc w:val="both"/>
        <w:rPr>
          <w:rFonts w:ascii="Arial" w:hAnsi="Arial" w:cs="Arial"/>
          <w:sz w:val="20"/>
          <w:szCs w:val="20"/>
        </w:rPr>
      </w:pPr>
      <w:r w:rsidRPr="00AA25C4">
        <w:rPr>
          <w:rFonts w:ascii="Arial" w:hAnsi="Arial" w:cs="Arial"/>
          <w:b/>
          <w:sz w:val="20"/>
          <w:szCs w:val="20"/>
        </w:rPr>
        <w:t>Inženýrské stavitelství</w:t>
      </w:r>
      <w:r w:rsidRPr="00CC0ABB">
        <w:rPr>
          <w:rFonts w:ascii="Arial" w:hAnsi="Arial" w:cs="Arial"/>
          <w:sz w:val="20"/>
          <w:szCs w:val="20"/>
        </w:rPr>
        <w:t xml:space="preserve"> zahrnuje veškeré stavební práce provedené na inženýrských stavbách v tuzemsku (výstavba silnic a železnic, výstavba inženýrských sítí a ostatních staveb jako např. vodních děl). </w:t>
      </w:r>
    </w:p>
    <w:p w14:paraId="09D6B301" w14:textId="77777777" w:rsidR="00F90685" w:rsidRPr="00F90685" w:rsidRDefault="00F90685" w:rsidP="00F90685"/>
    <w:p w14:paraId="6D6AECFE" w14:textId="77777777" w:rsidR="00C92701" w:rsidRPr="00C63FAD" w:rsidRDefault="00C92701" w:rsidP="00C92701">
      <w:pPr>
        <w:pStyle w:val="Nadpis8"/>
        <w:rPr>
          <w:rFonts w:cs="Arial"/>
          <w:b w:val="0"/>
          <w:bCs w:val="0"/>
        </w:rPr>
      </w:pPr>
      <w:r w:rsidRPr="00C63FAD">
        <w:rPr>
          <w:rStyle w:val="Siln"/>
          <w:rFonts w:cs="Arial"/>
          <w:b/>
          <w:bCs/>
        </w:rPr>
        <w:lastRenderedPageBreak/>
        <w:t>STAVEBNÍ POVOLENÍ</w:t>
      </w:r>
      <w:r w:rsidRPr="00C63FAD">
        <w:rPr>
          <w:rFonts w:cs="Arial"/>
          <w:b w:val="0"/>
          <w:bCs w:val="0"/>
        </w:rPr>
        <w:t xml:space="preserve"> </w:t>
      </w:r>
    </w:p>
    <w:p w14:paraId="3E0ECE52" w14:textId="7BEBB17A" w:rsidR="004E6A8F" w:rsidRPr="00D63EC6" w:rsidRDefault="004E6A8F" w:rsidP="00991FD9">
      <w:pPr>
        <w:spacing w:before="120" w:after="120"/>
        <w:jc w:val="both"/>
        <w:rPr>
          <w:rFonts w:ascii="Arial" w:hAnsi="Arial" w:cs="Arial"/>
          <w:sz w:val="20"/>
          <w:szCs w:val="20"/>
        </w:rPr>
      </w:pPr>
      <w:r w:rsidRPr="00D63EC6">
        <w:rPr>
          <w:rFonts w:ascii="Arial" w:hAnsi="Arial" w:cs="Arial"/>
          <w:b/>
          <w:bCs/>
          <w:sz w:val="20"/>
          <w:szCs w:val="20"/>
        </w:rPr>
        <w:t>Stavebním povolením</w:t>
      </w:r>
      <w:r w:rsidRPr="00D63EC6">
        <w:rPr>
          <w:rFonts w:ascii="Arial" w:hAnsi="Arial" w:cs="Arial"/>
          <w:sz w:val="20"/>
          <w:szCs w:val="20"/>
        </w:rPr>
        <w:t xml:space="preserve"> se rozumí celkový počet stavebních povolení (včetně společných), stavebních ohlášení, staveb povolených na podkladě veřejnoprávní smlouvy a staveb ve zkráceném stavebním řízení autorizovaným inspektorem, které byly podle stavebního zákona vydány a evidovány příslušným stavebním úřadem. </w:t>
      </w:r>
    </w:p>
    <w:p w14:paraId="38A002D4" w14:textId="77777777" w:rsidR="005D1668" w:rsidRDefault="001A6F24" w:rsidP="001A6F24">
      <w:pPr>
        <w:pStyle w:val="Normlnweb"/>
        <w:spacing w:before="0" w:beforeAutospacing="0" w:after="0" w:afterAutospacing="0"/>
        <w:jc w:val="both"/>
        <w:rPr>
          <w:rFonts w:ascii="Arial" w:hAnsi="Arial" w:cs="Arial"/>
          <w:sz w:val="20"/>
          <w:szCs w:val="20"/>
        </w:rPr>
      </w:pPr>
      <w:r w:rsidRPr="001A6F24">
        <w:rPr>
          <w:rFonts w:ascii="Arial" w:hAnsi="Arial" w:cs="Arial"/>
          <w:b/>
          <w:sz w:val="20"/>
          <w:szCs w:val="20"/>
        </w:rPr>
        <w:t>Nová výstavba</w:t>
      </w:r>
      <w:r w:rsidRPr="001A6F24">
        <w:rPr>
          <w:rFonts w:ascii="Arial" w:hAnsi="Arial" w:cs="Arial"/>
          <w:sz w:val="20"/>
          <w:szCs w:val="20"/>
        </w:rPr>
        <w:t xml:space="preserve"> představuje zcela novou konstrukci, nové stavební dílo. </w:t>
      </w:r>
      <w:r w:rsidRPr="00991FD9">
        <w:rPr>
          <w:rFonts w:ascii="Arial" w:hAnsi="Arial" w:cs="Arial"/>
          <w:b/>
          <w:sz w:val="20"/>
          <w:szCs w:val="20"/>
        </w:rPr>
        <w:t>Změnami dokončených staveb</w:t>
      </w:r>
      <w:r w:rsidRPr="001A6F24">
        <w:rPr>
          <w:rFonts w:ascii="Arial" w:hAnsi="Arial" w:cs="Arial"/>
          <w:sz w:val="20"/>
          <w:szCs w:val="20"/>
        </w:rPr>
        <w:t xml:space="preserve"> se rozumí nástavby, jimiž se stavby zvyšují, přístavby, jimiž se stavby půdorysně rozšiřují a které jsou vzájemně provozně propojeny s dosavadní stavbou, dále vestavby, tj. stavební úpravy, při nichž se zachovává vnější půdorysné i výškové ohraničení stavby.</w:t>
      </w:r>
    </w:p>
    <w:p w14:paraId="52095B9D" w14:textId="77777777" w:rsidR="009B54FB" w:rsidRPr="001A6F24" w:rsidRDefault="009B54FB" w:rsidP="001A6F24">
      <w:pPr>
        <w:pStyle w:val="Normlnweb"/>
        <w:spacing w:before="0" w:beforeAutospacing="0" w:after="0" w:afterAutospacing="0"/>
        <w:jc w:val="both"/>
        <w:rPr>
          <w:rFonts w:ascii="Arial" w:hAnsi="Arial" w:cs="Arial"/>
          <w:sz w:val="20"/>
          <w:szCs w:val="20"/>
        </w:rPr>
      </w:pPr>
    </w:p>
    <w:p w14:paraId="6D995841" w14:textId="77777777" w:rsidR="00987DCD" w:rsidRPr="00F90685" w:rsidRDefault="00987DCD" w:rsidP="005D1668">
      <w:pPr>
        <w:jc w:val="both"/>
        <w:rPr>
          <w:rFonts w:ascii="Arial" w:hAnsi="Arial" w:cs="Arial"/>
          <w:sz w:val="22"/>
          <w:szCs w:val="20"/>
        </w:rPr>
      </w:pPr>
    </w:p>
    <w:p w14:paraId="2EDB9C44" w14:textId="77777777" w:rsidR="00C92701" w:rsidRPr="00C63FAD" w:rsidRDefault="00C92701" w:rsidP="00C92701">
      <w:pPr>
        <w:pStyle w:val="Nadpis8"/>
        <w:rPr>
          <w:rFonts w:cs="Arial"/>
          <w:b w:val="0"/>
          <w:bCs w:val="0"/>
        </w:rPr>
      </w:pPr>
      <w:r w:rsidRPr="00C63FAD">
        <w:rPr>
          <w:rStyle w:val="Siln"/>
          <w:rFonts w:cs="Arial"/>
          <w:b/>
          <w:bCs/>
        </w:rPr>
        <w:t>BYTOVÁ VÝSTAVBA</w:t>
      </w:r>
      <w:r w:rsidRPr="00C63FAD">
        <w:rPr>
          <w:rFonts w:cs="Arial"/>
          <w:b w:val="0"/>
          <w:bCs w:val="0"/>
        </w:rPr>
        <w:t xml:space="preserve"> </w:t>
      </w:r>
    </w:p>
    <w:p w14:paraId="3A06B0D9" w14:textId="77777777" w:rsidR="001A6F24" w:rsidRPr="00CC0ABB" w:rsidRDefault="001A6F24" w:rsidP="001A6F24">
      <w:pPr>
        <w:pStyle w:val="GroupWiseView"/>
        <w:tabs>
          <w:tab w:val="left" w:pos="1500"/>
          <w:tab w:val="left" w:pos="3000"/>
        </w:tabs>
        <w:spacing w:before="120" w:after="120"/>
        <w:jc w:val="both"/>
        <w:rPr>
          <w:rFonts w:ascii="Arial" w:hAnsi="Arial" w:cs="Arial"/>
          <w:color w:val="000000"/>
          <w:sz w:val="20"/>
          <w:szCs w:val="20"/>
        </w:rPr>
      </w:pPr>
      <w:r w:rsidRPr="00CC0ABB">
        <w:rPr>
          <w:rFonts w:ascii="Arial" w:hAnsi="Arial" w:cs="Arial"/>
          <w:b/>
          <w:bCs/>
          <w:color w:val="000000"/>
          <w:sz w:val="20"/>
          <w:szCs w:val="20"/>
        </w:rPr>
        <w:t>Bytem</w:t>
      </w:r>
      <w:r w:rsidRPr="00CC0ABB">
        <w:rPr>
          <w:rFonts w:ascii="Arial" w:hAnsi="Arial" w:cs="Arial"/>
          <w:color w:val="000000"/>
          <w:sz w:val="20"/>
          <w:szCs w:val="20"/>
        </w:rPr>
        <w:t xml:space="preserve"> se rozumí místnost nebo soubor místností, které jsou podle rozhodnutí stavebního úřadu určeny k bydlení a mohou tomuto účelu sloužit jako samostatné bytové jednotky.</w:t>
      </w:r>
    </w:p>
    <w:p w14:paraId="2DBB4E00" w14:textId="77777777" w:rsidR="001A6F24" w:rsidRPr="00CC0ABB" w:rsidRDefault="001A6F24" w:rsidP="001A6F24">
      <w:pPr>
        <w:pStyle w:val="GroupWiseView"/>
        <w:tabs>
          <w:tab w:val="left" w:pos="1500"/>
          <w:tab w:val="left" w:pos="3000"/>
        </w:tabs>
        <w:spacing w:before="120" w:after="120"/>
        <w:jc w:val="both"/>
        <w:rPr>
          <w:rFonts w:ascii="Arial" w:hAnsi="Arial" w:cs="Arial"/>
          <w:color w:val="000000"/>
          <w:sz w:val="20"/>
          <w:szCs w:val="20"/>
        </w:rPr>
      </w:pPr>
      <w:r w:rsidRPr="00CC0ABB">
        <w:rPr>
          <w:rFonts w:ascii="Arial" w:hAnsi="Arial" w:cs="Arial"/>
          <w:b/>
          <w:bCs/>
          <w:color w:val="000000"/>
          <w:sz w:val="20"/>
          <w:szCs w:val="20"/>
        </w:rPr>
        <w:t>Byty zahájené</w:t>
      </w:r>
      <w:r w:rsidRPr="00CC0ABB">
        <w:rPr>
          <w:rFonts w:ascii="Arial" w:hAnsi="Arial" w:cs="Arial"/>
          <w:color w:val="000000"/>
          <w:sz w:val="20"/>
          <w:szCs w:val="20"/>
        </w:rPr>
        <w:t xml:space="preserve"> jsou byty v těch domech, jejichž výstavba byla ve sledovaném období povolena, a to bez ohledu na to, zda tyto byty byly ve sledovaném období dokončeny či nikoliv. </w:t>
      </w:r>
    </w:p>
    <w:p w14:paraId="05AC0F53" w14:textId="77777777" w:rsidR="00987DCD" w:rsidRDefault="001A6F24" w:rsidP="001A6F24">
      <w:pPr>
        <w:pStyle w:val="GroupWiseView"/>
        <w:tabs>
          <w:tab w:val="left" w:pos="1500"/>
          <w:tab w:val="left" w:pos="3000"/>
        </w:tabs>
        <w:jc w:val="both"/>
        <w:rPr>
          <w:rFonts w:ascii="Arial" w:hAnsi="Arial" w:cs="Arial"/>
          <w:color w:val="000000"/>
          <w:sz w:val="20"/>
          <w:szCs w:val="20"/>
        </w:rPr>
      </w:pPr>
      <w:r w:rsidRPr="00CC0ABB">
        <w:rPr>
          <w:rFonts w:ascii="Arial" w:hAnsi="Arial" w:cs="Arial"/>
          <w:b/>
          <w:bCs/>
          <w:color w:val="000000"/>
          <w:sz w:val="20"/>
          <w:szCs w:val="20"/>
        </w:rPr>
        <w:t>Byty dokončené</w:t>
      </w:r>
      <w:r w:rsidRPr="00CC0ABB">
        <w:rPr>
          <w:rFonts w:ascii="Arial" w:hAnsi="Arial" w:cs="Arial"/>
          <w:color w:val="000000"/>
          <w:sz w:val="20"/>
          <w:szCs w:val="20"/>
        </w:rPr>
        <w:t xml:space="preserve"> jsou byty v nových budovách, kterým bylo přiděleno číslo popisné/evidenční nebo nově dokončené byty ve stávajících budovách.</w:t>
      </w:r>
    </w:p>
    <w:p w14:paraId="1385FD8D" w14:textId="77777777" w:rsidR="009B54FB" w:rsidRDefault="009B54FB" w:rsidP="001A6F24">
      <w:pPr>
        <w:pStyle w:val="GroupWiseView"/>
        <w:tabs>
          <w:tab w:val="left" w:pos="1500"/>
          <w:tab w:val="left" w:pos="3000"/>
        </w:tabs>
        <w:jc w:val="both"/>
        <w:rPr>
          <w:rFonts w:ascii="Arial" w:hAnsi="Arial" w:cs="Arial"/>
          <w:color w:val="000000"/>
          <w:sz w:val="20"/>
          <w:szCs w:val="20"/>
        </w:rPr>
      </w:pPr>
    </w:p>
    <w:p w14:paraId="34D494E8" w14:textId="77777777" w:rsidR="009D4D95" w:rsidRPr="009B54FB" w:rsidRDefault="009D4D95" w:rsidP="009D4D95">
      <w:pPr>
        <w:pStyle w:val="Nadpis8"/>
        <w:rPr>
          <w:rFonts w:cs="Arial"/>
          <w:szCs w:val="18"/>
        </w:rPr>
      </w:pPr>
    </w:p>
    <w:p w14:paraId="5A615322" w14:textId="77777777" w:rsidR="001613CD" w:rsidRPr="00C63FAD" w:rsidRDefault="001613CD">
      <w:pPr>
        <w:pStyle w:val="Nadpis8"/>
        <w:rPr>
          <w:rFonts w:cs="Arial"/>
        </w:rPr>
      </w:pPr>
      <w:r w:rsidRPr="00C63FAD">
        <w:rPr>
          <w:rFonts w:cs="Arial"/>
        </w:rPr>
        <w:t>CESTOVNÍ RUCH</w:t>
      </w:r>
    </w:p>
    <w:p w14:paraId="62BF2ACC" w14:textId="77777777" w:rsidR="001A6F24" w:rsidRDefault="001A6F24" w:rsidP="001A6F24">
      <w:pPr>
        <w:pStyle w:val="Zkladntext"/>
        <w:spacing w:before="120" w:after="120"/>
      </w:pPr>
      <w:r>
        <w:t>Údaje o kapacitách hromadných ubytovacích zařízení a jejich návštěvnosti vycházejí z pravidelného měsíčního a čtvrtletního šetření.</w:t>
      </w:r>
    </w:p>
    <w:p w14:paraId="5AD9C014" w14:textId="6C8E9CCA" w:rsidR="001A6F24" w:rsidRDefault="001A6F24" w:rsidP="001A6F24">
      <w:pPr>
        <w:pStyle w:val="Zkladntext"/>
        <w:spacing w:after="120"/>
      </w:pPr>
      <w:r w:rsidRPr="00A47D52">
        <w:rPr>
          <w:b/>
          <w:bCs/>
          <w:szCs w:val="20"/>
        </w:rPr>
        <w:t>Hromadná ubytovací zařízení</w:t>
      </w:r>
      <w:r w:rsidRPr="00A47D52">
        <w:rPr>
          <w:szCs w:val="20"/>
        </w:rPr>
        <w:t xml:space="preserve"> (HUZ) jsou zařízení s minimálně pěti pokoji a zároveň deseti lůžky, která poskytují přechodné ubytování hostům (včetně dětí) za účelem dovolené, zájezdu, lázeňské péče, služební cesty, školení, kurzu, kongresu, </w:t>
      </w:r>
      <w:proofErr w:type="gramStart"/>
      <w:r w:rsidRPr="00A47D52">
        <w:rPr>
          <w:szCs w:val="20"/>
        </w:rPr>
        <w:t>symposia</w:t>
      </w:r>
      <w:proofErr w:type="gramEnd"/>
      <w:r w:rsidRPr="00A47D52">
        <w:rPr>
          <w:szCs w:val="20"/>
        </w:rPr>
        <w:t>, po</w:t>
      </w:r>
      <w:r>
        <w:rPr>
          <w:szCs w:val="20"/>
        </w:rPr>
        <w:t>bytu dětí ve škole v přírodě, v </w:t>
      </w:r>
      <w:r w:rsidRPr="00A47D52">
        <w:rPr>
          <w:szCs w:val="20"/>
        </w:rPr>
        <w:t>letních a zimních táborech.</w:t>
      </w:r>
      <w:r w:rsidRPr="008C5C76">
        <w:t xml:space="preserve"> Mezi hromadná ubytovací zařízení</w:t>
      </w:r>
      <w:r>
        <w:t xml:space="preserve"> patří hotely, penziony, </w:t>
      </w:r>
      <w:r w:rsidRPr="00D6280C">
        <w:t>kempy, chatové osady, turistické ubytovny</w:t>
      </w:r>
      <w:r>
        <w:t xml:space="preserve"> a ostatní ubytovací zařízení (např. léčebné lázně, rekreační zařízení podniků </w:t>
      </w:r>
      <w:r w:rsidR="009F08C7" w:rsidRPr="009F08C7">
        <w:t>či podnikové ubytovny, školicí střediska, vysokoškolské koleje, aj.).</w:t>
      </w:r>
    </w:p>
    <w:p w14:paraId="6EAAB5A6" w14:textId="77777777" w:rsidR="001A6F24" w:rsidRDefault="001A6F24" w:rsidP="001A6F24">
      <w:pPr>
        <w:pStyle w:val="Rbntext"/>
        <w:spacing w:before="0" w:after="120"/>
        <w:rPr>
          <w:rFonts w:cs="Arial"/>
          <w:szCs w:val="24"/>
        </w:rPr>
      </w:pPr>
      <w:r w:rsidRPr="008C5C76">
        <w:rPr>
          <w:rFonts w:cs="Arial"/>
          <w:szCs w:val="24"/>
        </w:rPr>
        <w:t xml:space="preserve">Celkový </w:t>
      </w:r>
      <w:r w:rsidRPr="008C5C76">
        <w:rPr>
          <w:rFonts w:cs="Arial"/>
          <w:b/>
          <w:szCs w:val="24"/>
        </w:rPr>
        <w:t>počet pokojů</w:t>
      </w:r>
      <w:r w:rsidRPr="008C5C76">
        <w:rPr>
          <w:rFonts w:cs="Arial"/>
          <w:szCs w:val="24"/>
        </w:rPr>
        <w:t xml:space="preserve"> sloužících pro cestovní ruch nezahrnuje pokoje pro ubytování personálu, majitelů zařízení a pokoje dlouhodobě sloužící pro ubytování zaměstnanců jiných podniků (déle než 1 rok). Celkový </w:t>
      </w:r>
      <w:r w:rsidRPr="008C5C76">
        <w:rPr>
          <w:rFonts w:cs="Arial"/>
          <w:b/>
          <w:szCs w:val="24"/>
        </w:rPr>
        <w:t>počet lůžek</w:t>
      </w:r>
      <w:r w:rsidRPr="008C5C76">
        <w:rPr>
          <w:rFonts w:cs="Arial"/>
          <w:szCs w:val="24"/>
        </w:rPr>
        <w:t xml:space="preserve"> zahrnuje pouze lůžka sloužící pro cestovní ruch, nezahrnuje lůžka příležitostná.</w:t>
      </w:r>
      <w:r>
        <w:rPr>
          <w:rFonts w:cs="Arial"/>
          <w:szCs w:val="24"/>
        </w:rPr>
        <w:t xml:space="preserve"> Do údajů se zahrnuje maximální kapacita každého hromadného ubytovacího zařízení v daném roce.</w:t>
      </w:r>
    </w:p>
    <w:p w14:paraId="2607A136" w14:textId="35E9F928" w:rsidR="001A6F24" w:rsidRDefault="001A6F24" w:rsidP="001A6F24">
      <w:pPr>
        <w:pStyle w:val="Rbntext"/>
        <w:spacing w:before="0" w:after="120"/>
        <w:rPr>
          <w:rFonts w:cs="Arial"/>
        </w:rPr>
      </w:pPr>
      <w:r>
        <w:rPr>
          <w:rFonts w:cs="Arial"/>
          <w:b/>
          <w:bCs/>
        </w:rPr>
        <w:t>Host v ubytovacím zařízení</w:t>
      </w:r>
      <w:r>
        <w:rPr>
          <w:rFonts w:cs="Arial"/>
        </w:rPr>
        <w:t xml:space="preserve"> je každá osoba (včetně </w:t>
      </w:r>
      <w:proofErr w:type="gramStart"/>
      <w:r>
        <w:rPr>
          <w:rFonts w:cs="Arial"/>
        </w:rPr>
        <w:t>dětí</w:t>
      </w:r>
      <w:proofErr w:type="gramEnd"/>
      <w:r>
        <w:rPr>
          <w:rFonts w:cs="Arial"/>
        </w:rPr>
        <w:t xml:space="preserve"> a kromě personálu a majitelů ubytovacího zařízení), která použila služeb ubytovacího zařízení k přechodnému ubytování. Mezi hosty se nezapočítávají osoby, které používají služeb ubytovacího zařízení pro přechodné ubytování za účelem zaměstnání či řádného studia. Doba pro přechodné ubytování, kdy lze hosta považovat za účastníka cestovního ruchu, nesmí být delší než 1 rok. Za </w:t>
      </w:r>
      <w:r>
        <w:rPr>
          <w:rFonts w:cs="Arial"/>
          <w:b/>
          <w:bCs/>
        </w:rPr>
        <w:t>rezidenta</w:t>
      </w:r>
      <w:r>
        <w:rPr>
          <w:rFonts w:cs="Arial"/>
        </w:rPr>
        <w:t xml:space="preserve"> se považuje osoba, která má trvalý (stálý) pobyt v Česk</w:t>
      </w:r>
      <w:r w:rsidR="00EC166F">
        <w:rPr>
          <w:rFonts w:cs="Arial"/>
        </w:rPr>
        <w:t>u</w:t>
      </w:r>
      <w:r>
        <w:rPr>
          <w:rFonts w:cs="Arial"/>
        </w:rPr>
        <w:t>. Může to tedy být občan Česk</w:t>
      </w:r>
      <w:r w:rsidR="00EC166F">
        <w:rPr>
          <w:rFonts w:cs="Arial"/>
        </w:rPr>
        <w:t>a</w:t>
      </w:r>
      <w:r>
        <w:rPr>
          <w:rFonts w:cs="Arial"/>
        </w:rPr>
        <w:t xml:space="preserve"> i cizí státní příslušník trvale žijící na území Česk</w:t>
      </w:r>
      <w:r w:rsidR="00EC166F">
        <w:rPr>
          <w:rFonts w:cs="Arial"/>
        </w:rPr>
        <w:t>a</w:t>
      </w:r>
      <w:r>
        <w:rPr>
          <w:rFonts w:cs="Arial"/>
        </w:rPr>
        <w:t xml:space="preserve">. </w:t>
      </w:r>
      <w:r>
        <w:rPr>
          <w:rFonts w:cs="Arial"/>
          <w:b/>
          <w:bCs/>
        </w:rPr>
        <w:t xml:space="preserve">Nerezidentem </w:t>
      </w:r>
      <w:r>
        <w:rPr>
          <w:rFonts w:cs="Arial"/>
        </w:rPr>
        <w:t>je pak osoba, která trvale žije v jiné zemi (včetně občanů Česk</w:t>
      </w:r>
      <w:r w:rsidR="00EC166F">
        <w:rPr>
          <w:rFonts w:cs="Arial"/>
        </w:rPr>
        <w:t>a</w:t>
      </w:r>
      <w:r>
        <w:rPr>
          <w:rFonts w:cs="Arial"/>
        </w:rPr>
        <w:t xml:space="preserve"> trvale žijících v cizině).</w:t>
      </w:r>
    </w:p>
    <w:p w14:paraId="0DC04A7E" w14:textId="6C0837F0" w:rsidR="001A6F24" w:rsidRDefault="001A6F24" w:rsidP="001A6F24">
      <w:pPr>
        <w:spacing w:after="120"/>
        <w:jc w:val="both"/>
        <w:rPr>
          <w:rFonts w:ascii="Arial" w:hAnsi="Arial" w:cs="Arial"/>
          <w:sz w:val="20"/>
          <w:szCs w:val="20"/>
        </w:rPr>
      </w:pPr>
      <w:r w:rsidRPr="004E3A6D">
        <w:rPr>
          <w:rFonts w:ascii="Arial" w:hAnsi="Arial" w:cs="Arial"/>
          <w:b/>
          <w:sz w:val="20"/>
          <w:szCs w:val="20"/>
        </w:rPr>
        <w:t>Výběrové šetření cestovního ruchu</w:t>
      </w:r>
      <w:r>
        <w:rPr>
          <w:rFonts w:ascii="Arial" w:hAnsi="Arial" w:cs="Arial"/>
          <w:sz w:val="20"/>
          <w:szCs w:val="20"/>
        </w:rPr>
        <w:t xml:space="preserve"> (VŠCR) je zdrojem údajů o výjezdovém a domácím cestovním ruchu rezidentů Česk</w:t>
      </w:r>
      <w:r w:rsidR="00EC166F">
        <w:rPr>
          <w:rFonts w:ascii="Arial" w:hAnsi="Arial" w:cs="Arial"/>
          <w:sz w:val="20"/>
          <w:szCs w:val="20"/>
        </w:rPr>
        <w:t>a</w:t>
      </w:r>
      <w:r>
        <w:rPr>
          <w:rFonts w:ascii="Arial" w:hAnsi="Arial" w:cs="Arial"/>
          <w:sz w:val="20"/>
          <w:szCs w:val="20"/>
        </w:rPr>
        <w:t>. Šetření se provádí každý měsíc v náhodně vybraném vzorku domácností a</w:t>
      </w:r>
      <w:r w:rsidR="00BB231B">
        <w:rPr>
          <w:rFonts w:ascii="Arial" w:hAnsi="Arial" w:cs="Arial"/>
          <w:sz w:val="20"/>
          <w:szCs w:val="20"/>
        </w:rPr>
        <w:t> </w:t>
      </w:r>
      <w:r>
        <w:rPr>
          <w:rFonts w:ascii="Arial" w:hAnsi="Arial" w:cs="Arial"/>
          <w:sz w:val="20"/>
          <w:szCs w:val="20"/>
        </w:rPr>
        <w:t>dotazovány jsou osoby ve věku 15 a více let. Údaje o cestách soukromých (za účelem trávení volného času, rekreace, vylepšení zdraví, návštěvy příbuzných či známých) a o cestách služebních, které se uskutečnily v posledních třech měsících, jsou zjišťovány u všech členů domácnosti. Výsledky šetření jsou pomocí váhových koeficientů přepočteny na populaci ve věku 15 a více let a za tuto věkovou skupinu jsou také publikovány.</w:t>
      </w:r>
    </w:p>
    <w:p w14:paraId="33EC5D6B" w14:textId="3BA0DD72" w:rsidR="009B54FB" w:rsidRDefault="001A6F24" w:rsidP="001A6F24">
      <w:pPr>
        <w:pStyle w:val="Rbntext"/>
        <w:spacing w:before="0"/>
        <w:rPr>
          <w:rFonts w:cs="Arial"/>
        </w:rPr>
      </w:pPr>
      <w:r w:rsidRPr="00A47D52">
        <w:rPr>
          <w:rFonts w:cs="Arial"/>
          <w:b/>
          <w:bCs/>
        </w:rPr>
        <w:t>Delší cestou</w:t>
      </w:r>
      <w:r w:rsidRPr="00A47D52">
        <w:rPr>
          <w:rFonts w:cs="Arial"/>
        </w:rPr>
        <w:t xml:space="preserve"> se rozumí </w:t>
      </w:r>
      <w:r>
        <w:rPr>
          <w:rFonts w:cs="Arial"/>
        </w:rPr>
        <w:t>soukromá cesta</w:t>
      </w:r>
      <w:r w:rsidRPr="00A47D52">
        <w:rPr>
          <w:rFonts w:cs="Arial"/>
        </w:rPr>
        <w:t xml:space="preserve">, při které osoba alespoň 4x za sebou přenocovala mimo své obvyklé prostředí. </w:t>
      </w:r>
      <w:r w:rsidRPr="00A47D52">
        <w:rPr>
          <w:rFonts w:cs="Arial"/>
          <w:b/>
          <w:bCs/>
        </w:rPr>
        <w:t>Kratší cestou</w:t>
      </w:r>
      <w:r>
        <w:rPr>
          <w:rFonts w:cs="Arial"/>
          <w:b/>
          <w:bCs/>
        </w:rPr>
        <w:t xml:space="preserve"> </w:t>
      </w:r>
      <w:r>
        <w:rPr>
          <w:rFonts w:cs="Arial"/>
        </w:rPr>
        <w:t>je soukromá cesta (včetně víkendových pobytů), při které osoba ales</w:t>
      </w:r>
      <w:r w:rsidRPr="00A47D52">
        <w:rPr>
          <w:rFonts w:cs="Arial"/>
        </w:rPr>
        <w:t>poň 1x a nejvíce 3x nepřetržitě přenocovala mimo své obvyklé prostředí.</w:t>
      </w:r>
      <w:r>
        <w:rPr>
          <w:rFonts w:cs="Arial"/>
        </w:rPr>
        <w:t xml:space="preserve"> </w:t>
      </w:r>
      <w:r w:rsidRPr="00AB2E67">
        <w:rPr>
          <w:rFonts w:cs="Arial"/>
          <w:b/>
        </w:rPr>
        <w:t>Služební cesta</w:t>
      </w:r>
      <w:r>
        <w:rPr>
          <w:rFonts w:cs="Arial"/>
        </w:rPr>
        <w:t xml:space="preserve"> je cesta služebního/pracovního charakteru mimo obvyklé prostředí s nejméně jedním přenocováním (patří sem: kongresy, konference, veletrhy a výstavy, obchodní jednání, firemní mise apod.).</w:t>
      </w:r>
    </w:p>
    <w:p w14:paraId="5E45C304" w14:textId="77777777" w:rsidR="009B54FB" w:rsidRDefault="009B54FB" w:rsidP="001A6F24">
      <w:pPr>
        <w:pStyle w:val="Rbntext"/>
        <w:spacing w:before="0"/>
      </w:pPr>
    </w:p>
    <w:p w14:paraId="48936A8F" w14:textId="77777777" w:rsidR="0034429F" w:rsidRPr="009B54FB" w:rsidRDefault="0034429F" w:rsidP="009B54FB">
      <w:pPr>
        <w:pStyle w:val="Nadpis8"/>
        <w:rPr>
          <w:rFonts w:cs="Arial"/>
        </w:rPr>
      </w:pPr>
      <w:r w:rsidRPr="009B54FB">
        <w:rPr>
          <w:rFonts w:cs="Arial"/>
        </w:rPr>
        <w:lastRenderedPageBreak/>
        <w:t>KRIMINALITA, NEHODY</w:t>
      </w:r>
    </w:p>
    <w:p w14:paraId="5A6BBE19" w14:textId="77777777" w:rsidR="00B73E2E" w:rsidRDefault="00B73E2E" w:rsidP="00BA5C00">
      <w:pPr>
        <w:spacing w:before="120" w:after="120"/>
        <w:jc w:val="both"/>
        <w:rPr>
          <w:rFonts w:ascii="Arial" w:hAnsi="Arial" w:cs="Arial"/>
          <w:sz w:val="20"/>
        </w:rPr>
      </w:pPr>
      <w:r>
        <w:rPr>
          <w:rFonts w:ascii="Arial" w:hAnsi="Arial" w:cs="Arial"/>
          <w:sz w:val="20"/>
        </w:rPr>
        <w:t xml:space="preserve">Údaje o kriminalitě </w:t>
      </w:r>
      <w:r w:rsidRPr="003B09E7">
        <w:rPr>
          <w:rFonts w:ascii="Arial" w:hAnsi="Arial" w:cs="Arial"/>
          <w:sz w:val="20"/>
          <w:szCs w:val="20"/>
        </w:rPr>
        <w:t>a dopravních nehodách</w:t>
      </w:r>
      <w:r>
        <w:t xml:space="preserve"> </w:t>
      </w:r>
      <w:r>
        <w:rPr>
          <w:rFonts w:ascii="Arial" w:hAnsi="Arial" w:cs="Arial"/>
          <w:sz w:val="20"/>
        </w:rPr>
        <w:t>byly převzaty z podkladů Policejního prezidia ČR.</w:t>
      </w:r>
    </w:p>
    <w:p w14:paraId="7268B03A" w14:textId="77777777" w:rsidR="00BB231B" w:rsidRPr="00712D27" w:rsidRDefault="00BB231B" w:rsidP="00BB231B">
      <w:pPr>
        <w:spacing w:after="120"/>
        <w:jc w:val="both"/>
        <w:rPr>
          <w:rFonts w:ascii="Arial" w:hAnsi="Arial" w:cs="Arial"/>
          <w:sz w:val="20"/>
          <w:szCs w:val="20"/>
        </w:rPr>
      </w:pPr>
      <w:r w:rsidRPr="00712D27">
        <w:rPr>
          <w:rFonts w:ascii="Arial" w:hAnsi="Arial" w:cs="Arial"/>
          <w:sz w:val="20"/>
          <w:szCs w:val="20"/>
        </w:rPr>
        <w:t>Data o </w:t>
      </w:r>
      <w:r w:rsidRPr="00BB231B">
        <w:rPr>
          <w:rFonts w:ascii="Arial" w:hAnsi="Arial" w:cs="Arial"/>
          <w:b/>
          <w:sz w:val="20"/>
          <w:szCs w:val="20"/>
        </w:rPr>
        <w:t>registrovaných a objasněných trestných činech</w:t>
      </w:r>
      <w:r w:rsidRPr="00712D27">
        <w:rPr>
          <w:rFonts w:ascii="Arial" w:hAnsi="Arial" w:cs="Arial"/>
          <w:sz w:val="20"/>
          <w:szCs w:val="20"/>
        </w:rPr>
        <w:t xml:space="preserve"> (tzn. přečinech, zločinech a trestných činech) zahrnují také trestné činy </w:t>
      </w:r>
      <w:r>
        <w:rPr>
          <w:rFonts w:ascii="Arial" w:hAnsi="Arial" w:cs="Arial"/>
          <w:sz w:val="20"/>
          <w:szCs w:val="20"/>
        </w:rPr>
        <w:t>vyšetřované oddělením</w:t>
      </w:r>
      <w:r w:rsidRPr="00712D27">
        <w:rPr>
          <w:rFonts w:ascii="Arial" w:hAnsi="Arial" w:cs="Arial"/>
          <w:sz w:val="20"/>
          <w:szCs w:val="20"/>
        </w:rPr>
        <w:t xml:space="preserve"> železni</w:t>
      </w:r>
      <w:r>
        <w:rPr>
          <w:rFonts w:ascii="Arial" w:hAnsi="Arial" w:cs="Arial"/>
          <w:sz w:val="20"/>
          <w:szCs w:val="20"/>
        </w:rPr>
        <w:t>ční</w:t>
      </w:r>
      <w:r w:rsidRPr="00712D27">
        <w:rPr>
          <w:rFonts w:ascii="Arial" w:hAnsi="Arial" w:cs="Arial"/>
          <w:sz w:val="20"/>
          <w:szCs w:val="20"/>
        </w:rPr>
        <w:t xml:space="preserve"> </w:t>
      </w:r>
      <w:r>
        <w:rPr>
          <w:rFonts w:ascii="Arial" w:hAnsi="Arial" w:cs="Arial"/>
          <w:sz w:val="20"/>
          <w:szCs w:val="20"/>
        </w:rPr>
        <w:t xml:space="preserve">policie a doprovodu vlaků </w:t>
      </w:r>
      <w:r w:rsidRPr="00712D27">
        <w:rPr>
          <w:rFonts w:ascii="Arial" w:hAnsi="Arial" w:cs="Arial"/>
          <w:sz w:val="20"/>
          <w:szCs w:val="20"/>
        </w:rPr>
        <w:t xml:space="preserve">a </w:t>
      </w:r>
      <w:r>
        <w:rPr>
          <w:rFonts w:ascii="Arial" w:hAnsi="Arial" w:cs="Arial"/>
          <w:sz w:val="20"/>
          <w:szCs w:val="20"/>
        </w:rPr>
        <w:t>inspektorátem</w:t>
      </w:r>
      <w:r w:rsidRPr="00712D27">
        <w:rPr>
          <w:rFonts w:ascii="Arial" w:hAnsi="Arial" w:cs="Arial"/>
          <w:sz w:val="20"/>
          <w:szCs w:val="20"/>
        </w:rPr>
        <w:t xml:space="preserve"> cizinecké policie. Objasněné trestné činy zahrnují trestné činy spáchané a vyřešené ve vykazovaném období.</w:t>
      </w:r>
    </w:p>
    <w:p w14:paraId="353D9788" w14:textId="77777777" w:rsidR="00BB231B" w:rsidRPr="00712D27" w:rsidRDefault="00BB231B" w:rsidP="00BB231B">
      <w:pPr>
        <w:spacing w:after="120"/>
        <w:jc w:val="both"/>
        <w:rPr>
          <w:rFonts w:ascii="Arial" w:hAnsi="Arial" w:cs="Arial"/>
          <w:sz w:val="20"/>
          <w:szCs w:val="20"/>
        </w:rPr>
      </w:pPr>
      <w:r w:rsidRPr="00712D27">
        <w:rPr>
          <w:rFonts w:ascii="Arial" w:hAnsi="Arial" w:cs="Arial"/>
          <w:b/>
          <w:sz w:val="20"/>
          <w:szCs w:val="20"/>
        </w:rPr>
        <w:t>Obecná kriminalita</w:t>
      </w:r>
      <w:r w:rsidRPr="00712D27">
        <w:rPr>
          <w:rFonts w:ascii="Arial" w:hAnsi="Arial" w:cs="Arial"/>
          <w:sz w:val="20"/>
          <w:szCs w:val="20"/>
        </w:rPr>
        <w:t xml:space="preserve"> zahrnuje násilné trestné činy, mravnostní trestné činy, majetkové trestné činy</w:t>
      </w:r>
      <w:r>
        <w:rPr>
          <w:rFonts w:ascii="Arial" w:hAnsi="Arial" w:cs="Arial"/>
          <w:sz w:val="20"/>
          <w:szCs w:val="20"/>
        </w:rPr>
        <w:t xml:space="preserve"> (krádeže vloupáním, krádeže prosté a</w:t>
      </w:r>
      <w:r w:rsidRPr="00712D27">
        <w:rPr>
          <w:rFonts w:ascii="Arial" w:hAnsi="Arial" w:cs="Arial"/>
          <w:sz w:val="20"/>
          <w:szCs w:val="20"/>
        </w:rPr>
        <w:t xml:space="preserve"> ostatní majetkov</w:t>
      </w:r>
      <w:r>
        <w:rPr>
          <w:rFonts w:ascii="Arial" w:hAnsi="Arial" w:cs="Arial"/>
          <w:sz w:val="20"/>
          <w:szCs w:val="20"/>
        </w:rPr>
        <w:t>á kriminalita)</w:t>
      </w:r>
      <w:r w:rsidRPr="00712D27">
        <w:rPr>
          <w:rFonts w:ascii="Arial" w:hAnsi="Arial" w:cs="Arial"/>
          <w:sz w:val="20"/>
          <w:szCs w:val="20"/>
        </w:rPr>
        <w:t xml:space="preserve"> a ostatní trestné činy. </w:t>
      </w:r>
      <w:r w:rsidRPr="00712D27">
        <w:rPr>
          <w:rFonts w:ascii="Arial" w:hAnsi="Arial" w:cs="Arial"/>
          <w:b/>
          <w:sz w:val="20"/>
          <w:szCs w:val="20"/>
        </w:rPr>
        <w:t>Hospodářská kriminalita</w:t>
      </w:r>
      <w:r w:rsidRPr="00712D27">
        <w:rPr>
          <w:rFonts w:ascii="Arial" w:hAnsi="Arial" w:cs="Arial"/>
          <w:sz w:val="20"/>
          <w:szCs w:val="20"/>
        </w:rPr>
        <w:t xml:space="preserve"> za</w:t>
      </w:r>
      <w:r>
        <w:rPr>
          <w:rFonts w:ascii="Arial" w:hAnsi="Arial" w:cs="Arial"/>
          <w:sz w:val="20"/>
          <w:szCs w:val="20"/>
        </w:rPr>
        <w:t>hrnuje především trestné činy v </w:t>
      </w:r>
      <w:r w:rsidRPr="00712D27">
        <w:rPr>
          <w:rFonts w:ascii="Arial" w:hAnsi="Arial" w:cs="Arial"/>
          <w:sz w:val="20"/>
          <w:szCs w:val="20"/>
        </w:rPr>
        <w:t>obchodních a finančních vztazích.</w:t>
      </w:r>
    </w:p>
    <w:p w14:paraId="16EB1CFE" w14:textId="6FC82B0E" w:rsidR="00BB231B" w:rsidRPr="00712D27" w:rsidRDefault="00BB231B" w:rsidP="00BB231B">
      <w:pPr>
        <w:pStyle w:val="Rtextmetodika"/>
        <w:rPr>
          <w:sz w:val="20"/>
        </w:rPr>
      </w:pPr>
      <w:r w:rsidRPr="00712D27">
        <w:rPr>
          <w:rFonts w:cs="Arial"/>
          <w:b/>
          <w:bCs/>
          <w:sz w:val="20"/>
        </w:rPr>
        <w:t>Dopravní nehody</w:t>
      </w:r>
      <w:r w:rsidRPr="00712D27">
        <w:rPr>
          <w:rFonts w:cs="Arial"/>
          <w:sz w:val="20"/>
        </w:rPr>
        <w:t xml:space="preserve"> zahrnují všechny nehody nahlášené Policii České republiky. Počet usmrcených, těžce a</w:t>
      </w:r>
      <w:r>
        <w:rPr>
          <w:rFonts w:cs="Arial"/>
          <w:sz w:val="20"/>
        </w:rPr>
        <w:t> </w:t>
      </w:r>
      <w:r w:rsidRPr="00712D27">
        <w:rPr>
          <w:rFonts w:cs="Arial"/>
          <w:sz w:val="20"/>
        </w:rPr>
        <w:t xml:space="preserve">lehce zraněných odpovídá stavu do 24 hodin po </w:t>
      </w:r>
      <w:r w:rsidRPr="0031466D">
        <w:rPr>
          <w:rFonts w:cs="Arial"/>
          <w:sz w:val="20"/>
        </w:rPr>
        <w:t xml:space="preserve">nehodě. </w:t>
      </w:r>
      <w:r w:rsidR="00BD6177" w:rsidRPr="0031466D">
        <w:rPr>
          <w:rFonts w:cs="Arial"/>
          <w:sz w:val="20"/>
        </w:rPr>
        <w:t xml:space="preserve">Dopravní nehody pod vlivem alkoholu zahrnují nehody, při kterých byla u viníka zjištěna přítomnost alkoholu v krvi. </w:t>
      </w:r>
      <w:r w:rsidRPr="0031466D">
        <w:rPr>
          <w:rFonts w:cs="Arial"/>
          <w:sz w:val="20"/>
        </w:rPr>
        <w:t xml:space="preserve">Hmotná </w:t>
      </w:r>
      <w:r w:rsidRPr="00712D27">
        <w:rPr>
          <w:rFonts w:cs="Arial"/>
          <w:sz w:val="20"/>
        </w:rPr>
        <w:t>škoda zahrnuje škodu na vo</w:t>
      </w:r>
      <w:r>
        <w:rPr>
          <w:rFonts w:cs="Arial"/>
          <w:sz w:val="20"/>
        </w:rPr>
        <w:t xml:space="preserve">zidlech, jejich nákladu nebo na </w:t>
      </w:r>
      <w:r w:rsidRPr="00712D27">
        <w:rPr>
          <w:rFonts w:cs="Arial"/>
          <w:sz w:val="20"/>
        </w:rPr>
        <w:t>zařízení komunikace.</w:t>
      </w:r>
      <w:r>
        <w:rPr>
          <w:rFonts w:cs="Arial"/>
          <w:sz w:val="20"/>
        </w:rPr>
        <w:t xml:space="preserve"> Do krajů a okresů byly </w:t>
      </w:r>
      <w:r w:rsidRPr="00BB231B">
        <w:rPr>
          <w:rFonts w:cs="Arial"/>
          <w:sz w:val="20"/>
        </w:rPr>
        <w:t>dopravní nehod</w:t>
      </w:r>
      <w:r>
        <w:rPr>
          <w:rFonts w:cs="Arial"/>
          <w:sz w:val="20"/>
        </w:rPr>
        <w:t xml:space="preserve">y </w:t>
      </w:r>
      <w:r w:rsidR="00F7426A">
        <w:rPr>
          <w:rFonts w:cs="Arial"/>
          <w:sz w:val="20"/>
        </w:rPr>
        <w:t xml:space="preserve">zařazeny </w:t>
      </w:r>
      <w:r>
        <w:rPr>
          <w:rFonts w:cs="Arial"/>
          <w:sz w:val="20"/>
        </w:rPr>
        <w:t>na základě souřadnic místa jednotlivých nehod</w:t>
      </w:r>
      <w:r w:rsidRPr="00BB231B">
        <w:rPr>
          <w:rFonts w:cs="Arial"/>
          <w:sz w:val="20"/>
        </w:rPr>
        <w:t xml:space="preserve"> poskytnutých </w:t>
      </w:r>
      <w:r>
        <w:rPr>
          <w:rFonts w:cs="Arial"/>
          <w:sz w:val="20"/>
        </w:rPr>
        <w:t>P</w:t>
      </w:r>
      <w:r w:rsidRPr="00BB231B">
        <w:rPr>
          <w:rFonts w:cs="Arial"/>
          <w:sz w:val="20"/>
        </w:rPr>
        <w:t>olicií ČR.</w:t>
      </w:r>
    </w:p>
    <w:p w14:paraId="54C3F4EB" w14:textId="77777777" w:rsidR="00BB231B" w:rsidRPr="00712D27" w:rsidRDefault="00BB231B" w:rsidP="00BB231B">
      <w:pPr>
        <w:pStyle w:val="Rtextmetodika"/>
        <w:rPr>
          <w:rFonts w:cs="Arial"/>
          <w:sz w:val="20"/>
        </w:rPr>
      </w:pPr>
      <w:r>
        <w:rPr>
          <w:rFonts w:cs="Arial"/>
          <w:sz w:val="20"/>
        </w:rPr>
        <w:t>Údaje o </w:t>
      </w:r>
      <w:r w:rsidRPr="00712D27">
        <w:rPr>
          <w:rFonts w:cs="Arial"/>
          <w:b/>
          <w:bCs/>
          <w:sz w:val="20"/>
        </w:rPr>
        <w:t>požárech</w:t>
      </w:r>
      <w:r w:rsidRPr="00712D27">
        <w:rPr>
          <w:rFonts w:cs="Arial"/>
          <w:sz w:val="20"/>
        </w:rPr>
        <w:t xml:space="preserve"> byly převzaty z podkladů Hasičského záchranného sboru ČR.</w:t>
      </w:r>
    </w:p>
    <w:p w14:paraId="7C97C17F" w14:textId="77777777" w:rsidR="00BB231B" w:rsidRPr="00712D27" w:rsidRDefault="00BB231B" w:rsidP="00BB231B">
      <w:pPr>
        <w:pStyle w:val="Rtextmetodika"/>
        <w:rPr>
          <w:rFonts w:cs="Arial"/>
          <w:sz w:val="20"/>
        </w:rPr>
      </w:pPr>
      <w:r w:rsidRPr="00712D27">
        <w:rPr>
          <w:rFonts w:cs="Arial"/>
          <w:b/>
          <w:sz w:val="20"/>
        </w:rPr>
        <w:t>Požár</w:t>
      </w:r>
      <w:r w:rsidRPr="00712D27">
        <w:rPr>
          <w:rFonts w:cs="Arial"/>
          <w:sz w:val="20"/>
        </w:rPr>
        <w:t xml:space="preserve"> představuje každé nežádoucí hoření, při kterém došlo k usmrcení či zranění osob nebo zvířat anebo ke</w:t>
      </w:r>
      <w:r w:rsidR="00DC4FA2">
        <w:rPr>
          <w:rFonts w:cs="Arial"/>
          <w:sz w:val="20"/>
        </w:rPr>
        <w:t> </w:t>
      </w:r>
      <w:r w:rsidRPr="00712D27">
        <w:rPr>
          <w:rFonts w:cs="Arial"/>
          <w:sz w:val="20"/>
        </w:rPr>
        <w:t>škodám na</w:t>
      </w:r>
      <w:r>
        <w:rPr>
          <w:rFonts w:cs="Arial"/>
          <w:sz w:val="20"/>
        </w:rPr>
        <w:t xml:space="preserve"> </w:t>
      </w:r>
      <w:r w:rsidRPr="00712D27">
        <w:rPr>
          <w:rFonts w:cs="Arial"/>
          <w:sz w:val="20"/>
        </w:rPr>
        <w:t>materiálních hodnotách nebo životním prostředí. Za požár se považuje i nežádoucí hoření, při</w:t>
      </w:r>
      <w:r w:rsidR="00DC4FA2">
        <w:rPr>
          <w:rFonts w:cs="Arial"/>
          <w:sz w:val="20"/>
        </w:rPr>
        <w:t> </w:t>
      </w:r>
      <w:r w:rsidRPr="00712D27">
        <w:rPr>
          <w:rFonts w:cs="Arial"/>
          <w:sz w:val="20"/>
        </w:rPr>
        <w:t>kterém byly osoby, zvířata nebo materiální hodnoty nebo životní prostředí bezprostředně ohroženy.</w:t>
      </w:r>
    </w:p>
    <w:p w14:paraId="64E71514" w14:textId="77777777" w:rsidR="00BB231B" w:rsidRPr="00712D27" w:rsidRDefault="00BB231B" w:rsidP="00BB231B">
      <w:pPr>
        <w:pStyle w:val="Rtextmetodika"/>
        <w:rPr>
          <w:rFonts w:cs="Arial"/>
          <w:bCs/>
          <w:iCs/>
          <w:sz w:val="20"/>
        </w:rPr>
      </w:pPr>
      <w:r w:rsidRPr="00712D27">
        <w:rPr>
          <w:rFonts w:cs="Arial"/>
          <w:b/>
          <w:bCs/>
          <w:iCs/>
          <w:sz w:val="20"/>
        </w:rPr>
        <w:t>Usmrcené osoby celkem</w:t>
      </w:r>
      <w:r w:rsidRPr="00712D27">
        <w:rPr>
          <w:rFonts w:cs="Arial"/>
          <w:bCs/>
          <w:iCs/>
          <w:sz w:val="20"/>
        </w:rPr>
        <w:t xml:space="preserve"> jsou </w:t>
      </w:r>
      <w:r w:rsidRPr="00712D27">
        <w:rPr>
          <w:rFonts w:cs="Arial"/>
          <w:sz w:val="20"/>
        </w:rPr>
        <w:t>všechny</w:t>
      </w:r>
      <w:r w:rsidRPr="00712D27">
        <w:rPr>
          <w:rFonts w:cs="Arial"/>
          <w:bCs/>
          <w:iCs/>
          <w:sz w:val="20"/>
        </w:rPr>
        <w:t xml:space="preserve"> usmrcené osoby nalezené n</w:t>
      </w:r>
      <w:r>
        <w:rPr>
          <w:rFonts w:cs="Arial"/>
          <w:bCs/>
          <w:iCs/>
          <w:sz w:val="20"/>
        </w:rPr>
        <w:t xml:space="preserve">a místě požáru. Údaj zahrnuje i </w:t>
      </w:r>
      <w:r w:rsidRPr="00712D27">
        <w:rPr>
          <w:rFonts w:cs="Arial"/>
          <w:bCs/>
          <w:iCs/>
          <w:sz w:val="20"/>
        </w:rPr>
        <w:t>osoby, jejichž smrt prokazatelně nenastala v přímé souvislosti s požárem např. v důsledku infarktu, vraždy apod.</w:t>
      </w:r>
    </w:p>
    <w:p w14:paraId="1020887E" w14:textId="23D38EB9" w:rsidR="005D1668" w:rsidRDefault="00BB231B" w:rsidP="00BB231B">
      <w:pPr>
        <w:pStyle w:val="Rbntext"/>
        <w:spacing w:before="0"/>
        <w:rPr>
          <w:bCs/>
          <w:iCs/>
        </w:rPr>
      </w:pPr>
      <w:r w:rsidRPr="00712D27">
        <w:rPr>
          <w:b/>
          <w:bCs/>
          <w:iCs/>
        </w:rPr>
        <w:t>Usmrcené osoby v přímé souvislosti</w:t>
      </w:r>
      <w:r w:rsidRPr="00712D27">
        <w:rPr>
          <w:bCs/>
          <w:iCs/>
        </w:rPr>
        <w:t xml:space="preserve"> jsou jak osoby, které zemřely v důsledku popálenin, intoxikace zplodinami hoření apod., tak osoby, u kterých nebylo možné zjistit, zda prokazatelně zemřely v přímé souvislosti s požárem.</w:t>
      </w:r>
    </w:p>
    <w:p w14:paraId="3B6DDB19" w14:textId="77777777" w:rsidR="009B54FB" w:rsidRDefault="009B54FB" w:rsidP="00BB231B">
      <w:pPr>
        <w:pStyle w:val="Rbntext"/>
        <w:spacing w:before="0"/>
        <w:rPr>
          <w:bCs/>
          <w:iCs/>
        </w:rPr>
      </w:pPr>
    </w:p>
    <w:p w14:paraId="4B2116A6" w14:textId="537B350D" w:rsidR="00EE2E0B" w:rsidRDefault="00EE2E0B" w:rsidP="00BA5C00">
      <w:pPr>
        <w:pStyle w:val="Nadpis20"/>
        <w:spacing w:before="0"/>
        <w:rPr>
          <w:rFonts w:cs="Arial"/>
          <w:bCs/>
          <w:sz w:val="24"/>
        </w:rPr>
      </w:pPr>
    </w:p>
    <w:p w14:paraId="51FFBC35" w14:textId="77777777" w:rsidR="00D86779" w:rsidRPr="00D86779" w:rsidRDefault="00D86779" w:rsidP="00F90EB0">
      <w:pPr>
        <w:pStyle w:val="Nadpis8"/>
        <w:rPr>
          <w:rFonts w:cs="Arial"/>
        </w:rPr>
      </w:pPr>
      <w:r w:rsidRPr="00D86779">
        <w:rPr>
          <w:rFonts w:cs="Arial"/>
        </w:rPr>
        <w:t>SPRÁVNÍ OBVODY OBCÍ S ROZŠÍŘENOU PŮSOBNOSTÍ</w:t>
      </w:r>
    </w:p>
    <w:p w14:paraId="5AE42A46" w14:textId="77777777" w:rsidR="00D86779" w:rsidRPr="0076316A" w:rsidRDefault="00D86779" w:rsidP="00D86779">
      <w:pPr>
        <w:spacing w:before="120" w:after="120"/>
        <w:jc w:val="both"/>
        <w:rPr>
          <w:rFonts w:ascii="Arial" w:hAnsi="Arial" w:cs="Arial"/>
          <w:sz w:val="20"/>
          <w:szCs w:val="20"/>
        </w:rPr>
      </w:pPr>
      <w:r>
        <w:rPr>
          <w:rFonts w:ascii="Arial" w:hAnsi="Arial" w:cs="Arial"/>
          <w:sz w:val="20"/>
          <w:szCs w:val="20"/>
        </w:rPr>
        <w:t xml:space="preserve">Správní obvody obcí s rozšířenou působností (SO ORP) jsou podle </w:t>
      </w:r>
      <w:r w:rsidRPr="00687B06">
        <w:rPr>
          <w:rFonts w:ascii="Arial" w:hAnsi="Arial" w:cs="Arial"/>
          <w:sz w:val="20"/>
          <w:szCs w:val="20"/>
        </w:rPr>
        <w:t>zákon</w:t>
      </w:r>
      <w:r>
        <w:rPr>
          <w:rFonts w:ascii="Arial" w:hAnsi="Arial" w:cs="Arial"/>
          <w:sz w:val="20"/>
          <w:szCs w:val="20"/>
        </w:rPr>
        <w:t>a</w:t>
      </w:r>
      <w:r w:rsidRPr="00687B06">
        <w:rPr>
          <w:rFonts w:ascii="Arial" w:hAnsi="Arial" w:cs="Arial"/>
          <w:sz w:val="20"/>
          <w:szCs w:val="20"/>
        </w:rPr>
        <w:t xml:space="preserve"> č. 51/2020 Sb., o územně správním členění státu </w:t>
      </w:r>
      <w:r>
        <w:rPr>
          <w:rFonts w:ascii="Arial" w:hAnsi="Arial" w:cs="Arial"/>
          <w:sz w:val="20"/>
          <w:szCs w:val="20"/>
        </w:rPr>
        <w:t>jedním ze základních územních stupňů v Česku</w:t>
      </w:r>
      <w:r w:rsidRPr="00687B06">
        <w:rPr>
          <w:rFonts w:ascii="Arial" w:hAnsi="Arial" w:cs="Arial"/>
          <w:sz w:val="20"/>
          <w:szCs w:val="20"/>
        </w:rPr>
        <w:t xml:space="preserve">. </w:t>
      </w:r>
      <w:r>
        <w:rPr>
          <w:rFonts w:ascii="Arial" w:hAnsi="Arial" w:cs="Arial"/>
          <w:sz w:val="20"/>
          <w:szCs w:val="20"/>
        </w:rPr>
        <w:t xml:space="preserve">Jejich území jsou vymezena seznamem obcí, které do nich náleží podle </w:t>
      </w:r>
      <w:r w:rsidRPr="00687B06">
        <w:rPr>
          <w:rFonts w:ascii="Arial" w:hAnsi="Arial" w:cs="Arial"/>
          <w:sz w:val="20"/>
          <w:szCs w:val="20"/>
        </w:rPr>
        <w:t>Vyhlášk</w:t>
      </w:r>
      <w:r>
        <w:rPr>
          <w:rFonts w:ascii="Arial" w:hAnsi="Arial" w:cs="Arial"/>
          <w:sz w:val="20"/>
          <w:szCs w:val="20"/>
        </w:rPr>
        <w:t>y</w:t>
      </w:r>
      <w:r w:rsidRPr="00687B06">
        <w:rPr>
          <w:rFonts w:ascii="Arial" w:hAnsi="Arial" w:cs="Arial"/>
          <w:sz w:val="20"/>
          <w:szCs w:val="20"/>
        </w:rPr>
        <w:t xml:space="preserve"> č. 346/2020 Sb., o stanovení správních obvodů obcí s</w:t>
      </w:r>
      <w:r>
        <w:rPr>
          <w:rFonts w:ascii="Arial" w:hAnsi="Arial" w:cs="Arial"/>
          <w:sz w:val="20"/>
          <w:szCs w:val="20"/>
        </w:rPr>
        <w:t> </w:t>
      </w:r>
      <w:r w:rsidRPr="00687B06">
        <w:rPr>
          <w:rFonts w:ascii="Arial" w:hAnsi="Arial" w:cs="Arial"/>
          <w:sz w:val="20"/>
          <w:szCs w:val="20"/>
        </w:rPr>
        <w:t>rozšířenou působností</w:t>
      </w:r>
      <w:r>
        <w:rPr>
          <w:rFonts w:ascii="Arial" w:hAnsi="Arial" w:cs="Arial"/>
          <w:sz w:val="20"/>
          <w:szCs w:val="20"/>
        </w:rPr>
        <w:t xml:space="preserve">. </w:t>
      </w:r>
      <w:proofErr w:type="gramStart"/>
      <w:r>
        <w:rPr>
          <w:rFonts w:ascii="Arial" w:hAnsi="Arial" w:cs="Arial"/>
          <w:sz w:val="20"/>
          <w:szCs w:val="20"/>
        </w:rPr>
        <w:t>S</w:t>
      </w:r>
      <w:proofErr w:type="gramEnd"/>
      <w:r>
        <w:rPr>
          <w:rFonts w:ascii="Arial" w:hAnsi="Arial" w:cs="Arial"/>
          <w:sz w:val="20"/>
          <w:szCs w:val="20"/>
        </w:rPr>
        <w:t xml:space="preserve"> účinnosti od 1. ledna 2023 byla podle Vyhlášky č. 389/2022 Sb. přesunuta v Olomouckém kraji obec Přemyslovice z SO ORP Prostějov do SO ORP Konice. Údaje o těchto územních celcích jsou zpracovány metodou sečtení dat o obcích, které do příslušného území náleží. </w:t>
      </w:r>
    </w:p>
    <w:p w14:paraId="7E36A448" w14:textId="77777777" w:rsidR="00D86779" w:rsidRDefault="00D86779" w:rsidP="00D86779">
      <w:pPr>
        <w:spacing w:after="120"/>
        <w:jc w:val="both"/>
        <w:rPr>
          <w:rFonts w:ascii="Arial" w:hAnsi="Arial" w:cs="Arial"/>
          <w:sz w:val="20"/>
          <w:szCs w:val="20"/>
        </w:rPr>
      </w:pPr>
      <w:r>
        <w:rPr>
          <w:rFonts w:ascii="Arial" w:hAnsi="Arial" w:cs="Arial"/>
          <w:sz w:val="20"/>
          <w:szCs w:val="20"/>
        </w:rPr>
        <w:t>Metodika jednotlivých statistických ukazatelů je stejná jako pro území kraje nebo okresu. Výjimku tvoří údaje o registrované nezaměstnanosti, kde nejsou započteny osoby registrované na úřadu práce mimo okres trvalého bydliště. V počtu volných pracovních míst v evidenci úřadu práce nejsou započtena místa, u kterých není známa identifikace obce, ve které se toto místo nachází.</w:t>
      </w:r>
    </w:p>
    <w:p w14:paraId="0E55CA51" w14:textId="77777777" w:rsidR="009B54FB" w:rsidRDefault="009B54FB" w:rsidP="00D86779">
      <w:pPr>
        <w:spacing w:after="120"/>
        <w:jc w:val="both"/>
        <w:rPr>
          <w:rFonts w:ascii="Arial" w:hAnsi="Arial" w:cs="Arial"/>
          <w:sz w:val="20"/>
          <w:szCs w:val="20"/>
        </w:rPr>
      </w:pPr>
    </w:p>
    <w:p w14:paraId="4A037AFC" w14:textId="77777777" w:rsidR="00D86779" w:rsidRPr="00D86779" w:rsidRDefault="00D86779" w:rsidP="00F90EB0"/>
    <w:p w14:paraId="23C4FAD4" w14:textId="5F18CA51" w:rsidR="00D9278C" w:rsidRPr="00D9278C" w:rsidRDefault="00D9278C" w:rsidP="00D9278C">
      <w:pPr>
        <w:pStyle w:val="Nadpis8"/>
        <w:rPr>
          <w:rFonts w:cs="Arial"/>
        </w:rPr>
      </w:pPr>
      <w:r w:rsidRPr="00D9278C">
        <w:rPr>
          <w:rFonts w:cs="Arial"/>
        </w:rPr>
        <w:t>ŽIVOTNÍ PODMÍNKY</w:t>
      </w:r>
    </w:p>
    <w:p w14:paraId="56D74F83" w14:textId="04B4193D" w:rsidR="00D9278C" w:rsidRPr="00D9278C" w:rsidRDefault="00D9278C" w:rsidP="00D9278C">
      <w:pPr>
        <w:pStyle w:val="Zkladntext"/>
        <w:spacing w:before="120" w:after="120"/>
      </w:pPr>
      <w:r w:rsidRPr="00D9278C">
        <w:t>Na základě členství v Evropské unii provedl Český statistický úřad další ročník výběrového šetření EU-SILC o příjmech a životních podmínkách domácností pod názvem „Životní podmínky 202</w:t>
      </w:r>
      <w:r w:rsidR="009F08C7">
        <w:t>6</w:t>
      </w:r>
      <w:r w:rsidRPr="00D9278C">
        <w:t>“. Cílem tohoto šetření je dlouhodobě získávat srovnatelná data o sociální situaci domácností, která jsou díky jednotné metodice porovnatelná i s dalšími zeměmi EU.</w:t>
      </w:r>
    </w:p>
    <w:p w14:paraId="1D122CC8" w14:textId="7DD03B99" w:rsidR="00D9278C" w:rsidRPr="00D9278C" w:rsidRDefault="00D9278C" w:rsidP="00D9278C">
      <w:pPr>
        <w:spacing w:after="120"/>
        <w:jc w:val="both"/>
        <w:rPr>
          <w:rFonts w:ascii="Arial" w:hAnsi="Arial" w:cs="Arial"/>
          <w:sz w:val="20"/>
          <w:szCs w:val="20"/>
        </w:rPr>
      </w:pPr>
      <w:r w:rsidRPr="00D9278C">
        <w:rPr>
          <w:rFonts w:ascii="Arial" w:hAnsi="Arial" w:cs="Arial"/>
          <w:sz w:val="20"/>
          <w:szCs w:val="20"/>
        </w:rPr>
        <w:t>Šetření je realizováno jako čtyřletý rotační panel, každoročně se část domácností obmění. Výsledky šetření jsou vzhledem k velikosti výběrového souboru reprezentativní jen do regionů soudržnosti.</w:t>
      </w:r>
      <w:r w:rsidRPr="00D9278C">
        <w:rPr>
          <w:rFonts w:ascii="Arial" w:hAnsi="Arial" w:cs="Arial"/>
          <w:b/>
          <w:bCs/>
          <w:sz w:val="20"/>
          <w:szCs w:val="20"/>
        </w:rPr>
        <w:t xml:space="preserve"> Při interpretaci výsledků šetření je třeba mít na paměti, že vznikly zpracováním dat získaných z výběrového šetření a</w:t>
      </w:r>
      <w:r w:rsidR="00BD207B">
        <w:rPr>
          <w:rFonts w:ascii="Arial" w:hAnsi="Arial" w:cs="Arial"/>
          <w:b/>
          <w:bCs/>
          <w:sz w:val="20"/>
          <w:szCs w:val="20"/>
        </w:rPr>
        <w:t> </w:t>
      </w:r>
      <w:r w:rsidRPr="00D9278C">
        <w:rPr>
          <w:rFonts w:ascii="Arial" w:hAnsi="Arial" w:cs="Arial"/>
          <w:b/>
          <w:bCs/>
          <w:sz w:val="20"/>
          <w:szCs w:val="20"/>
        </w:rPr>
        <w:t>jsou zatíženy určitou statistickou chybou (výběrovou i nevýběrovou).</w:t>
      </w:r>
      <w:r w:rsidRPr="00D9278C">
        <w:rPr>
          <w:rFonts w:ascii="Arial" w:hAnsi="Arial" w:cs="Arial"/>
          <w:sz w:val="20"/>
          <w:szCs w:val="20"/>
        </w:rPr>
        <w:t xml:space="preserve"> </w:t>
      </w:r>
    </w:p>
    <w:p w14:paraId="5D4CC67A" w14:textId="2F7DC32B" w:rsidR="00D9278C" w:rsidRPr="00D9278C" w:rsidRDefault="00D9278C" w:rsidP="00D9278C">
      <w:pPr>
        <w:spacing w:after="120"/>
        <w:jc w:val="both"/>
        <w:rPr>
          <w:rFonts w:ascii="Arial" w:hAnsi="Arial" w:cs="Arial"/>
          <w:sz w:val="20"/>
          <w:szCs w:val="20"/>
        </w:rPr>
      </w:pPr>
      <w:r w:rsidRPr="00D9278C">
        <w:rPr>
          <w:rFonts w:ascii="Arial" w:hAnsi="Arial" w:cs="Arial"/>
          <w:sz w:val="20"/>
          <w:szCs w:val="20"/>
        </w:rPr>
        <w:t>Do šetření byly zahrnuty všechny osoby, které v době šetření měly ve vybraném bytě obvyklé bydliště, a</w:t>
      </w:r>
      <w:r w:rsidR="00BD207B">
        <w:rPr>
          <w:rFonts w:ascii="Arial" w:hAnsi="Arial" w:cs="Arial"/>
          <w:sz w:val="20"/>
          <w:szCs w:val="20"/>
        </w:rPr>
        <w:t> </w:t>
      </w:r>
      <w:r w:rsidRPr="00D9278C">
        <w:rPr>
          <w:rFonts w:ascii="Arial" w:hAnsi="Arial" w:cs="Arial"/>
          <w:sz w:val="20"/>
          <w:szCs w:val="20"/>
        </w:rPr>
        <w:t>to</w:t>
      </w:r>
      <w:r w:rsidR="00BD207B">
        <w:rPr>
          <w:rFonts w:ascii="Arial" w:hAnsi="Arial" w:cs="Arial"/>
          <w:sz w:val="20"/>
          <w:szCs w:val="20"/>
        </w:rPr>
        <w:t> </w:t>
      </w:r>
      <w:r w:rsidRPr="00D9278C">
        <w:rPr>
          <w:rFonts w:ascii="Arial" w:hAnsi="Arial" w:cs="Arial"/>
          <w:sz w:val="20"/>
          <w:szCs w:val="20"/>
        </w:rPr>
        <w:t xml:space="preserve">včetně osob dočasně nepřítomných. Toto se vztahovalo i na cizí státní příslušníky a podnájemníky. </w:t>
      </w:r>
      <w:r w:rsidRPr="00D9278C">
        <w:rPr>
          <w:rFonts w:ascii="Arial" w:hAnsi="Arial" w:cs="Arial"/>
          <w:b/>
          <w:bCs/>
          <w:sz w:val="20"/>
          <w:szCs w:val="20"/>
        </w:rPr>
        <w:t>Hospodařící domácnost</w:t>
      </w:r>
      <w:r w:rsidRPr="00D9278C">
        <w:rPr>
          <w:rFonts w:ascii="Arial" w:hAnsi="Arial" w:cs="Arial"/>
          <w:sz w:val="20"/>
          <w:szCs w:val="20"/>
        </w:rPr>
        <w:t xml:space="preserve"> tvoří jedinec nebo skupina osob, které spolu trvale žijí a společně hradí základní a</w:t>
      </w:r>
      <w:r w:rsidR="00BD207B">
        <w:rPr>
          <w:rFonts w:ascii="Arial" w:hAnsi="Arial" w:cs="Arial"/>
          <w:sz w:val="20"/>
          <w:szCs w:val="20"/>
        </w:rPr>
        <w:t> </w:t>
      </w:r>
      <w:r w:rsidRPr="00D9278C">
        <w:rPr>
          <w:rFonts w:ascii="Arial" w:hAnsi="Arial" w:cs="Arial"/>
          <w:sz w:val="20"/>
          <w:szCs w:val="20"/>
        </w:rPr>
        <w:t xml:space="preserve">provozní výdaje domácnosti. </w:t>
      </w:r>
      <w:r w:rsidRPr="00D9278C">
        <w:rPr>
          <w:rFonts w:ascii="Arial" w:hAnsi="Arial" w:cs="Arial"/>
          <w:b/>
          <w:bCs/>
          <w:sz w:val="20"/>
          <w:szCs w:val="20"/>
        </w:rPr>
        <w:t>Příjmy osob a domácností</w:t>
      </w:r>
      <w:r w:rsidRPr="00D9278C">
        <w:rPr>
          <w:rFonts w:ascii="Arial" w:hAnsi="Arial" w:cs="Arial"/>
          <w:sz w:val="20"/>
          <w:szCs w:val="20"/>
        </w:rPr>
        <w:t xml:space="preserve"> jsou zjišťovány vždy za kalendářní rok předcházející šetření (202</w:t>
      </w:r>
      <w:r w:rsidR="009F08C7">
        <w:rPr>
          <w:rFonts w:ascii="Arial" w:hAnsi="Arial" w:cs="Arial"/>
          <w:sz w:val="20"/>
          <w:szCs w:val="20"/>
        </w:rPr>
        <w:t>5</w:t>
      </w:r>
      <w:r w:rsidRPr="00D9278C">
        <w:rPr>
          <w:rFonts w:ascii="Arial" w:hAnsi="Arial" w:cs="Arial"/>
          <w:sz w:val="20"/>
          <w:szCs w:val="20"/>
        </w:rPr>
        <w:t>).</w:t>
      </w:r>
    </w:p>
    <w:p w14:paraId="65671DA5" w14:textId="74DDF775" w:rsidR="00D9278C" w:rsidRDefault="00D9278C" w:rsidP="00D9278C">
      <w:pPr>
        <w:spacing w:after="120"/>
        <w:jc w:val="both"/>
        <w:rPr>
          <w:rFonts w:ascii="Arial" w:hAnsi="Arial" w:cs="Arial"/>
          <w:sz w:val="20"/>
          <w:szCs w:val="20"/>
        </w:rPr>
      </w:pPr>
      <w:r w:rsidRPr="00D9278C">
        <w:rPr>
          <w:rFonts w:ascii="Arial" w:hAnsi="Arial" w:cs="Arial"/>
          <w:sz w:val="20"/>
          <w:szCs w:val="20"/>
        </w:rPr>
        <w:lastRenderedPageBreak/>
        <w:t xml:space="preserve">Podrobné výsledky šetření, metodika a tabulky s odhady </w:t>
      </w:r>
      <w:proofErr w:type="gramStart"/>
      <w:r w:rsidRPr="00D9278C">
        <w:rPr>
          <w:rFonts w:ascii="Arial" w:hAnsi="Arial" w:cs="Arial"/>
          <w:sz w:val="20"/>
          <w:szCs w:val="20"/>
        </w:rPr>
        <w:t>95%</w:t>
      </w:r>
      <w:proofErr w:type="gramEnd"/>
      <w:r w:rsidRPr="00D9278C">
        <w:rPr>
          <w:rFonts w:ascii="Arial" w:hAnsi="Arial" w:cs="Arial"/>
          <w:sz w:val="20"/>
          <w:szCs w:val="20"/>
        </w:rPr>
        <w:t xml:space="preserve"> intervalu spolehlivosti, jsou uvedeny ve zdrojové publikaci „</w:t>
      </w:r>
      <w:r w:rsidRPr="00D9278C">
        <w:rPr>
          <w:rFonts w:ascii="Arial" w:hAnsi="Arial" w:cs="Arial"/>
          <w:b/>
          <w:bCs/>
          <w:sz w:val="20"/>
          <w:szCs w:val="20"/>
        </w:rPr>
        <w:t>Příjmy a životní podmínky domácností v roce 202</w:t>
      </w:r>
      <w:r w:rsidR="009F08C7">
        <w:rPr>
          <w:rFonts w:ascii="Arial" w:hAnsi="Arial" w:cs="Arial"/>
          <w:b/>
          <w:bCs/>
          <w:sz w:val="20"/>
          <w:szCs w:val="20"/>
        </w:rPr>
        <w:t>6</w:t>
      </w:r>
      <w:r w:rsidRPr="00D9278C">
        <w:rPr>
          <w:rFonts w:ascii="Arial" w:hAnsi="Arial" w:cs="Arial"/>
          <w:sz w:val="20"/>
          <w:szCs w:val="20"/>
        </w:rPr>
        <w:t>“, která je dostupná na internetových stránkách ČSÚ.</w:t>
      </w:r>
    </w:p>
    <w:p w14:paraId="719EE5C5" w14:textId="77777777" w:rsidR="009B54FB" w:rsidRDefault="009B54FB" w:rsidP="00D9278C">
      <w:pPr>
        <w:spacing w:after="120"/>
        <w:jc w:val="both"/>
        <w:rPr>
          <w:rFonts w:ascii="Arial" w:hAnsi="Arial" w:cs="Arial"/>
          <w:sz w:val="20"/>
          <w:szCs w:val="20"/>
        </w:rPr>
      </w:pPr>
    </w:p>
    <w:p w14:paraId="3CF686AB" w14:textId="77777777" w:rsidR="009B54FB" w:rsidRPr="00D9278C" w:rsidRDefault="009B54FB" w:rsidP="00D9278C">
      <w:pPr>
        <w:spacing w:after="120"/>
        <w:jc w:val="both"/>
        <w:rPr>
          <w:rFonts w:ascii="Arial" w:hAnsi="Arial" w:cs="Arial"/>
          <w:sz w:val="20"/>
          <w:szCs w:val="20"/>
        </w:rPr>
      </w:pPr>
    </w:p>
    <w:p w14:paraId="15E79333" w14:textId="77777777" w:rsidR="00EE2E0B" w:rsidRPr="00C63FAD" w:rsidRDefault="00EE2E0B" w:rsidP="00B46946">
      <w:pPr>
        <w:pStyle w:val="Nadpis20"/>
        <w:spacing w:before="0"/>
        <w:rPr>
          <w:rFonts w:cs="Arial"/>
          <w:b w:val="0"/>
          <w:bCs/>
          <w:sz w:val="24"/>
        </w:rPr>
      </w:pPr>
      <w:r>
        <w:rPr>
          <w:rFonts w:cs="Arial"/>
          <w:bCs/>
          <w:sz w:val="24"/>
        </w:rPr>
        <w:t>MEZIROČNÍ VÝVOJ UKAZATELŮ</w:t>
      </w:r>
    </w:p>
    <w:p w14:paraId="7006BA21" w14:textId="77777777" w:rsidR="00EE2E0B" w:rsidRPr="0031466D" w:rsidRDefault="00EE2E0B" w:rsidP="00EE2E0B">
      <w:pPr>
        <w:spacing w:before="120" w:after="120" w:line="228" w:lineRule="auto"/>
        <w:jc w:val="both"/>
        <w:rPr>
          <w:rFonts w:ascii="Arial" w:hAnsi="Arial" w:cs="Arial"/>
          <w:spacing w:val="-2"/>
          <w:sz w:val="20"/>
        </w:rPr>
      </w:pPr>
      <w:r w:rsidRPr="0031466D">
        <w:rPr>
          <w:rFonts w:ascii="Arial" w:hAnsi="Arial" w:cs="Arial"/>
          <w:spacing w:val="-2"/>
          <w:sz w:val="20"/>
        </w:rPr>
        <w:t xml:space="preserve">Velikost meziročního indexu </w:t>
      </w:r>
      <w:r w:rsidR="00176436" w:rsidRPr="0031466D">
        <w:rPr>
          <w:rFonts w:ascii="Arial" w:hAnsi="Arial" w:cs="Arial"/>
          <w:spacing w:val="-2"/>
          <w:sz w:val="20"/>
        </w:rPr>
        <w:t xml:space="preserve">(např. v průmyslu, stavebnictví, zemědělství) </w:t>
      </w:r>
      <w:r w:rsidRPr="0031466D">
        <w:rPr>
          <w:rFonts w:ascii="Arial" w:hAnsi="Arial" w:cs="Arial"/>
          <w:spacing w:val="-2"/>
          <w:sz w:val="20"/>
        </w:rPr>
        <w:t xml:space="preserve">může být ovlivněna skutečností, že se při jeho výpočtu vychází ze srovnání souboru subjektů, které splňují příslušná kritéria (převažující činnost, sídlo v kraji, </w:t>
      </w:r>
      <w:r w:rsidR="00D64D80" w:rsidRPr="0031466D">
        <w:rPr>
          <w:rFonts w:ascii="Arial" w:hAnsi="Arial" w:cs="Arial"/>
          <w:spacing w:val="-2"/>
          <w:sz w:val="20"/>
        </w:rPr>
        <w:t xml:space="preserve">hranice </w:t>
      </w:r>
      <w:r w:rsidRPr="0031466D">
        <w:rPr>
          <w:rFonts w:ascii="Arial" w:hAnsi="Arial" w:cs="Arial"/>
          <w:spacing w:val="-2"/>
          <w:sz w:val="20"/>
        </w:rPr>
        <w:t xml:space="preserve">počtu zaměstnanců) ve sledovaném roce a souboru subjektů, které tato kritéria splňovaly ve </w:t>
      </w:r>
      <w:r w:rsidR="00503BA3" w:rsidRPr="0031466D">
        <w:rPr>
          <w:rFonts w:ascii="Arial" w:hAnsi="Arial" w:cs="Arial"/>
          <w:spacing w:val="-2"/>
          <w:sz w:val="20"/>
        </w:rPr>
        <w:t>stejném</w:t>
      </w:r>
      <w:r w:rsidRPr="0031466D">
        <w:rPr>
          <w:rFonts w:ascii="Arial" w:hAnsi="Arial" w:cs="Arial"/>
          <w:spacing w:val="-2"/>
          <w:sz w:val="20"/>
        </w:rPr>
        <w:t xml:space="preserve"> období předchozího roku. Nejsou prováděny přepočty na srovnatelnou organizační </w:t>
      </w:r>
      <w:r w:rsidR="009F442E" w:rsidRPr="0031466D">
        <w:rPr>
          <w:rFonts w:ascii="Arial" w:hAnsi="Arial" w:cs="Arial"/>
          <w:spacing w:val="-2"/>
          <w:sz w:val="20"/>
        </w:rPr>
        <w:t xml:space="preserve">ani územní </w:t>
      </w:r>
      <w:r w:rsidRPr="0031466D">
        <w:rPr>
          <w:rFonts w:ascii="Arial" w:hAnsi="Arial" w:cs="Arial"/>
          <w:spacing w:val="-2"/>
          <w:sz w:val="20"/>
        </w:rPr>
        <w:t xml:space="preserve">strukturu. </w:t>
      </w:r>
    </w:p>
    <w:p w14:paraId="4D1F8371" w14:textId="283E9D29" w:rsidR="00EE2E0B" w:rsidRDefault="00EE2E0B" w:rsidP="00EE2E0B">
      <w:pPr>
        <w:spacing w:line="228" w:lineRule="auto"/>
        <w:jc w:val="both"/>
        <w:rPr>
          <w:rFonts w:ascii="Arial" w:hAnsi="Arial" w:cs="Arial"/>
          <w:sz w:val="20"/>
        </w:rPr>
      </w:pPr>
      <w:r w:rsidRPr="00C63FAD">
        <w:rPr>
          <w:rFonts w:ascii="Arial" w:hAnsi="Arial" w:cs="Arial"/>
          <w:sz w:val="20"/>
        </w:rPr>
        <w:t xml:space="preserve">Indexy </w:t>
      </w:r>
      <w:r w:rsidR="00D86779">
        <w:rPr>
          <w:rFonts w:ascii="Arial" w:hAnsi="Arial" w:cs="Arial"/>
          <w:sz w:val="20"/>
        </w:rPr>
        <w:t xml:space="preserve">2026/2025 a </w:t>
      </w:r>
      <w:r w:rsidRPr="00C63FAD">
        <w:rPr>
          <w:rFonts w:ascii="Arial" w:hAnsi="Arial" w:cs="Arial"/>
          <w:sz w:val="20"/>
        </w:rPr>
        <w:t>20</w:t>
      </w:r>
      <w:r>
        <w:rPr>
          <w:rFonts w:ascii="Arial" w:hAnsi="Arial" w:cs="Arial"/>
          <w:sz w:val="20"/>
        </w:rPr>
        <w:t>2</w:t>
      </w:r>
      <w:r w:rsidR="004E6A8F">
        <w:rPr>
          <w:rFonts w:ascii="Arial" w:hAnsi="Arial" w:cs="Arial"/>
          <w:sz w:val="20"/>
        </w:rPr>
        <w:t>5</w:t>
      </w:r>
      <w:r w:rsidRPr="00C63FAD">
        <w:rPr>
          <w:rFonts w:ascii="Arial" w:hAnsi="Arial" w:cs="Arial"/>
          <w:sz w:val="20"/>
        </w:rPr>
        <w:t>/20</w:t>
      </w:r>
      <w:r w:rsidR="00D0053D">
        <w:rPr>
          <w:rFonts w:ascii="Arial" w:hAnsi="Arial" w:cs="Arial"/>
          <w:sz w:val="20"/>
        </w:rPr>
        <w:t>2</w:t>
      </w:r>
      <w:r w:rsidR="004E6A8F">
        <w:rPr>
          <w:rFonts w:ascii="Arial" w:hAnsi="Arial" w:cs="Arial"/>
          <w:sz w:val="20"/>
        </w:rPr>
        <w:t>4</w:t>
      </w:r>
      <w:r w:rsidR="004E6A8F" w:rsidRPr="00C63FAD">
        <w:rPr>
          <w:rFonts w:ascii="Arial" w:hAnsi="Arial" w:cs="Arial"/>
          <w:sz w:val="20"/>
        </w:rPr>
        <w:t xml:space="preserve"> </w:t>
      </w:r>
      <w:r w:rsidRPr="00C63FAD">
        <w:rPr>
          <w:rFonts w:ascii="Arial" w:hAnsi="Arial" w:cs="Arial"/>
          <w:sz w:val="20"/>
        </w:rPr>
        <w:t>jsou uváděny v %.</w:t>
      </w:r>
    </w:p>
    <w:p w14:paraId="252F9341" w14:textId="77777777" w:rsidR="009B54FB" w:rsidRDefault="009B54FB" w:rsidP="00EE2E0B">
      <w:pPr>
        <w:spacing w:line="228" w:lineRule="auto"/>
        <w:jc w:val="both"/>
        <w:rPr>
          <w:rFonts w:ascii="Arial" w:hAnsi="Arial" w:cs="Arial"/>
          <w:sz w:val="20"/>
        </w:rPr>
      </w:pPr>
    </w:p>
    <w:p w14:paraId="4D025ED7" w14:textId="77777777" w:rsidR="00F752DB" w:rsidRDefault="00F752DB" w:rsidP="00145516">
      <w:pPr>
        <w:pStyle w:val="Nadpis20"/>
        <w:spacing w:before="0" w:line="228" w:lineRule="auto"/>
        <w:rPr>
          <w:rFonts w:cs="Arial"/>
          <w:bCs/>
          <w:sz w:val="24"/>
        </w:rPr>
      </w:pPr>
    </w:p>
    <w:p w14:paraId="7AACD2F9" w14:textId="5FCC90C2" w:rsidR="00D86779" w:rsidRPr="00F90EB0" w:rsidRDefault="00F90EB0" w:rsidP="00D86779">
      <w:pPr>
        <w:spacing w:after="120"/>
        <w:rPr>
          <w:rFonts w:ascii="Arial" w:hAnsi="Arial" w:cs="Arial"/>
          <w:b/>
          <w:bCs/>
        </w:rPr>
      </w:pPr>
      <w:r w:rsidRPr="00F90EB0">
        <w:rPr>
          <w:rFonts w:ascii="Arial" w:hAnsi="Arial" w:cs="Arial"/>
          <w:b/>
          <w:bCs/>
        </w:rPr>
        <w:t>PŘEHLED REGIONŮ SOUDRŽNOSTI (NUTS 2) A KRAJŮ (NUTS 3):</w:t>
      </w:r>
    </w:p>
    <w:p w14:paraId="532692F1" w14:textId="77777777" w:rsidR="00D86779" w:rsidRPr="00D9278C" w:rsidRDefault="00D86779" w:rsidP="00D86779">
      <w:pPr>
        <w:ind w:left="425"/>
        <w:rPr>
          <w:rFonts w:ascii="Arial" w:hAnsi="Arial" w:cs="Arial"/>
          <w:sz w:val="20"/>
          <w:szCs w:val="20"/>
        </w:rPr>
      </w:pPr>
      <w:r w:rsidRPr="00D9278C">
        <w:rPr>
          <w:rFonts w:ascii="Arial" w:hAnsi="Arial" w:cs="Arial"/>
          <w:sz w:val="20"/>
          <w:szCs w:val="20"/>
        </w:rPr>
        <w:t>Praha – Hlavní město Praha</w:t>
      </w:r>
    </w:p>
    <w:p w14:paraId="09E00464" w14:textId="77777777" w:rsidR="00D86779" w:rsidRPr="00D9278C" w:rsidRDefault="00D86779" w:rsidP="00D86779">
      <w:pPr>
        <w:ind w:left="425"/>
        <w:rPr>
          <w:rFonts w:ascii="Arial" w:hAnsi="Arial" w:cs="Arial"/>
          <w:sz w:val="20"/>
          <w:szCs w:val="20"/>
        </w:rPr>
      </w:pPr>
      <w:r w:rsidRPr="00D9278C">
        <w:rPr>
          <w:rFonts w:ascii="Arial" w:hAnsi="Arial" w:cs="Arial"/>
          <w:sz w:val="20"/>
          <w:szCs w:val="20"/>
        </w:rPr>
        <w:t>Střední Čechy – Středočeský kraj</w:t>
      </w:r>
    </w:p>
    <w:p w14:paraId="721525D3" w14:textId="77777777" w:rsidR="00D86779" w:rsidRPr="00D9278C" w:rsidRDefault="00D86779" w:rsidP="00D86779">
      <w:pPr>
        <w:ind w:left="425"/>
        <w:rPr>
          <w:rFonts w:ascii="Arial" w:hAnsi="Arial" w:cs="Arial"/>
          <w:sz w:val="20"/>
          <w:szCs w:val="20"/>
        </w:rPr>
      </w:pPr>
      <w:r w:rsidRPr="00D9278C">
        <w:rPr>
          <w:rFonts w:ascii="Arial" w:hAnsi="Arial" w:cs="Arial"/>
          <w:sz w:val="20"/>
          <w:szCs w:val="20"/>
        </w:rPr>
        <w:t>Jihozápad – Jihočeský kraj a Plzeňský kraj</w:t>
      </w:r>
    </w:p>
    <w:p w14:paraId="30590404" w14:textId="77777777" w:rsidR="00D86779" w:rsidRPr="00D9278C" w:rsidRDefault="00D86779" w:rsidP="00D86779">
      <w:pPr>
        <w:ind w:left="425"/>
        <w:rPr>
          <w:rFonts w:ascii="Arial" w:hAnsi="Arial" w:cs="Arial"/>
          <w:sz w:val="20"/>
          <w:szCs w:val="20"/>
        </w:rPr>
      </w:pPr>
      <w:r w:rsidRPr="00D9278C">
        <w:rPr>
          <w:rFonts w:ascii="Arial" w:hAnsi="Arial" w:cs="Arial"/>
          <w:sz w:val="20"/>
          <w:szCs w:val="20"/>
        </w:rPr>
        <w:t>Severozápad – Karlovarský kraj a Ústecký kraj</w:t>
      </w:r>
    </w:p>
    <w:p w14:paraId="61FBEABD" w14:textId="77777777" w:rsidR="00D86779" w:rsidRPr="00D9278C" w:rsidRDefault="00D86779" w:rsidP="00D86779">
      <w:pPr>
        <w:ind w:left="425"/>
        <w:rPr>
          <w:rFonts w:ascii="Arial" w:hAnsi="Arial" w:cs="Arial"/>
          <w:sz w:val="20"/>
          <w:szCs w:val="20"/>
        </w:rPr>
      </w:pPr>
      <w:r w:rsidRPr="00D9278C">
        <w:rPr>
          <w:rFonts w:ascii="Arial" w:hAnsi="Arial" w:cs="Arial"/>
          <w:sz w:val="20"/>
          <w:szCs w:val="20"/>
        </w:rPr>
        <w:t>Severovýchod – Liberecký kraj, Královéhradecký kraj a Pardubický kraj</w:t>
      </w:r>
    </w:p>
    <w:p w14:paraId="186933F9" w14:textId="77777777" w:rsidR="00D86779" w:rsidRPr="00D9278C" w:rsidRDefault="00D86779" w:rsidP="00D86779">
      <w:pPr>
        <w:ind w:left="425"/>
        <w:rPr>
          <w:rFonts w:ascii="Arial" w:hAnsi="Arial" w:cs="Arial"/>
          <w:sz w:val="20"/>
          <w:szCs w:val="20"/>
        </w:rPr>
      </w:pPr>
      <w:r w:rsidRPr="00D9278C">
        <w:rPr>
          <w:rFonts w:ascii="Arial" w:hAnsi="Arial" w:cs="Arial"/>
          <w:sz w:val="20"/>
          <w:szCs w:val="20"/>
        </w:rPr>
        <w:t>Jihovýchod – Kraj Vysočina a Jihomoravský kraj</w:t>
      </w:r>
    </w:p>
    <w:p w14:paraId="16FB8CBC" w14:textId="77777777" w:rsidR="00D86779" w:rsidRPr="00D9278C" w:rsidRDefault="00D86779" w:rsidP="00D86779">
      <w:pPr>
        <w:ind w:left="425"/>
        <w:rPr>
          <w:rFonts w:ascii="Arial" w:hAnsi="Arial" w:cs="Arial"/>
          <w:sz w:val="20"/>
          <w:szCs w:val="20"/>
        </w:rPr>
      </w:pPr>
      <w:r w:rsidRPr="00D9278C">
        <w:rPr>
          <w:rFonts w:ascii="Arial" w:hAnsi="Arial" w:cs="Arial"/>
          <w:sz w:val="20"/>
          <w:szCs w:val="20"/>
        </w:rPr>
        <w:t>Střední Morava – Olomoucký kraj a Zlínský kraj</w:t>
      </w:r>
    </w:p>
    <w:p w14:paraId="4B52C164" w14:textId="77777777" w:rsidR="00D86779" w:rsidRPr="00D9278C" w:rsidRDefault="00D86779" w:rsidP="00D86779">
      <w:pPr>
        <w:ind w:left="425"/>
        <w:rPr>
          <w:rFonts w:ascii="Arial" w:hAnsi="Arial" w:cs="Arial"/>
          <w:sz w:val="20"/>
          <w:szCs w:val="20"/>
        </w:rPr>
      </w:pPr>
      <w:proofErr w:type="spellStart"/>
      <w:r w:rsidRPr="00D9278C">
        <w:rPr>
          <w:rFonts w:ascii="Arial" w:hAnsi="Arial" w:cs="Arial"/>
          <w:sz w:val="20"/>
          <w:szCs w:val="20"/>
        </w:rPr>
        <w:t>Moravskoslezsko</w:t>
      </w:r>
      <w:proofErr w:type="spellEnd"/>
      <w:r w:rsidRPr="00D9278C">
        <w:rPr>
          <w:rFonts w:ascii="Arial" w:hAnsi="Arial" w:cs="Arial"/>
          <w:sz w:val="20"/>
          <w:szCs w:val="20"/>
        </w:rPr>
        <w:t xml:space="preserve"> – Moravskoslezský kraj</w:t>
      </w:r>
    </w:p>
    <w:p w14:paraId="0361FDE0" w14:textId="77777777" w:rsidR="00D86779" w:rsidRPr="00D86779" w:rsidRDefault="00D86779" w:rsidP="00F90EB0"/>
    <w:p w14:paraId="6EFD414F" w14:textId="77777777" w:rsidR="00145516" w:rsidRPr="00C63FAD" w:rsidRDefault="00145516" w:rsidP="00145516">
      <w:pPr>
        <w:pStyle w:val="Nadpis20"/>
        <w:spacing w:before="0" w:line="228" w:lineRule="auto"/>
        <w:rPr>
          <w:rFonts w:cs="Arial"/>
          <w:b w:val="0"/>
          <w:bCs/>
          <w:sz w:val="24"/>
        </w:rPr>
      </w:pPr>
      <w:r w:rsidRPr="00C63FAD">
        <w:rPr>
          <w:rFonts w:cs="Arial"/>
          <w:bCs/>
          <w:sz w:val="24"/>
        </w:rPr>
        <w:t>ZNAČKY V TABULKÁCH</w:t>
      </w:r>
    </w:p>
    <w:p w14:paraId="04BF606D" w14:textId="77777777" w:rsidR="00145516" w:rsidRPr="00C63FAD" w:rsidRDefault="00145516" w:rsidP="00C63FAD">
      <w:pPr>
        <w:tabs>
          <w:tab w:val="left" w:pos="426"/>
        </w:tabs>
        <w:spacing w:before="60" w:line="228" w:lineRule="auto"/>
        <w:jc w:val="both"/>
        <w:rPr>
          <w:rFonts w:ascii="Arial" w:hAnsi="Arial" w:cs="Arial"/>
          <w:sz w:val="20"/>
        </w:rPr>
      </w:pPr>
      <w:r w:rsidRPr="00C63FAD">
        <w:rPr>
          <w:rFonts w:ascii="Arial" w:hAnsi="Arial" w:cs="Arial"/>
          <w:b/>
          <w:sz w:val="20"/>
        </w:rPr>
        <w:t>-</w:t>
      </w:r>
      <w:r w:rsidR="00276BEE">
        <w:rPr>
          <w:rFonts w:ascii="Arial" w:hAnsi="Arial" w:cs="Arial"/>
          <w:b/>
          <w:sz w:val="20"/>
        </w:rPr>
        <w:tab/>
      </w:r>
      <w:r w:rsidR="00CB5336" w:rsidRPr="00CB5336">
        <w:rPr>
          <w:rFonts w:ascii="Arial" w:hAnsi="Arial" w:cs="Arial"/>
          <w:sz w:val="20"/>
        </w:rPr>
        <w:t xml:space="preserve"> </w:t>
      </w:r>
      <w:r w:rsidRPr="00C63FAD">
        <w:rPr>
          <w:rFonts w:ascii="Arial" w:hAnsi="Arial" w:cs="Arial"/>
          <w:sz w:val="20"/>
        </w:rPr>
        <w:t>jev se nevyskytoval</w:t>
      </w:r>
    </w:p>
    <w:p w14:paraId="3CE2D84A" w14:textId="77777777" w:rsidR="00F35C72" w:rsidRPr="00C63FAD" w:rsidRDefault="00F35C72" w:rsidP="00F35C72">
      <w:pPr>
        <w:spacing w:line="228" w:lineRule="auto"/>
        <w:jc w:val="both"/>
        <w:rPr>
          <w:rFonts w:ascii="Arial" w:hAnsi="Arial" w:cs="Arial"/>
          <w:sz w:val="20"/>
        </w:rPr>
      </w:pPr>
      <w:r w:rsidRPr="00C63FAD">
        <w:rPr>
          <w:rFonts w:ascii="Arial" w:hAnsi="Arial" w:cs="Arial"/>
          <w:b/>
          <w:sz w:val="20"/>
        </w:rPr>
        <w:t>.</w:t>
      </w:r>
      <w:r w:rsidRPr="00C63FAD">
        <w:rPr>
          <w:rFonts w:ascii="Arial" w:hAnsi="Arial" w:cs="Arial"/>
          <w:sz w:val="20"/>
        </w:rPr>
        <w:t xml:space="preserve">    </w:t>
      </w:r>
      <w:r>
        <w:rPr>
          <w:rFonts w:ascii="Arial" w:hAnsi="Arial" w:cs="Arial"/>
          <w:sz w:val="20"/>
        </w:rPr>
        <w:t xml:space="preserve"> </w:t>
      </w:r>
      <w:r w:rsidRPr="00C63FAD">
        <w:rPr>
          <w:rFonts w:ascii="Arial" w:hAnsi="Arial" w:cs="Arial"/>
          <w:sz w:val="20"/>
        </w:rPr>
        <w:t xml:space="preserve">  údaj není k dispozici nebo není dostatečně spolehlivý </w:t>
      </w:r>
    </w:p>
    <w:p w14:paraId="65906C8B" w14:textId="77777777" w:rsidR="00F35C72" w:rsidRPr="00C63FAD" w:rsidRDefault="00F35C72" w:rsidP="00F35C72">
      <w:pPr>
        <w:spacing w:line="228" w:lineRule="auto"/>
        <w:jc w:val="both"/>
        <w:rPr>
          <w:rFonts w:ascii="Arial" w:hAnsi="Arial" w:cs="Arial"/>
          <w:sz w:val="20"/>
        </w:rPr>
      </w:pPr>
      <w:r w:rsidRPr="00C63FAD">
        <w:rPr>
          <w:rFonts w:ascii="Arial" w:hAnsi="Arial" w:cs="Arial"/>
          <w:b/>
          <w:sz w:val="20"/>
        </w:rPr>
        <w:t>x</w:t>
      </w:r>
      <w:r w:rsidRPr="00C63FAD">
        <w:rPr>
          <w:rFonts w:ascii="Arial" w:hAnsi="Arial" w:cs="Arial"/>
          <w:sz w:val="20"/>
        </w:rPr>
        <w:t xml:space="preserve">  </w:t>
      </w:r>
      <w:r>
        <w:rPr>
          <w:rFonts w:ascii="Arial" w:hAnsi="Arial" w:cs="Arial"/>
          <w:sz w:val="20"/>
        </w:rPr>
        <w:t xml:space="preserve"> </w:t>
      </w:r>
      <w:r w:rsidRPr="00C63FAD">
        <w:rPr>
          <w:rFonts w:ascii="Arial" w:hAnsi="Arial" w:cs="Arial"/>
          <w:sz w:val="20"/>
        </w:rPr>
        <w:t xml:space="preserve">   číselný údaj není možný z logických důvodů </w:t>
      </w:r>
    </w:p>
    <w:p w14:paraId="70A0EC48" w14:textId="77777777" w:rsidR="00145516" w:rsidRPr="00C63FAD" w:rsidRDefault="00145516" w:rsidP="00145516">
      <w:pPr>
        <w:spacing w:line="228" w:lineRule="auto"/>
        <w:jc w:val="both"/>
        <w:rPr>
          <w:rFonts w:ascii="Arial" w:hAnsi="Arial" w:cs="Arial"/>
          <w:sz w:val="20"/>
        </w:rPr>
      </w:pPr>
      <w:r w:rsidRPr="00C63FAD">
        <w:rPr>
          <w:rFonts w:ascii="Arial" w:hAnsi="Arial" w:cs="Arial"/>
          <w:b/>
          <w:sz w:val="20"/>
        </w:rPr>
        <w:t>0</w:t>
      </w:r>
      <w:r w:rsidRPr="00C63FAD">
        <w:rPr>
          <w:rFonts w:ascii="Arial" w:hAnsi="Arial" w:cs="Arial"/>
          <w:sz w:val="20"/>
        </w:rPr>
        <w:t xml:space="preserve"> </w:t>
      </w:r>
      <w:r w:rsidR="00CB5336">
        <w:rPr>
          <w:rFonts w:ascii="Arial" w:hAnsi="Arial" w:cs="Arial"/>
          <w:sz w:val="20"/>
        </w:rPr>
        <w:t xml:space="preserve"> </w:t>
      </w:r>
      <w:r w:rsidRPr="00C63FAD">
        <w:rPr>
          <w:rFonts w:ascii="Arial" w:hAnsi="Arial" w:cs="Arial"/>
          <w:sz w:val="20"/>
        </w:rPr>
        <w:t xml:space="preserve">  </w:t>
      </w:r>
      <w:r w:rsidR="000B5E2F" w:rsidRPr="00C63FAD">
        <w:rPr>
          <w:rFonts w:ascii="Arial" w:hAnsi="Arial" w:cs="Arial"/>
          <w:sz w:val="20"/>
        </w:rPr>
        <w:t xml:space="preserve">  </w:t>
      </w:r>
      <w:r w:rsidRPr="00C63FAD">
        <w:rPr>
          <w:rFonts w:ascii="Arial" w:hAnsi="Arial" w:cs="Arial"/>
          <w:sz w:val="20"/>
        </w:rPr>
        <w:t>nenulový údaj, jehož velikost je menší než polovina měřící jednotky v tabulce</w:t>
      </w:r>
    </w:p>
    <w:p w14:paraId="4307248D" w14:textId="77777777" w:rsidR="00145516" w:rsidRPr="00C63FAD" w:rsidRDefault="00145516" w:rsidP="00145516">
      <w:pPr>
        <w:spacing w:line="228" w:lineRule="auto"/>
        <w:jc w:val="both"/>
        <w:rPr>
          <w:rFonts w:ascii="Arial" w:hAnsi="Arial" w:cs="Arial"/>
          <w:sz w:val="20"/>
        </w:rPr>
      </w:pPr>
      <w:r w:rsidRPr="00C63FAD">
        <w:rPr>
          <w:rFonts w:ascii="Arial" w:hAnsi="Arial" w:cs="Arial"/>
          <w:b/>
          <w:sz w:val="20"/>
        </w:rPr>
        <w:t>i.</w:t>
      </w:r>
      <w:r w:rsidR="00CB5336">
        <w:rPr>
          <w:rFonts w:ascii="Arial" w:hAnsi="Arial" w:cs="Arial"/>
          <w:b/>
          <w:sz w:val="20"/>
        </w:rPr>
        <w:t> </w:t>
      </w:r>
      <w:r w:rsidRPr="00C63FAD">
        <w:rPr>
          <w:rFonts w:ascii="Arial" w:hAnsi="Arial" w:cs="Arial"/>
          <w:b/>
          <w:sz w:val="20"/>
        </w:rPr>
        <w:t>d</w:t>
      </w:r>
      <w:r w:rsidRPr="00CB5336">
        <w:rPr>
          <w:rFonts w:ascii="Arial" w:hAnsi="Arial" w:cs="Arial"/>
          <w:b/>
          <w:sz w:val="20"/>
        </w:rPr>
        <w:t>.</w:t>
      </w:r>
      <w:r w:rsidRPr="00C63FAD">
        <w:rPr>
          <w:rFonts w:ascii="Arial" w:hAnsi="Arial" w:cs="Arial"/>
          <w:sz w:val="20"/>
        </w:rPr>
        <w:t xml:space="preserve"> </w:t>
      </w:r>
      <w:r w:rsidR="000B5E2F" w:rsidRPr="00C63FAD">
        <w:rPr>
          <w:rFonts w:ascii="Arial" w:hAnsi="Arial" w:cs="Arial"/>
          <w:sz w:val="20"/>
        </w:rPr>
        <w:t xml:space="preserve"> </w:t>
      </w:r>
      <w:r w:rsidRPr="00C63FAD">
        <w:rPr>
          <w:rFonts w:ascii="Arial" w:hAnsi="Arial" w:cs="Arial"/>
          <w:sz w:val="20"/>
        </w:rPr>
        <w:t xml:space="preserve">údaj nelze zveřejnit (individuální </w:t>
      </w:r>
      <w:r w:rsidR="003B36FF">
        <w:rPr>
          <w:rFonts w:ascii="Arial" w:hAnsi="Arial" w:cs="Arial"/>
          <w:sz w:val="20"/>
        </w:rPr>
        <w:t xml:space="preserve">nebo důvěrný </w:t>
      </w:r>
      <w:r w:rsidRPr="00C63FAD">
        <w:rPr>
          <w:rFonts w:ascii="Arial" w:hAnsi="Arial" w:cs="Arial"/>
          <w:sz w:val="20"/>
        </w:rPr>
        <w:t xml:space="preserve">údaj) </w:t>
      </w:r>
    </w:p>
    <w:p w14:paraId="04121882" w14:textId="77777777" w:rsidR="00EE2E0B" w:rsidRPr="00C63FAD" w:rsidRDefault="00145516" w:rsidP="00EE2E0B">
      <w:pPr>
        <w:spacing w:before="200" w:line="228" w:lineRule="auto"/>
        <w:jc w:val="both"/>
        <w:rPr>
          <w:rFonts w:ascii="Arial" w:hAnsi="Arial" w:cs="Arial"/>
          <w:sz w:val="20"/>
        </w:rPr>
      </w:pPr>
      <w:r w:rsidRPr="00C63FAD">
        <w:rPr>
          <w:rFonts w:ascii="Arial" w:hAnsi="Arial" w:cs="Arial"/>
          <w:sz w:val="20"/>
        </w:rPr>
        <w:t>Výpočty v tabulkách jsou prováděny z nezaokrouhlených údajů (včetně součtů)</w:t>
      </w:r>
      <w:r w:rsidR="00C14E0A" w:rsidRPr="00C63FAD">
        <w:rPr>
          <w:rFonts w:ascii="Arial" w:hAnsi="Arial" w:cs="Arial"/>
          <w:sz w:val="20"/>
        </w:rPr>
        <w:t>.</w:t>
      </w:r>
      <w:r w:rsidR="00EE2E0B">
        <w:rPr>
          <w:rFonts w:ascii="Arial" w:hAnsi="Arial" w:cs="Arial"/>
          <w:sz w:val="20"/>
        </w:rPr>
        <w:t xml:space="preserve"> </w:t>
      </w:r>
    </w:p>
    <w:sectPr w:rsidR="00EE2E0B" w:rsidRPr="00C63FAD" w:rsidSect="007C6E70">
      <w:headerReference w:type="default" r:id="rId13"/>
      <w:footerReference w:type="default" r:id="rId14"/>
      <w:headerReference w:type="first" r:id="rId15"/>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4EAAC" w14:textId="77777777" w:rsidR="00617A8F" w:rsidRDefault="00617A8F">
      <w:r>
        <w:separator/>
      </w:r>
    </w:p>
  </w:endnote>
  <w:endnote w:type="continuationSeparator" w:id="0">
    <w:p w14:paraId="07A14342" w14:textId="77777777" w:rsidR="00617A8F" w:rsidRDefault="0061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AE17" w14:textId="034EF154" w:rsidR="00D454FC" w:rsidRDefault="00123B74">
    <w:pPr>
      <w:pStyle w:val="Zpat"/>
      <w:framePr w:wrap="around" w:vAnchor="text" w:hAnchor="margin" w:xAlign="outside" w:y="1"/>
      <w:rPr>
        <w:rStyle w:val="slostrnky"/>
      </w:rPr>
    </w:pPr>
    <w:r>
      <w:rPr>
        <w:rStyle w:val="slostrnky"/>
      </w:rPr>
      <w:fldChar w:fldCharType="begin"/>
    </w:r>
    <w:r w:rsidR="00D454FC">
      <w:rPr>
        <w:rStyle w:val="slostrnky"/>
      </w:rPr>
      <w:instrText xml:space="preserve">PAGE  </w:instrText>
    </w:r>
    <w:r>
      <w:rPr>
        <w:rStyle w:val="slostrnky"/>
      </w:rPr>
      <w:fldChar w:fldCharType="separate"/>
    </w:r>
    <w:r w:rsidR="0081715F">
      <w:rPr>
        <w:rStyle w:val="slostrnky"/>
        <w:noProof/>
      </w:rPr>
      <w:t>1</w:t>
    </w:r>
    <w:r>
      <w:rPr>
        <w:rStyle w:val="slostrnky"/>
      </w:rPr>
      <w:fldChar w:fldCharType="end"/>
    </w:r>
  </w:p>
  <w:p w14:paraId="5A909407" w14:textId="3FC21115" w:rsidR="00D454FC" w:rsidRDefault="00B76CE1">
    <w:pPr>
      <w:pStyle w:val="Zpat"/>
      <w:ind w:right="360" w:firstLine="360"/>
      <w:jc w:val="center"/>
    </w:pPr>
    <w:r>
      <w:t xml:space="preserve">Statistické bulletiny krajů </w:t>
    </w:r>
    <w:r w:rsidR="009D1198">
      <w:t>202</w:t>
    </w:r>
    <w:r w:rsidR="00D72C9C">
      <w:t>5</w:t>
    </w:r>
    <w:r>
      <w:t xml:space="preserve"> </w:t>
    </w:r>
    <w:r w:rsidR="00D454F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91A1" w14:textId="77777777" w:rsidR="00617A8F" w:rsidRDefault="00617A8F">
      <w:r>
        <w:separator/>
      </w:r>
    </w:p>
  </w:footnote>
  <w:footnote w:type="continuationSeparator" w:id="0">
    <w:p w14:paraId="673609C3" w14:textId="77777777" w:rsidR="00617A8F" w:rsidRDefault="00617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9182" w14:textId="77777777" w:rsidR="00D454FC" w:rsidRDefault="00D454FC">
    <w:pPr>
      <w:pStyle w:val="Zhlav"/>
      <w:jc w:val="center"/>
      <w:rPr>
        <w:b/>
        <w:sz w:val="24"/>
      </w:rPr>
    </w:pPr>
    <w:r>
      <w:rPr>
        <w:b/>
        <w:sz w:val="24"/>
      </w:rPr>
      <w:t>METODICKÉ VYSVĚTLIVKY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221C" w14:textId="77777777" w:rsidR="00D454FC" w:rsidRDefault="00D454FC">
    <w:pPr>
      <w:pStyle w:val="Zhlav"/>
      <w:jc w:val="center"/>
      <w:rPr>
        <w:b/>
        <w:bCs/>
        <w:sz w:val="24"/>
      </w:rPr>
    </w:pPr>
    <w:proofErr w:type="gramStart"/>
    <w:r>
      <w:rPr>
        <w:b/>
        <w:bCs/>
        <w:sz w:val="24"/>
      </w:rPr>
      <w:t>METODICKÉ  VYSVĚTLIVKY</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386A"/>
    <w:multiLevelType w:val="hybridMultilevel"/>
    <w:tmpl w:val="D1288262"/>
    <w:lvl w:ilvl="0" w:tplc="04050003">
      <w:start w:val="1"/>
      <w:numFmt w:val="bullet"/>
      <w:lvlText w:val="o"/>
      <w:lvlJc w:val="left"/>
      <w:pPr>
        <w:ind w:left="780" w:hanging="360"/>
      </w:pPr>
      <w:rPr>
        <w:rFonts w:ascii="Courier New" w:hAnsi="Courier New" w:cs="Courier New"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363618"/>
    <w:multiLevelType w:val="hybridMultilevel"/>
    <w:tmpl w:val="E3E8EB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53728239">
    <w:abstractNumId w:val="3"/>
  </w:num>
  <w:num w:numId="2" w16cid:durableId="1122461363">
    <w:abstractNumId w:val="1"/>
  </w:num>
  <w:num w:numId="3" w16cid:durableId="2047828810">
    <w:abstractNumId w:val="0"/>
  </w:num>
  <w:num w:numId="4" w16cid:durableId="1746028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CDC"/>
    <w:rsid w:val="00002B17"/>
    <w:rsid w:val="00004FAC"/>
    <w:rsid w:val="00012ABC"/>
    <w:rsid w:val="0002190D"/>
    <w:rsid w:val="0003518E"/>
    <w:rsid w:val="0003704E"/>
    <w:rsid w:val="00040160"/>
    <w:rsid w:val="00045849"/>
    <w:rsid w:val="00045CF4"/>
    <w:rsid w:val="00053BB7"/>
    <w:rsid w:val="00056DCA"/>
    <w:rsid w:val="000645A7"/>
    <w:rsid w:val="00073DE6"/>
    <w:rsid w:val="00076703"/>
    <w:rsid w:val="00084D9B"/>
    <w:rsid w:val="000A050D"/>
    <w:rsid w:val="000B5E2F"/>
    <w:rsid w:val="000B6E61"/>
    <w:rsid w:val="000E0F17"/>
    <w:rsid w:val="000F3315"/>
    <w:rsid w:val="000F4D30"/>
    <w:rsid w:val="000F4ED6"/>
    <w:rsid w:val="000F649F"/>
    <w:rsid w:val="00101CCB"/>
    <w:rsid w:val="001065EB"/>
    <w:rsid w:val="00111AB0"/>
    <w:rsid w:val="001120C8"/>
    <w:rsid w:val="00112C8D"/>
    <w:rsid w:val="00123B74"/>
    <w:rsid w:val="00124D77"/>
    <w:rsid w:val="00125712"/>
    <w:rsid w:val="00134651"/>
    <w:rsid w:val="00144A26"/>
    <w:rsid w:val="00145516"/>
    <w:rsid w:val="00155C46"/>
    <w:rsid w:val="00156B15"/>
    <w:rsid w:val="001613CD"/>
    <w:rsid w:val="001638A3"/>
    <w:rsid w:val="00163FBB"/>
    <w:rsid w:val="00176436"/>
    <w:rsid w:val="001815A9"/>
    <w:rsid w:val="00181802"/>
    <w:rsid w:val="001907E0"/>
    <w:rsid w:val="001950B2"/>
    <w:rsid w:val="001A3EEF"/>
    <w:rsid w:val="001A6F24"/>
    <w:rsid w:val="001A75A9"/>
    <w:rsid w:val="001B593D"/>
    <w:rsid w:val="001B7B3E"/>
    <w:rsid w:val="001C0952"/>
    <w:rsid w:val="001D163B"/>
    <w:rsid w:val="001E43EF"/>
    <w:rsid w:val="001E5325"/>
    <w:rsid w:val="001F038B"/>
    <w:rsid w:val="001F685D"/>
    <w:rsid w:val="002048FC"/>
    <w:rsid w:val="00206A0D"/>
    <w:rsid w:val="002107AF"/>
    <w:rsid w:val="00217461"/>
    <w:rsid w:val="00221F5E"/>
    <w:rsid w:val="00224BF2"/>
    <w:rsid w:val="00250591"/>
    <w:rsid w:val="0026112E"/>
    <w:rsid w:val="0027200D"/>
    <w:rsid w:val="002765D4"/>
    <w:rsid w:val="00276BEE"/>
    <w:rsid w:val="0028066A"/>
    <w:rsid w:val="00290A84"/>
    <w:rsid w:val="002B2C92"/>
    <w:rsid w:val="002B41D5"/>
    <w:rsid w:val="002C1422"/>
    <w:rsid w:val="002D2902"/>
    <w:rsid w:val="002D562D"/>
    <w:rsid w:val="0031028F"/>
    <w:rsid w:val="0031466D"/>
    <w:rsid w:val="003175E6"/>
    <w:rsid w:val="0032458C"/>
    <w:rsid w:val="003309FF"/>
    <w:rsid w:val="00331477"/>
    <w:rsid w:val="00331C29"/>
    <w:rsid w:val="0033610D"/>
    <w:rsid w:val="0034429F"/>
    <w:rsid w:val="003534A7"/>
    <w:rsid w:val="00374492"/>
    <w:rsid w:val="003A617B"/>
    <w:rsid w:val="003A6A47"/>
    <w:rsid w:val="003B13B8"/>
    <w:rsid w:val="003B36FF"/>
    <w:rsid w:val="003C207C"/>
    <w:rsid w:val="003C602B"/>
    <w:rsid w:val="003D6D1D"/>
    <w:rsid w:val="003E03B6"/>
    <w:rsid w:val="003E0A67"/>
    <w:rsid w:val="003F0A24"/>
    <w:rsid w:val="003F396C"/>
    <w:rsid w:val="003F68BA"/>
    <w:rsid w:val="003F7EF0"/>
    <w:rsid w:val="00400394"/>
    <w:rsid w:val="00402206"/>
    <w:rsid w:val="00405671"/>
    <w:rsid w:val="004170D2"/>
    <w:rsid w:val="004243EF"/>
    <w:rsid w:val="00426B8C"/>
    <w:rsid w:val="00432B7E"/>
    <w:rsid w:val="004363BE"/>
    <w:rsid w:val="00446313"/>
    <w:rsid w:val="0045134E"/>
    <w:rsid w:val="0045273C"/>
    <w:rsid w:val="00471816"/>
    <w:rsid w:val="00471F5E"/>
    <w:rsid w:val="00474DFE"/>
    <w:rsid w:val="00483B94"/>
    <w:rsid w:val="00485AB3"/>
    <w:rsid w:val="004973B8"/>
    <w:rsid w:val="004B1352"/>
    <w:rsid w:val="004B20EB"/>
    <w:rsid w:val="004C0881"/>
    <w:rsid w:val="004E3467"/>
    <w:rsid w:val="004E596E"/>
    <w:rsid w:val="004E6A8F"/>
    <w:rsid w:val="004E763F"/>
    <w:rsid w:val="004F0E90"/>
    <w:rsid w:val="004F4394"/>
    <w:rsid w:val="00503BA3"/>
    <w:rsid w:val="00506239"/>
    <w:rsid w:val="005119B0"/>
    <w:rsid w:val="005311E4"/>
    <w:rsid w:val="0053315E"/>
    <w:rsid w:val="00543DEE"/>
    <w:rsid w:val="00544311"/>
    <w:rsid w:val="0054674E"/>
    <w:rsid w:val="005467D7"/>
    <w:rsid w:val="0055094C"/>
    <w:rsid w:val="00554481"/>
    <w:rsid w:val="00556EB6"/>
    <w:rsid w:val="00557118"/>
    <w:rsid w:val="00561EF0"/>
    <w:rsid w:val="0056293F"/>
    <w:rsid w:val="00571410"/>
    <w:rsid w:val="00584D9A"/>
    <w:rsid w:val="00596341"/>
    <w:rsid w:val="00597E81"/>
    <w:rsid w:val="005A62E9"/>
    <w:rsid w:val="005A70A3"/>
    <w:rsid w:val="005A7B7F"/>
    <w:rsid w:val="005C7856"/>
    <w:rsid w:val="005D1668"/>
    <w:rsid w:val="005D197A"/>
    <w:rsid w:val="005E6922"/>
    <w:rsid w:val="005F1FC7"/>
    <w:rsid w:val="005F24C3"/>
    <w:rsid w:val="0060320E"/>
    <w:rsid w:val="006058EB"/>
    <w:rsid w:val="00617A8F"/>
    <w:rsid w:val="00617B58"/>
    <w:rsid w:val="00632820"/>
    <w:rsid w:val="00644C64"/>
    <w:rsid w:val="0064650C"/>
    <w:rsid w:val="00655228"/>
    <w:rsid w:val="006631A9"/>
    <w:rsid w:val="0066431A"/>
    <w:rsid w:val="00665988"/>
    <w:rsid w:val="0066669A"/>
    <w:rsid w:val="00671EAA"/>
    <w:rsid w:val="006767BC"/>
    <w:rsid w:val="0068210D"/>
    <w:rsid w:val="0068466A"/>
    <w:rsid w:val="00687B06"/>
    <w:rsid w:val="006A233D"/>
    <w:rsid w:val="006A3D8E"/>
    <w:rsid w:val="006B2CD1"/>
    <w:rsid w:val="006B662A"/>
    <w:rsid w:val="006C1291"/>
    <w:rsid w:val="006C63A8"/>
    <w:rsid w:val="006D1634"/>
    <w:rsid w:val="006D3A53"/>
    <w:rsid w:val="006D6D51"/>
    <w:rsid w:val="006D726B"/>
    <w:rsid w:val="006E3019"/>
    <w:rsid w:val="006F6345"/>
    <w:rsid w:val="007003DC"/>
    <w:rsid w:val="007012DA"/>
    <w:rsid w:val="00714181"/>
    <w:rsid w:val="007166B0"/>
    <w:rsid w:val="00717B0B"/>
    <w:rsid w:val="00722596"/>
    <w:rsid w:val="00723BD8"/>
    <w:rsid w:val="00725425"/>
    <w:rsid w:val="00726CDC"/>
    <w:rsid w:val="00733B61"/>
    <w:rsid w:val="00736658"/>
    <w:rsid w:val="00761002"/>
    <w:rsid w:val="007639B7"/>
    <w:rsid w:val="00767361"/>
    <w:rsid w:val="00787B6D"/>
    <w:rsid w:val="0079256B"/>
    <w:rsid w:val="0079738B"/>
    <w:rsid w:val="007A48C0"/>
    <w:rsid w:val="007B3135"/>
    <w:rsid w:val="007B5D42"/>
    <w:rsid w:val="007B6A45"/>
    <w:rsid w:val="007C2441"/>
    <w:rsid w:val="007C6E70"/>
    <w:rsid w:val="007D0670"/>
    <w:rsid w:val="007D0F87"/>
    <w:rsid w:val="007D4112"/>
    <w:rsid w:val="007E228D"/>
    <w:rsid w:val="007E76F3"/>
    <w:rsid w:val="007F0639"/>
    <w:rsid w:val="007F638D"/>
    <w:rsid w:val="00803590"/>
    <w:rsid w:val="0080394E"/>
    <w:rsid w:val="00812E3B"/>
    <w:rsid w:val="00813FC0"/>
    <w:rsid w:val="00814D7F"/>
    <w:rsid w:val="00815C7C"/>
    <w:rsid w:val="0081715F"/>
    <w:rsid w:val="008340DA"/>
    <w:rsid w:val="0083418A"/>
    <w:rsid w:val="00843265"/>
    <w:rsid w:val="00895EC8"/>
    <w:rsid w:val="00897F81"/>
    <w:rsid w:val="008A42D8"/>
    <w:rsid w:val="008B5ED6"/>
    <w:rsid w:val="008C25FD"/>
    <w:rsid w:val="008C6169"/>
    <w:rsid w:val="008D1CC6"/>
    <w:rsid w:val="008D363E"/>
    <w:rsid w:val="008E2524"/>
    <w:rsid w:val="008F0599"/>
    <w:rsid w:val="008F5202"/>
    <w:rsid w:val="00903E1E"/>
    <w:rsid w:val="00905AB6"/>
    <w:rsid w:val="00910530"/>
    <w:rsid w:val="00933876"/>
    <w:rsid w:val="00935912"/>
    <w:rsid w:val="009432A6"/>
    <w:rsid w:val="009442FF"/>
    <w:rsid w:val="00946BB7"/>
    <w:rsid w:val="00954F2A"/>
    <w:rsid w:val="009557E0"/>
    <w:rsid w:val="00956E81"/>
    <w:rsid w:val="00957B75"/>
    <w:rsid w:val="009629D9"/>
    <w:rsid w:val="009646E9"/>
    <w:rsid w:val="00970347"/>
    <w:rsid w:val="009703EF"/>
    <w:rsid w:val="00983E7F"/>
    <w:rsid w:val="00987DCD"/>
    <w:rsid w:val="00991FD9"/>
    <w:rsid w:val="009957FA"/>
    <w:rsid w:val="009A48BD"/>
    <w:rsid w:val="009B54FB"/>
    <w:rsid w:val="009C5FE5"/>
    <w:rsid w:val="009D1198"/>
    <w:rsid w:val="009D448F"/>
    <w:rsid w:val="009D4D95"/>
    <w:rsid w:val="009D6DF2"/>
    <w:rsid w:val="009D6EF3"/>
    <w:rsid w:val="009E00D4"/>
    <w:rsid w:val="009E1786"/>
    <w:rsid w:val="009F00A6"/>
    <w:rsid w:val="009F08C7"/>
    <w:rsid w:val="009F0E41"/>
    <w:rsid w:val="009F2EFB"/>
    <w:rsid w:val="009F442E"/>
    <w:rsid w:val="00A045CC"/>
    <w:rsid w:val="00A11819"/>
    <w:rsid w:val="00A301F5"/>
    <w:rsid w:val="00A33CEA"/>
    <w:rsid w:val="00A34793"/>
    <w:rsid w:val="00A34E15"/>
    <w:rsid w:val="00A35C02"/>
    <w:rsid w:val="00A5623B"/>
    <w:rsid w:val="00A56FAA"/>
    <w:rsid w:val="00A650B4"/>
    <w:rsid w:val="00A746E7"/>
    <w:rsid w:val="00A82BFD"/>
    <w:rsid w:val="00A831B9"/>
    <w:rsid w:val="00A90995"/>
    <w:rsid w:val="00AA7877"/>
    <w:rsid w:val="00AC5C01"/>
    <w:rsid w:val="00AD0885"/>
    <w:rsid w:val="00AD163D"/>
    <w:rsid w:val="00AD34BE"/>
    <w:rsid w:val="00AD3BE8"/>
    <w:rsid w:val="00B03D7E"/>
    <w:rsid w:val="00B048DE"/>
    <w:rsid w:val="00B13C4A"/>
    <w:rsid w:val="00B15532"/>
    <w:rsid w:val="00B17291"/>
    <w:rsid w:val="00B2092E"/>
    <w:rsid w:val="00B30D8A"/>
    <w:rsid w:val="00B31589"/>
    <w:rsid w:val="00B3318B"/>
    <w:rsid w:val="00B35AF9"/>
    <w:rsid w:val="00B46946"/>
    <w:rsid w:val="00B73E2E"/>
    <w:rsid w:val="00B76CE1"/>
    <w:rsid w:val="00B8548A"/>
    <w:rsid w:val="00B862CB"/>
    <w:rsid w:val="00B93505"/>
    <w:rsid w:val="00B95665"/>
    <w:rsid w:val="00BA010C"/>
    <w:rsid w:val="00BA0BE4"/>
    <w:rsid w:val="00BA5C00"/>
    <w:rsid w:val="00BB231B"/>
    <w:rsid w:val="00BC08CC"/>
    <w:rsid w:val="00BC2FE0"/>
    <w:rsid w:val="00BC68E9"/>
    <w:rsid w:val="00BD207B"/>
    <w:rsid w:val="00BD2EC3"/>
    <w:rsid w:val="00BD6177"/>
    <w:rsid w:val="00BE70D9"/>
    <w:rsid w:val="00BE7A24"/>
    <w:rsid w:val="00C02034"/>
    <w:rsid w:val="00C14E0A"/>
    <w:rsid w:val="00C3455D"/>
    <w:rsid w:val="00C50DB2"/>
    <w:rsid w:val="00C6244D"/>
    <w:rsid w:val="00C63FAD"/>
    <w:rsid w:val="00C75C59"/>
    <w:rsid w:val="00C85808"/>
    <w:rsid w:val="00C90D69"/>
    <w:rsid w:val="00C92701"/>
    <w:rsid w:val="00CA0CE4"/>
    <w:rsid w:val="00CA2FB3"/>
    <w:rsid w:val="00CA5B96"/>
    <w:rsid w:val="00CB0B69"/>
    <w:rsid w:val="00CB26E1"/>
    <w:rsid w:val="00CB5336"/>
    <w:rsid w:val="00CC1FBA"/>
    <w:rsid w:val="00CD5903"/>
    <w:rsid w:val="00CF5312"/>
    <w:rsid w:val="00CF5AA4"/>
    <w:rsid w:val="00CF636D"/>
    <w:rsid w:val="00CF7967"/>
    <w:rsid w:val="00D0053D"/>
    <w:rsid w:val="00D006FF"/>
    <w:rsid w:val="00D20F62"/>
    <w:rsid w:val="00D21113"/>
    <w:rsid w:val="00D24220"/>
    <w:rsid w:val="00D3196E"/>
    <w:rsid w:val="00D4505A"/>
    <w:rsid w:val="00D454FC"/>
    <w:rsid w:val="00D62381"/>
    <w:rsid w:val="00D63EC6"/>
    <w:rsid w:val="00D64D80"/>
    <w:rsid w:val="00D65896"/>
    <w:rsid w:val="00D7145E"/>
    <w:rsid w:val="00D72C9C"/>
    <w:rsid w:val="00D73C03"/>
    <w:rsid w:val="00D75E89"/>
    <w:rsid w:val="00D8339D"/>
    <w:rsid w:val="00D86779"/>
    <w:rsid w:val="00D9278C"/>
    <w:rsid w:val="00D928BF"/>
    <w:rsid w:val="00D93DE2"/>
    <w:rsid w:val="00D97DDB"/>
    <w:rsid w:val="00DA0916"/>
    <w:rsid w:val="00DA301F"/>
    <w:rsid w:val="00DA4343"/>
    <w:rsid w:val="00DA573C"/>
    <w:rsid w:val="00DA6DC9"/>
    <w:rsid w:val="00DC4FA2"/>
    <w:rsid w:val="00DC66DA"/>
    <w:rsid w:val="00DE19BF"/>
    <w:rsid w:val="00DF3484"/>
    <w:rsid w:val="00DF54F1"/>
    <w:rsid w:val="00E04409"/>
    <w:rsid w:val="00E0727D"/>
    <w:rsid w:val="00E123BC"/>
    <w:rsid w:val="00E26F1D"/>
    <w:rsid w:val="00E271D6"/>
    <w:rsid w:val="00E27AF8"/>
    <w:rsid w:val="00E32933"/>
    <w:rsid w:val="00E44FFE"/>
    <w:rsid w:val="00E45CE4"/>
    <w:rsid w:val="00E47CD0"/>
    <w:rsid w:val="00E5328D"/>
    <w:rsid w:val="00E55CBE"/>
    <w:rsid w:val="00E6298F"/>
    <w:rsid w:val="00E6407C"/>
    <w:rsid w:val="00E75BC7"/>
    <w:rsid w:val="00E87189"/>
    <w:rsid w:val="00E87A33"/>
    <w:rsid w:val="00E87E2A"/>
    <w:rsid w:val="00E93E4C"/>
    <w:rsid w:val="00E947DA"/>
    <w:rsid w:val="00E95B0D"/>
    <w:rsid w:val="00EA2B20"/>
    <w:rsid w:val="00EB372D"/>
    <w:rsid w:val="00EB7A75"/>
    <w:rsid w:val="00EC166F"/>
    <w:rsid w:val="00EC1D74"/>
    <w:rsid w:val="00EE2E0B"/>
    <w:rsid w:val="00EE6248"/>
    <w:rsid w:val="00EE633C"/>
    <w:rsid w:val="00EF27D4"/>
    <w:rsid w:val="00F01EE3"/>
    <w:rsid w:val="00F03D0F"/>
    <w:rsid w:val="00F03E13"/>
    <w:rsid w:val="00F05DD8"/>
    <w:rsid w:val="00F162EF"/>
    <w:rsid w:val="00F33534"/>
    <w:rsid w:val="00F35C72"/>
    <w:rsid w:val="00F3686A"/>
    <w:rsid w:val="00F50B9C"/>
    <w:rsid w:val="00F52F57"/>
    <w:rsid w:val="00F53089"/>
    <w:rsid w:val="00F55DEF"/>
    <w:rsid w:val="00F6529D"/>
    <w:rsid w:val="00F70D76"/>
    <w:rsid w:val="00F7426A"/>
    <w:rsid w:val="00F752DB"/>
    <w:rsid w:val="00F90685"/>
    <w:rsid w:val="00F90EB0"/>
    <w:rsid w:val="00F97E98"/>
    <w:rsid w:val="00FA06ED"/>
    <w:rsid w:val="00FA5FFC"/>
    <w:rsid w:val="00FB6678"/>
    <w:rsid w:val="00FD1B27"/>
    <w:rsid w:val="00FD41EB"/>
    <w:rsid w:val="00FD630D"/>
    <w:rsid w:val="00FE2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3268C"/>
  <w15:docId w15:val="{B7C515E6-AD1F-4171-82BE-790393BF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B0D"/>
    <w:rPr>
      <w:sz w:val="24"/>
      <w:szCs w:val="24"/>
    </w:rPr>
  </w:style>
  <w:style w:type="paragraph" w:styleId="Nadpis1">
    <w:name w:val="heading 1"/>
    <w:basedOn w:val="Normln"/>
    <w:next w:val="Normln"/>
    <w:qFormat/>
    <w:rsid w:val="00E95B0D"/>
    <w:pPr>
      <w:keepNext/>
      <w:spacing w:after="120"/>
      <w:outlineLvl w:val="0"/>
    </w:pPr>
    <w:rPr>
      <w:rFonts w:ascii="Arial" w:hAnsi="Arial"/>
      <w:b/>
      <w:bCs/>
      <w:sz w:val="20"/>
      <w:szCs w:val="20"/>
    </w:rPr>
  </w:style>
  <w:style w:type="paragraph" w:styleId="Nadpis2">
    <w:name w:val="heading 2"/>
    <w:basedOn w:val="Normln"/>
    <w:next w:val="Normln"/>
    <w:autoRedefine/>
    <w:qFormat/>
    <w:rsid w:val="00E95B0D"/>
    <w:pPr>
      <w:keepNext/>
      <w:jc w:val="both"/>
      <w:outlineLvl w:val="1"/>
    </w:pPr>
    <w:rPr>
      <w:rFonts w:ascii="Arial" w:hAnsi="Arial"/>
      <w:b/>
      <w:bCs/>
      <w:i/>
      <w:iCs/>
      <w:szCs w:val="28"/>
    </w:rPr>
  </w:style>
  <w:style w:type="paragraph" w:styleId="Nadpis3">
    <w:name w:val="heading 3"/>
    <w:basedOn w:val="Normln"/>
    <w:next w:val="Normln"/>
    <w:qFormat/>
    <w:rsid w:val="00E95B0D"/>
    <w:pPr>
      <w:keepNext/>
      <w:spacing w:after="24"/>
      <w:outlineLvl w:val="2"/>
    </w:pPr>
    <w:rPr>
      <w:rFonts w:ascii="Arial" w:hAnsi="Arial" w:cs="Arial"/>
      <w:b/>
      <w:bCs/>
      <w:sz w:val="18"/>
      <w:szCs w:val="18"/>
    </w:rPr>
  </w:style>
  <w:style w:type="paragraph" w:styleId="Nadpis8">
    <w:name w:val="heading 8"/>
    <w:basedOn w:val="Normln"/>
    <w:next w:val="Normln"/>
    <w:link w:val="Nadpis8Char"/>
    <w:qFormat/>
    <w:rsid w:val="00E95B0D"/>
    <w:pPr>
      <w:keepNext/>
      <w:jc w:val="both"/>
      <w:outlineLvl w:val="7"/>
    </w:pPr>
    <w:rPr>
      <w:rFonts w:ascii="Arial" w:hAnsi="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E95B0D"/>
    <w:pPr>
      <w:tabs>
        <w:tab w:val="center" w:pos="4536"/>
        <w:tab w:val="right" w:pos="9072"/>
      </w:tabs>
    </w:pPr>
    <w:rPr>
      <w:rFonts w:ascii="Arial" w:hAnsi="Arial"/>
      <w:sz w:val="18"/>
      <w:szCs w:val="20"/>
    </w:rPr>
  </w:style>
  <w:style w:type="character" w:styleId="slostrnky">
    <w:name w:val="page number"/>
    <w:basedOn w:val="Standardnpsmoodstavce"/>
    <w:semiHidden/>
    <w:rsid w:val="00E95B0D"/>
  </w:style>
  <w:style w:type="paragraph" w:styleId="Zhlav">
    <w:name w:val="header"/>
    <w:basedOn w:val="Normln"/>
    <w:semiHidden/>
    <w:rsid w:val="00E95B0D"/>
    <w:pPr>
      <w:tabs>
        <w:tab w:val="center" w:pos="4536"/>
        <w:tab w:val="right" w:pos="9072"/>
      </w:tabs>
    </w:pPr>
    <w:rPr>
      <w:rFonts w:ascii="Arial" w:hAnsi="Arial"/>
      <w:sz w:val="18"/>
      <w:szCs w:val="20"/>
    </w:rPr>
  </w:style>
  <w:style w:type="paragraph" w:styleId="Zkladntext3">
    <w:name w:val="Body Text 3"/>
    <w:basedOn w:val="Normln"/>
    <w:link w:val="Zkladntext3Char"/>
    <w:semiHidden/>
    <w:rsid w:val="00E95B0D"/>
    <w:pPr>
      <w:jc w:val="both"/>
    </w:pPr>
    <w:rPr>
      <w:rFonts w:ascii="Arial" w:hAnsi="Arial"/>
      <w:sz w:val="20"/>
      <w:szCs w:val="26"/>
    </w:rPr>
  </w:style>
  <w:style w:type="paragraph" w:styleId="Zkladntextodsazen2">
    <w:name w:val="Body Text Indent 2"/>
    <w:basedOn w:val="Normln"/>
    <w:semiHidden/>
    <w:rsid w:val="00E95B0D"/>
    <w:pPr>
      <w:ind w:firstLine="709"/>
      <w:jc w:val="both"/>
    </w:pPr>
    <w:rPr>
      <w:rFonts w:ascii="Arial" w:hAnsi="Arial"/>
      <w:sz w:val="20"/>
      <w:szCs w:val="20"/>
    </w:rPr>
  </w:style>
  <w:style w:type="paragraph" w:styleId="Normlnweb">
    <w:name w:val="Normal (Web)"/>
    <w:basedOn w:val="Normln"/>
    <w:semiHidden/>
    <w:rsid w:val="00E95B0D"/>
    <w:pPr>
      <w:spacing w:before="100" w:beforeAutospacing="1" w:after="100" w:afterAutospacing="1"/>
    </w:pPr>
    <w:rPr>
      <w:color w:val="000000"/>
    </w:rPr>
  </w:style>
  <w:style w:type="character" w:styleId="Siln">
    <w:name w:val="Strong"/>
    <w:basedOn w:val="Standardnpsmoodstavce"/>
    <w:qFormat/>
    <w:rsid w:val="00E95B0D"/>
    <w:rPr>
      <w:b/>
      <w:bCs/>
    </w:rPr>
  </w:style>
  <w:style w:type="paragraph" w:customStyle="1" w:styleId="Rbntext">
    <w:name w:val="R běžný text"/>
    <w:rsid w:val="00E95B0D"/>
    <w:pPr>
      <w:spacing w:before="120"/>
      <w:jc w:val="both"/>
    </w:pPr>
    <w:rPr>
      <w:rFonts w:ascii="Arial" w:hAnsi="Arial"/>
    </w:rPr>
  </w:style>
  <w:style w:type="paragraph" w:styleId="Zkladntext">
    <w:name w:val="Body Text"/>
    <w:basedOn w:val="Normln"/>
    <w:semiHidden/>
    <w:rsid w:val="00E95B0D"/>
    <w:pPr>
      <w:jc w:val="both"/>
    </w:pPr>
    <w:rPr>
      <w:rFonts w:ascii="Arial" w:hAnsi="Arial" w:cs="Arial"/>
      <w:sz w:val="20"/>
    </w:rPr>
  </w:style>
  <w:style w:type="paragraph" w:customStyle="1" w:styleId="Nadpis20">
    <w:name w:val="Nadpis2"/>
    <w:basedOn w:val="Normln"/>
    <w:next w:val="Normln"/>
    <w:rsid w:val="00E95B0D"/>
    <w:pPr>
      <w:spacing w:before="120"/>
      <w:jc w:val="both"/>
    </w:pPr>
    <w:rPr>
      <w:rFonts w:ascii="Arial" w:hAnsi="Arial"/>
      <w:b/>
      <w:sz w:val="20"/>
    </w:rPr>
  </w:style>
  <w:style w:type="paragraph" w:styleId="Rozloendokumentu">
    <w:name w:val="Document Map"/>
    <w:basedOn w:val="Normln"/>
    <w:semiHidden/>
    <w:rsid w:val="00E95B0D"/>
    <w:pPr>
      <w:shd w:val="clear" w:color="auto" w:fill="000080"/>
    </w:pPr>
    <w:rPr>
      <w:rFonts w:ascii="Tahoma" w:hAnsi="Tahoma" w:cs="Tahoma"/>
      <w:sz w:val="20"/>
      <w:szCs w:val="20"/>
    </w:rPr>
  </w:style>
  <w:style w:type="character" w:styleId="Hypertextovodkaz">
    <w:name w:val="Hyperlink"/>
    <w:basedOn w:val="Standardnpsmoodstavce"/>
    <w:semiHidden/>
    <w:rsid w:val="00E95B0D"/>
    <w:rPr>
      <w:color w:val="0000FF"/>
      <w:u w:val="single"/>
    </w:rPr>
  </w:style>
  <w:style w:type="character" w:styleId="Sledovanodkaz">
    <w:name w:val="FollowedHyperlink"/>
    <w:basedOn w:val="Standardnpsmoodstavce"/>
    <w:semiHidden/>
    <w:rsid w:val="00E95B0D"/>
    <w:rPr>
      <w:color w:val="800080"/>
      <w:u w:val="single"/>
    </w:rPr>
  </w:style>
  <w:style w:type="paragraph" w:customStyle="1" w:styleId="normalnsodrkami">
    <w:name w:val="normalní s odrážkami"/>
    <w:basedOn w:val="Normln"/>
    <w:rsid w:val="00E95B0D"/>
    <w:pPr>
      <w:numPr>
        <w:numId w:val="2"/>
      </w:numPr>
      <w:jc w:val="both"/>
    </w:pPr>
    <w:rPr>
      <w:rFonts w:ascii="Arial" w:hAnsi="Arial"/>
      <w:sz w:val="20"/>
    </w:rPr>
  </w:style>
  <w:style w:type="paragraph" w:styleId="Zkladntextodsazen">
    <w:name w:val="Body Text Indent"/>
    <w:basedOn w:val="Normln"/>
    <w:link w:val="ZkladntextodsazenChar"/>
    <w:semiHidden/>
    <w:rsid w:val="00E95B0D"/>
    <w:pPr>
      <w:ind w:firstLine="708"/>
      <w:jc w:val="both"/>
    </w:pPr>
    <w:rPr>
      <w:rFonts w:ascii="Arial" w:hAnsi="Arial"/>
      <w:sz w:val="20"/>
      <w:szCs w:val="20"/>
    </w:rPr>
  </w:style>
  <w:style w:type="paragraph" w:styleId="Textbubliny">
    <w:name w:val="Balloon Text"/>
    <w:basedOn w:val="Normln"/>
    <w:link w:val="TextbublinyChar"/>
    <w:uiPriority w:val="99"/>
    <w:semiHidden/>
    <w:unhideWhenUsed/>
    <w:rsid w:val="003175E6"/>
    <w:rPr>
      <w:rFonts w:ascii="Tahoma" w:hAnsi="Tahoma" w:cs="Tahoma"/>
      <w:sz w:val="16"/>
      <w:szCs w:val="16"/>
    </w:rPr>
  </w:style>
  <w:style w:type="character" w:customStyle="1" w:styleId="TextbublinyChar">
    <w:name w:val="Text bubliny Char"/>
    <w:basedOn w:val="Standardnpsmoodstavce"/>
    <w:link w:val="Textbubliny"/>
    <w:uiPriority w:val="99"/>
    <w:semiHidden/>
    <w:rsid w:val="003175E6"/>
    <w:rPr>
      <w:rFonts w:ascii="Tahoma" w:hAnsi="Tahoma" w:cs="Tahoma"/>
      <w:sz w:val="16"/>
      <w:szCs w:val="16"/>
    </w:rPr>
  </w:style>
  <w:style w:type="character" w:customStyle="1" w:styleId="Zkladntext3Char">
    <w:name w:val="Základní text 3 Char"/>
    <w:basedOn w:val="Standardnpsmoodstavce"/>
    <w:link w:val="Zkladntext3"/>
    <w:semiHidden/>
    <w:rsid w:val="00814D7F"/>
    <w:rPr>
      <w:rFonts w:ascii="Arial" w:hAnsi="Arial"/>
      <w:szCs w:val="26"/>
    </w:rPr>
  </w:style>
  <w:style w:type="character" w:customStyle="1" w:styleId="Nadpis8Char">
    <w:name w:val="Nadpis 8 Char"/>
    <w:basedOn w:val="Standardnpsmoodstavce"/>
    <w:link w:val="Nadpis8"/>
    <w:rsid w:val="009C5FE5"/>
    <w:rPr>
      <w:rFonts w:ascii="Arial" w:hAnsi="Arial"/>
      <w:b/>
      <w:bCs/>
      <w:sz w:val="24"/>
    </w:rPr>
  </w:style>
  <w:style w:type="paragraph" w:customStyle="1" w:styleId="GroupWiseView">
    <w:name w:val="GroupWiseView"/>
    <w:rsid w:val="009C5FE5"/>
    <w:pPr>
      <w:widowControl w:val="0"/>
      <w:autoSpaceDE w:val="0"/>
      <w:autoSpaceDN w:val="0"/>
      <w:adjustRightInd w:val="0"/>
    </w:pPr>
    <w:rPr>
      <w:rFonts w:ascii="Tahoma" w:hAnsi="Tahoma" w:cs="Tahoma"/>
      <w:sz w:val="16"/>
      <w:szCs w:val="16"/>
    </w:rPr>
  </w:style>
  <w:style w:type="paragraph" w:customStyle="1" w:styleId="Rtextmetodika">
    <w:name w:val="R text metodika"/>
    <w:basedOn w:val="Rbntext"/>
    <w:rsid w:val="00C14E0A"/>
    <w:pPr>
      <w:spacing w:before="0" w:after="120"/>
    </w:pPr>
    <w:rPr>
      <w:sz w:val="18"/>
    </w:rPr>
  </w:style>
  <w:style w:type="character" w:styleId="Odkaznakoment">
    <w:name w:val="annotation reference"/>
    <w:basedOn w:val="Standardnpsmoodstavce"/>
    <w:uiPriority w:val="99"/>
    <w:semiHidden/>
    <w:unhideWhenUsed/>
    <w:rsid w:val="00FB6678"/>
    <w:rPr>
      <w:sz w:val="16"/>
      <w:szCs w:val="16"/>
    </w:rPr>
  </w:style>
  <w:style w:type="paragraph" w:styleId="Textkomente">
    <w:name w:val="annotation text"/>
    <w:basedOn w:val="Normln"/>
    <w:link w:val="TextkomenteChar"/>
    <w:uiPriority w:val="99"/>
    <w:unhideWhenUsed/>
    <w:rsid w:val="00FB6678"/>
    <w:rPr>
      <w:sz w:val="20"/>
      <w:szCs w:val="20"/>
    </w:rPr>
  </w:style>
  <w:style w:type="character" w:customStyle="1" w:styleId="TextkomenteChar">
    <w:name w:val="Text komentáře Char"/>
    <w:basedOn w:val="Standardnpsmoodstavce"/>
    <w:link w:val="Textkomente"/>
    <w:uiPriority w:val="99"/>
    <w:rsid w:val="00FB6678"/>
  </w:style>
  <w:style w:type="paragraph" w:styleId="Pedmtkomente">
    <w:name w:val="annotation subject"/>
    <w:basedOn w:val="Textkomente"/>
    <w:next w:val="Textkomente"/>
    <w:link w:val="PedmtkomenteChar"/>
    <w:uiPriority w:val="99"/>
    <w:semiHidden/>
    <w:unhideWhenUsed/>
    <w:rsid w:val="00FB6678"/>
    <w:rPr>
      <w:b/>
      <w:bCs/>
    </w:rPr>
  </w:style>
  <w:style w:type="character" w:customStyle="1" w:styleId="PedmtkomenteChar">
    <w:name w:val="Předmět komentáře Char"/>
    <w:basedOn w:val="TextkomenteChar"/>
    <w:link w:val="Pedmtkomente"/>
    <w:uiPriority w:val="99"/>
    <w:semiHidden/>
    <w:rsid w:val="00FB6678"/>
    <w:rPr>
      <w:b/>
      <w:bCs/>
    </w:rPr>
  </w:style>
  <w:style w:type="character" w:customStyle="1" w:styleId="ZkladntextodsazenChar">
    <w:name w:val="Základní text odsazený Char"/>
    <w:link w:val="Zkladntextodsazen"/>
    <w:semiHidden/>
    <w:rsid w:val="004170D2"/>
    <w:rPr>
      <w:rFonts w:ascii="Arial" w:hAnsi="Arial"/>
    </w:rPr>
  </w:style>
  <w:style w:type="paragraph" w:styleId="Seznam">
    <w:name w:val="List"/>
    <w:basedOn w:val="Normln"/>
    <w:uiPriority w:val="99"/>
    <w:semiHidden/>
    <w:unhideWhenUsed/>
    <w:qFormat/>
    <w:rsid w:val="005D1668"/>
    <w:pPr>
      <w:spacing w:after="240" w:line="288" w:lineRule="auto"/>
      <w:contextualSpacing/>
    </w:pPr>
    <w:rPr>
      <w:rFonts w:ascii="Arial" w:hAnsi="Arial"/>
      <w:sz w:val="20"/>
    </w:rPr>
  </w:style>
  <w:style w:type="paragraph" w:styleId="Revize">
    <w:name w:val="Revision"/>
    <w:hidden/>
    <w:uiPriority w:val="99"/>
    <w:semiHidden/>
    <w:rsid w:val="009105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69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u.gov.cz/1-pmz_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218093216AF542A8C03D49EB777110" ma:contentTypeVersion="15" ma:contentTypeDescription="Vytvoří nový dokument" ma:contentTypeScope="" ma:versionID="8e382d0dd5f66c7a9f6faa683231c674">
  <xsd:schema xmlns:xsd="http://www.w3.org/2001/XMLSchema" xmlns:xs="http://www.w3.org/2001/XMLSchema" xmlns:p="http://schemas.microsoft.com/office/2006/metadata/properties" xmlns:ns3="bbb031e8-0ec3-498e-97d2-1b09176cfb87" xmlns:ns4="1fd7475d-6e95-4ff4-ae24-4431e24986fe" targetNamespace="http://schemas.microsoft.com/office/2006/metadata/properties" ma:root="true" ma:fieldsID="d62f71ec3aa136549710cbec72af7a1f" ns3:_="" ns4:_="">
    <xsd:import namespace="bbb031e8-0ec3-498e-97d2-1b09176cfb87"/>
    <xsd:import namespace="1fd7475d-6e95-4ff4-ae24-4431e24986f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031e8-0ec3-498e-97d2-1b09176cf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475d-6e95-4ff4-ae24-4431e24986fe"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element name="SharingHintHash" ma:index="2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bb031e8-0ec3-498e-97d2-1b09176cfb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1E34-732D-4FFD-AD3A-C7F3BB431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031e8-0ec3-498e-97d2-1b09176cfb87"/>
    <ds:schemaRef ds:uri="1fd7475d-6e95-4ff4-ae24-4431e2498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63456-F3ED-4979-8FD4-CF5D2847C037}">
  <ds:schemaRefs>
    <ds:schemaRef ds:uri="http://schemas.microsoft.com/office/2006/metadata/properties"/>
    <ds:schemaRef ds:uri="http://schemas.microsoft.com/office/infopath/2007/PartnerControls"/>
    <ds:schemaRef ds:uri="bbb031e8-0ec3-498e-97d2-1b09176cfb87"/>
  </ds:schemaRefs>
</ds:datastoreItem>
</file>

<file path=customXml/itemProps3.xml><?xml version="1.0" encoding="utf-8"?>
<ds:datastoreItem xmlns:ds="http://schemas.openxmlformats.org/officeDocument/2006/customXml" ds:itemID="{7C55B98B-DC69-439A-AEED-0DF84D1680D8}">
  <ds:schemaRefs>
    <ds:schemaRef ds:uri="http://schemas.microsoft.com/sharepoint/v3/contenttype/forms"/>
  </ds:schemaRefs>
</ds:datastoreItem>
</file>

<file path=customXml/itemProps4.xml><?xml version="1.0" encoding="utf-8"?>
<ds:datastoreItem xmlns:ds="http://schemas.openxmlformats.org/officeDocument/2006/customXml" ds:itemID="{4EBFCD73-60DE-43B5-B0EC-53F49D97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3653</Words>
  <Characters>21554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OBYVATELSTVO</vt:lpstr>
    </vt:vector>
  </TitlesOfParts>
  <Company>ČSÚ</Company>
  <LinksUpToDate>false</LinksUpToDate>
  <CharactersWithSpaces>25157</CharactersWithSpaces>
  <SharedDoc>false</SharedDoc>
  <HLinks>
    <vt:vector size="12" baseType="variant">
      <vt:variant>
        <vt:i4>3145812</vt:i4>
      </vt:variant>
      <vt:variant>
        <vt:i4>3</vt:i4>
      </vt:variant>
      <vt:variant>
        <vt:i4>0</vt:i4>
      </vt:variant>
      <vt:variant>
        <vt:i4>5</vt:i4>
      </vt:variant>
      <vt:variant>
        <vt:lpwstr>http://portal.mpsv.cz/sz/stat/nz/casove_rady</vt:lpwstr>
      </vt:variant>
      <vt:variant>
        <vt:lpwstr/>
      </vt:variant>
      <vt:variant>
        <vt:i4>6750301</vt:i4>
      </vt:variant>
      <vt:variant>
        <vt:i4>0</vt:i4>
      </vt:variant>
      <vt:variant>
        <vt:i4>0</vt:i4>
      </vt:variant>
      <vt:variant>
        <vt:i4>5</vt:i4>
      </vt:variant>
      <vt:variant>
        <vt:lpwstr>http://www.czso.cz/csu/redakce.nsf/i/pmz_m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OBYVATELSTVO</dc:title>
  <dc:creator>ČSÚ</dc:creator>
  <cp:lastModifiedBy>Slavíček Tomáš</cp:lastModifiedBy>
  <cp:revision>7</cp:revision>
  <cp:lastPrinted>2026-06-30T11:40:00Z</cp:lastPrinted>
  <dcterms:created xsi:type="dcterms:W3CDTF">2026-06-22T08:35:00Z</dcterms:created>
  <dcterms:modified xsi:type="dcterms:W3CDTF">2026-06-30T11:40:00Z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0x01010099218093216AF542A8C03D49EB777110</vt:lpwstr>
  </property>
</Properties>
</file>