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C7" w:rsidRDefault="004474C7">
      <w:pPr>
        <w:pStyle w:val="A-Nadpis"/>
        <w:rPr>
          <w:i/>
          <w:iCs/>
          <w:lang w:val="en-GB"/>
        </w:rPr>
      </w:pPr>
      <w:r>
        <w:rPr>
          <w:i/>
          <w:iCs/>
          <w:lang w:val="en-GB"/>
        </w:rPr>
        <w:t xml:space="preserve">Methodological notes </w:t>
      </w:r>
    </w:p>
    <w:p w:rsidR="004474C7" w:rsidRDefault="00B025DD">
      <w:pPr>
        <w:pStyle w:val="Metodpozn"/>
        <w:rPr>
          <w:i/>
          <w:iCs/>
          <w:color w:val="auto"/>
          <w:lang w:val="en-GB"/>
        </w:rPr>
      </w:pPr>
      <w:r>
        <w:rPr>
          <w:i/>
          <w:iCs/>
          <w:lang w:val="en-GB"/>
        </w:rPr>
        <w:t xml:space="preserve">The current </w:t>
      </w:r>
      <w:r w:rsidR="004474C7">
        <w:rPr>
          <w:i/>
          <w:iCs/>
          <w:lang w:val="en-GB"/>
        </w:rPr>
        <w:t>territorial division of the state was stipulated by the Act No. 36/1960 Coll., on the territorial division of the state. On the day when the act went into force, 1 July 1960, there were 75</w:t>
      </w:r>
      <w:r w:rsidR="00A6086B">
        <w:rPr>
          <w:i/>
          <w:iCs/>
          <w:lang w:val="en-GB"/>
        </w:rPr>
        <w:t> </w:t>
      </w:r>
      <w:r w:rsidR="004474C7">
        <w:rPr>
          <w:i/>
          <w:iCs/>
          <w:lang w:val="en-GB"/>
        </w:rPr>
        <w:t xml:space="preserve">districts on the territory of the present Czech Republic. On 1 January 1996 a new district </w:t>
      </w:r>
      <w:proofErr w:type="spellStart"/>
      <w:r w:rsidR="004474C7">
        <w:rPr>
          <w:i/>
          <w:iCs/>
          <w:lang w:val="en-GB"/>
        </w:rPr>
        <w:t>Jeseník</w:t>
      </w:r>
      <w:proofErr w:type="spellEnd"/>
      <w:r w:rsidR="004474C7">
        <w:rPr>
          <w:i/>
          <w:iCs/>
          <w:lang w:val="en-GB"/>
        </w:rPr>
        <w:t xml:space="preserve"> was established by the Act No. 108/1995 Coll., which changes and completes the Act No.</w:t>
      </w:r>
      <w:r w:rsidR="004474C7">
        <w:rPr>
          <w:i/>
          <w:iCs/>
          <w:szCs w:val="18"/>
          <w:lang w:val="en-GB"/>
        </w:rPr>
        <w:t xml:space="preserve"> 36/1960 Coll. According to the Act No</w:t>
      </w:r>
      <w:r w:rsidR="004474C7">
        <w:rPr>
          <w:i/>
          <w:iCs/>
          <w:color w:val="auto"/>
          <w:szCs w:val="18"/>
          <w:lang w:val="en-GB"/>
        </w:rPr>
        <w:t>. </w:t>
      </w:r>
      <w:r w:rsidR="004474C7">
        <w:rPr>
          <w:i/>
          <w:iCs/>
          <w:color w:val="auto"/>
          <w:lang w:val="en-GB"/>
        </w:rPr>
        <w:t>387/2004 Coll., on the changes in</w:t>
      </w:r>
      <w:r w:rsidR="004474C7">
        <w:rPr>
          <w:i/>
          <w:iCs/>
          <w:color w:val="FF0000"/>
          <w:lang w:val="en-GB"/>
        </w:rPr>
        <w:t xml:space="preserve"> </w:t>
      </w:r>
      <w:r w:rsidR="004474C7">
        <w:rPr>
          <w:i/>
          <w:iCs/>
          <w:color w:val="auto"/>
          <w:lang w:val="en-GB"/>
        </w:rPr>
        <w:t xml:space="preserve">the territorial definition of </w:t>
      </w:r>
      <w:r w:rsidR="00A6086B">
        <w:rPr>
          <w:i/>
          <w:iCs/>
          <w:color w:val="auto"/>
          <w:lang w:val="en-GB"/>
        </w:rPr>
        <w:t>the regions, on </w:t>
      </w:r>
      <w:r w:rsidR="004474C7">
        <w:rPr>
          <w:i/>
          <w:iCs/>
          <w:color w:val="auto"/>
          <w:lang w:val="en-GB"/>
        </w:rPr>
        <w:t>1</w:t>
      </w:r>
      <w:r w:rsidR="00A6086B">
        <w:rPr>
          <w:i/>
          <w:iCs/>
          <w:color w:val="auto"/>
          <w:lang w:val="en-GB"/>
        </w:rPr>
        <w:t> </w:t>
      </w:r>
      <w:r w:rsidR="004474C7">
        <w:rPr>
          <w:i/>
          <w:iCs/>
          <w:color w:val="auto"/>
          <w:lang w:val="en-GB"/>
        </w:rPr>
        <w:t xml:space="preserve">January 2005 a total of 25 municipalities were shifted from the region </w:t>
      </w:r>
      <w:proofErr w:type="spellStart"/>
      <w:r w:rsidR="004474C7">
        <w:rPr>
          <w:i/>
          <w:iCs/>
          <w:color w:val="auto"/>
          <w:lang w:val="en-GB"/>
        </w:rPr>
        <w:t>Vyso</w:t>
      </w:r>
      <w:r w:rsidR="008A6F57">
        <w:rPr>
          <w:i/>
          <w:iCs/>
          <w:color w:val="auto"/>
          <w:lang w:val="en-GB"/>
        </w:rPr>
        <w:t>čina</w:t>
      </w:r>
      <w:proofErr w:type="spellEnd"/>
      <w:r w:rsidR="008A6F57">
        <w:rPr>
          <w:i/>
          <w:iCs/>
          <w:color w:val="auto"/>
          <w:lang w:val="en-GB"/>
        </w:rPr>
        <w:t xml:space="preserve"> to the region </w:t>
      </w:r>
      <w:proofErr w:type="spellStart"/>
      <w:r w:rsidR="008A6F57">
        <w:rPr>
          <w:i/>
          <w:iCs/>
          <w:color w:val="auto"/>
          <w:lang w:val="en-GB"/>
        </w:rPr>
        <w:t>Jihomoravský</w:t>
      </w:r>
      <w:proofErr w:type="spellEnd"/>
      <w:r w:rsidR="008A6F57">
        <w:rPr>
          <w:i/>
          <w:iCs/>
          <w:color w:val="auto"/>
          <w:lang w:val="en-GB"/>
        </w:rPr>
        <w:t xml:space="preserve"> </w:t>
      </w:r>
      <w:r w:rsidR="004474C7">
        <w:rPr>
          <w:i/>
          <w:iCs/>
          <w:color w:val="auto"/>
          <w:lang w:val="en-GB"/>
        </w:rPr>
        <w:t xml:space="preserve">and three municipalities were shifted from the region </w:t>
      </w:r>
      <w:proofErr w:type="spellStart"/>
      <w:r w:rsidR="004474C7">
        <w:rPr>
          <w:i/>
          <w:iCs/>
          <w:color w:val="auto"/>
          <w:lang w:val="en-GB"/>
        </w:rPr>
        <w:t>Moravskoslezský</w:t>
      </w:r>
      <w:proofErr w:type="spellEnd"/>
      <w:r w:rsidR="004474C7">
        <w:rPr>
          <w:i/>
          <w:iCs/>
          <w:color w:val="auto"/>
          <w:lang w:val="en-GB"/>
        </w:rPr>
        <w:t xml:space="preserve"> to the</w:t>
      </w:r>
      <w:r w:rsidR="00A6086B">
        <w:rPr>
          <w:i/>
          <w:iCs/>
          <w:color w:val="auto"/>
          <w:lang w:val="en-GB"/>
        </w:rPr>
        <w:t xml:space="preserve"> region </w:t>
      </w:r>
      <w:proofErr w:type="spellStart"/>
      <w:r w:rsidR="00A6086B">
        <w:rPr>
          <w:i/>
          <w:iCs/>
          <w:color w:val="auto"/>
          <w:lang w:val="en-GB"/>
        </w:rPr>
        <w:t>Olomoucký</w:t>
      </w:r>
      <w:proofErr w:type="spellEnd"/>
      <w:r w:rsidR="00A6086B">
        <w:rPr>
          <w:i/>
          <w:iCs/>
          <w:color w:val="auto"/>
          <w:lang w:val="en-GB"/>
        </w:rPr>
        <w:t>. It meant the </w:t>
      </w:r>
      <w:r w:rsidR="004474C7">
        <w:rPr>
          <w:i/>
          <w:iCs/>
          <w:color w:val="auto"/>
          <w:lang w:val="en-GB"/>
        </w:rPr>
        <w:t xml:space="preserve">shift of 24 municipalities from the district </w:t>
      </w:r>
      <w:proofErr w:type="spellStart"/>
      <w:r w:rsidR="004474C7">
        <w:rPr>
          <w:i/>
          <w:iCs/>
          <w:color w:val="auto"/>
          <w:lang w:val="en-GB"/>
        </w:rPr>
        <w:t>Žďár</w:t>
      </w:r>
      <w:proofErr w:type="spellEnd"/>
      <w:r w:rsidR="004474C7">
        <w:rPr>
          <w:i/>
          <w:iCs/>
          <w:color w:val="auto"/>
          <w:lang w:val="en-GB"/>
        </w:rPr>
        <w:t xml:space="preserve"> </w:t>
      </w:r>
      <w:proofErr w:type="spellStart"/>
      <w:proofErr w:type="gramStart"/>
      <w:r w:rsidR="004474C7">
        <w:rPr>
          <w:i/>
          <w:iCs/>
          <w:color w:val="auto"/>
          <w:lang w:val="en-GB"/>
        </w:rPr>
        <w:t>nad</w:t>
      </w:r>
      <w:proofErr w:type="spellEnd"/>
      <w:proofErr w:type="gramEnd"/>
      <w:r w:rsidR="004474C7">
        <w:rPr>
          <w:i/>
          <w:iCs/>
          <w:color w:val="auto"/>
          <w:lang w:val="en-GB"/>
        </w:rPr>
        <w:t> </w:t>
      </w:r>
      <w:proofErr w:type="spellStart"/>
      <w:r w:rsidR="004474C7">
        <w:rPr>
          <w:i/>
          <w:iCs/>
          <w:color w:val="auto"/>
          <w:lang w:val="en-GB"/>
        </w:rPr>
        <w:t>Sázavou</w:t>
      </w:r>
      <w:proofErr w:type="spellEnd"/>
      <w:r w:rsidR="004474C7">
        <w:rPr>
          <w:i/>
          <w:iCs/>
          <w:color w:val="auto"/>
          <w:lang w:val="en-GB"/>
        </w:rPr>
        <w:t xml:space="preserve"> and of one municipality from the district </w:t>
      </w:r>
      <w:proofErr w:type="spellStart"/>
      <w:r w:rsidR="004474C7">
        <w:rPr>
          <w:i/>
          <w:iCs/>
          <w:color w:val="auto"/>
          <w:lang w:val="en-GB"/>
        </w:rPr>
        <w:t>Třebíč</w:t>
      </w:r>
      <w:proofErr w:type="spellEnd"/>
      <w:r w:rsidR="004474C7">
        <w:rPr>
          <w:i/>
          <w:iCs/>
          <w:color w:val="auto"/>
          <w:lang w:val="en-GB"/>
        </w:rPr>
        <w:t xml:space="preserve"> all to the district Brno-</w:t>
      </w:r>
      <w:proofErr w:type="spellStart"/>
      <w:r w:rsidR="004474C7">
        <w:rPr>
          <w:i/>
          <w:iCs/>
          <w:color w:val="auto"/>
          <w:lang w:val="en-GB"/>
        </w:rPr>
        <w:t>venkov</w:t>
      </w:r>
      <w:proofErr w:type="spellEnd"/>
      <w:r w:rsidR="004474C7">
        <w:rPr>
          <w:i/>
          <w:iCs/>
          <w:color w:val="auto"/>
          <w:lang w:val="en-GB"/>
        </w:rPr>
        <w:t xml:space="preserve"> and three municipalities from the district </w:t>
      </w:r>
      <w:proofErr w:type="spellStart"/>
      <w:r w:rsidR="004474C7">
        <w:rPr>
          <w:i/>
          <w:iCs/>
          <w:color w:val="auto"/>
          <w:lang w:val="en-GB"/>
        </w:rPr>
        <w:t>Bruntál</w:t>
      </w:r>
      <w:proofErr w:type="spellEnd"/>
      <w:r w:rsidR="004474C7">
        <w:rPr>
          <w:i/>
          <w:iCs/>
          <w:color w:val="auto"/>
          <w:lang w:val="en-GB"/>
        </w:rPr>
        <w:t xml:space="preserve"> to</w:t>
      </w:r>
      <w:r w:rsidR="00A6086B">
        <w:rPr>
          <w:i/>
          <w:iCs/>
          <w:color w:val="auto"/>
          <w:lang w:val="en-GB"/>
        </w:rPr>
        <w:t> </w:t>
      </w:r>
      <w:r w:rsidR="004474C7">
        <w:rPr>
          <w:i/>
          <w:iCs/>
          <w:color w:val="auto"/>
          <w:lang w:val="en-GB"/>
        </w:rPr>
        <w:t>the</w:t>
      </w:r>
      <w:r w:rsidR="00A6086B">
        <w:rPr>
          <w:i/>
          <w:iCs/>
          <w:color w:val="auto"/>
          <w:lang w:val="en-GB"/>
        </w:rPr>
        <w:t> </w:t>
      </w:r>
      <w:r w:rsidR="004474C7">
        <w:rPr>
          <w:i/>
          <w:iCs/>
          <w:color w:val="auto"/>
          <w:lang w:val="en-GB"/>
        </w:rPr>
        <w:t>district Olomouc.  According to the Notice No. 513/2006 Coll. that modifies the Notice No. 564/2002 Coll. on the territorial definition of the districts, a total of 119 municipalities were</w:t>
      </w:r>
      <w:r w:rsidR="00A6086B">
        <w:rPr>
          <w:i/>
          <w:iCs/>
          <w:color w:val="auto"/>
          <w:lang w:val="en-GB"/>
        </w:rPr>
        <w:t xml:space="preserve"> shifted between districts on 1 </w:t>
      </w:r>
      <w:r w:rsidR="004474C7">
        <w:rPr>
          <w:i/>
          <w:iCs/>
          <w:color w:val="auto"/>
          <w:lang w:val="en-GB"/>
        </w:rPr>
        <w:t xml:space="preserve">January 2007 (see table below). </w:t>
      </w:r>
    </w:p>
    <w:p w:rsidR="004474C7" w:rsidRDefault="004474C7">
      <w:pPr>
        <w:pStyle w:val="Metodpozn"/>
        <w:rPr>
          <w:i/>
          <w:iCs/>
          <w:lang w:val="en-GB"/>
        </w:rPr>
      </w:pPr>
      <w:r>
        <w:rPr>
          <w:i/>
          <w:iCs/>
          <w:lang w:val="en-GB"/>
        </w:rPr>
        <w:t xml:space="preserve">According to the current territorial division there are 76 districts (LAU1) except the Prague town in the Czech Republic. </w:t>
      </w:r>
    </w:p>
    <w:p w:rsidR="004474C7" w:rsidRDefault="004474C7">
      <w:pPr>
        <w:pStyle w:val="Metodpozn"/>
        <w:rPr>
          <w:i/>
          <w:iCs/>
          <w:lang w:val="en-GB"/>
        </w:rPr>
      </w:pPr>
      <w:r>
        <w:rPr>
          <w:i/>
          <w:iCs/>
          <w:lang w:val="en-GB"/>
        </w:rPr>
        <w:t>Since 200</w:t>
      </w:r>
      <w:r w:rsidR="00B20040">
        <w:rPr>
          <w:i/>
          <w:iCs/>
          <w:lang w:val="en-GB"/>
        </w:rPr>
        <w:t>6</w:t>
      </w:r>
      <w:r>
        <w:rPr>
          <w:i/>
          <w:iCs/>
          <w:lang w:val="en-GB"/>
        </w:rPr>
        <w:t xml:space="preserve"> (the period for which there are data) the listed changes in territorial division was made:</w:t>
      </w:r>
    </w:p>
    <w:p w:rsidR="004474C7" w:rsidRDefault="004474C7">
      <w:pPr>
        <w:pStyle w:val="Metodpozn"/>
        <w:spacing w:after="0"/>
        <w:ind w:firstLine="0"/>
        <w:rPr>
          <w:b/>
          <w:bCs w:val="0"/>
          <w:i/>
          <w:iCs/>
          <w:lang w:val="en-GB"/>
        </w:rPr>
      </w:pPr>
      <w:r>
        <w:rPr>
          <w:b/>
          <w:bCs w:val="0"/>
          <w:i/>
          <w:iCs/>
          <w:lang w:val="en-GB"/>
        </w:rPr>
        <w:t xml:space="preserve"> </w:t>
      </w:r>
    </w:p>
    <w:p w:rsidR="004474C7" w:rsidRDefault="004474C7">
      <w:pPr>
        <w:pStyle w:val="Metodpozn"/>
        <w:spacing w:after="0"/>
        <w:ind w:firstLine="0"/>
        <w:rPr>
          <w:b/>
          <w:bCs w:val="0"/>
          <w:i/>
          <w:iCs/>
          <w:lang w:val="en-GB"/>
        </w:rPr>
      </w:pPr>
    </w:p>
    <w:p w:rsidR="004474C7" w:rsidRDefault="004474C7">
      <w:pPr>
        <w:pStyle w:val="Metodpozn"/>
        <w:spacing w:after="0"/>
        <w:ind w:firstLine="0"/>
      </w:pPr>
      <w:r>
        <w:rPr>
          <w:i/>
          <w:iCs/>
          <w:lang w:val="en-GB"/>
        </w:rPr>
        <w:br w:type="page"/>
      </w:r>
      <w:r>
        <w:rPr>
          <w:b/>
          <w:bCs w:val="0"/>
          <w:i/>
          <w:iCs/>
          <w:lang w:val="en-GB"/>
        </w:rPr>
        <w:lastRenderedPageBreak/>
        <w:t xml:space="preserve"> </w:t>
      </w:r>
      <w:r w:rsidR="00B154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710.25pt">
            <v:imagedata r:id="rId5" o:title=""/>
          </v:shape>
        </w:pict>
      </w:r>
    </w:p>
    <w:p w:rsidR="00DD1643" w:rsidRDefault="00DD1643">
      <w:pPr>
        <w:pStyle w:val="Metodpozn"/>
        <w:spacing w:after="0"/>
        <w:ind w:firstLine="0"/>
        <w:rPr>
          <w:b/>
          <w:bCs w:val="0"/>
          <w:i/>
          <w:iCs/>
          <w:lang w:val="en-GB"/>
        </w:rPr>
      </w:pPr>
    </w:p>
    <w:p w:rsidR="004474C7" w:rsidRDefault="00B15434">
      <w:pPr>
        <w:pStyle w:val="Metodpozn"/>
        <w:ind w:firstLine="0"/>
        <w:rPr>
          <w:i/>
          <w:iCs/>
          <w:lang w:val="en-GB"/>
        </w:rPr>
      </w:pPr>
      <w:r>
        <w:lastRenderedPageBreak/>
        <w:pict>
          <v:shape id="_x0000_i1026" type="#_x0000_t75" style="width:408pt;height:728.25pt">
            <v:imagedata r:id="rId6" o:title=""/>
          </v:shape>
        </w:pict>
      </w:r>
    </w:p>
    <w:p w:rsidR="004474C7" w:rsidRDefault="004474C7">
      <w:pPr>
        <w:pStyle w:val="Metodpozn"/>
        <w:rPr>
          <w:i/>
          <w:iCs/>
          <w:lang w:val="en-GB"/>
        </w:rPr>
      </w:pPr>
      <w:r>
        <w:rPr>
          <w:i/>
          <w:iCs/>
          <w:lang w:val="en-GB"/>
        </w:rPr>
        <w:lastRenderedPageBreak/>
        <w:t>In this publication, all data refer to the current territorial division (current districts) that has been in</w:t>
      </w:r>
      <w:r w:rsidR="00A6086B">
        <w:rPr>
          <w:i/>
          <w:iCs/>
          <w:lang w:val="en-GB"/>
        </w:rPr>
        <w:t> </w:t>
      </w:r>
      <w:r>
        <w:rPr>
          <w:i/>
          <w:iCs/>
          <w:lang w:val="en-GB"/>
        </w:rPr>
        <w:t xml:space="preserve">force since </w:t>
      </w:r>
      <w:r w:rsidR="009B12B0">
        <w:rPr>
          <w:i/>
          <w:iCs/>
          <w:lang w:val="en-GB"/>
        </w:rPr>
        <w:t>3</w:t>
      </w:r>
      <w:r>
        <w:rPr>
          <w:i/>
          <w:iCs/>
          <w:lang w:val="en-GB"/>
        </w:rPr>
        <w:t xml:space="preserve">1 </w:t>
      </w:r>
      <w:r w:rsidR="009B12B0">
        <w:rPr>
          <w:i/>
          <w:iCs/>
          <w:lang w:val="en-GB"/>
        </w:rPr>
        <w:t>December</w:t>
      </w:r>
      <w:r>
        <w:rPr>
          <w:i/>
          <w:iCs/>
          <w:lang w:val="en-GB"/>
        </w:rPr>
        <w:t xml:space="preserve"> 201</w:t>
      </w:r>
      <w:r w:rsidR="00C4491C">
        <w:rPr>
          <w:i/>
          <w:iCs/>
          <w:lang w:val="en-GB"/>
        </w:rPr>
        <w:t>5</w:t>
      </w:r>
      <w:r>
        <w:rPr>
          <w:i/>
          <w:iCs/>
          <w:lang w:val="en-GB"/>
        </w:rPr>
        <w:t xml:space="preserve">. </w:t>
      </w:r>
    </w:p>
    <w:p w:rsidR="004474C7" w:rsidRDefault="004474C7">
      <w:pPr>
        <w:pStyle w:val="Metodpozn"/>
        <w:rPr>
          <w:color w:val="auto"/>
          <w:lang w:val="en-GB"/>
        </w:rPr>
      </w:pPr>
      <w:r>
        <w:rPr>
          <w:i/>
          <w:iCs/>
          <w:color w:val="auto"/>
          <w:lang w:val="en-GB"/>
        </w:rPr>
        <w:t>In the presented tables the code stated behind the name of the district is by the classification CZ-LAU1 and the code stated behind the name of the region is by the classification CZ-NUTS3.</w:t>
      </w:r>
      <w:r>
        <w:rPr>
          <w:color w:val="auto"/>
          <w:lang w:val="en-GB"/>
        </w:rPr>
        <w:t xml:space="preserve"> </w:t>
      </w:r>
    </w:p>
    <w:p w:rsidR="004474C7" w:rsidRDefault="004474C7" w:rsidP="00546BEC">
      <w:pPr>
        <w:pStyle w:val="Metodpozn"/>
        <w:tabs>
          <w:tab w:val="clear" w:pos="180"/>
        </w:tabs>
        <w:rPr>
          <w:bCs w:val="0"/>
          <w:i/>
          <w:iCs/>
        </w:rPr>
      </w:pPr>
      <w:r>
        <w:rPr>
          <w:i/>
          <w:iCs/>
          <w:lang w:val="en-GB"/>
        </w:rPr>
        <w:t>All data refer to the resident population of the district, irrespective of citizenship. Since 2001, the figures also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4474C7" w:rsidRDefault="004474C7">
      <w:pPr>
        <w:pStyle w:val="Metodpozn"/>
        <w:rPr>
          <w:i/>
          <w:iCs/>
          <w:lang w:val="en-GB"/>
        </w:rPr>
      </w:pPr>
      <w:r>
        <w:rPr>
          <w:i/>
          <w:iCs/>
          <w:lang w:val="en-GB"/>
        </w:rPr>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w:t>
      </w:r>
      <w:r w:rsidR="00A6086B">
        <w:rPr>
          <w:i/>
          <w:iCs/>
          <w:lang w:val="en-GB"/>
        </w:rPr>
        <w:t> </w:t>
      </w:r>
      <w:r>
        <w:rPr>
          <w:i/>
          <w:iCs/>
          <w:lang w:val="en-GB"/>
        </w:rPr>
        <w:t xml:space="preserve">census year. </w:t>
      </w:r>
    </w:p>
    <w:p w:rsidR="004474C7" w:rsidRDefault="004474C7">
      <w:pPr>
        <w:pStyle w:val="Metodpozn"/>
        <w:rPr>
          <w:i/>
          <w:iCs/>
          <w:lang w:val="en-GB"/>
        </w:rPr>
      </w:pPr>
      <w:r>
        <w:rPr>
          <w:i/>
          <w:iCs/>
          <w:lang w:val="en-GB"/>
        </w:rPr>
        <w:t xml:space="preserve">The disagreement between the population as of 31 December and 1 January by the districts could be also due to the shifts of municipalities between the districts </w:t>
      </w:r>
      <w:r w:rsidR="00A9079D">
        <w:rPr>
          <w:i/>
          <w:iCs/>
          <w:lang w:val="en-GB"/>
        </w:rPr>
        <w:t>possibly</w:t>
      </w:r>
      <w:r>
        <w:rPr>
          <w:i/>
          <w:iCs/>
          <w:lang w:val="en-GB"/>
        </w:rPr>
        <w:t xml:space="preserve"> to the extraordinary adjustments of the municipality population stocks. </w:t>
      </w:r>
    </w:p>
    <w:p w:rsidR="00C223DD" w:rsidRPr="00C223DD" w:rsidRDefault="00C223DD" w:rsidP="00546BEC">
      <w:pPr>
        <w:pStyle w:val="A-metodpozn-A"/>
        <w:ind w:firstLine="709"/>
        <w:rPr>
          <w:color w:val="000000"/>
        </w:rPr>
      </w:pPr>
      <w:r w:rsidRPr="00B61BF9">
        <w:rPr>
          <w:color w:val="000000"/>
        </w:rPr>
        <w:t xml:space="preserve">Definitions of </w:t>
      </w:r>
      <w:r w:rsidRPr="00B61BF9">
        <w:t>marriages</w:t>
      </w:r>
      <w:r w:rsidRPr="00B61BF9">
        <w:rPr>
          <w:color w:val="000000"/>
        </w:rPr>
        <w:t xml:space="preserve">, divorces, births, abortions and deaths and the derived indicators are given in the Demographic Yearbook of the Czech Republic (code </w:t>
      </w:r>
      <w:r w:rsidR="00E55D14">
        <w:t>130067</w:t>
      </w:r>
      <w:r w:rsidRPr="00B61BF9">
        <w:rPr>
          <w:color w:val="000000"/>
        </w:rPr>
        <w:t>-1</w:t>
      </w:r>
      <w:r w:rsidR="002144FD">
        <w:rPr>
          <w:color w:val="000000"/>
        </w:rPr>
        <w:t>5</w:t>
      </w:r>
      <w:r w:rsidRPr="00B61BF9">
        <w:rPr>
          <w:color w:val="000000"/>
        </w:rPr>
        <w:t>).</w:t>
      </w:r>
    </w:p>
    <w:p w:rsidR="004474C7" w:rsidRPr="002814E7" w:rsidRDefault="004474C7">
      <w:pPr>
        <w:pStyle w:val="Metodpozn"/>
        <w:rPr>
          <w:i/>
          <w:iCs/>
          <w:lang w:val="en-GB"/>
        </w:rPr>
      </w:pPr>
      <w:r w:rsidRPr="00D477F7">
        <w:rPr>
          <w:i/>
          <w:iCs/>
          <w:lang w:val="en-GB"/>
        </w:rPr>
        <w:t xml:space="preserve">The delivery of </w:t>
      </w:r>
      <w:r w:rsidR="00D477F7" w:rsidRPr="00D477F7">
        <w:rPr>
          <w:i/>
          <w:iCs/>
          <w:lang w:val="en-GB"/>
        </w:rPr>
        <w:t xml:space="preserve">quintuplets </w:t>
      </w:r>
      <w:r w:rsidRPr="00D477F7">
        <w:rPr>
          <w:i/>
          <w:iCs/>
          <w:lang w:val="en-GB"/>
        </w:rPr>
        <w:t xml:space="preserve">was recorded </w:t>
      </w:r>
      <w:r w:rsidRPr="002814E7">
        <w:rPr>
          <w:i/>
          <w:iCs/>
          <w:lang w:val="en-GB"/>
        </w:rPr>
        <w:t>in</w:t>
      </w:r>
      <w:r w:rsidR="00D477F7">
        <w:rPr>
          <w:i/>
          <w:iCs/>
          <w:lang w:val="en-GB"/>
        </w:rPr>
        <w:t> </w:t>
      </w:r>
      <w:r w:rsidRPr="002814E7">
        <w:rPr>
          <w:i/>
          <w:iCs/>
          <w:lang w:val="en-GB"/>
        </w:rPr>
        <w:t>20</w:t>
      </w:r>
      <w:r w:rsidR="00D477F7">
        <w:rPr>
          <w:i/>
          <w:iCs/>
          <w:lang w:val="en-GB"/>
        </w:rPr>
        <w:t>1</w:t>
      </w:r>
      <w:r w:rsidRPr="002814E7">
        <w:rPr>
          <w:i/>
          <w:iCs/>
          <w:lang w:val="en-GB"/>
        </w:rPr>
        <w:t xml:space="preserve">3 in the district </w:t>
      </w:r>
      <w:r w:rsidR="00D477F7">
        <w:rPr>
          <w:i/>
          <w:iCs/>
          <w:lang w:val="en-GB"/>
        </w:rPr>
        <w:t>Nymburk</w:t>
      </w:r>
      <w:r w:rsidRPr="002814E7">
        <w:rPr>
          <w:i/>
          <w:iCs/>
          <w:lang w:val="en-GB"/>
        </w:rPr>
        <w:t>.</w:t>
      </w:r>
    </w:p>
    <w:p w:rsidR="004474C7" w:rsidRDefault="004474C7">
      <w:pPr>
        <w:pStyle w:val="Metodpozn"/>
        <w:rPr>
          <w:i/>
          <w:iCs/>
          <w:color w:val="auto"/>
          <w:lang w:val="en-GB"/>
        </w:rPr>
      </w:pPr>
      <w:r>
        <w:rPr>
          <w:i/>
          <w:iCs/>
          <w:color w:val="auto"/>
          <w:lang w:val="en-GB"/>
        </w:rPr>
        <w:t>The mid-population of the municipalities (as of 1 July) by age unit has been not available from 2001 so it is impossible to adjust the mid-population of the district according to the shifts of the municipalities between districts.  For that reason the total fertility rate and the total abortion rate were calculated from the</w:t>
      </w:r>
      <w:r w:rsidR="00A6086B">
        <w:rPr>
          <w:i/>
          <w:iCs/>
          <w:color w:val="auto"/>
          <w:lang w:val="en-GB"/>
        </w:rPr>
        <w:t> </w:t>
      </w:r>
      <w:r>
        <w:rPr>
          <w:i/>
          <w:iCs/>
          <w:color w:val="auto"/>
          <w:lang w:val="en-GB"/>
        </w:rPr>
        <w:t xml:space="preserve">number of live births and abortions by the birth-year of a woman and from the average women population by the birth-year. </w:t>
      </w:r>
    </w:p>
    <w:p w:rsidR="004474C7" w:rsidRDefault="004474C7">
      <w:pPr>
        <w:pStyle w:val="Metodpozn"/>
        <w:rPr>
          <w:i/>
          <w:iCs/>
          <w:lang w:val="en-GB"/>
        </w:rPr>
      </w:pPr>
      <w:r>
        <w:rPr>
          <w:i/>
          <w:iCs/>
          <w:lang w:val="en-GB"/>
        </w:rPr>
        <w:t>Migration statistics include changes in the place of permanent residence from municipality to municipality in the Czech Republic or abroad (external migration). The total number (internal plus external migration) is published here. The statistics measures the number of moves, not the number of migrants – one person could possibly move twice or more times. The term ‘immigrant’ is used for immigrant into a</w:t>
      </w:r>
      <w:r w:rsidR="00A6086B">
        <w:rPr>
          <w:i/>
          <w:iCs/>
          <w:lang w:val="en-GB"/>
        </w:rPr>
        <w:t> </w:t>
      </w:r>
      <w:r>
        <w:rPr>
          <w:i/>
          <w:iCs/>
          <w:lang w:val="en-GB"/>
        </w:rPr>
        <w:t>district, the term ‘emigrant’ for emigrant out of a district, in both cases refer to movement across the district line (so as including international migration). The intra-district migration refers to the migration between municipalities within one district (i.e. not cross district line).</w:t>
      </w:r>
    </w:p>
    <w:p w:rsidR="00B15434" w:rsidRPr="00447947" w:rsidRDefault="00B15434" w:rsidP="00B15434">
      <w:pPr>
        <w:autoSpaceDE w:val="0"/>
        <w:autoSpaceDN w:val="0"/>
        <w:adjustRightInd w:val="0"/>
        <w:spacing w:after="120"/>
        <w:rPr>
          <w:rFonts w:ascii="Arial" w:hAnsi="Arial" w:cs="Arial"/>
          <w:bCs/>
          <w:i/>
          <w:iCs/>
          <w:sz w:val="20"/>
          <w:szCs w:val="20"/>
          <w:lang w:val="en-GB"/>
        </w:rPr>
      </w:pPr>
      <w:r w:rsidRPr="00447947">
        <w:rPr>
          <w:rFonts w:ascii="Arial" w:hAnsi="Arial" w:cs="Arial"/>
          <w:bCs/>
          <w:i/>
          <w:iCs/>
          <w:sz w:val="20"/>
          <w:szCs w:val="20"/>
          <w:lang w:val="en-GB"/>
        </w:rPr>
        <w:t>Symbols used in tables:</w:t>
      </w:r>
    </w:p>
    <w:p w:rsidR="00B15434" w:rsidRDefault="00B15434" w:rsidP="00B15434">
      <w:pPr>
        <w:autoSpaceDE w:val="0"/>
        <w:autoSpaceDN w:val="0"/>
        <w:adjustRightInd w:val="0"/>
        <w:ind w:firstLine="284"/>
        <w:rPr>
          <w:rFonts w:ascii="Arial" w:hAnsi="Arial" w:cs="Arial"/>
          <w:i/>
          <w:iCs/>
          <w:sz w:val="20"/>
          <w:szCs w:val="20"/>
          <w:lang w:val="en-GB"/>
        </w:rPr>
      </w:pPr>
      <w:r>
        <w:rPr>
          <w:rFonts w:ascii="Arial" w:hAnsi="Arial" w:cs="Arial"/>
          <w:b/>
          <w:bCs/>
          <w:i/>
          <w:iCs/>
          <w:sz w:val="20"/>
          <w:szCs w:val="20"/>
          <w:lang w:val="en-GB"/>
        </w:rPr>
        <w:t>-</w:t>
      </w:r>
      <w:r>
        <w:rPr>
          <w:rFonts w:ascii="Arial" w:hAnsi="Arial" w:cs="Arial"/>
          <w:i/>
          <w:iCs/>
          <w:sz w:val="20"/>
          <w:szCs w:val="20"/>
          <w:lang w:val="en-GB"/>
        </w:rPr>
        <w:t xml:space="preserve">    The symbol of dash in place of a figure indicates that the phenomenon did not occur.</w:t>
      </w:r>
    </w:p>
    <w:p w:rsidR="00B15434" w:rsidRDefault="00B15434" w:rsidP="00B15434">
      <w:pPr>
        <w:autoSpaceDE w:val="0"/>
        <w:autoSpaceDN w:val="0"/>
        <w:adjustRightInd w:val="0"/>
        <w:ind w:firstLine="284"/>
        <w:rPr>
          <w:rFonts w:ascii="Arial" w:hAnsi="Arial" w:cs="Arial"/>
          <w:i/>
          <w:iCs/>
          <w:sz w:val="20"/>
          <w:szCs w:val="20"/>
          <w:lang w:val="en-GB"/>
        </w:rPr>
      </w:pPr>
      <w:r>
        <w:rPr>
          <w:rFonts w:ascii="Arial" w:hAnsi="Arial" w:cs="Arial"/>
          <w:b/>
          <w:bCs/>
          <w:i/>
          <w:iCs/>
          <w:sz w:val="20"/>
          <w:szCs w:val="20"/>
          <w:lang w:val="en-GB"/>
        </w:rPr>
        <w:t>.</w:t>
      </w:r>
      <w:r>
        <w:rPr>
          <w:rFonts w:ascii="Arial" w:hAnsi="Arial" w:cs="Arial"/>
          <w:i/>
          <w:iCs/>
          <w:sz w:val="20"/>
          <w:szCs w:val="20"/>
          <w:lang w:val="en-GB"/>
        </w:rPr>
        <w:t xml:space="preserve">    The symbol of dot shows that the figure is not available or cannot be relied on.</w:t>
      </w:r>
    </w:p>
    <w:p w:rsidR="00B15434" w:rsidRDefault="00B15434" w:rsidP="00B15434">
      <w:pPr>
        <w:autoSpaceDE w:val="0"/>
        <w:autoSpaceDN w:val="0"/>
        <w:adjustRightInd w:val="0"/>
        <w:ind w:firstLine="284"/>
        <w:rPr>
          <w:rFonts w:ascii="Arial" w:hAnsi="Arial" w:cs="Arial"/>
          <w:i/>
          <w:iCs/>
          <w:sz w:val="20"/>
          <w:szCs w:val="20"/>
          <w:lang w:val="en-GB"/>
        </w:rPr>
      </w:pPr>
      <w:proofErr w:type="gramStart"/>
      <w:r>
        <w:rPr>
          <w:rFonts w:ascii="Arial" w:hAnsi="Arial" w:cs="Arial"/>
          <w:b/>
          <w:bCs/>
          <w:i/>
          <w:iCs/>
          <w:sz w:val="20"/>
          <w:szCs w:val="20"/>
          <w:lang w:val="en-GB"/>
        </w:rPr>
        <w:t>x</w:t>
      </w:r>
      <w:proofErr w:type="gramEnd"/>
      <w:r>
        <w:rPr>
          <w:rFonts w:ascii="Arial" w:hAnsi="Arial" w:cs="Arial"/>
          <w:i/>
          <w:iCs/>
          <w:sz w:val="20"/>
          <w:szCs w:val="20"/>
          <w:lang w:val="en-GB"/>
        </w:rPr>
        <w:t xml:space="preserve">   The symbol of small cross shows that the figure is not applicable.</w:t>
      </w:r>
    </w:p>
    <w:p w:rsidR="004474C7" w:rsidRDefault="004474C7">
      <w:pPr>
        <w:pStyle w:val="Metodpozn"/>
      </w:pPr>
    </w:p>
    <w:p w:rsidR="004474C7" w:rsidRDefault="004474C7">
      <w:pPr>
        <w:pStyle w:val="Metodpozn"/>
      </w:pPr>
    </w:p>
    <w:sectPr w:rsidR="004474C7" w:rsidSect="005C72E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5490"/>
    <w:multiLevelType w:val="hybridMultilevel"/>
    <w:tmpl w:val="C94A9C56"/>
    <w:lvl w:ilvl="0" w:tplc="A70C1778">
      <w:start w:val="191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C1D3925"/>
    <w:multiLevelType w:val="hybridMultilevel"/>
    <w:tmpl w:val="9F144B2A"/>
    <w:lvl w:ilvl="0" w:tplc="831C58B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3FD11B8"/>
    <w:multiLevelType w:val="hybridMultilevel"/>
    <w:tmpl w:val="A34C3A3A"/>
    <w:lvl w:ilvl="0" w:tplc="88D6FE5C">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3B1"/>
    <w:rsid w:val="000A7829"/>
    <w:rsid w:val="00153ABB"/>
    <w:rsid w:val="001E3D29"/>
    <w:rsid w:val="002144FD"/>
    <w:rsid w:val="002814E7"/>
    <w:rsid w:val="002B30DA"/>
    <w:rsid w:val="002E1191"/>
    <w:rsid w:val="004474C7"/>
    <w:rsid w:val="004579B6"/>
    <w:rsid w:val="00462D4A"/>
    <w:rsid w:val="00475CF6"/>
    <w:rsid w:val="00494AFA"/>
    <w:rsid w:val="005057A4"/>
    <w:rsid w:val="00546BEC"/>
    <w:rsid w:val="005C72E8"/>
    <w:rsid w:val="005D2FD5"/>
    <w:rsid w:val="007D74FD"/>
    <w:rsid w:val="00804DE2"/>
    <w:rsid w:val="00894CCA"/>
    <w:rsid w:val="008A6F57"/>
    <w:rsid w:val="00964CCE"/>
    <w:rsid w:val="009B12B0"/>
    <w:rsid w:val="00A6086B"/>
    <w:rsid w:val="00A81F49"/>
    <w:rsid w:val="00A9079D"/>
    <w:rsid w:val="00B007B6"/>
    <w:rsid w:val="00B025DD"/>
    <w:rsid w:val="00B15434"/>
    <w:rsid w:val="00B20040"/>
    <w:rsid w:val="00C223DD"/>
    <w:rsid w:val="00C4491C"/>
    <w:rsid w:val="00C903B1"/>
    <w:rsid w:val="00D1676A"/>
    <w:rsid w:val="00D477F7"/>
    <w:rsid w:val="00D74FF2"/>
    <w:rsid w:val="00D815B4"/>
    <w:rsid w:val="00D87236"/>
    <w:rsid w:val="00DD1643"/>
    <w:rsid w:val="00E03A5C"/>
    <w:rsid w:val="00E55D14"/>
    <w:rsid w:val="00ED54E5"/>
    <w:rsid w:val="00FC196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72E8"/>
    <w:rPr>
      <w:sz w:val="24"/>
      <w:szCs w:val="24"/>
    </w:rPr>
  </w:style>
  <w:style w:type="paragraph" w:styleId="Nadpis1">
    <w:name w:val="heading 1"/>
    <w:basedOn w:val="Normln"/>
    <w:next w:val="Normln"/>
    <w:qFormat/>
    <w:rsid w:val="005C72E8"/>
    <w:pPr>
      <w:keepNext/>
      <w:outlineLvl w:val="0"/>
    </w:pPr>
    <w:rPr>
      <w:b/>
      <w:bCs/>
      <w:sz w:val="40"/>
    </w:rPr>
  </w:style>
  <w:style w:type="paragraph" w:styleId="Nadpis2">
    <w:name w:val="heading 2"/>
    <w:basedOn w:val="Normln"/>
    <w:next w:val="Normln"/>
    <w:qFormat/>
    <w:rsid w:val="005C72E8"/>
    <w:pPr>
      <w:keepNext/>
      <w:outlineLvl w:val="1"/>
    </w:pPr>
    <w:rPr>
      <w:b/>
      <w:bCs/>
      <w:i/>
      <w:iCs/>
    </w:rPr>
  </w:style>
  <w:style w:type="paragraph" w:styleId="Nadpis3">
    <w:name w:val="heading 3"/>
    <w:basedOn w:val="Normln"/>
    <w:next w:val="Normln"/>
    <w:qFormat/>
    <w:rsid w:val="005C72E8"/>
    <w:pPr>
      <w:keepNext/>
      <w:jc w:val="both"/>
      <w:outlineLvl w:val="2"/>
    </w:pPr>
    <w:rPr>
      <w:b/>
      <w:bCs/>
    </w:rPr>
  </w:style>
  <w:style w:type="paragraph" w:styleId="Nadpis4">
    <w:name w:val="heading 4"/>
    <w:basedOn w:val="Normln"/>
    <w:next w:val="Normln"/>
    <w:qFormat/>
    <w:rsid w:val="005C72E8"/>
    <w:pPr>
      <w:keepNext/>
      <w:jc w:val="both"/>
      <w:outlineLvl w:val="3"/>
    </w:pPr>
    <w:rPr>
      <w:rFonts w:ascii="Arial" w:hAnsi="Arial"/>
      <w:b/>
      <w:bCs/>
      <w:sz w:val="32"/>
    </w:rPr>
  </w:style>
  <w:style w:type="paragraph" w:styleId="Nadpis5">
    <w:name w:val="heading 5"/>
    <w:basedOn w:val="Normln"/>
    <w:next w:val="Normln"/>
    <w:qFormat/>
    <w:rsid w:val="005C72E8"/>
    <w:pPr>
      <w:keepNext/>
      <w:jc w:val="both"/>
      <w:outlineLvl w:val="4"/>
    </w:pPr>
    <w:rPr>
      <w:rFonts w:ascii="Arial" w:hAnsi="Arial" w:cs="Arial"/>
      <w:i/>
      <w:iCs/>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C72E8"/>
    <w:pPr>
      <w:jc w:val="both"/>
    </w:pPr>
  </w:style>
  <w:style w:type="paragraph" w:styleId="Zkladntext2">
    <w:name w:val="Body Text 2"/>
    <w:basedOn w:val="Normln"/>
    <w:semiHidden/>
    <w:rsid w:val="005C72E8"/>
    <w:pPr>
      <w:jc w:val="both"/>
    </w:pPr>
    <w:rPr>
      <w:rFonts w:ascii="Arial" w:hAnsi="Arial"/>
      <w:sz w:val="22"/>
    </w:rPr>
  </w:style>
  <w:style w:type="paragraph" w:styleId="Zkladntextodsazen">
    <w:name w:val="Body Text Indent"/>
    <w:basedOn w:val="Normln"/>
    <w:semiHidden/>
    <w:rsid w:val="005C72E8"/>
    <w:pPr>
      <w:ind w:left="705" w:hanging="705"/>
      <w:jc w:val="both"/>
    </w:pPr>
    <w:rPr>
      <w:rFonts w:ascii="Arial" w:hAnsi="Arial"/>
      <w:sz w:val="22"/>
    </w:rPr>
  </w:style>
  <w:style w:type="paragraph" w:customStyle="1" w:styleId="A-Metodika">
    <w:name w:val="A-Metodika"/>
    <w:basedOn w:val="Normln"/>
    <w:rsid w:val="005C72E8"/>
    <w:pPr>
      <w:autoSpaceDE w:val="0"/>
      <w:autoSpaceDN w:val="0"/>
      <w:adjustRightInd w:val="0"/>
      <w:spacing w:after="60" w:line="360" w:lineRule="auto"/>
      <w:ind w:firstLine="567"/>
      <w:jc w:val="both"/>
    </w:pPr>
    <w:rPr>
      <w:rFonts w:ascii="Arial" w:hAnsi="Arial"/>
      <w:sz w:val="20"/>
      <w:szCs w:val="22"/>
    </w:rPr>
  </w:style>
  <w:style w:type="paragraph" w:customStyle="1" w:styleId="A-Nadpis">
    <w:name w:val="A-Nadpis"/>
    <w:basedOn w:val="Normln"/>
    <w:autoRedefine/>
    <w:rsid w:val="005C72E8"/>
    <w:pPr>
      <w:pageBreakBefore/>
      <w:spacing w:after="360"/>
      <w:outlineLvl w:val="0"/>
    </w:pPr>
    <w:rPr>
      <w:rFonts w:ascii="Arial" w:hAnsi="Arial"/>
      <w:b/>
      <w:bCs/>
      <w:color w:val="000000"/>
      <w:sz w:val="32"/>
    </w:rPr>
  </w:style>
  <w:style w:type="paragraph" w:styleId="Zkladntextodsazen2">
    <w:name w:val="Body Text Indent 2"/>
    <w:basedOn w:val="Normln"/>
    <w:semiHidden/>
    <w:rsid w:val="005C72E8"/>
    <w:pPr>
      <w:ind w:firstLine="708"/>
    </w:pPr>
    <w:rPr>
      <w:rFonts w:eastAsia="Arial Unicode MS"/>
      <w:i/>
      <w:iCs/>
    </w:rPr>
  </w:style>
  <w:style w:type="paragraph" w:styleId="Normlnweb">
    <w:name w:val="Normal (Web)"/>
    <w:basedOn w:val="Normln"/>
    <w:semiHidden/>
    <w:rsid w:val="005C72E8"/>
    <w:pPr>
      <w:spacing w:before="100" w:beforeAutospacing="1" w:after="100" w:afterAutospacing="1"/>
    </w:pPr>
  </w:style>
  <w:style w:type="paragraph" w:styleId="Zkladntextodsazen3">
    <w:name w:val="Body Text Indent 3"/>
    <w:basedOn w:val="Normln"/>
    <w:semiHidden/>
    <w:rsid w:val="005C72E8"/>
    <w:pPr>
      <w:ind w:firstLine="708"/>
      <w:jc w:val="both"/>
    </w:pPr>
    <w:rPr>
      <w:rFonts w:ascii="Arial" w:hAnsi="Arial"/>
      <w:i/>
      <w:iCs/>
      <w:sz w:val="22"/>
    </w:rPr>
  </w:style>
  <w:style w:type="paragraph" w:customStyle="1" w:styleId="Metodpozn">
    <w:name w:val="Metod pozn"/>
    <w:basedOn w:val="Normln"/>
    <w:rsid w:val="005C72E8"/>
    <w:pPr>
      <w:tabs>
        <w:tab w:val="left" w:pos="180"/>
      </w:tabs>
      <w:autoSpaceDE w:val="0"/>
      <w:autoSpaceDN w:val="0"/>
      <w:adjustRightInd w:val="0"/>
      <w:spacing w:after="240"/>
      <w:ind w:firstLine="709"/>
      <w:jc w:val="both"/>
    </w:pPr>
    <w:rPr>
      <w:rFonts w:ascii="Arial" w:hAnsi="Arial" w:cs="Arial"/>
      <w:bCs/>
      <w:color w:val="000000"/>
      <w:sz w:val="20"/>
      <w:szCs w:val="20"/>
    </w:rPr>
  </w:style>
  <w:style w:type="paragraph" w:styleId="Zkladntext3">
    <w:name w:val="Body Text 3"/>
    <w:basedOn w:val="Normln"/>
    <w:semiHidden/>
    <w:rsid w:val="005C72E8"/>
    <w:pPr>
      <w:jc w:val="both"/>
    </w:pPr>
    <w:rPr>
      <w:rFonts w:ascii="Arial" w:hAnsi="Arial"/>
      <w:sz w:val="20"/>
    </w:rPr>
  </w:style>
  <w:style w:type="paragraph" w:styleId="Zpat">
    <w:name w:val="footer"/>
    <w:basedOn w:val="Normln"/>
    <w:semiHidden/>
    <w:rsid w:val="005C72E8"/>
    <w:pPr>
      <w:tabs>
        <w:tab w:val="center" w:pos="4536"/>
        <w:tab w:val="right" w:pos="9072"/>
      </w:tabs>
    </w:pPr>
  </w:style>
  <w:style w:type="paragraph" w:styleId="Textbubliny">
    <w:name w:val="Balloon Text"/>
    <w:basedOn w:val="Normln"/>
    <w:semiHidden/>
    <w:unhideWhenUsed/>
    <w:rsid w:val="005C72E8"/>
    <w:rPr>
      <w:rFonts w:ascii="Tahoma" w:hAnsi="Tahoma" w:cs="Tahoma"/>
      <w:sz w:val="16"/>
      <w:szCs w:val="16"/>
    </w:rPr>
  </w:style>
  <w:style w:type="character" w:customStyle="1" w:styleId="TextbublinyChar">
    <w:name w:val="Text bubliny Char"/>
    <w:basedOn w:val="Standardnpsmoodstavce"/>
    <w:semiHidden/>
    <w:rsid w:val="005C72E8"/>
    <w:rPr>
      <w:rFonts w:ascii="Tahoma" w:hAnsi="Tahoma" w:cs="Tahoma"/>
      <w:sz w:val="16"/>
      <w:szCs w:val="16"/>
    </w:rPr>
  </w:style>
  <w:style w:type="paragraph" w:customStyle="1" w:styleId="A-metodpozn-A">
    <w:name w:val="A-metod.pozn-A"/>
    <w:basedOn w:val="Normln"/>
    <w:rsid w:val="00C223DD"/>
    <w:pPr>
      <w:autoSpaceDE w:val="0"/>
      <w:autoSpaceDN w:val="0"/>
      <w:adjustRightInd w:val="0"/>
      <w:spacing w:after="360"/>
      <w:ind w:firstLine="567"/>
      <w:jc w:val="both"/>
    </w:pPr>
    <w:rPr>
      <w:rFonts w:ascii="Arial" w:hAnsi="Arial" w:cs="Arial"/>
      <w:i/>
      <w:iCs/>
      <w:sz w:val="20"/>
      <w:szCs w:val="20"/>
      <w:lang w:val="en-GB"/>
    </w:rPr>
  </w:style>
</w:styles>
</file>

<file path=word/webSettings.xml><?xml version="1.0" encoding="utf-8"?>
<w:webSettings xmlns:r="http://schemas.openxmlformats.org/officeDocument/2006/relationships" xmlns:w="http://schemas.openxmlformats.org/wordprocessingml/2006/main">
  <w:divs>
    <w:div w:id="13105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702</Words>
  <Characters>4144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user</dc:creator>
  <cp:lastModifiedBy>Ing. Jan Bílík</cp:lastModifiedBy>
  <cp:revision>10</cp:revision>
  <cp:lastPrinted>2010-10-12T07:45:00Z</cp:lastPrinted>
  <dcterms:created xsi:type="dcterms:W3CDTF">2014-03-05T13:39:00Z</dcterms:created>
  <dcterms:modified xsi:type="dcterms:W3CDTF">2016-07-13T08:19:00Z</dcterms:modified>
</cp:coreProperties>
</file>