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83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</w:t>
      </w:r>
      <w:r w:rsidR="00B74C74">
        <w:rPr>
          <w:rFonts w:ascii="Arial" w:hAnsi="Arial" w:cs="Arial"/>
          <w:sz w:val="32"/>
        </w:rPr>
        <w:t> </w:t>
      </w:r>
      <w:r w:rsidR="007153E8">
        <w:rPr>
          <w:rFonts w:ascii="Arial" w:hAnsi="Arial" w:cs="Arial"/>
          <w:sz w:val="32"/>
        </w:rPr>
        <w:t>únoru</w:t>
      </w:r>
      <w:r w:rsidR="00B74C74">
        <w:rPr>
          <w:rFonts w:ascii="Arial" w:hAnsi="Arial" w:cs="Arial"/>
          <w:sz w:val="32"/>
        </w:rPr>
        <w:t xml:space="preserve"> 2025</w:t>
      </w:r>
    </w:p>
    <w:p w:rsidR="00B74C74" w:rsidRPr="00A238DA" w:rsidRDefault="00B74C74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FF2040" w:rsidRDefault="00FF204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 w:rsidRPr="008F025D">
        <w:rPr>
          <w:rFonts w:ascii="Arial" w:hAnsi="Arial" w:cs="Arial"/>
          <w:b/>
          <w:sz w:val="20"/>
          <w:szCs w:val="20"/>
        </w:rPr>
        <w:t>Meziměsíční srovnání:</w:t>
      </w:r>
    </w:p>
    <w:p w:rsidR="008F025D" w:rsidRPr="008F025D" w:rsidRDefault="008F025D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AD3543" w:rsidRPr="008F025D" w:rsidRDefault="00AD3543" w:rsidP="00AD3543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b/>
          <w:sz w:val="20"/>
          <w:szCs w:val="20"/>
        </w:rPr>
        <w:t xml:space="preserve">Meziměsíčně </w:t>
      </w:r>
      <w:r w:rsidRPr="008F025D">
        <w:rPr>
          <w:rFonts w:ascii="Arial" w:hAnsi="Arial" w:cs="Arial"/>
          <w:sz w:val="20"/>
          <w:szCs w:val="20"/>
        </w:rPr>
        <w:t xml:space="preserve">ceny </w:t>
      </w:r>
      <w:r w:rsidRPr="008F025D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8F025D">
        <w:rPr>
          <w:rFonts w:ascii="Arial" w:hAnsi="Arial" w:cs="Arial"/>
          <w:sz w:val="20"/>
          <w:szCs w:val="20"/>
        </w:rPr>
        <w:t xml:space="preserve">klesly o 0,1 %. </w:t>
      </w:r>
    </w:p>
    <w:p w:rsidR="00AD3543" w:rsidRPr="008F025D" w:rsidRDefault="00AD3543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F33E73" w:rsidRPr="008F025D" w:rsidRDefault="00E915E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 w:rsidRPr="008F025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5AF4B8" wp14:editId="7720C2FA">
            <wp:extent cx="5760720" cy="3926205"/>
            <wp:effectExtent l="0" t="0" r="11430" b="171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15E0" w:rsidRPr="008F025D" w:rsidRDefault="00E915E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AD3543" w:rsidRPr="008F025D" w:rsidRDefault="00AD3543" w:rsidP="00AD3543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t>Klesaly zejména ceny elektřiny, plynu, páry a klimatizovaného vzduchu o 0,3 %, základních kovů o 0,9 % a nápojů o 1,1 %.</w:t>
      </w:r>
    </w:p>
    <w:p w:rsidR="008F025D" w:rsidRDefault="008F025D" w:rsidP="00AD3543">
      <w:pPr>
        <w:rPr>
          <w:rFonts w:ascii="Arial" w:hAnsi="Arial" w:cs="Arial"/>
          <w:sz w:val="20"/>
          <w:szCs w:val="20"/>
        </w:rPr>
      </w:pPr>
    </w:p>
    <w:p w:rsidR="00AD3543" w:rsidRPr="008F025D" w:rsidRDefault="00AD3543" w:rsidP="00AD3543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t xml:space="preserve">Zvýšily se ceny chemických látek a chemických přípravků o 1,1 %, ostatní těžby a dobývání nerostných surovin o 1,8 % a kovodělných výrobků, kromě strojů a zařízení o 0,2 %. </w:t>
      </w:r>
    </w:p>
    <w:p w:rsidR="008F025D" w:rsidRDefault="008F025D" w:rsidP="00AD3543">
      <w:pPr>
        <w:rPr>
          <w:rFonts w:ascii="Arial" w:hAnsi="Arial" w:cs="Arial"/>
          <w:sz w:val="20"/>
          <w:szCs w:val="20"/>
        </w:rPr>
      </w:pPr>
    </w:p>
    <w:p w:rsidR="00AD3543" w:rsidRPr="008F025D" w:rsidRDefault="00AD3543" w:rsidP="00AD3543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t>Ceny potravinářských výrobků vzrostly o 0,1 %, zejména pekařských, cukrářských a jiných moučných výrobků o 1,3 %, ostatních potravinářských výrobků a průmyslových krmiv shodně o 0,6 %, ceny zpracovaného a konzervovaného masa a výrobků z masa klesly o 1,0 %.</w:t>
      </w:r>
    </w:p>
    <w:p w:rsidR="00E915E0" w:rsidRPr="008F025D" w:rsidRDefault="00E915E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E915E0" w:rsidRPr="008F025D" w:rsidRDefault="00E915E0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7536DF" w:rsidRPr="008F025D" w:rsidRDefault="007536DF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B01C62" w:rsidRPr="008F025D" w:rsidRDefault="003B51B9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drawing>
          <wp:inline distT="0" distB="0" distL="0" distR="0">
            <wp:extent cx="5741035" cy="123253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DF" w:rsidRPr="008F025D" w:rsidRDefault="007536DF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8E0052" w:rsidRPr="008F025D" w:rsidRDefault="008E0052" w:rsidP="007536D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6B2ED7" w:rsidRPr="008F025D" w:rsidRDefault="006B2ED7" w:rsidP="006E7983">
      <w:pPr>
        <w:spacing w:line="276" w:lineRule="auto"/>
        <w:rPr>
          <w:rFonts w:ascii="Arial" w:hAnsi="Arial" w:cs="Arial"/>
          <w:sz w:val="20"/>
          <w:szCs w:val="20"/>
        </w:rPr>
      </w:pPr>
    </w:p>
    <w:p w:rsidR="008F025D" w:rsidRDefault="008F025D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F025D" w:rsidRDefault="008F025D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D0B68" w:rsidRPr="008F025D" w:rsidRDefault="00FF2040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F025D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AD3543" w:rsidRPr="008F025D" w:rsidRDefault="00AD3543" w:rsidP="00AD3543">
      <w:pPr>
        <w:rPr>
          <w:rFonts w:ascii="Arial" w:hAnsi="Arial" w:cs="Arial"/>
          <w:bCs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t xml:space="preserve">Ceny </w:t>
      </w:r>
      <w:r w:rsidRPr="008F025D">
        <w:rPr>
          <w:rFonts w:ascii="Arial" w:hAnsi="Arial" w:cs="Arial"/>
          <w:b/>
          <w:bCs/>
          <w:sz w:val="20"/>
          <w:szCs w:val="20"/>
        </w:rPr>
        <w:t xml:space="preserve">průmyslových výrobců </w:t>
      </w:r>
      <w:r w:rsidRPr="008F025D">
        <w:rPr>
          <w:rFonts w:ascii="Arial" w:hAnsi="Arial" w:cs="Arial"/>
          <w:bCs/>
          <w:sz w:val="20"/>
          <w:szCs w:val="20"/>
        </w:rPr>
        <w:t>se</w:t>
      </w:r>
      <w:r w:rsidRPr="008F025D">
        <w:rPr>
          <w:rFonts w:ascii="Arial" w:hAnsi="Arial" w:cs="Arial"/>
          <w:b/>
          <w:bCs/>
          <w:sz w:val="20"/>
          <w:szCs w:val="20"/>
        </w:rPr>
        <w:t xml:space="preserve"> meziročně</w:t>
      </w:r>
      <w:r w:rsidRPr="008F025D">
        <w:rPr>
          <w:rFonts w:ascii="Arial" w:hAnsi="Arial" w:cs="Arial"/>
          <w:bCs/>
          <w:sz w:val="20"/>
          <w:szCs w:val="20"/>
        </w:rPr>
        <w:t xml:space="preserve"> snížily o 0,1 % (v lednu se zvýšily o 0,5 %).</w:t>
      </w:r>
    </w:p>
    <w:p w:rsidR="002E6362" w:rsidRPr="008F025D" w:rsidRDefault="002E6362" w:rsidP="00B9177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60FCE" w:rsidRPr="008F025D" w:rsidRDefault="00E915E0" w:rsidP="00B9177F">
      <w:pPr>
        <w:spacing w:line="276" w:lineRule="auto"/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B67746" wp14:editId="037F378A">
            <wp:extent cx="5760720" cy="3498850"/>
            <wp:effectExtent l="0" t="0" r="11430" b="635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15E0" w:rsidRPr="008F025D" w:rsidRDefault="00E915E0" w:rsidP="00B9177F">
      <w:pPr>
        <w:spacing w:line="276" w:lineRule="auto"/>
        <w:rPr>
          <w:rFonts w:ascii="Arial" w:hAnsi="Arial" w:cs="Arial"/>
          <w:sz w:val="20"/>
          <w:szCs w:val="20"/>
        </w:rPr>
      </w:pPr>
    </w:p>
    <w:p w:rsidR="00E915E0" w:rsidRPr="008F025D" w:rsidRDefault="00E915E0" w:rsidP="00B9177F">
      <w:pPr>
        <w:spacing w:line="276" w:lineRule="auto"/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CDD18A" wp14:editId="4CEF2F3F">
            <wp:extent cx="5760720" cy="4377055"/>
            <wp:effectExtent l="0" t="0" r="11430" b="4445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3543" w:rsidRPr="008F025D" w:rsidRDefault="00AD3543" w:rsidP="00AD3543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lastRenderedPageBreak/>
        <w:t>Snížily se zejména ceny koksu a rafinovaných ropných výrobků. Klesaly ceny elektřiny, plynu, páry a klimatizovaného vzduchu o 1,6 %, černého a hnědého uhlí a lignitu o 8,0 % a základních kovů o 2,5 %.</w:t>
      </w:r>
    </w:p>
    <w:p w:rsidR="00AD3543" w:rsidRPr="008F025D" w:rsidRDefault="00AD3543" w:rsidP="00AD3543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t xml:space="preserve">Ceny potravinářských výrobků se zvýšily o 2,5 %, zejména mléčných výrobků o 12,5 %, zpracovaného a konzervovaného masa a výrobků z masa o 1,3 % a rostlinných a živočišných olejů a tuků o 7,0 %. Klesly ceny ostatních potravinářských výrobků o 2,0 % a mlýnských a škrobárenských výrobků o 3,7 %. </w:t>
      </w:r>
    </w:p>
    <w:p w:rsidR="00AD3543" w:rsidRPr="008F025D" w:rsidRDefault="00AD3543" w:rsidP="00AD3543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bCs/>
          <w:sz w:val="20"/>
          <w:szCs w:val="20"/>
        </w:rPr>
        <w:t xml:space="preserve">Rostly ceny </w:t>
      </w:r>
      <w:r w:rsidRPr="008F025D">
        <w:rPr>
          <w:rFonts w:ascii="Arial" w:hAnsi="Arial" w:cs="Arial"/>
          <w:sz w:val="20"/>
          <w:szCs w:val="20"/>
        </w:rPr>
        <w:t>opravy, údržby a instalace strojů a zařízení o 4,6 % a motorových vozidel (kromě motocyklů), přívěsů a návěsů o 1,2 %.</w:t>
      </w:r>
    </w:p>
    <w:p w:rsidR="002E6362" w:rsidRPr="008F025D" w:rsidRDefault="002E6362" w:rsidP="007536DF">
      <w:pPr>
        <w:rPr>
          <w:rFonts w:ascii="Arial" w:hAnsi="Arial" w:cs="Arial"/>
          <w:sz w:val="20"/>
          <w:szCs w:val="20"/>
        </w:rPr>
      </w:pPr>
    </w:p>
    <w:p w:rsidR="007536DF" w:rsidRPr="008F025D" w:rsidRDefault="007536DF" w:rsidP="007536DF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B01C62" w:rsidRPr="008F025D" w:rsidRDefault="00B01C62" w:rsidP="007536DF">
      <w:pPr>
        <w:rPr>
          <w:rFonts w:ascii="Arial" w:hAnsi="Arial" w:cs="Arial"/>
          <w:sz w:val="20"/>
          <w:szCs w:val="20"/>
        </w:rPr>
      </w:pPr>
    </w:p>
    <w:p w:rsidR="00F86D68" w:rsidRPr="008F025D" w:rsidRDefault="00F86D68" w:rsidP="007536DF">
      <w:pPr>
        <w:rPr>
          <w:rFonts w:ascii="Arial" w:hAnsi="Arial" w:cs="Arial"/>
          <w:sz w:val="20"/>
          <w:szCs w:val="20"/>
        </w:rPr>
      </w:pPr>
    </w:p>
    <w:p w:rsidR="00BF7491" w:rsidRPr="008F025D" w:rsidRDefault="003B51B9" w:rsidP="002103E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drawing>
          <wp:inline distT="0" distB="0" distL="0" distR="0">
            <wp:extent cx="5741035" cy="16859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EF" w:rsidRPr="008F025D" w:rsidRDefault="003149EF" w:rsidP="002103E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103EA" w:rsidRPr="008F025D" w:rsidRDefault="002103EA" w:rsidP="002103EA">
      <w:pPr>
        <w:spacing w:line="276" w:lineRule="auto"/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b/>
          <w:sz w:val="20"/>
          <w:szCs w:val="20"/>
        </w:rPr>
        <w:t xml:space="preserve">Klouzavý průměr </w:t>
      </w:r>
      <w:r w:rsidRPr="008F025D">
        <w:rPr>
          <w:rFonts w:ascii="Arial" w:hAnsi="Arial" w:cs="Arial"/>
          <w:sz w:val="20"/>
          <w:szCs w:val="20"/>
        </w:rPr>
        <w:t>úhrnného indexu cen průmyslových výrobců (tj. podíl průměru bazických indexů za posledních 12 měsíců k průměru bazických inde</w:t>
      </w:r>
      <w:r w:rsidR="001F22D3" w:rsidRPr="008F025D">
        <w:rPr>
          <w:rFonts w:ascii="Arial" w:hAnsi="Arial" w:cs="Arial"/>
          <w:sz w:val="20"/>
          <w:szCs w:val="20"/>
        </w:rPr>
        <w:t xml:space="preserve">xů za předchozích 12 měsíců) byl </w:t>
      </w:r>
      <w:r w:rsidR="003B51B9" w:rsidRPr="008F025D">
        <w:rPr>
          <w:rFonts w:ascii="Arial" w:hAnsi="Arial" w:cs="Arial"/>
          <w:sz w:val="20"/>
          <w:szCs w:val="20"/>
        </w:rPr>
        <w:t>101,1</w:t>
      </w:r>
    </w:p>
    <w:p w:rsidR="003B51B9" w:rsidRPr="008F025D" w:rsidRDefault="003B51B9" w:rsidP="002103EA">
      <w:pPr>
        <w:spacing w:line="276" w:lineRule="auto"/>
        <w:rPr>
          <w:rFonts w:ascii="Arial" w:hAnsi="Arial" w:cs="Arial"/>
          <w:sz w:val="20"/>
          <w:szCs w:val="20"/>
        </w:rPr>
      </w:pPr>
    </w:p>
    <w:p w:rsidR="002103EA" w:rsidRPr="008F025D" w:rsidRDefault="002103EA" w:rsidP="002103EA">
      <w:pPr>
        <w:rPr>
          <w:rFonts w:ascii="Arial" w:hAnsi="Arial" w:cs="Arial"/>
          <w:sz w:val="20"/>
          <w:szCs w:val="20"/>
        </w:rPr>
      </w:pPr>
    </w:p>
    <w:p w:rsidR="00AD3543" w:rsidRPr="008F025D" w:rsidRDefault="00AD3543" w:rsidP="00AD3543">
      <w:pPr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sz w:val="20"/>
          <w:szCs w:val="20"/>
        </w:rPr>
        <w:t xml:space="preserve">Při hodnocení podle </w:t>
      </w:r>
      <w:r w:rsidRPr="008F025D">
        <w:rPr>
          <w:rFonts w:ascii="Arial" w:hAnsi="Arial" w:cs="Arial"/>
          <w:b/>
          <w:sz w:val="20"/>
          <w:szCs w:val="20"/>
        </w:rPr>
        <w:t>hlavních průmyslových skupin</w:t>
      </w:r>
      <w:r w:rsidRPr="008F025D">
        <w:rPr>
          <w:rFonts w:ascii="Arial" w:hAnsi="Arial" w:cs="Arial"/>
          <w:sz w:val="20"/>
          <w:szCs w:val="20"/>
        </w:rPr>
        <w:t xml:space="preserve"> vzrostly </w:t>
      </w:r>
      <w:r w:rsidRPr="008F025D">
        <w:rPr>
          <w:rFonts w:ascii="Arial" w:hAnsi="Arial" w:cs="Arial"/>
          <w:b/>
          <w:sz w:val="20"/>
          <w:szCs w:val="20"/>
        </w:rPr>
        <w:t>meziročně</w:t>
      </w:r>
      <w:r w:rsidRPr="008F025D">
        <w:rPr>
          <w:rFonts w:ascii="Arial" w:hAnsi="Arial" w:cs="Arial"/>
          <w:sz w:val="20"/>
          <w:szCs w:val="20"/>
        </w:rPr>
        <w:t xml:space="preserve"> ceny zboží krátkodobé spotřeby o 2,2 % a výrobků investiční povahy o 2,0 %, klesly ceny energií o 2,8 %. Ceny </w:t>
      </w:r>
      <w:r w:rsidRPr="008F025D">
        <w:rPr>
          <w:rFonts w:ascii="Arial" w:hAnsi="Arial" w:cs="Arial"/>
          <w:b/>
          <w:sz w:val="20"/>
          <w:szCs w:val="20"/>
        </w:rPr>
        <w:t>průmyslových výrobců</w:t>
      </w:r>
      <w:r w:rsidRPr="008F025D">
        <w:rPr>
          <w:rFonts w:ascii="Arial" w:hAnsi="Arial" w:cs="Arial"/>
          <w:sz w:val="20"/>
          <w:szCs w:val="20"/>
        </w:rPr>
        <w:t xml:space="preserve"> </w:t>
      </w:r>
      <w:r w:rsidRPr="008F025D">
        <w:rPr>
          <w:rFonts w:ascii="Arial" w:hAnsi="Arial" w:cs="Arial"/>
          <w:b/>
          <w:sz w:val="20"/>
          <w:szCs w:val="20"/>
        </w:rPr>
        <w:t>bez energií</w:t>
      </w:r>
      <w:r w:rsidRPr="008F025D">
        <w:rPr>
          <w:rFonts w:ascii="Arial" w:hAnsi="Arial" w:cs="Arial"/>
          <w:sz w:val="20"/>
          <w:szCs w:val="20"/>
        </w:rPr>
        <w:t xml:space="preserve"> byly vyšší o 1,1 % (v lednu o 1,5 %).</w:t>
      </w:r>
    </w:p>
    <w:p w:rsidR="00FF2040" w:rsidRPr="008F025D" w:rsidRDefault="00FF2040" w:rsidP="007219F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B5C6F" w:rsidRPr="008F025D" w:rsidRDefault="00FB5C6F" w:rsidP="00F84BA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07528" w:rsidRPr="008F025D" w:rsidRDefault="00FF2040" w:rsidP="00F84BAE">
      <w:pPr>
        <w:spacing w:line="276" w:lineRule="auto"/>
        <w:rPr>
          <w:rFonts w:ascii="Arial" w:hAnsi="Arial" w:cs="Arial"/>
          <w:sz w:val="20"/>
          <w:szCs w:val="20"/>
        </w:rPr>
      </w:pPr>
      <w:r w:rsidRPr="008F025D">
        <w:rPr>
          <w:rFonts w:ascii="Arial" w:hAnsi="Arial" w:cs="Arial"/>
          <w:b/>
          <w:sz w:val="20"/>
          <w:szCs w:val="20"/>
        </w:rPr>
        <w:t xml:space="preserve">Komentář k průměrným cenám průmyslových výrobců – </w:t>
      </w:r>
      <w:r w:rsidR="007153E8" w:rsidRPr="008F025D">
        <w:rPr>
          <w:rFonts w:ascii="Arial" w:hAnsi="Arial" w:cs="Arial"/>
          <w:b/>
          <w:sz w:val="20"/>
          <w:szCs w:val="20"/>
        </w:rPr>
        <w:t>únor</w:t>
      </w:r>
      <w:r w:rsidR="00B74C74" w:rsidRPr="008F025D">
        <w:rPr>
          <w:rFonts w:ascii="Arial" w:hAnsi="Arial" w:cs="Arial"/>
          <w:b/>
          <w:sz w:val="20"/>
          <w:szCs w:val="20"/>
        </w:rPr>
        <w:t xml:space="preserve"> 2025</w:t>
      </w:r>
    </w:p>
    <w:p w:rsidR="00FB5C6F" w:rsidRPr="008F025D" w:rsidRDefault="00FB5C6F" w:rsidP="00FB5C6F">
      <w:pPr>
        <w:rPr>
          <w:rFonts w:ascii="Arial" w:hAnsi="Arial" w:cs="Arial"/>
          <w:b/>
          <w:sz w:val="20"/>
          <w:szCs w:val="20"/>
        </w:rPr>
      </w:pP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  <w:r w:rsidRPr="00C73914">
        <w:rPr>
          <w:rFonts w:ascii="Arial" w:hAnsi="Arial" w:cs="Arial"/>
          <w:b/>
          <w:sz w:val="20"/>
          <w:szCs w:val="20"/>
        </w:rPr>
        <w:t>101111 Hovězí maso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73914">
        <w:rPr>
          <w:rFonts w:ascii="Arial" w:hAnsi="Arial" w:cs="Arial"/>
          <w:sz w:val="20"/>
          <w:szCs w:val="20"/>
        </w:rPr>
        <w:t>cena hovězího masa stále roste</w:t>
      </w: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  <w:r w:rsidRPr="00C73914">
        <w:rPr>
          <w:rFonts w:ascii="Arial" w:hAnsi="Arial" w:cs="Arial"/>
          <w:b/>
          <w:sz w:val="20"/>
          <w:szCs w:val="20"/>
        </w:rPr>
        <w:t>101112 Vepřová pečeně</w:t>
      </w:r>
      <w:r>
        <w:rPr>
          <w:rFonts w:ascii="Arial" w:hAnsi="Arial" w:cs="Arial"/>
          <w:b/>
          <w:sz w:val="20"/>
          <w:szCs w:val="20"/>
        </w:rPr>
        <w:t xml:space="preserve"> &amp; vepřová kýta: </w:t>
      </w:r>
      <w:r w:rsidRPr="00C73914">
        <w:rPr>
          <w:rFonts w:ascii="Arial" w:hAnsi="Arial" w:cs="Arial"/>
          <w:sz w:val="20"/>
          <w:szCs w:val="20"/>
        </w:rPr>
        <w:t>nižší nákupní ceny prasat</w:t>
      </w: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  <w:r w:rsidRPr="00C73914">
        <w:rPr>
          <w:rFonts w:ascii="Arial" w:hAnsi="Arial" w:cs="Arial"/>
          <w:b/>
          <w:sz w:val="20"/>
          <w:szCs w:val="20"/>
        </w:rPr>
        <w:t>101220 Kuře kuchané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73914">
        <w:rPr>
          <w:rFonts w:ascii="Arial" w:hAnsi="Arial" w:cs="Arial"/>
          <w:sz w:val="20"/>
          <w:szCs w:val="20"/>
        </w:rPr>
        <w:t>vliv trhu</w:t>
      </w: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  <w:r w:rsidRPr="00C73914">
        <w:rPr>
          <w:rFonts w:ascii="Arial" w:hAnsi="Arial" w:cs="Arial"/>
          <w:b/>
          <w:sz w:val="20"/>
          <w:szCs w:val="20"/>
        </w:rPr>
        <w:t>101314 Špekáčky</w:t>
      </w:r>
      <w:r>
        <w:rPr>
          <w:rFonts w:ascii="Arial" w:hAnsi="Arial" w:cs="Arial"/>
          <w:b/>
          <w:sz w:val="20"/>
          <w:szCs w:val="20"/>
        </w:rPr>
        <w:t xml:space="preserve"> &amp; </w:t>
      </w:r>
      <w:r w:rsidRPr="00C73914">
        <w:rPr>
          <w:rFonts w:ascii="Arial" w:hAnsi="Arial" w:cs="Arial"/>
          <w:b/>
          <w:sz w:val="20"/>
          <w:szCs w:val="20"/>
        </w:rPr>
        <w:t>Dušená šunka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73914">
        <w:rPr>
          <w:rFonts w:ascii="Arial" w:hAnsi="Arial" w:cs="Arial"/>
          <w:sz w:val="20"/>
          <w:szCs w:val="20"/>
        </w:rPr>
        <w:t>akční slevy</w:t>
      </w: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  <w:r w:rsidRPr="00C73914">
        <w:rPr>
          <w:rFonts w:ascii="Arial" w:hAnsi="Arial" w:cs="Arial"/>
          <w:b/>
          <w:sz w:val="20"/>
          <w:szCs w:val="20"/>
        </w:rPr>
        <w:t>105111 Mléko polotučné</w:t>
      </w:r>
      <w:r>
        <w:rPr>
          <w:rFonts w:ascii="Arial" w:hAnsi="Arial" w:cs="Arial"/>
          <w:b/>
          <w:sz w:val="20"/>
          <w:szCs w:val="20"/>
        </w:rPr>
        <w:t xml:space="preserve"> &amp; </w:t>
      </w:r>
      <w:r w:rsidRPr="00C73914">
        <w:rPr>
          <w:rFonts w:ascii="Arial" w:hAnsi="Arial" w:cs="Arial"/>
          <w:b/>
          <w:sz w:val="20"/>
          <w:szCs w:val="20"/>
        </w:rPr>
        <w:t>Mléko trvanlivé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73914">
        <w:rPr>
          <w:rFonts w:ascii="Arial" w:hAnsi="Arial" w:cs="Arial"/>
          <w:sz w:val="20"/>
          <w:szCs w:val="20"/>
        </w:rPr>
        <w:t>vliv trhu</w:t>
      </w: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  <w:r w:rsidRPr="00C73914">
        <w:rPr>
          <w:rFonts w:ascii="Arial" w:hAnsi="Arial" w:cs="Arial"/>
          <w:b/>
          <w:sz w:val="20"/>
          <w:szCs w:val="20"/>
        </w:rPr>
        <w:t>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73914">
        <w:rPr>
          <w:rFonts w:ascii="Arial" w:hAnsi="Arial" w:cs="Arial"/>
          <w:sz w:val="20"/>
          <w:szCs w:val="20"/>
        </w:rPr>
        <w:t>menší poptávka na trhu</w:t>
      </w: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</w:p>
    <w:p w:rsidR="0059676F" w:rsidRDefault="0059676F" w:rsidP="0059676F">
      <w:pPr>
        <w:rPr>
          <w:rFonts w:ascii="Arial" w:hAnsi="Arial" w:cs="Arial"/>
          <w:sz w:val="20"/>
          <w:szCs w:val="20"/>
        </w:rPr>
      </w:pPr>
      <w:r w:rsidRPr="00C73914">
        <w:rPr>
          <w:rFonts w:ascii="Arial" w:hAnsi="Arial" w:cs="Arial"/>
          <w:b/>
          <w:sz w:val="20"/>
          <w:szCs w:val="20"/>
        </w:rPr>
        <w:t>108112 Cukr krystal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73914">
        <w:rPr>
          <w:rFonts w:ascii="Arial" w:hAnsi="Arial" w:cs="Arial"/>
          <w:sz w:val="20"/>
          <w:szCs w:val="20"/>
        </w:rPr>
        <w:t>vliv trhu</w:t>
      </w:r>
    </w:p>
    <w:p w:rsidR="00F86D68" w:rsidRPr="008F025D" w:rsidRDefault="00F86D68" w:rsidP="00FB5C6F">
      <w:pPr>
        <w:rPr>
          <w:rFonts w:ascii="Arial" w:hAnsi="Arial" w:cs="Arial"/>
          <w:b/>
          <w:sz w:val="20"/>
          <w:szCs w:val="20"/>
        </w:rPr>
      </w:pPr>
    </w:p>
    <w:sectPr w:rsidR="00F86D68" w:rsidRPr="008F025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41FE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1D25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6EE7"/>
    <w:rsid w:val="00157CCC"/>
    <w:rsid w:val="001602F6"/>
    <w:rsid w:val="00171EF3"/>
    <w:rsid w:val="00172892"/>
    <w:rsid w:val="00175755"/>
    <w:rsid w:val="00176980"/>
    <w:rsid w:val="00184992"/>
    <w:rsid w:val="00185C3D"/>
    <w:rsid w:val="00190F5B"/>
    <w:rsid w:val="0019496E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22D3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03EA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20A9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D4A20"/>
    <w:rsid w:val="002E00B1"/>
    <w:rsid w:val="002E37A6"/>
    <w:rsid w:val="002E424F"/>
    <w:rsid w:val="002E4B33"/>
    <w:rsid w:val="002E4D62"/>
    <w:rsid w:val="002E5AF7"/>
    <w:rsid w:val="002E6362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49EF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6E40"/>
    <w:rsid w:val="00377F2E"/>
    <w:rsid w:val="00381BD9"/>
    <w:rsid w:val="0038697C"/>
    <w:rsid w:val="003969B5"/>
    <w:rsid w:val="00396D4D"/>
    <w:rsid w:val="003A20A9"/>
    <w:rsid w:val="003B4449"/>
    <w:rsid w:val="003B47B1"/>
    <w:rsid w:val="003B4FEA"/>
    <w:rsid w:val="003B51B9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A69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347C"/>
    <w:rsid w:val="004E4B06"/>
    <w:rsid w:val="004E6777"/>
    <w:rsid w:val="004E74E7"/>
    <w:rsid w:val="004F11BE"/>
    <w:rsid w:val="004F142B"/>
    <w:rsid w:val="00500868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9676F"/>
    <w:rsid w:val="005A1352"/>
    <w:rsid w:val="005A29CC"/>
    <w:rsid w:val="005A78DB"/>
    <w:rsid w:val="005C03F2"/>
    <w:rsid w:val="005C220D"/>
    <w:rsid w:val="005C6810"/>
    <w:rsid w:val="005C6C3B"/>
    <w:rsid w:val="005D28C5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07528"/>
    <w:rsid w:val="006164FB"/>
    <w:rsid w:val="0061659D"/>
    <w:rsid w:val="006215B4"/>
    <w:rsid w:val="0062686C"/>
    <w:rsid w:val="006325DE"/>
    <w:rsid w:val="00635BF4"/>
    <w:rsid w:val="0063614F"/>
    <w:rsid w:val="00636F9A"/>
    <w:rsid w:val="006427A4"/>
    <w:rsid w:val="00644056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2ED7"/>
    <w:rsid w:val="006B3B7A"/>
    <w:rsid w:val="006B483F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0B68"/>
    <w:rsid w:val="006D1AB5"/>
    <w:rsid w:val="006D3C62"/>
    <w:rsid w:val="006D4052"/>
    <w:rsid w:val="006E0F86"/>
    <w:rsid w:val="006E3CE5"/>
    <w:rsid w:val="006E6DEF"/>
    <w:rsid w:val="006E7305"/>
    <w:rsid w:val="006E7983"/>
    <w:rsid w:val="006F041D"/>
    <w:rsid w:val="006F04B3"/>
    <w:rsid w:val="006F1A94"/>
    <w:rsid w:val="006F244F"/>
    <w:rsid w:val="006F2662"/>
    <w:rsid w:val="00700E93"/>
    <w:rsid w:val="00704561"/>
    <w:rsid w:val="00705002"/>
    <w:rsid w:val="0071017A"/>
    <w:rsid w:val="007115EE"/>
    <w:rsid w:val="00714272"/>
    <w:rsid w:val="007144D5"/>
    <w:rsid w:val="00714746"/>
    <w:rsid w:val="007153E8"/>
    <w:rsid w:val="00715E65"/>
    <w:rsid w:val="00716B1F"/>
    <w:rsid w:val="007219F4"/>
    <w:rsid w:val="00722138"/>
    <w:rsid w:val="00730FDF"/>
    <w:rsid w:val="00732D9A"/>
    <w:rsid w:val="00736BD4"/>
    <w:rsid w:val="00737FA4"/>
    <w:rsid w:val="00747CC6"/>
    <w:rsid w:val="007536DF"/>
    <w:rsid w:val="007552DF"/>
    <w:rsid w:val="007556FF"/>
    <w:rsid w:val="0076091D"/>
    <w:rsid w:val="00761F0F"/>
    <w:rsid w:val="00763E61"/>
    <w:rsid w:val="007715AF"/>
    <w:rsid w:val="00771866"/>
    <w:rsid w:val="0077335E"/>
    <w:rsid w:val="00773693"/>
    <w:rsid w:val="00774F2D"/>
    <w:rsid w:val="00784238"/>
    <w:rsid w:val="00785634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3E3"/>
    <w:rsid w:val="008137E8"/>
    <w:rsid w:val="00816C56"/>
    <w:rsid w:val="0082067F"/>
    <w:rsid w:val="00820A9F"/>
    <w:rsid w:val="00823A8F"/>
    <w:rsid w:val="008251FA"/>
    <w:rsid w:val="008256AC"/>
    <w:rsid w:val="008318CB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97381"/>
    <w:rsid w:val="008B24A9"/>
    <w:rsid w:val="008C3B50"/>
    <w:rsid w:val="008C3DC1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25D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3467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238DA"/>
    <w:rsid w:val="00A356F1"/>
    <w:rsid w:val="00A42158"/>
    <w:rsid w:val="00A42F43"/>
    <w:rsid w:val="00A44295"/>
    <w:rsid w:val="00A44297"/>
    <w:rsid w:val="00A523C8"/>
    <w:rsid w:val="00A53EA0"/>
    <w:rsid w:val="00A60FCE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2363"/>
    <w:rsid w:val="00A75009"/>
    <w:rsid w:val="00A76F65"/>
    <w:rsid w:val="00A76FFE"/>
    <w:rsid w:val="00A77F0E"/>
    <w:rsid w:val="00A80423"/>
    <w:rsid w:val="00A91A05"/>
    <w:rsid w:val="00A945B8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3543"/>
    <w:rsid w:val="00AD5145"/>
    <w:rsid w:val="00AD565B"/>
    <w:rsid w:val="00AD6EDB"/>
    <w:rsid w:val="00AD7810"/>
    <w:rsid w:val="00AE7033"/>
    <w:rsid w:val="00AF208D"/>
    <w:rsid w:val="00AF7DC3"/>
    <w:rsid w:val="00B00954"/>
    <w:rsid w:val="00B01C62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4C74"/>
    <w:rsid w:val="00B775B7"/>
    <w:rsid w:val="00B77F7D"/>
    <w:rsid w:val="00B80596"/>
    <w:rsid w:val="00B83258"/>
    <w:rsid w:val="00B85E1C"/>
    <w:rsid w:val="00B9071F"/>
    <w:rsid w:val="00B9177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DD5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BF7491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1A97"/>
    <w:rsid w:val="00CF43B4"/>
    <w:rsid w:val="00CF52EA"/>
    <w:rsid w:val="00CF7C57"/>
    <w:rsid w:val="00D003E1"/>
    <w:rsid w:val="00D01202"/>
    <w:rsid w:val="00D02B71"/>
    <w:rsid w:val="00D0311F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37091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36BA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2B03"/>
    <w:rsid w:val="00DC426B"/>
    <w:rsid w:val="00DC497A"/>
    <w:rsid w:val="00DC54E8"/>
    <w:rsid w:val="00DC5A6B"/>
    <w:rsid w:val="00DD164D"/>
    <w:rsid w:val="00DD211F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027F"/>
    <w:rsid w:val="00E8237E"/>
    <w:rsid w:val="00E82FC8"/>
    <w:rsid w:val="00E85E0D"/>
    <w:rsid w:val="00E86A23"/>
    <w:rsid w:val="00E915E0"/>
    <w:rsid w:val="00E91922"/>
    <w:rsid w:val="00E92612"/>
    <w:rsid w:val="00E96BBC"/>
    <w:rsid w:val="00EB5F8C"/>
    <w:rsid w:val="00EB6293"/>
    <w:rsid w:val="00EB65E6"/>
    <w:rsid w:val="00EC4029"/>
    <w:rsid w:val="00ED1B7F"/>
    <w:rsid w:val="00ED2B69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33E73"/>
    <w:rsid w:val="00F41689"/>
    <w:rsid w:val="00F42105"/>
    <w:rsid w:val="00F43181"/>
    <w:rsid w:val="00F43AC8"/>
    <w:rsid w:val="00F43C0B"/>
    <w:rsid w:val="00F5102E"/>
    <w:rsid w:val="00F52EC5"/>
    <w:rsid w:val="00F533B8"/>
    <w:rsid w:val="00F54764"/>
    <w:rsid w:val="00F55152"/>
    <w:rsid w:val="00F57858"/>
    <w:rsid w:val="00F64FA4"/>
    <w:rsid w:val="00F65A0C"/>
    <w:rsid w:val="00F66265"/>
    <w:rsid w:val="00F84BAE"/>
    <w:rsid w:val="00F858F7"/>
    <w:rsid w:val="00F86D68"/>
    <w:rsid w:val="00F90E5B"/>
    <w:rsid w:val="00F92903"/>
    <w:rsid w:val="00F93A0C"/>
    <w:rsid w:val="00F952CF"/>
    <w:rsid w:val="00F963D0"/>
    <w:rsid w:val="00FA1424"/>
    <w:rsid w:val="00FA6AA2"/>
    <w:rsid w:val="00FB5C6F"/>
    <w:rsid w:val="00FC1F43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2040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4132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8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5\02-2025\0110442502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5\02-2025\0110442502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5\02-2025\0110442502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087719298245454E-3"/>
                  <c:y val="-2.898285775436359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1C-46A9-A0F7-F5F1A61F24AE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1C-46A9-A0F7-F5F1A61F24AE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21C-46A9-A0F7-F5F1A61F24AE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1C-46A9-A0F7-F5F1A61F24AE}"/>
                </c:ext>
              </c:extLst>
            </c:dLbl>
            <c:dLbl>
              <c:idx val="4"/>
              <c:layout>
                <c:manualLayout>
                  <c:x val="-5.2631578947368741E-3"/>
                  <c:y val="-7.6920099125428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21C-46A9-A0F7-F5F1A61F24AE}"/>
                </c:ext>
              </c:extLst>
            </c:dLbl>
            <c:dLbl>
              <c:idx val="5"/>
              <c:layout>
                <c:manualLayout>
                  <c:x val="-1.7543859649123128E-3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1C-46A9-A0F7-F5F1A61F24AE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21C-46A9-A0F7-F5F1A61F24AE}"/>
                </c:ext>
              </c:extLst>
            </c:dLbl>
            <c:dLbl>
              <c:idx val="7"/>
              <c:layout>
                <c:manualLayout>
                  <c:x val="1.7543859649122163E-3"/>
                  <c:y val="-5.0888223251507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21C-46A9-A0F7-F5F1A61F24AE}"/>
                </c:ext>
              </c:extLst>
            </c:dLbl>
            <c:dLbl>
              <c:idx val="8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21C-46A9-A0F7-F5F1A61F24AE}"/>
                </c:ext>
              </c:extLst>
            </c:dLbl>
            <c:dLbl>
              <c:idx val="9"/>
              <c:layout>
                <c:manualLayout>
                  <c:x val="0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21C-46A9-A0F7-F5F1A61F24AE}"/>
                </c:ext>
              </c:extLst>
            </c:dLbl>
            <c:dLbl>
              <c:idx val="10"/>
              <c:layout>
                <c:manualLayout>
                  <c:x val="0"/>
                  <c:y val="5.14861213660208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21C-46A9-A0F7-F5F1A61F24AE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21C-46A9-A0F7-F5F1A61F24AE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21C-46A9-A0F7-F5F1A61F24AE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21C-46A9-A0F7-F5F1A61F24AE}"/>
                </c:ext>
              </c:extLst>
            </c:dLbl>
            <c:dLbl>
              <c:idx val="15"/>
              <c:layout>
                <c:manualLayout>
                  <c:x val="-1.7520375742505871E-3"/>
                  <c:y val="-2.6029849100650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21C-46A9-A0F7-F5F1A61F24AE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21C-46A9-A0F7-F5F1A61F24AE}"/>
                </c:ext>
              </c:extLst>
            </c:dLbl>
            <c:dLbl>
              <c:idx val="17"/>
              <c:layout>
                <c:manualLayout>
                  <c:x val="-1.7543859649124093E-3"/>
                  <c:y val="-2.574002052310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21C-46A9-A0F7-F5F1A61F24AE}"/>
                </c:ext>
              </c:extLst>
            </c:dLbl>
            <c:dLbl>
              <c:idx val="18"/>
              <c:layout>
                <c:manualLayout>
                  <c:x val="-2.6361375880646497E-3"/>
                  <c:y val="1.1496060662134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49371460146428E-2"/>
                      <c:h val="5.6623383572313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221C-46A9-A0F7-F5F1A61F24AE}"/>
                </c:ext>
              </c:extLst>
            </c:dLbl>
            <c:dLbl>
              <c:idx val="19"/>
              <c:layout>
                <c:manualLayout>
                  <c:x val="1.7543859649121521E-3"/>
                  <c:y val="-5.1473960726402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21C-46A9-A0F7-F5F1A61F24AE}"/>
                </c:ext>
              </c:extLst>
            </c:dLbl>
            <c:dLbl>
              <c:idx val="20"/>
              <c:layout>
                <c:manualLayout>
                  <c:x val="-1.7543859649122807E-3"/>
                  <c:y val="-2.837482577350281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21C-46A9-A0F7-F5F1A61F24AE}"/>
                </c:ext>
              </c:extLst>
            </c:dLbl>
            <c:dLbl>
              <c:idx val="21"/>
              <c:layout>
                <c:manualLayout>
                  <c:x val="1.7543859649122807E-3"/>
                  <c:y val="-2.878018042741000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21C-46A9-A0F7-F5F1A61F24AE}"/>
                </c:ext>
              </c:extLst>
            </c:dLbl>
            <c:dLbl>
              <c:idx val="22"/>
              <c:layout>
                <c:manualLayout>
                  <c:x val="1.6093383063830456E-5"/>
                  <c:y val="1.0290130566760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99889487498264E-2"/>
                      <c:h val="4.3161960870709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221C-46A9-A0F7-F5F1A61F24AE}"/>
                </c:ext>
              </c:extLst>
            </c:dLbl>
            <c:dLbl>
              <c:idx val="23"/>
              <c:layout>
                <c:manualLayout>
                  <c:x val="-7.0106368282913294E-3"/>
                  <c:y val="-2.57339402032975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21C-46A9-A0F7-F5F1A61F24AE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III.23</c:v>
                </c:pt>
                <c:pt idx="1">
                  <c:v>IV.23</c:v>
                </c:pt>
                <c:pt idx="2">
                  <c:v>V.23</c:v>
                </c:pt>
                <c:pt idx="3">
                  <c:v>VI.23</c:v>
                </c:pt>
                <c:pt idx="4">
                  <c:v>VII.23</c:v>
                </c:pt>
                <c:pt idx="5">
                  <c:v>VIII.23</c:v>
                </c:pt>
                <c:pt idx="6">
                  <c:v>IX.23</c:v>
                </c:pt>
                <c:pt idx="7">
                  <c:v>X.23</c:v>
                </c:pt>
                <c:pt idx="8">
                  <c:v>XI.23</c:v>
                </c:pt>
                <c:pt idx="9">
                  <c:v>XII.23</c:v>
                </c:pt>
                <c:pt idx="10">
                  <c:v>I.24</c:v>
                </c:pt>
                <c:pt idx="11">
                  <c:v>II.24</c:v>
                </c:pt>
                <c:pt idx="12">
                  <c:v>III.24</c:v>
                </c:pt>
                <c:pt idx="13">
                  <c:v>IV.24</c:v>
                </c:pt>
                <c:pt idx="14">
                  <c:v>V.24</c:v>
                </c:pt>
                <c:pt idx="15">
                  <c:v>VI.24</c:v>
                </c:pt>
                <c:pt idx="16">
                  <c:v>VII.24</c:v>
                </c:pt>
                <c:pt idx="17">
                  <c:v>VIII.24</c:v>
                </c:pt>
                <c:pt idx="18">
                  <c:v>IX.24</c:v>
                </c:pt>
                <c:pt idx="19">
                  <c:v>X.24</c:v>
                </c:pt>
                <c:pt idx="20">
                  <c:v>XI.24</c:v>
                </c:pt>
                <c:pt idx="21">
                  <c:v>XII.24</c:v>
                </c:pt>
                <c:pt idx="22">
                  <c:v>I.25</c:v>
                </c:pt>
                <c:pt idx="23">
                  <c:v>II.25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-1</c:v>
                </c:pt>
                <c:pt idx="1">
                  <c:v>-1.2</c:v>
                </c:pt>
                <c:pt idx="2">
                  <c:v>-0.8</c:v>
                </c:pt>
                <c:pt idx="3">
                  <c:v>-0.3</c:v>
                </c:pt>
                <c:pt idx="4">
                  <c:v>-0.1</c:v>
                </c:pt>
                <c:pt idx="5">
                  <c:v>0.2</c:v>
                </c:pt>
                <c:pt idx="6">
                  <c:v>0.3</c:v>
                </c:pt>
                <c:pt idx="7">
                  <c:v>-0.1</c:v>
                </c:pt>
                <c:pt idx="8">
                  <c:v>-0.4</c:v>
                </c:pt>
                <c:pt idx="9">
                  <c:v>-0.5</c:v>
                </c:pt>
                <c:pt idx="10">
                  <c:v>2.5</c:v>
                </c:pt>
                <c:pt idx="11" formatCode="General">
                  <c:v>0.5</c:v>
                </c:pt>
                <c:pt idx="12">
                  <c:v>-0.1</c:v>
                </c:pt>
                <c:pt idx="13">
                  <c:v>0.2</c:v>
                </c:pt>
                <c:pt idx="14">
                  <c:v>-1.2</c:v>
                </c:pt>
                <c:pt idx="15">
                  <c:v>-0.3</c:v>
                </c:pt>
                <c:pt idx="16">
                  <c:v>0.6</c:v>
                </c:pt>
                <c:pt idx="17">
                  <c:v>-0.4</c:v>
                </c:pt>
                <c:pt idx="18">
                  <c:v>-0.2</c:v>
                </c:pt>
                <c:pt idx="19">
                  <c:v>0.1</c:v>
                </c:pt>
                <c:pt idx="20">
                  <c:v>0.4</c:v>
                </c:pt>
                <c:pt idx="21" formatCode="General">
                  <c:v>0.6</c:v>
                </c:pt>
                <c:pt idx="22">
                  <c:v>0.2</c:v>
                </c:pt>
                <c:pt idx="23">
                  <c:v>-0.1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221C-46A9-A0F7-F5F1A61F24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III.23</c:v>
                </c:pt>
                <c:pt idx="1">
                  <c:v>IV.23</c:v>
                </c:pt>
                <c:pt idx="2">
                  <c:v>V.23</c:v>
                </c:pt>
                <c:pt idx="3">
                  <c:v>VI.23</c:v>
                </c:pt>
                <c:pt idx="4">
                  <c:v>VII.23</c:v>
                </c:pt>
                <c:pt idx="5">
                  <c:v>VIII.23</c:v>
                </c:pt>
                <c:pt idx="6">
                  <c:v>IX.23</c:v>
                </c:pt>
                <c:pt idx="7">
                  <c:v>X.23</c:v>
                </c:pt>
                <c:pt idx="8">
                  <c:v>XI.23</c:v>
                </c:pt>
                <c:pt idx="9">
                  <c:v>XII.23</c:v>
                </c:pt>
                <c:pt idx="10">
                  <c:v>I.24</c:v>
                </c:pt>
                <c:pt idx="11">
                  <c:v>II.24</c:v>
                </c:pt>
                <c:pt idx="12">
                  <c:v>III.24</c:v>
                </c:pt>
                <c:pt idx="13">
                  <c:v>IV.24</c:v>
                </c:pt>
                <c:pt idx="14">
                  <c:v>V.24</c:v>
                </c:pt>
                <c:pt idx="15">
                  <c:v>VI.24</c:v>
                </c:pt>
                <c:pt idx="16">
                  <c:v>VII.24</c:v>
                </c:pt>
                <c:pt idx="17">
                  <c:v>VIII.24</c:v>
                </c:pt>
                <c:pt idx="18">
                  <c:v>IX.24</c:v>
                </c:pt>
                <c:pt idx="19">
                  <c:v>X.24</c:v>
                </c:pt>
                <c:pt idx="20">
                  <c:v>XI.24</c:v>
                </c:pt>
                <c:pt idx="21">
                  <c:v>XII.24</c:v>
                </c:pt>
                <c:pt idx="22">
                  <c:v>I.25</c:v>
                </c:pt>
                <c:pt idx="23">
                  <c:v>II.25</c:v>
                </c:pt>
              </c:strCache>
            </c:strRef>
          </c:cat>
          <c:val>
            <c:numRef>
              <c:f>List1!$B$6:$Y$6</c:f>
              <c:numCache>
                <c:formatCode>General</c:formatCode>
                <c:ptCount val="24"/>
                <c:pt idx="0">
                  <c:v>10.199999999999999</c:v>
                </c:pt>
                <c:pt idx="1">
                  <c:v>6.4</c:v>
                </c:pt>
                <c:pt idx="2">
                  <c:v>3.6</c:v>
                </c:pt>
                <c:pt idx="3">
                  <c:v>1.9</c:v>
                </c:pt>
                <c:pt idx="4">
                  <c:v>1.4</c:v>
                </c:pt>
                <c:pt idx="5">
                  <c:v>1.8</c:v>
                </c:pt>
                <c:pt idx="6">
                  <c:v>0.8</c:v>
                </c:pt>
                <c:pt idx="7">
                  <c:v>0.2</c:v>
                </c:pt>
                <c:pt idx="8">
                  <c:v>0.8</c:v>
                </c:pt>
                <c:pt idx="9">
                  <c:v>1.4</c:v>
                </c:pt>
                <c:pt idx="10">
                  <c:v>-1.8</c:v>
                </c:pt>
                <c:pt idx="11">
                  <c:v>-0.9</c:v>
                </c:pt>
                <c:pt idx="12">
                  <c:v>0</c:v>
                </c:pt>
                <c:pt idx="13">
                  <c:v>1.4</c:v>
                </c:pt>
                <c:pt idx="14" formatCode="0.0">
                  <c:v>1</c:v>
                </c:pt>
                <c:pt idx="15" formatCode="0.0">
                  <c:v>1</c:v>
                </c:pt>
                <c:pt idx="16">
                  <c:v>1.7</c:v>
                </c:pt>
                <c:pt idx="17">
                  <c:v>1.1000000000000001</c:v>
                </c:pt>
                <c:pt idx="18">
                  <c:v>0.6</c:v>
                </c:pt>
                <c:pt idx="19">
                  <c:v>0.8</c:v>
                </c:pt>
                <c:pt idx="20">
                  <c:v>1.7</c:v>
                </c:pt>
                <c:pt idx="21">
                  <c:v>2.8</c:v>
                </c:pt>
                <c:pt idx="22">
                  <c:v>0.5</c:v>
                </c:pt>
                <c:pt idx="23">
                  <c:v>-0.1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C-40CE-9BD8-D33D6D9B4B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12"/>
          <c:min val="-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III.23</c:v>
                </c:pt>
                <c:pt idx="1">
                  <c:v>IV.23</c:v>
                </c:pt>
                <c:pt idx="2">
                  <c:v>V.23</c:v>
                </c:pt>
                <c:pt idx="3">
                  <c:v>VI.23</c:v>
                </c:pt>
                <c:pt idx="4">
                  <c:v>VII.23</c:v>
                </c:pt>
                <c:pt idx="5">
                  <c:v>VIII.23</c:v>
                </c:pt>
                <c:pt idx="6">
                  <c:v>IX.23</c:v>
                </c:pt>
                <c:pt idx="7">
                  <c:v>X.23</c:v>
                </c:pt>
                <c:pt idx="8">
                  <c:v>XI.23</c:v>
                </c:pt>
                <c:pt idx="9">
                  <c:v>XII.23</c:v>
                </c:pt>
                <c:pt idx="10">
                  <c:v>I.24</c:v>
                </c:pt>
                <c:pt idx="11">
                  <c:v>II.24</c:v>
                </c:pt>
                <c:pt idx="12">
                  <c:v>III.24</c:v>
                </c:pt>
                <c:pt idx="13">
                  <c:v>IV.24</c:v>
                </c:pt>
                <c:pt idx="14">
                  <c:v>V.24</c:v>
                </c:pt>
                <c:pt idx="15">
                  <c:v>VI.24</c:v>
                </c:pt>
                <c:pt idx="16">
                  <c:v>VII.24</c:v>
                </c:pt>
                <c:pt idx="17">
                  <c:v>VIII.24</c:v>
                </c:pt>
                <c:pt idx="18">
                  <c:v>IX.24</c:v>
                </c:pt>
                <c:pt idx="19">
                  <c:v>X.24</c:v>
                </c:pt>
                <c:pt idx="20">
                  <c:v>XI.24</c:v>
                </c:pt>
                <c:pt idx="21">
                  <c:v>XII.24</c:v>
                </c:pt>
                <c:pt idx="22">
                  <c:v>I.25</c:v>
                </c:pt>
                <c:pt idx="23">
                  <c:v>II.25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5.9</c:v>
                </c:pt>
                <c:pt idx="1">
                  <c:v>2.4</c:v>
                </c:pt>
                <c:pt idx="2">
                  <c:v>-1.4</c:v>
                </c:pt>
                <c:pt idx="3">
                  <c:v>-3.6</c:v>
                </c:pt>
                <c:pt idx="4">
                  <c:v>-3.5</c:v>
                </c:pt>
                <c:pt idx="5">
                  <c:v>-2.2000000000000028</c:v>
                </c:pt>
                <c:pt idx="6" formatCode="General">
                  <c:v>-1.6</c:v>
                </c:pt>
                <c:pt idx="7">
                  <c:v>-3</c:v>
                </c:pt>
                <c:pt idx="8">
                  <c:v>-2.5</c:v>
                </c:pt>
                <c:pt idx="9">
                  <c:v>-1.4</c:v>
                </c:pt>
                <c:pt idx="10" formatCode="General">
                  <c:v>-2.5</c:v>
                </c:pt>
                <c:pt idx="11" formatCode="General">
                  <c:v>-1.7000000000000028</c:v>
                </c:pt>
                <c:pt idx="12">
                  <c:v>-0.9</c:v>
                </c:pt>
                <c:pt idx="13">
                  <c:v>0.3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0.2</c:v>
                </c:pt>
                <c:pt idx="18">
                  <c:v>-0.8</c:v>
                </c:pt>
                <c:pt idx="19">
                  <c:v>-0.3</c:v>
                </c:pt>
                <c:pt idx="20">
                  <c:v>0.5</c:v>
                </c:pt>
                <c:pt idx="21">
                  <c:v>1</c:v>
                </c:pt>
                <c:pt idx="22">
                  <c:v>1.3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D-48C4-80B5-73CA2558E3C4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III.23</c:v>
                </c:pt>
                <c:pt idx="1">
                  <c:v>IV.23</c:v>
                </c:pt>
                <c:pt idx="2">
                  <c:v>V.23</c:v>
                </c:pt>
                <c:pt idx="3">
                  <c:v>VI.23</c:v>
                </c:pt>
                <c:pt idx="4">
                  <c:v>VII.23</c:v>
                </c:pt>
                <c:pt idx="5">
                  <c:v>VIII.23</c:v>
                </c:pt>
                <c:pt idx="6">
                  <c:v>IX.23</c:v>
                </c:pt>
                <c:pt idx="7">
                  <c:v>X.23</c:v>
                </c:pt>
                <c:pt idx="8">
                  <c:v>XI.23</c:v>
                </c:pt>
                <c:pt idx="9">
                  <c:v>XII.23</c:v>
                </c:pt>
                <c:pt idx="10">
                  <c:v>I.24</c:v>
                </c:pt>
                <c:pt idx="11">
                  <c:v>II.24</c:v>
                </c:pt>
                <c:pt idx="12">
                  <c:v>III.24</c:v>
                </c:pt>
                <c:pt idx="13">
                  <c:v>IV.24</c:v>
                </c:pt>
                <c:pt idx="14">
                  <c:v>V.24</c:v>
                </c:pt>
                <c:pt idx="15">
                  <c:v>VI.24</c:v>
                </c:pt>
                <c:pt idx="16">
                  <c:v>VII.24</c:v>
                </c:pt>
                <c:pt idx="17">
                  <c:v>VIII.24</c:v>
                </c:pt>
                <c:pt idx="18">
                  <c:v>IX.24</c:v>
                </c:pt>
                <c:pt idx="19">
                  <c:v>X.24</c:v>
                </c:pt>
                <c:pt idx="20">
                  <c:v>XI.24</c:v>
                </c:pt>
                <c:pt idx="21">
                  <c:v>XII.24</c:v>
                </c:pt>
                <c:pt idx="22">
                  <c:v>I.25</c:v>
                </c:pt>
                <c:pt idx="23">
                  <c:v>II.25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21.4</c:v>
                </c:pt>
                <c:pt idx="1">
                  <c:v>16.5</c:v>
                </c:pt>
                <c:pt idx="2">
                  <c:v>19.3</c:v>
                </c:pt>
                <c:pt idx="3">
                  <c:v>19.600000000000001</c:v>
                </c:pt>
                <c:pt idx="4">
                  <c:v>15.900000000000006</c:v>
                </c:pt>
                <c:pt idx="5">
                  <c:v>11.700000000000003</c:v>
                </c:pt>
                <c:pt idx="6">
                  <c:v>4.4000000000000004</c:v>
                </c:pt>
                <c:pt idx="7">
                  <c:v>7</c:v>
                </c:pt>
                <c:pt idx="8">
                  <c:v>8</c:v>
                </c:pt>
                <c:pt idx="9">
                  <c:v>6.3</c:v>
                </c:pt>
                <c:pt idx="10" formatCode="General">
                  <c:v>-0.7</c:v>
                </c:pt>
                <c:pt idx="11" formatCode="General">
                  <c:v>0.7</c:v>
                </c:pt>
                <c:pt idx="12">
                  <c:v>2.6</c:v>
                </c:pt>
                <c:pt idx="13">
                  <c:v>5.0999999999999996</c:v>
                </c:pt>
                <c:pt idx="14">
                  <c:v>4.2</c:v>
                </c:pt>
                <c:pt idx="15">
                  <c:v>4.2</c:v>
                </c:pt>
                <c:pt idx="16">
                  <c:v>4</c:v>
                </c:pt>
                <c:pt idx="17">
                  <c:v>3.7</c:v>
                </c:pt>
                <c:pt idx="18">
                  <c:v>5</c:v>
                </c:pt>
                <c:pt idx="19">
                  <c:v>4.7</c:v>
                </c:pt>
                <c:pt idx="20">
                  <c:v>6</c:v>
                </c:pt>
                <c:pt idx="21">
                  <c:v>9.2999999999999972</c:v>
                </c:pt>
                <c:pt idx="22">
                  <c:v>-2</c:v>
                </c:pt>
                <c:pt idx="23">
                  <c:v>-0.3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AD-48C4-80B5-73CA2558E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III.23</c:v>
                </c:pt>
                <c:pt idx="1">
                  <c:v>IV.23</c:v>
                </c:pt>
                <c:pt idx="2">
                  <c:v>V.23</c:v>
                </c:pt>
                <c:pt idx="3">
                  <c:v>VI.23</c:v>
                </c:pt>
                <c:pt idx="4">
                  <c:v>VII.23</c:v>
                </c:pt>
                <c:pt idx="5">
                  <c:v>VIII.23</c:v>
                </c:pt>
                <c:pt idx="6">
                  <c:v>IX.23</c:v>
                </c:pt>
                <c:pt idx="7">
                  <c:v>X.23</c:v>
                </c:pt>
                <c:pt idx="8">
                  <c:v>XI.23</c:v>
                </c:pt>
                <c:pt idx="9">
                  <c:v>XII.23</c:v>
                </c:pt>
                <c:pt idx="10">
                  <c:v>I.24</c:v>
                </c:pt>
                <c:pt idx="11">
                  <c:v>II.24</c:v>
                </c:pt>
                <c:pt idx="12">
                  <c:v>III.24</c:v>
                </c:pt>
                <c:pt idx="13">
                  <c:v>IV.24</c:v>
                </c:pt>
                <c:pt idx="14">
                  <c:v>V.24</c:v>
                </c:pt>
                <c:pt idx="15">
                  <c:v>VI.24</c:v>
                </c:pt>
                <c:pt idx="16">
                  <c:v>VII.24</c:v>
                </c:pt>
                <c:pt idx="17">
                  <c:v>VIII.24</c:v>
                </c:pt>
                <c:pt idx="18">
                  <c:v>IX.24</c:v>
                </c:pt>
                <c:pt idx="19">
                  <c:v>X.24</c:v>
                </c:pt>
                <c:pt idx="20">
                  <c:v>XI.24</c:v>
                </c:pt>
                <c:pt idx="21">
                  <c:v>XII.24</c:v>
                </c:pt>
                <c:pt idx="22">
                  <c:v>I.25</c:v>
                </c:pt>
                <c:pt idx="23">
                  <c:v>II.25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54.6</c:v>
                </c:pt>
                <c:pt idx="1">
                  <c:v>51.4</c:v>
                </c:pt>
                <c:pt idx="2">
                  <c:v>45.6</c:v>
                </c:pt>
                <c:pt idx="3">
                  <c:v>45.9</c:v>
                </c:pt>
                <c:pt idx="4">
                  <c:v>46</c:v>
                </c:pt>
                <c:pt idx="5">
                  <c:v>45</c:v>
                </c:pt>
                <c:pt idx="6">
                  <c:v>42.5</c:v>
                </c:pt>
                <c:pt idx="7">
                  <c:v>40.200000000000003</c:v>
                </c:pt>
                <c:pt idx="8">
                  <c:v>39.700000000000003</c:v>
                </c:pt>
                <c:pt idx="9">
                  <c:v>40.5</c:v>
                </c:pt>
                <c:pt idx="10" formatCode="General">
                  <c:v>-1.3</c:v>
                </c:pt>
                <c:pt idx="11" formatCode="General">
                  <c:v>-0.4</c:v>
                </c:pt>
                <c:pt idx="12">
                  <c:v>-2</c:v>
                </c:pt>
                <c:pt idx="13">
                  <c:v>-1.3</c:v>
                </c:pt>
                <c:pt idx="14">
                  <c:v>-1.8</c:v>
                </c:pt>
                <c:pt idx="15">
                  <c:v>-1.9</c:v>
                </c:pt>
                <c:pt idx="16">
                  <c:v>-0.3</c:v>
                </c:pt>
                <c:pt idx="17">
                  <c:v>-0.1</c:v>
                </c:pt>
                <c:pt idx="18">
                  <c:v>-1.1000000000000001</c:v>
                </c:pt>
                <c:pt idx="19">
                  <c:v>-1.8</c:v>
                </c:pt>
                <c:pt idx="20">
                  <c:v>-1.9</c:v>
                </c:pt>
                <c:pt idx="21">
                  <c:v>-1.6</c:v>
                </c:pt>
                <c:pt idx="22">
                  <c:v>-0.8</c:v>
                </c:pt>
                <c:pt idx="23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5AD-48C4-80B5-73CA2558E3C4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III.23</c:v>
                </c:pt>
                <c:pt idx="1">
                  <c:v>IV.23</c:v>
                </c:pt>
                <c:pt idx="2">
                  <c:v>V.23</c:v>
                </c:pt>
                <c:pt idx="3">
                  <c:v>VI.23</c:v>
                </c:pt>
                <c:pt idx="4">
                  <c:v>VII.23</c:v>
                </c:pt>
                <c:pt idx="5">
                  <c:v>VIII.23</c:v>
                </c:pt>
                <c:pt idx="6">
                  <c:v>IX.23</c:v>
                </c:pt>
                <c:pt idx="7">
                  <c:v>X.23</c:v>
                </c:pt>
                <c:pt idx="8">
                  <c:v>XI.23</c:v>
                </c:pt>
                <c:pt idx="9">
                  <c:v>XII.23</c:v>
                </c:pt>
                <c:pt idx="10">
                  <c:v>I.24</c:v>
                </c:pt>
                <c:pt idx="11">
                  <c:v>II.24</c:v>
                </c:pt>
                <c:pt idx="12">
                  <c:v>III.24</c:v>
                </c:pt>
                <c:pt idx="13">
                  <c:v>IV.24</c:v>
                </c:pt>
                <c:pt idx="14">
                  <c:v>V.24</c:v>
                </c:pt>
                <c:pt idx="15">
                  <c:v>VI.24</c:v>
                </c:pt>
                <c:pt idx="16">
                  <c:v>VII.24</c:v>
                </c:pt>
                <c:pt idx="17">
                  <c:v>VIII.24</c:v>
                </c:pt>
                <c:pt idx="18">
                  <c:v>IX.24</c:v>
                </c:pt>
                <c:pt idx="19">
                  <c:v>X.24</c:v>
                </c:pt>
                <c:pt idx="20">
                  <c:v>XI.24</c:v>
                </c:pt>
                <c:pt idx="21">
                  <c:v>XII.24</c:v>
                </c:pt>
                <c:pt idx="22">
                  <c:v>I.25</c:v>
                </c:pt>
                <c:pt idx="23">
                  <c:v>II.25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16.3</c:v>
                </c:pt>
                <c:pt idx="1">
                  <c:v>16.3</c:v>
                </c:pt>
                <c:pt idx="2">
                  <c:v>16.3</c:v>
                </c:pt>
                <c:pt idx="3">
                  <c:v>16.3</c:v>
                </c:pt>
                <c:pt idx="4">
                  <c:v>16.299999999999997</c:v>
                </c:pt>
                <c:pt idx="5">
                  <c:v>16.299999999999997</c:v>
                </c:pt>
                <c:pt idx="6">
                  <c:v>16.3</c:v>
                </c:pt>
                <c:pt idx="7">
                  <c:v>16.3</c:v>
                </c:pt>
                <c:pt idx="8">
                  <c:v>16.3</c:v>
                </c:pt>
                <c:pt idx="9">
                  <c:v>16.3</c:v>
                </c:pt>
                <c:pt idx="10" formatCode="General">
                  <c:v>9.1999999999999993</c:v>
                </c:pt>
                <c:pt idx="11" formatCode="General">
                  <c:v>9.2000000000000028</c:v>
                </c:pt>
                <c:pt idx="12">
                  <c:v>9.1999999999999993</c:v>
                </c:pt>
                <c:pt idx="13">
                  <c:v>9.1999999999999993</c:v>
                </c:pt>
                <c:pt idx="14">
                  <c:v>9.1999999999999993</c:v>
                </c:pt>
                <c:pt idx="15">
                  <c:v>9.1999999999999993</c:v>
                </c:pt>
                <c:pt idx="16">
                  <c:v>9.1999999999999993</c:v>
                </c:pt>
                <c:pt idx="17">
                  <c:v>9.1999999999999993</c:v>
                </c:pt>
                <c:pt idx="18">
                  <c:v>9.1999999999999993</c:v>
                </c:pt>
                <c:pt idx="19">
                  <c:v>9.1999999999999993</c:v>
                </c:pt>
                <c:pt idx="20">
                  <c:v>9.1999999999999993</c:v>
                </c:pt>
                <c:pt idx="21">
                  <c:v>9.2000000000000028</c:v>
                </c:pt>
                <c:pt idx="22">
                  <c:v>4.0999999999999996</c:v>
                </c:pt>
                <c:pt idx="2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5AD-48C4-80B5-73CA2558E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0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7AC8-757F-4DA3-A6FB-04AA915D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22</cp:revision>
  <cp:lastPrinted>2024-11-13T08:41:00Z</cp:lastPrinted>
  <dcterms:created xsi:type="dcterms:W3CDTF">2024-10-10T07:26:00Z</dcterms:created>
  <dcterms:modified xsi:type="dcterms:W3CDTF">2025-03-11T15:23:00Z</dcterms:modified>
</cp:coreProperties>
</file>