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0" w:rsidRPr="000A3A2C" w:rsidRDefault="0031025F" w:rsidP="00E67696">
      <w:pPr>
        <w:rPr>
          <w:lang w:eastAsia="ar-SA"/>
        </w:rPr>
        <w:sectPr w:rsidR="00A75E40" w:rsidRPr="000A3A2C" w:rsidSect="0085114D"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w:pict>
          <v:group id="Group 24" o:spid="_x0000_s1035" style="position:absolute;margin-left:45pt;margin-top:36.75pt;width:177.15pt;height:43.65pt;z-index:251657728;mso-position-horizontal-relative:page;mso-position-vertical-relative:page" coordorigin="567,851" coordsize="2714,667" wrapcoords="11166 0 5308 1117 4942 1490 4942 5959 275 8193 -92 8938 -92 14152 3569 17876 5583 17876 5583 21228 15742 21228 15834 21228 16017 17876 17573 17876 21325 13779 21234 11917 21600 8938 21325 7076 16108 5959 16475 1490 16200 0 11166 0">
            <o:lock v:ext="edit" aspectratio="t"/>
            <v:rect id="Rectangle 9" o:spid="_x0000_s1036" style="position:absolute;left:1215;top:901;width:676;height:154;visibility:visible" fillcolor="#0071bc" stroked="f">
              <o:lock v:ext="edit" aspectratio="t"/>
            </v:rect>
            <v:rect id="Rectangle 10" o:spid="_x0000_s1037" style="position:absolute;left:567;top:1131;width:1324;height:154;visibility:visible" fillcolor="#0071bc" stroked="f">
              <o:lock v:ext="edit" aspectratio="t"/>
            </v:rect>
            <v:rect id="Rectangle 11" o:spid="_x0000_s1038" style="position:absolute;left:1288;top:1361;width:603;height:153;visibility:visible" fillcolor="#0071bc" stroked="f">
              <o:lock v:ext="edit" aspectratio="t"/>
            </v:rect>
            <v:shape id="Freeform 12" o:spid="_x0000_s1039" style="position:absolute;left:1969;top:1311;width:600;height:207;visibility:visible;mso-wrap-style:square;v-text-anchor:top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<o:lock v:ext="edit" aspectratio="t" verticies="t"/>
            </v:shape>
            <v:shape id="Freeform 13" o:spid="_x0000_s1040" style="position:absolute;left:1962;top:1081;width:1319;height:208;visibility:visible;mso-wrap-style:square;v-text-anchor:top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41" style="position:absolute;left:1962;top:851;width:679;height:208;visibility:visible;mso-wrap-style:square;v-text-anchor:top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  <w10:anchorlock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4.3pt;margin-top:643.55pt;width:403.95pt;height:72.85pt;z-index:251656704;visibility:visible;mso-position-horizontal-relative:page;mso-position-vertical-relative:page;mso-width-relative:margin;mso-height-relative:margin" filled="f" stroked="f">
            <v:textbox style="mso-next-textbox:#_x0000_s1034" inset="0,0,0,0">
              <w:txbxContent>
                <w:p w:rsidR="000247D2" w:rsidRPr="006C5577" w:rsidRDefault="000247D2" w:rsidP="004924DC">
                  <w:r>
                    <w:t>Z</w:t>
                  </w:r>
                  <w:r w:rsidRPr="006C5577">
                    <w:t xml:space="preserve">pracoval: Odbor </w:t>
                  </w:r>
                  <w:r>
                    <w:t>statistik rozvoje společnosti</w:t>
                  </w:r>
                </w:p>
                <w:p w:rsidR="000247D2" w:rsidRPr="006C5577" w:rsidRDefault="000247D2" w:rsidP="004924DC">
                  <w:r w:rsidRPr="006C5577">
                    <w:t xml:space="preserve">Ředitel odboru: </w:t>
                  </w:r>
                  <w:r>
                    <w:t>Martin Mana</w:t>
                  </w:r>
                </w:p>
                <w:p w:rsidR="000247D2" w:rsidRPr="006C5577" w:rsidRDefault="000247D2" w:rsidP="004924DC">
                  <w:r w:rsidRPr="006C5577">
                    <w:t xml:space="preserve">Kontaktní osoba: </w:t>
                  </w:r>
                  <w:r>
                    <w:t>Lenka Watier</w:t>
                  </w:r>
                  <w:r w:rsidRPr="006C5577">
                    <w:t>,</w:t>
                  </w:r>
                  <w:r>
                    <w:t xml:space="preserve"> e-mail: lenka.watier@czso.cz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3" type="#_x0000_t202" style="position:absolute;margin-left:134.65pt;margin-top:368.55pt;width:403.9pt;height:132.8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WugIAALcFAAAOAAAAZHJzL2Uyb0RvYy54bWysVNtunDAQfa/Uf7D8TrgECKCwUbIsVaX0&#10;IiX9AC+YxSrY1PYum0b9oH5Hf6xjs+zm8lK15cEa7PGZMzPHc3m17zu0o1IxwXPsn3kYUV6JmvFN&#10;jr/cl06CkdKE16QTnOb4gSp8tXj75nIcMhqIVnQ1lQhAuMrGIcet1kPmuqpqaU/UmRgoh8NGyJ5o&#10;+JUbt5ZkBPS+cwPPi91RyHqQoqJKwW4xHeKFxW8aWulPTaOoRl2OgZu2q7Tr2qzu4pJkG0mGllUH&#10;GuQvWPSEcQh6hCqIJmgr2SuonlVSKNHos0r0rmgaVlGbA2Tjey+yuWvJQG0uUBw1HMuk/h9s9XH3&#10;WSJW5/gcysNJDz26p3stdr9+okF0FAWmRuOgMnC9G8BZ72/EHnpt81XDrai+KsTFsiV8Q6+lFGNL&#10;SQ0cfXPTfXJ1wlEGZD1+EDXEIlstLNC+kb0pIJQEATqQeTj2B/igCjYjP0gjw7OCMz9O4ii2HXRJ&#10;Nl8fpNLvqOiRMXIsQQAWnuxulTZ0SDa7mGhclKzrrAg6/mwDHKcdCA5XzZmhYXv6mHrpKlkloRMG&#10;8coJvaJwrstl6MSlfxEV58VyWfg/TFw/zFpW15SbMLO+/PDP+ndQ+qSMo8KU6Fht4AwlJTfrZSfR&#10;joC+S/vZosPJyc19TsMWAXJ5kZIfhN5NkDplnFw4YRlGTnrhJY7npzdp7IVpWJTPU7plnP57SmjM&#10;cRoF0aSmE+kXuXn2e50byXqmYYJ0rM9xcnQimdHgite2tZqwbrKflMLQP5UC2j032irWiHSSq96v&#10;9/aBWDkbNa9F/QASlgIEBmKE6QdGK+R3jEaYJDlW37ZEUoy69xyeAbjo2ZCzsZ4Nwiu4mmON0WQu&#10;9TSetoNkmxaQ54d2DU+lZFbEJxaHBwbTweZymGRm/Dz9t16nebv4DQAA//8DAFBLAwQUAAYACAAA&#10;ACEA6KHC+t4AAAANAQAADwAAAGRycy9kb3ducmV2LnhtbEyPsU7DMBCGdyTewTokFkRtp1JCQ5wK&#10;IVjYaFnY3PhIIuxzFLtJ6NPjTLD9p/v033fVfnGWTTiG3pMCuRHAkBpvemoVfBxf7x+AhajJaOsJ&#10;FfxggH19fVXp0viZ3nE6xJalEgqlVtDFOJSch6ZDp8PGD0hp9+VHp2Max5abUc+p3FmeCZFzp3tK&#10;Fzo94HOHzffh7BTky8tw97bDbL40dqLPi5QRpVK3N8vTI7CIS/yDYdVP6lAnp5M/kwnMKsjy3Tah&#10;CoptIYGthCjWdFqTyArgdcX/f1H/AgAA//8DAFBLAQItABQABgAIAAAAIQC2gziS/gAAAOEBAAAT&#10;AAAAAAAAAAAAAAAAAAAAAABbQ29udGVudF9UeXBlc10ueG1sUEsBAi0AFAAGAAgAAAAhADj9If/W&#10;AAAAlAEAAAsAAAAAAAAAAAAAAAAALwEAAF9yZWxzLy5yZWxzUEsBAi0AFAAGAAgAAAAhAGOyWBa6&#10;AgAAtwUAAA4AAAAAAAAAAAAAAAAALgIAAGRycy9lMm9Eb2MueG1sUEsBAi0AFAAGAAgAAAAhAOih&#10;wvreAAAADQEAAA8AAAAAAAAAAAAAAAAAFAUAAGRycy9kb3ducmV2LnhtbFBLBQYAAAAABAAEAPMA&#10;AAAfBgAAAAA=&#10;" filled="f" stroked="f">
            <v:textbox style="mso-next-textbox:#_x0000_s1033;mso-fit-shape-to-text:t" inset="0,0,0,0">
              <w:txbxContent>
                <w:p w:rsidR="000247D2" w:rsidRPr="004924DC" w:rsidRDefault="000247D2" w:rsidP="004924DC">
                  <w:pPr>
                    <w:pStyle w:val="TLIdentifikace-sted"/>
                  </w:pPr>
                  <w:r>
                    <w:t>Lidé a společnost</w:t>
                  </w:r>
                </w:p>
                <w:p w:rsidR="000247D2" w:rsidRPr="004924DC" w:rsidRDefault="00EA0AA4" w:rsidP="004924DC">
                  <w:pPr>
                    <w:pStyle w:val="TLIdentifikace-sted"/>
                  </w:pPr>
                  <w:r>
                    <w:t>Praha, 9</w:t>
                  </w:r>
                  <w:r w:rsidR="000247D2">
                    <w:t>. 8. 2016</w:t>
                  </w:r>
                </w:p>
                <w:p w:rsidR="000247D2" w:rsidRPr="004924DC" w:rsidRDefault="000247D2" w:rsidP="004924DC">
                  <w:pPr>
                    <w:pStyle w:val="TLIdentifikace-sted"/>
                  </w:pPr>
                  <w:r w:rsidRPr="004924DC">
                    <w:t xml:space="preserve">Kód publikace: </w:t>
                  </w:r>
                  <w:r w:rsidR="00BD5067">
                    <w:t>230042-16</w:t>
                  </w:r>
                </w:p>
                <w:p w:rsidR="000247D2" w:rsidRPr="004924DC" w:rsidRDefault="000247D2" w:rsidP="004924DC">
                  <w:pPr>
                    <w:pStyle w:val="TLIdentifikace-sted"/>
                  </w:pPr>
                  <w:r w:rsidRPr="004924DC">
                    <w:t xml:space="preserve">Č. j.: </w:t>
                  </w:r>
                  <w:r w:rsidR="00BD5067">
                    <w:t>1907/2016-63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Textové pole 2" o:spid="_x0000_s1032" type="#_x0000_t202" style="position:absolute;margin-left:134.65pt;margin-top:116.25pt;width:403.9pt;height:173.85pt;z-index:2516546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/1uwIAALcFAAAOAAAAZHJzL2Uyb0RvYy54bWysVNuOmzAQfa/Uf7D8znIpJICWrHZDqCpt&#10;L9JuP8ABE6yCTW0nsK36Qf2O/ljHJiR7eana8mANnvGZ25m5vBq7Fh2oVEzwDPsXHkaUl6JifJfh&#10;z/eFE2OkNOEVaQWnGX6gCl+tXr+6HPqUBqIRbUUlAhCu0qHPcKN1n7quKhvaEXUhespBWQvZEQ2/&#10;cudWkgyA3rVu4HkLdxCy6qUoqVJwm09KvLL4dU1L/bGuFdWozTDEpu0p7bk1p7u6JOlOkr5h5TEM&#10;8hdRdIRxcHqCyokmaC/ZC6iOlVIoUeuLUnSuqGtWUpsDZON7z7K5a0hPbS5QHNWfyqT+H2z54fBJ&#10;IlZlOEgw4qSDHt3TUYvDr5+oFy1FganR0KsUTO96MNbjjRih1zZf1d+K8otCXKwbwnf0WkoxNJRU&#10;EKNvXrqPnk44yoBsh/eiAl9kr4UFGmvZmQJCSRCgQ68eTv2BeFAJl5EfJNEbUJWgCxZJvIxsB12S&#10;zs97qfRbKjpkhAxLIICFJ4dbpU04JJ1NjDcuCta2lgQtf3IBhtMNOIenRmfCsD39nnjJJt7EoRMG&#10;i40TennuXBfr0FkU/jLK3+Trde7/MH79MG1YVVFu3Mz88sM/69+R6RMzTgxTomWVgTMhKbnbrluJ&#10;DgT4XdjPFh00ZzP3aRi2CJDLs5T8IPRugsQpFvHSCYswcpKlFzuen9wkCy9Mwrx4mtIt4/TfU0JD&#10;hpMoiCY2nYN+lptnv5e5kbRjGjZIy7oMxycjkhoObnhlW6sJayf5USlM+OdSQLvnRlvGGpJOdNXj&#10;dpwGZB6EragegMJSAMGAjLD9QGiE/IbRAJskw+rrnkiKUfuOwxiYtTMLcha2s0B4CU8zrDGaxLWe&#10;1tO+l2zXAPI8aNcwKgWzJDYzNUVxHDDYDjaX4yYz6+fxv7U679vVbwAAAP//AwBQSwMEFAAGAAgA&#10;AAAhALDgQI3gAAAADAEAAA8AAABkcnMvZG93bnJldi54bWxMj7FOwzAQhnck3sE6JBZEHadK0oY4&#10;FUKwsFFY2Nz4mkTY5yh2k9Cnx53odqf79d33V7vFGjbh6HtHEsQqAYbUON1TK+Hr8+1xA8wHRVoZ&#10;RyjhFz3s6tubSpXazfSB0z60LELIl0pCF8JQcu6bDq3yKzcgxdvRjVaFuI4t16OaI9waniZJzq3q&#10;KX7o1IAvHTY/+5OVkC+vw8P7FtP53JiJvs9CBBRS3t8tz0/AAi7hPwwX/agOdXQ6uBNpz4yENN+u&#10;YzQO6zQDdkkkRSGAHSI/KzLgdcWvS9R/AAAA//8DAFBLAQItABQABgAIAAAAIQC2gziS/gAAAOEB&#10;AAATAAAAAAAAAAAAAAAAAAAAAABbQ29udGVudF9UeXBlc10ueG1sUEsBAi0AFAAGAAgAAAAhADj9&#10;If/WAAAAlAEAAAsAAAAAAAAAAAAAAAAALwEAAF9yZWxzLy5yZWxzUEsBAi0AFAAGAAgAAAAhANcx&#10;D/W7AgAAtwUAAA4AAAAAAAAAAAAAAAAALgIAAGRycy9lMm9Eb2MueG1sUEsBAi0AFAAGAAgAAAAh&#10;ALDgQI3gAAAADAEAAA8AAAAAAAAAAAAAAAAAFQUAAGRycy9kb3ducmV2LnhtbFBLBQYAAAAABAAE&#10;APMAAAAiBgAAAAA=&#10;" filled="f" stroked="f">
            <v:textbox style="mso-next-textbox:#Textové pole 2;mso-fit-shape-to-text:t" inset="0,0,0,0">
              <w:txbxContent>
                <w:p w:rsidR="000247D2" w:rsidRPr="000E6FBD" w:rsidRDefault="000247D2" w:rsidP="000E6FBD">
                  <w:pPr>
                    <w:pStyle w:val="Nzev"/>
                  </w:pPr>
                  <w:r>
                    <w:t>Školy a školská zařízení</w:t>
                  </w:r>
                </w:p>
                <w:p w:rsidR="000247D2" w:rsidRPr="0012192F" w:rsidRDefault="000247D2" w:rsidP="0012192F">
                  <w:pPr>
                    <w:pStyle w:val="Podtitul"/>
                  </w:pPr>
                </w:p>
                <w:p w:rsidR="000247D2" w:rsidRPr="0012192F" w:rsidRDefault="00EA0AA4" w:rsidP="0012192F">
                  <w:pPr>
                    <w:pStyle w:val="Podtitul"/>
                  </w:pPr>
                  <w:r>
                    <w:t>za školní rok</w:t>
                  </w:r>
                  <w:r w:rsidR="00582CA2">
                    <w:t xml:space="preserve"> </w:t>
                  </w:r>
                  <w:r w:rsidR="000247D2">
                    <w:t>2015/2016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margin-left:134.65pt;margin-top:759.8pt;width:403.95pt;height:14.15pt;z-index:251658752;visibility:visible;mso-position-horizontal-relative:page;mso-position-vertical-relative:page;mso-width-relative:margin;mso-height-relative:margin" wrapcoords="0 0" filled="f" stroked="f">
            <v:textbox style="mso-next-textbox:#_x0000_s1031" inset="0,0,0,0">
              <w:txbxContent>
                <w:p w:rsidR="000247D2" w:rsidRPr="004924DC" w:rsidRDefault="000247D2" w:rsidP="004924DC">
                  <w:r w:rsidRPr="004924DC">
                    <w:t xml:space="preserve">© Český statistický úřad, </w:t>
                  </w:r>
                  <w:r w:rsidR="001C2D45">
                    <w:t>Praha, 2016</w:t>
                  </w:r>
                </w:p>
                <w:p w:rsidR="000247D2" w:rsidRPr="005251DD" w:rsidRDefault="000247D2" w:rsidP="00665BA4"/>
                <w:p w:rsidR="000247D2" w:rsidRPr="005251DD" w:rsidRDefault="000247D2" w:rsidP="00FC684B"/>
                <w:p w:rsidR="000247D2" w:rsidRDefault="000247D2"/>
                <w:p w:rsidR="000247D2" w:rsidRPr="00097407" w:rsidRDefault="000247D2" w:rsidP="00665BA4">
                  <w:r w:rsidRPr="00097407">
                    <w:t xml:space="preserve">© </w:t>
                  </w:r>
                  <w:r w:rsidRPr="005251DD">
                    <w:t>Český statistický úřad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 w:rsidRPr="00097407">
                    <w:t>, místo, rok vydání</w:t>
                  </w:r>
                </w:p>
                <w:p w:rsidR="000247D2" w:rsidRPr="005251DD" w:rsidRDefault="000247D2" w:rsidP="00665BA4"/>
                <w:p w:rsidR="000247D2" w:rsidRPr="005251DD" w:rsidRDefault="000247D2" w:rsidP="00FC684B"/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line id="Přímá spojnice 33" o:spid="_x0000_s1030" style="position:absolute;z-index:251653632;visibility:visible;mso-wrap-distance-top:-3e-5mm;mso-wrap-distance-bottom:-3e-5mm;mso-position-horizontal-relative:page;mso-position-vertical-relative:page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<o:lock v:ext="edit" shapetype="f"/>
            <w10:wrap anchorx="page" anchory="page"/>
            <w10:anchorlock/>
          </v:line>
        </w:pict>
      </w:r>
      <w:r w:rsidR="00F63FB7">
        <w:br w:type="page"/>
      </w:r>
      <w:r>
        <w:rPr>
          <w:noProof/>
        </w:rPr>
        <w:lastRenderedPageBreak/>
        <w:pict>
          <v:shape id="_x0000_s1029" type="#_x0000_t202" style="position:absolute;margin-left:57pt;margin-top:113.4pt;width:481.85pt;height:605.55pt;z-index:251659776;visibility:visible;mso-position-horizontal-relative:page;mso-position-vertical-relative:page;mso-width-relative:margin;mso-height-relative:margin" filled="f" stroked="f">
            <v:textbox style="mso-next-textbox:#_x0000_s1029;mso-fit-shape-to-text:t" inset="0,0,0,0">
              <w:txbxContent>
                <w:p w:rsidR="000247D2" w:rsidRPr="006F5416" w:rsidRDefault="000247D2" w:rsidP="006F5416">
                  <w:pPr>
                    <w:pStyle w:val="TLKontaktyerven"/>
                  </w:pPr>
                  <w:r w:rsidRPr="006F5416">
                    <w:t>KONTAKTY V ÚSTŘEDÍ</w:t>
                  </w:r>
                </w:p>
                <w:p w:rsidR="000247D2" w:rsidRPr="007D40DF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66223">
                    <w:t>Český statistický úřad</w:t>
                  </w:r>
                  <w:r w:rsidRPr="007D40DF">
                    <w:rPr>
                      <w:b w:val="0"/>
                      <w:color w:val="auto"/>
                    </w:rPr>
                    <w:t xml:space="preserve"> | Na</w:t>
                  </w:r>
                  <w:r>
                    <w:rPr>
                      <w:b w:val="0"/>
                      <w:color w:val="auto"/>
                    </w:rPr>
                    <w:t xml:space="preserve"> padesátém 81, 100 82 Praha</w:t>
                  </w:r>
                  <w:r w:rsidRPr="007D40DF">
                    <w:rPr>
                      <w:b w:val="0"/>
                      <w:color w:val="auto"/>
                    </w:rPr>
                    <w:t> </w:t>
                  </w:r>
                  <w:r>
                    <w:rPr>
                      <w:b w:val="0"/>
                      <w:color w:val="auto"/>
                    </w:rPr>
                    <w:t xml:space="preserve">10, </w:t>
                  </w:r>
                  <w:r w:rsidRPr="007D40DF">
                    <w:rPr>
                      <w:b w:val="0"/>
                      <w:color w:val="auto"/>
                    </w:rPr>
                    <w:t xml:space="preserve">tel.: 274 051 111 | </w:t>
                  </w:r>
                  <w:r w:rsidRPr="007D40DF">
                    <w:rPr>
                      <w:color w:val="auto"/>
                    </w:rPr>
                    <w:t>www.czso.cz</w:t>
                  </w:r>
                </w:p>
                <w:p w:rsidR="000247D2" w:rsidRPr="00D235B7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Oddělení informačních služeb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274 052 648, 274 052 304, 274 052 451 | e-mail: infoservis@czso.cz</w:t>
                  </w:r>
                </w:p>
                <w:p w:rsidR="000247D2" w:rsidRPr="00D235B7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Prodejna publikací ČSÚ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274 052 361 | e-mail: prodejna@czso.cz</w:t>
                  </w:r>
                </w:p>
                <w:p w:rsidR="000247D2" w:rsidRPr="00D235B7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Evropská data (ESDS), mezinárodní srovnání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274 052 347, 274 052 757 | e-mail: esds@czso.cz</w:t>
                  </w:r>
                </w:p>
                <w:p w:rsidR="000247D2" w:rsidRPr="00D235B7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Ústřední statistická knihovna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274 052 361 | e-mail: knihovna@czso.cz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color w:val="auto"/>
                    </w:rPr>
                  </w:pPr>
                </w:p>
                <w:p w:rsidR="000247D2" w:rsidRPr="00D66223" w:rsidRDefault="000247D2" w:rsidP="00D66223">
                  <w:pPr>
                    <w:pStyle w:val="TLKontaktyerven"/>
                  </w:pPr>
                  <w:r w:rsidRPr="00D66223">
                    <w:t>INFORMAČNÍ SLUŽBY V REGIONECH</w:t>
                  </w: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Hl. m. Praha</w:t>
                  </w:r>
                  <w:r w:rsidRPr="00992CF3">
                    <w:rPr>
                      <w:b w:val="0"/>
                      <w:color w:val="auto"/>
                    </w:rPr>
                    <w:t xml:space="preserve"> | Na</w:t>
                  </w:r>
                  <w:r>
                    <w:rPr>
                      <w:b w:val="0"/>
                      <w:color w:val="auto"/>
                    </w:rPr>
                    <w:t xml:space="preserve"> padesátém 81, 100 82 Praha 10,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 w:rsidRPr="007D40DF">
                    <w:rPr>
                      <w:b w:val="0"/>
                      <w:color w:val="auto"/>
                    </w:rPr>
                    <w:t>:</w:t>
                  </w:r>
                  <w:r>
                    <w:rPr>
                      <w:b w:val="0"/>
                      <w:color w:val="auto"/>
                    </w:rPr>
                    <w:t xml:space="preserve"> 274 052 673, </w:t>
                  </w:r>
                  <w:r w:rsidRPr="00992CF3">
                    <w:rPr>
                      <w:b w:val="0"/>
                      <w:color w:val="auto"/>
                    </w:rPr>
                    <w:t>274 054 223</w:t>
                  </w: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infoservispraha@czso.cz | </w:t>
                  </w:r>
                  <w:r w:rsidRPr="00992CF3">
                    <w:rPr>
                      <w:color w:val="auto"/>
                    </w:rPr>
                    <w:t>www.praha.czso.cz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Středočeský kraj</w:t>
                  </w:r>
                  <w:r w:rsidRPr="00992CF3">
                    <w:rPr>
                      <w:b w:val="0"/>
                      <w:color w:val="auto"/>
                    </w:rPr>
                    <w:t xml:space="preserve"> | Na padesátém 81, 100 82 Praha 10,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274 054 175</w:t>
                  </w: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infoservisstc@czso.cz | </w:t>
                  </w:r>
                  <w:r w:rsidRPr="00992CF3">
                    <w:rPr>
                      <w:color w:val="auto"/>
                    </w:rPr>
                    <w:t>www.stredocesky.czso.cz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České Budějovice</w:t>
                  </w:r>
                  <w:r w:rsidRPr="00992CF3">
                    <w:rPr>
                      <w:b w:val="0"/>
                      <w:color w:val="auto"/>
                    </w:rPr>
                    <w:t xml:space="preserve"> | Žižkova 1, 370 77 České Budějovice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386 718 440</w:t>
                  </w:r>
                </w:p>
                <w:p w:rsidR="000247D2" w:rsidRPr="00992CF3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infoserviscb@czso.cz | </w:t>
                  </w:r>
                  <w:r w:rsidRPr="00992CF3">
                    <w:rPr>
                      <w:color w:val="auto"/>
                    </w:rPr>
                    <w:t>www.cbudejovice.czso.cz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Plzeň</w:t>
                  </w:r>
                  <w:r w:rsidRPr="004A61C5">
                    <w:rPr>
                      <w:b w:val="0"/>
                      <w:color w:val="auto"/>
                    </w:rPr>
                    <w:t xml:space="preserve"> | Slovanská alej 36, 326 64 Plzeň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377 612 108, 377 612 249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infoservisplzen@czso.cz | </w:t>
                  </w:r>
                  <w:r w:rsidRPr="004A61C5">
                    <w:rPr>
                      <w:color w:val="auto"/>
                    </w:rPr>
                    <w:t>www.plzen.czso.cz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Karlovy Vary</w:t>
                  </w:r>
                  <w:r w:rsidRPr="004A61C5">
                    <w:rPr>
                      <w:b w:val="0"/>
                      <w:color w:val="auto"/>
                    </w:rPr>
                    <w:t xml:space="preserve"> | Sportovní 28, 360 01 Karlovy Vary,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353 114 529, 353 114 525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infoserviskv@czso.cz | </w:t>
                  </w:r>
                  <w:r w:rsidRPr="004A61C5">
                    <w:rPr>
                      <w:color w:val="auto"/>
                    </w:rPr>
                    <w:t>www.kvary.czso.cz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Ústí nad Labem</w:t>
                  </w:r>
                  <w:r w:rsidRPr="004A61C5">
                    <w:rPr>
                      <w:b w:val="0"/>
                      <w:color w:val="auto"/>
                    </w:rPr>
                    <w:t xml:space="preserve"> | Špálova 2684, 400 11 Ústí nad Labem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472 706 176,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472 706 121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infoservisul@czso.cz | </w:t>
                  </w:r>
                  <w:r w:rsidRPr="004A61C5">
                    <w:rPr>
                      <w:color w:val="auto"/>
                    </w:rPr>
                    <w:t>www.ustinadlabem.czso.cz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Liberec</w:t>
                  </w:r>
                  <w:r w:rsidRPr="004A61C5">
                    <w:rPr>
                      <w:b w:val="0"/>
                      <w:color w:val="auto"/>
                    </w:rPr>
                    <w:t xml:space="preserve"> | Nám. Dr. Edvarda Beneše 585/26, 460 01 Liberec 1,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485 238 811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infoservislbc@czso.cz | </w:t>
                  </w:r>
                  <w:r w:rsidRPr="004A61C5">
                    <w:rPr>
                      <w:color w:val="auto"/>
                    </w:rPr>
                    <w:t>www.liberec.czso.cz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Hradec Králové</w:t>
                  </w:r>
                  <w:r w:rsidRPr="004A61C5">
                    <w:rPr>
                      <w:b w:val="0"/>
                      <w:color w:val="auto"/>
                    </w:rPr>
                    <w:t xml:space="preserve"> | Myslivečkova 914, 500 03 Hradec Králové 3, </w:t>
                  </w:r>
                  <w:r>
                    <w:rPr>
                      <w:b w:val="0"/>
                      <w:color w:val="auto"/>
                    </w:rPr>
                    <w:t>tel.</w:t>
                  </w:r>
                  <w:r w:rsidRPr="007D40DF">
                    <w:rPr>
                      <w:b w:val="0"/>
                      <w:color w:val="auto"/>
                    </w:rPr>
                    <w:t>: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495 762 322,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495 762 317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infoservishk@czso.cz | </w:t>
                  </w:r>
                  <w:r w:rsidRPr="004A61C5">
                    <w:rPr>
                      <w:color w:val="auto"/>
                    </w:rPr>
                    <w:t>www.hradeckralove.czso.cz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Pardubice</w:t>
                  </w:r>
                  <w:r w:rsidRPr="004A61C5">
                    <w:rPr>
                      <w:b w:val="0"/>
                      <w:color w:val="auto"/>
                    </w:rPr>
                    <w:t xml:space="preserve"> | V Ráji 872, 531 53 Pardubice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>:</w:t>
                  </w:r>
                  <w:r w:rsidRPr="004A61C5">
                    <w:rPr>
                      <w:b w:val="0"/>
                      <w:color w:val="auto"/>
                    </w:rPr>
                    <w:t xml:space="preserve"> 466 743 480, 466 743 418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infoservispa@czso.cz | </w:t>
                  </w:r>
                  <w:r w:rsidRPr="004A61C5">
                    <w:rPr>
                      <w:color w:val="auto"/>
                    </w:rPr>
                    <w:t>www.pardubice.czso.cz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Jihlava</w:t>
                  </w:r>
                  <w:r w:rsidRPr="004A61C5">
                    <w:rPr>
                      <w:b w:val="0"/>
                      <w:color w:val="auto"/>
                    </w:rPr>
                    <w:t xml:space="preserve"> | Ke Skalce 30,</w:t>
                  </w:r>
                  <w:r>
                    <w:rPr>
                      <w:b w:val="0"/>
                      <w:color w:val="auto"/>
                    </w:rPr>
                    <w:t xml:space="preserve"> 586 01 Jihlava, tel.: </w:t>
                  </w:r>
                  <w:r w:rsidRPr="004A61C5">
                    <w:rPr>
                      <w:b w:val="0"/>
                      <w:color w:val="auto"/>
                    </w:rPr>
                    <w:t>567 109 062, 567 109 080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infoservisvys@czso.cz | </w:t>
                  </w:r>
                  <w:r w:rsidRPr="004A61C5">
                    <w:rPr>
                      <w:color w:val="auto"/>
                    </w:rPr>
                    <w:t>www.jihlava.czso.cz</w:t>
                  </w:r>
                </w:p>
                <w:p w:rsidR="000247D2" w:rsidRDefault="000247D2" w:rsidP="00825C4D">
                  <w:pPr>
                    <w:pStyle w:val="TLKontakty"/>
                    <w:spacing w:after="80" w:line="240" w:lineRule="auto"/>
                  </w:pP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Brno</w:t>
                  </w:r>
                  <w:r w:rsidRPr="004A61C5">
                    <w:rPr>
                      <w:b w:val="0"/>
                      <w:color w:val="auto"/>
                    </w:rPr>
                    <w:t xml:space="preserve"> | Jezuitská 2, 601 59 Brno, </w:t>
                  </w:r>
                  <w:r>
                    <w:rPr>
                      <w:b w:val="0"/>
                      <w:color w:val="auto"/>
                    </w:rPr>
                    <w:t xml:space="preserve">tel: </w:t>
                  </w:r>
                  <w:r w:rsidRPr="004A61C5">
                    <w:rPr>
                      <w:b w:val="0"/>
                      <w:color w:val="auto"/>
                    </w:rPr>
                    <w:t>542 528 115, 542 528 105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infoservisbrno@czso.cz | </w:t>
                  </w:r>
                  <w:r w:rsidRPr="004A61C5">
                    <w:rPr>
                      <w:color w:val="auto"/>
                    </w:rPr>
                    <w:t>www.brno.czso.cz</w:t>
                  </w:r>
                </w:p>
                <w:p w:rsidR="000247D2" w:rsidRPr="004A61C5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Olomouc</w:t>
                  </w:r>
                  <w:r w:rsidRPr="005E7C78">
                    <w:rPr>
                      <w:b w:val="0"/>
                      <w:color w:val="auto"/>
                    </w:rPr>
                    <w:t xml:space="preserve"> | Jeremenkova 1142/42, 772 11 Olomouc, </w:t>
                  </w:r>
                  <w:r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585 731 516,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5E7C78">
                    <w:rPr>
                      <w:b w:val="0"/>
                      <w:color w:val="auto"/>
                    </w:rPr>
                    <w:t>585 731 509</w:t>
                  </w: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infoservisolom@czso.cz | </w:t>
                  </w:r>
                  <w:r w:rsidRPr="005E7C78">
                    <w:rPr>
                      <w:color w:val="auto"/>
                    </w:rPr>
                    <w:t>www.olomouc.czso.cz</w:t>
                  </w: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Ostrava</w:t>
                  </w:r>
                  <w:r w:rsidRPr="005E7C78">
                    <w:rPr>
                      <w:b w:val="0"/>
                      <w:color w:val="auto"/>
                    </w:rPr>
                    <w:t xml:space="preserve"> | Repinova 17, 702 03 Ostrava,</w:t>
                  </w:r>
                  <w:r>
                    <w:rPr>
                      <w:b w:val="0"/>
                      <w:color w:val="auto"/>
                    </w:rPr>
                    <w:t xml:space="preserve"> tel: </w:t>
                  </w:r>
                  <w:r w:rsidRPr="005E7C78">
                    <w:rPr>
                      <w:b w:val="0"/>
                      <w:color w:val="auto"/>
                    </w:rPr>
                    <w:t>595 131 230, 595 131 232</w:t>
                  </w: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infoservis_ov@czso.cz | </w:t>
                  </w:r>
                  <w:r w:rsidRPr="005E7C78">
                    <w:rPr>
                      <w:color w:val="auto"/>
                    </w:rPr>
                    <w:t>www.ostrava.czso.cz</w:t>
                  </w: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0247D2" w:rsidRPr="005E7C78" w:rsidRDefault="000247D2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Zlín</w:t>
                  </w:r>
                  <w:r w:rsidRPr="005E7C78">
                    <w:rPr>
                      <w:b w:val="0"/>
                      <w:color w:val="auto"/>
                    </w:rPr>
                    <w:t xml:space="preserve"> | tř. Tomáše Bati 1565, 761 76 Zlín, </w:t>
                  </w:r>
                  <w:r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577 004 931, 577 004 935</w:t>
                  </w:r>
                </w:p>
                <w:p w:rsidR="000247D2" w:rsidRDefault="000247D2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infoservis-zl@czso.cz | </w:t>
                  </w:r>
                  <w:r w:rsidRPr="00227A53">
                    <w:rPr>
                      <w:color w:val="auto"/>
                    </w:rPr>
                    <w:t>www.zlin.czso.cz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7" type="#_x0000_t202" style="position:absolute;margin-left:56.7pt;margin-top:747pt;width:481.9pt;height:28.35pt;z-index:25166182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UugIAALYFAAAOAAAAZHJzL2Uyb0RvYy54bWysVNuOmzAQfa/Uf7D8znIJYQN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Y4mGHESQs9eqCDFvufP1AnGooCU6O+Uwm43nfgrIdbMUCvLV/V3Ynis0JcrGrCt/RGStHX&#10;lJSQo29uumdXRxxlQDb9O1FCLLLTwgINlWxNAaEkCNChV4/H/kA+qIDNyIcizeCogLNZ5Hnh3IYg&#10;yXS7k0q/oaJFxkixhP5bdLK/U9pkQ5LJxQTjImdNYzXQ8Ccb4DjuQGy4as5MFral32IvXi/Wi9AJ&#10;g2jthF6WOTf5KnSi3L+cZ7Nstcr87yauHyY1K0vKTZhJXn74Z+07CH0UxlFgSjSsNHAmJSW3m1Uj&#10;0Z6AvHP7HQpy5uY+TcMWAbg8o+QHoXcbxE4eLS6dMA/nTnzpLRzPj2/jyAvjMMufUrpjnP47JdSn&#10;OJ4H81FMv+Xm2e8lN5K0TMMAaVib4sXRiSRGgmte2tZqwprRPiuFSf9UCmj31GgrWKPRUa162Az2&#10;fUQmuhHzRpSPoGApQGCgRRh+YNRCfsWoh0GSYvVlRyTFqHnL4RWYqTMZcjI2k0F4AVdTrDEazZUe&#10;p9Ouk2xbA/L4zri4gZdSMSviUxaH9wXDwXI5DDIzfc7/rddp3C5/AQAA//8DAFBLAwQUAAYACAAA&#10;ACEA1duK+uIAAAAOAQAADwAAAGRycy9kb3ducmV2LnhtbEyPwU7DMBBE70j8g7VI3KjdkjY0xKkq&#10;BCckRBoOHJ3YTazG6xC7bfh7tqdym9E+zc7km8n17GTGYD1KmM8EMION1xZbCV/V28MTsBAVatV7&#10;NBJ+TYBNcXuTq0z7M5bmtIstoxAMmZLQxThknIemM06FmR8M0m3vR6ci2bHlelRnCnc9Xwix4k5Z&#10;pA+dGsxLZ5rD7ugkbL+xfLU/H/VnuS9tVa0Fvq8OUt7fTdtnYNFM8QrDpT5Vh4I61f6IOrCe/Pwx&#10;IZREsk5o1QURaboAVpNaLkUKvMj5/xnFHwAAAP//AwBQSwECLQAUAAYACAAAACEAtoM4kv4AAADh&#10;AQAAEwAAAAAAAAAAAAAAAAAAAAAAW0NvbnRlbnRfVHlwZXNdLnhtbFBLAQItABQABgAIAAAAIQA4&#10;/SH/1gAAAJQBAAALAAAAAAAAAAAAAAAAAC8BAABfcmVscy8ucmVsc1BLAQItABQABgAIAAAAIQDJ&#10;AqEUugIAALYFAAAOAAAAAAAAAAAAAAAAAC4CAABkcnMvZTJvRG9jLnhtbFBLAQItABQABgAIAAAA&#10;IQDV24r64gAAAA4BAAAPAAAAAAAAAAAAAAAAABQFAABkcnMvZG93bnJldi54bWxQSwUGAAAAAAQA&#10;BADzAAAAIwYAAAAA&#10;" filled="f" stroked="f">
            <v:textbox style="mso-next-textbox:#_x0000_s1027" inset="0,0,0,0">
              <w:txbxContent>
                <w:p w:rsidR="000247D2" w:rsidRPr="00321924" w:rsidRDefault="000247D2" w:rsidP="008F029B">
                  <w:r w:rsidRPr="00321924">
                    <w:br/>
                    <w:t xml:space="preserve">© Český statistický úřad, </w:t>
                  </w:r>
                  <w:r w:rsidR="00582CA2">
                    <w:t>Praha, 2016</w:t>
                  </w:r>
                </w:p>
                <w:p w:rsidR="000247D2" w:rsidRDefault="000247D2"/>
                <w:p w:rsidR="000247D2" w:rsidRPr="00841D9F" w:rsidRDefault="000247D2" w:rsidP="000A3A2C">
                  <w:r w:rsidRPr="00841D9F">
                    <w:rPr>
                      <w:szCs w:val="26"/>
                    </w:rPr>
                    <w:t xml:space="preserve">ISBN XX-XXXX-XXX-X  </w:t>
                  </w:r>
                  <w:r w:rsidRPr="00841D9F">
                    <w:t>(pouze u nepravidelných a ročních publikací)</w:t>
                  </w:r>
                </w:p>
                <w:p w:rsidR="000247D2" w:rsidRPr="00AF2852" w:rsidRDefault="000247D2" w:rsidP="000A3A2C">
                  <w:r w:rsidRPr="00841D9F">
                    <w:t>© Český sta</w:t>
                  </w:r>
                  <w:r>
                    <w:t xml:space="preserve">tistický úřad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>
                    <w:t>, místo, rok vydání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6" type="#_x0000_t202" style="position:absolute;margin-left:56.95pt;margin-top:56.95pt;width:481.85pt;height:45.1pt;z-index:251660800;visibility:visible;mso-position-horizontal-relative:page;mso-position-vertical-relative:page;mso-width-relative:margin;mso-height-relative:margin" filled="f" stroked="f">
            <v:textbox style="mso-next-textbox:#_x0000_s1026;mso-fit-shape-to-text:t" inset="0,0,0,0">
              <w:txbxContent>
                <w:p w:rsidR="000247D2" w:rsidRPr="009A1902" w:rsidRDefault="000247D2" w:rsidP="000A3A2C">
                  <w:pPr>
                    <w:rPr>
                      <w:b/>
                      <w:bCs/>
                      <w:i/>
                      <w:sz w:val="24"/>
                    </w:rPr>
                  </w:pPr>
                  <w:r w:rsidRPr="00B95F50">
                    <w:rPr>
                      <w:b/>
                      <w:color w:val="0071BC"/>
                      <w:sz w:val="24"/>
                    </w:rPr>
                    <w:t xml:space="preserve">Zajímají Vás nejnovější údaje o inflaci, HDP, obyvatelstvu, průměrných mzdách </w:t>
                  </w:r>
                  <w:r>
                    <w:rPr>
                      <w:b/>
                      <w:color w:val="0071BC"/>
                      <w:sz w:val="24"/>
                    </w:rPr>
                    <w:br/>
                  </w:r>
                  <w:r w:rsidRPr="00B95F50">
                    <w:rPr>
                      <w:b/>
                      <w:color w:val="0071BC"/>
                      <w:sz w:val="24"/>
                    </w:rPr>
                    <w:t xml:space="preserve">a mnohé další? Najdete je na stránkách ČSÚ na internetu: </w:t>
                  </w:r>
                  <w:r>
                    <w:rPr>
                      <w:b/>
                      <w:bCs/>
                      <w:sz w:val="24"/>
                    </w:rPr>
                    <w:t>www.czso.cz</w:t>
                  </w:r>
                </w:p>
              </w:txbxContent>
            </v:textbox>
            <w10:wrap anchorx="page" anchory="page"/>
            <w10:anchorlock/>
          </v:shape>
        </w:pict>
      </w:r>
    </w:p>
    <w:p w:rsidR="00EE4B1B" w:rsidRPr="006F5416" w:rsidRDefault="00EE4B1B" w:rsidP="006F5416">
      <w:pPr>
        <w:pStyle w:val="Obsah"/>
      </w:pPr>
      <w:r w:rsidRPr="006F5416">
        <w:lastRenderedPageBreak/>
        <w:t>Obsah</w:t>
      </w:r>
    </w:p>
    <w:p w:rsidR="00AF435A" w:rsidRDefault="0031025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4028DB">
        <w:instrText xml:space="preserve"> TOC \o "1-5" \h \z \u </w:instrText>
      </w:r>
      <w:r>
        <w:fldChar w:fldCharType="separate"/>
      </w:r>
      <w:hyperlink w:anchor="_Toc458676023" w:history="1">
        <w:r w:rsidR="00AF435A" w:rsidRPr="006F14EB">
          <w:rPr>
            <w:rStyle w:val="Hypertextovodkaz"/>
            <w:noProof/>
          </w:rPr>
          <w:t>Úvod</w:t>
        </w:r>
        <w:r w:rsidR="00AF435A">
          <w:rPr>
            <w:noProof/>
            <w:webHidden/>
          </w:rPr>
          <w:tab/>
        </w:r>
        <w:r w:rsidR="00AF435A">
          <w:rPr>
            <w:noProof/>
            <w:webHidden/>
          </w:rPr>
          <w:fldChar w:fldCharType="begin"/>
        </w:r>
        <w:r w:rsidR="00AF435A">
          <w:rPr>
            <w:noProof/>
            <w:webHidden/>
          </w:rPr>
          <w:instrText xml:space="preserve"> PAGEREF _Toc458676023 \h </w:instrText>
        </w:r>
        <w:r w:rsidR="00AF435A">
          <w:rPr>
            <w:noProof/>
            <w:webHidden/>
          </w:rPr>
        </w:r>
        <w:r w:rsidR="00AF435A">
          <w:rPr>
            <w:noProof/>
            <w:webHidden/>
          </w:rPr>
          <w:fldChar w:fldCharType="separate"/>
        </w:r>
        <w:r w:rsidR="00AF435A">
          <w:rPr>
            <w:noProof/>
            <w:webHidden/>
          </w:rPr>
          <w:t>5</w:t>
        </w:r>
        <w:r w:rsidR="00AF435A"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4" w:history="1">
        <w:r w:rsidRPr="006F14EB">
          <w:rPr>
            <w:rStyle w:val="Hypertextovodkaz"/>
            <w:noProof/>
          </w:rPr>
          <w:t>Rejstřík pojmů používaných v tabulkové části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5" w:history="1">
        <w:r w:rsidRPr="006F14EB">
          <w:rPr>
            <w:rStyle w:val="Hypertextovodkaz"/>
            <w:noProof/>
          </w:rPr>
          <w:t>Absolventi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6" w:history="1">
        <w:r w:rsidRPr="006F14EB">
          <w:rPr>
            <w:rStyle w:val="Hypertextovodkaz"/>
            <w:noProof/>
          </w:rPr>
          <w:t>Bakalářský studijní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7" w:history="1">
        <w:r w:rsidRPr="006F14EB">
          <w:rPr>
            <w:rStyle w:val="Hypertextovodkaz"/>
            <w:noProof/>
          </w:rPr>
          <w:t>Běžná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8" w:history="1">
        <w:r w:rsidRPr="006F14EB">
          <w:rPr>
            <w:rStyle w:val="Hypertextovodkaz"/>
            <w:noProof/>
          </w:rPr>
          <w:t>Běžná třída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29" w:history="1">
        <w:r w:rsidRPr="006F14EB">
          <w:rPr>
            <w:rStyle w:val="Hypertextovodkaz"/>
            <w:noProof/>
          </w:rPr>
          <w:t>Cizí státní občanství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0" w:history="1">
        <w:r w:rsidRPr="006F14EB">
          <w:rPr>
            <w:rStyle w:val="Hypertextovodkaz"/>
            <w:noProof/>
          </w:rPr>
          <w:t>Čtyřleté gymnázium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1" w:history="1">
        <w:r w:rsidRPr="006F14EB">
          <w:rPr>
            <w:rStyle w:val="Hypertextovodkaz"/>
            <w:noProof/>
          </w:rPr>
          <w:t>Denní forma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2" w:history="1">
        <w:r w:rsidRPr="006F14EB">
          <w:rPr>
            <w:rStyle w:val="Hypertextovodkaz"/>
            <w:noProof/>
          </w:rPr>
          <w:t>Děti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3" w:history="1">
        <w:r w:rsidRPr="006F14EB">
          <w:rPr>
            <w:rStyle w:val="Hypertextovodkaz"/>
            <w:noProof/>
          </w:rPr>
          <w:t>Dětský domov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4" w:history="1">
        <w:r w:rsidRPr="006F14EB">
          <w:rPr>
            <w:rStyle w:val="Hypertextovodkaz"/>
            <w:noProof/>
          </w:rPr>
          <w:t>Dětský domov se školou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5" w:history="1">
        <w:r w:rsidRPr="006F14EB">
          <w:rPr>
            <w:rStyle w:val="Hypertextovodkaz"/>
            <w:noProof/>
          </w:rPr>
          <w:t>Diagnostický ústav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6" w:history="1">
        <w:r w:rsidRPr="006F14EB">
          <w:rPr>
            <w:rStyle w:val="Hypertextovodkaz"/>
            <w:noProof/>
          </w:rPr>
          <w:t>Distanční a kombinované studium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7" w:history="1">
        <w:r w:rsidRPr="006F14EB">
          <w:rPr>
            <w:rStyle w:val="Hypertextovodkaz"/>
            <w:noProof/>
          </w:rPr>
          <w:t>Doktorský studijní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8" w:history="1">
        <w:r w:rsidRPr="006F14EB">
          <w:rPr>
            <w:rStyle w:val="Hypertextovodkaz"/>
            <w:noProof/>
          </w:rPr>
          <w:t>Gymnázium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39" w:history="1">
        <w:r w:rsidRPr="006F14EB">
          <w:rPr>
            <w:rStyle w:val="Hypertextovodkaz"/>
            <w:noProof/>
          </w:rPr>
          <w:t>KKOV (Klasifikace kmenových oborů vzdělání)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0" w:history="1">
        <w:r w:rsidRPr="006F14EB">
          <w:rPr>
            <w:rStyle w:val="Hypertextovodkaz"/>
            <w:noProof/>
          </w:rPr>
          <w:t>Knihovní jednotka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1" w:history="1">
        <w:r w:rsidRPr="006F14EB">
          <w:rPr>
            <w:rStyle w:val="Hypertextovodkaz"/>
            <w:noProof/>
          </w:rPr>
          <w:t>Konzervatoř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2" w:history="1">
        <w:r w:rsidRPr="006F14EB">
          <w:rPr>
            <w:rStyle w:val="Hypertextovodkaz"/>
            <w:noProof/>
          </w:rPr>
          <w:t>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3" w:history="1">
        <w:r w:rsidRPr="006F14EB">
          <w:rPr>
            <w:rStyle w:val="Hypertextovodkaz"/>
            <w:noProof/>
          </w:rPr>
          <w:t>Magisterský studijní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4" w:history="1">
        <w:r w:rsidRPr="006F14EB">
          <w:rPr>
            <w:rStyle w:val="Hypertextovodkaz"/>
            <w:noProof/>
          </w:rPr>
          <w:t>Mateřská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5" w:history="1">
        <w:r w:rsidRPr="006F14EB">
          <w:rPr>
            <w:rStyle w:val="Hypertextovodkaz"/>
            <w:noProof/>
          </w:rPr>
          <w:t>Nástavbové studium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6" w:history="1">
        <w:r w:rsidRPr="006F14EB">
          <w:rPr>
            <w:rStyle w:val="Hypertextovodkaz"/>
            <w:noProof/>
          </w:rPr>
          <w:t>Navazující magisterský studijní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7" w:history="1">
        <w:r w:rsidRPr="006F14EB">
          <w:rPr>
            <w:rStyle w:val="Hypertextovodkaz"/>
            <w:noProof/>
          </w:rPr>
          <w:t>(Nižší) střední vzdělání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8" w:history="1">
        <w:r w:rsidRPr="006F14EB">
          <w:rPr>
            <w:rStyle w:val="Hypertextovodkaz"/>
            <w:noProof/>
          </w:rPr>
          <w:t>Nově přijatí do 1. ročníku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49" w:history="1">
        <w:r w:rsidRPr="006F14EB">
          <w:rPr>
            <w:rStyle w:val="Hypertextovodkaz"/>
            <w:noProof/>
          </w:rPr>
          <w:t>Osmileté gymnázium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0" w:history="1">
        <w:r w:rsidRPr="006F14EB">
          <w:rPr>
            <w:rStyle w:val="Hypertextovodkaz"/>
            <w:noProof/>
          </w:rPr>
          <w:t>Osmiletá konzervatoř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1" w:history="1">
        <w:r w:rsidRPr="006F14EB">
          <w:rPr>
            <w:rStyle w:val="Hypertextovodkaz"/>
            <w:noProof/>
          </w:rPr>
          <w:t>Ostatní formy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2" w:history="1">
        <w:r w:rsidRPr="006F14EB">
          <w:rPr>
            <w:rStyle w:val="Hypertextovodkaz"/>
            <w:noProof/>
          </w:rPr>
          <w:t>Ostatní konzervatoře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3" w:history="1">
        <w:r w:rsidRPr="006F14EB">
          <w:rPr>
            <w:rStyle w:val="Hypertextovodkaz"/>
            <w:noProof/>
          </w:rPr>
          <w:t>Pedagogický pracovník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4" w:history="1">
        <w:r w:rsidRPr="006F14EB">
          <w:rPr>
            <w:rStyle w:val="Hypertextovodkaz"/>
            <w:noProof/>
          </w:rPr>
          <w:t>Povinná školní docházka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5" w:history="1">
        <w:r w:rsidRPr="006F14EB">
          <w:rPr>
            <w:rStyle w:val="Hypertextovodkaz"/>
            <w:noProof/>
          </w:rPr>
          <w:t>Prezenční studium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6" w:history="1">
        <w:r w:rsidRPr="006F14EB">
          <w:rPr>
            <w:rStyle w:val="Hypertextovodkaz"/>
            <w:noProof/>
          </w:rPr>
          <w:t>Předškolní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7" w:history="1">
        <w:r w:rsidRPr="006F14EB">
          <w:rPr>
            <w:rStyle w:val="Hypertextovodkaz"/>
            <w:noProof/>
          </w:rPr>
          <w:t>Přípravné třídy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8" w:history="1">
        <w:r w:rsidRPr="006F14EB">
          <w:rPr>
            <w:rStyle w:val="Hypertextovodkaz"/>
            <w:noProof/>
          </w:rPr>
          <w:t>Přípravný stupeň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59" w:history="1">
        <w:r w:rsidRPr="006F14EB">
          <w:rPr>
            <w:rStyle w:val="Hypertextovodkaz"/>
            <w:noProof/>
          </w:rPr>
          <w:t>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0" w:history="1">
        <w:r w:rsidRPr="006F14EB">
          <w:rPr>
            <w:rStyle w:val="Hypertextovodkaz"/>
            <w:noProof/>
          </w:rPr>
          <w:t>Speciální třída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1" w:history="1">
        <w:r w:rsidRPr="006F14EB">
          <w:rPr>
            <w:rStyle w:val="Hypertextovodkaz"/>
            <w:noProof/>
          </w:rPr>
          <w:t>Střední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2" w:history="1">
        <w:r w:rsidRPr="006F14EB">
          <w:rPr>
            <w:rStyle w:val="Hypertextovodkaz"/>
            <w:noProof/>
          </w:rPr>
          <w:t>Střední vzdělávání s  maturitní zkouškou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3" w:history="1">
        <w:r w:rsidRPr="006F14EB">
          <w:rPr>
            <w:rStyle w:val="Hypertextovodkaz"/>
            <w:noProof/>
          </w:rPr>
          <w:t>Střední vzdělávání s výučním listem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4" w:history="1">
        <w:r w:rsidRPr="006F14EB">
          <w:rPr>
            <w:rStyle w:val="Hypertextovodkaz"/>
            <w:noProof/>
          </w:rPr>
          <w:t>Studenti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5" w:history="1">
        <w:r w:rsidRPr="006F14EB">
          <w:rPr>
            <w:rStyle w:val="Hypertextovodkaz"/>
            <w:noProof/>
          </w:rPr>
          <w:t>SVP (speciální vzdělávací potřeby)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6" w:history="1">
        <w:r w:rsidRPr="006F14EB">
          <w:rPr>
            <w:rStyle w:val="Hypertextovodkaz"/>
            <w:noProof/>
          </w:rPr>
          <w:t>Šestiletá konzervatoř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7" w:history="1">
        <w:r w:rsidRPr="006F14EB">
          <w:rPr>
            <w:rStyle w:val="Hypertextovodkaz"/>
            <w:noProof/>
          </w:rPr>
          <w:t>Šestileté gymnázium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8" w:history="1">
        <w:r w:rsidRPr="006F14EB">
          <w:rPr>
            <w:rStyle w:val="Hypertextovodkaz"/>
            <w:noProof/>
          </w:rPr>
          <w:t>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69" w:history="1">
        <w:r w:rsidRPr="006F14EB">
          <w:rPr>
            <w:rStyle w:val="Hypertextovodkaz"/>
            <w:noProof/>
          </w:rPr>
          <w:t>Škola běžná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0" w:history="1">
        <w:r w:rsidRPr="006F14EB">
          <w:rPr>
            <w:rStyle w:val="Hypertextovodkaz"/>
            <w:noProof/>
          </w:rPr>
          <w:t>Škola pro žáky se SVP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1" w:history="1">
        <w:r w:rsidRPr="006F14EB">
          <w:rPr>
            <w:rStyle w:val="Hypertextovodkaz"/>
            <w:noProof/>
          </w:rPr>
          <w:t>Školní 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2" w:history="1">
        <w:r w:rsidRPr="006F14EB">
          <w:rPr>
            <w:rStyle w:val="Hypertextovodkaz"/>
            <w:noProof/>
          </w:rPr>
          <w:t>Učitel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3" w:history="1">
        <w:r w:rsidRPr="006F14EB">
          <w:rPr>
            <w:rStyle w:val="Hypertextovodkaz"/>
            <w:noProof/>
          </w:rPr>
          <w:t>Univerzita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4" w:history="1">
        <w:r w:rsidRPr="006F14EB">
          <w:rPr>
            <w:rStyle w:val="Hypertextovodkaz"/>
            <w:noProof/>
          </w:rPr>
          <w:t>Víceleté gymnázium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5" w:history="1">
        <w:r w:rsidRPr="006F14EB">
          <w:rPr>
            <w:rStyle w:val="Hypertextovodkaz"/>
            <w:noProof/>
          </w:rPr>
          <w:t>Výchovný ústav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6" w:history="1">
        <w:r w:rsidRPr="006F14EB">
          <w:rPr>
            <w:rStyle w:val="Hypertextovodkaz"/>
            <w:noProof/>
          </w:rPr>
          <w:t>Vysoká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7" w:history="1">
        <w:r w:rsidRPr="006F14EB">
          <w:rPr>
            <w:rStyle w:val="Hypertextovodkaz"/>
            <w:noProof/>
          </w:rPr>
          <w:t>Vyšší odborná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8" w:history="1">
        <w:r w:rsidRPr="006F14EB">
          <w:rPr>
            <w:rStyle w:val="Hypertextovodkaz"/>
            <w:noProof/>
          </w:rPr>
          <w:t>Vyšší odborné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79" w:history="1">
        <w:r w:rsidRPr="006F14EB">
          <w:rPr>
            <w:rStyle w:val="Hypertextovodkaz"/>
            <w:noProof/>
          </w:rPr>
          <w:t>Základní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0" w:history="1">
        <w:r w:rsidRPr="006F14EB">
          <w:rPr>
            <w:rStyle w:val="Hypertextovodkaz"/>
            <w:noProof/>
          </w:rPr>
          <w:t>Základní umělecká škola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1" w:history="1">
        <w:r w:rsidRPr="006F14EB">
          <w:rPr>
            <w:rStyle w:val="Hypertextovodkaz"/>
            <w:noProof/>
          </w:rPr>
          <w:t>Základní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2" w:history="1">
        <w:r w:rsidRPr="006F14EB">
          <w:rPr>
            <w:rStyle w:val="Hypertextovodkaz"/>
            <w:noProof/>
          </w:rPr>
          <w:t>Zařízení pro výkon ústavní a ochranné výchovy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3" w:history="1">
        <w:r w:rsidRPr="006F14EB">
          <w:rPr>
            <w:rStyle w:val="Hypertextovodkaz"/>
            <w:noProof/>
          </w:rPr>
          <w:t>Zkrácené studium pro získání středního vzdělání s maturitní zkouškou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4" w:history="1">
        <w:r w:rsidRPr="006F14EB">
          <w:rPr>
            <w:rStyle w:val="Hypertextovodkaz"/>
            <w:noProof/>
          </w:rPr>
          <w:t>Zkrácené studium pro získání středního vzdělání s výučním listem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5" w:history="1">
        <w:r w:rsidRPr="006F14EB">
          <w:rPr>
            <w:rStyle w:val="Hypertextovodkaz"/>
            <w:noProof/>
          </w:rPr>
          <w:t>Zřizovatel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6" w:history="1">
        <w:r w:rsidRPr="006F14EB">
          <w:rPr>
            <w:rStyle w:val="Hypertextovodkaz"/>
            <w:noProof/>
          </w:rPr>
          <w:t>Žáci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7" w:history="1">
        <w:r w:rsidRPr="006F14EB">
          <w:rPr>
            <w:rStyle w:val="Hypertextovodkaz"/>
            <w:noProof/>
          </w:rPr>
          <w:t>Vysvětlivky k tabulkám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8" w:history="1">
        <w:r w:rsidRPr="006F14EB">
          <w:rPr>
            <w:rStyle w:val="Hypertextovodkaz"/>
            <w:noProof/>
          </w:rPr>
          <w:t>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89" w:history="1">
        <w:r w:rsidRPr="006F14EB">
          <w:rPr>
            <w:rStyle w:val="Hypertextovodkaz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90" w:history="1">
        <w:r w:rsidRPr="006F14EB">
          <w:rPr>
            <w:rStyle w:val="Hypertextovodkaz"/>
            <w:noProof/>
          </w:rPr>
          <w:t>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F435A" w:rsidRDefault="00AF435A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676091" w:history="1">
        <w:r w:rsidRPr="006F14EB">
          <w:rPr>
            <w:rStyle w:val="Hypertextovodkaz"/>
            <w:noProof/>
          </w:rPr>
          <w:t>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_Toc458676091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E2C57" w:rsidRPr="006F5416" w:rsidRDefault="0031025F" w:rsidP="006F5416">
      <w:pPr>
        <w:pStyle w:val="Obsahpoloky"/>
      </w:pPr>
      <w:r>
        <w:fldChar w:fldCharType="end"/>
      </w:r>
      <w:r w:rsidR="00087F2B" w:rsidRPr="006F5416">
        <w:br w:type="page"/>
      </w:r>
    </w:p>
    <w:p w:rsidR="00EE4B1B" w:rsidRDefault="00C83D6F" w:rsidP="00F959EA">
      <w:pPr>
        <w:pStyle w:val="Nadpis1"/>
        <w:spacing w:after="480"/>
      </w:pPr>
      <w:bookmarkStart w:id="0" w:name="_Toc458676023"/>
      <w:r>
        <w:t>Úvod</w:t>
      </w:r>
      <w:bookmarkEnd w:id="0"/>
    </w:p>
    <w:p w:rsidR="00C83D6F" w:rsidRDefault="00C83D6F" w:rsidP="000247D2">
      <w:pPr>
        <w:pStyle w:val="Obsahpoloky"/>
        <w:spacing w:line="360" w:lineRule="auto"/>
        <w:jc w:val="both"/>
      </w:pPr>
      <w:r w:rsidRPr="0042135B">
        <w:t xml:space="preserve">Publikace </w:t>
      </w:r>
      <w:hyperlink r:id="rId7" w:history="1">
        <w:r w:rsidRPr="0042135B">
          <w:rPr>
            <w:rStyle w:val="Hypertextovodkaz"/>
            <w:rFonts w:eastAsia="MS Gothic" w:cs="Arial"/>
            <w:szCs w:val="20"/>
          </w:rPr>
          <w:t>Školy a školská zařízení</w:t>
        </w:r>
      </w:hyperlink>
      <w:r w:rsidRPr="0042135B">
        <w:t xml:space="preserve"> představuje </w:t>
      </w:r>
      <w:r>
        <w:t>základní</w:t>
      </w:r>
      <w:r w:rsidRPr="0042135B">
        <w:t xml:space="preserve"> statistické ukazatele</w:t>
      </w:r>
      <w:r>
        <w:t xml:space="preserve"> z oblasti škol a školských zařízení v České republice. Nabízí vybrané ukazatele z oblasti školství v krajském srovnání a v časové řadě od roku 2006 (resp. </w:t>
      </w:r>
      <w:r w:rsidR="003D7535">
        <w:t xml:space="preserve">školního roku </w:t>
      </w:r>
      <w:r>
        <w:t>2006/07) do současnosti. Poskytuje základní informace</w:t>
      </w:r>
      <w:r w:rsidRPr="0042135B">
        <w:t xml:space="preserve"> o počtu škol, tříd, dětí, žáků a studentů ve školách na území České republiky, dále o přijatých do </w:t>
      </w:r>
      <w:r w:rsidR="003D7535">
        <w:t xml:space="preserve">1. ročníků, o absolventech škol, </w:t>
      </w:r>
      <w:r w:rsidRPr="0042135B">
        <w:t>počtech pedagogických pracovníků</w:t>
      </w:r>
      <w:r w:rsidR="003D7535">
        <w:t xml:space="preserve"> a dalších</w:t>
      </w:r>
      <w:r w:rsidRPr="0042135B">
        <w:t xml:space="preserve"> –</w:t>
      </w:r>
      <w:r>
        <w:t xml:space="preserve"> </w:t>
      </w:r>
      <w:r w:rsidRPr="0042135B">
        <w:t>v</w:t>
      </w:r>
      <w:r>
        <w:t> </w:t>
      </w:r>
      <w:r w:rsidRPr="0042135B">
        <w:t>řadě</w:t>
      </w:r>
      <w:r>
        <w:t xml:space="preserve"> věcných, územních a časových</w:t>
      </w:r>
      <w:r w:rsidRPr="0042135B">
        <w:t xml:space="preserve"> členění. </w:t>
      </w:r>
    </w:p>
    <w:p w:rsidR="00C83D6F" w:rsidRDefault="00C83D6F" w:rsidP="000247D2">
      <w:pPr>
        <w:pStyle w:val="Obsahpoloky"/>
        <w:spacing w:line="360" w:lineRule="auto"/>
        <w:jc w:val="both"/>
      </w:pPr>
    </w:p>
    <w:p w:rsidR="00C83D6F" w:rsidRDefault="00C83D6F" w:rsidP="000247D2">
      <w:pPr>
        <w:pStyle w:val="Obsahpoloky"/>
        <w:spacing w:line="360" w:lineRule="auto"/>
        <w:jc w:val="both"/>
      </w:pPr>
      <w:r>
        <w:t>Publikace v</w:t>
      </w:r>
      <w:r w:rsidRPr="0042135B">
        <w:t>ychází</w:t>
      </w:r>
      <w:r>
        <w:t xml:space="preserve"> v obdobné podobě</w:t>
      </w:r>
      <w:r w:rsidRPr="0042135B">
        <w:t xml:space="preserve"> již </w:t>
      </w:r>
      <w:r w:rsidRPr="00C83D6F">
        <w:t>šestým rokem</w:t>
      </w:r>
      <w:r w:rsidRPr="0042135B">
        <w:t>. V letech 2011 až 2014 obsahovala ukazatele vztahující se k jednotlivým úrovním vzdělávání uspořádané do tabulek a doplněné o metodické poznámky, v roce 2015 byla navíc obohacena o některé základní pojmy a definice týkající se poskytování vzdělávání v ČR a také o analytickou část ukazující vybrané zajímavé údaje v časové řadě a v některých tříděních.</w:t>
      </w:r>
    </w:p>
    <w:p w:rsidR="00C83D6F" w:rsidRPr="0042135B" w:rsidRDefault="00C83D6F" w:rsidP="000247D2">
      <w:pPr>
        <w:pStyle w:val="Obsahpoloky"/>
        <w:spacing w:line="360" w:lineRule="auto"/>
        <w:jc w:val="both"/>
      </w:pPr>
    </w:p>
    <w:p w:rsidR="00C83D6F" w:rsidRDefault="00C83D6F" w:rsidP="000247D2">
      <w:pPr>
        <w:pStyle w:val="Obsahpoloky"/>
        <w:spacing w:line="360" w:lineRule="auto"/>
        <w:jc w:val="both"/>
        <w:rPr>
          <w:bCs/>
        </w:rPr>
      </w:pPr>
      <w:r w:rsidRPr="0042135B">
        <w:t xml:space="preserve">Letošní publikace </w:t>
      </w:r>
      <w:r>
        <w:t>je členěna na</w:t>
      </w:r>
      <w:r w:rsidRPr="0042135B">
        <w:t xml:space="preserve"> </w:t>
      </w:r>
      <w:r w:rsidRPr="00C83D6F">
        <w:rPr>
          <w:b/>
        </w:rPr>
        <w:t>tabulkovou část</w:t>
      </w:r>
      <w:r w:rsidRPr="0042135B">
        <w:t xml:space="preserve">, která opět podává přehled klíčových statistik v časové řadě a v dílčích tříděních, a </w:t>
      </w:r>
      <w:r w:rsidRPr="00C83D6F">
        <w:rPr>
          <w:b/>
        </w:rPr>
        <w:t>rejstříkový výklad používaných pojmů</w:t>
      </w:r>
      <w:r w:rsidRPr="0042135B">
        <w:t xml:space="preserve"> v abecedním řazení. </w:t>
      </w:r>
      <w:r>
        <w:t>Vzhledem</w:t>
      </w:r>
      <w:r w:rsidR="000247D2">
        <w:t> </w:t>
      </w:r>
      <w:r>
        <w:t xml:space="preserve">k rozsahu publikace, který zahrnuje údaje za všechny úrovně vzdělávání, včetně </w:t>
      </w:r>
      <w:r w:rsidR="00F959EA">
        <w:t>údajů týkajících se i jiných školních zařízení, než jsou školy, je nutné upozornit</w:t>
      </w:r>
      <w:r w:rsidRPr="0042135B">
        <w:t xml:space="preserve">, že podmínky, za nichž se uskutečňuje vzdělávání předškolní, základní, střední, vyšší odborné a některé jiné vzdělávání ve školách a školských zařízeních, vymezuje </w:t>
      </w:r>
      <w:hyperlink r:id="rId8" w:history="1">
        <w:r w:rsidRPr="0042135B">
          <w:rPr>
            <w:rStyle w:val="Hypertextovodkaz"/>
            <w:rFonts w:eastAsia="MS Gothic" w:cs="Arial"/>
            <w:szCs w:val="20"/>
          </w:rPr>
          <w:t>Školský zákon</w:t>
        </w:r>
      </w:hyperlink>
      <w:r w:rsidRPr="0042135B">
        <w:t xml:space="preserve"> (561/2004 Sb.), zatímco vysoké školy podléhají </w:t>
      </w:r>
      <w:hyperlink r:id="rId9" w:history="1">
        <w:r w:rsidRPr="0042135B">
          <w:rPr>
            <w:rStyle w:val="Hypertextovodkaz"/>
            <w:rFonts w:eastAsia="MS Gothic" w:cs="Arial"/>
            <w:szCs w:val="20"/>
          </w:rPr>
          <w:t>Zákonu o vysokých školách</w:t>
        </w:r>
      </w:hyperlink>
      <w:r w:rsidRPr="0042135B">
        <w:rPr>
          <w:b/>
          <w:bCs/>
        </w:rPr>
        <w:t xml:space="preserve"> </w:t>
      </w:r>
      <w:r w:rsidRPr="0042135B">
        <w:rPr>
          <w:bCs/>
        </w:rPr>
        <w:t>(11</w:t>
      </w:r>
      <w:r w:rsidR="00F959EA">
        <w:rPr>
          <w:bCs/>
        </w:rPr>
        <w:t>1/1998 Sb.). V</w:t>
      </w:r>
      <w:r>
        <w:rPr>
          <w:bCs/>
        </w:rPr>
        <w:t> důsledku toho se liší i legislativa</w:t>
      </w:r>
      <w:r w:rsidRPr="0042135B">
        <w:rPr>
          <w:bCs/>
        </w:rPr>
        <w:t>, která stanovuje statistické sběry dat (</w:t>
      </w:r>
      <w:r w:rsidR="00F959EA">
        <w:rPr>
          <w:bCs/>
        </w:rPr>
        <w:t>podrobněji</w:t>
      </w:r>
      <w:r w:rsidRPr="0042135B">
        <w:rPr>
          <w:bCs/>
        </w:rPr>
        <w:t xml:space="preserve"> </w:t>
      </w:r>
      <w:hyperlink r:id="rId10" w:history="1">
        <w:r w:rsidRPr="0042135B">
          <w:rPr>
            <w:rStyle w:val="Hypertextovodkaz"/>
            <w:rFonts w:eastAsia="MS Gothic" w:cs="Arial"/>
            <w:szCs w:val="20"/>
          </w:rPr>
          <w:t>zde</w:t>
        </w:r>
      </w:hyperlink>
      <w:r>
        <w:rPr>
          <w:bCs/>
        </w:rPr>
        <w:t>)</w:t>
      </w:r>
      <w:r w:rsidRPr="0042135B">
        <w:rPr>
          <w:bCs/>
        </w:rPr>
        <w:t xml:space="preserve">. Např. u vysokých škol </w:t>
      </w:r>
      <w:r w:rsidR="00F959EA">
        <w:rPr>
          <w:bCs/>
        </w:rPr>
        <w:t>jsou data vykazována</w:t>
      </w:r>
      <w:r w:rsidRPr="0042135B">
        <w:rPr>
          <w:bCs/>
        </w:rPr>
        <w:t xml:space="preserve"> za kalendářní rok, zatímco u nižších úrovní vzdělávání za školní rok. Pojmy a metodika užívané pro tyto dvě skupiny škol proto nejsou totožné a v rejstříku </w:t>
      </w:r>
      <w:r w:rsidR="00F959EA">
        <w:rPr>
          <w:bCs/>
        </w:rPr>
        <w:t>je</w:t>
      </w:r>
      <w:r w:rsidRPr="0042135B">
        <w:rPr>
          <w:bCs/>
        </w:rPr>
        <w:t xml:space="preserve"> </w:t>
      </w:r>
      <w:r>
        <w:rPr>
          <w:bCs/>
        </w:rPr>
        <w:t>u</w:t>
      </w:r>
      <w:r w:rsidR="000247D2">
        <w:rPr>
          <w:bCs/>
        </w:rPr>
        <w:t> </w:t>
      </w:r>
      <w:r>
        <w:rPr>
          <w:bCs/>
        </w:rPr>
        <w:t>některých pojmů z tohoto důvodu</w:t>
      </w:r>
      <w:r w:rsidRPr="0042135B">
        <w:rPr>
          <w:bCs/>
        </w:rPr>
        <w:t xml:space="preserve"> </w:t>
      </w:r>
      <w:r w:rsidR="00F959EA">
        <w:rPr>
          <w:bCs/>
        </w:rPr>
        <w:t xml:space="preserve">uveden </w:t>
      </w:r>
      <w:r w:rsidRPr="0042135B">
        <w:rPr>
          <w:bCs/>
        </w:rPr>
        <w:t>dvojí výklad.</w:t>
      </w:r>
    </w:p>
    <w:p w:rsidR="00F959EA" w:rsidRPr="0042135B" w:rsidRDefault="00F959EA" w:rsidP="000247D2">
      <w:pPr>
        <w:pStyle w:val="Obsahpoloky"/>
        <w:spacing w:line="360" w:lineRule="auto"/>
        <w:jc w:val="both"/>
      </w:pPr>
    </w:p>
    <w:p w:rsidR="00C83D6F" w:rsidRPr="0042135B" w:rsidRDefault="00C83D6F" w:rsidP="000247D2">
      <w:pPr>
        <w:pStyle w:val="Obsahpoloky"/>
        <w:spacing w:line="360" w:lineRule="auto"/>
        <w:jc w:val="both"/>
      </w:pPr>
      <w:r w:rsidRPr="0042135B">
        <w:t xml:space="preserve">Jako v minulých letech, i letos publikace </w:t>
      </w:r>
      <w:r w:rsidRPr="00F959EA">
        <w:rPr>
          <w:b/>
        </w:rPr>
        <w:t>vychází z dat Ministerstva školství, mládeže a tělovýchovy</w:t>
      </w:r>
      <w:r w:rsidRPr="0042135B">
        <w:rPr>
          <w:b/>
          <w:i/>
        </w:rPr>
        <w:t xml:space="preserve"> </w:t>
      </w:r>
      <w:r w:rsidRPr="0042135B">
        <w:t>(MŠMT), ze kterých Český statistický úřad (ČSÚ) čerpá</w:t>
      </w:r>
      <w:r w:rsidR="003D7535">
        <w:t>,</w:t>
      </w:r>
      <w:r w:rsidRPr="0042135B">
        <w:t xml:space="preserve"> </w:t>
      </w:r>
      <w:r w:rsidR="003D7535">
        <w:t xml:space="preserve">mimo této publikace, </w:t>
      </w:r>
      <w:r w:rsidRPr="0042135B">
        <w:t xml:space="preserve">i při přípravě tabulek s údaji </w:t>
      </w:r>
      <w:r>
        <w:t>o </w:t>
      </w:r>
      <w:r w:rsidRPr="0042135B">
        <w:t xml:space="preserve">formálním vzdělávání publikovaných ve </w:t>
      </w:r>
      <w:hyperlink r:id="rId11" w:history="1">
        <w:r w:rsidRPr="0042135B">
          <w:rPr>
            <w:rStyle w:val="Hypertextovodkaz"/>
            <w:rFonts w:eastAsia="MS Gothic" w:cs="Arial"/>
            <w:szCs w:val="20"/>
          </w:rPr>
          <w:t>Statistické ročence České republiky</w:t>
        </w:r>
      </w:hyperlink>
      <w:r w:rsidRPr="0042135B">
        <w:t>, resp. v </w:t>
      </w:r>
      <w:hyperlink r:id="rId12" w:history="1">
        <w:r w:rsidRPr="0042135B">
          <w:rPr>
            <w:rStyle w:val="Hypertextovodkaz"/>
            <w:rFonts w:eastAsia="MS Gothic" w:cs="Arial"/>
            <w:szCs w:val="20"/>
          </w:rPr>
          <w:t>krajských ročenkách</w:t>
        </w:r>
      </w:hyperlink>
      <w:r w:rsidRPr="0042135B">
        <w:t xml:space="preserve"> či v publikaci </w:t>
      </w:r>
      <w:hyperlink r:id="rId13" w:history="1">
        <w:r w:rsidRPr="0042135B">
          <w:rPr>
            <w:rStyle w:val="Hypertextovodkaz"/>
            <w:rFonts w:eastAsia="MS Gothic" w:cs="Arial"/>
            <w:szCs w:val="20"/>
          </w:rPr>
          <w:t>Zaostřeno na ženy a muže</w:t>
        </w:r>
      </w:hyperlink>
      <w:r w:rsidRPr="0042135B">
        <w:t xml:space="preserve">. Ve Statistické ročence školství je v kapitole 23. výběr jen </w:t>
      </w:r>
      <w:r>
        <w:t xml:space="preserve">těch </w:t>
      </w:r>
      <w:r w:rsidRPr="0042135B">
        <w:t>nejzákladnějších ukazatelů</w:t>
      </w:r>
      <w:r>
        <w:t xml:space="preserve"> z oblasti formálního vzdělávání</w:t>
      </w:r>
      <w:r w:rsidRPr="0042135B">
        <w:t>, neboť se jedná o publikaci, která je pochopitelně vedle vzdělávání zaměřena na celou řadu dalších oblastí. Publikace Školy a školská zařízení nabízí pestřejší škálu různých dat</w:t>
      </w:r>
      <w:r>
        <w:t>, přičemž se zaměřuje</w:t>
      </w:r>
      <w:r w:rsidRPr="0042135B">
        <w:t xml:space="preserve"> především na potřeby státních úředníků a studentů. Pro plnou škálu dostupných dat z oblasti </w:t>
      </w:r>
      <w:r>
        <w:t xml:space="preserve">počátečního </w:t>
      </w:r>
      <w:r w:rsidRPr="0042135B">
        <w:t>vzdělávání, tj. i těch, které v  publikaci Školy a školská zařízení nejsou uvedené, lze čtenáře širokého spektra odkázat na</w:t>
      </w:r>
      <w:r w:rsidR="003D7535">
        <w:t xml:space="preserve"> podrobné</w:t>
      </w:r>
      <w:r w:rsidRPr="0042135B">
        <w:t xml:space="preserve"> </w:t>
      </w:r>
      <w:r w:rsidR="00F959EA">
        <w:t>statistické přehledy</w:t>
      </w:r>
      <w:r w:rsidRPr="0042135B">
        <w:t xml:space="preserve"> MŠMT</w:t>
      </w:r>
      <w:r w:rsidRPr="0042135B">
        <w:rPr>
          <w:rStyle w:val="Znakapoznpodarou"/>
          <w:rFonts w:eastAsia="MS Gothic" w:cs="Arial"/>
          <w:szCs w:val="20"/>
        </w:rPr>
        <w:footnoteReference w:id="1"/>
      </w:r>
      <w:r w:rsidR="003D7535">
        <w:t>.</w:t>
      </w:r>
      <w:r w:rsidRPr="0042135B">
        <w:t xml:space="preserve"> </w:t>
      </w:r>
    </w:p>
    <w:p w:rsidR="00C83D6F" w:rsidRDefault="00C83D6F" w:rsidP="00C83D6F"/>
    <w:p w:rsidR="00C83D6F" w:rsidRPr="00C83D6F" w:rsidRDefault="00C83D6F" w:rsidP="00C83D6F"/>
    <w:p w:rsidR="007D7D0C" w:rsidRDefault="007D7D0C" w:rsidP="007D7D0C">
      <w:pPr>
        <w:pStyle w:val="Nadpis1"/>
        <w:spacing w:after="480"/>
      </w:pPr>
      <w:bookmarkStart w:id="1" w:name="_Toc444112495"/>
      <w:r>
        <w:br w:type="page"/>
      </w:r>
      <w:bookmarkStart w:id="2" w:name="_Toc458676024"/>
      <w:r>
        <w:lastRenderedPageBreak/>
        <w:t>Rejstřík pojmů</w:t>
      </w:r>
      <w:r w:rsidR="003D7535">
        <w:t xml:space="preserve"> používaných v tabulkové části</w:t>
      </w:r>
      <w:bookmarkEnd w:id="2"/>
    </w:p>
    <w:tbl>
      <w:tblPr>
        <w:tblW w:w="9229" w:type="dxa"/>
        <w:tblInd w:w="55" w:type="dxa"/>
        <w:tblBorders>
          <w:top w:val="single" w:sz="4" w:space="0" w:color="943634" w:themeColor="accent2" w:themeShade="BF"/>
          <w:bottom w:val="single" w:sz="4" w:space="0" w:color="943634" w:themeColor="accent2" w:themeShade="BF"/>
          <w:insideH w:val="single" w:sz="4" w:space="0" w:color="943634" w:themeColor="accent2" w:themeShade="BF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4A0"/>
      </w:tblPr>
      <w:tblGrid>
        <w:gridCol w:w="2425"/>
        <w:gridCol w:w="6804"/>
      </w:tblGrid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" w:name="_Absolvent"/>
            <w:bookmarkStart w:id="4" w:name="_Toc458676025"/>
            <w:bookmarkEnd w:id="3"/>
            <w:r w:rsidRPr="00261428">
              <w:rPr>
                <w:rFonts w:eastAsia="Times New Roman"/>
              </w:rPr>
              <w:t>Absolvent</w:t>
            </w:r>
            <w:r w:rsidR="00AF435A">
              <w:rPr>
                <w:rFonts w:eastAsia="Times New Roman"/>
              </w:rPr>
              <w:t>i</w:t>
            </w:r>
            <w:bookmarkEnd w:id="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Absolventem je </w:t>
            </w:r>
            <w:r>
              <w:rPr>
                <w:rFonts w:cs="Arial"/>
                <w:szCs w:val="20"/>
              </w:rPr>
              <w:t>osoba</w:t>
            </w:r>
            <w:r w:rsidRPr="003B607D">
              <w:rPr>
                <w:rFonts w:cs="Arial"/>
                <w:szCs w:val="20"/>
              </w:rPr>
              <w:t>, kter</w:t>
            </w:r>
            <w:r>
              <w:rPr>
                <w:rFonts w:cs="Arial"/>
                <w:szCs w:val="20"/>
              </w:rPr>
              <w:t>á</w:t>
            </w:r>
            <w:r w:rsidRPr="003B607D">
              <w:rPr>
                <w:rFonts w:cs="Arial"/>
                <w:szCs w:val="20"/>
              </w:rPr>
              <w:t xml:space="preserve"> úspěšně dokončil</w:t>
            </w:r>
            <w:r>
              <w:rPr>
                <w:rFonts w:cs="Arial"/>
                <w:szCs w:val="20"/>
              </w:rPr>
              <w:t>a</w:t>
            </w:r>
            <w:r w:rsidRPr="003B607D">
              <w:rPr>
                <w:rFonts w:cs="Arial"/>
                <w:szCs w:val="20"/>
              </w:rPr>
              <w:t>, tj. absolvoval</w:t>
            </w:r>
            <w:r>
              <w:rPr>
                <w:rFonts w:cs="Arial"/>
                <w:szCs w:val="20"/>
              </w:rPr>
              <w:t>a</w:t>
            </w:r>
            <w:r w:rsidRPr="003B607D">
              <w:rPr>
                <w:rFonts w:cs="Arial"/>
                <w:szCs w:val="20"/>
              </w:rPr>
              <w:t>, určitý stupeň školního vzdělávání.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Počet absolventů je v tabulkách </w:t>
            </w:r>
            <w:r>
              <w:rPr>
                <w:rFonts w:cs="Arial"/>
                <w:szCs w:val="20"/>
              </w:rPr>
              <w:t xml:space="preserve">uváděn </w:t>
            </w:r>
            <w:r w:rsidRPr="003B607D">
              <w:rPr>
                <w:rFonts w:cs="Arial"/>
                <w:szCs w:val="20"/>
              </w:rPr>
              <w:t xml:space="preserve">za aktuální či předchozí </w:t>
            </w:r>
            <w:hyperlink w:anchor="_Školní_rok" w:history="1">
              <w:r w:rsidRPr="003D7535">
                <w:rPr>
                  <w:rStyle w:val="Hypertextovodkaz"/>
                  <w:rFonts w:cs="Arial"/>
                  <w:szCs w:val="20"/>
                </w:rPr>
                <w:t>školní</w:t>
              </w:r>
            </w:hyperlink>
            <w:r w:rsidRPr="003B607D">
              <w:rPr>
                <w:rFonts w:cs="Arial"/>
                <w:szCs w:val="20"/>
              </w:rPr>
              <w:t xml:space="preserve"> či</w:t>
            </w:r>
            <w:r>
              <w:rPr>
                <w:rFonts w:cs="Arial"/>
                <w:szCs w:val="20"/>
              </w:rPr>
              <w:t> </w:t>
            </w:r>
            <w:hyperlink w:anchor="_Rok" w:history="1">
              <w:r w:rsidRPr="003D7535">
                <w:rPr>
                  <w:rStyle w:val="Hypertextovodkaz"/>
                  <w:rFonts w:cs="Arial"/>
                  <w:szCs w:val="20"/>
                </w:rPr>
                <w:t>kalendářní rok</w:t>
              </w:r>
            </w:hyperlink>
            <w:r w:rsidRPr="003B607D">
              <w:rPr>
                <w:rFonts w:cs="Arial"/>
                <w:szCs w:val="20"/>
              </w:rPr>
              <w:t xml:space="preserve"> a je součtem žáků či studentů, kteří absolvovali vzdělávání buď v období mezi 1. září až 31. srpnem (pokud se jedná o jiné vzdělávání než vysokoškolské), nebo v průběhu jednoho kalendářního roku (jedná-li se o vzdělávání vysokoškolské).    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Do celkového počtu absolventů se zahrnují všichni absolventi bez ohledu na to, zda již někdy v minulosti nějaké vzdělávání té samé úrovně</w:t>
            </w:r>
            <w:r>
              <w:rPr>
                <w:rFonts w:cs="Arial"/>
                <w:iCs/>
                <w:szCs w:val="20"/>
              </w:rPr>
              <w:t xml:space="preserve"> absolvovali</w:t>
            </w:r>
            <w:r w:rsidRPr="003B607D">
              <w:rPr>
                <w:rFonts w:cs="Arial"/>
                <w:iCs/>
                <w:szCs w:val="20"/>
              </w:rPr>
              <w:t xml:space="preserve">. 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Jeden absolvent může v tom samém roce absolvovat jeden i více studijních programů, oborů studia, na různých vysokých školách, fakultách apod. Celkový počet absolventů tedy nemusí souhlasit se součtem počtu absolventů v jednotlivých tříděních.</w:t>
            </w:r>
          </w:p>
        </w:tc>
      </w:tr>
      <w:tr w:rsidR="007D7D0C" w:rsidRPr="003B607D" w:rsidTr="007D7D0C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" w:name="_Bakalářský_studijní_program"/>
            <w:bookmarkStart w:id="6" w:name="_Toc458676026"/>
            <w:bookmarkEnd w:id="5"/>
            <w:r>
              <w:rPr>
                <w:rFonts w:eastAsia="Times New Roman"/>
              </w:rPr>
              <w:t>Bakalářský studijní program</w:t>
            </w:r>
            <w:bookmarkEnd w:id="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Bakalářský studijní program je zaměřen na přípravu k výkonu povolání a</w:t>
            </w:r>
            <w:r>
              <w:rPr>
                <w:rFonts w:cs="Arial"/>
                <w:iCs/>
                <w:szCs w:val="20"/>
              </w:rPr>
              <w:t> </w:t>
            </w:r>
            <w:r w:rsidRPr="003B607D">
              <w:rPr>
                <w:rFonts w:cs="Arial"/>
                <w:iCs/>
                <w:szCs w:val="20"/>
              </w:rPr>
              <w:t xml:space="preserve">ke studiu v </w:t>
            </w:r>
            <w:hyperlink w:anchor="_Magisterský_studijní_program" w:history="1">
              <w:r w:rsidRPr="003D7535">
                <w:rPr>
                  <w:rStyle w:val="Hypertextovodkaz"/>
                  <w:rFonts w:cs="Arial"/>
                  <w:iCs/>
                  <w:szCs w:val="20"/>
                </w:rPr>
                <w:t>magisterském studijním programu</w:t>
              </w:r>
            </w:hyperlink>
            <w:r w:rsidRPr="003B607D">
              <w:rPr>
                <w:rFonts w:cs="Arial"/>
                <w:iCs/>
                <w:szCs w:val="20"/>
              </w:rPr>
              <w:t>. Standardní doba studia včetně praxe je nejméně tři a nejvýše čtyři roky. Studium se řádně ukončuje státní závěrečnou zkouškou, jejíž součástí je zpravidla obhajoba bakalářské práce. Absolventům studia v bakalářských studijních programech se uděluje akademický titul „bakalář“ (ve zkra</w:t>
            </w:r>
            <w:r>
              <w:rPr>
                <w:rFonts w:cs="Arial"/>
                <w:iCs/>
                <w:szCs w:val="20"/>
              </w:rPr>
              <w:t>tce „Bc.“ uváděné před jménem).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14" w:history="1">
              <w:r w:rsidRPr="003B607D">
                <w:rPr>
                  <w:rStyle w:val="Hypertextovodkaz"/>
                  <w:rFonts w:cs="Arial"/>
                  <w:szCs w:val="20"/>
                </w:rPr>
                <w:t>Zákon o vysokých školách</w:t>
              </w:r>
            </w:hyperlink>
            <w:r>
              <w:t xml:space="preserve"> </w:t>
            </w:r>
            <w:r w:rsidRPr="003B607D">
              <w:rPr>
                <w:rFonts w:cs="Arial"/>
                <w:szCs w:val="20"/>
              </w:rPr>
              <w:t>(č. 111/1998 Sb</w:t>
            </w:r>
            <w:r>
              <w:rPr>
                <w:rFonts w:cs="Arial"/>
                <w:szCs w:val="20"/>
              </w:rPr>
              <w:t xml:space="preserve">., </w:t>
            </w:r>
            <w:r w:rsidRPr="003B607D">
              <w:rPr>
                <w:rFonts w:cs="Arial"/>
                <w:szCs w:val="20"/>
              </w:rPr>
              <w:t>§ 45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7D7D0C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" w:name="_Běžná_škola"/>
            <w:bookmarkStart w:id="8" w:name="_Toc458676027"/>
            <w:bookmarkEnd w:id="7"/>
            <w:r w:rsidRPr="00261428">
              <w:rPr>
                <w:rFonts w:eastAsia="Times New Roman"/>
              </w:rPr>
              <w:t>Běžná</w:t>
            </w:r>
            <w:r>
              <w:rPr>
                <w:rFonts w:eastAsia="Times New Roman"/>
              </w:rPr>
              <w:t xml:space="preserve"> </w:t>
            </w:r>
            <w:r w:rsidRPr="00261428">
              <w:rPr>
                <w:rFonts w:eastAsia="Times New Roman"/>
              </w:rPr>
              <w:t>škola</w:t>
            </w:r>
            <w:bookmarkEnd w:id="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B056C" w:rsidP="003D7535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Jako </w:t>
            </w:r>
            <w:r w:rsidRPr="003B607D">
              <w:rPr>
                <w:rFonts w:cs="Arial"/>
                <w:bCs/>
                <w:szCs w:val="20"/>
              </w:rPr>
              <w:t>„běžná škola“</w:t>
            </w:r>
            <w:r w:rsidRPr="003B607D">
              <w:rPr>
                <w:rFonts w:cs="Arial"/>
                <w:szCs w:val="20"/>
              </w:rPr>
              <w:t xml:space="preserve"> je označena škola s minimálně jednou </w:t>
            </w:r>
            <w:hyperlink w:anchor="_Běžná_třída" w:history="1">
              <w:r w:rsidRPr="003D7535">
                <w:rPr>
                  <w:rStyle w:val="Hypertextovodkaz"/>
                  <w:rFonts w:cs="Arial"/>
                  <w:szCs w:val="20"/>
                </w:rPr>
                <w:t>běžnou třídou</w:t>
              </w:r>
            </w:hyperlink>
            <w:r>
              <w:rPr>
                <w:rFonts w:cs="Arial"/>
                <w:szCs w:val="20"/>
              </w:rPr>
              <w:t xml:space="preserve">. </w:t>
            </w:r>
            <w:r w:rsidR="007D7D0C" w:rsidRPr="003B607D">
              <w:rPr>
                <w:rFonts w:cs="Arial"/>
                <w:szCs w:val="20"/>
              </w:rPr>
              <w:t xml:space="preserve">Na </w:t>
            </w:r>
            <w:r>
              <w:rPr>
                <w:rFonts w:cs="Arial"/>
                <w:szCs w:val="20"/>
              </w:rPr>
              <w:t>běžné</w:t>
            </w:r>
            <w:r w:rsidR="007D7D0C" w:rsidRPr="003B607D">
              <w:rPr>
                <w:rFonts w:cs="Arial"/>
                <w:szCs w:val="20"/>
              </w:rPr>
              <w:t xml:space="preserve"> škole mohou být třídy </w:t>
            </w:r>
            <w:r w:rsidR="007D7D0C" w:rsidRPr="003D7535">
              <w:rPr>
                <w:rFonts w:eastAsia="MS Gothic" w:cs="Arial"/>
                <w:szCs w:val="20"/>
              </w:rPr>
              <w:t>běžné</w:t>
            </w:r>
            <w:r w:rsidR="007D7D0C" w:rsidRPr="003B607D">
              <w:rPr>
                <w:rFonts w:cs="Arial"/>
                <w:szCs w:val="20"/>
              </w:rPr>
              <w:t xml:space="preserve"> i </w:t>
            </w:r>
            <w:hyperlink w:anchor="_Speciální_třída" w:history="1"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speciální</w:t>
              </w:r>
            </w:hyperlink>
            <w:r w:rsidR="007D7D0C" w:rsidRPr="003B607D">
              <w:rPr>
                <w:rFonts w:cs="Arial"/>
                <w:szCs w:val="20"/>
              </w:rPr>
              <w:t xml:space="preserve"> (zřízené podle § 16, odst. 9 </w:t>
            </w:r>
            <w:hyperlink r:id="rId15" w:history="1"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Školského zákona</w:t>
              </w:r>
            </w:hyperlink>
            <w:r w:rsidR="007D7D0C" w:rsidRPr="003B607D">
              <w:rPr>
                <w:rFonts w:cs="Arial"/>
                <w:szCs w:val="20"/>
              </w:rPr>
              <w:t xml:space="preserve"> č. 561/2004 Sb.). </w:t>
            </w:r>
            <w:r w:rsidR="003D7535">
              <w:rPr>
                <w:rFonts w:cs="Arial"/>
                <w:szCs w:val="20"/>
              </w:rPr>
              <w:t xml:space="preserve">Speciální třídy jsou zřízeny primárně pro žáky se </w:t>
            </w:r>
            <w:hyperlink w:anchor="_SVP_(speciální_vzdělávací" w:history="1">
              <w:r w:rsidR="003D7535" w:rsidRPr="003D7535">
                <w:rPr>
                  <w:rStyle w:val="Hypertextovodkaz"/>
                  <w:rFonts w:cs="Arial"/>
                  <w:szCs w:val="20"/>
                </w:rPr>
                <w:t>speciálními vzdělávacími potřebami (SVP)</w:t>
              </w:r>
            </w:hyperlink>
            <w:r w:rsidR="003D7535">
              <w:rPr>
                <w:rFonts w:cs="Arial"/>
                <w:szCs w:val="20"/>
              </w:rPr>
              <w:t xml:space="preserve">, ti však </w:t>
            </w:r>
            <w:r>
              <w:rPr>
                <w:rFonts w:cs="Arial"/>
                <w:szCs w:val="20"/>
              </w:rPr>
              <w:t>mohou být</w:t>
            </w:r>
            <w:r w:rsidR="003D7535">
              <w:rPr>
                <w:rFonts w:cs="Arial"/>
                <w:szCs w:val="20"/>
              </w:rPr>
              <w:t xml:space="preserve"> též</w:t>
            </w:r>
            <w:r>
              <w:rPr>
                <w:rFonts w:cs="Arial"/>
                <w:szCs w:val="20"/>
              </w:rPr>
              <w:t xml:space="preserve"> individuálně integrování do běžných tříd.</w:t>
            </w:r>
          </w:p>
        </w:tc>
      </w:tr>
      <w:tr w:rsidR="007D7D0C" w:rsidRPr="003B607D" w:rsidTr="007D7D0C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" w:name="_Běžná_třída"/>
            <w:bookmarkStart w:id="10" w:name="_Toc458676028"/>
            <w:bookmarkEnd w:id="9"/>
            <w:r w:rsidRPr="00261428">
              <w:rPr>
                <w:rFonts w:eastAsia="Times New Roman"/>
              </w:rPr>
              <w:t>Běžná třída</w:t>
            </w:r>
            <w:bookmarkEnd w:id="1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0D5169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Běžné třídy nejsou primárně určen</w:t>
            </w:r>
            <w:r w:rsidR="007B056C">
              <w:rPr>
                <w:rFonts w:cs="Arial"/>
                <w:szCs w:val="20"/>
              </w:rPr>
              <w:t>y</w:t>
            </w:r>
            <w:r w:rsidRPr="003B607D">
              <w:rPr>
                <w:rFonts w:cs="Arial"/>
                <w:szCs w:val="20"/>
              </w:rPr>
              <w:t xml:space="preserve"> pro žáky se </w:t>
            </w:r>
            <w:hyperlink w:anchor="_SVP_(speciální_vzdělávací" w:history="1">
              <w:r w:rsidR="003D7535" w:rsidRPr="003D7535">
                <w:rPr>
                  <w:rStyle w:val="Hypertextovodkaz"/>
                  <w:rFonts w:cs="Arial"/>
                  <w:szCs w:val="20"/>
                </w:rPr>
                <w:t>speciálními vzdělávacími potřebami (</w:t>
              </w:r>
              <w:r w:rsidRPr="003D7535">
                <w:rPr>
                  <w:rStyle w:val="Hypertextovodkaz"/>
                  <w:rFonts w:eastAsia="MS Gothic" w:cs="Arial"/>
                  <w:szCs w:val="20"/>
                </w:rPr>
                <w:t>SVP</w:t>
              </w:r>
              <w:r w:rsidR="003D7535" w:rsidRPr="003D7535">
                <w:rPr>
                  <w:rStyle w:val="Hypertextovodkaz"/>
                </w:rPr>
                <w:t>)</w:t>
              </w:r>
            </w:hyperlink>
            <w:r w:rsidRPr="003B607D">
              <w:rPr>
                <w:rFonts w:cs="Arial"/>
                <w:szCs w:val="20"/>
              </w:rPr>
              <w:t>, může v nich však docházet k individuální integraci těchto žák</w:t>
            </w:r>
            <w:r w:rsidR="00610830">
              <w:rPr>
                <w:rFonts w:cs="Arial"/>
                <w:szCs w:val="20"/>
              </w:rPr>
              <w:t>ů. Dle pokynů a vysvětlivek Ministerstva školství, mládeže a tělovýchovy</w:t>
            </w:r>
            <w:r w:rsidRPr="003B607D">
              <w:rPr>
                <w:rFonts w:cs="Arial"/>
                <w:szCs w:val="20"/>
              </w:rPr>
              <w:t xml:space="preserve"> k výkazu R 13-01 (</w:t>
            </w:r>
            <w:hyperlink r:id="rId16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Výkaz o</w:t>
              </w:r>
              <w:r w:rsidR="000D5169">
                <w:rPr>
                  <w:rStyle w:val="Hypertextovodkaz"/>
                  <w:rFonts w:eastAsia="MS Gothic" w:cs="Arial"/>
                  <w:szCs w:val="20"/>
                </w:rPr>
                <w:t> 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ředitelství škol</w:t>
              </w:r>
            </w:hyperlink>
            <w:r w:rsidRPr="003B607D">
              <w:rPr>
                <w:rFonts w:cs="Arial"/>
                <w:szCs w:val="20"/>
              </w:rPr>
              <w:t>) platí, že třídy zřízené podle § 16, odst. 9</w:t>
            </w:r>
            <w:r w:rsidRPr="003B607D">
              <w:rPr>
                <w:rFonts w:cs="Arial"/>
                <w:b/>
                <w:szCs w:val="20"/>
              </w:rPr>
              <w:t xml:space="preserve"> </w:t>
            </w:r>
            <w:hyperlink r:id="rId17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Školského zákona</w:t>
              </w:r>
            </w:hyperlink>
            <w:r w:rsidRPr="003B607D">
              <w:rPr>
                <w:rFonts w:cs="Arial"/>
                <w:szCs w:val="20"/>
              </w:rPr>
              <w:t xml:space="preserve"> (č. 561/2004 Sb.)</w:t>
            </w:r>
            <w:r w:rsidRPr="003B607D">
              <w:rPr>
                <w:rFonts w:cs="Arial"/>
                <w:b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se pro potřeby výkaznictví označují jako „</w:t>
            </w:r>
            <w:hyperlink w:anchor="_Speciální_tříd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speciální třídy</w:t>
              </w:r>
            </w:hyperlink>
            <w:r w:rsidRPr="003B607D">
              <w:rPr>
                <w:rFonts w:cs="Arial"/>
                <w:szCs w:val="20"/>
              </w:rPr>
              <w:t>“. Ostatní třídy se označují jako „běžné třídy“.</w:t>
            </w:r>
          </w:p>
        </w:tc>
      </w:tr>
      <w:tr w:rsidR="007D7D0C" w:rsidRPr="003B607D" w:rsidTr="007D7D0C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B056C">
            <w:pPr>
              <w:pStyle w:val="Nadpis4"/>
              <w:rPr>
                <w:rFonts w:eastAsia="Times New Roman"/>
              </w:rPr>
            </w:pPr>
            <w:bookmarkStart w:id="11" w:name="_Toc458676029"/>
            <w:r w:rsidRPr="00261428">
              <w:rPr>
                <w:rFonts w:eastAsia="Times New Roman"/>
              </w:rPr>
              <w:t>Ciz</w:t>
            </w:r>
            <w:r w:rsidR="007B056C">
              <w:rPr>
                <w:rFonts w:eastAsia="Times New Roman"/>
              </w:rPr>
              <w:t>í státní občanství</w:t>
            </w:r>
            <w:bookmarkEnd w:id="1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069DD" w:rsidRDefault="007D7D0C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U každého </w:t>
            </w:r>
            <w:hyperlink w:anchor="_Děti" w:history="1">
              <w:r w:rsidRPr="003D7535">
                <w:rPr>
                  <w:rStyle w:val="Hypertextovodkaz"/>
                  <w:rFonts w:eastAsia="MS Gothic" w:cs="Arial"/>
                  <w:szCs w:val="20"/>
                </w:rPr>
                <w:t>dítěte</w:t>
              </w:r>
            </w:hyperlink>
            <w:r w:rsidRPr="003B607D">
              <w:rPr>
                <w:rFonts w:cs="Arial"/>
                <w:szCs w:val="20"/>
              </w:rPr>
              <w:t xml:space="preserve"> či </w:t>
            </w:r>
            <w:hyperlink w:anchor="_Žáci" w:history="1">
              <w:r w:rsidRPr="003D7535">
                <w:rPr>
                  <w:rStyle w:val="Hypertextovodkaz"/>
                  <w:rFonts w:eastAsia="MS Gothic" w:cs="Arial"/>
                  <w:szCs w:val="20"/>
                </w:rPr>
                <w:t>žáka</w:t>
              </w:r>
            </w:hyperlink>
            <w:r w:rsidR="00713E3E">
              <w:t xml:space="preserve"> či </w:t>
            </w:r>
            <w:hyperlink w:anchor="_Studenti" w:history="1">
              <w:r w:rsidR="00713E3E" w:rsidRPr="00713E3E">
                <w:rPr>
                  <w:rStyle w:val="Hypertextovodkaz"/>
                </w:rPr>
                <w:t>studenta</w:t>
              </w:r>
            </w:hyperlink>
            <w:r w:rsidR="00713E3E">
              <w:t xml:space="preserve"> </w:t>
            </w:r>
            <w:hyperlink w:anchor="_Vyšší_odborná_škola" w:history="1">
              <w:r w:rsidR="00713E3E" w:rsidRPr="00713E3E">
                <w:rPr>
                  <w:rStyle w:val="Hypertextovodkaz"/>
                </w:rPr>
                <w:t>vyšší odborné školy</w:t>
              </w:r>
            </w:hyperlink>
            <w:r w:rsidRPr="003B607D">
              <w:rPr>
                <w:rFonts w:cs="Arial"/>
                <w:szCs w:val="20"/>
              </w:rPr>
              <w:t xml:space="preserve"> se eviduje pouze jedno státní občanství, ke</w:t>
            </w:r>
            <w:r w:rsidR="009069D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kterému se při zápisu přihlásí.</w:t>
            </w:r>
            <w:r>
              <w:rPr>
                <w:rFonts w:cs="Arial"/>
                <w:szCs w:val="20"/>
              </w:rPr>
              <w:t xml:space="preserve"> </w:t>
            </w:r>
          </w:p>
          <w:p w:rsidR="007D7D0C" w:rsidRPr="003B607D" w:rsidRDefault="0031025F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hyperlink w:anchor="_Studenti" w:history="1">
              <w:r w:rsidR="007D7D0C" w:rsidRPr="00FE12B1">
                <w:rPr>
                  <w:rStyle w:val="Hypertextovodkaz"/>
                  <w:rFonts w:eastAsia="MS Gothic" w:cs="Arial"/>
                  <w:szCs w:val="20"/>
                </w:rPr>
                <w:t>Studenti</w:t>
              </w:r>
            </w:hyperlink>
            <w:r w:rsidR="007D7D0C">
              <w:rPr>
                <w:rFonts w:cs="Arial"/>
                <w:szCs w:val="20"/>
              </w:rPr>
              <w:t xml:space="preserve"> </w:t>
            </w:r>
            <w:hyperlink w:anchor="_Vysoká_škola" w:history="1">
              <w:r w:rsidR="007D7D0C" w:rsidRPr="00713E3E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="007D7D0C">
              <w:rPr>
                <w:rFonts w:cs="Arial"/>
                <w:szCs w:val="20"/>
              </w:rPr>
              <w:t xml:space="preserve"> však mohou být evidováni pod více občanstvími.</w:t>
            </w:r>
          </w:p>
        </w:tc>
      </w:tr>
      <w:tr w:rsidR="007D7D0C" w:rsidRPr="003B607D" w:rsidTr="00436EBC">
        <w:trPr>
          <w:trHeight w:val="62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069DD">
            <w:pPr>
              <w:pStyle w:val="Nadpis4"/>
              <w:spacing w:before="40" w:line="240" w:lineRule="auto"/>
              <w:rPr>
                <w:rFonts w:eastAsia="Times New Roman"/>
              </w:rPr>
            </w:pPr>
            <w:bookmarkStart w:id="12" w:name="_Čtyřleté_gymnázium"/>
            <w:bookmarkStart w:id="13" w:name="_Toc458676030"/>
            <w:bookmarkEnd w:id="12"/>
            <w:r>
              <w:rPr>
                <w:rFonts w:eastAsia="Times New Roman"/>
              </w:rPr>
              <w:t>Čtyřleté gymnázium</w:t>
            </w:r>
            <w:bookmarkEnd w:id="1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069DD">
            <w:pPr>
              <w:keepNext/>
              <w:spacing w:before="40"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Čtyřleté gymnázium se řadí do kategorie </w:t>
            </w:r>
            <w:hyperlink w:anchor="_Střední_vzdělávání" w:history="1">
              <w:r w:rsidRPr="00FE12B1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všeobecného zaměření a poskytuje vyšší sekundární vzdělávání. Více viz výklad k pojmu </w:t>
            </w:r>
            <w:hyperlink w:anchor="_Gymnázium" w:history="1">
              <w:r w:rsidRPr="00FE12B1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7D7D0C">
        <w:trPr>
          <w:trHeight w:val="299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4" w:name="_Denní_forma_vzdělávání"/>
            <w:bookmarkStart w:id="15" w:name="_Toc458676031"/>
            <w:bookmarkEnd w:id="14"/>
            <w:r w:rsidRPr="00261428">
              <w:rPr>
                <w:rFonts w:eastAsia="Times New Roman"/>
              </w:rPr>
              <w:lastRenderedPageBreak/>
              <w:t>Denní forma vzdělávání</w:t>
            </w:r>
            <w:bookmarkEnd w:id="1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Pojem denní forma vzdělávání se užívá u </w:t>
            </w:r>
            <w:hyperlink w:anchor="_Základní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základního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Střední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středního</w:t>
              </w:r>
            </w:hyperlink>
            <w:r w:rsidRPr="003B607D">
              <w:rPr>
                <w:rFonts w:cs="Arial"/>
                <w:szCs w:val="20"/>
              </w:rPr>
              <w:t xml:space="preserve"> a </w:t>
            </w:r>
            <w:hyperlink w:anchor="_Vyšší_odborné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vyššího odborného vzdělávání</w:t>
              </w:r>
            </w:hyperlink>
            <w:r w:rsidRPr="003B607D">
              <w:rPr>
                <w:rFonts w:cs="Arial"/>
                <w:szCs w:val="20"/>
              </w:rPr>
              <w:t xml:space="preserve">. Představuje klasickou formu školní docházky s pravidelnou výukou realizovanou ve škole ve všedních dnech v týdnu. </w:t>
            </w:r>
          </w:p>
          <w:p w:rsidR="007D7D0C" w:rsidRPr="005B514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Pro střední a vyšší odborné vzdělávání</w:t>
            </w:r>
            <w:r w:rsidR="009069DD">
              <w:rPr>
                <w:rFonts w:cs="Arial"/>
                <w:iCs/>
                <w:szCs w:val="20"/>
              </w:rPr>
              <w:t xml:space="preserve"> upravuje</w:t>
            </w:r>
            <w:r w:rsidRPr="003B607D">
              <w:rPr>
                <w:rFonts w:cs="Arial"/>
                <w:i/>
                <w:iCs/>
                <w:szCs w:val="20"/>
              </w:rPr>
              <w:t xml:space="preserve"> </w:t>
            </w:r>
            <w:hyperlink r:id="rId18" w:history="1">
              <w:r w:rsidRPr="003B607D">
                <w:rPr>
                  <w:rStyle w:val="Hypertextovodkaz"/>
                  <w:rFonts w:eastAsia="MS Gothic" w:cs="Arial"/>
                  <w:iCs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</w:t>
            </w:r>
            <w:r w:rsidR="009069D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561/2004 Sb.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iCs/>
                <w:szCs w:val="20"/>
              </w:rPr>
              <w:t>§ </w:t>
            </w:r>
            <w:r w:rsidRPr="005B514D">
              <w:rPr>
                <w:rFonts w:cs="Arial"/>
                <w:iCs/>
                <w:szCs w:val="20"/>
              </w:rPr>
              <w:t>25</w:t>
            </w:r>
            <w:r w:rsidRPr="003B607D">
              <w:rPr>
                <w:rFonts w:cs="Arial"/>
                <w:szCs w:val="20"/>
              </w:rPr>
              <w:t>)</w:t>
            </w:r>
            <w:r w:rsidRPr="005B514D">
              <w:rPr>
                <w:rFonts w:cs="Arial"/>
                <w:iCs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 xml:space="preserve">i </w:t>
            </w:r>
            <w:hyperlink w:anchor="_Ostatní_formy_vzdělávání" w:history="1">
              <w:r w:rsidRPr="00436EBC">
                <w:rPr>
                  <w:rStyle w:val="Hypertextovodkaz"/>
                  <w:rFonts w:eastAsia="MS Gothic" w:cs="Arial"/>
                  <w:szCs w:val="20"/>
                </w:rPr>
                <w:t>ostatní formy vzdělávání</w:t>
              </w:r>
            </w:hyperlink>
            <w:r w:rsidRPr="003B607D">
              <w:rPr>
                <w:rFonts w:cs="Arial"/>
                <w:szCs w:val="20"/>
              </w:rPr>
              <w:t xml:space="preserve">, tj. </w:t>
            </w:r>
            <w:r>
              <w:rPr>
                <w:rFonts w:cs="Arial"/>
                <w:szCs w:val="20"/>
              </w:rPr>
              <w:t>večerní, dálkovou, distanční a kombinovanou</w:t>
            </w:r>
            <w:r w:rsidRPr="003B607D">
              <w:rPr>
                <w:rFonts w:cs="Arial"/>
                <w:szCs w:val="20"/>
              </w:rPr>
              <w:t xml:space="preserve">. Vzdělání dosažené ve všech formách vzdělávání je rovnocenné. </w:t>
            </w:r>
          </w:p>
          <w:p w:rsidR="007D7D0C" w:rsidRPr="003B607D" w:rsidRDefault="007D7D0C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07D">
              <w:rPr>
                <w:rFonts w:ascii="Arial" w:hAnsi="Arial" w:cs="Arial"/>
                <w:sz w:val="20"/>
                <w:szCs w:val="20"/>
              </w:rPr>
              <w:t xml:space="preserve">Zákon také udává, že délka dálkového, večerního, </w:t>
            </w:r>
            <w:hyperlink w:anchor="_Distanční_a_kombinované" w:history="1"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distančního nebo kombinovaného</w:t>
              </w:r>
            </w:hyperlink>
            <w:r w:rsidRPr="00906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07D">
              <w:rPr>
                <w:rFonts w:ascii="Arial" w:hAnsi="Arial" w:cs="Arial"/>
                <w:sz w:val="20"/>
                <w:szCs w:val="20"/>
              </w:rPr>
              <w:t xml:space="preserve">vzdělávání je nejvýše o 1 rok delší než doba vzdělávání v denní formě. </w:t>
            </w:r>
          </w:p>
          <w:p w:rsidR="007D7D0C" w:rsidRPr="009069DD" w:rsidRDefault="007D7D0C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Jeden žák/student může být zapsán do více forem vzdělávání, např.</w:t>
            </w:r>
            <w:r w:rsidR="009069D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studovat jeden obor v denní formě a druhý v dálkové.</w:t>
            </w:r>
            <w:r>
              <w:rPr>
                <w:rFonts w:cs="Arial"/>
                <w:szCs w:val="20"/>
              </w:rPr>
              <w:t xml:space="preserve"> Součet</w:t>
            </w:r>
            <w:r w:rsidR="009069DD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žáků/studentů jednotlivých forem vzdělávání tak nemusí odpovídat celkovému počtu žáků/studentů</w:t>
            </w:r>
            <w:r w:rsidR="000D5169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6" w:name="_Děti"/>
            <w:bookmarkStart w:id="17" w:name="_Toc458676032"/>
            <w:bookmarkEnd w:id="16"/>
            <w:r w:rsidRPr="00261428">
              <w:rPr>
                <w:rFonts w:eastAsia="Times New Roman"/>
              </w:rPr>
              <w:t>Děti</w:t>
            </w:r>
            <w:bookmarkEnd w:id="1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Osoby zapsané do evidence </w:t>
            </w:r>
            <w:hyperlink w:anchor="_Předškolní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předškolního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se označují jako "</w:t>
            </w:r>
            <w:r w:rsidRPr="003B607D">
              <w:rPr>
                <w:rFonts w:cs="Arial"/>
                <w:szCs w:val="20"/>
              </w:rPr>
              <w:t>děti</w:t>
            </w:r>
            <w:r w:rsidRPr="003B607D">
              <w:rPr>
                <w:rFonts w:cs="Arial"/>
                <w:color w:val="000000"/>
                <w:szCs w:val="20"/>
              </w:rPr>
              <w:t xml:space="preserve">", </w:t>
            </w:r>
            <w:r>
              <w:rPr>
                <w:rFonts w:cs="Arial"/>
                <w:color w:val="000000"/>
                <w:szCs w:val="20"/>
              </w:rPr>
              <w:t xml:space="preserve">v dělení </w:t>
            </w:r>
            <w:r w:rsidRPr="003B607D">
              <w:rPr>
                <w:rFonts w:cs="Arial"/>
                <w:color w:val="000000"/>
                <w:szCs w:val="20"/>
              </w:rPr>
              <w:t>dle pohlaví jako "dívky" a "chlapci".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640390" w:rsidRDefault="007D7D0C" w:rsidP="009069DD">
            <w:pPr>
              <w:pStyle w:val="Nadpis4"/>
            </w:pPr>
            <w:bookmarkStart w:id="18" w:name="_Dětský_domov"/>
            <w:bookmarkStart w:id="19" w:name="_Toc458676033"/>
            <w:bookmarkEnd w:id="18"/>
            <w:r w:rsidRPr="00640390">
              <w:t>Dětský domov</w:t>
            </w:r>
            <w:bookmarkEnd w:id="19"/>
          </w:p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9069DD" w:rsidRDefault="007D7D0C" w:rsidP="009069DD">
            <w:pPr>
              <w:pStyle w:val="par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Dětský domov je školským </w:t>
            </w:r>
            <w:hyperlink w:anchor="_Zařízení_pro_výkon" w:history="1"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zařízením pro výkon ústavní a ochranné výchovy</w:t>
              </w:r>
            </w:hyperlink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. Dle § 12 </w:t>
            </w:r>
            <w:hyperlink r:id="rId19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zákona č. 109/2002 Sb.</w:t>
              </w:r>
            </w:hyperlink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 je ú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čelem dětského domova zajišťovat péči o děti s nařízenou ústavní výchovou, které nemají závažné poruchy chování. </w:t>
            </w:r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>Dětský domov p</w:t>
            </w:r>
            <w:r w:rsidRPr="009069DD">
              <w:rPr>
                <w:rFonts w:ascii="Arial" w:hAnsi="Arial" w:cs="Arial"/>
                <w:sz w:val="20"/>
                <w:szCs w:val="20"/>
              </w:rPr>
              <w:t>ečuje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 o děti podle jejich individuálních potřeb, přičemž plní zejména úkoly výchovné, vzdělávací a sociální. </w:t>
            </w:r>
            <w:r w:rsidR="009069D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ěti</w:t>
            </w:r>
            <w:r w:rsidR="009069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se vzdělávají ve školách, které nejsou součástí dětského domova. 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640390" w:rsidRDefault="003501CC" w:rsidP="009069DD">
            <w:pPr>
              <w:pStyle w:val="Nadpis4"/>
            </w:pPr>
            <w:bookmarkStart w:id="20" w:name="_Dětský_domov_se"/>
            <w:bookmarkStart w:id="21" w:name="_Toc458676034"/>
            <w:bookmarkEnd w:id="20"/>
            <w:r>
              <w:t>Dětský domov se </w:t>
            </w:r>
            <w:r w:rsidR="007D7D0C">
              <w:t>školou</w:t>
            </w:r>
            <w:bookmarkEnd w:id="2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9069DD" w:rsidRDefault="007D7D0C" w:rsidP="007D7D0C">
            <w:pPr>
              <w:pStyle w:val="par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Dětský domov je školským </w:t>
            </w:r>
            <w:hyperlink w:anchor="_Zařízení_pro_výkon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zařízením pro výkon ústavní a ochranné výchovy</w:t>
              </w:r>
            </w:hyperlink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. Dle § 13 </w:t>
            </w:r>
            <w:hyperlink r:id="rId20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zákona č. 109/2002 Sb.</w:t>
              </w:r>
            </w:hyperlink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 je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účelem dětského domova se školou zajišťovat péči o děti s</w:t>
            </w:r>
            <w:r w:rsidRPr="009069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nařízenou ústavní výchovou, mají-li závažné poruchy chování, nebo které pro svou přechodnou nebo trvalou duševní poruchu vyžadují výchovně léčebnou péči, nebo s uloženou ochrannou výchovou, příp. o nezletilé matky s nařízenou ústavní výchovou či</w:t>
            </w:r>
            <w:r w:rsidR="009069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uloženou ochrannou výchovou a jejich děti, které nemohou být vzdělávány ve škole, aniž by byla součástí dětského domova se školou.</w:t>
            </w:r>
          </w:p>
          <w:p w:rsidR="007D7D0C" w:rsidRPr="003B607D" w:rsidRDefault="007D7D0C" w:rsidP="009069DD">
            <w:pPr>
              <w:pStyle w:val="para"/>
              <w:spacing w:before="0" w:after="0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Do dětského domova se školou mohou být umísťovány děti zpravidla od šesti let do ukončení povinné školní docházky. </w:t>
            </w:r>
          </w:p>
        </w:tc>
      </w:tr>
      <w:tr w:rsidR="007D7D0C" w:rsidRPr="00B23699" w:rsidTr="00C7069B">
        <w:trPr>
          <w:trHeight w:val="107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2" w:name="_Diagnostický_ústav"/>
            <w:bookmarkStart w:id="23" w:name="_Toc458676035"/>
            <w:bookmarkEnd w:id="22"/>
            <w:r>
              <w:rPr>
                <w:rFonts w:eastAsia="Times New Roman"/>
              </w:rPr>
              <w:t>Diagnostický ústav</w:t>
            </w:r>
            <w:bookmarkEnd w:id="2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B23699" w:rsidRDefault="007D7D0C" w:rsidP="00C7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Diagnostický ústav je školským </w:t>
            </w:r>
            <w:hyperlink w:anchor="_Zařízení_pro_výkon" w:history="1">
              <w:r w:rsidRPr="003B607D">
                <w:rPr>
                  <w:rStyle w:val="Hypertextovodkaz"/>
                  <w:rFonts w:cs="Arial"/>
                  <w:szCs w:val="20"/>
                </w:rPr>
                <w:t>zařízením pro výkon ústavní a ochranné výchovy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 xml:space="preserve">Dle </w:t>
            </w:r>
            <w:hyperlink r:id="rId21" w:history="1">
              <w:r w:rsidRPr="00B23699">
                <w:rPr>
                  <w:rStyle w:val="Hypertextovodkaz"/>
                  <w:rFonts w:cs="Arial"/>
                  <w:szCs w:val="20"/>
                </w:rPr>
                <w:t>zákona č. 109/2002 Sb.</w:t>
              </w:r>
            </w:hyperlink>
            <w:r>
              <w:rPr>
                <w:rFonts w:cs="Arial"/>
                <w:color w:val="000000"/>
                <w:szCs w:val="20"/>
              </w:rPr>
              <w:t>, § 5 p</w:t>
            </w:r>
            <w:r w:rsidRPr="003B607D">
              <w:rPr>
                <w:rFonts w:cs="Arial"/>
                <w:color w:val="000000"/>
                <w:szCs w:val="20"/>
              </w:rPr>
              <w:t>řijímá děti s nařízeným předběžným opatřením, nařízenou ústavní výchovou nebo uloženou ochrannou výchovou; děti s uloženou ochrannou výchovou také na základě výsledků komplexního vyšetření, zdravotního stavu dětí a volné kapacity jednotlivých zařízení umísťuje do dětských domovů se školou nebo výchovných ústavů.</w:t>
            </w:r>
            <w:r w:rsidR="009069DD">
              <w:rPr>
                <w:rFonts w:cs="Arial"/>
                <w:color w:val="000000"/>
                <w:szCs w:val="20"/>
              </w:rPr>
              <w:t xml:space="preserve"> Podle potřeb dítěte plní úkoly diagnostické, vzdělávací, terapeutické, výchovné a sociální, organizační a koordinační.</w:t>
            </w:r>
          </w:p>
        </w:tc>
      </w:tr>
      <w:tr w:rsidR="007D7D0C" w:rsidRPr="00E764A1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3501CC" w:rsidP="007D7D0C">
            <w:pPr>
              <w:pStyle w:val="Nadpis4"/>
              <w:rPr>
                <w:rFonts w:eastAsia="Times New Roman"/>
              </w:rPr>
            </w:pPr>
            <w:bookmarkStart w:id="24" w:name="_Distanční_a_kombinované"/>
            <w:bookmarkStart w:id="25" w:name="_Toc458676036"/>
            <w:bookmarkEnd w:id="24"/>
            <w:r>
              <w:rPr>
                <w:rFonts w:eastAsia="Times New Roman"/>
              </w:rPr>
              <w:t>Distanční a </w:t>
            </w:r>
            <w:r w:rsidR="007D7D0C" w:rsidRPr="00261428">
              <w:rPr>
                <w:rFonts w:eastAsia="Times New Roman"/>
              </w:rPr>
              <w:t>kombinované studium</w:t>
            </w:r>
            <w:bookmarkEnd w:id="2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Pojem „distanční a kombinované studium“ je v této publikaci užíván výhradně v tabulkách o vzdělávání na </w:t>
            </w:r>
            <w:hyperlink w:anchor="_Vysoká_škola" w:history="1">
              <w:r w:rsidRPr="00436EBC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. Dle </w:t>
            </w:r>
            <w:hyperlink r:id="rId22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Školského zákona</w:t>
              </w:r>
            </w:hyperlink>
            <w:r>
              <w:rPr>
                <w:rFonts w:cs="Arial"/>
                <w:szCs w:val="20"/>
              </w:rPr>
              <w:t xml:space="preserve"> (č. 561/2004 Sb.</w:t>
            </w:r>
            <w:r w:rsidRPr="003B607D">
              <w:rPr>
                <w:rFonts w:cs="Arial"/>
                <w:szCs w:val="20"/>
              </w:rPr>
              <w:t>, § 25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 xml:space="preserve"> je distanční forma vzdělávání samostatné studium uskutečňované převážně nebo zcela prostřednictvím informačních technologií, popřípadě spojené s individuálními konzultacemi.</w:t>
            </w:r>
          </w:p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Kombinovaná forma vzdělávání znamená dle </w:t>
            </w:r>
            <w:hyperlink r:id="rId23" w:history="1">
              <w:r w:rsidRPr="003B607D">
                <w:rPr>
                  <w:rStyle w:val="Hypertextovodkaz"/>
                  <w:rFonts w:cs="Arial"/>
                  <w:szCs w:val="20"/>
                </w:rPr>
                <w:t>Zákona o 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 111/1998 Sb. § 44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 xml:space="preserve"> kombinaci prezenční a distanční formy.</w:t>
            </w:r>
          </w:p>
          <w:p w:rsidR="007D7D0C" w:rsidRPr="00E764A1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Jeden </w:t>
            </w:r>
            <w:r w:rsidRPr="003B607D">
              <w:rPr>
                <w:rFonts w:cs="Arial"/>
                <w:szCs w:val="20"/>
              </w:rPr>
              <w:t>student může být zapsán do více forem vzdělávání, n</w:t>
            </w:r>
            <w:r>
              <w:rPr>
                <w:rFonts w:cs="Arial"/>
                <w:szCs w:val="20"/>
              </w:rPr>
              <w:t>apř. studovat jeden obor v prezenční</w:t>
            </w:r>
            <w:r w:rsidRPr="003B607D">
              <w:rPr>
                <w:rFonts w:cs="Arial"/>
                <w:szCs w:val="20"/>
              </w:rPr>
              <w:t xml:space="preserve"> formě a druhý v </w:t>
            </w:r>
            <w:r>
              <w:rPr>
                <w:rFonts w:cs="Arial"/>
                <w:szCs w:val="20"/>
              </w:rPr>
              <w:t>distanční</w:t>
            </w:r>
            <w:r w:rsidRPr="003B607D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Součet studentů jednotlivých forem vzdělávání tak nemusí odpovídat celkovému počtu studentů. </w:t>
            </w:r>
          </w:p>
        </w:tc>
      </w:tr>
      <w:tr w:rsidR="007D7D0C" w:rsidRPr="003B607D" w:rsidTr="00C7069B">
        <w:trPr>
          <w:trHeight w:val="285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6" w:name="_Doktorský_studijní_program"/>
            <w:bookmarkStart w:id="27" w:name="_Toc458676037"/>
            <w:bookmarkEnd w:id="26"/>
            <w:r>
              <w:rPr>
                <w:rFonts w:eastAsia="Times New Roman"/>
              </w:rPr>
              <w:lastRenderedPageBreak/>
              <w:t>Doktorský studijní program</w:t>
            </w:r>
            <w:bookmarkEnd w:id="2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Doktorský studijní program je zaměřen na vědecké bádání a samostatnou tvůrčí činnost v oblasti výzkumu nebo vývoje nebo na samostatnou teoretickou a tvůrčí činnost v oblasti umění. Standardní doba studia je nejméně tři a nejvýše čtyři roky a je určené pro absolventy </w:t>
            </w:r>
            <w:hyperlink w:anchor="_Magister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magisterského studijního programu</w:t>
              </w:r>
            </w:hyperlink>
            <w:r w:rsidRPr="003B607D">
              <w:rPr>
                <w:rFonts w:cs="Arial"/>
                <w:szCs w:val="20"/>
              </w:rPr>
              <w:t>. Studium v doktorském studijním programu probíhá podle individuálního studijního plánu pod vedením školitele.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Studium se řádně ukončuje státní doktorskou zkouškou a obhajobou disertační práce, kterými se prokazuje schopnost a připravenost k samostatné činnosti v oblasti výzkumu nebo vývoje nebo k samostatné teoretické a tvůrčí umělecké činnosti.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Absolventům studia v doktorských studijních programech se uděluje akademický titul "doktor" (ve zkratce "Ph.D." uváděné za jménem), v oblasti teologie akademický titul "doktor teologie" (ve zkratce "Th.D." uváděné za jménem).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24" w:history="1">
              <w:r w:rsidRPr="003B607D">
                <w:rPr>
                  <w:rStyle w:val="Hypertextovodkaz"/>
                  <w:rFonts w:cs="Arial"/>
                  <w:szCs w:val="20"/>
                </w:rPr>
                <w:t>Zákon o vysokých školách</w:t>
              </w:r>
            </w:hyperlink>
            <w:r w:rsidRPr="006B5110">
              <w:rPr>
                <w:rFonts w:cs="Arial"/>
                <w:szCs w:val="20"/>
              </w:rPr>
              <w:t xml:space="preserve"> (č. 111/1998 Sb., § 47).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8" w:name="_Gymnázium"/>
            <w:bookmarkStart w:id="29" w:name="_Toc458676038"/>
            <w:bookmarkEnd w:id="28"/>
            <w:r w:rsidRPr="00261428">
              <w:rPr>
                <w:rFonts w:eastAsia="Times New Roman"/>
              </w:rPr>
              <w:t>Gymnázi</w:t>
            </w:r>
            <w:r>
              <w:rPr>
                <w:rFonts w:eastAsia="Times New Roman"/>
              </w:rPr>
              <w:t>um</w:t>
            </w:r>
            <w:bookmarkEnd w:id="2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Gymnázia se řadí do </w:t>
            </w:r>
            <w:hyperlink w:anchor="_Střední_vzdělávání_s" w:history="1">
              <w:r w:rsidRPr="003A3E09">
                <w:rPr>
                  <w:rStyle w:val="Hypertextovodkaz"/>
                  <w:rFonts w:cs="Arial"/>
                  <w:szCs w:val="20"/>
                </w:rPr>
                <w:t>středního vzdělávání s maturitní zkouškou</w:t>
              </w:r>
            </w:hyperlink>
            <w:r>
              <w:rPr>
                <w:rFonts w:cs="Arial"/>
                <w:color w:val="000000"/>
                <w:szCs w:val="20"/>
              </w:rPr>
              <w:t xml:space="preserve"> všeobecného zaměření (cílem je tedy připravit žáka pro další studium). </w:t>
            </w:r>
            <w:r w:rsidRPr="003B607D">
              <w:rPr>
                <w:rFonts w:cs="Arial"/>
                <w:color w:val="000000"/>
                <w:szCs w:val="20"/>
              </w:rPr>
              <w:t>Dle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délky studia se gymnázia dělí na </w:t>
            </w:r>
            <w:hyperlink w:anchor="_Čtyř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čtyřletá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Šesti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šestiletá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Osmi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osmiletá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Osmiletá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a šestiletá gymnázia bývají společně nazývána </w:t>
            </w:r>
            <w:hyperlink w:anchor="_Více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víceletými gymnázii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žáci do nich nastupují po ukončení 5., resp. 7. ročníku základní</w:t>
            </w:r>
            <w:r w:rsidR="00C7069B">
              <w:rPr>
                <w:rFonts w:cs="Arial"/>
                <w:color w:val="000000"/>
                <w:szCs w:val="20"/>
              </w:rPr>
              <w:t xml:space="preserve"> školy. V nižších ročnících (1. až </w:t>
            </w:r>
            <w:r w:rsidRPr="003B607D">
              <w:rPr>
                <w:rFonts w:cs="Arial"/>
                <w:color w:val="000000"/>
                <w:szCs w:val="20"/>
              </w:rPr>
              <w:t>4., resp. 1.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 xml:space="preserve">2.) </w:t>
            </w:r>
            <w:r w:rsidR="00C7069B">
              <w:rPr>
                <w:rFonts w:cs="Arial"/>
                <w:color w:val="000000"/>
                <w:szCs w:val="20"/>
              </w:rPr>
              <w:t>žáci</w:t>
            </w:r>
            <w:r w:rsidRPr="003B607D">
              <w:rPr>
                <w:rFonts w:cs="Arial"/>
                <w:color w:val="000000"/>
                <w:szCs w:val="20"/>
              </w:rPr>
              <w:t xml:space="preserve">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>
              <w:t xml:space="preserve"> odpovídající nižšímu sekundárnímu vzdělávání</w:t>
            </w:r>
            <w:r w:rsidRPr="003B607D">
              <w:rPr>
                <w:rFonts w:cs="Arial"/>
                <w:color w:val="000000"/>
                <w:szCs w:val="20"/>
              </w:rPr>
              <w:t>. Ve vyšších ročnících (5.</w:t>
            </w:r>
            <w:r w:rsidR="00C7069B">
              <w:rPr>
                <w:rFonts w:cs="Arial"/>
                <w:color w:val="000000"/>
                <w:szCs w:val="20"/>
              </w:rPr>
              <w:t> až </w:t>
            </w:r>
            <w:r w:rsidRPr="003B607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>, resp. 3.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>
              <w:rPr>
                <w:rFonts w:cs="Arial"/>
                <w:color w:val="000000"/>
                <w:szCs w:val="20"/>
              </w:rPr>
              <w:t>6.) pak vzdělávání ve</w:t>
            </w:r>
            <w:r w:rsidRPr="003B607D">
              <w:rPr>
                <w:rFonts w:cs="Arial"/>
                <w:color w:val="000000"/>
                <w:szCs w:val="20"/>
              </w:rPr>
              <w:t xml:space="preserve"> víceletých gymnáziích odpovídá vzdělávání v 1.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 xml:space="preserve">4. ročníku čtyřletého gymnázia a řadí se do </w:t>
            </w:r>
            <w:hyperlink w:anchor="_Střední_vzdělávání_s" w:history="1">
              <w:r w:rsidRPr="00C7069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vyššího</w:t>
              </w:r>
            </w:hyperlink>
            <w:r w:rsidRPr="003A3E09">
              <w:t xml:space="preserve"> </w:t>
            </w:r>
            <w:r>
              <w:t>sekundárního vzdělávání</w:t>
            </w:r>
            <w:r w:rsidRPr="003B607D">
              <w:rPr>
                <w:rFonts w:cs="Arial"/>
                <w:color w:val="000000"/>
                <w:szCs w:val="20"/>
              </w:rPr>
              <w:t xml:space="preserve"> všeobecného zaměření. </w:t>
            </w:r>
          </w:p>
        </w:tc>
      </w:tr>
      <w:tr w:rsidR="007D7D0C" w:rsidRPr="003B607D" w:rsidTr="007D7D0C">
        <w:trPr>
          <w:trHeight w:val="21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0" w:name="_Toc458676039"/>
            <w:r w:rsidRPr="00261428">
              <w:rPr>
                <w:rFonts w:eastAsia="Times New Roman"/>
              </w:rPr>
              <w:t>KKOV (</w:t>
            </w:r>
            <w:r w:rsidRPr="00261428">
              <w:t>Klasifikace kmenových oborů vzdělání)</w:t>
            </w:r>
            <w:bookmarkEnd w:id="3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bCs/>
                <w:strike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Klasifikace kmenových oborů vzdělání je národní klasifikace, která rozlišuje mezi různými kategoriemi oborů a skupin oborů vzdělávání.</w:t>
            </w:r>
            <w:r w:rsidR="00C7069B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Správcem klasifikace je Ministerstvo školství, mládeže a tělovýchovy.</w:t>
            </w:r>
            <w:r w:rsidRPr="003B607D">
              <w:rPr>
                <w:rFonts w:cs="Arial"/>
                <w:color w:val="000000"/>
                <w:szCs w:val="20"/>
              </w:rPr>
              <w:t xml:space="preserve"> Více viz </w:t>
            </w:r>
            <w:hyperlink r:id="rId25" w:history="1">
              <w:r w:rsidRPr="003B607D">
                <w:rPr>
                  <w:rStyle w:val="Hypertextovodkaz"/>
                  <w:rFonts w:cs="Arial"/>
                  <w:szCs w:val="20"/>
                </w:rPr>
                <w:t>zde</w:t>
              </w:r>
            </w:hyperlink>
            <w:r w:rsidRPr="003B607D">
              <w:rPr>
                <w:rFonts w:cs="Arial"/>
                <w:bCs/>
                <w:szCs w:val="20"/>
              </w:rPr>
              <w:t>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1" w:name="_Toc458676040"/>
            <w:r w:rsidRPr="00261428">
              <w:rPr>
                <w:rFonts w:eastAsia="Times New Roman"/>
              </w:rPr>
              <w:t>Knihovní jednotk</w:t>
            </w:r>
            <w:r>
              <w:rPr>
                <w:rFonts w:eastAsia="Times New Roman"/>
              </w:rPr>
              <w:t>a</w:t>
            </w:r>
            <w:bookmarkEnd w:id="3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F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Jakákoli samostatně evidovaná jednotka z fondu knihovny (např. kniha, časopis, noviny, obraz, fotografie, audio či video dokum</w:t>
            </w:r>
            <w:r w:rsidR="00BF5046">
              <w:rPr>
                <w:rFonts w:cs="Arial"/>
                <w:szCs w:val="20"/>
              </w:rPr>
              <w:t>ent v podobě CD, DVD</w:t>
            </w:r>
            <w:r w:rsidR="00C7069B">
              <w:rPr>
                <w:rFonts w:cs="Arial"/>
                <w:szCs w:val="20"/>
              </w:rPr>
              <w:t xml:space="preserve"> apod.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7D7D0C">
        <w:trPr>
          <w:trHeight w:val="363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2" w:name="_Konzervatoř"/>
            <w:bookmarkStart w:id="33" w:name="_Toc458676041"/>
            <w:bookmarkEnd w:id="32"/>
            <w:r w:rsidRPr="00261428">
              <w:rPr>
                <w:rFonts w:eastAsia="Times New Roman"/>
              </w:rPr>
              <w:t>Konzervatoř</w:t>
            </w:r>
            <w:bookmarkEnd w:id="3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Vzdělávání v konzervatoři rozvíjí znalosti, dovednosti a další schopnosti žáka získané v </w:t>
            </w:r>
            <w:hyperlink w:anchor="_Základní_vzdělávání" w:history="1">
              <w:r w:rsidRPr="00BF5046">
                <w:rPr>
                  <w:rStyle w:val="Hypertextovodkaz"/>
                  <w:rFonts w:cs="Arial"/>
                  <w:szCs w:val="20"/>
                </w:rPr>
                <w:t>základním</w:t>
              </w:r>
            </w:hyperlink>
            <w:r w:rsidRPr="003B607D">
              <w:rPr>
                <w:rFonts w:cs="Arial"/>
                <w:szCs w:val="20"/>
              </w:rPr>
              <w:t xml:space="preserve"> a v </w:t>
            </w:r>
            <w:hyperlink w:anchor="_Základní_umělecká_škola" w:history="1">
              <w:r w:rsidRPr="00BF5046">
                <w:rPr>
                  <w:rStyle w:val="Hypertextovodkaz"/>
                  <w:rFonts w:cs="Arial"/>
                  <w:szCs w:val="20"/>
                </w:rPr>
                <w:t>základním uměleckém vzdělávání</w:t>
              </w:r>
            </w:hyperlink>
            <w:r w:rsidRPr="003B607D">
              <w:rPr>
                <w:rFonts w:cs="Arial"/>
                <w:szCs w:val="20"/>
              </w:rPr>
              <w:t>, poskytuje všeobecné vzdělání a připravuje žáky pro výkon náročných umělec</w:t>
            </w:r>
            <w:r w:rsidR="00C7069B">
              <w:rPr>
                <w:rFonts w:cs="Arial"/>
                <w:szCs w:val="20"/>
              </w:rPr>
              <w:t>kých nebo uměleckých a umělecko-</w:t>
            </w:r>
            <w:r w:rsidRPr="003B607D">
              <w:rPr>
                <w:rFonts w:cs="Arial"/>
                <w:szCs w:val="20"/>
              </w:rPr>
              <w:t xml:space="preserve">pedagogických činností v oborech hudba, tanec, zpěv a hudebně dramatické umění.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 denní formě vzdělávání se konzervatoře dělí dle délky trvání na </w:t>
            </w:r>
            <w:hyperlink w:anchor="_Šestiletá_konzervatoř" w:history="1">
              <w:r w:rsidRPr="00B76367">
                <w:rPr>
                  <w:rStyle w:val="Hypertextovodkaz"/>
                  <w:rFonts w:cs="Arial"/>
                  <w:szCs w:val="20"/>
                </w:rPr>
                <w:t>šestileté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Osmiletá_konzervatoř" w:history="1">
              <w:r w:rsidRPr="00B76367">
                <w:rPr>
                  <w:rStyle w:val="Hypertextovodkaz"/>
                  <w:rFonts w:cs="Arial"/>
                  <w:szCs w:val="20"/>
                </w:rPr>
                <w:t>osmileté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Pro žáky se </w:t>
            </w:r>
            <w:hyperlink w:anchor="_SVP_(speciální_vzdělávací" w:history="1">
              <w:r w:rsidR="00BF5046" w:rsidRPr="00BF5046">
                <w:rPr>
                  <w:rStyle w:val="Hypertextovodkaz"/>
                  <w:rFonts w:cs="Arial"/>
                  <w:szCs w:val="20"/>
                </w:rPr>
                <w:t>speciálními vzdělávacími potřebami (</w:t>
              </w:r>
              <w:r w:rsidRPr="00BF5046">
                <w:rPr>
                  <w:rStyle w:val="Hypertextovodkaz"/>
                  <w:rFonts w:cs="Arial"/>
                  <w:szCs w:val="20"/>
                </w:rPr>
                <w:t>SVP</w:t>
              </w:r>
              <w:r w:rsidR="00BF5046" w:rsidRPr="00BF5046">
                <w:rPr>
                  <w:rStyle w:val="Hypertextovodkaz"/>
                </w:rPr>
                <w:t>)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může být délka studia upravena, </w:t>
            </w:r>
            <w:r w:rsidR="00C7069B">
              <w:rPr>
                <w:rFonts w:cs="Arial"/>
                <w:color w:val="000000"/>
                <w:szCs w:val="20"/>
              </w:rPr>
              <w:t>pro tyto obory konzervatoří</w:t>
            </w:r>
            <w:r w:rsidRPr="003B607D">
              <w:rPr>
                <w:rFonts w:cs="Arial"/>
                <w:color w:val="000000"/>
                <w:szCs w:val="20"/>
              </w:rPr>
              <w:t xml:space="preserve"> se užívá označení „</w:t>
            </w:r>
            <w:hyperlink w:anchor="_Ostatní_konzervatoře" w:history="1">
              <w:r w:rsidRPr="00B76367">
                <w:rPr>
                  <w:rStyle w:val="Hypertextovodkaz"/>
                  <w:rFonts w:cs="Arial"/>
                  <w:szCs w:val="20"/>
                </w:rPr>
                <w:t>ostatní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“.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 </w:t>
            </w:r>
            <w:r w:rsidRPr="00C7069B">
              <w:rPr>
                <w:rFonts w:cs="Arial"/>
                <w:color w:val="000000"/>
                <w:szCs w:val="20"/>
              </w:rPr>
              <w:t>osmiletých</w:t>
            </w:r>
            <w:r w:rsidRPr="003B607D">
              <w:rPr>
                <w:rFonts w:cs="Arial"/>
                <w:color w:val="000000"/>
                <w:szCs w:val="20"/>
              </w:rPr>
              <w:t xml:space="preserve"> konzervatořích žáci v 1. až 4. ročníku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Na konci 8. ročníku skládají maturitní zkoušku a absolutorium, na základě kterého získávají titul Dis.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Do </w:t>
            </w:r>
            <w:r w:rsidRPr="00C7069B">
              <w:rPr>
                <w:rFonts w:cs="Arial"/>
                <w:color w:val="000000"/>
                <w:szCs w:val="20"/>
              </w:rPr>
              <w:t>šestiletých</w:t>
            </w:r>
            <w:r w:rsidRPr="003B607D">
              <w:rPr>
                <w:rFonts w:cs="Arial"/>
                <w:color w:val="000000"/>
                <w:szCs w:val="20"/>
              </w:rPr>
              <w:t xml:space="preserve"> konzervatoří nastupují žáci, kteří již mají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splněnou. Nejdříve po čtyřech letech studia skládají maturitní zkoušku, na konci šestiletého studia skládají absolutorium a získávají titul Dis.</w:t>
            </w:r>
          </w:p>
          <w:p w:rsidR="007D7D0C" w:rsidRPr="003B607D" w:rsidRDefault="007D7D0C" w:rsidP="007D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26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</w:t>
              </w:r>
              <w:r>
                <w:rPr>
                  <w:rStyle w:val="Hypertextovodkaz"/>
                  <w:rFonts w:eastAsia="MS Gothic" w:cs="Arial"/>
                  <w:szCs w:val="20"/>
                </w:rPr>
                <w:t>ý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 xml:space="preserve">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Část pátá</w:t>
            </w:r>
            <w:r w:rsidRPr="003B607D"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4" w:name="_Toc458676042"/>
            <w:r w:rsidRPr="00261428">
              <w:rPr>
                <w:rFonts w:eastAsia="Times New Roman"/>
              </w:rPr>
              <w:t>Kvalifikace</w:t>
            </w:r>
            <w:bookmarkEnd w:id="3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Kvalifikovanost učitelů je posuzována podle </w:t>
            </w:r>
            <w:hyperlink r:id="rId27" w:history="1">
              <w:r w:rsidRPr="003B607D">
                <w:rPr>
                  <w:rStyle w:val="Hypertextovodkaz"/>
                  <w:rFonts w:cs="Arial"/>
                  <w:szCs w:val="20"/>
                </w:rPr>
                <w:t>Zákona o pedagogických pracovnících</w:t>
              </w:r>
            </w:hyperlink>
            <w:r w:rsidRPr="003B607D">
              <w:rPr>
                <w:rFonts w:cs="Arial"/>
                <w:szCs w:val="20"/>
              </w:rPr>
              <w:t xml:space="preserve"> (č. 563/2004 Sb</w:t>
            </w:r>
            <w:r>
              <w:rPr>
                <w:rFonts w:cs="Arial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>), ve znění pozdějších předpisů, a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příslušných výjimek (§ 22 odst. 5 a 6, § 32 odst. 1, § 8, odst. 3, § 9, odst. 8, § 10, odst. 2, § 11).</w:t>
            </w:r>
          </w:p>
        </w:tc>
      </w:tr>
      <w:tr w:rsidR="007D7D0C" w:rsidRPr="003B607D" w:rsidTr="00C7069B">
        <w:trPr>
          <w:trHeight w:val="4412"/>
        </w:trPr>
        <w:tc>
          <w:tcPr>
            <w:tcW w:w="2425" w:type="dxa"/>
            <w:shd w:val="clear" w:color="auto" w:fill="auto"/>
            <w:hideMark/>
          </w:tcPr>
          <w:p w:rsidR="007D7D0C" w:rsidRPr="002450C9" w:rsidRDefault="007D7D0C" w:rsidP="007D7D0C">
            <w:pPr>
              <w:pStyle w:val="Nadpis4"/>
              <w:rPr>
                <w:rFonts w:eastAsia="Times New Roman"/>
              </w:rPr>
            </w:pPr>
            <w:bookmarkStart w:id="35" w:name="_Magisterský_studijní_program"/>
            <w:bookmarkStart w:id="36" w:name="_Toc458676043"/>
            <w:bookmarkEnd w:id="35"/>
            <w:r w:rsidRPr="002450C9">
              <w:rPr>
                <w:rFonts w:eastAsia="Times New Roman"/>
              </w:rPr>
              <w:lastRenderedPageBreak/>
              <w:t>Magisterský studijní program</w:t>
            </w:r>
            <w:bookmarkEnd w:id="3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Magisterský studijní program je zaměřen na získání teoretických poznatků založených na soudobém stavu vědeckého poznání, výzkumu a vývoje, na zvládnutí jejich aplikace a na rozvinutí schopností k tvůrčí činnosti; v oblasti umění je zaměřen na náročnou uměleckou přípravu a rozvíjení talentu.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C7069B">
              <w:rPr>
                <w:rFonts w:cs="Arial"/>
                <w:szCs w:val="20"/>
              </w:rPr>
              <w:t xml:space="preserve">Magisterský studijní program </w:t>
            </w:r>
            <w:r w:rsidR="00227DCA">
              <w:rPr>
                <w:rFonts w:cs="Arial"/>
                <w:szCs w:val="20"/>
              </w:rPr>
              <w:t xml:space="preserve">obvykle </w:t>
            </w:r>
            <w:r w:rsidRPr="00C7069B">
              <w:rPr>
                <w:rFonts w:cs="Arial"/>
                <w:szCs w:val="20"/>
              </w:rPr>
              <w:t>navazuje na</w:t>
            </w:r>
            <w:r w:rsidRPr="003B607D">
              <w:rPr>
                <w:rFonts w:cs="Arial"/>
                <w:b/>
                <w:szCs w:val="20"/>
              </w:rPr>
              <w:t xml:space="preserve"> </w:t>
            </w:r>
            <w:hyperlink w:anchor="_Bakalář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bakalářský studijní program</w:t>
              </w:r>
            </w:hyperlink>
            <w:r w:rsidRPr="003B607D">
              <w:rPr>
                <w:rFonts w:cs="Arial"/>
                <w:szCs w:val="20"/>
              </w:rPr>
              <w:t>; standardní doba tohoto studia je nejméně jeden a nejvýše tři roky. V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případech, kdy to vyžaduje charakter studijního programu</w:t>
            </w:r>
            <w:r w:rsidR="00227DCA">
              <w:rPr>
                <w:rFonts w:cs="Arial"/>
                <w:szCs w:val="20"/>
              </w:rPr>
              <w:t xml:space="preserve"> (např. v oblastech lékařství, práva či umění)</w:t>
            </w:r>
            <w:r w:rsidRPr="003B607D">
              <w:rPr>
                <w:rFonts w:cs="Arial"/>
                <w:szCs w:val="20"/>
              </w:rPr>
              <w:t xml:space="preserve">, může být udělena akreditace magisterskému studijnímu programu, který </w:t>
            </w:r>
            <w:r w:rsidRPr="00C7069B">
              <w:rPr>
                <w:rFonts w:cs="Arial"/>
                <w:szCs w:val="20"/>
              </w:rPr>
              <w:t>nenavazuje na bakalářský studijní program</w:t>
            </w:r>
            <w:r w:rsidR="00227DCA">
              <w:rPr>
                <w:rFonts w:cs="Arial"/>
                <w:szCs w:val="20"/>
              </w:rPr>
              <w:t xml:space="preserve">, </w:t>
            </w:r>
            <w:r w:rsidR="005C7AAD">
              <w:rPr>
                <w:rFonts w:cs="Arial"/>
                <w:szCs w:val="20"/>
              </w:rPr>
              <w:t xml:space="preserve">ale </w:t>
            </w:r>
            <w:r w:rsidRPr="003B607D">
              <w:rPr>
                <w:rFonts w:cs="Arial"/>
                <w:szCs w:val="20"/>
              </w:rPr>
              <w:t xml:space="preserve">je určený pro absolventy </w:t>
            </w:r>
            <w:hyperlink w:anchor="_Střední_vzdělávání_s" w:history="1">
              <w:r w:rsidRPr="00227DCA">
                <w:rPr>
                  <w:rStyle w:val="Hypertextovodkaz"/>
                  <w:rFonts w:cs="Arial"/>
                  <w:szCs w:val="20"/>
                </w:rPr>
                <w:t>středního vzdělávání</w:t>
              </w:r>
              <w:r w:rsidR="00C7069B" w:rsidRPr="00227DCA">
                <w:rPr>
                  <w:rStyle w:val="Hypertextovodkaz"/>
                </w:rPr>
                <w:t xml:space="preserve"> s maturitní zkouškou</w:t>
              </w:r>
            </w:hyperlink>
            <w:r w:rsidR="00227DCA">
              <w:rPr>
                <w:rFonts w:cs="Arial"/>
                <w:szCs w:val="20"/>
              </w:rPr>
              <w:t xml:space="preserve"> a </w:t>
            </w:r>
            <w:r w:rsidR="00227DCA" w:rsidRPr="003B607D">
              <w:rPr>
                <w:rFonts w:cs="Arial"/>
                <w:szCs w:val="20"/>
              </w:rPr>
              <w:t>je</w:t>
            </w:r>
            <w:r w:rsidR="00227DCA">
              <w:rPr>
                <w:rFonts w:cs="Arial"/>
                <w:szCs w:val="20"/>
              </w:rPr>
              <w:t>ho</w:t>
            </w:r>
            <w:r w:rsidR="00227DCA" w:rsidRPr="003B607D">
              <w:rPr>
                <w:rFonts w:cs="Arial"/>
                <w:szCs w:val="20"/>
              </w:rPr>
              <w:t xml:space="preserve"> standardní doba studia </w:t>
            </w:r>
            <w:r w:rsidR="00227DCA">
              <w:rPr>
                <w:rFonts w:cs="Arial"/>
                <w:szCs w:val="20"/>
              </w:rPr>
              <w:t xml:space="preserve">je </w:t>
            </w:r>
            <w:r w:rsidR="00227DCA" w:rsidRPr="003B607D">
              <w:rPr>
                <w:rFonts w:cs="Arial"/>
                <w:szCs w:val="20"/>
              </w:rPr>
              <w:t>nejméně čtyři a</w:t>
            </w:r>
            <w:r w:rsidR="005C7AAD">
              <w:rPr>
                <w:rFonts w:cs="Arial"/>
                <w:szCs w:val="20"/>
              </w:rPr>
              <w:t> </w:t>
            </w:r>
            <w:r w:rsidR="00227DCA" w:rsidRPr="003B607D">
              <w:rPr>
                <w:rFonts w:cs="Arial"/>
                <w:szCs w:val="20"/>
              </w:rPr>
              <w:t>nejvýše šest roků</w:t>
            </w:r>
            <w:r w:rsidRPr="003B607D">
              <w:rPr>
                <w:rFonts w:cs="Arial"/>
                <w:szCs w:val="20"/>
              </w:rPr>
              <w:t xml:space="preserve">. </w:t>
            </w:r>
            <w:r w:rsidR="00227DCA">
              <w:rPr>
                <w:rFonts w:cs="Arial"/>
                <w:szCs w:val="20"/>
              </w:rPr>
              <w:t>V obou případech se s</w:t>
            </w:r>
            <w:r w:rsidRPr="003B607D">
              <w:rPr>
                <w:rFonts w:cs="Arial"/>
                <w:szCs w:val="20"/>
              </w:rPr>
              <w:t>tudium řádně ukončuje státní závěrečnou zkouškou, jejíž součástí</w:t>
            </w:r>
            <w:r>
              <w:rPr>
                <w:rFonts w:cs="Arial"/>
                <w:szCs w:val="20"/>
              </w:rPr>
              <w:t xml:space="preserve"> je obhajoba diplomové práce. V </w:t>
            </w:r>
            <w:r w:rsidRPr="003B607D">
              <w:rPr>
                <w:rFonts w:cs="Arial"/>
                <w:szCs w:val="20"/>
              </w:rPr>
              <w:t xml:space="preserve">oblasti lékařství a veterinárního lékařství a hygieny se studium řádně ukončuje státní rigorózní zkouškou. Více viz </w:t>
            </w:r>
            <w:hyperlink r:id="rId28" w:history="1">
              <w:r w:rsidRPr="003B607D">
                <w:rPr>
                  <w:rStyle w:val="Hypertextovodkaz"/>
                  <w:rFonts w:cs="Arial"/>
                  <w:szCs w:val="20"/>
                </w:rPr>
                <w:t>Zákon o 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111/1998 Sb., § 46). </w:t>
            </w:r>
          </w:p>
          <w:p w:rsidR="007D7D0C" w:rsidRPr="003B607D" w:rsidRDefault="007D7D0C" w:rsidP="005C7AAD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>V tabulkách v této publikaci je sledován „magisterský studijní program“ jako celek (zahrnující navazující i nenavazující magisterský studijní program), nebo v dělení na „magisterský studijní program“ (tj. nenavazující) a</w:t>
            </w:r>
            <w:r w:rsidR="005C7AA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„navazující magisterský studijní program“. 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7" w:name="_Mateřská_škola"/>
            <w:bookmarkStart w:id="38" w:name="_Toc458676044"/>
            <w:bookmarkEnd w:id="37"/>
            <w:r w:rsidRPr="00261428">
              <w:rPr>
                <w:rFonts w:eastAsia="Times New Roman"/>
              </w:rPr>
              <w:t>Mateřská škola</w:t>
            </w:r>
            <w:bookmarkEnd w:id="3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Vzdělávání v mateřské škole spadá do </w:t>
            </w:r>
            <w:hyperlink w:anchor="_Předškol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předškolního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slouží k přípravě dětí od 3 let věku pro vstup do </w:t>
            </w:r>
            <w:hyperlink w:anchor="_Povinná_školní_docházka" w:history="1">
              <w:r w:rsidRPr="00601167">
                <w:rPr>
                  <w:rStyle w:val="Hypertextovodkaz"/>
                  <w:rFonts w:cs="Arial"/>
                  <w:szCs w:val="20"/>
                </w:rPr>
                <w:t>povinné školní docházky</w:t>
              </w:r>
            </w:hyperlink>
            <w:r>
              <w:rPr>
                <w:rFonts w:cs="Arial"/>
                <w:color w:val="000000"/>
                <w:szCs w:val="20"/>
              </w:rPr>
              <w:t xml:space="preserve"> (tj.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do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hyperlink w:anchor="_Základní_škola" w:history="1">
              <w:r w:rsidRPr="00601167">
                <w:rPr>
                  <w:rStyle w:val="Hypertextovodkaz"/>
                  <w:rFonts w:cs="Arial"/>
                  <w:szCs w:val="20"/>
                </w:rPr>
                <w:t>základní školy</w:t>
              </w:r>
            </w:hyperlink>
            <w:r>
              <w:rPr>
                <w:rFonts w:cs="Arial"/>
                <w:color w:val="000000"/>
                <w:szCs w:val="20"/>
              </w:rPr>
              <w:t>)</w:t>
            </w:r>
            <w:r w:rsidRPr="003B607D">
              <w:rPr>
                <w:rFonts w:cs="Arial"/>
                <w:color w:val="000000"/>
                <w:szCs w:val="20"/>
              </w:rPr>
              <w:t xml:space="preserve">. V současné době je docházka do mateřské školy nepovinná. 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9" w:name="_Nástavbové_studium"/>
            <w:bookmarkStart w:id="40" w:name="_Toc458676045"/>
            <w:bookmarkEnd w:id="39"/>
            <w:r w:rsidRPr="00261428">
              <w:rPr>
                <w:rFonts w:eastAsia="Times New Roman"/>
              </w:rPr>
              <w:t>Nástavbové studium</w:t>
            </w:r>
            <w:bookmarkEnd w:id="4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Nástavbové studium je</w:t>
            </w:r>
            <w:r w:rsidR="00C7069B">
              <w:rPr>
                <w:rFonts w:cs="Arial"/>
                <w:color w:val="000000"/>
                <w:szCs w:val="20"/>
              </w:rPr>
              <w:t xml:space="preserve"> studium</w:t>
            </w:r>
            <w:r w:rsidRPr="003B607D">
              <w:rPr>
                <w:rFonts w:cs="Arial"/>
                <w:color w:val="000000"/>
                <w:szCs w:val="20"/>
              </w:rPr>
              <w:t xml:space="preserve"> zakončené maturitní zkouškou a je určené pro uchazeče, kteří získali vzdělání s </w:t>
            </w:r>
            <w:r w:rsidRPr="003B607D">
              <w:rPr>
                <w:rFonts w:cs="Arial"/>
                <w:szCs w:val="20"/>
              </w:rPr>
              <w:t>výučním listem (v délce 3 let denní formy studia) v příbuzném oboru vzdělání. V denní formě trvá dva roky.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29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 xml:space="preserve">č. 561/2004 Sb., </w:t>
            </w:r>
            <w:r w:rsidRPr="003B607D">
              <w:rPr>
                <w:rFonts w:cs="Arial"/>
                <w:szCs w:val="20"/>
              </w:rPr>
              <w:t>§ 83).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1" w:name="_Navazující_magisterský_studijní"/>
            <w:bookmarkStart w:id="42" w:name="_Toc458676046"/>
            <w:bookmarkEnd w:id="41"/>
            <w:r w:rsidRPr="007008D2">
              <w:rPr>
                <w:rFonts w:eastAsia="Times New Roman"/>
              </w:rPr>
              <w:t>Navazující magisterský studijní program</w:t>
            </w:r>
            <w:bookmarkEnd w:id="4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Navazující magisterský studijní program navazuje na </w:t>
            </w:r>
            <w:hyperlink w:anchor="_Bakalářský_studijní_program" w:history="1">
              <w:r w:rsidRPr="005C7AAD">
                <w:rPr>
                  <w:rStyle w:val="Hypertextovodkaz"/>
                  <w:rFonts w:cs="Arial"/>
                  <w:szCs w:val="20"/>
                </w:rPr>
                <w:t>bakalářský studijní program</w:t>
              </w:r>
            </w:hyperlink>
            <w:r w:rsidRPr="003B607D">
              <w:rPr>
                <w:rFonts w:cs="Arial"/>
                <w:szCs w:val="20"/>
              </w:rPr>
              <w:t xml:space="preserve"> a standardní doba tohoto studia je nejméně jeden a nejvýše tři roky. Více viz pojem </w:t>
            </w:r>
            <w:hyperlink w:anchor="_Magister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magisterský studijní program</w:t>
              </w:r>
            </w:hyperlink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3" w:name="_(Nižší)_střední_vzdělání"/>
            <w:bookmarkStart w:id="44" w:name="_Toc458676047"/>
            <w:bookmarkEnd w:id="43"/>
            <w:r>
              <w:rPr>
                <w:rFonts w:eastAsia="Times New Roman"/>
              </w:rPr>
              <w:t>(Nižší) střední vzdělá</w:t>
            </w:r>
            <w:r w:rsidRPr="00261428">
              <w:rPr>
                <w:rFonts w:eastAsia="Times New Roman"/>
              </w:rPr>
              <w:t>ní</w:t>
            </w:r>
            <w:bookmarkEnd w:id="44"/>
            <w:r w:rsidRPr="00261428">
              <w:rPr>
                <w:rFonts w:eastAsia="Times New Roman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(Nižší) střední vzdělá</w:t>
            </w:r>
            <w:r w:rsidR="00610830">
              <w:rPr>
                <w:rFonts w:cs="Arial"/>
                <w:color w:val="000000"/>
                <w:szCs w:val="20"/>
              </w:rPr>
              <w:t>ní je ve statistikách Ministerstva školství, mládeže a tělovýchovy</w:t>
            </w:r>
            <w:r w:rsidRPr="003B607D">
              <w:rPr>
                <w:rFonts w:cs="Arial"/>
                <w:color w:val="000000"/>
                <w:szCs w:val="20"/>
              </w:rPr>
              <w:t xml:space="preserve"> i </w:t>
            </w:r>
            <w:r w:rsidR="00C7069B" w:rsidRPr="003B607D">
              <w:rPr>
                <w:rFonts w:cs="Arial"/>
                <w:color w:val="000000"/>
                <w:szCs w:val="20"/>
              </w:rPr>
              <w:t>v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r:id="rId30" w:history="1">
              <w:r w:rsidRPr="003B607D">
                <w:rPr>
                  <w:rStyle w:val="Hypertextovodkaz"/>
                  <w:rFonts w:cs="Arial"/>
                  <w:szCs w:val="20"/>
                </w:rPr>
                <w:t>Školském zákoně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(č.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561/2004 Sb.</w:t>
            </w:r>
            <w:r>
              <w:rPr>
                <w:rFonts w:cs="Arial"/>
                <w:szCs w:val="20"/>
              </w:rPr>
              <w:t xml:space="preserve">, </w:t>
            </w:r>
            <w:r w:rsidRPr="00DB2EA8">
              <w:rPr>
                <w:rFonts w:cs="Arial"/>
                <w:color w:val="000000"/>
                <w:szCs w:val="20"/>
              </w:rPr>
              <w:t>§ 58</w:t>
            </w:r>
            <w:r w:rsidRPr="003B607D">
              <w:rPr>
                <w:rFonts w:cs="Arial"/>
                <w:szCs w:val="20"/>
              </w:rPr>
              <w:t>)</w:t>
            </w:r>
            <w:r w:rsidRPr="00DB2EA8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color w:val="000000"/>
                <w:szCs w:val="20"/>
              </w:rPr>
              <w:t xml:space="preserve">označováno jako </w:t>
            </w:r>
            <w:r w:rsidRPr="00C7069B">
              <w:rPr>
                <w:rFonts w:cs="Arial"/>
                <w:color w:val="000000"/>
                <w:szCs w:val="20"/>
              </w:rPr>
              <w:t>střední vzdělání</w:t>
            </w:r>
            <w:r w:rsidRPr="003B607D">
              <w:rPr>
                <w:rFonts w:cs="Arial"/>
                <w:color w:val="000000"/>
                <w:szCs w:val="20"/>
              </w:rPr>
              <w:t xml:space="preserve">. Řadí se do širší kategorie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jsou jím označovány (zpravidla dvouleté) studijní programy ukončené závěrečnou zkouškou (tj. bez získání výučního listu či maturitního vysvědčení). Do tohoto druhu vzdělávání patří také 1</w:t>
            </w:r>
            <w:r w:rsidR="00C7069B">
              <w:rPr>
                <w:rFonts w:cs="Arial"/>
                <w:color w:val="000000"/>
                <w:szCs w:val="20"/>
              </w:rPr>
              <w:t> až </w:t>
            </w:r>
            <w:r w:rsidRPr="003B607D">
              <w:rPr>
                <w:rFonts w:cs="Arial"/>
                <w:color w:val="000000"/>
                <w:szCs w:val="20"/>
              </w:rPr>
              <w:t>2leté vzdělávání v oboru rodinné školy, které je určeno pro žáky s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těžšími a kombinovanými formami zdravotního postižení.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5C7AAD">
            <w:pPr>
              <w:pStyle w:val="Nadpis4"/>
              <w:rPr>
                <w:rFonts w:eastAsia="Times New Roman"/>
              </w:rPr>
            </w:pPr>
            <w:bookmarkStart w:id="45" w:name="_Toc458676048"/>
            <w:r w:rsidRPr="00261428">
              <w:rPr>
                <w:rFonts w:eastAsia="Times New Roman"/>
              </w:rPr>
              <w:t xml:space="preserve">Nově přijatí </w:t>
            </w:r>
            <w:r w:rsidR="005C7AAD">
              <w:rPr>
                <w:rFonts w:eastAsia="Times New Roman"/>
              </w:rPr>
              <w:t>d</w:t>
            </w:r>
            <w:r w:rsidRPr="00261428">
              <w:rPr>
                <w:rFonts w:eastAsia="Times New Roman"/>
              </w:rPr>
              <w:t>o</w:t>
            </w:r>
            <w:r w:rsidR="005C7AAD">
              <w:rPr>
                <w:rFonts w:eastAsia="Times New Roman"/>
              </w:rPr>
              <w:t xml:space="preserve"> </w:t>
            </w:r>
            <w:r w:rsidR="003501CC">
              <w:rPr>
                <w:rFonts w:eastAsia="Times New Roman"/>
              </w:rPr>
              <w:t>1. </w:t>
            </w:r>
            <w:r w:rsidRPr="00261428">
              <w:rPr>
                <w:rFonts w:eastAsia="Times New Roman"/>
              </w:rPr>
              <w:t>ročníku</w:t>
            </w:r>
            <w:bookmarkEnd w:id="4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Do nově přijatých do 1. ročníku jsou zahrnuti všichni žáci přijatí do 1.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ročníku bez žáků, kteří opakují 1. ročník, a bez žáků, kteří ve studiu pokračují po jeho přerušení.</w:t>
            </w:r>
          </w:p>
        </w:tc>
      </w:tr>
      <w:tr w:rsidR="007D7D0C" w:rsidRPr="003B607D" w:rsidTr="007D7D0C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6" w:name="_Osmileté_gymnázium"/>
            <w:bookmarkStart w:id="47" w:name="_Toc458676049"/>
            <w:bookmarkEnd w:id="46"/>
            <w:r>
              <w:rPr>
                <w:rFonts w:eastAsia="Times New Roman"/>
              </w:rPr>
              <w:t>Osmileté gymnázium</w:t>
            </w:r>
            <w:bookmarkEnd w:id="4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Osmileté gymnázium se řadí do kategorie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všeobecného</w:t>
            </w:r>
            <w:r w:rsidR="00C7069B">
              <w:rPr>
                <w:rFonts w:cs="Arial"/>
                <w:color w:val="000000"/>
                <w:szCs w:val="20"/>
              </w:rPr>
              <w:t xml:space="preserve"> zaměření a poskytuje nižší (1. až </w:t>
            </w:r>
            <w:r w:rsidRPr="003B607D">
              <w:rPr>
                <w:rFonts w:cs="Arial"/>
                <w:color w:val="000000"/>
                <w:szCs w:val="20"/>
              </w:rPr>
              <w:t>4. ročník) a vyšší (5.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>8. ročník) sekundární vzdělávání. Spolu s </w:t>
            </w:r>
            <w:hyperlink w:anchor="_Šest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šestiletým gymnáziem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bývá též označováno jako </w:t>
            </w:r>
            <w:hyperlink w:anchor="_Více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víceleté 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(viz též výklad k pojmu </w:t>
            </w:r>
            <w:hyperlink w:anchor="_Gymnázium" w:history="1">
              <w:r w:rsidRPr="003B607D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>).</w:t>
            </w:r>
          </w:p>
        </w:tc>
      </w:tr>
      <w:tr w:rsidR="007D7D0C" w:rsidRPr="003B607D" w:rsidTr="007D7D0C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8" w:name="_Osmiletá_konzervatoř"/>
            <w:bookmarkStart w:id="49" w:name="_Toc458676050"/>
            <w:bookmarkEnd w:id="48"/>
            <w:r w:rsidRPr="00261428">
              <w:rPr>
                <w:rFonts w:eastAsia="Times New Roman"/>
              </w:rPr>
              <w:t>Osmiletá konzervatoř</w:t>
            </w:r>
            <w:bookmarkEnd w:id="4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028DB" w:rsidRDefault="007D7D0C" w:rsidP="004028D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 osmiletých konzervatořích žáci v 1. až 4. ročníku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Na konci 8. ročníku skládají maturitní zkoušku (tj. dokončí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) a následně absolutorium, na základě kterého získávají titul Dis. (tj. dokončí </w:t>
            </w:r>
            <w:hyperlink w:anchor="_Vyšší_odborné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vyšší odborné vzdělání</w:t>
              </w:r>
            </w:hyperlink>
            <w:r w:rsidR="004028DB">
              <w:rPr>
                <w:rFonts w:cs="Arial"/>
                <w:color w:val="000000"/>
                <w:szCs w:val="20"/>
              </w:rPr>
              <w:t xml:space="preserve"> na konzervatoři).</w:t>
            </w:r>
          </w:p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Viz též výklad u pojmu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6645B1" w:rsidTr="0091461C">
        <w:trPr>
          <w:trHeight w:val="427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1461C">
            <w:pPr>
              <w:pStyle w:val="Nadpis4"/>
              <w:rPr>
                <w:rFonts w:eastAsia="Times New Roman"/>
              </w:rPr>
            </w:pPr>
            <w:bookmarkStart w:id="50" w:name="_Ostatní_formy_vzdělávání"/>
            <w:bookmarkStart w:id="51" w:name="_Toc458676051"/>
            <w:bookmarkEnd w:id="50"/>
            <w:r w:rsidRPr="00261428">
              <w:rPr>
                <w:rFonts w:eastAsia="Times New Roman"/>
              </w:rPr>
              <w:lastRenderedPageBreak/>
              <w:t>Ostatní formy vzdělávání</w:t>
            </w:r>
            <w:bookmarkEnd w:id="5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4028DB" w:rsidRDefault="007D7D0C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sz w:val="20"/>
                <w:szCs w:val="20"/>
              </w:rPr>
              <w:t xml:space="preserve">Pojem „ostatní formy vzdělávání“ je v této publikaci užíván výhradně v tabulkách o </w:t>
            </w:r>
            <w:hyperlink w:anchor="_Střední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středním</w:t>
              </w:r>
            </w:hyperlink>
            <w:r w:rsidRPr="004028DB">
              <w:rPr>
                <w:rFonts w:ascii="Arial" w:hAnsi="Arial" w:cs="Arial"/>
                <w:sz w:val="20"/>
                <w:szCs w:val="20"/>
              </w:rPr>
              <w:t xml:space="preserve"> a </w:t>
            </w:r>
            <w:hyperlink w:anchor="_Vyšší_odborné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vyšším odborném vzdělávání</w:t>
              </w:r>
            </w:hyperlink>
            <w:r w:rsidRPr="004028D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028DB">
              <w:rPr>
                <w:rFonts w:ascii="Arial" w:hAnsi="Arial" w:cs="Arial"/>
                <w:sz w:val="20"/>
                <w:szCs w:val="20"/>
              </w:rPr>
              <w:t>označuje jakékoli jiné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169">
              <w:rPr>
                <w:rFonts w:ascii="Arial" w:hAnsi="Arial" w:cs="Arial"/>
                <w:sz w:val="20"/>
                <w:szCs w:val="20"/>
              </w:rPr>
              <w:t>formy vzdělávání</w:t>
            </w:r>
            <w:r w:rsidR="004028DB">
              <w:rPr>
                <w:rFonts w:ascii="Arial" w:hAnsi="Arial" w:cs="Arial"/>
                <w:sz w:val="20"/>
                <w:szCs w:val="20"/>
              </w:rPr>
              <w:t xml:space="preserve"> než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Denní_forma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denní</w:t>
              </w:r>
            </w:hyperlink>
            <w:r w:rsidRPr="004028DB">
              <w:rPr>
                <w:rFonts w:ascii="Arial" w:hAnsi="Arial" w:cs="Arial"/>
                <w:sz w:val="20"/>
                <w:szCs w:val="20"/>
              </w:rPr>
              <w:t>. Mezi tyto formy vzdělávání řadíme večerní, dálkovou, distanční a kombinovanou formu.</w:t>
            </w:r>
          </w:p>
          <w:p w:rsidR="007D7D0C" w:rsidRPr="004028DB" w:rsidRDefault="007D7D0C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iCs/>
                <w:sz w:val="20"/>
                <w:szCs w:val="20"/>
              </w:rPr>
              <w:t xml:space="preserve">Ve </w:t>
            </w:r>
            <w:hyperlink r:id="rId31" w:history="1">
              <w:r w:rsidRPr="004028DB">
                <w:rPr>
                  <w:rStyle w:val="Hypertextovodkaz"/>
                  <w:rFonts w:ascii="Arial" w:eastAsia="MS Gothic" w:hAnsi="Arial" w:cs="Arial"/>
                  <w:iCs/>
                  <w:sz w:val="20"/>
                  <w:szCs w:val="20"/>
                </w:rPr>
                <w:t>Školském zákoně</w:t>
              </w:r>
            </w:hyperlink>
            <w:r w:rsidRPr="004028DB">
              <w:rPr>
                <w:rFonts w:ascii="Arial" w:hAnsi="Arial" w:cs="Arial"/>
                <w:sz w:val="20"/>
                <w:szCs w:val="20"/>
              </w:rPr>
              <w:t xml:space="preserve"> (č. 561/2004 Sb., § 25) jsou tyto formy vzdělávání definovány následovně: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Večerní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je výuka organizovaná pravidelně několikrát v týdnu v rozsahu 10 až 18 hodin týdně v průběhu školního roku zpravidla v odpoledních a večerních hodinách.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Dálkovou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je myšleno samostatné studium spojené s konzultacemi v rozsahu 200 až 220 konzultačních hodin ve školním roce</w:t>
            </w:r>
            <w:r w:rsidRPr="004028D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Distanční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se rozumí samostatné studium uskutečňované převážně nebo zcela prostřednictvím informačních technologií, popřípadě spojené s individuálními konzultacemi.</w:t>
            </w:r>
          </w:p>
          <w:p w:rsidR="007D7D0C" w:rsidRDefault="007D7D0C" w:rsidP="009146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4028DB">
              <w:rPr>
                <w:rFonts w:cs="Arial"/>
                <w:bCs/>
                <w:szCs w:val="20"/>
              </w:rPr>
              <w:t>Kombinovanou formou vzdělávání</w:t>
            </w:r>
            <w:r w:rsidRPr="004028DB">
              <w:rPr>
                <w:rFonts w:cs="Arial"/>
                <w:szCs w:val="20"/>
              </w:rPr>
              <w:t xml:space="preserve"> je střídání </w:t>
            </w:r>
            <w:r w:rsidRPr="0091461C">
              <w:rPr>
                <w:rFonts w:eastAsia="MS Gothic" w:cs="Arial"/>
                <w:szCs w:val="20"/>
              </w:rPr>
              <w:t>denní</w:t>
            </w:r>
            <w:r w:rsidRPr="004028DB">
              <w:rPr>
                <w:rFonts w:cs="Arial"/>
                <w:szCs w:val="20"/>
              </w:rPr>
              <w:t xml:space="preserve"> a jiné formy vzdělávání stanovené tímto zákonem.</w:t>
            </w:r>
          </w:p>
          <w:p w:rsidR="0091461C" w:rsidRPr="004028DB" w:rsidRDefault="0091461C" w:rsidP="0091461C">
            <w:pPr>
              <w:spacing w:after="0" w:line="240" w:lineRule="auto"/>
              <w:ind w:left="720"/>
              <w:jc w:val="both"/>
              <w:rPr>
                <w:rFonts w:cs="Arial"/>
                <w:szCs w:val="20"/>
              </w:rPr>
            </w:pPr>
          </w:p>
          <w:p w:rsidR="007D7D0C" w:rsidRPr="006645B1" w:rsidRDefault="007D7D0C" w:rsidP="004028DB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4028DB">
              <w:rPr>
                <w:rFonts w:cs="Arial"/>
                <w:szCs w:val="20"/>
              </w:rPr>
              <w:t>Jeden žák/student může být zapsán do více forem vzdělávání, např.</w:t>
            </w:r>
            <w:r w:rsidR="004028DB">
              <w:rPr>
                <w:rFonts w:cs="Arial"/>
                <w:szCs w:val="20"/>
              </w:rPr>
              <w:t> </w:t>
            </w:r>
            <w:r w:rsidRPr="004028DB">
              <w:rPr>
                <w:rFonts w:cs="Arial"/>
                <w:szCs w:val="20"/>
              </w:rPr>
              <w:t>studovat jeden obor v denní formě a druhý v dálkové. Součet</w:t>
            </w:r>
            <w:r w:rsidR="004028DB">
              <w:rPr>
                <w:rFonts w:cs="Arial"/>
                <w:szCs w:val="20"/>
              </w:rPr>
              <w:t> </w:t>
            </w:r>
            <w:r w:rsidRPr="004028DB">
              <w:rPr>
                <w:rFonts w:cs="Arial"/>
                <w:szCs w:val="20"/>
              </w:rPr>
              <w:t>žáků/studentů jednotlivých forem vzdělávání tak nemusí odpovídat celkovému počtu žáků/studentů.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7D7D0C" w:rsidRPr="003B607D" w:rsidTr="0091461C">
        <w:trPr>
          <w:trHeight w:val="36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1461C">
            <w:pPr>
              <w:pStyle w:val="Nadpis4"/>
              <w:rPr>
                <w:rFonts w:eastAsia="Times New Roman"/>
              </w:rPr>
            </w:pPr>
            <w:bookmarkStart w:id="52" w:name="_Ostatní_konzervatoře"/>
            <w:bookmarkStart w:id="53" w:name="_Toc458676052"/>
            <w:bookmarkEnd w:id="52"/>
            <w:r w:rsidRPr="00261428">
              <w:rPr>
                <w:rFonts w:eastAsia="Times New Roman"/>
              </w:rPr>
              <w:t>Ostatní konzervatoře</w:t>
            </w:r>
            <w:bookmarkEnd w:id="5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1461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Ostatní konzervatoře jsou jiné konzer</w:t>
            </w:r>
            <w:r>
              <w:rPr>
                <w:rFonts w:cs="Arial"/>
                <w:color w:val="000000"/>
                <w:szCs w:val="20"/>
              </w:rPr>
              <w:t xml:space="preserve">vatoře než </w:t>
            </w:r>
            <w:hyperlink w:anchor="_Šestiletá_konzervatoř" w:history="1">
              <w:r w:rsidRPr="005E1E49">
                <w:rPr>
                  <w:rStyle w:val="Hypertextovodkaz"/>
                  <w:rFonts w:cs="Arial"/>
                  <w:szCs w:val="20"/>
                </w:rPr>
                <w:t>šestileté</w:t>
              </w:r>
            </w:hyperlink>
            <w:r>
              <w:rPr>
                <w:rFonts w:cs="Arial"/>
                <w:color w:val="000000"/>
                <w:szCs w:val="20"/>
              </w:rPr>
              <w:t xml:space="preserve"> a </w:t>
            </w:r>
            <w:hyperlink w:anchor="_Osmiletá_konzervatoř" w:history="1">
              <w:r w:rsidRPr="005E1E49">
                <w:rPr>
                  <w:rStyle w:val="Hypertextovodkaz"/>
                  <w:rFonts w:cs="Arial"/>
                  <w:szCs w:val="20"/>
                </w:rPr>
                <w:t>osmileté</w:t>
              </w:r>
            </w:hyperlink>
            <w:r>
              <w:rPr>
                <w:rFonts w:cs="Arial"/>
                <w:color w:val="000000"/>
                <w:szCs w:val="20"/>
              </w:rPr>
              <w:t>. Tyto konzervatoře</w:t>
            </w:r>
            <w:r w:rsidR="004028DB">
              <w:rPr>
                <w:rFonts w:cs="Arial"/>
                <w:color w:val="000000"/>
                <w:szCs w:val="20"/>
              </w:rPr>
              <w:t xml:space="preserve"> jsou určené pro žáky se</w:t>
            </w:r>
            <w:r w:rsidR="0091461C">
              <w:rPr>
                <w:rFonts w:cs="Arial"/>
                <w:color w:val="000000"/>
                <w:szCs w:val="20"/>
              </w:rPr>
              <w:t xml:space="preserve"> </w:t>
            </w:r>
            <w:hyperlink w:anchor="_SVP_(speciální_vzdělávací" w:history="1">
              <w:r w:rsidR="0091461C" w:rsidRPr="0091461C">
                <w:rPr>
                  <w:rStyle w:val="Hypertextovodkaz"/>
                  <w:rFonts w:cs="Arial"/>
                  <w:szCs w:val="20"/>
                </w:rPr>
                <w:t>speciálními vzdělávacími potřebami (</w:t>
              </w:r>
              <w:r w:rsidRPr="0091461C">
                <w:rPr>
                  <w:rStyle w:val="Hypertextovodkaz"/>
                  <w:rFonts w:cs="Arial"/>
                  <w:szCs w:val="20"/>
                </w:rPr>
                <w:t>SVP</w:t>
              </w:r>
              <w:r w:rsidR="0091461C" w:rsidRPr="0091461C">
                <w:rPr>
                  <w:rStyle w:val="Hypertextovodkaz"/>
                </w:rPr>
                <w:t>)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(viz též </w:t>
            </w:r>
            <w:r>
              <w:rPr>
                <w:rFonts w:cs="Arial"/>
                <w:color w:val="000000"/>
                <w:szCs w:val="20"/>
              </w:rPr>
              <w:t xml:space="preserve">výklad </w:t>
            </w:r>
            <w:r w:rsidRPr="003B607D">
              <w:rPr>
                <w:rFonts w:cs="Arial"/>
                <w:color w:val="000000"/>
                <w:szCs w:val="20"/>
              </w:rPr>
              <w:t xml:space="preserve">pojmu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</w:t>
              </w:r>
            </w:hyperlink>
            <w:r w:rsidRPr="003B607D"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7D7D0C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4" w:name="_Pedagogický_pracovník"/>
            <w:bookmarkStart w:id="55" w:name="_Toc458676053"/>
            <w:bookmarkEnd w:id="54"/>
            <w:r w:rsidRPr="00261428">
              <w:rPr>
                <w:rFonts w:eastAsia="Times New Roman"/>
              </w:rPr>
              <w:t>Pedagogický pracovník</w:t>
            </w:r>
            <w:bookmarkEnd w:id="5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4028DB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Pedagogickým pracovníkem je ten, kdo koná přímou vyučovací, přímou výchovnou, přímou speciálně pedagogickou nebo přímou pedagogicko-</w:t>
            </w:r>
            <w:r w:rsidR="004028DB">
              <w:rPr>
                <w:rFonts w:cs="Arial"/>
                <w:color w:val="000000"/>
                <w:szCs w:val="20"/>
              </w:rPr>
              <w:t>p</w:t>
            </w:r>
            <w:r w:rsidRPr="003B607D">
              <w:rPr>
                <w:rFonts w:cs="Arial"/>
                <w:color w:val="000000"/>
                <w:szCs w:val="20"/>
              </w:rPr>
              <w:t>sychologickou činnost. Taková činnost se vyznačuje přímým působením na vzdělávaného, pomocí kterého je uskutečňována výchova a vzdělávání na základě zvláštního právního předpisu ("přímá pedagogická činnost").</w:t>
            </w:r>
            <w:r w:rsidRPr="003B607D">
              <w:rPr>
                <w:rFonts w:cs="Arial"/>
                <w:color w:val="000000"/>
                <w:szCs w:val="20"/>
              </w:rPr>
              <w:br/>
            </w:r>
            <w:r w:rsidRPr="004028DB">
              <w:rPr>
                <w:rFonts w:cs="Arial"/>
                <w:color w:val="000000"/>
                <w:szCs w:val="20"/>
              </w:rPr>
              <w:t xml:space="preserve">Na úrovni </w:t>
            </w:r>
            <w:hyperlink w:anchor="_Předškolní_vzdělávání" w:history="1">
              <w:r w:rsidRPr="004028DB">
                <w:rPr>
                  <w:rStyle w:val="Hypertextovodkaz"/>
                  <w:rFonts w:cs="Arial"/>
                  <w:szCs w:val="20"/>
                </w:rPr>
                <w:t>předškolního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až </w:t>
            </w:r>
            <w:hyperlink w:anchor="_Vyšší_odborné_vzdělávání" w:history="1">
              <w:r w:rsidRPr="004028DB">
                <w:rPr>
                  <w:rStyle w:val="Hypertextovodkaz"/>
                  <w:rFonts w:cs="Arial"/>
                  <w:szCs w:val="20"/>
                </w:rPr>
                <w:t>vyššího odborného vzdělávání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se mezi pedagogické pracovníky řadí </w:t>
            </w:r>
            <w:hyperlink w:anchor="_Učitel" w:history="1">
              <w:r w:rsidRPr="004028DB">
                <w:rPr>
                  <w:rStyle w:val="Hypertextovodkaz"/>
                  <w:rFonts w:cs="Arial"/>
                  <w:szCs w:val="20"/>
                </w:rPr>
                <w:t>učitelé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, vychovatelé, speciální pedagogové, psychologové, pedagogové volného času, asistenti pedagoga, trenéři, vedoucí pedagogičtí pracovníci (viz </w:t>
            </w:r>
            <w:hyperlink r:id="rId32" w:history="1">
              <w:r w:rsidRPr="004028DB">
                <w:rPr>
                  <w:rStyle w:val="Hypertextovodkaz"/>
                  <w:rFonts w:cs="Arial"/>
                  <w:szCs w:val="20"/>
                </w:rPr>
                <w:t>Zákon o pedagogických pracovnících</w:t>
              </w:r>
            </w:hyperlink>
            <w:r w:rsidRPr="004028DB">
              <w:rPr>
                <w:rFonts w:cs="Arial"/>
                <w:szCs w:val="20"/>
              </w:rPr>
              <w:t>, č. 563/2004 Sb</w:t>
            </w:r>
            <w:r w:rsidR="000D5169">
              <w:rPr>
                <w:rFonts w:cs="Arial"/>
                <w:szCs w:val="20"/>
              </w:rPr>
              <w:t>.</w:t>
            </w:r>
            <w:r w:rsidRPr="004028DB">
              <w:rPr>
                <w:rFonts w:cs="Arial"/>
                <w:color w:val="000000"/>
                <w:szCs w:val="20"/>
              </w:rPr>
              <w:t xml:space="preserve">, </w:t>
            </w:r>
            <w:r w:rsidRPr="004028DB">
              <w:rPr>
                <w:rFonts w:cs="Arial"/>
                <w:szCs w:val="20"/>
              </w:rPr>
              <w:t>§</w:t>
            </w:r>
            <w:r w:rsidRPr="004028DB">
              <w:rPr>
                <w:rFonts w:cs="Arial"/>
                <w:color w:val="000000"/>
                <w:szCs w:val="20"/>
              </w:rPr>
              <w:t xml:space="preserve"> 2, odstavce 1, 2).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028DB">
              <w:rPr>
                <w:rFonts w:cs="Arial"/>
                <w:color w:val="000000"/>
                <w:szCs w:val="20"/>
              </w:rPr>
              <w:t xml:space="preserve">Na úrovni </w:t>
            </w:r>
            <w:hyperlink w:anchor="_Vysoká_škola" w:history="1">
              <w:r w:rsidRPr="0091461C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jsou</w:t>
            </w:r>
            <w:r w:rsidRPr="003B607D">
              <w:rPr>
                <w:rFonts w:cs="Arial"/>
                <w:color w:val="000000"/>
                <w:szCs w:val="20"/>
              </w:rPr>
              <w:t xml:space="preserve"> pod pedagogické pracovníky zahrnuti pedagogičtí pracovníci vědy a výzkumu, profesoři, docenti, odborní asistenti, asistenti, lektoři a vědečtí pracovníci.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6" w:name="_Povinná_školní_docházka"/>
            <w:bookmarkStart w:id="57" w:name="_Toc458676054"/>
            <w:bookmarkEnd w:id="56"/>
            <w:r w:rsidRPr="00261428">
              <w:rPr>
                <w:rFonts w:eastAsia="Times New Roman"/>
              </w:rPr>
              <w:t>Povinná školní docházka</w:t>
            </w:r>
            <w:bookmarkEnd w:id="5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bookmarkStart w:id="58" w:name="_Toc431985621"/>
            <w:r w:rsidRPr="003B607D">
              <w:rPr>
                <w:rFonts w:cs="Arial"/>
                <w:szCs w:val="20"/>
              </w:rPr>
              <w:t>Školní docházka je povinná po dobu devíti školních roků, nejvýše však do konce školního roku, v němž žák dosáhne sedmnáctého roku věku. Povinná školní docházka se vztahuje na státní občany České republiky a na občany jiného členského státu Evropské unie, kteří na území České repu</w:t>
            </w:r>
            <w:r w:rsidR="0091461C">
              <w:rPr>
                <w:rFonts w:cs="Arial"/>
                <w:szCs w:val="20"/>
              </w:rPr>
              <w:t xml:space="preserve">bliky pobývají déle než 90 dnů, </w:t>
            </w:r>
            <w:r w:rsidRPr="003B607D">
              <w:rPr>
                <w:rFonts w:cs="Arial"/>
                <w:szCs w:val="20"/>
              </w:rPr>
              <w:t>cizince, kteří jsou oprávněni pobývat na území České republiky trvale nebo pře</w:t>
            </w:r>
            <w:r w:rsidR="0091461C">
              <w:rPr>
                <w:rFonts w:cs="Arial"/>
                <w:szCs w:val="20"/>
              </w:rPr>
              <w:t>chodně po dobu delší než 90 dnů,</w:t>
            </w:r>
            <w:r w:rsidRPr="003B607D">
              <w:rPr>
                <w:rFonts w:cs="Arial"/>
                <w:szCs w:val="20"/>
              </w:rPr>
              <w:t xml:space="preserve"> a na účastníky řízení o udělení mezinárodní ochrany. Povinná</w:t>
            </w:r>
            <w:r w:rsidR="0091461C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školní docházka začíná počátkem školního roku, který následuje po dni, kdy dítě dosáhne šestého roku věku, pokud mu není povolen odklad.</w:t>
            </w:r>
            <w:bookmarkEnd w:id="58"/>
            <w:r w:rsidRPr="003B607D">
              <w:rPr>
                <w:rFonts w:cs="Arial"/>
                <w:szCs w:val="20"/>
              </w:rPr>
              <w:t xml:space="preserve"> Viz </w:t>
            </w:r>
            <w:hyperlink r:id="rId33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36</w:t>
            </w:r>
            <w:r w:rsidRPr="003B607D">
              <w:rPr>
                <w:rFonts w:cs="Arial"/>
                <w:szCs w:val="20"/>
              </w:rPr>
              <w:t>).</w:t>
            </w:r>
            <w:r w:rsidRPr="003B607D">
              <w:rPr>
                <w:rFonts w:cs="Arial"/>
                <w:color w:val="000000"/>
                <w:szCs w:val="20"/>
              </w:rPr>
              <w:tab/>
            </w:r>
          </w:p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 ČR se povinná školní docházka uskutečňuje v </w:t>
            </w:r>
            <w:hyperlink w:anchor="_Základní_škola" w:history="1">
              <w:r w:rsidRPr="003B607D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v 1.</w:t>
            </w:r>
            <w:r w:rsidR="004028DB">
              <w:rPr>
                <w:rFonts w:cs="Arial"/>
                <w:color w:val="000000"/>
                <w:szCs w:val="20"/>
              </w:rPr>
              <w:t xml:space="preserve"> až </w:t>
            </w:r>
            <w:r w:rsidRPr="003B607D">
              <w:rPr>
                <w:rFonts w:cs="Arial"/>
                <w:color w:val="000000"/>
                <w:szCs w:val="20"/>
              </w:rPr>
              <w:t xml:space="preserve">4. ročníku </w:t>
            </w:r>
            <w:hyperlink w:anchor="_Osm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osmiletého gymnázia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či </w:t>
            </w:r>
            <w:hyperlink w:anchor="_Osmiletá_konzervatoř" w:history="1">
              <w:r w:rsidRPr="003B607D">
                <w:rPr>
                  <w:rStyle w:val="Hypertextovodkaz"/>
                  <w:rFonts w:cs="Arial"/>
                  <w:szCs w:val="20"/>
                </w:rPr>
                <w:t>osmileté konzervatoře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v 1.</w:t>
            </w:r>
            <w:r w:rsidR="004028D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 xml:space="preserve">2. ročníku </w:t>
            </w:r>
            <w:hyperlink w:anchor="_Šest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šestiletého gymnázia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</w:tc>
      </w:tr>
      <w:tr w:rsidR="007D7D0C" w:rsidRPr="003B607D" w:rsidTr="004028DB">
        <w:trPr>
          <w:trHeight w:val="242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9" w:name="_Toc458676055"/>
            <w:r w:rsidRPr="00261428">
              <w:rPr>
                <w:rFonts w:eastAsia="Times New Roman"/>
              </w:rPr>
              <w:lastRenderedPageBreak/>
              <w:t>Prezenční studium</w:t>
            </w:r>
            <w:bookmarkEnd w:id="5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Na </w:t>
            </w:r>
            <w:hyperlink w:anchor="_Vysoká_škol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se uskutečňuje studium ve formě prezenční, </w:t>
            </w:r>
            <w:hyperlink w:anchor="_Distanční_a_kombinované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distanční a kombinované</w:t>
              </w:r>
            </w:hyperlink>
            <w:r w:rsidRPr="003B607D">
              <w:rPr>
                <w:rFonts w:cs="Arial"/>
                <w:szCs w:val="20"/>
              </w:rPr>
              <w:t>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 případě prezenční formy studia (dříve denní formy) může výuka probíhat kterýkoli všední den, dopoledne i odpoledne, přičemž student má</w:t>
            </w:r>
            <w:r w:rsidR="004028DB">
              <w:rPr>
                <w:rFonts w:cs="Arial"/>
                <w:szCs w:val="20"/>
              </w:rPr>
              <w:t xml:space="preserve"> obvykle</w:t>
            </w:r>
            <w:r w:rsidRPr="003B607D">
              <w:rPr>
                <w:rFonts w:cs="Arial"/>
                <w:szCs w:val="20"/>
              </w:rPr>
              <w:t xml:space="preserve"> povinnost navštěvovat povinné semináře (příp. je stanoveno procento povinné účasti). 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Jeden student může být zapsán do více forem vzdělávání, např. studovat jeden obor v prezenční formě a druhý v distanční.</w:t>
            </w:r>
            <w:r>
              <w:rPr>
                <w:rFonts w:cs="Arial"/>
                <w:color w:val="000000"/>
                <w:szCs w:val="20"/>
              </w:rPr>
              <w:t xml:space="preserve"> V takovém případě je zahrnut do obou kategorií a součet studentů v jednotlivých formách tak nemusí odpovídat celkovému počtu studentů.</w:t>
            </w:r>
          </w:p>
        </w:tc>
      </w:tr>
      <w:tr w:rsidR="007D7D0C" w:rsidRPr="003B607D" w:rsidTr="007D7D0C">
        <w:trPr>
          <w:trHeight w:val="111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0" w:name="_Předškolní_vzdělávání"/>
            <w:bookmarkStart w:id="61" w:name="_Toc458676056"/>
            <w:bookmarkEnd w:id="60"/>
            <w:r w:rsidRPr="00261428">
              <w:rPr>
                <w:rFonts w:eastAsia="Times New Roman"/>
              </w:rPr>
              <w:t>Předškolní vzdělávání</w:t>
            </w:r>
            <w:bookmarkEnd w:id="6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Předškolní vzdělávání slouží k přípravě dětí pro vstup do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docházky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Kromě </w:t>
            </w:r>
            <w:hyperlink w:anchor="_Mateřská_škola" w:history="1">
              <w:r w:rsidRPr="003B607D">
                <w:rPr>
                  <w:rStyle w:val="Hypertextovodkaz"/>
                  <w:rFonts w:cs="Arial"/>
                  <w:szCs w:val="20"/>
                </w:rPr>
                <w:t>mateřských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jej zajišťují </w:t>
            </w:r>
            <w:hyperlink w:anchor="_Přípravné_třídy" w:history="1">
              <w:r w:rsidRPr="003B607D">
                <w:rPr>
                  <w:rStyle w:val="Hypertextovodkaz"/>
                  <w:rFonts w:cs="Arial"/>
                  <w:szCs w:val="20"/>
                </w:rPr>
                <w:t>přípravné třídy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Přípravný_stupeň" w:history="1">
              <w:r w:rsidRPr="003B607D">
                <w:rPr>
                  <w:rStyle w:val="Hypertextovodkaz"/>
                  <w:rFonts w:cs="Arial"/>
                  <w:szCs w:val="20"/>
                </w:rPr>
                <w:t>přípravný stupeň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obojí zřizované při </w:t>
            </w:r>
            <w:hyperlink w:anchor="_Základní_škola" w:history="1">
              <w:r w:rsidRPr="003B607D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Přípravné třídy se zaměřují na děti ze znevýhodňujícího socio</w:t>
            </w:r>
            <w:r w:rsidR="004028DB">
              <w:rPr>
                <w:rFonts w:cs="Arial"/>
                <w:color w:val="000000"/>
                <w:szCs w:val="20"/>
              </w:rPr>
              <w:t>-</w:t>
            </w:r>
            <w:r w:rsidRPr="003B607D">
              <w:rPr>
                <w:rFonts w:cs="Arial"/>
                <w:color w:val="000000"/>
                <w:szCs w:val="20"/>
              </w:rPr>
              <w:t>kulturního prostředí, přípravný stupeň na děti s těžším mentálním postižením, postižením více vadami a</w:t>
            </w:r>
            <w:r w:rsidR="004028D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autismem. 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2" w:name="_Přípravné_třídy"/>
            <w:bookmarkStart w:id="63" w:name="_Toc458676057"/>
            <w:bookmarkEnd w:id="62"/>
            <w:r w:rsidRPr="00261428">
              <w:rPr>
                <w:rFonts w:eastAsia="Times New Roman"/>
              </w:rPr>
              <w:t>Přípravné třídy</w:t>
            </w:r>
            <w:bookmarkEnd w:id="6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Přípravné třídy jsou zřizované při </w:t>
            </w:r>
            <w:hyperlink w:anchor="_Základní_škola" w:history="1">
              <w:r w:rsidRPr="003B607D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M</w:t>
            </w:r>
            <w:r w:rsidRPr="003B607D">
              <w:rPr>
                <w:rFonts w:cs="Arial"/>
                <w:szCs w:val="20"/>
              </w:rPr>
              <w:t xml:space="preserve">ůže je </w:t>
            </w:r>
            <w:hyperlink w:anchor="_Zřizovatel_školy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zřizovat</w:t>
              </w:r>
            </w:hyperlink>
            <w:r w:rsidRPr="003B607D">
              <w:rPr>
                <w:rFonts w:cs="Arial"/>
                <w:szCs w:val="20"/>
              </w:rPr>
              <w:t xml:space="preserve"> obec, svazek obcí nebo kraj se souhlasem krajského úřadu a jsou určeny pro děti v posledním roce před zahájením </w:t>
            </w:r>
            <w:hyperlink w:anchor="_Povinná_školní_docházk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povinné školní docházky</w:t>
              </w:r>
            </w:hyperlink>
            <w:r w:rsidRPr="003B607D">
              <w:rPr>
                <w:rFonts w:cs="Arial"/>
                <w:szCs w:val="20"/>
              </w:rPr>
              <w:t>, které</w:t>
            </w:r>
            <w:r w:rsidR="004028D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jsou sociálně znevýhodněné a u kterých je předpoklad, že zařazení do přípravné třídy vyrovná jejich vývoj. Přípravnou třídu lze zřídit, pokud se v ní bude vzdělávat nejméně sedm dětí. Viz </w:t>
            </w:r>
            <w:hyperlink r:id="rId34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47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4" w:name="_Přípravný_stupeň"/>
            <w:bookmarkStart w:id="65" w:name="_Toc458676058"/>
            <w:bookmarkEnd w:id="64"/>
            <w:r w:rsidRPr="00261428">
              <w:rPr>
                <w:rFonts w:eastAsia="Times New Roman"/>
              </w:rPr>
              <w:t>Přípravný stupeň</w:t>
            </w:r>
            <w:bookmarkEnd w:id="6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Přípravný stupeň je zřizován při základních školách speciálních. Poskytuje přípravu na vzdělávání v základní škole speciální dětem se středně těžkým a těžkým mentálním postižením, se souběžným postižením více vadami nebo s autismem. Do třídy přípravného stupně základní školy speciální lze zařadit dítě od školního roku, v němž dosáhne 5 let věku, do zahájení povinné školní docházky, a to i v průběhu školního roku. Třída přípravného stupně základní školy speciální má nejméně 4 a nejvýše 6 žáků. Vzdělávání v přípravném stupni základní školy speciální trvá nejvýše 3</w:t>
            </w:r>
            <w:r w:rsidR="004028D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školní roky. Viz</w:t>
            </w:r>
            <w:r w:rsidRPr="003B607D">
              <w:rPr>
                <w:rFonts w:cs="Arial"/>
                <w:szCs w:val="20"/>
              </w:rPr>
              <w:t xml:space="preserve"> </w:t>
            </w:r>
            <w:hyperlink r:id="rId35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48a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6" w:name="_Rok"/>
            <w:bookmarkStart w:id="67" w:name="_Toc458676059"/>
            <w:bookmarkEnd w:id="66"/>
            <w:r w:rsidRPr="00261428">
              <w:rPr>
                <w:rFonts w:eastAsia="Times New Roman"/>
              </w:rPr>
              <w:t>Rok</w:t>
            </w:r>
            <w:bookmarkEnd w:id="6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 případě </w:t>
            </w:r>
            <w:hyperlink w:anchor="_Vysoká_škola" w:history="1">
              <w:r w:rsidRPr="003B607D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="00674E73">
              <w:rPr>
                <w:rFonts w:cs="Arial"/>
                <w:color w:val="000000"/>
                <w:szCs w:val="20"/>
              </w:rPr>
              <w:t>není statisticky sledován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Školní_rok" w:history="1">
              <w:r w:rsidRPr="003B607D">
                <w:rPr>
                  <w:rStyle w:val="Hypertextovodkaz"/>
                  <w:rFonts w:cs="Arial"/>
                  <w:szCs w:val="20"/>
                </w:rPr>
                <w:t>školní rok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ale rok kalendářní. Publikované údaje jsou v případě počtu </w:t>
            </w:r>
            <w:hyperlink w:anchor="_Studenti" w:history="1">
              <w:r w:rsidRPr="003B607D">
                <w:rPr>
                  <w:rStyle w:val="Hypertextovodkaz"/>
                  <w:rFonts w:cs="Arial"/>
                  <w:szCs w:val="20"/>
                </w:rPr>
                <w:t>studentů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podle stavu k 31. prosinci daného roku, údaje o poprvé zapsaných studentech a </w:t>
            </w:r>
            <w:hyperlink w:anchor="_Absolvent" w:history="1">
              <w:r w:rsidRPr="003B607D">
                <w:rPr>
                  <w:rStyle w:val="Hypertextovodkaz"/>
                  <w:rFonts w:cs="Arial"/>
                  <w:szCs w:val="20"/>
                </w:rPr>
                <w:t>absolventech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vypovídají o celkovém počtu za celý kalendářní rok. </w:t>
            </w:r>
          </w:p>
        </w:tc>
      </w:tr>
      <w:tr w:rsidR="007D7D0C" w:rsidRPr="003B607D" w:rsidTr="00674E73">
        <w:trPr>
          <w:trHeight w:val="1344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8" w:name="_Speciální_třída"/>
            <w:bookmarkStart w:id="69" w:name="_Toc458676060"/>
            <w:bookmarkEnd w:id="68"/>
            <w:r w:rsidRPr="00261428">
              <w:rPr>
                <w:rFonts w:eastAsia="Times New Roman"/>
              </w:rPr>
              <w:t>Speciální třída</w:t>
            </w:r>
            <w:bookmarkEnd w:id="6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Speciální třídy jsou třídy určené výhradně pro žáky se </w:t>
            </w:r>
            <w:hyperlink w:anchor="_SVP_(speciální_vzdělávací" w:history="1">
              <w:r w:rsidRPr="003B607D">
                <w:rPr>
                  <w:rStyle w:val="Hypertextovodkaz"/>
                  <w:rFonts w:cs="Arial"/>
                  <w:szCs w:val="20"/>
                </w:rPr>
                <w:t>speciálními vzdělávacími potřebami (SVP)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Kromě </w:t>
            </w:r>
            <w:hyperlink w:anchor="_Škola_pro_žáky" w:history="1">
              <w:r w:rsidRPr="003B607D">
                <w:rPr>
                  <w:rStyle w:val="Hypertextovodkaz"/>
                  <w:rFonts w:cs="Arial"/>
                  <w:szCs w:val="20"/>
                </w:rPr>
                <w:t>škol pro žáky se SVP</w:t>
              </w:r>
            </w:hyperlink>
            <w:r w:rsidR="00674E73">
              <w:rPr>
                <w:rFonts w:cs="Arial"/>
                <w:color w:val="000000"/>
                <w:szCs w:val="20"/>
              </w:rPr>
              <w:t xml:space="preserve">, kde jsou všechny třídy označeny jako speciální, </w:t>
            </w:r>
            <w:r w:rsidRPr="003B607D">
              <w:rPr>
                <w:rFonts w:cs="Arial"/>
                <w:color w:val="000000"/>
                <w:szCs w:val="20"/>
              </w:rPr>
              <w:t xml:space="preserve">se speciální třídy vyskytují i na </w:t>
            </w:r>
            <w:hyperlink w:anchor="_Běžná_škola" w:history="1">
              <w:r w:rsidRPr="003B607D">
                <w:rPr>
                  <w:rStyle w:val="Hypertextovodkaz"/>
                  <w:rFonts w:cs="Arial"/>
                  <w:szCs w:val="20"/>
                </w:rPr>
                <w:t>běžných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Pr="003B607D">
              <w:rPr>
                <w:rFonts w:cs="Arial"/>
                <w:b/>
                <w:szCs w:val="20"/>
              </w:rPr>
              <w:t xml:space="preserve"> </w:t>
            </w:r>
            <w:r w:rsidR="00610830">
              <w:rPr>
                <w:rFonts w:cs="Arial"/>
                <w:szCs w:val="20"/>
              </w:rPr>
              <w:t>Dle pokynů a vysvětlivek Ministerstva školství, mládeže a tělovýchovy</w:t>
            </w:r>
            <w:r w:rsidRPr="003B607D">
              <w:rPr>
                <w:rFonts w:cs="Arial"/>
                <w:szCs w:val="20"/>
              </w:rPr>
              <w:t xml:space="preserve"> k výkazu R 13-01 (</w:t>
            </w:r>
            <w:hyperlink r:id="rId36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Výkaz o ředitelství škol</w:t>
              </w:r>
            </w:hyperlink>
            <w:r w:rsidRPr="003B607D">
              <w:rPr>
                <w:rFonts w:cs="Arial"/>
                <w:szCs w:val="20"/>
              </w:rPr>
              <w:t xml:space="preserve">) platí, že třídy zřízené podle § 16, odst. 9 </w:t>
            </w:r>
            <w:hyperlink r:id="rId37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Školského zákona</w:t>
              </w:r>
            </w:hyperlink>
            <w:r w:rsidRPr="003B607D">
              <w:rPr>
                <w:rFonts w:cs="Arial"/>
                <w:szCs w:val="20"/>
              </w:rPr>
              <w:t xml:space="preserve"> (č. 561/2004 Sb.) se pro potřeby výkaznictví označují jako „</w:t>
            </w:r>
            <w:r w:rsidR="00674E73">
              <w:rPr>
                <w:rFonts w:cs="Arial"/>
                <w:szCs w:val="20"/>
              </w:rPr>
              <w:t>speciální třídy“. Ostatní třídy</w:t>
            </w:r>
            <w:r w:rsidRPr="003B607D">
              <w:rPr>
                <w:rFonts w:cs="Arial"/>
                <w:szCs w:val="20"/>
              </w:rPr>
              <w:t xml:space="preserve"> se označují jako „</w:t>
            </w:r>
            <w:hyperlink w:anchor="_Běžná_tříd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běžné třídy</w:t>
              </w:r>
            </w:hyperlink>
            <w:r w:rsidRPr="003B607D">
              <w:rPr>
                <w:rFonts w:cs="Arial"/>
                <w:szCs w:val="20"/>
              </w:rPr>
              <w:t>“.</w:t>
            </w:r>
          </w:p>
        </w:tc>
      </w:tr>
      <w:tr w:rsidR="007D7D0C" w:rsidRPr="003B607D" w:rsidTr="004028DB">
        <w:trPr>
          <w:trHeight w:val="327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0" w:name="_Střední_vzdělávání"/>
            <w:bookmarkStart w:id="71" w:name="_Toc458676061"/>
            <w:bookmarkEnd w:id="70"/>
            <w:r w:rsidRPr="00261428">
              <w:rPr>
                <w:rFonts w:eastAsia="Times New Roman"/>
              </w:rPr>
              <w:lastRenderedPageBreak/>
              <w:t>Střední vzdělávání</w:t>
            </w:r>
            <w:bookmarkEnd w:id="7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Střední (středoškolské) vzdělávání navazuje na základní vzdělávání a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zahrnuje několik druhů. Zejména jsou to: </w:t>
            </w:r>
            <w:r w:rsidRPr="003B607D">
              <w:rPr>
                <w:rFonts w:cs="Arial"/>
                <w:szCs w:val="20"/>
              </w:rPr>
              <w:t>(</w:t>
            </w:r>
            <w:hyperlink w:anchor="_(Nižší)_střední_vzdělání" w:history="1">
              <w:r w:rsidRPr="003B607D">
                <w:rPr>
                  <w:rStyle w:val="Hypertextovodkaz"/>
                  <w:rFonts w:cs="Arial"/>
                  <w:szCs w:val="20"/>
                </w:rPr>
                <w:t xml:space="preserve">nižší) </w:t>
              </w:r>
              <w:r w:rsidRPr="003B607D">
                <w:rPr>
                  <w:rStyle w:val="Hypertextovodkaz"/>
                  <w:rFonts w:cs="Arial"/>
                  <w:iCs/>
                  <w:szCs w:val="20"/>
                </w:rPr>
                <w:t>střední vzdělávání</w:t>
              </w:r>
            </w:hyperlink>
            <w:r w:rsidRPr="003B607D">
              <w:rPr>
                <w:rFonts w:cs="Arial"/>
                <w:iCs/>
                <w:color w:val="000000"/>
                <w:szCs w:val="20"/>
              </w:rPr>
              <w:t xml:space="preserve">, </w:t>
            </w:r>
            <w:hyperlink w:anchor="_Střední_vzdělávání_s_1" w:history="1">
              <w:r w:rsidRPr="003B607D">
                <w:rPr>
                  <w:rStyle w:val="Hypertextovodkaz"/>
                  <w:rFonts w:cs="Arial"/>
                  <w:iCs/>
                  <w:szCs w:val="20"/>
                </w:rPr>
                <w:t>s</w:t>
              </w:r>
              <w:r w:rsidRPr="003B607D">
                <w:rPr>
                  <w:rStyle w:val="Hypertextovodkaz"/>
                  <w:rFonts w:cs="Arial"/>
                  <w:szCs w:val="20"/>
                </w:rPr>
                <w:t>třední vzdělávání s výučním listem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Střední_vzdělávání_s" w:history="1">
              <w:r w:rsidRPr="003B607D">
                <w:rPr>
                  <w:rStyle w:val="Hypertextovodkaz"/>
                  <w:rFonts w:cs="Arial"/>
                  <w:szCs w:val="20"/>
                </w:rPr>
                <w:t>střední vzdělávání s maturitní zkouškou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Zkrácené_studium_pro" w:history="1">
              <w:r w:rsidRPr="003B607D">
                <w:rPr>
                  <w:rStyle w:val="Hypertextovodkaz"/>
                  <w:rFonts w:cs="Arial"/>
                  <w:szCs w:val="20"/>
                </w:rPr>
                <w:t>zkrácené studium pro získání středního vzdělání s výučním listem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Zkrácené_studium_pro_1" w:history="1">
              <w:r w:rsidRPr="003B607D">
                <w:rPr>
                  <w:rStyle w:val="Hypertextovodkaz"/>
                  <w:rFonts w:cs="Arial"/>
                  <w:szCs w:val="20"/>
                </w:rPr>
                <w:t>zkrácené studium pro získání středního vzdělání s maturitní zkouškou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Nástavbové_studium" w:history="1">
              <w:r w:rsidRPr="003B607D">
                <w:rPr>
                  <w:rStyle w:val="Hypertextovodkaz"/>
                  <w:rFonts w:cs="Arial"/>
                  <w:szCs w:val="20"/>
                </w:rPr>
                <w:t>nástavbové studium</w:t>
              </w:r>
            </w:hyperlink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Střední vzdělá</w:t>
            </w:r>
            <w:r w:rsidRPr="003B607D">
              <w:rPr>
                <w:rFonts w:cs="Arial"/>
                <w:color w:val="000000"/>
                <w:szCs w:val="20"/>
              </w:rPr>
              <w:t xml:space="preserve">ní lze v ČR získat též na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konzervatoři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a sice nejdříve po čtyřech letech v denní formě šestiletého vzdělávacího programu (určeného pro absolventy základních škol), nebo po osmi letech v denní formě vzdělávání v osmiletém vzdělávacím programu v oboru tanec (v tomto případě žáci v prvních čtyřech ročnících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). Absolutoriem na konzervatoři dále student ukončí krátký cyklus terciárního vzdělávání. Žákům, kteří se vzdělávají na konzervatoři</w:t>
            </w:r>
            <w:r>
              <w:rPr>
                <w:rFonts w:cs="Arial"/>
                <w:color w:val="000000"/>
                <w:szCs w:val="20"/>
              </w:rPr>
              <w:t>,</w:t>
            </w:r>
            <w:r w:rsidRPr="003B607D">
              <w:rPr>
                <w:rFonts w:cs="Arial"/>
                <w:color w:val="000000"/>
                <w:szCs w:val="20"/>
              </w:rPr>
              <w:t xml:space="preserve"> jsou však věnovány samostatné tabulky a nejsou zahrnuti v celkových počtech žáků středního vzdělávání.</w:t>
            </w:r>
          </w:p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Střední vzdělávání </w:t>
            </w:r>
            <w:r w:rsidR="00674E73">
              <w:rPr>
                <w:rFonts w:cs="Arial"/>
                <w:color w:val="000000"/>
                <w:szCs w:val="20"/>
              </w:rPr>
              <w:t>lze dále dělit</w:t>
            </w:r>
            <w:r w:rsidRPr="003B607D">
              <w:rPr>
                <w:rFonts w:cs="Arial"/>
                <w:color w:val="000000"/>
                <w:szCs w:val="20"/>
              </w:rPr>
              <w:t xml:space="preserve"> na odborné (zahrnuje školy zaměřené na určitý obor s cílem připravit žáky na výkon konkrétního povolání) a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všeobecné (zahrnuje zejména </w:t>
            </w:r>
            <w:hyperlink w:anchor="_Gymnázium" w:history="1">
              <w:r w:rsidRPr="003B607D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cílem je připravit žáky pro další studium). Střední vzdělávání se řadí do vyššího sekundárního vzdělávání, ovšem s výjimkou </w:t>
            </w:r>
            <w:hyperlink w:anchor="_Šest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šestiletých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Osm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osmiletých gymnázií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hyperlink w:anchor="_Osmiletá_konzervatoř" w:history="1">
              <w:r w:rsidRPr="003B607D">
                <w:rPr>
                  <w:rStyle w:val="Hypertextovodkaz"/>
                  <w:rFonts w:cs="Arial"/>
                  <w:szCs w:val="20"/>
                </w:rPr>
                <w:t>osmiletých konzervatoří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ve kterých si žáci v nižších ročnících plní povinnou školní docházku spadající do nižší sekundární úrovně.</w:t>
            </w:r>
          </w:p>
        </w:tc>
      </w:tr>
      <w:tr w:rsidR="007D7D0C" w:rsidRPr="00FD5124" w:rsidTr="007D7D0C">
        <w:trPr>
          <w:trHeight w:val="56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2" w:name="_Střední_vzdělávání_s"/>
            <w:bookmarkStart w:id="73" w:name="_Toc458676062"/>
            <w:bookmarkEnd w:id="72"/>
            <w:r w:rsidRPr="00261428">
              <w:rPr>
                <w:rFonts w:eastAsia="Times New Roman"/>
              </w:rPr>
              <w:t>Střední vzdělávání s  maturitní zkouškou</w:t>
            </w:r>
            <w:bookmarkEnd w:id="7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Střední vzdělávání s maturitní zkouškou se řadí do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="00674E73">
              <w:rPr>
                <w:rFonts w:cs="Arial"/>
                <w:color w:val="000000"/>
                <w:szCs w:val="20"/>
              </w:rPr>
              <w:t>. J</w:t>
            </w:r>
            <w:r w:rsidRPr="003B607D">
              <w:rPr>
                <w:rFonts w:cs="Arial"/>
                <w:color w:val="000000"/>
                <w:szCs w:val="20"/>
              </w:rPr>
              <w:t xml:space="preserve">eho ukončením </w:t>
            </w:r>
            <w:hyperlink w:anchor="_Absolvent" w:history="1">
              <w:r w:rsidRPr="00F85630">
                <w:rPr>
                  <w:rStyle w:val="Hypertextovodkaz"/>
                  <w:rFonts w:cs="Arial"/>
                  <w:szCs w:val="20"/>
                </w:rPr>
                <w:t>absolvent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získá maturitní vysvědčení. Toto vzdělávání je realizováno ve dvou základních formách:</w:t>
            </w:r>
          </w:p>
          <w:p w:rsidR="007D7D0C" w:rsidRPr="003B607D" w:rsidRDefault="007D7D0C" w:rsidP="00F856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Střední vzdělávání s maturitní zkouškou všeobecné</w:t>
            </w:r>
            <w:r w:rsidRPr="003B607D">
              <w:rPr>
                <w:rFonts w:cs="Arial"/>
                <w:color w:val="000000"/>
                <w:szCs w:val="20"/>
              </w:rPr>
              <w:t xml:space="preserve"> má neprofesní charakter a je určeno pro přípravu žáků na další studium. Jedná se zpravidla o obory </w:t>
            </w:r>
            <w:hyperlink w:anchor="_Gymnázium" w:history="1">
              <w:r w:rsidRPr="00F85630">
                <w:rPr>
                  <w:rStyle w:val="Hypertextovodkaz"/>
                  <w:rFonts w:cs="Arial"/>
                  <w:szCs w:val="20"/>
                </w:rPr>
                <w:t>gymnázií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jejichž studium v rámci denní formy vzdělávání trvá čtyři roky (pro absolventy základních škol), příp. šest či osm let, kdy žáci v nižších ročnících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  <w:p w:rsidR="007D7D0C" w:rsidRPr="00FD5124" w:rsidRDefault="007D7D0C" w:rsidP="00F856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Střední vzdělávání s maturitní zkouškou odborné</w:t>
            </w:r>
            <w:r w:rsidRPr="003B607D">
              <w:rPr>
                <w:rFonts w:cs="Arial"/>
                <w:color w:val="000000"/>
                <w:szCs w:val="20"/>
              </w:rPr>
              <w:t xml:space="preserve"> je přípravou na konkrétní povolání či skupinu povolání a denní forma trvá čtyři roky. </w:t>
            </w:r>
          </w:p>
        </w:tc>
      </w:tr>
      <w:tr w:rsidR="007D7D0C" w:rsidRPr="003B607D" w:rsidTr="007D7D0C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spacing w:before="40"/>
              <w:rPr>
                <w:rFonts w:eastAsia="Times New Roman"/>
              </w:rPr>
            </w:pPr>
            <w:bookmarkStart w:id="74" w:name="_Střední_vzdělávání_s_1"/>
            <w:bookmarkStart w:id="75" w:name="_Toc458676063"/>
            <w:bookmarkEnd w:id="74"/>
            <w:r w:rsidRPr="00261428">
              <w:rPr>
                <w:rFonts w:eastAsia="Times New Roman"/>
              </w:rPr>
              <w:t>Střední vzdělávání s výučním listem</w:t>
            </w:r>
            <w:bookmarkEnd w:id="75"/>
            <w:r w:rsidRPr="00261428">
              <w:rPr>
                <w:rFonts w:eastAsia="Times New Roman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before="40"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Střední vzdělání s výučním listem se </w:t>
            </w:r>
            <w:r>
              <w:rPr>
                <w:rFonts w:cs="Arial"/>
                <w:color w:val="000000"/>
                <w:szCs w:val="20"/>
              </w:rPr>
              <w:t>dle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r:id="rId38" w:history="1">
              <w:r w:rsidR="00674E73">
                <w:rPr>
                  <w:rStyle w:val="Hypertextovodkaz"/>
                  <w:rFonts w:cs="Arial"/>
                  <w:szCs w:val="20"/>
                </w:rPr>
                <w:t>Š</w:t>
              </w:r>
              <w:r w:rsidRPr="003B607D">
                <w:rPr>
                  <w:rStyle w:val="Hypertextovodkaz"/>
                  <w:rFonts w:cs="Arial"/>
                  <w:szCs w:val="20"/>
                </w:rPr>
                <w:t>kolského zákona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(č. 561/2004 Sb.</w:t>
            </w:r>
            <w:r>
              <w:rPr>
                <w:rFonts w:cs="Arial"/>
                <w:szCs w:val="20"/>
              </w:rPr>
              <w:t xml:space="preserve">, </w:t>
            </w:r>
            <w:r w:rsidRPr="003B607D">
              <w:rPr>
                <w:rFonts w:cs="Arial"/>
                <w:color w:val="000000"/>
                <w:szCs w:val="20"/>
              </w:rPr>
              <w:t>§ 58</w:t>
            </w:r>
            <w:r w:rsidRPr="003B607D">
              <w:rPr>
                <w:rFonts w:cs="Arial"/>
                <w:szCs w:val="20"/>
              </w:rPr>
              <w:t xml:space="preserve">) </w:t>
            </w:r>
            <w:r w:rsidRPr="003B607D">
              <w:rPr>
                <w:rFonts w:cs="Arial"/>
                <w:color w:val="000000"/>
                <w:szCs w:val="20"/>
              </w:rPr>
              <w:t xml:space="preserve">řadí do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odborného zaměření (jedná se o přípravu na konkrétní povolání) </w:t>
            </w:r>
            <w:r w:rsidRPr="003B607D">
              <w:rPr>
                <w:rFonts w:cs="Arial"/>
                <w:color w:val="000000"/>
                <w:szCs w:val="20"/>
              </w:rPr>
              <w:t>a žák jej získá úspěšným ukončením vzdělávacího programu v délce 2 nebo 3 let denní formy vzdělávání nebo vzdělávacího programu zkráceného studia p</w:t>
            </w:r>
            <w:r>
              <w:rPr>
                <w:rFonts w:cs="Arial"/>
                <w:color w:val="000000"/>
                <w:szCs w:val="20"/>
              </w:rPr>
              <w:t>ro získání středního vzdělání s </w:t>
            </w:r>
            <w:r w:rsidRPr="003B607D">
              <w:rPr>
                <w:rFonts w:cs="Arial"/>
                <w:color w:val="000000"/>
                <w:szCs w:val="20"/>
              </w:rPr>
              <w:t>výučním listem (§ 84).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6" w:name="_Studenti"/>
            <w:bookmarkStart w:id="77" w:name="_Toc458676064"/>
            <w:bookmarkEnd w:id="76"/>
            <w:r w:rsidRPr="00261428">
              <w:rPr>
                <w:rFonts w:eastAsia="Times New Roman"/>
              </w:rPr>
              <w:t>Studenti</w:t>
            </w:r>
            <w:bookmarkEnd w:id="7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674E73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Jako studenti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jsou označováni účastníci </w:t>
            </w:r>
            <w:hyperlink w:anchor="_Vyšší_odborné_vzděláván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vyššího odborného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a</w:t>
            </w:r>
            <w:r>
              <w:rPr>
                <w:rFonts w:cs="Arial"/>
                <w:color w:val="000000"/>
                <w:szCs w:val="20"/>
              </w:rPr>
              <w:t> </w:t>
            </w:r>
            <w:hyperlink w:anchor="_Vysoká_škol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vysokoškolského vzdělávání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(v </w:t>
            </w:r>
            <w:r w:rsidR="007D7D0C" w:rsidRPr="003B607D">
              <w:rPr>
                <w:rFonts w:cs="Arial"/>
                <w:szCs w:val="20"/>
              </w:rPr>
              <w:t>rozlišení dle pohlaví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jsou to "ženy" a</w:t>
            </w:r>
            <w:r>
              <w:rPr>
                <w:rFonts w:cs="Arial"/>
                <w:color w:val="000000"/>
                <w:szCs w:val="20"/>
              </w:rPr>
              <w:t> </w:t>
            </w:r>
            <w:r w:rsidR="007D7D0C" w:rsidRPr="003B607D">
              <w:rPr>
                <w:rFonts w:cs="Arial"/>
                <w:color w:val="000000"/>
                <w:szCs w:val="20"/>
              </w:rPr>
              <w:t>"muži").</w:t>
            </w:r>
          </w:p>
          <w:p w:rsidR="007D7D0C" w:rsidRPr="00674E73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Studenti vyšších odborných škol nejsou uváděni v počtu fyzických osob, ale v počtu studií. Výjimkou je pouze třídění dle národnosti, v rámci kterého jsou studenti vyšších odborných škol vykazováni ve fyzických osobách.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Oproti tomu studenti vysokých škol jsou, s výjimkou dvou vysokých škol státních, vykazováni ve fyzických osobách</w:t>
            </w:r>
            <w:r w:rsidRPr="003B607D">
              <w:rPr>
                <w:rFonts w:cs="Arial"/>
                <w:color w:val="000000"/>
                <w:szCs w:val="20"/>
              </w:rPr>
              <w:t xml:space="preserve"> (v případě </w:t>
            </w:r>
            <w:r>
              <w:rPr>
                <w:rFonts w:cs="Arial"/>
                <w:color w:val="000000"/>
                <w:szCs w:val="20"/>
              </w:rPr>
              <w:t xml:space="preserve">vysokých </w:t>
            </w:r>
            <w:r w:rsidRPr="003B607D">
              <w:rPr>
                <w:rFonts w:cs="Arial"/>
                <w:color w:val="000000"/>
                <w:szCs w:val="20"/>
              </w:rPr>
              <w:t xml:space="preserve">škol státních se jedná o počty studií). Pro správné pochopení statistických ukazatelů je důležité si uvědomit, že jeden student může být </w:t>
            </w:r>
            <w:r w:rsidRPr="003B607D">
              <w:rPr>
                <w:rFonts w:cs="Arial"/>
                <w:szCs w:val="20"/>
              </w:rPr>
              <w:t>zapsán do více druhů</w:t>
            </w:r>
            <w:r w:rsidRPr="003B607D">
              <w:rPr>
                <w:rFonts w:cs="Arial"/>
                <w:color w:val="000000"/>
                <w:szCs w:val="20"/>
              </w:rPr>
              <w:t xml:space="preserve"> a forem vzdělávání, st</w:t>
            </w:r>
            <w:r>
              <w:rPr>
                <w:rFonts w:cs="Arial"/>
                <w:color w:val="000000"/>
                <w:szCs w:val="20"/>
              </w:rPr>
              <w:t>udijních programů apod., a to i </w:t>
            </w:r>
            <w:r w:rsidRPr="003B607D">
              <w:rPr>
                <w:rFonts w:cs="Arial"/>
                <w:color w:val="000000"/>
                <w:szCs w:val="20"/>
              </w:rPr>
              <w:t>ve více školách najednou.</w:t>
            </w:r>
            <w:r>
              <w:rPr>
                <w:rFonts w:cs="Arial"/>
                <w:color w:val="000000"/>
                <w:szCs w:val="20"/>
              </w:rPr>
              <w:t xml:space="preserve"> Celkový počet studentů uváděný ve fyzických osobách tedy nemusí odpovídat součtu studentů v dílčích kategoriích.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Počet studentů vysokých škol se vykazuje k 31. prosinci daného kalendářního </w:t>
            </w:r>
            <w:hyperlink w:anchor="_Rok" w:history="1">
              <w:r w:rsidRPr="003B607D">
                <w:rPr>
                  <w:rStyle w:val="Hypertextovodkaz"/>
                  <w:rFonts w:cs="Arial"/>
                  <w:szCs w:val="20"/>
                </w:rPr>
                <w:t>roku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počet studentů vyšších odborných škol k 30. září daného </w:t>
            </w:r>
            <w:hyperlink w:anchor="_Školní_rok" w:history="1">
              <w:r w:rsidRPr="003B607D">
                <w:rPr>
                  <w:rStyle w:val="Hypertextovodkaz"/>
                  <w:rFonts w:cs="Arial"/>
                  <w:szCs w:val="20"/>
                </w:rPr>
                <w:t>školního roku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 xml:space="preserve"> </w:t>
            </w:r>
          </w:p>
        </w:tc>
      </w:tr>
      <w:tr w:rsidR="007D7D0C" w:rsidRPr="003B607D" w:rsidTr="004028DB">
        <w:trPr>
          <w:trHeight w:val="568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8" w:name="_SVP_(speciální_vzdělávací"/>
            <w:bookmarkStart w:id="79" w:name="_Toc458676065"/>
            <w:bookmarkEnd w:id="78"/>
            <w:r w:rsidRPr="00261428">
              <w:rPr>
                <w:rFonts w:eastAsia="Times New Roman"/>
              </w:rPr>
              <w:lastRenderedPageBreak/>
              <w:t>SVP (speciální vzdělávací potřeby)</w:t>
            </w:r>
            <w:bookmarkEnd w:id="7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5630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Podle </w:t>
            </w:r>
            <w:hyperlink r:id="rId39" w:history="1">
              <w:r w:rsidRPr="003B607D">
                <w:rPr>
                  <w:rStyle w:val="Hypertextovodkaz"/>
                  <w:rFonts w:cs="Arial"/>
                  <w:szCs w:val="20"/>
                </w:rPr>
                <w:t>Školského zákona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(č. 561/2004 Sb.</w:t>
            </w:r>
            <w:r>
              <w:rPr>
                <w:rFonts w:cs="Arial"/>
                <w:szCs w:val="20"/>
              </w:rPr>
              <w:t>, § 16</w:t>
            </w:r>
            <w:r w:rsidRPr="003B607D">
              <w:rPr>
                <w:rFonts w:cs="Arial"/>
                <w:szCs w:val="20"/>
              </w:rPr>
              <w:t xml:space="preserve">) </w:t>
            </w:r>
            <w:r w:rsidRPr="003B607D">
              <w:rPr>
                <w:rFonts w:cs="Arial"/>
                <w:color w:val="000000"/>
                <w:szCs w:val="20"/>
              </w:rPr>
              <w:t xml:space="preserve">je </w:t>
            </w:r>
            <w:hyperlink w:anchor="_Děti" w:history="1">
              <w:r w:rsidRPr="003B607D">
                <w:rPr>
                  <w:rStyle w:val="Hypertextovodkaz"/>
                  <w:rFonts w:cs="Arial"/>
                  <w:szCs w:val="20"/>
                </w:rPr>
                <w:t>dítětem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Žáci" w:history="1">
              <w:r w:rsidRPr="003B607D">
                <w:rPr>
                  <w:rStyle w:val="Hypertextovodkaz"/>
                  <w:rFonts w:cs="Arial"/>
                  <w:szCs w:val="20"/>
                </w:rPr>
                <w:t>žákem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hyperlink w:anchor="_Studenti" w:history="1">
              <w:r w:rsidRPr="003B607D">
                <w:rPr>
                  <w:rStyle w:val="Hypertextovodkaz"/>
                  <w:rFonts w:cs="Arial"/>
                  <w:szCs w:val="20"/>
                </w:rPr>
                <w:t>studentem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se speciálními vzdělávacími potřebami osoba se zdravotním postižením, zdravotním znevýhodněním nebo sociálním znevýhodněním.</w:t>
            </w:r>
          </w:p>
          <w:p w:rsidR="00F85630" w:rsidRDefault="007D7D0C" w:rsidP="00F856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 xml:space="preserve">Zdravotním postižením je pro účely tohoto zákona mentální, tělesné, zrakové nebo sluchové postižení, vady řeči, souběžné postižení více vadami, autismus a vývojové poruchy učení nebo chování. </w:t>
            </w:r>
          </w:p>
          <w:p w:rsidR="00F85630" w:rsidRDefault="007D7D0C" w:rsidP="00F856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 xml:space="preserve">Zdravotním znevýhodněním je pro účely tohoto zákona zdravotní oslabení, dlouhodobá nemoc nebo lehčí zdravotní poruchy vedoucí k poruchám učení a chování, které vyžadují zohlednění při vzdělávání. </w:t>
            </w:r>
          </w:p>
          <w:p w:rsidR="007D7D0C" w:rsidRDefault="007D7D0C" w:rsidP="00F856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Sociálním znevýhodněním je pro účely tohoto zákona rodinné</w:t>
            </w:r>
            <w:r w:rsidRPr="003B607D">
              <w:rPr>
                <w:rFonts w:cs="Arial"/>
                <w:color w:val="000000"/>
                <w:szCs w:val="20"/>
              </w:rPr>
              <w:t xml:space="preserve"> prostředí s</w:t>
            </w:r>
            <w:r w:rsidR="009D411F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nízkým sociálně kulturním postavením, ohrožení sociálně patologickými jevy, nařízená ústavní výchova nebo uložená ochranná výchova, nebo postavení azylanta, osoby požívající doplňkové ochrany a účastníka řízení o udělení mezinárodní ochrany na území České republiky podle zvláštního právního předpisu.</w:t>
            </w:r>
          </w:p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Speciální vzdělávací potřeby dětí, žáků a studentů zjišťuje </w:t>
            </w:r>
            <w:hyperlink r:id="rId40" w:history="1">
              <w:r w:rsidRPr="00247399">
                <w:rPr>
                  <w:rStyle w:val="Hypertextovodkaz"/>
                  <w:rFonts w:cs="Arial"/>
                  <w:szCs w:val="20"/>
                </w:rPr>
                <w:t>školské poradenské zařízení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Děti, žáci a studenti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 (viz </w:t>
            </w:r>
            <w:hyperlink r:id="rId41" w:history="1">
              <w:r w:rsidRPr="003B607D">
                <w:rPr>
                  <w:rStyle w:val="Hypertextovodkaz"/>
                  <w:rFonts w:cs="Arial"/>
                  <w:szCs w:val="20"/>
                </w:rPr>
                <w:t>Školsk</w:t>
              </w:r>
              <w:r>
                <w:rPr>
                  <w:rStyle w:val="Hypertextovodkaz"/>
                  <w:rFonts w:cs="Arial"/>
                  <w:szCs w:val="20"/>
                </w:rPr>
                <w:t>ý</w:t>
              </w:r>
              <w:r w:rsidRPr="003B607D">
                <w:rPr>
                  <w:rStyle w:val="Hypertextovodkaz"/>
                  <w:rFonts w:cs="Arial"/>
                  <w:szCs w:val="20"/>
                </w:rPr>
                <w:t xml:space="preserve"> zákon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č.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561/2004 Sb.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3B607D">
              <w:rPr>
                <w:rFonts w:cs="Arial"/>
                <w:color w:val="000000"/>
                <w:szCs w:val="20"/>
              </w:rPr>
              <w:t>§ 16).</w:t>
            </w:r>
          </w:p>
          <w:p w:rsidR="0070443B" w:rsidRPr="001451BD" w:rsidRDefault="0070443B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1451BD">
              <w:rPr>
                <w:rFonts w:cs="Arial"/>
                <w:color w:val="222222"/>
                <w:szCs w:val="20"/>
              </w:rPr>
              <w:t xml:space="preserve">Při interpretaci počtu žáků se speciálními vzdělávacími potřebami, včetně </w:t>
            </w:r>
            <w:r w:rsidR="001451BD">
              <w:rPr>
                <w:rFonts w:cs="Arial"/>
                <w:color w:val="222222"/>
                <w:szCs w:val="20"/>
              </w:rPr>
              <w:t>v </w:t>
            </w:r>
            <w:r w:rsidRPr="001451BD">
              <w:rPr>
                <w:rFonts w:cs="Arial"/>
                <w:color w:val="222222"/>
                <w:szCs w:val="20"/>
              </w:rPr>
              <w:t>dělení dle druhu postižení, je třeba mít na paměti, že absolutní nárůsty v jednotlivých kategoriích nemusejí vždy vypovídat o vyšším výskytu zdravotně postižených či dětí s poruchami v populaci. Čísla mohou být ovlivněna změnami v</w:t>
            </w:r>
            <w:r w:rsidR="00A614C8">
              <w:rPr>
                <w:rFonts w:cs="Arial"/>
                <w:color w:val="222222"/>
                <w:szCs w:val="20"/>
              </w:rPr>
              <w:t> </w:t>
            </w:r>
            <w:r w:rsidRPr="001451BD">
              <w:rPr>
                <w:rFonts w:cs="Arial"/>
                <w:color w:val="222222"/>
                <w:szCs w:val="20"/>
              </w:rPr>
              <w:t>systému</w:t>
            </w:r>
            <w:r w:rsidR="00A614C8">
              <w:rPr>
                <w:rFonts w:cs="Arial"/>
                <w:color w:val="222222"/>
                <w:szCs w:val="20"/>
              </w:rPr>
              <w:t>,</w:t>
            </w:r>
            <w:r w:rsidRPr="001451BD">
              <w:rPr>
                <w:rFonts w:cs="Arial"/>
                <w:color w:val="222222"/>
                <w:szCs w:val="20"/>
              </w:rPr>
              <w:t xml:space="preserve"> vzdělávací politice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</w:t>
            </w:r>
            <w:r w:rsidR="00A614C8">
              <w:rPr>
                <w:rFonts w:cs="Arial"/>
                <w:color w:val="222222"/>
                <w:szCs w:val="20"/>
              </w:rPr>
              <w:t>či</w:t>
            </w:r>
            <w:r w:rsidR="001451BD" w:rsidRPr="001451BD">
              <w:rPr>
                <w:rFonts w:cs="Arial"/>
                <w:color w:val="222222"/>
                <w:szCs w:val="20"/>
              </w:rPr>
              <w:t> metodice vykazování</w:t>
            </w:r>
            <w:r w:rsidRPr="001451BD">
              <w:rPr>
                <w:rFonts w:cs="Arial"/>
                <w:color w:val="222222"/>
                <w:szCs w:val="20"/>
              </w:rPr>
              <w:t>.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Např. </w:t>
            </w:r>
            <w:r w:rsidR="007A17CA">
              <w:rPr>
                <w:rFonts w:cs="Arial"/>
                <w:color w:val="222222"/>
                <w:szCs w:val="20"/>
              </w:rPr>
              <w:t>zavedení výhod či úlev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pro žáky se SVP může mít za následek vyšší zájem o oficiální potvrzení diagnózy</w:t>
            </w:r>
            <w:r w:rsidR="00A614C8">
              <w:rPr>
                <w:rFonts w:cs="Arial"/>
                <w:color w:val="222222"/>
                <w:szCs w:val="20"/>
              </w:rPr>
              <w:t>, může docházet k rediagnostikám postižení z jedné kategorie do jiné apod.,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viz</w:t>
            </w:r>
            <w:r w:rsidR="00A614C8">
              <w:rPr>
                <w:rFonts w:cs="Arial"/>
                <w:color w:val="222222"/>
                <w:szCs w:val="20"/>
              </w:rPr>
              <w:t xml:space="preserve"> např.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</w:t>
            </w:r>
            <w:hyperlink r:id="rId42" w:history="1">
              <w:r w:rsidR="001451BD" w:rsidRPr="001451BD">
                <w:rPr>
                  <w:rStyle w:val="Hypertextovodkaz"/>
                  <w:rFonts w:cs="Arial"/>
                  <w:szCs w:val="20"/>
                </w:rPr>
                <w:t>zde</w:t>
              </w:r>
            </w:hyperlink>
            <w:r w:rsidR="001451BD" w:rsidRPr="001451BD">
              <w:rPr>
                <w:rFonts w:cs="Arial"/>
                <w:color w:val="222222"/>
                <w:szCs w:val="20"/>
              </w:rPr>
              <w:t>.</w:t>
            </w:r>
          </w:p>
          <w:p w:rsidR="007D7D0C" w:rsidRPr="003B607D" w:rsidRDefault="007D7D0C" w:rsidP="009D411F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Děti, žáci a studenti se speciálními vzdělávacími potřebami mohou být integrováni do </w:t>
            </w:r>
            <w:hyperlink w:anchor="_Běžná_třída" w:history="1">
              <w:r w:rsidRPr="003B607D">
                <w:rPr>
                  <w:rStyle w:val="Hypertextovodkaz"/>
                  <w:rFonts w:cs="Arial"/>
                  <w:szCs w:val="20"/>
                </w:rPr>
                <w:t>běžných tříd</w:t>
              </w:r>
            </w:hyperlink>
            <w:r w:rsidR="009D411F">
              <w:t xml:space="preserve"> </w:t>
            </w:r>
            <w:hyperlink w:anchor="_Běžná_škola" w:history="1">
              <w:r w:rsidR="009D411F" w:rsidRPr="009D411F">
                <w:rPr>
                  <w:rStyle w:val="Hypertextovodkaz"/>
                </w:rPr>
                <w:t>běžných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nebo pro ně mohou být </w:t>
            </w:r>
            <w:r w:rsidR="009D411F">
              <w:rPr>
                <w:rFonts w:cs="Arial"/>
                <w:color w:val="000000"/>
                <w:szCs w:val="20"/>
              </w:rPr>
              <w:t xml:space="preserve">na běžných školách </w:t>
            </w:r>
            <w:r w:rsidRPr="003B607D">
              <w:rPr>
                <w:rFonts w:cs="Arial"/>
                <w:color w:val="000000"/>
                <w:szCs w:val="20"/>
              </w:rPr>
              <w:t xml:space="preserve">zřízeny </w:t>
            </w:r>
            <w:hyperlink w:anchor="_Speciální_třída" w:history="1">
              <w:r w:rsidRPr="003B607D">
                <w:rPr>
                  <w:rStyle w:val="Hypertextovodkaz"/>
                  <w:rFonts w:cs="Arial"/>
                  <w:szCs w:val="20"/>
                </w:rPr>
                <w:t>speciální třídy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popř.</w:t>
            </w:r>
            <w:r w:rsidR="009D411F">
              <w:rPr>
                <w:rFonts w:cs="Arial"/>
                <w:color w:val="000000"/>
                <w:szCs w:val="20"/>
              </w:rPr>
              <w:t xml:space="preserve"> navštěvují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Škola_pro_žáky" w:history="1">
              <w:r w:rsidRPr="009D411F">
                <w:rPr>
                  <w:rStyle w:val="Hypertextovodkaz"/>
                  <w:rFonts w:cs="Arial"/>
                  <w:szCs w:val="20"/>
                </w:rPr>
                <w:t xml:space="preserve">školy určené </w:t>
              </w:r>
              <w:r w:rsidR="009D411F" w:rsidRPr="009D411F">
                <w:rPr>
                  <w:rStyle w:val="Hypertextovodkaz"/>
                  <w:rFonts w:cs="Arial"/>
                  <w:szCs w:val="20"/>
                </w:rPr>
                <w:t>přímo</w:t>
              </w:r>
              <w:r w:rsidRPr="009D411F">
                <w:rPr>
                  <w:rStyle w:val="Hypertextovodkaz"/>
                  <w:rFonts w:cs="Arial"/>
                  <w:szCs w:val="20"/>
                </w:rPr>
                <w:t xml:space="preserve"> pro </w:t>
              </w:r>
              <w:r w:rsidR="009D411F" w:rsidRPr="009D411F">
                <w:rPr>
                  <w:rStyle w:val="Hypertextovodkaz"/>
                  <w:rFonts w:cs="Arial"/>
                  <w:szCs w:val="20"/>
                </w:rPr>
                <w:t>ž</w:t>
              </w:r>
              <w:r w:rsidRPr="009D411F">
                <w:rPr>
                  <w:rStyle w:val="Hypertextovodkaz"/>
                  <w:rFonts w:cs="Arial"/>
                  <w:szCs w:val="20"/>
                </w:rPr>
                <w:t>áky</w:t>
              </w:r>
              <w:r w:rsidR="009D411F" w:rsidRPr="009D411F">
                <w:rPr>
                  <w:rStyle w:val="Hypertextovodkaz"/>
                </w:rPr>
                <w:t xml:space="preserve"> se speciálními vzdělávacími potřebami</w:t>
              </w:r>
            </w:hyperlink>
            <w:r w:rsidR="009D411F">
              <w:t xml:space="preserve">.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Povinná školní docházka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může být u těchto žáků prodloužena</w:t>
            </w:r>
            <w:r w:rsidR="00674E73">
              <w:rPr>
                <w:rFonts w:cs="Arial"/>
                <w:color w:val="000000"/>
                <w:szCs w:val="20"/>
              </w:rPr>
              <w:t xml:space="preserve"> o rok</w:t>
            </w:r>
            <w:r w:rsidRPr="003B607D">
              <w:rPr>
                <w:rFonts w:cs="Arial"/>
                <w:color w:val="000000"/>
                <w:szCs w:val="20"/>
              </w:rPr>
              <w:t>, tj. na 10 let.</w:t>
            </w:r>
          </w:p>
        </w:tc>
      </w:tr>
      <w:tr w:rsidR="007D7D0C" w:rsidRPr="003B607D" w:rsidTr="00674E73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674E73">
            <w:pPr>
              <w:pStyle w:val="Nadpis4"/>
              <w:rPr>
                <w:rFonts w:eastAsia="Times New Roman"/>
              </w:rPr>
            </w:pPr>
            <w:bookmarkStart w:id="80" w:name="_Šestiletá_konzervatoř"/>
            <w:bookmarkStart w:id="81" w:name="_Toc458676066"/>
            <w:bookmarkEnd w:id="80"/>
            <w:r w:rsidRPr="00261428">
              <w:rPr>
                <w:rFonts w:eastAsia="Times New Roman"/>
              </w:rPr>
              <w:t>Šestiletá konzervatoř</w:t>
            </w:r>
            <w:bookmarkEnd w:id="8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Do šestiletých konzervatoří nastupují žáci, kteří mají</w:t>
            </w:r>
            <w:r w:rsidR="00674E73">
              <w:rPr>
                <w:rFonts w:cs="Arial"/>
                <w:color w:val="000000"/>
                <w:szCs w:val="20"/>
              </w:rPr>
              <w:t xml:space="preserve"> splněnou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Nejdříve po čtyřech letech studia skládají maturitní zkoušku (tj. dokončí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), na konci šestiletého </w:t>
            </w:r>
            <w:r>
              <w:rPr>
                <w:rFonts w:cs="Arial"/>
                <w:color w:val="000000"/>
                <w:szCs w:val="20"/>
              </w:rPr>
              <w:t xml:space="preserve">roku </w:t>
            </w:r>
            <w:r w:rsidRPr="003B607D">
              <w:rPr>
                <w:rFonts w:cs="Arial"/>
                <w:color w:val="000000"/>
                <w:szCs w:val="20"/>
              </w:rPr>
              <w:t xml:space="preserve">studia skládají absolutorium a získávají titul Dis. (tj. dokončí </w:t>
            </w:r>
            <w:hyperlink w:anchor="_Vyšší_odborné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vyšší odborné vzdělání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na konzervatoři). Viz </w:t>
            </w:r>
            <w:r>
              <w:rPr>
                <w:rFonts w:cs="Arial"/>
                <w:color w:val="000000"/>
                <w:szCs w:val="20"/>
              </w:rPr>
              <w:t xml:space="preserve">též </w:t>
            </w:r>
            <w:r w:rsidR="00674E73">
              <w:rPr>
                <w:rFonts w:cs="Arial"/>
                <w:color w:val="000000"/>
                <w:szCs w:val="20"/>
              </w:rPr>
              <w:t>pojem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674E73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rPr>
                <w:rFonts w:eastAsia="Times New Roman"/>
              </w:rPr>
            </w:pPr>
            <w:bookmarkStart w:id="82" w:name="_Šestileté_gymnázium"/>
            <w:bookmarkStart w:id="83" w:name="_Toc458676067"/>
            <w:bookmarkEnd w:id="82"/>
            <w:r>
              <w:rPr>
                <w:rFonts w:eastAsia="Times New Roman"/>
              </w:rPr>
              <w:t>Šestileté gymnázium</w:t>
            </w:r>
            <w:bookmarkEnd w:id="8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Šestileté gymnázium se řadí do kategorie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všeobecného</w:t>
            </w:r>
            <w:r w:rsidR="00674E73">
              <w:rPr>
                <w:rFonts w:cs="Arial"/>
                <w:color w:val="000000"/>
                <w:szCs w:val="20"/>
              </w:rPr>
              <w:t xml:space="preserve"> zaměření a poskytuje nižší (1. až </w:t>
            </w:r>
            <w:r w:rsidRPr="003B607D">
              <w:rPr>
                <w:rFonts w:cs="Arial"/>
                <w:color w:val="000000"/>
                <w:szCs w:val="20"/>
              </w:rPr>
              <w:t>2. ročník) a vyšší (3.</w:t>
            </w:r>
            <w:r w:rsidR="00674E73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>6.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ročník) sekundární vzdělávání. Šestileté gymnázium bývá spolu s </w:t>
            </w:r>
            <w:hyperlink w:anchor="_Osm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osmiletým gymnáziem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též označováno jako </w:t>
            </w:r>
            <w:hyperlink w:anchor="_Více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víceleté 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(viz též výklad k pojmu </w:t>
            </w:r>
            <w:hyperlink w:anchor="_Gymnázium" w:history="1">
              <w:r w:rsidRPr="003B607D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>).</w:t>
            </w:r>
          </w:p>
        </w:tc>
      </w:tr>
      <w:tr w:rsidR="007D7D0C" w:rsidRPr="003B607D" w:rsidTr="00A614C8">
        <w:trPr>
          <w:trHeight w:val="186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spacing w:before="40"/>
              <w:rPr>
                <w:rFonts w:eastAsia="Times New Roman"/>
              </w:rPr>
            </w:pPr>
            <w:bookmarkStart w:id="84" w:name="_Toc458676068"/>
            <w:r w:rsidRPr="00261428">
              <w:rPr>
                <w:rFonts w:eastAsia="Times New Roman"/>
              </w:rPr>
              <w:t>Škola</w:t>
            </w:r>
            <w:bookmarkEnd w:id="8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Za školu se považuje právní subjekt s jedním ředitelstvím. V průběhu času mohou tyto subjekty vznikat a zanikat nejen z důvodu založení nové školy, příp. jejího zrušení, ale též sloučením dvou či více škol pod jedno ředitelství, příp. rozdělením jedné školy do více samostatných právních subjektů, z nichž každý má své ředitelství. </w:t>
            </w:r>
          </w:p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Pro správné pochopení statistických ukazatelů je důležité si uvědomit, že jedna škola může nabízet více úrovní, druhů a forem vzdělávání, vzdělávacích programů apod.</w:t>
            </w:r>
            <w:r>
              <w:rPr>
                <w:rFonts w:cs="Arial"/>
                <w:color w:val="000000"/>
                <w:szCs w:val="20"/>
              </w:rPr>
              <w:t xml:space="preserve"> Z tohoto důvodu může být j</w:t>
            </w:r>
            <w:r w:rsidRPr="003B607D">
              <w:rPr>
                <w:rFonts w:cs="Arial"/>
                <w:color w:val="000000"/>
                <w:szCs w:val="20"/>
              </w:rPr>
              <w:t xml:space="preserve">edna škola započtena </w:t>
            </w:r>
            <w:r>
              <w:rPr>
                <w:rFonts w:cs="Arial"/>
                <w:color w:val="000000"/>
                <w:szCs w:val="20"/>
              </w:rPr>
              <w:t>do více kategorií</w:t>
            </w:r>
            <w:r w:rsidRPr="003B607D">
              <w:rPr>
                <w:rFonts w:cs="Arial"/>
                <w:color w:val="000000"/>
                <w:szCs w:val="20"/>
              </w:rPr>
              <w:t xml:space="preserve">, kterým odpovídá. </w:t>
            </w:r>
          </w:p>
        </w:tc>
      </w:tr>
      <w:tr w:rsidR="007D7D0C" w:rsidRPr="003B607D" w:rsidTr="007D7D0C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5" w:name="_Škola_běžná"/>
            <w:bookmarkStart w:id="86" w:name="_Toc458676069"/>
            <w:bookmarkEnd w:id="85"/>
            <w:r w:rsidRPr="00261428">
              <w:rPr>
                <w:rFonts w:eastAsia="Times New Roman"/>
              </w:rPr>
              <w:lastRenderedPageBreak/>
              <w:t>Škola běžná</w:t>
            </w:r>
            <w:bookmarkEnd w:id="8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D32094" w:rsidRDefault="00D32094" w:rsidP="00925B46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Jedná se o školy, které nejsou přímo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samostatně zřízené </w:t>
            </w:r>
            <w:hyperlink w:anchor="_Škola_pro_žáky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pro děti/žáky/studenty se speciálními vzdělávacími potřebam</w:t>
              </w:r>
              <w:r w:rsidR="00925B46">
                <w:rPr>
                  <w:rStyle w:val="Hypertextovodkaz"/>
                  <w:rFonts w:cs="Arial"/>
                  <w:szCs w:val="20"/>
                </w:rPr>
                <w:t>i (SVP)</w:t>
              </w:r>
            </w:hyperlink>
            <w:r w:rsidR="00925B46">
              <w:t xml:space="preserve">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a mají tudíž minimálně jednu </w:t>
            </w:r>
            <w:hyperlink w:anchor="_Běžná_tříd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běžnou třídu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 xml:space="preserve">Mimo běžných tříd však mohou být v běžných školách i </w:t>
            </w:r>
            <w:hyperlink w:anchor="_Speciální_třída" w:history="1">
              <w:r w:rsidRPr="00925B46">
                <w:rPr>
                  <w:rStyle w:val="Hypertextovodkaz"/>
                  <w:rFonts w:cs="Arial"/>
                  <w:szCs w:val="20"/>
                </w:rPr>
                <w:t>speciální třídy</w:t>
              </w:r>
            </w:hyperlink>
            <w:r>
              <w:rPr>
                <w:rFonts w:cs="Arial"/>
                <w:color w:val="000000"/>
                <w:szCs w:val="20"/>
              </w:rPr>
              <w:t xml:space="preserve">,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příp. zde může docházet k integraci dětí/žáků/studentů se </w:t>
            </w:r>
            <w:hyperlink w:anchor="_SVP_(speciální_vzdělávací" w:history="1">
              <w:r w:rsidR="00925B46">
                <w:rPr>
                  <w:rStyle w:val="Hypertextovodkaz"/>
                  <w:rFonts w:cs="Arial"/>
                  <w:szCs w:val="20"/>
                </w:rPr>
                <w:t>SVP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do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</w:t>
            </w:r>
            <w:r w:rsidR="00925B46">
              <w:rPr>
                <w:rFonts w:cs="Arial"/>
                <w:szCs w:val="20"/>
              </w:rPr>
              <w:t>běžných</w:t>
            </w:r>
            <w:r w:rsidR="007D7D0C" w:rsidRPr="00925B46">
              <w:rPr>
                <w:rFonts w:cs="Arial"/>
                <w:szCs w:val="20"/>
              </w:rPr>
              <w:t xml:space="preserve"> tříd</w:t>
            </w:r>
            <w:r>
              <w:rPr>
                <w:rFonts w:cs="Arial"/>
                <w:color w:val="000000"/>
                <w:szCs w:val="20"/>
              </w:rPr>
              <w:t>. Více viz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</w:t>
            </w:r>
            <w:r w:rsidR="00610830">
              <w:rPr>
                <w:rFonts w:cs="Arial"/>
                <w:szCs w:val="20"/>
              </w:rPr>
              <w:t>pokyny a vysvětlivky Ministerstva školství, mládeže a tělovýchovy</w:t>
            </w:r>
            <w:r w:rsidR="007D7D0C" w:rsidRPr="003B607D">
              <w:rPr>
                <w:rFonts w:cs="Arial"/>
                <w:szCs w:val="20"/>
              </w:rPr>
              <w:t xml:space="preserve"> k výkazu R 13-01 (</w:t>
            </w:r>
            <w:hyperlink r:id="rId43" w:history="1">
              <w:r w:rsidR="003501CC">
                <w:rPr>
                  <w:rStyle w:val="Hypertextovodkaz"/>
                  <w:rFonts w:eastAsia="MS Gothic" w:cs="Arial"/>
                  <w:szCs w:val="20"/>
                </w:rPr>
                <w:t>Výkaz o </w:t>
              </w:r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ředitelství škol</w:t>
              </w:r>
            </w:hyperlink>
            <w:r w:rsidR="007D7D0C"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D32094">
        <w:trPr>
          <w:trHeight w:val="442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7" w:name="_Škola_pro_žáky"/>
            <w:bookmarkStart w:id="88" w:name="_Toc458676070"/>
            <w:bookmarkEnd w:id="87"/>
            <w:r w:rsidRPr="00261428">
              <w:rPr>
                <w:rFonts w:eastAsia="Times New Roman"/>
              </w:rPr>
              <w:t>Škola pro žáky se SVP</w:t>
            </w:r>
            <w:bookmarkEnd w:id="8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D32094" w:rsidP="00D32094">
            <w:pPr>
              <w:spacing w:before="40"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Jedná se o školy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samostatně zřízené pro děti/žáky/studenty se </w:t>
            </w:r>
            <w:hyperlink w:anchor="_SVP_(speciální_vzdělávac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speciálními vzdělávacími potřebami (SVP)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. Tím se odlišují od </w:t>
            </w:r>
            <w:hyperlink w:anchor="_Škola_běžná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škol běžných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, které mají minimálně jednu </w:t>
            </w:r>
            <w:hyperlink w:anchor="_Běžná_tříd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běžnou třídu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7D7D0C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9" w:name="_Školní_rok"/>
            <w:bookmarkStart w:id="90" w:name="_Toc458676071"/>
            <w:bookmarkEnd w:id="89"/>
            <w:r w:rsidRPr="00261428">
              <w:rPr>
                <w:rFonts w:eastAsia="Times New Roman"/>
              </w:rPr>
              <w:t>Školní rok</w:t>
            </w:r>
            <w:bookmarkEnd w:id="9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D32094">
            <w:pPr>
              <w:spacing w:before="40"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Školní rok se sleduje v případě </w:t>
            </w:r>
            <w:hyperlink w:anchor="_Mateřská_škol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mateřských</w:t>
              </w:r>
            </w:hyperlink>
            <w:r w:rsidR="00D32094">
              <w:rPr>
                <w:rFonts w:cs="Arial"/>
                <w:szCs w:val="20"/>
              </w:rPr>
              <w:t xml:space="preserve">, </w:t>
            </w:r>
            <w:hyperlink w:anchor="_Základní_škola" w:history="1">
              <w:r w:rsidR="00D32094" w:rsidRPr="00925B46">
                <w:rPr>
                  <w:rStyle w:val="Hypertextovodkaz"/>
                  <w:rFonts w:cs="Arial"/>
                  <w:szCs w:val="20"/>
                </w:rPr>
                <w:t>základních</w:t>
              </w:r>
            </w:hyperlink>
            <w:r w:rsidR="00D32094" w:rsidRPr="00925B46">
              <w:rPr>
                <w:rFonts w:cs="Arial"/>
                <w:szCs w:val="20"/>
              </w:rPr>
              <w:t>,</w:t>
            </w:r>
            <w:r w:rsidR="00D32094" w:rsidRPr="00D32094">
              <w:rPr>
                <w:rFonts w:cs="Arial"/>
                <w:color w:val="FF0000"/>
                <w:szCs w:val="20"/>
              </w:rPr>
              <w:t xml:space="preserve"> </w:t>
            </w:r>
            <w:hyperlink w:anchor="_Střední_vzdělávání" w:history="1">
              <w:r w:rsidR="00D32094" w:rsidRPr="00925B46">
                <w:rPr>
                  <w:rStyle w:val="Hypertextovodkaz"/>
                  <w:rFonts w:cs="Arial"/>
                  <w:szCs w:val="20"/>
                </w:rPr>
                <w:t>středních</w:t>
              </w:r>
            </w:hyperlink>
            <w:r w:rsidR="00D32094">
              <w:rPr>
                <w:rFonts w:cs="Arial"/>
                <w:szCs w:val="20"/>
              </w:rPr>
              <w:t xml:space="preserve"> a </w:t>
            </w:r>
            <w:hyperlink w:anchor="_Vyšší_odborné_vzdělávání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vyšších odborných škol</w:t>
              </w:r>
            </w:hyperlink>
            <w:r w:rsidR="00D32094">
              <w:t xml:space="preserve">, dále také v případě </w:t>
            </w:r>
            <w:hyperlink w:anchor="_Konzervatoř" w:history="1">
              <w:r w:rsidR="00D32094" w:rsidRPr="00925B46">
                <w:rPr>
                  <w:rStyle w:val="Hypertextovodkaz"/>
                </w:rPr>
                <w:t>konzervatoří</w:t>
              </w:r>
            </w:hyperlink>
            <w:r w:rsidR="00D32094">
              <w:t xml:space="preserve"> a dalších školních zařízení (</w:t>
            </w:r>
            <w:hyperlink w:anchor="_Základní_umělecká_škola" w:history="1">
              <w:r w:rsidR="00D32094" w:rsidRPr="00925B46">
                <w:rPr>
                  <w:rStyle w:val="Hypertextovodkaz"/>
                </w:rPr>
                <w:t>ZUŠ</w:t>
              </w:r>
            </w:hyperlink>
            <w:r w:rsidR="00D32094" w:rsidRPr="00925B46">
              <w:t>, školní knihovny, družiny</w:t>
            </w:r>
            <w:r w:rsidR="00D32094">
              <w:t xml:space="preserve"> apod.)</w:t>
            </w:r>
            <w:r w:rsidRPr="003B607D">
              <w:rPr>
                <w:rFonts w:cs="Arial"/>
                <w:szCs w:val="20"/>
              </w:rPr>
              <w:t>. Začíná 1. září a</w:t>
            </w:r>
            <w:r w:rsidR="00D32094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končí 31. srpna následujícího kalendářního roku. Statistické údaje za </w:t>
            </w:r>
            <w:r w:rsidR="00D32094">
              <w:rPr>
                <w:rFonts w:cs="Arial"/>
                <w:szCs w:val="20"/>
              </w:rPr>
              <w:t>daný</w:t>
            </w:r>
            <w:r w:rsidRPr="003B607D">
              <w:rPr>
                <w:rFonts w:cs="Arial"/>
                <w:szCs w:val="20"/>
              </w:rPr>
              <w:t xml:space="preserve"> školní rok jsou v tét</w:t>
            </w:r>
            <w:r w:rsidR="00D32094">
              <w:rPr>
                <w:rFonts w:cs="Arial"/>
                <w:szCs w:val="20"/>
              </w:rPr>
              <w:t xml:space="preserve">o publikaci zpravidla uváděny </w:t>
            </w:r>
            <w:r w:rsidRPr="003B607D">
              <w:rPr>
                <w:rFonts w:cs="Arial"/>
                <w:szCs w:val="20"/>
              </w:rPr>
              <w:t>dle stavu k 30. září.</w:t>
            </w:r>
          </w:p>
        </w:tc>
      </w:tr>
      <w:tr w:rsidR="007D7D0C" w:rsidRPr="003B607D" w:rsidTr="007D7D0C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1" w:name="_Učitel"/>
            <w:bookmarkStart w:id="92" w:name="_Toc458676072"/>
            <w:bookmarkEnd w:id="91"/>
            <w:r w:rsidRPr="00261428">
              <w:rPr>
                <w:rFonts w:eastAsia="Times New Roman"/>
              </w:rPr>
              <w:t>Učitel</w:t>
            </w:r>
            <w:bookmarkEnd w:id="9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Pod pojmem „učitel“ jsou v tabulkách označeni všichni pracovníci s přímou vyučovací povinností, včetně ředitele školy a jeho zástupce. Učitelé se řadí do širší kategorie </w:t>
            </w:r>
            <w:hyperlink w:anchor="_Pedagogický_pracovník" w:history="1">
              <w:r w:rsidRPr="003B607D">
                <w:rPr>
                  <w:rStyle w:val="Hypertextovodkaz"/>
                  <w:rFonts w:cs="Arial"/>
                  <w:szCs w:val="20"/>
                </w:rPr>
                <w:t>pedagogických pracovníků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V tabulkách nejsou uváděny počty osob, ale jejich přepočtené počty na plně </w:t>
            </w:r>
            <w:r>
              <w:rPr>
                <w:rFonts w:cs="Arial"/>
                <w:color w:val="000000"/>
                <w:szCs w:val="20"/>
              </w:rPr>
              <w:t xml:space="preserve">zaměstnané, a sice </w:t>
            </w:r>
            <w:r w:rsidRPr="003B607D">
              <w:rPr>
                <w:rFonts w:cs="Arial"/>
                <w:color w:val="000000"/>
                <w:szCs w:val="20"/>
              </w:rPr>
              <w:t>ke dni 30. září daného školního roku.</w:t>
            </w:r>
          </w:p>
        </w:tc>
      </w:tr>
      <w:tr w:rsidR="007D7D0C" w:rsidRPr="003B607D" w:rsidTr="007D7D0C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3" w:name="_Univerzita"/>
            <w:bookmarkStart w:id="94" w:name="_Toc458676073"/>
            <w:bookmarkEnd w:id="93"/>
            <w:r>
              <w:rPr>
                <w:rFonts w:eastAsia="Times New Roman"/>
              </w:rPr>
              <w:t>Univerzita</w:t>
            </w:r>
            <w:bookmarkEnd w:id="9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31025F" w:rsidP="00D32094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hyperlink w:anchor="_Vysoká_škola" w:history="1">
              <w:r w:rsidR="007D7D0C" w:rsidRPr="00925B46">
                <w:rPr>
                  <w:rStyle w:val="Hypertextovodkaz"/>
                  <w:rFonts w:cs="Arial"/>
                  <w:szCs w:val="20"/>
                </w:rPr>
                <w:t>Vysoké školy</w:t>
              </w:r>
            </w:hyperlink>
            <w:r w:rsidR="007D7D0C">
              <w:rPr>
                <w:rFonts w:cs="Arial"/>
                <w:szCs w:val="20"/>
              </w:rPr>
              <w:t xml:space="preserve"> se dělí na univerzitní a neuniverzitní, přičemž</w:t>
            </w:r>
            <w:r w:rsidR="007D7D0C" w:rsidRPr="003B607D">
              <w:rPr>
                <w:rFonts w:cs="Arial"/>
                <w:szCs w:val="20"/>
              </w:rPr>
              <w:t xml:space="preserve"> </w:t>
            </w:r>
            <w:r w:rsidR="007D7D0C">
              <w:rPr>
                <w:rFonts w:cs="Arial"/>
                <w:szCs w:val="20"/>
              </w:rPr>
              <w:t>o</w:t>
            </w:r>
            <w:r w:rsidR="007D7D0C" w:rsidRPr="003B607D">
              <w:rPr>
                <w:rFonts w:cs="Arial"/>
                <w:szCs w:val="20"/>
              </w:rPr>
              <w:t>značení "univerzita", popřípadě z něho odvozené tvary slov mohou mít ve svém názvu pouze vysoké školy univerzitní. Vysoká škola univerzitní může uskutečňovat všechny typy studijních programů a v souvislosti s tím vědeckou a výzkumnou, vývojovou a inovační, uměleckou nebo další tvůrčí činnost. Vysoká škola neuniverzitní uskutečňuje bakalářské studijní programy a může též uskutečňovat magisterské studijní programy a</w:t>
            </w:r>
            <w:r w:rsidR="00D32094">
              <w:rPr>
                <w:rFonts w:cs="Arial"/>
                <w:szCs w:val="20"/>
              </w:rPr>
              <w:t> </w:t>
            </w:r>
            <w:r w:rsidR="007D7D0C" w:rsidRPr="003B607D">
              <w:rPr>
                <w:rFonts w:cs="Arial"/>
                <w:szCs w:val="20"/>
              </w:rPr>
              <w:t>v</w:t>
            </w:r>
            <w:r w:rsidR="00D32094">
              <w:rPr>
                <w:rFonts w:cs="Arial"/>
                <w:szCs w:val="20"/>
              </w:rPr>
              <w:t> </w:t>
            </w:r>
            <w:r w:rsidR="007D7D0C" w:rsidRPr="003B607D">
              <w:rPr>
                <w:rFonts w:cs="Arial"/>
                <w:szCs w:val="20"/>
              </w:rPr>
              <w:t xml:space="preserve">souvislosti s tím výzkumnou, vývojovou, uměleckou nebo další tvůrčí činnost. Vysoká škola neuniverzitní se nečlení na fakulty. Více viz </w:t>
            </w:r>
            <w:hyperlink r:id="rId44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Zákon o</w:t>
              </w:r>
              <w:r w:rsidR="00D32094">
                <w:rPr>
                  <w:rStyle w:val="Hypertextovodkaz"/>
                  <w:rFonts w:cs="Arial"/>
                  <w:szCs w:val="20"/>
                </w:rPr>
                <w:t>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="007D7D0C" w:rsidRPr="003B607D">
              <w:rPr>
                <w:rFonts w:cs="Arial"/>
                <w:szCs w:val="20"/>
              </w:rPr>
              <w:t xml:space="preserve"> (č. 111/1998 Sb.</w:t>
            </w:r>
            <w:r w:rsidR="007D7D0C">
              <w:rPr>
                <w:rFonts w:cs="Arial"/>
                <w:szCs w:val="20"/>
              </w:rPr>
              <w:t>, § 2</w:t>
            </w:r>
            <w:r w:rsidR="007D7D0C"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7D7D0C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5" w:name="_Víceleté_gymnázium"/>
            <w:bookmarkStart w:id="96" w:name="_Toc458676074"/>
            <w:bookmarkEnd w:id="95"/>
            <w:r w:rsidRPr="00261428">
              <w:rPr>
                <w:rFonts w:eastAsia="Times New Roman"/>
              </w:rPr>
              <w:t>Víceleté gymnázium</w:t>
            </w:r>
            <w:bookmarkEnd w:id="9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25B46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Víceletými gymnázii jsou ta gymnázia, která kromě čtyř ročníků odpovídajícím vyššímu sekundárnímu vzdělávání zahrnují též 2 či 4</w:t>
            </w:r>
            <w:r w:rsidR="00D32094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ročníky odpovídající nižšímu sekundárnímu vzdělávání, tedy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docházce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Jedná se tedy o šestiletá a osmiletá gymnázia, která se řadí do </w:t>
            </w:r>
            <w:hyperlink w:anchor="_Střední_vzdělávání_s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 s maturitní zkouškou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925B46">
              <w:rPr>
                <w:rFonts w:cs="Arial"/>
                <w:color w:val="000000"/>
                <w:szCs w:val="20"/>
              </w:rPr>
              <w:t xml:space="preserve"> Viz také pojem </w:t>
            </w:r>
            <w:hyperlink w:anchor="_Gymnázium" w:history="1">
              <w:r w:rsidR="00925B46" w:rsidRPr="00925B46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="00925B46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D32094">
        <w:trPr>
          <w:trHeight w:val="1232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7D7D0C">
            <w:pPr>
              <w:pStyle w:val="Nadpis4"/>
              <w:rPr>
                <w:rFonts w:eastAsia="Times New Roman"/>
              </w:rPr>
            </w:pPr>
            <w:bookmarkStart w:id="97" w:name="_Výchovný_ústav"/>
            <w:bookmarkStart w:id="98" w:name="_Toc458676075"/>
            <w:bookmarkEnd w:id="97"/>
            <w:r>
              <w:rPr>
                <w:rFonts w:eastAsia="Times New Roman"/>
              </w:rPr>
              <w:t>Výchovný ústav</w:t>
            </w:r>
            <w:bookmarkEnd w:id="9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D32094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Výchovný ústav je školským </w:t>
            </w:r>
            <w:hyperlink w:anchor="_Zařízení_pro_výkon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zařízením pro výkon ústavní a ochranné výchovy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Dle § 14 </w:t>
            </w:r>
            <w:hyperlink r:id="rId45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zákona č. 109/2002 Sb.</w:t>
              </w:r>
            </w:hyperlink>
            <w:r w:rsidR="00925B46">
              <w:rPr>
                <w:rFonts w:cs="Arial"/>
                <w:color w:val="000000"/>
                <w:szCs w:val="20"/>
              </w:rPr>
              <w:t xml:space="preserve"> p</w:t>
            </w:r>
            <w:r w:rsidRPr="003B607D">
              <w:rPr>
                <w:rFonts w:cs="Arial"/>
                <w:color w:val="000000"/>
                <w:szCs w:val="20"/>
              </w:rPr>
              <w:t xml:space="preserve">ečuje o děti starší 15 let se závažnými poruchami chování, u nichž byla nařízena ústavní výchova nebo uložena ochranná výchova. Ve vztahu k dětem plní zejména úkoly výchovné, vzdělávací a sociální. Výchovné ústavy se zřizují odděleně pro děti s nařízenou ústavní výchovou, pro děti s uloženou ochrannou výchovou, pro děti, které jsou nezletilými matkami (a pro jejich děti), a pro děti, které vyžadují výchovně léčebnou péči, popřípadě se ve výchovném ústavu pro tyto děti zřizují oddělené výchovné skupiny. </w:t>
            </w:r>
          </w:p>
        </w:tc>
      </w:tr>
      <w:tr w:rsidR="007D7D0C" w:rsidRPr="003B607D" w:rsidTr="00CE02B0">
        <w:trPr>
          <w:trHeight w:val="4142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9" w:name="_Vysoká_škola"/>
            <w:bookmarkStart w:id="100" w:name="_Toc458676076"/>
            <w:bookmarkEnd w:id="99"/>
            <w:r>
              <w:rPr>
                <w:rFonts w:eastAsia="Times New Roman"/>
              </w:rPr>
              <w:lastRenderedPageBreak/>
              <w:t>Vysoká škola</w:t>
            </w:r>
            <w:bookmarkEnd w:id="10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Vysoká škola uskutečňuje akreditované studijní programy a programy celoživotního vzdělávání. Typ vysokoškolské vzdělávací činnosti je určen typem uskutečňovaných akreditovaných studijních programů.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Typy studijních programů jsou </w:t>
            </w:r>
            <w:hyperlink w:anchor="_Bakalářský_studijní_program" w:history="1">
              <w:r w:rsidRPr="00925B46">
                <w:rPr>
                  <w:rStyle w:val="Hypertextovodkaz"/>
                  <w:rFonts w:cs="Arial"/>
                  <w:szCs w:val="20"/>
                </w:rPr>
                <w:t>bakalářský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Magisterský_studijní_program" w:history="1">
              <w:r w:rsidRPr="000D5169">
                <w:rPr>
                  <w:rStyle w:val="Hypertextovodkaz"/>
                  <w:rFonts w:cs="Arial"/>
                  <w:szCs w:val="20"/>
                </w:rPr>
                <w:t>magisterský</w:t>
              </w:r>
            </w:hyperlink>
            <w:r w:rsidRPr="000D5169">
              <w:rPr>
                <w:rFonts w:cs="Arial"/>
                <w:szCs w:val="20"/>
              </w:rPr>
              <w:t xml:space="preserve">, </w:t>
            </w:r>
            <w:hyperlink w:anchor="_Navazující_magisterský_studijní" w:history="1">
              <w:r w:rsidRPr="000D5169">
                <w:rPr>
                  <w:rStyle w:val="Hypertextovodkaz"/>
                  <w:rFonts w:cs="Arial"/>
                  <w:szCs w:val="20"/>
                </w:rPr>
                <w:t>navazující magisterský</w:t>
              </w:r>
            </w:hyperlink>
            <w:r w:rsidRPr="003B607D">
              <w:rPr>
                <w:rFonts w:cs="Arial"/>
                <w:szCs w:val="20"/>
              </w:rPr>
              <w:t xml:space="preserve"> a </w:t>
            </w:r>
            <w:hyperlink w:anchor="_Doktorský_studijní_program" w:history="1">
              <w:r w:rsidRPr="00925B46">
                <w:rPr>
                  <w:rStyle w:val="Hypertextovodkaz"/>
                  <w:rFonts w:cs="Arial"/>
                  <w:szCs w:val="20"/>
                </w:rPr>
                <w:t>doktorský</w:t>
              </w:r>
            </w:hyperlink>
            <w:r w:rsidRPr="003B607D">
              <w:rPr>
                <w:rFonts w:cs="Arial"/>
                <w:szCs w:val="20"/>
              </w:rPr>
              <w:t xml:space="preserve">. Do bakalářského a magisterského programu nastupují studenti s ukončeným </w:t>
            </w:r>
            <w:hyperlink w:anchor="_Střední_vzdělávání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středoškolským vzděláním</w:t>
              </w:r>
            </w:hyperlink>
            <w:r w:rsidRPr="003B607D">
              <w:rPr>
                <w:rFonts w:cs="Arial"/>
                <w:szCs w:val="20"/>
              </w:rPr>
              <w:t xml:space="preserve"> a po ukončení studia získají příslušný titul. Do navazujícího magisterského studia nastupují studenti s ukončeným bakalářským vzděláním a do doktorského studia s ukončeným magisterským vzděláním.</w:t>
            </w:r>
          </w:p>
          <w:p w:rsidR="007D7D0C" w:rsidRPr="003B607D" w:rsidRDefault="007D7D0C" w:rsidP="000D5169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Vysoké školy se dále dělí na </w:t>
            </w:r>
            <w:hyperlink w:anchor="_Univerzita" w:history="1">
              <w:r w:rsidRPr="00CE02B0">
                <w:rPr>
                  <w:rStyle w:val="Hypertextovodkaz"/>
                  <w:rFonts w:cs="Arial"/>
                  <w:szCs w:val="20"/>
                </w:rPr>
                <w:t>univerzitní</w:t>
              </w:r>
            </w:hyperlink>
            <w:r>
              <w:rPr>
                <w:rFonts w:cs="Arial"/>
                <w:szCs w:val="20"/>
              </w:rPr>
              <w:t xml:space="preserve"> a neuniverzitní, přičemž</w:t>
            </w:r>
            <w:r w:rsidRPr="003B607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</w:t>
            </w:r>
            <w:r w:rsidRPr="003B607D">
              <w:rPr>
                <w:rFonts w:cs="Arial"/>
                <w:szCs w:val="20"/>
              </w:rPr>
              <w:t>značení "univerzita", popřípadě z něho odvozené tvary slov mohou mít ve svém názvu pouze vysoké školy univerzitní. Vysoká škola univerzitní může uskutečňovat všechny typy studijních programů a v souvislosti s tím vědeckou a výzkumnou, vývojovou a inovační, uměleckou nebo další tvůrčí činnost. Vysoká škola neuniverzitní uskutečňuje bakalářské studijní programy a může též uskutečňovat ma</w:t>
            </w:r>
            <w:r>
              <w:rPr>
                <w:rFonts w:cs="Arial"/>
                <w:szCs w:val="20"/>
              </w:rPr>
              <w:t>gisterské studijní programy a</w:t>
            </w:r>
            <w:r w:rsidR="00D32094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 </w:t>
            </w:r>
            <w:r w:rsidRPr="003B607D">
              <w:rPr>
                <w:rFonts w:cs="Arial"/>
                <w:szCs w:val="20"/>
              </w:rPr>
              <w:t>souvislosti s tím výzkumnou, vývojovou, uměleckou nebo další tvůrčí činnost. Vysoká škola neuniverzitní se nečlení na fakulty</w:t>
            </w:r>
            <w:r w:rsidR="00D32094">
              <w:rPr>
                <w:rFonts w:cs="Arial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 xml:space="preserve"> Více viz </w:t>
            </w:r>
            <w:hyperlink r:id="rId46" w:history="1">
              <w:r w:rsidRPr="003B607D">
                <w:rPr>
                  <w:rStyle w:val="Hypertextovodkaz"/>
                  <w:rFonts w:cs="Arial"/>
                  <w:szCs w:val="20"/>
                </w:rPr>
                <w:t>Zákon o</w:t>
              </w:r>
              <w:r w:rsidR="000D5169">
                <w:rPr>
                  <w:rStyle w:val="Hypertextovodkaz"/>
                  <w:rFonts w:cs="Arial"/>
                  <w:szCs w:val="20"/>
                </w:rPr>
                <w:t>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 111/1998 Sb.</w:t>
            </w:r>
            <w:r>
              <w:rPr>
                <w:rFonts w:cs="Arial"/>
                <w:szCs w:val="20"/>
              </w:rPr>
              <w:t>, § 2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7D7D0C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7D7D0C">
            <w:pPr>
              <w:pStyle w:val="Nadpis4"/>
              <w:rPr>
                <w:rFonts w:eastAsia="Times New Roman"/>
              </w:rPr>
            </w:pPr>
            <w:bookmarkStart w:id="101" w:name="_Vyšší_odborná_škola"/>
            <w:bookmarkStart w:id="102" w:name="_Toc458676077"/>
            <w:bookmarkEnd w:id="101"/>
            <w:r>
              <w:rPr>
                <w:rFonts w:eastAsia="Times New Roman"/>
              </w:rPr>
              <w:t>Vyšší odborná škola</w:t>
            </w:r>
            <w:bookmarkEnd w:id="10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06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Vyšší</w:t>
            </w:r>
            <w:r>
              <w:rPr>
                <w:rFonts w:cs="Arial"/>
                <w:szCs w:val="20"/>
              </w:rPr>
              <w:t xml:space="preserve"> odborná škola poskytuje </w:t>
            </w:r>
            <w:hyperlink w:anchor="_Vyšší_odborné_vzdělávání" w:history="1">
              <w:r w:rsidRPr="00500E00">
                <w:rPr>
                  <w:rStyle w:val="Hypertextovodkaz"/>
                  <w:rFonts w:cs="Arial"/>
                  <w:szCs w:val="20"/>
                </w:rPr>
                <w:t>vyšší odborné vzdělávání</w:t>
              </w:r>
            </w:hyperlink>
            <w:r>
              <w:rPr>
                <w:rFonts w:cs="Arial"/>
                <w:szCs w:val="20"/>
              </w:rPr>
              <w:t xml:space="preserve">, které </w:t>
            </w:r>
            <w:r w:rsidRPr="003B607D">
              <w:rPr>
                <w:rFonts w:cs="Arial"/>
                <w:szCs w:val="20"/>
              </w:rPr>
              <w:t>rozvíjí a</w:t>
            </w:r>
            <w:r w:rsidR="00D32094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prohlubuje znalosti a dovednosti studenta získané ve </w:t>
            </w:r>
            <w:hyperlink w:anchor="_Střední_vzdělávání" w:history="1">
              <w:r w:rsidRPr="00CE02B0">
                <w:rPr>
                  <w:rStyle w:val="Hypertextovodkaz"/>
                  <w:rFonts w:cs="Arial"/>
                  <w:szCs w:val="20"/>
                </w:rPr>
                <w:t>středním vzdělávání</w:t>
              </w:r>
            </w:hyperlink>
            <w:r w:rsidRPr="003B607D">
              <w:rPr>
                <w:rFonts w:cs="Arial"/>
                <w:szCs w:val="20"/>
              </w:rPr>
              <w:t xml:space="preserve"> a poskytuje všeobecné a odborné vzdělání a praktickou přípravu pro výkon náročných činností. Úspěšným ukončením příslušného akreditovaného vzdělávacího programu student dosáhne stupně vyššího odborného vzdělání s titulem Dis. Délka </w:t>
            </w:r>
            <w:r>
              <w:rPr>
                <w:rFonts w:cs="Arial"/>
                <w:szCs w:val="20"/>
              </w:rPr>
              <w:t>studia na vyšší odborné škole</w:t>
            </w:r>
            <w:r w:rsidRPr="003B607D">
              <w:rPr>
                <w:rFonts w:cs="Arial"/>
                <w:szCs w:val="20"/>
              </w:rPr>
              <w:t xml:space="preserve"> v</w:t>
            </w:r>
            <w:r w:rsidR="000629C3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denní formě je 3 roky včetně odborné praxe, u zdravotnických oborů vzdělání až 3,5 roku, v případě dálkové formy až 4 roky. Viz </w:t>
            </w:r>
            <w:hyperlink r:id="rId47" w:history="1">
              <w:r w:rsidRPr="003B607D">
                <w:rPr>
                  <w:rStyle w:val="Hypertextovodkaz"/>
                  <w:rFonts w:cs="Arial"/>
                  <w:szCs w:val="20"/>
                </w:rPr>
                <w:t>Školský zákon</w:t>
              </w:r>
            </w:hyperlink>
            <w:r>
              <w:rPr>
                <w:rFonts w:cs="Arial"/>
                <w:szCs w:val="20"/>
              </w:rPr>
              <w:t xml:space="preserve"> (č. 561/2004 Sb.,</w:t>
            </w:r>
            <w:r w:rsidRPr="003B607D">
              <w:rPr>
                <w:rFonts w:cs="Arial"/>
                <w:szCs w:val="20"/>
              </w:rPr>
              <w:t xml:space="preserve"> § 92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7D7D0C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3" w:name="_Vyšší_odborné_vzdělávání"/>
            <w:bookmarkStart w:id="104" w:name="_Toc458676078"/>
            <w:bookmarkEnd w:id="103"/>
            <w:r>
              <w:rPr>
                <w:rFonts w:eastAsia="Times New Roman"/>
              </w:rPr>
              <w:t>Vyšší odborné vzdělávání</w:t>
            </w:r>
            <w:bookmarkEnd w:id="10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Vyšší</w:t>
            </w:r>
            <w:r>
              <w:rPr>
                <w:rFonts w:cs="Arial"/>
                <w:szCs w:val="20"/>
              </w:rPr>
              <w:t xml:space="preserve"> odborné </w:t>
            </w:r>
            <w:r w:rsidRPr="003B607D">
              <w:rPr>
                <w:rFonts w:cs="Arial"/>
                <w:szCs w:val="20"/>
              </w:rPr>
              <w:t>vzdělávání</w:t>
            </w:r>
            <w:r>
              <w:rPr>
                <w:rFonts w:cs="Arial"/>
                <w:szCs w:val="20"/>
              </w:rPr>
              <w:t xml:space="preserve"> se realizuje především na </w:t>
            </w:r>
            <w:hyperlink w:anchor="_Vyšší_odborná_škola" w:history="1">
              <w:r w:rsidRPr="00BF60B5">
                <w:rPr>
                  <w:rStyle w:val="Hypertextovodkaz"/>
                  <w:rFonts w:cs="Arial"/>
                  <w:szCs w:val="20"/>
                </w:rPr>
                <w:t>vyšších odborných školách</w:t>
              </w:r>
            </w:hyperlink>
            <w:r>
              <w:rPr>
                <w:rFonts w:cs="Arial"/>
                <w:szCs w:val="20"/>
              </w:rPr>
              <w:t xml:space="preserve"> a ú</w:t>
            </w:r>
            <w:r w:rsidRPr="003B607D">
              <w:rPr>
                <w:rFonts w:cs="Arial"/>
                <w:szCs w:val="20"/>
              </w:rPr>
              <w:t xml:space="preserve">spěšným ukončením příslušného akreditovaného vzdělávacího programu student dosáhne stupně vyššího odborného vzdělání s titulem Dis. </w:t>
            </w:r>
            <w:r>
              <w:rPr>
                <w:rFonts w:cs="Arial"/>
                <w:szCs w:val="20"/>
              </w:rPr>
              <w:t>(v</w:t>
            </w:r>
            <w:r w:rsidRPr="003B607D">
              <w:rPr>
                <w:rFonts w:cs="Arial"/>
                <w:szCs w:val="20"/>
              </w:rPr>
              <w:t xml:space="preserve">iz </w:t>
            </w:r>
            <w:hyperlink r:id="rId48" w:history="1">
              <w:r w:rsidRPr="003B607D">
                <w:rPr>
                  <w:rStyle w:val="Hypertextovodkaz"/>
                  <w:rFonts w:cs="Arial"/>
                  <w:szCs w:val="20"/>
                </w:rPr>
                <w:t>Školský zákon</w:t>
              </w:r>
            </w:hyperlink>
            <w:r>
              <w:rPr>
                <w:rFonts w:cs="Arial"/>
                <w:szCs w:val="20"/>
              </w:rPr>
              <w:t xml:space="preserve"> č. 561/2004 Sb.</w:t>
            </w:r>
            <w:r w:rsidRPr="003B607D">
              <w:rPr>
                <w:rFonts w:cs="Arial"/>
                <w:szCs w:val="20"/>
              </w:rPr>
              <w:t>, § 92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  <w:p w:rsidR="007D7D0C" w:rsidRPr="003B607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Dále lze titul Dis. </w:t>
            </w:r>
            <w:r w:rsidRPr="003B607D">
              <w:rPr>
                <w:rFonts w:cs="Arial"/>
                <w:szCs w:val="20"/>
              </w:rPr>
              <w:t xml:space="preserve">získat též na </w:t>
            </w:r>
            <w:hyperlink w:anchor="_Konzervatoř" w:history="1">
              <w:r w:rsidRPr="00CE02B0">
                <w:rPr>
                  <w:rStyle w:val="Hypertextovodkaz"/>
                  <w:rFonts w:cs="Arial"/>
                  <w:szCs w:val="20"/>
                </w:rPr>
                <w:t>konzervatoři</w:t>
              </w:r>
            </w:hyperlink>
            <w:r>
              <w:rPr>
                <w:rFonts w:cs="Arial"/>
                <w:szCs w:val="20"/>
              </w:rPr>
              <w:t xml:space="preserve">, a sice </w:t>
            </w:r>
            <w:r w:rsidRPr="003B607D">
              <w:rPr>
                <w:rFonts w:cs="Arial"/>
                <w:szCs w:val="20"/>
              </w:rPr>
              <w:t xml:space="preserve">úspěšným ukončením šestiletého nebo osmiletého vzdělávacího programu </w:t>
            </w:r>
            <w:r>
              <w:rPr>
                <w:rFonts w:cs="Arial"/>
                <w:szCs w:val="20"/>
              </w:rPr>
              <w:t xml:space="preserve">(viz </w:t>
            </w:r>
            <w:r w:rsidRPr="003B607D">
              <w:rPr>
                <w:rFonts w:cs="Arial"/>
                <w:szCs w:val="20"/>
              </w:rPr>
              <w:t xml:space="preserve">§ 87 </w:t>
            </w:r>
            <w:hyperlink r:id="rId49" w:history="1">
              <w:r w:rsidRPr="00BF60B5">
                <w:rPr>
                  <w:rStyle w:val="Hypertextovodkaz"/>
                  <w:rFonts w:cs="Arial"/>
                  <w:szCs w:val="20"/>
                </w:rPr>
                <w:t>Školského zákona</w:t>
              </w:r>
            </w:hyperlink>
            <w:r>
              <w:rPr>
                <w:rFonts w:cs="Arial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(č. 561/2004 Sb.)</w:t>
            </w:r>
            <w:r>
              <w:rPr>
                <w:rFonts w:cs="Arial"/>
                <w:szCs w:val="20"/>
              </w:rPr>
              <w:t>. Takový žák dokončil</w:t>
            </w:r>
            <w:r w:rsidRPr="003B607D">
              <w:rPr>
                <w:rFonts w:cs="Arial"/>
                <w:szCs w:val="20"/>
              </w:rPr>
              <w:t xml:space="preserve"> vyšší od</w:t>
            </w:r>
            <w:r>
              <w:rPr>
                <w:rFonts w:cs="Arial"/>
                <w:szCs w:val="20"/>
              </w:rPr>
              <w:t>borné vzdělání v </w:t>
            </w:r>
            <w:r w:rsidRPr="003B607D">
              <w:rPr>
                <w:rFonts w:cs="Arial"/>
                <w:szCs w:val="20"/>
              </w:rPr>
              <w:t>konzervatoři.</w:t>
            </w:r>
          </w:p>
        </w:tc>
      </w:tr>
      <w:tr w:rsidR="007D7D0C" w:rsidRPr="003B607D" w:rsidTr="007D7D0C">
        <w:trPr>
          <w:trHeight w:val="39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5" w:name="_Základní_škola"/>
            <w:bookmarkStart w:id="106" w:name="_Toc458676079"/>
            <w:bookmarkEnd w:id="105"/>
            <w:r w:rsidRPr="00261428">
              <w:rPr>
                <w:rFonts w:eastAsia="Times New Roman"/>
              </w:rPr>
              <w:t>Základní škola</w:t>
            </w:r>
            <w:bookmarkEnd w:id="10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0D5169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Vzdělávání v základní škole je součástí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docházky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zahajují</w:t>
            </w:r>
            <w:r>
              <w:rPr>
                <w:rFonts w:cs="Arial"/>
                <w:color w:val="000000"/>
                <w:szCs w:val="20"/>
              </w:rPr>
              <w:t xml:space="preserve"> jej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Děti" w:history="1">
              <w:r w:rsidRPr="003B607D">
                <w:rPr>
                  <w:rStyle w:val="Hypertextovodkaz"/>
                  <w:rFonts w:cs="Arial"/>
                  <w:szCs w:val="20"/>
                </w:rPr>
                <w:t>děti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ve věku šesti let, v případě dětí s odkladem povinné školní docházky nejpozději ve věku osmi let. Školní docházka je na základní škole rozdělena na </w:t>
            </w:r>
            <w:r>
              <w:rPr>
                <w:rFonts w:cs="Arial"/>
                <w:color w:val="000000"/>
                <w:szCs w:val="20"/>
              </w:rPr>
              <w:t>první a druhý</w:t>
            </w:r>
            <w:r w:rsidRPr="003B607D">
              <w:rPr>
                <w:rFonts w:cs="Arial"/>
                <w:color w:val="000000"/>
                <w:szCs w:val="20"/>
              </w:rPr>
              <w:t xml:space="preserve"> stu</w:t>
            </w:r>
            <w:r>
              <w:rPr>
                <w:rFonts w:cs="Arial"/>
                <w:color w:val="000000"/>
                <w:szCs w:val="20"/>
              </w:rPr>
              <w:t>peň, kdy první</w:t>
            </w:r>
            <w:r w:rsidRPr="003B607D">
              <w:rPr>
                <w:rFonts w:cs="Arial"/>
                <w:color w:val="000000"/>
                <w:szCs w:val="20"/>
              </w:rPr>
              <w:t xml:space="preserve"> stupeň zpr</w:t>
            </w:r>
            <w:r>
              <w:rPr>
                <w:rFonts w:cs="Arial"/>
                <w:color w:val="000000"/>
                <w:szCs w:val="20"/>
              </w:rPr>
              <w:t>avidla zahrnuje 1.</w:t>
            </w:r>
            <w:r w:rsidR="000629C3">
              <w:rPr>
                <w:rFonts w:cs="Arial"/>
                <w:color w:val="000000"/>
                <w:szCs w:val="20"/>
              </w:rPr>
              <w:t xml:space="preserve"> až </w:t>
            </w:r>
            <w:r>
              <w:rPr>
                <w:rFonts w:cs="Arial"/>
                <w:color w:val="000000"/>
                <w:szCs w:val="20"/>
              </w:rPr>
              <w:t>5. ročník, druhý</w:t>
            </w:r>
            <w:r w:rsidRPr="003B607D">
              <w:rPr>
                <w:rFonts w:cs="Arial"/>
                <w:color w:val="000000"/>
                <w:szCs w:val="20"/>
              </w:rPr>
              <w:t xml:space="preserve"> stupeň pak 6.</w:t>
            </w:r>
            <w:r w:rsidR="000629C3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 xml:space="preserve">9. ročník. Výjimku tvoří základní vzdělávání pro žáky se </w:t>
            </w:r>
            <w:hyperlink w:anchor="_SVP_(speciální_vzdělávací" w:history="1">
              <w:r w:rsidRPr="003B607D">
                <w:rPr>
                  <w:rStyle w:val="Hypertextovodkaz"/>
                  <w:rFonts w:cs="Arial"/>
                  <w:szCs w:val="20"/>
                </w:rPr>
                <w:t>speciálními vzdělávacími potřebami (SVP)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kteří se vzdělávají ve třídách nebo školách s upraveným vzdělávacím programem</w:t>
            </w:r>
            <w:r>
              <w:rPr>
                <w:rFonts w:cs="Arial"/>
                <w:color w:val="000000"/>
                <w:szCs w:val="20"/>
              </w:rPr>
              <w:t xml:space="preserve">. </w:t>
            </w:r>
            <w:r w:rsidRPr="003B607D">
              <w:rPr>
                <w:rFonts w:cs="Arial"/>
                <w:color w:val="000000"/>
                <w:szCs w:val="20"/>
              </w:rPr>
              <w:t xml:space="preserve">Základní vzdělávání těchto žáků může s předchozím souhlasem </w:t>
            </w:r>
            <w:r w:rsidR="000D5169">
              <w:rPr>
                <w:rFonts w:cs="Arial"/>
                <w:color w:val="000000"/>
                <w:szCs w:val="20"/>
              </w:rPr>
              <w:t xml:space="preserve">Ministerstva školství, mládeže a tělovýchovy </w:t>
            </w:r>
            <w:r w:rsidRPr="003B607D">
              <w:rPr>
                <w:rFonts w:cs="Arial"/>
                <w:color w:val="000000"/>
                <w:szCs w:val="20"/>
              </w:rPr>
              <w:t xml:space="preserve">trvat deset ročníků, kdy první stupeň je tvořen </w:t>
            </w:r>
            <w:r w:rsidR="000629C3">
              <w:rPr>
                <w:rFonts w:cs="Arial"/>
                <w:color w:val="000000"/>
                <w:szCs w:val="20"/>
              </w:rPr>
              <w:t>1.</w:t>
            </w:r>
            <w:r w:rsidRPr="003B607D">
              <w:rPr>
                <w:rFonts w:cs="Arial"/>
                <w:color w:val="000000"/>
                <w:szCs w:val="20"/>
              </w:rPr>
              <w:t xml:space="preserve"> až </w:t>
            </w:r>
            <w:r w:rsidR="000629C3">
              <w:rPr>
                <w:rFonts w:cs="Arial"/>
                <w:color w:val="000000"/>
                <w:szCs w:val="20"/>
              </w:rPr>
              <w:t>6.</w:t>
            </w:r>
            <w:r w:rsidRPr="003B607D">
              <w:rPr>
                <w:rFonts w:cs="Arial"/>
                <w:color w:val="000000"/>
                <w:szCs w:val="20"/>
              </w:rPr>
              <w:t xml:space="preserve"> ročníkem a druhý stupeň </w:t>
            </w:r>
            <w:r w:rsidR="000629C3">
              <w:rPr>
                <w:rFonts w:cs="Arial"/>
                <w:color w:val="000000"/>
                <w:szCs w:val="20"/>
              </w:rPr>
              <w:t>7.</w:t>
            </w:r>
            <w:r w:rsidRPr="003B607D">
              <w:rPr>
                <w:rFonts w:cs="Arial"/>
                <w:color w:val="000000"/>
                <w:szCs w:val="20"/>
              </w:rPr>
              <w:t xml:space="preserve"> až </w:t>
            </w:r>
            <w:r w:rsidR="000629C3">
              <w:rPr>
                <w:rFonts w:cs="Arial"/>
                <w:color w:val="000000"/>
                <w:szCs w:val="20"/>
              </w:rPr>
              <w:t>10.</w:t>
            </w:r>
            <w:r w:rsidRPr="003B607D">
              <w:rPr>
                <w:rFonts w:cs="Arial"/>
                <w:color w:val="000000"/>
                <w:szCs w:val="20"/>
              </w:rPr>
              <w:t xml:space="preserve"> ročníkem.</w:t>
            </w:r>
          </w:p>
        </w:tc>
      </w:tr>
      <w:tr w:rsidR="007D7D0C" w:rsidRPr="003B607D" w:rsidTr="007D7D0C">
        <w:trPr>
          <w:trHeight w:val="7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7" w:name="_Základní_umělecká_škola"/>
            <w:bookmarkStart w:id="108" w:name="_Toc458676080"/>
            <w:bookmarkEnd w:id="107"/>
            <w:r w:rsidRPr="00261428">
              <w:rPr>
                <w:rFonts w:eastAsia="Times New Roman"/>
              </w:rPr>
              <w:t>Základní umělecká škola</w:t>
            </w:r>
            <w:bookmarkEnd w:id="10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Základní umělecké školy poskytují základní umělecké vzdělávání v jednotlivých uměleckých oborech a připravují žáky pro vzdělávání ve středních školách uměleckého zaměření a v </w:t>
            </w:r>
            <w:hyperlink w:anchor="_Konzervatoř" w:history="1">
              <w:r w:rsidRPr="00CE02B0">
                <w:rPr>
                  <w:rStyle w:val="Hypertextovodkaz"/>
                  <w:rFonts w:cs="Arial"/>
                  <w:szCs w:val="20"/>
                </w:rPr>
                <w:t>konzervatořích</w:t>
              </w:r>
            </w:hyperlink>
            <w:r w:rsidRPr="003B607D">
              <w:rPr>
                <w:rFonts w:cs="Arial"/>
                <w:szCs w:val="20"/>
              </w:rPr>
              <w:t>, popřípadě pro studium na vysokých školách s uměleckým nebo pedagogickým zaměřením. Základní umělecká škola organizuje přípravné studium, základní studium I. a II. stupně, studium s rozšířeným počtem vyučovacích hodin a studium pro dospělé. V</w:t>
            </w:r>
            <w:r>
              <w:rPr>
                <w:rFonts w:cs="Arial"/>
                <w:szCs w:val="20"/>
              </w:rPr>
              <w:t>íce v</w:t>
            </w:r>
            <w:r w:rsidRPr="003B607D">
              <w:rPr>
                <w:rFonts w:cs="Arial"/>
                <w:szCs w:val="20"/>
              </w:rPr>
              <w:t xml:space="preserve">iz </w:t>
            </w:r>
            <w:hyperlink r:id="rId50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 </w:t>
            </w:r>
            <w:r w:rsidRPr="003B607D">
              <w:rPr>
                <w:rFonts w:cs="Arial"/>
                <w:szCs w:val="20"/>
              </w:rPr>
              <w:t>109).</w:t>
            </w:r>
          </w:p>
        </w:tc>
      </w:tr>
      <w:tr w:rsidR="007D7D0C" w:rsidRPr="003B607D" w:rsidTr="00CE02B0">
        <w:trPr>
          <w:trHeight w:val="598"/>
        </w:trPr>
        <w:tc>
          <w:tcPr>
            <w:tcW w:w="2425" w:type="dxa"/>
            <w:shd w:val="clear" w:color="auto" w:fill="auto"/>
            <w:hideMark/>
          </w:tcPr>
          <w:p w:rsidR="007D7D0C" w:rsidRPr="00585873" w:rsidRDefault="007D7D0C" w:rsidP="007D7D0C">
            <w:pPr>
              <w:pStyle w:val="Nadpis4"/>
              <w:rPr>
                <w:rFonts w:eastAsia="Times New Roman"/>
                <w:color w:val="auto"/>
              </w:rPr>
            </w:pPr>
            <w:bookmarkStart w:id="109" w:name="_Základní_vzdělávání"/>
            <w:bookmarkStart w:id="110" w:name="_Toc458676081"/>
            <w:bookmarkEnd w:id="109"/>
            <w:r w:rsidRPr="00556498">
              <w:rPr>
                <w:rFonts w:eastAsia="Times New Roman"/>
              </w:rPr>
              <w:lastRenderedPageBreak/>
              <w:t>Základní vzdělávání</w:t>
            </w:r>
            <w:bookmarkEnd w:id="110"/>
            <w:r w:rsidRPr="00585873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Do základního </w:t>
            </w:r>
            <w:r w:rsidRPr="000D4855">
              <w:rPr>
                <w:rFonts w:cs="Arial"/>
                <w:szCs w:val="20"/>
              </w:rPr>
              <w:t xml:space="preserve">vzdělávání spadá výuka na </w:t>
            </w:r>
            <w:hyperlink w:anchor="_Základní_škola" w:history="1">
              <w:r w:rsidRPr="000D4855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Pr="000D4855">
              <w:rPr>
                <w:rFonts w:cs="Arial"/>
                <w:szCs w:val="20"/>
              </w:rPr>
              <w:t xml:space="preserve"> a v nižších ročnících </w:t>
            </w:r>
            <w:hyperlink w:anchor="_Víceleté_gymnázium" w:history="1">
              <w:r w:rsidRPr="000D4855">
                <w:rPr>
                  <w:rStyle w:val="Hypertextovodkaz"/>
                  <w:rFonts w:cs="Arial"/>
                  <w:szCs w:val="20"/>
                </w:rPr>
                <w:t>víceletých gymnázií</w:t>
              </w:r>
            </w:hyperlink>
            <w:r w:rsidRPr="000D4855">
              <w:rPr>
                <w:rFonts w:cs="Arial"/>
                <w:szCs w:val="20"/>
              </w:rPr>
              <w:t xml:space="preserve"> a </w:t>
            </w:r>
            <w:hyperlink w:anchor="_Osmiletá_konzervatoř" w:history="1">
              <w:r w:rsidRPr="000D4855">
                <w:rPr>
                  <w:rStyle w:val="Hypertextovodkaz"/>
                  <w:rFonts w:eastAsia="MS Gothic"/>
                </w:rPr>
                <w:t xml:space="preserve">osmileté </w:t>
              </w:r>
              <w:r w:rsidRPr="000D4855">
                <w:rPr>
                  <w:rStyle w:val="Hypertextovodkaz"/>
                  <w:rFonts w:cs="Arial"/>
                  <w:szCs w:val="20"/>
                </w:rPr>
                <w:t>konzervatoře</w:t>
              </w:r>
            </w:hyperlink>
            <w:r>
              <w:rPr>
                <w:rFonts w:cs="Arial"/>
                <w:szCs w:val="20"/>
              </w:rPr>
              <w:t xml:space="preserve">, </w:t>
            </w:r>
            <w:r w:rsidRPr="000D4855">
              <w:rPr>
                <w:rFonts w:cs="Arial"/>
                <w:szCs w:val="20"/>
              </w:rPr>
              <w:t xml:space="preserve">neboli </w:t>
            </w:r>
            <w:hyperlink w:anchor="_Povinná_školní_docházka" w:history="1">
              <w:r w:rsidRPr="000D4855">
                <w:rPr>
                  <w:rStyle w:val="Hypertextovodkaz"/>
                  <w:rFonts w:cs="Arial"/>
                  <w:szCs w:val="20"/>
                </w:rPr>
                <w:t>povinná školní docházka</w:t>
              </w:r>
            </w:hyperlink>
            <w:r w:rsidRPr="000D4855">
              <w:rPr>
                <w:rFonts w:cs="Arial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 xml:space="preserve">  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585873" w:rsidRDefault="007D7D0C" w:rsidP="007D7D0C">
            <w:pPr>
              <w:pStyle w:val="Nadpis4"/>
              <w:rPr>
                <w:rFonts w:eastAsia="Times New Roman"/>
                <w:color w:val="auto"/>
              </w:rPr>
            </w:pPr>
            <w:bookmarkStart w:id="111" w:name="_Zařízení_pro_výkon"/>
            <w:bookmarkStart w:id="112" w:name="_Toc458676082"/>
            <w:bookmarkEnd w:id="111"/>
            <w:r w:rsidRPr="00556498">
              <w:rPr>
                <w:rFonts w:eastAsia="Times New Roman"/>
              </w:rPr>
              <w:t>Zařízení pro výkon ústavní a ochranné výchovy</w:t>
            </w:r>
            <w:bookmarkEnd w:id="11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0629C3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Školskými zařízeními pro výkon ústavní výchovy nebo ochranné výchovy jsou dle </w:t>
            </w:r>
            <w:r w:rsidRPr="00BB3AD5">
              <w:rPr>
                <w:rFonts w:cs="Arial"/>
                <w:szCs w:val="20"/>
              </w:rPr>
              <w:t>zákona č. 109/2002 Sb</w:t>
            </w:r>
            <w:r w:rsidR="000D5169">
              <w:rPr>
                <w:rFonts w:cs="Arial"/>
                <w:szCs w:val="20"/>
              </w:rPr>
              <w:t>.</w:t>
            </w:r>
            <w:r w:rsidRPr="00BB3AD5">
              <w:rPr>
                <w:rFonts w:cs="Arial"/>
                <w:szCs w:val="20"/>
              </w:rPr>
              <w:t>, § 2</w:t>
            </w:r>
            <w:r w:rsidRPr="003B607D">
              <w:rPr>
                <w:rFonts w:cs="Arial"/>
                <w:szCs w:val="20"/>
              </w:rPr>
              <w:t xml:space="preserve"> </w:t>
            </w:r>
            <w:hyperlink w:anchor="_Diagnostický_ústav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diagnostický ústav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Dětský_domov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dětský domov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Dětský_domov_se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dětský domov se školou</w:t>
              </w:r>
            </w:hyperlink>
            <w:r w:rsidRPr="003B607D">
              <w:rPr>
                <w:rFonts w:cs="Arial"/>
                <w:szCs w:val="20"/>
              </w:rPr>
              <w:t xml:space="preserve"> a </w:t>
            </w:r>
            <w:hyperlink w:anchor="_Výchovný_ústav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výchovný ústav</w:t>
              </w:r>
            </w:hyperlink>
            <w:r w:rsidRPr="003B607D">
              <w:rPr>
                <w:rFonts w:cs="Arial"/>
                <w:szCs w:val="20"/>
              </w:rPr>
              <w:t xml:space="preserve">. </w:t>
            </w:r>
            <w:r w:rsidRPr="003B607D">
              <w:rPr>
                <w:rFonts w:cs="Arial"/>
                <w:color w:val="000000"/>
                <w:szCs w:val="20"/>
              </w:rPr>
              <w:t>Zařízení poskytují péči, kterou dětem jinak poskytují osoby odpovědné za výchovu, a sice dětem s nařízenou ústavní výchovou či s uloženou ochrannou výchovou a dětem, u nichž bylo nařízeno předbě</w:t>
            </w:r>
            <w:r>
              <w:rPr>
                <w:rFonts w:cs="Arial"/>
                <w:color w:val="000000"/>
                <w:szCs w:val="20"/>
              </w:rPr>
              <w:t>žné opatření. Zařízení poskytují</w:t>
            </w:r>
            <w:r w:rsidRPr="003B607D">
              <w:rPr>
                <w:rFonts w:cs="Arial"/>
                <w:color w:val="000000"/>
                <w:szCs w:val="20"/>
              </w:rPr>
              <w:t xml:space="preserve"> speciálně pedagogické a psychologické služby tak</w:t>
            </w:r>
            <w:r>
              <w:rPr>
                <w:rFonts w:cs="Arial"/>
                <w:color w:val="000000"/>
                <w:szCs w:val="20"/>
              </w:rPr>
              <w:t>é ambulantní formou, a to dětem, které pobývají</w:t>
            </w:r>
            <w:r w:rsidRPr="003B607D">
              <w:rPr>
                <w:rFonts w:cs="Arial"/>
                <w:color w:val="000000"/>
                <w:szCs w:val="20"/>
              </w:rPr>
              <w:t xml:space="preserve"> mimo zařízení podle § 23 odst. 1 písm. a) až c) </w:t>
            </w:r>
            <w:r w:rsidRPr="003B607D">
              <w:rPr>
                <w:rStyle w:val="Hypertextovodkaz"/>
                <w:rFonts w:eastAsia="MS Gothic" w:cs="Arial"/>
                <w:szCs w:val="20"/>
              </w:rPr>
              <w:t>zákona č.</w:t>
            </w:r>
            <w:r w:rsidR="000629C3">
              <w:rPr>
                <w:rStyle w:val="Hypertextovodkaz"/>
                <w:rFonts w:eastAsia="MS Gothic" w:cs="Arial"/>
                <w:szCs w:val="20"/>
              </w:rPr>
              <w:t> </w:t>
            </w:r>
            <w:r w:rsidRPr="003B607D">
              <w:rPr>
                <w:rStyle w:val="Hypertextovodkaz"/>
                <w:rFonts w:eastAsia="MS Gothic" w:cs="Arial"/>
                <w:szCs w:val="20"/>
              </w:rPr>
              <w:t>109/2002 Sb.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3" w:name="_Zkrácené_studium_pro_1"/>
            <w:bookmarkStart w:id="114" w:name="_Toc458676083"/>
            <w:bookmarkEnd w:id="113"/>
            <w:r w:rsidRPr="00261428">
              <w:rPr>
                <w:rFonts w:eastAsia="Times New Roman"/>
              </w:rPr>
              <w:t>Zkrácené studium pro získání středního vzdělání s maturitní zkouškou</w:t>
            </w:r>
            <w:bookmarkEnd w:id="11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Zkrácené studium pro získání středního vzdělání s maturitní zkouškou se řadí do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lze jej absolvovat za 1–2 roky a je určené uchazečům, kteří již úspěšně složili maturitní zkoušku, ovšem v jiném oboru vzdělávání.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5" w:name="_Zkrácené_studium_pro"/>
            <w:bookmarkStart w:id="116" w:name="_Toc458676084"/>
            <w:bookmarkEnd w:id="115"/>
            <w:r w:rsidRPr="00261428">
              <w:rPr>
                <w:rFonts w:eastAsia="Times New Roman"/>
              </w:rPr>
              <w:t>Zkrácené studium pro získání středního vzdělání s výučním listem</w:t>
            </w:r>
            <w:bookmarkEnd w:id="11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Zkrácené studium pro získání středního vzdělání s výučním listem se řadí do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trvá v denní formě 1–2 roky a je určené pro uchazeče, kteří již získali maturitní vysvědčení či výuční list, ovšem v jiném oboru vzdělání. </w:t>
            </w:r>
          </w:p>
        </w:tc>
      </w:tr>
      <w:tr w:rsidR="007D7D0C" w:rsidRPr="003B607D" w:rsidTr="007D7D0C">
        <w:trPr>
          <w:trHeight w:val="56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7" w:name="_Zřizovatel_školy"/>
            <w:bookmarkStart w:id="118" w:name="_Toc458676085"/>
            <w:bookmarkEnd w:id="117"/>
            <w:r w:rsidRPr="00261428">
              <w:rPr>
                <w:rFonts w:eastAsia="Times New Roman"/>
              </w:rPr>
              <w:t>Zřizovatel školy</w:t>
            </w:r>
            <w:bookmarkEnd w:id="11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629C3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Školské instituce od </w:t>
            </w:r>
            <w:hyperlink w:anchor="_Předškolní_vzdělávání" w:history="1">
              <w:r w:rsidR="000629C3" w:rsidRPr="00CE02B0">
                <w:rPr>
                  <w:rStyle w:val="Hypertextovodkaz"/>
                  <w:rFonts w:cs="Arial"/>
                  <w:szCs w:val="20"/>
                </w:rPr>
                <w:t>předškolního vzdělávání</w:t>
              </w:r>
            </w:hyperlink>
            <w:hyperlink w:anchor="_Předškolní_vzdělávání" w:history="1"/>
            <w:r w:rsidRPr="003B607D">
              <w:rPr>
                <w:rFonts w:cs="Arial"/>
                <w:color w:val="000000"/>
                <w:szCs w:val="20"/>
              </w:rPr>
              <w:t xml:space="preserve"> po </w:t>
            </w:r>
            <w:hyperlink w:anchor="_Vyšší_odborné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vyšší odborné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můžou zřizovat veřejné instituce, tj. kraj, obec či dobrovolný svazek obcí, Ministerstvo školství, mládeže a tělovýchovy, nebo jiný rezort státní správy, nebo neveřejné instituce, tj. církev a privátní sektor. </w:t>
            </w:r>
          </w:p>
          <w:p w:rsidR="00CE02B0" w:rsidRDefault="007D7D0C" w:rsidP="00CE02B0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Jak je ve </w:t>
            </w:r>
            <w:hyperlink r:id="rId51" w:history="1">
              <w:r w:rsidRPr="003B607D">
                <w:rPr>
                  <w:rStyle w:val="Hypertextovodkaz"/>
                  <w:rFonts w:cs="Arial"/>
                  <w:szCs w:val="20"/>
                </w:rPr>
                <w:t>Školském zákoně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(č. 561/2004 Sb.</w:t>
            </w:r>
            <w:r>
              <w:rPr>
                <w:rFonts w:cs="Arial"/>
                <w:szCs w:val="20"/>
              </w:rPr>
              <w:t>, § 8</w:t>
            </w:r>
            <w:r w:rsidRPr="003B607D"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color w:val="000000"/>
                <w:szCs w:val="20"/>
              </w:rPr>
              <w:t xml:space="preserve"> uvedeno, dle druhu zřizovatele se liší právní postavení škol: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Kraj, obec a dobrovolný svazek obcí, jehož předmětem činnosti jsou úkoly v oblasti školství (dále jen „svazek obcí“), zřizuje školy a školská zařízení jako školské právnické osoby nebo příspěvkové organizace podle zvláštního právního předpisu (zákon č. 250/2000 Sb., o rozpočtových pravidlech územních rozpočtů, ve znění pozdějších předpisů; zákon č. 562/2004 Sb., kterým se mění některé zákony v souvislosti s přijetím školského zákona.)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>Ministerstvo zřizuje školy a školská zařízení jako školské právnické osoby nebo státní příspěvkové organizace podle zvláštního právního předpisu (§ 54 odst. 2 zákona č. 219/2000 Sb., o majetku České republiky a jejím vystupování v právních vztazích) a § 169.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>Ministerstvo obrany, Ministerstvo vnitra, Ministerstvo spravedlnosti a Ministerstvo práce a sociálních věcí zřizuje školy a školská zařízení jako organizační složky státu (zákon č. 219/2000 Sb., ve znění pozdějších předpisů) nebo jako jejich součásti.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>Ministerstvo zahraničních věcí zřizuje školy při diplomatické misi nebo konzulárním úřadu České republiky jako součást těchto úřadů.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>Ministerstva uvedená v odstavcích 2 až 4 plní funkci zřizovatelů škol a školských zařízení jménem státu.</w:t>
            </w:r>
          </w:p>
          <w:p w:rsid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>Registrované církve a náboženské společnosti, kterým bylo přiznáno oprávnění k výkonu zvláštního práva zřizovat církevní školy, ostatní právnické osoby nebo fyzické osoby zřizují školy a školská zařízení jako školské právnické osoby nebo jako právnické osoby podle zvláštních právních předpisů, jejichž předmětem činnosti je poskytování vzdělávání nebo školských služeb podle tohoto zákona.</w:t>
            </w:r>
          </w:p>
          <w:p w:rsidR="000629C3" w:rsidRPr="00CE02B0" w:rsidRDefault="007D7D0C" w:rsidP="00CE0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CE02B0">
              <w:rPr>
                <w:rFonts w:cs="Arial"/>
                <w:color w:val="000000"/>
                <w:szCs w:val="20"/>
              </w:rPr>
              <w:t xml:space="preserve">Právnická osoba a organizační složka státu nebo její součást může </w:t>
            </w:r>
            <w:r w:rsidRPr="00CE02B0">
              <w:rPr>
                <w:rFonts w:cs="Arial"/>
                <w:color w:val="000000"/>
                <w:szCs w:val="20"/>
              </w:rPr>
              <w:lastRenderedPageBreak/>
              <w:t>vykonávat činnost školy nebo školského zařízení, školy a</w:t>
            </w:r>
            <w:r w:rsidR="00CE02B0">
              <w:rPr>
                <w:rFonts w:cs="Arial"/>
                <w:color w:val="000000"/>
                <w:szCs w:val="20"/>
              </w:rPr>
              <w:t> </w:t>
            </w:r>
            <w:r w:rsidRPr="00CE02B0">
              <w:rPr>
                <w:rFonts w:cs="Arial"/>
                <w:color w:val="000000"/>
                <w:szCs w:val="20"/>
              </w:rPr>
              <w:t>školského zařízení, nebo i více škol nebo školských zařízení.</w:t>
            </w:r>
          </w:p>
          <w:p w:rsidR="000629C3" w:rsidRDefault="000629C3" w:rsidP="000629C3">
            <w:pPr>
              <w:pStyle w:val="Odstavecseseznamem"/>
              <w:spacing w:after="0" w:line="240" w:lineRule="auto"/>
              <w:ind w:left="40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E02B0" w:rsidRDefault="000629C3" w:rsidP="000629C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Soustavu </w:t>
            </w:r>
            <w:hyperlink w:anchor="_Vysoká_škola" w:history="1">
              <w:r w:rsidRPr="003B607D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(</w:t>
            </w:r>
            <w:hyperlink w:anchor="_Univerzita" w:history="1">
              <w:r w:rsidRPr="00F002BD">
                <w:rPr>
                  <w:rStyle w:val="Hypertextovodkaz"/>
                  <w:rFonts w:cs="Arial"/>
                  <w:szCs w:val="20"/>
                </w:rPr>
                <w:t>univerzitního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neuniverzitního typu) tvoří</w:t>
            </w:r>
            <w:r w:rsidR="00CE02B0">
              <w:rPr>
                <w:rFonts w:cs="Arial"/>
                <w:color w:val="000000"/>
                <w:szCs w:val="20"/>
              </w:rPr>
              <w:t>: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</w:p>
          <w:p w:rsidR="00CE02B0" w:rsidRDefault="000629C3" w:rsidP="00CE02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veřejné vys</w:t>
            </w:r>
            <w:r w:rsidR="00CE02B0">
              <w:rPr>
                <w:rFonts w:cs="Arial"/>
                <w:color w:val="000000"/>
                <w:szCs w:val="20"/>
              </w:rPr>
              <w:t xml:space="preserve">oké školy (zřizované zákonem), 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</w:p>
          <w:p w:rsidR="00CE02B0" w:rsidRDefault="000629C3" w:rsidP="00CE02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vysoké školy soukr</w:t>
            </w:r>
            <w:r w:rsidR="00CE02B0">
              <w:rPr>
                <w:rFonts w:cs="Arial"/>
                <w:color w:val="000000"/>
                <w:szCs w:val="20"/>
              </w:rPr>
              <w:t>omé (s privátním zřizovatelem)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</w:p>
          <w:p w:rsidR="000629C3" w:rsidRPr="000629C3" w:rsidRDefault="000629C3" w:rsidP="00CE02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vysoké školy státní (v současnosti dvě, zřizované zákonem a</w:t>
            </w:r>
            <w:r w:rsidR="00CE02B0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řízené příslušnými ministerstvy, tj. Ministerstvem obrany a Ministerstvem vnitra).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9" w:name="_Žáci"/>
            <w:bookmarkStart w:id="120" w:name="_Toc458676086"/>
            <w:bookmarkEnd w:id="119"/>
            <w:r w:rsidRPr="00261428">
              <w:rPr>
                <w:rFonts w:eastAsia="Times New Roman"/>
              </w:rPr>
              <w:lastRenderedPageBreak/>
              <w:t>Žáci</w:t>
            </w:r>
            <w:bookmarkEnd w:id="12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Žáky jsou označováni účastníci </w:t>
            </w:r>
            <w:hyperlink w:anchor="_Zákla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základního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a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středního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včetně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V</w:t>
            </w:r>
            <w:r w:rsidR="000629C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rozlišení</w:t>
            </w:r>
            <w:r w:rsidR="000629C3">
              <w:rPr>
                <w:rFonts w:cs="Arial"/>
                <w:color w:val="000000"/>
                <w:szCs w:val="20"/>
              </w:rPr>
              <w:t xml:space="preserve"> dle pohlaví</w:t>
            </w:r>
            <w:r w:rsidRPr="003B607D">
              <w:rPr>
                <w:rFonts w:cs="Arial"/>
                <w:color w:val="000000"/>
                <w:szCs w:val="20"/>
              </w:rPr>
              <w:t xml:space="preserve"> jsou to "dívky" a</w:t>
            </w:r>
            <w:r w:rsidR="000629C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"chlapci". </w:t>
            </w:r>
          </w:p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 této p</w:t>
            </w:r>
            <w:r w:rsidR="00610830">
              <w:rPr>
                <w:rFonts w:cs="Arial"/>
                <w:color w:val="000000"/>
                <w:szCs w:val="20"/>
              </w:rPr>
              <w:t>ublikaci (a ve statistikách Ministerstva školství, mládeže a tělovýchovy</w:t>
            </w:r>
            <w:r>
              <w:rPr>
                <w:rFonts w:cs="Arial"/>
                <w:color w:val="000000"/>
                <w:szCs w:val="20"/>
              </w:rPr>
              <w:t>)</w:t>
            </w:r>
            <w:r w:rsidRPr="003B607D">
              <w:rPr>
                <w:rFonts w:cs="Arial"/>
                <w:color w:val="000000"/>
                <w:szCs w:val="20"/>
              </w:rPr>
              <w:t xml:space="preserve"> nejsou žáci uváděni ve fyzických osobách, ale v počtech „studií“. Žáci, kteří studují dvě školy, případně dva vzdělávací obory apod., jsou tedy do celkového počtu zahrnuti dvakrát. Ta</w:t>
            </w:r>
            <w:r w:rsidR="000D5169">
              <w:rPr>
                <w:rFonts w:cs="Arial"/>
                <w:color w:val="000000"/>
                <w:szCs w:val="20"/>
              </w:rPr>
              <w:t>kových žáků je však zanedbatelný počet</w:t>
            </w:r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Výjimkou je pouze třídění dle národnosti, kde jsou žáci vykazováni ve fyzických osobách.</w:t>
            </w:r>
          </w:p>
        </w:tc>
      </w:tr>
    </w:tbl>
    <w:p w:rsidR="000629C3" w:rsidRDefault="000629C3" w:rsidP="000629C3">
      <w:pPr>
        <w:pStyle w:val="Nadpis1"/>
      </w:pPr>
      <w:r>
        <w:rPr>
          <w:rFonts w:eastAsia="Times New Roman"/>
          <w:color w:val="auto"/>
        </w:rPr>
        <w:br w:type="page"/>
      </w:r>
      <w:bookmarkStart w:id="121" w:name="_Toc458676087"/>
      <w:r>
        <w:lastRenderedPageBreak/>
        <w:t>Vysvětlivky k tabulkám</w:t>
      </w:r>
      <w:bookmarkEnd w:id="121"/>
    </w:p>
    <w:tbl>
      <w:tblPr>
        <w:tblW w:w="9229" w:type="dxa"/>
        <w:tblInd w:w="55" w:type="dxa"/>
        <w:tblBorders>
          <w:top w:val="single" w:sz="4" w:space="0" w:color="943634" w:themeColor="accent2" w:themeShade="BF"/>
          <w:bottom w:val="single" w:sz="4" w:space="0" w:color="943634" w:themeColor="accent2" w:themeShade="BF"/>
          <w:insideH w:val="single" w:sz="4" w:space="0" w:color="943634" w:themeColor="accent2" w:themeShade="BF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4A0"/>
      </w:tblPr>
      <w:tblGrid>
        <w:gridCol w:w="2425"/>
        <w:gridCol w:w="6804"/>
      </w:tblGrid>
      <w:tr w:rsidR="007D7D0C" w:rsidRPr="003B607D" w:rsidTr="000629C3">
        <w:trPr>
          <w:trHeight w:val="600"/>
        </w:trPr>
        <w:tc>
          <w:tcPr>
            <w:tcW w:w="24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bookmarkStart w:id="122" w:name="_Toc458676088"/>
            <w:r>
              <w:rPr>
                <w:rFonts w:eastAsia="Times New Roman"/>
              </w:rPr>
              <w:t>—</w:t>
            </w:r>
            <w:bookmarkEnd w:id="122"/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Uvedený jev se nevyskytuje.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bookmarkStart w:id="123" w:name="_Toc458676089"/>
            <w:r>
              <w:rPr>
                <w:rFonts w:eastAsia="Times New Roman"/>
              </w:rPr>
              <w:t>.</w:t>
            </w:r>
            <w:bookmarkEnd w:id="12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Uvedený údaj není k dispozici, nebo je nespolehlivý.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bookmarkStart w:id="124" w:name="_Toc458676090"/>
            <w:r>
              <w:rPr>
                <w:rFonts w:eastAsia="Times New Roman"/>
              </w:rPr>
              <w:t>0</w:t>
            </w:r>
            <w:bookmarkEnd w:id="12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Údaj je (po zaokrouhlení na celá čísla) roven nule.</w:t>
            </w:r>
          </w:p>
        </w:tc>
      </w:tr>
      <w:tr w:rsidR="007D7D0C" w:rsidRPr="003B607D" w:rsidTr="007D7D0C">
        <w:trPr>
          <w:trHeight w:val="600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Default="007D7D0C" w:rsidP="007D7D0C">
            <w:pPr>
              <w:pStyle w:val="Nadpis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bookmarkStart w:id="125" w:name="_Toc458676091"/>
            <w:r>
              <w:rPr>
                <w:rFonts w:eastAsia="Times New Roman"/>
              </w:rPr>
              <w:t>X</w:t>
            </w:r>
            <w:bookmarkEnd w:id="12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Údaj není možné uvést z logických důvodů.</w:t>
            </w:r>
          </w:p>
        </w:tc>
      </w:tr>
    </w:tbl>
    <w:p w:rsidR="000629C3" w:rsidRDefault="000629C3" w:rsidP="004028DB">
      <w:pPr>
        <w:pStyle w:val="Nadpis1"/>
      </w:pPr>
    </w:p>
    <w:bookmarkEnd w:id="1"/>
    <w:p w:rsidR="00A50D73" w:rsidRDefault="00A50D73" w:rsidP="001C2D45"/>
    <w:sectPr w:rsidR="00A50D73" w:rsidSect="006F5416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B3" w:rsidRDefault="008A16B3" w:rsidP="00E71A58">
      <w:r>
        <w:separator/>
      </w:r>
    </w:p>
  </w:endnote>
  <w:endnote w:type="continuationSeparator" w:id="0">
    <w:p w:rsidR="008A16B3" w:rsidRDefault="008A16B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2" w:rsidRPr="00932443" w:rsidRDefault="0031025F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6.2pt;margin-top:-5.1pt;width:33.75pt;height:15.85pt;z-index:251658240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0247D2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F435A">
      <w:rPr>
        <w:szCs w:val="16"/>
      </w:rPr>
      <w:t>4</w:t>
    </w:r>
    <w:r w:rsidRPr="00932443">
      <w:rPr>
        <w:szCs w:val="16"/>
      </w:rPr>
      <w:fldChar w:fldCharType="end"/>
    </w:r>
    <w:r w:rsidR="000247D2" w:rsidRPr="00932443">
      <w:rPr>
        <w:szCs w:val="16"/>
      </w:rPr>
      <w:tab/>
    </w:r>
    <w:r w:rsidR="000247D2">
      <w:rPr>
        <w:szCs w:val="16"/>
      </w:rPr>
      <w:t>2015/16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2" w:rsidRPr="00932443" w:rsidRDefault="0031025F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251657216;mso-position-horizontal:left">
          <v:imagedata r:id="rId1" o:title="CSU RGB CZ logo-02"/>
        </v:shape>
      </w:pict>
    </w:r>
    <w:r w:rsidR="000247D2" w:rsidRPr="00932443">
      <w:rPr>
        <w:szCs w:val="16"/>
      </w:rPr>
      <w:tab/>
    </w:r>
    <w:r w:rsidR="000247D2">
      <w:rPr>
        <w:rStyle w:val="ZpatChar"/>
        <w:szCs w:val="16"/>
      </w:rPr>
      <w:t>2015/16</w:t>
    </w:r>
    <w:r w:rsidR="000247D2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0247D2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F435A">
      <w:rPr>
        <w:rStyle w:val="ZpatChar"/>
        <w:szCs w:val="16"/>
      </w:rPr>
      <w:t>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B3" w:rsidRDefault="008A16B3" w:rsidP="00E71A58">
      <w:r>
        <w:separator/>
      </w:r>
    </w:p>
  </w:footnote>
  <w:footnote w:type="continuationSeparator" w:id="0">
    <w:p w:rsidR="008A16B3" w:rsidRDefault="008A16B3" w:rsidP="00E71A58">
      <w:r>
        <w:continuationSeparator/>
      </w:r>
    </w:p>
  </w:footnote>
  <w:footnote w:id="1">
    <w:p w:rsidR="000247D2" w:rsidRDefault="000247D2" w:rsidP="00C83D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7D0C">
        <w:rPr>
          <w:rFonts w:ascii="Arial" w:hAnsi="Arial" w:cs="Arial"/>
          <w:sz w:val="18"/>
        </w:rPr>
        <w:t xml:space="preserve">přehled odkazů na data sbíraná MŠMT lze nalézt na stránkách ČSÚ </w:t>
      </w:r>
      <w:hyperlink r:id="rId1" w:history="1">
        <w:r w:rsidRPr="007D7D0C">
          <w:rPr>
            <w:rStyle w:val="Hypertextovodkaz"/>
            <w:rFonts w:ascii="Arial" w:hAnsi="Arial" w:cs="Arial"/>
            <w:sz w:val="18"/>
          </w:rPr>
          <w:t>https://www.czso.cz/csu/czso/ministerstvo-skolstvi-mladeze-a-telovychovy</w:t>
        </w:r>
      </w:hyperlink>
      <w:r w:rsidRPr="007D7D0C">
        <w:rPr>
          <w:rFonts w:ascii="Arial" w:hAnsi="Arial" w:cs="Arial"/>
          <w:sz w:val="18"/>
        </w:rPr>
        <w:t xml:space="preserve">, příp. na </w:t>
      </w:r>
      <w:hyperlink r:id="rId2" w:history="1">
        <w:r w:rsidRPr="007D7D0C">
          <w:rPr>
            <w:rStyle w:val="Hypertextovodkaz"/>
            <w:rFonts w:ascii="Arial" w:hAnsi="Arial" w:cs="Arial"/>
            <w:sz w:val="18"/>
          </w:rPr>
          <w:t>http://dsia.uiv.cz/vystupy/vu_vs_f1.html</w:t>
        </w:r>
      </w:hyperlink>
      <w:r w:rsidRPr="007D7D0C">
        <w:rPr>
          <w:rFonts w:ascii="Arial" w:hAnsi="Arial" w:cs="Arial"/>
          <w:sz w:val="18"/>
        </w:rPr>
        <w:t xml:space="preserve"> (výkonové ukazatele za oblast vysokých škol).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2" w:rsidRPr="006F5416" w:rsidRDefault="000247D2" w:rsidP="00937AE2">
    <w:pPr>
      <w:pStyle w:val="Zhlav"/>
    </w:pPr>
    <w:r>
      <w:t>Školy a školská zařízení 2015/16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2" w:rsidRPr="006F5416" w:rsidRDefault="000247D2" w:rsidP="00937AE2">
    <w:pPr>
      <w:pStyle w:val="Zhlav"/>
    </w:pPr>
    <w:r>
      <w:t>Školy a školská zařízení 2015/16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4523F"/>
    <w:multiLevelType w:val="hybridMultilevel"/>
    <w:tmpl w:val="2FAC629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03663"/>
    <w:multiLevelType w:val="hybridMultilevel"/>
    <w:tmpl w:val="D2DCB808"/>
    <w:lvl w:ilvl="0" w:tplc="3A82E00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2887B3C"/>
    <w:multiLevelType w:val="hybridMultilevel"/>
    <w:tmpl w:val="02548A3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5D5"/>
    <w:multiLevelType w:val="hybridMultilevel"/>
    <w:tmpl w:val="694E5828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3B63"/>
    <w:multiLevelType w:val="multilevel"/>
    <w:tmpl w:val="EDF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60CAC"/>
    <w:multiLevelType w:val="hybridMultilevel"/>
    <w:tmpl w:val="D66EF9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23E3D"/>
    <w:multiLevelType w:val="hybridMultilevel"/>
    <w:tmpl w:val="FC3AC148"/>
    <w:lvl w:ilvl="0" w:tplc="E35C037C">
      <w:start w:val="1"/>
      <w:numFmt w:val="lowerLetter"/>
      <w:lvlText w:val="%1)"/>
      <w:lvlJc w:val="left"/>
      <w:pPr>
        <w:ind w:left="516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E1801C9"/>
    <w:multiLevelType w:val="multilevel"/>
    <w:tmpl w:val="46E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F1CA8"/>
    <w:multiLevelType w:val="hybridMultilevel"/>
    <w:tmpl w:val="CF824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8040F"/>
    <w:multiLevelType w:val="hybridMultilevel"/>
    <w:tmpl w:val="E99CCDA2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15"/>
  </w:num>
  <w:num w:numId="16">
    <w:abstractNumId w:val="21"/>
  </w:num>
  <w:num w:numId="17">
    <w:abstractNumId w:val="20"/>
  </w:num>
  <w:num w:numId="18">
    <w:abstractNumId w:val="19"/>
  </w:num>
  <w:num w:numId="19">
    <w:abstractNumId w:val="13"/>
  </w:num>
  <w:num w:numId="20">
    <w:abstractNumId w:val="18"/>
  </w:num>
  <w:num w:numId="21">
    <w:abstractNumId w:val="10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9EA"/>
    <w:rsid w:val="0000209D"/>
    <w:rsid w:val="00004D5A"/>
    <w:rsid w:val="000056D5"/>
    <w:rsid w:val="0000767A"/>
    <w:rsid w:val="00010702"/>
    <w:rsid w:val="000234D6"/>
    <w:rsid w:val="00023D29"/>
    <w:rsid w:val="000247D2"/>
    <w:rsid w:val="00026389"/>
    <w:rsid w:val="00031AE0"/>
    <w:rsid w:val="000322EF"/>
    <w:rsid w:val="00033FCD"/>
    <w:rsid w:val="00041CEC"/>
    <w:rsid w:val="0004694F"/>
    <w:rsid w:val="000522E4"/>
    <w:rsid w:val="000610E1"/>
    <w:rsid w:val="000629C3"/>
    <w:rsid w:val="00062EC5"/>
    <w:rsid w:val="00062F22"/>
    <w:rsid w:val="000712B3"/>
    <w:rsid w:val="0008263E"/>
    <w:rsid w:val="00082C19"/>
    <w:rsid w:val="00085395"/>
    <w:rsid w:val="00087634"/>
    <w:rsid w:val="00087F2B"/>
    <w:rsid w:val="00097066"/>
    <w:rsid w:val="000974D1"/>
    <w:rsid w:val="0009799E"/>
    <w:rsid w:val="000A1183"/>
    <w:rsid w:val="000A256D"/>
    <w:rsid w:val="000A3A2C"/>
    <w:rsid w:val="000C3408"/>
    <w:rsid w:val="000C6AFD"/>
    <w:rsid w:val="000C709F"/>
    <w:rsid w:val="000D5169"/>
    <w:rsid w:val="000D5637"/>
    <w:rsid w:val="000E6FBD"/>
    <w:rsid w:val="00100F5C"/>
    <w:rsid w:val="00104C4C"/>
    <w:rsid w:val="0012192F"/>
    <w:rsid w:val="00125D69"/>
    <w:rsid w:val="001405FA"/>
    <w:rsid w:val="001425C3"/>
    <w:rsid w:val="001451BD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C2D45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27DCA"/>
    <w:rsid w:val="00230C6E"/>
    <w:rsid w:val="00236443"/>
    <w:rsid w:val="002436BA"/>
    <w:rsid w:val="00244A15"/>
    <w:rsid w:val="00247319"/>
    <w:rsid w:val="0024739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1025F"/>
    <w:rsid w:val="00316735"/>
    <w:rsid w:val="003209D6"/>
    <w:rsid w:val="00321924"/>
    <w:rsid w:val="0032656E"/>
    <w:rsid w:val="00332190"/>
    <w:rsid w:val="00344668"/>
    <w:rsid w:val="003462D9"/>
    <w:rsid w:val="003501CC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D7535"/>
    <w:rsid w:val="003E4C91"/>
    <w:rsid w:val="003F313C"/>
    <w:rsid w:val="003F4B2C"/>
    <w:rsid w:val="003F551C"/>
    <w:rsid w:val="003F7D23"/>
    <w:rsid w:val="004028DB"/>
    <w:rsid w:val="00407C13"/>
    <w:rsid w:val="00410638"/>
    <w:rsid w:val="00432A58"/>
    <w:rsid w:val="00434617"/>
    <w:rsid w:val="00436EBC"/>
    <w:rsid w:val="00440900"/>
    <w:rsid w:val="004441A0"/>
    <w:rsid w:val="004550E1"/>
    <w:rsid w:val="00460FB3"/>
    <w:rsid w:val="00476240"/>
    <w:rsid w:val="00476439"/>
    <w:rsid w:val="0047735C"/>
    <w:rsid w:val="004776BC"/>
    <w:rsid w:val="0048139F"/>
    <w:rsid w:val="00481E40"/>
    <w:rsid w:val="00484ECE"/>
    <w:rsid w:val="0048732D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F62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74CB8"/>
    <w:rsid w:val="00582CA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AA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0830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4E73"/>
    <w:rsid w:val="00675E37"/>
    <w:rsid w:val="0068174E"/>
    <w:rsid w:val="00681DCE"/>
    <w:rsid w:val="0068260E"/>
    <w:rsid w:val="00695BEF"/>
    <w:rsid w:val="006977F6"/>
    <w:rsid w:val="00697A13"/>
    <w:rsid w:val="006A109C"/>
    <w:rsid w:val="006A2A82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66B1"/>
    <w:rsid w:val="006F5416"/>
    <w:rsid w:val="006F7137"/>
    <w:rsid w:val="0070443B"/>
    <w:rsid w:val="00706AD4"/>
    <w:rsid w:val="00713E3E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17CA"/>
    <w:rsid w:val="007B056C"/>
    <w:rsid w:val="007B6689"/>
    <w:rsid w:val="007D40DF"/>
    <w:rsid w:val="007D7D0C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24E0"/>
    <w:rsid w:val="00863434"/>
    <w:rsid w:val="00865E4C"/>
    <w:rsid w:val="008701E4"/>
    <w:rsid w:val="00875A32"/>
    <w:rsid w:val="00876086"/>
    <w:rsid w:val="008873D4"/>
    <w:rsid w:val="00893E85"/>
    <w:rsid w:val="00894031"/>
    <w:rsid w:val="00896135"/>
    <w:rsid w:val="008A16B3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069DD"/>
    <w:rsid w:val="0091155E"/>
    <w:rsid w:val="00912A92"/>
    <w:rsid w:val="0091461C"/>
    <w:rsid w:val="0091728D"/>
    <w:rsid w:val="0092180B"/>
    <w:rsid w:val="00921F14"/>
    <w:rsid w:val="00924AC8"/>
    <w:rsid w:val="0092597A"/>
    <w:rsid w:val="00925B46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6EB0"/>
    <w:rsid w:val="009C719E"/>
    <w:rsid w:val="009D3ACD"/>
    <w:rsid w:val="009D411F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4374"/>
    <w:rsid w:val="00A46DE0"/>
    <w:rsid w:val="00A50D73"/>
    <w:rsid w:val="00A52CAD"/>
    <w:rsid w:val="00A53FC7"/>
    <w:rsid w:val="00A614C8"/>
    <w:rsid w:val="00A62CE1"/>
    <w:rsid w:val="00A64228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435A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41A8"/>
    <w:rsid w:val="00B447B5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5067"/>
    <w:rsid w:val="00BD6D50"/>
    <w:rsid w:val="00BE18B9"/>
    <w:rsid w:val="00BE2495"/>
    <w:rsid w:val="00BF1578"/>
    <w:rsid w:val="00BF5046"/>
    <w:rsid w:val="00C21F94"/>
    <w:rsid w:val="00C27913"/>
    <w:rsid w:val="00C27ECC"/>
    <w:rsid w:val="00C33B68"/>
    <w:rsid w:val="00C36A79"/>
    <w:rsid w:val="00C405D4"/>
    <w:rsid w:val="00C4513B"/>
    <w:rsid w:val="00C54697"/>
    <w:rsid w:val="00C7069B"/>
    <w:rsid w:val="00C73885"/>
    <w:rsid w:val="00C747B1"/>
    <w:rsid w:val="00C82191"/>
    <w:rsid w:val="00C83D6F"/>
    <w:rsid w:val="00C90CF4"/>
    <w:rsid w:val="00C92EB6"/>
    <w:rsid w:val="00C93389"/>
    <w:rsid w:val="00CB4930"/>
    <w:rsid w:val="00CC2E7D"/>
    <w:rsid w:val="00CD10A5"/>
    <w:rsid w:val="00CD2076"/>
    <w:rsid w:val="00CE02B0"/>
    <w:rsid w:val="00CE670B"/>
    <w:rsid w:val="00CF51EC"/>
    <w:rsid w:val="00CF73AE"/>
    <w:rsid w:val="00D040DD"/>
    <w:rsid w:val="00D13986"/>
    <w:rsid w:val="00D235B7"/>
    <w:rsid w:val="00D25F28"/>
    <w:rsid w:val="00D27973"/>
    <w:rsid w:val="00D32094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AA4"/>
    <w:rsid w:val="00EA0C68"/>
    <w:rsid w:val="00EA32BC"/>
    <w:rsid w:val="00EB4511"/>
    <w:rsid w:val="00EC03D7"/>
    <w:rsid w:val="00EC32CC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630"/>
    <w:rsid w:val="00F959EA"/>
    <w:rsid w:val="00FA3BB9"/>
    <w:rsid w:val="00FA5D4D"/>
    <w:rsid w:val="00FB0EE2"/>
    <w:rsid w:val="00FB542E"/>
    <w:rsid w:val="00FB5ECD"/>
    <w:rsid w:val="00FC0E5F"/>
    <w:rsid w:val="00FC1A95"/>
    <w:rsid w:val="00FC56DE"/>
    <w:rsid w:val="00FC684B"/>
    <w:rsid w:val="00FD3265"/>
    <w:rsid w:val="00FE12B1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Textpoznpodarou">
    <w:name w:val="footnote text"/>
    <w:basedOn w:val="Normln"/>
    <w:link w:val="TextpoznpodarouChar"/>
    <w:unhideWhenUsed/>
    <w:rsid w:val="00C83D6F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83D6F"/>
    <w:rPr>
      <w:rFonts w:ascii="Calibri" w:eastAsia="Calibri" w:hAnsi="Calibri" w:cs="Times New Roman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basedOn w:val="Standardnpsmoodstavce"/>
    <w:semiHidden/>
    <w:unhideWhenUsed/>
    <w:rsid w:val="00C83D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83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D6F"/>
    <w:pPr>
      <w:spacing w:after="20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D6F"/>
    <w:rPr>
      <w:rFonts w:ascii="Calibri" w:eastAsia="Calibri" w:hAnsi="Calibri" w:cs="Times New Roman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959EA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0C"/>
    <w:rPr>
      <w:b/>
      <w:bCs/>
    </w:rPr>
  </w:style>
  <w:style w:type="paragraph" w:styleId="Odstavecseseznamem">
    <w:name w:val="List Paragraph"/>
    <w:basedOn w:val="Normln"/>
    <w:uiPriority w:val="34"/>
    <w:qFormat/>
    <w:rsid w:val="007D7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7D7D0C"/>
    <w:rPr>
      <w:i/>
      <w:iCs/>
    </w:rPr>
  </w:style>
  <w:style w:type="character" w:customStyle="1" w:styleId="bold">
    <w:name w:val="bold"/>
    <w:basedOn w:val="Standardnpsmoodstavce"/>
    <w:rsid w:val="007D7D0C"/>
  </w:style>
  <w:style w:type="paragraph" w:customStyle="1" w:styleId="Default">
    <w:name w:val="Default"/>
    <w:rsid w:val="007D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t-odstavec">
    <w:name w:val="part-odstavec"/>
    <w:basedOn w:val="Normln"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D7D0C"/>
    <w:rPr>
      <w:i/>
      <w:iCs/>
    </w:rPr>
  </w:style>
  <w:style w:type="character" w:customStyle="1" w:styleId="mw-headline">
    <w:name w:val="mw-headline"/>
    <w:basedOn w:val="Standardnpsmoodstavce"/>
    <w:rsid w:val="007D7D0C"/>
  </w:style>
  <w:style w:type="paragraph" w:customStyle="1" w:styleId="Zhlav1">
    <w:name w:val="Záhlaví 1"/>
    <w:basedOn w:val="Normln"/>
    <w:next w:val="Zhlav2"/>
    <w:rsid w:val="007D7D0C"/>
    <w:pPr>
      <w:spacing w:after="120" w:line="240" w:lineRule="auto"/>
      <w:jc w:val="center"/>
    </w:pPr>
    <w:rPr>
      <w:rFonts w:ascii="Times New Roman" w:eastAsia="Symbol" w:hAnsi="Times New Roman"/>
      <w:b/>
      <w:sz w:val="22"/>
      <w:szCs w:val="20"/>
    </w:rPr>
  </w:style>
  <w:style w:type="paragraph" w:customStyle="1" w:styleId="Zhlav2">
    <w:name w:val="Záhlaví 2"/>
    <w:basedOn w:val="Zhlav1"/>
    <w:rsid w:val="007D7D0C"/>
    <w:pPr>
      <w:spacing w:after="0"/>
    </w:pPr>
    <w:rPr>
      <w:sz w:val="26"/>
    </w:rPr>
  </w:style>
  <w:style w:type="character" w:customStyle="1" w:styleId="h1a2">
    <w:name w:val="h1a2"/>
    <w:basedOn w:val="Standardnpsmoodstavce"/>
    <w:rsid w:val="007D7D0C"/>
    <w:rPr>
      <w:vanish w:val="0"/>
      <w:webHidden w:val="0"/>
      <w:sz w:val="24"/>
      <w:szCs w:val="24"/>
      <w:specVanish w:val="0"/>
    </w:rPr>
  </w:style>
  <w:style w:type="paragraph" w:customStyle="1" w:styleId="para">
    <w:name w:val="para"/>
    <w:basedOn w:val="Normln"/>
    <w:rsid w:val="007D7D0C"/>
    <w:pPr>
      <w:spacing w:before="144" w:after="144" w:line="240" w:lineRule="auto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28DB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zso.cz/csu/czso/zaostreno-na-zeny-a-muze-2015" TargetMode="External"/><Relationship Id="rId18" Type="http://schemas.openxmlformats.org/officeDocument/2006/relationships/hyperlink" Target="http://www.msmt.cz/file/19743" TargetMode="External"/><Relationship Id="rId26" Type="http://schemas.openxmlformats.org/officeDocument/2006/relationships/hyperlink" Target="http://www.msmt.cz/file/19743" TargetMode="External"/><Relationship Id="rId39" Type="http://schemas.openxmlformats.org/officeDocument/2006/relationships/hyperlink" Target="http://zakony.centrum.cz/skolsky-zakon/cast-1-paragraf-16" TargetMode="External"/><Relationship Id="rId21" Type="http://schemas.openxmlformats.org/officeDocument/2006/relationships/hyperlink" Target="http://www.msmt.cz/uploads/legislativa/2002_109.pdf" TargetMode="External"/><Relationship Id="rId34" Type="http://schemas.openxmlformats.org/officeDocument/2006/relationships/hyperlink" Target="http://www.msmt.cz/file/19743" TargetMode="External"/><Relationship Id="rId42" Type="http://schemas.openxmlformats.org/officeDocument/2006/relationships/hyperlink" Target="http://www.statistikaamy.cz/2016/05/vzdelavani-zaku-se-specialnimi-potrebami/" TargetMode="External"/><Relationship Id="rId47" Type="http://schemas.openxmlformats.org/officeDocument/2006/relationships/hyperlink" Target="http://www.msmt.cz/file/19743" TargetMode="External"/><Relationship Id="rId50" Type="http://schemas.openxmlformats.org/officeDocument/2006/relationships/hyperlink" Target="http://www.msmt.cz/file/19743" TargetMode="External"/><Relationship Id="rId55" Type="http://schemas.openxmlformats.org/officeDocument/2006/relationships/footer" Target="footer2.xml"/><Relationship Id="rId7" Type="http://schemas.openxmlformats.org/officeDocument/2006/relationships/hyperlink" Target="https://www.czso.cz/csu/czso/skoly-a-skolska-zarizeni-za-skolni-rok-20152016" TargetMode="External"/><Relationship Id="rId12" Type="http://schemas.openxmlformats.org/officeDocument/2006/relationships/hyperlink" Target="https://www.czso.cz/csu/czso/srovnani-kraju-v-ceske-republice-2015" TargetMode="External"/><Relationship Id="rId17" Type="http://schemas.openxmlformats.org/officeDocument/2006/relationships/hyperlink" Target="http://www.msmt.cz/file/19743" TargetMode="External"/><Relationship Id="rId25" Type="http://schemas.openxmlformats.org/officeDocument/2006/relationships/hyperlink" Target="http://stistko.uiv.cz/katalog/ciselnik.asp?aac=kkov&amp;aak=&amp;zrs=&amp;vybr=Zobraz+vybran%E9" TargetMode="External"/><Relationship Id="rId33" Type="http://schemas.openxmlformats.org/officeDocument/2006/relationships/hyperlink" Target="http://www.msmt.cz/file/19743" TargetMode="External"/><Relationship Id="rId38" Type="http://schemas.openxmlformats.org/officeDocument/2006/relationships/hyperlink" Target="http://www.msmt.cz/file/19743" TargetMode="External"/><Relationship Id="rId46" Type="http://schemas.openxmlformats.org/officeDocument/2006/relationships/hyperlink" Target="http://www.msmt.cz/vzdelavani/vysoke-skolstvi/legislati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mt.cz/file/22576_1_1/" TargetMode="External"/><Relationship Id="rId20" Type="http://schemas.openxmlformats.org/officeDocument/2006/relationships/hyperlink" Target="http://www.msmt.cz/uploads/legislativa/2002_109.pdf" TargetMode="External"/><Relationship Id="rId29" Type="http://schemas.openxmlformats.org/officeDocument/2006/relationships/hyperlink" Target="http://www.msmt.cz/file/19743" TargetMode="External"/><Relationship Id="rId41" Type="http://schemas.openxmlformats.org/officeDocument/2006/relationships/hyperlink" Target="http://www.msmt.cz/file/19743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statisticka-rocenka-ceske-republiky-2015" TargetMode="External"/><Relationship Id="rId24" Type="http://schemas.openxmlformats.org/officeDocument/2006/relationships/hyperlink" Target="http://www.msmt.cz/vzdelavani/vysoke-skolstvi/legislativa" TargetMode="External"/><Relationship Id="rId32" Type="http://schemas.openxmlformats.org/officeDocument/2006/relationships/hyperlink" Target="http://www.msmt.cz/file/13234" TargetMode="External"/><Relationship Id="rId37" Type="http://schemas.openxmlformats.org/officeDocument/2006/relationships/hyperlink" Target="http://www.msmt.cz/file/19743" TargetMode="External"/><Relationship Id="rId40" Type="http://schemas.openxmlformats.org/officeDocument/2006/relationships/hyperlink" Target="http://www.nuv.cz/t/pedagogicko-psychologicke-poradenstvi/skolska-poradenska-zarizeni" TargetMode="External"/><Relationship Id="rId45" Type="http://schemas.openxmlformats.org/officeDocument/2006/relationships/hyperlink" Target="http://www.msmt.cz/uploads/legislativa/2002_109.pdf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msmt.cz/file/19743" TargetMode="External"/><Relationship Id="rId23" Type="http://schemas.openxmlformats.org/officeDocument/2006/relationships/hyperlink" Target="http://www.msmt.cz/vzdelavani/vysoke-skolstvi/legislativa" TargetMode="External"/><Relationship Id="rId28" Type="http://schemas.openxmlformats.org/officeDocument/2006/relationships/hyperlink" Target="http://www.msmt.cz/vzdelavani/vysoke-skolstvi/legislativa" TargetMode="External"/><Relationship Id="rId36" Type="http://schemas.openxmlformats.org/officeDocument/2006/relationships/hyperlink" Target="http://www.msmt.cz/file/22576_1_1/" TargetMode="External"/><Relationship Id="rId49" Type="http://schemas.openxmlformats.org/officeDocument/2006/relationships/hyperlink" Target="http://www.msmt.cz/file/1974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smt.cz/vzdelavani/skolstvi-v-cr/statistika-skolstvi/o-skolske-statistice-1" TargetMode="External"/><Relationship Id="rId19" Type="http://schemas.openxmlformats.org/officeDocument/2006/relationships/hyperlink" Target="http://www.msmt.cz/uploads/legislativa/2002_109.pdf" TargetMode="External"/><Relationship Id="rId31" Type="http://schemas.openxmlformats.org/officeDocument/2006/relationships/hyperlink" Target="http://www.msmt.cz/file/19743" TargetMode="External"/><Relationship Id="rId44" Type="http://schemas.openxmlformats.org/officeDocument/2006/relationships/hyperlink" Target="http://www.msmt.cz/vzdelavani/vysoke-skolstvi/legislativa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y.centrum.cz/zakon-o-vysokych-skolach/cast-1" TargetMode="External"/><Relationship Id="rId14" Type="http://schemas.openxmlformats.org/officeDocument/2006/relationships/hyperlink" Target="http://www.msmt.cz/vzdelavani/vysoke-skolstvi/legislativa" TargetMode="External"/><Relationship Id="rId22" Type="http://schemas.openxmlformats.org/officeDocument/2006/relationships/hyperlink" Target="http://www.msmt.cz/file/19743" TargetMode="External"/><Relationship Id="rId27" Type="http://schemas.openxmlformats.org/officeDocument/2006/relationships/hyperlink" Target="http://www.msmt.cz/file/13234_1_1/" TargetMode="External"/><Relationship Id="rId30" Type="http://schemas.openxmlformats.org/officeDocument/2006/relationships/hyperlink" Target="http://www.msmt.cz/file/19743" TargetMode="External"/><Relationship Id="rId35" Type="http://schemas.openxmlformats.org/officeDocument/2006/relationships/hyperlink" Target="http://www.msmt.cz/file/19743" TargetMode="External"/><Relationship Id="rId43" Type="http://schemas.openxmlformats.org/officeDocument/2006/relationships/hyperlink" Target="http://www.msmt.cz/file/22576_1_1/" TargetMode="External"/><Relationship Id="rId48" Type="http://schemas.openxmlformats.org/officeDocument/2006/relationships/hyperlink" Target="http://www.msmt.cz/file/1974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zakony.centrum.cz/skolsky-zakon/cast-1" TargetMode="External"/><Relationship Id="rId51" Type="http://schemas.openxmlformats.org/officeDocument/2006/relationships/hyperlink" Target="http://www.msmt.cz/dokumenty/zakon-c-472-2011-sb-kterym-se-meni-skolsky-zakon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sia.uiv.cz/vystupy/vu_vs_f1.html" TargetMode="External"/><Relationship Id="rId1" Type="http://schemas.openxmlformats.org/officeDocument/2006/relationships/hyperlink" Target="https://www.czso.cz/csu/czso/ministerstvo-skolstvi-mladeze-a-telovychov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5</TotalTime>
  <Pages>18</Pages>
  <Words>8055</Words>
  <Characters>47527</Characters>
  <Application>Microsoft Office Word</Application>
  <DocSecurity>0</DocSecurity>
  <Lines>396</Lines>
  <Paragraphs>110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kasparova3676</cp:lastModifiedBy>
  <cp:revision>7</cp:revision>
  <cp:lastPrinted>2014-07-17T14:07:00Z</cp:lastPrinted>
  <dcterms:created xsi:type="dcterms:W3CDTF">2016-08-09T11:34:00Z</dcterms:created>
  <dcterms:modified xsi:type="dcterms:W3CDTF">2016-08-11T08:51:00Z</dcterms:modified>
</cp:coreProperties>
</file>