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0E652D">
        <w:rPr>
          <w:rFonts w:ascii="Arial" w:hAnsi="Arial" w:cs="Arial"/>
          <w:lang w:val="en-GB"/>
        </w:rPr>
        <w:t>1</w:t>
      </w:r>
      <w:r w:rsidR="00A840FC">
        <w:rPr>
          <w:rFonts w:ascii="Arial" w:hAnsi="Arial" w:cs="Arial"/>
          <w:lang w:val="en-GB"/>
        </w:rPr>
        <w:t xml:space="preserve"> 202</w:t>
      </w:r>
      <w:r w:rsidR="00AA40E3">
        <w:rPr>
          <w:rFonts w:ascii="Arial" w:hAnsi="Arial" w:cs="Arial"/>
          <w:lang w:val="en-GB"/>
        </w:rPr>
        <w:t>3</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FE6185" w:rsidRPr="00D22E3D">
        <w:rPr>
          <w:rFonts w:ascii="Arial" w:hAnsi="Arial" w:cs="Arial"/>
          <w:b/>
          <w:lang w:val="en-GB"/>
        </w:rPr>
        <w:t>23</w:t>
      </w:r>
      <w:r w:rsidR="00426941">
        <w:rPr>
          <w:rFonts w:ascii="Arial" w:hAnsi="Arial" w:cs="Arial"/>
          <w:b/>
          <w:lang w:val="en-GB"/>
        </w:rPr>
        <w:t>.4</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561710">
        <w:rPr>
          <w:rFonts w:ascii="Arial" w:hAnsi="Arial" w:cs="Arial"/>
          <w:b/>
          <w:bCs/>
          <w:lang w:val="en-GB"/>
        </w:rPr>
        <w:t>4</w:t>
      </w:r>
      <w:r w:rsidR="00426941">
        <w:rPr>
          <w:rFonts w:ascii="Arial" w:hAnsi="Arial" w:cs="Arial"/>
          <w:b/>
          <w:bCs/>
          <w:lang w:val="en-GB"/>
        </w:rPr>
        <w:t>8.6</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E73094">
        <w:rPr>
          <w:rFonts w:ascii="Arial" w:hAnsi="Arial" w:cs="Arial"/>
          <w:b/>
          <w:bCs/>
          <w:lang w:val="en-GB"/>
        </w:rPr>
        <w:t>4</w:t>
      </w:r>
      <w:r w:rsidR="00426941">
        <w:rPr>
          <w:rFonts w:ascii="Arial" w:hAnsi="Arial" w:cs="Arial"/>
          <w:b/>
          <w:bCs/>
          <w:lang w:val="en-GB"/>
        </w:rPr>
        <w:t>1.8</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5279FF"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lang w:val="cs-CZ"/>
              </w:rPr>
            </w:pPr>
            <w:r w:rsidRPr="005279FF">
              <w:rPr>
                <w:rFonts w:ascii="Segoe UI" w:hAnsi="Segoe UI" w:cs="Segoe UI"/>
                <w:sz w:val="18"/>
                <w:szCs w:val="18"/>
              </w:rPr>
              <w:t>23410</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2042</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2933</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1760</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1571</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928</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1612</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1156</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1212</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1222</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1346</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2410</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1271</w:t>
            </w:r>
          </w:p>
        </w:tc>
        <w:tc>
          <w:tcPr>
            <w:tcW w:w="601" w:type="dxa"/>
            <w:tcBorders>
              <w:top w:val="dotted" w:sz="4" w:space="0" w:color="auto"/>
              <w:left w:val="dotted" w:sz="4" w:space="0" w:color="auto"/>
              <w:bottom w:val="dotted" w:sz="4" w:space="0" w:color="auto"/>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1268</w:t>
            </w:r>
          </w:p>
        </w:tc>
        <w:tc>
          <w:tcPr>
            <w:tcW w:w="601" w:type="dxa"/>
            <w:tcBorders>
              <w:top w:val="dotted" w:sz="4" w:space="0" w:color="auto"/>
              <w:left w:val="dotted" w:sz="4" w:space="0" w:color="auto"/>
              <w:bottom w:val="dotted" w:sz="4" w:space="0" w:color="auto"/>
              <w:right w:val="single" w:sz="12" w:space="0" w:color="000000"/>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2679</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5279FF" w:rsidRDefault="00961206" w:rsidP="001361AC">
            <w:pPr>
              <w:suppressAutoHyphens/>
              <w:spacing w:before="230" w:after="94"/>
              <w:jc w:val="center"/>
              <w:rPr>
                <w:rFonts w:ascii="Arial" w:hAnsi="Arial" w:cs="Arial"/>
                <w:sz w:val="18"/>
                <w:szCs w:val="18"/>
              </w:rPr>
            </w:pPr>
            <w:r w:rsidRPr="005279FF">
              <w:rPr>
                <w:rFonts w:ascii="Arial" w:hAnsi="Arial" w:cs="Arial"/>
                <w:sz w:val="18"/>
                <w:szCs w:val="18"/>
                <w:lang w:val="en-GB"/>
              </w:rPr>
              <w:t>Number of persons aged 15 and over in the sample</w:t>
            </w:r>
          </w:p>
        </w:tc>
      </w:tr>
      <w:tr w:rsidR="005279FF"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lang w:val="cs-CZ"/>
              </w:rPr>
            </w:pPr>
            <w:r w:rsidRPr="005279FF">
              <w:rPr>
                <w:rFonts w:ascii="Segoe UI" w:hAnsi="Segoe UI" w:cs="Segoe UI"/>
                <w:sz w:val="18"/>
                <w:szCs w:val="18"/>
              </w:rPr>
              <w:t>41826</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3232</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5135</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3133</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2962</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1595</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2813</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2041</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2203</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2287</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2557</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4632</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2275</w:t>
            </w:r>
          </w:p>
        </w:tc>
        <w:tc>
          <w:tcPr>
            <w:tcW w:w="601" w:type="dxa"/>
            <w:tcBorders>
              <w:top w:val="dotted" w:sz="4" w:space="0" w:color="auto"/>
              <w:left w:val="dotted" w:sz="4" w:space="0" w:color="auto"/>
              <w:bottom w:val="single" w:sz="12" w:space="0" w:color="000000"/>
              <w:right w:val="dotted" w:sz="4" w:space="0" w:color="auto"/>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2350</w:t>
            </w:r>
          </w:p>
        </w:tc>
        <w:tc>
          <w:tcPr>
            <w:tcW w:w="601" w:type="dxa"/>
            <w:tcBorders>
              <w:top w:val="dotted" w:sz="4" w:space="0" w:color="auto"/>
              <w:left w:val="dotted" w:sz="4" w:space="0" w:color="auto"/>
              <w:bottom w:val="single" w:sz="12" w:space="0" w:color="000000"/>
              <w:right w:val="single" w:sz="12" w:space="0" w:color="000000"/>
            </w:tcBorders>
            <w:vAlign w:val="bottom"/>
          </w:tcPr>
          <w:p w:rsidR="005279FF" w:rsidRPr="005279FF" w:rsidRDefault="005279FF" w:rsidP="005279FF">
            <w:pPr>
              <w:suppressAutoHyphens/>
              <w:spacing w:before="230" w:after="94"/>
              <w:jc w:val="center"/>
              <w:rPr>
                <w:rFonts w:ascii="Arial" w:hAnsi="Arial" w:cs="Arial"/>
                <w:sz w:val="18"/>
                <w:szCs w:val="18"/>
              </w:rPr>
            </w:pPr>
            <w:r w:rsidRPr="005279FF">
              <w:rPr>
                <w:rFonts w:ascii="Segoe UI" w:hAnsi="Segoe UI" w:cs="Segoe UI"/>
                <w:sz w:val="18"/>
                <w:szCs w:val="18"/>
              </w:rPr>
              <w:t>4611</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FC1070"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BB1E77">
      <w:pPr>
        <w:pStyle w:val="Zkladntext3"/>
        <w:spacing w:after="0"/>
        <w:ind w:left="1276"/>
        <w:rPr>
          <w:lang w:val="en-GB"/>
        </w:rPr>
      </w:pPr>
      <w:r w:rsidRPr="00D22E3D">
        <w:rPr>
          <w:rStyle w:val="hps"/>
        </w:rPr>
        <w:t>- Persons</w:t>
      </w:r>
      <w:r w:rsidRPr="00D22E3D">
        <w:t xml:space="preserve"> </w:t>
      </w:r>
      <w:r w:rsidRPr="00D22E3D">
        <w:rPr>
          <w:rStyle w:val="hps"/>
        </w:rPr>
        <w:t>with disabilities</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70" w:rsidRDefault="00FC1070">
      <w:r>
        <w:separator/>
      </w:r>
    </w:p>
  </w:endnote>
  <w:endnote w:type="continuationSeparator" w:id="0">
    <w:p w:rsidR="00FC1070" w:rsidRDefault="00FC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Q1 2023</w:t>
    </w: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00" w:rsidRDefault="00E77F00">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Q1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70" w:rsidRDefault="00FC1070">
      <w:r>
        <w:separator/>
      </w:r>
    </w:p>
  </w:footnote>
  <w:footnote w:type="continuationSeparator" w:id="0">
    <w:p w:rsidR="00FC1070" w:rsidRDefault="00FC1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D00AC"/>
    <w:rsid w:val="000D26F7"/>
    <w:rsid w:val="000D4D36"/>
    <w:rsid w:val="000E2CA4"/>
    <w:rsid w:val="000E4626"/>
    <w:rsid w:val="000E475E"/>
    <w:rsid w:val="000E4A30"/>
    <w:rsid w:val="000E652D"/>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4BB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227DE"/>
    <w:rsid w:val="00B313DB"/>
    <w:rsid w:val="00B34F7C"/>
    <w:rsid w:val="00B351B2"/>
    <w:rsid w:val="00B40862"/>
    <w:rsid w:val="00B4107C"/>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1E77"/>
    <w:rsid w:val="00BB44E0"/>
    <w:rsid w:val="00BB5176"/>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001F"/>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1070"/>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73AE-73A6-47BC-84F0-07AAF74F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4242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4951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2023-06-18T18:37:00Z</dcterms:created>
  <dcterms:modified xsi:type="dcterms:W3CDTF">2023-06-18T18:37:00Z</dcterms:modified>
</cp:coreProperties>
</file>