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DA" w:rsidRPr="008D44AD" w:rsidRDefault="006067DA" w:rsidP="008D44AD">
      <w:pPr>
        <w:pStyle w:val="Nadpis1"/>
        <w:keepNext w:val="0"/>
        <w:keepLines w:val="0"/>
      </w:pPr>
      <w:bookmarkStart w:id="0" w:name="_Toc481748784"/>
      <w:r w:rsidRPr="00240B6D">
        <w:t>2. Souhrnné výs</w:t>
      </w:r>
      <w:bookmarkStart w:id="1" w:name="_GoBack"/>
      <w:bookmarkEnd w:id="1"/>
      <w:r w:rsidRPr="00240B6D">
        <w:t>ledky zdravotnických účtů</w:t>
      </w:r>
      <w:bookmarkEnd w:id="0"/>
    </w:p>
    <w:p w:rsidR="006067DA" w:rsidRPr="00240B6D" w:rsidRDefault="006067DA" w:rsidP="006067DA">
      <w:pPr>
        <w:keepNext/>
        <w:spacing w:before="120"/>
        <w:jc w:val="both"/>
        <w:rPr>
          <w:bCs/>
        </w:rPr>
      </w:pPr>
      <w:r w:rsidRPr="00240B6D">
        <w:rPr>
          <w:bCs/>
        </w:rPr>
        <w:t>V této části publikace jsou uvedeny základní informace vycházející ze zpracování zdravotnických účtů České republiky za referenční roky 2010 až 201</w:t>
      </w:r>
      <w:r>
        <w:rPr>
          <w:bCs/>
        </w:rPr>
        <w:t>7</w:t>
      </w:r>
      <w:r w:rsidRPr="00240B6D">
        <w:rPr>
          <w:bCs/>
        </w:rPr>
        <w:t xml:space="preserve"> z pohledu jejich tří rozměrů, což jsou </w:t>
      </w:r>
      <w:r w:rsidRPr="00240B6D">
        <w:rPr>
          <w:b/>
          <w:bCs/>
        </w:rPr>
        <w:t>zdroje financování, druh zdravotní péče a typ jejího poskytovatele</w:t>
      </w:r>
      <w:r w:rsidRPr="00240B6D">
        <w:rPr>
          <w:bCs/>
        </w:rPr>
        <w:t>. Otázky metodického charakteru týkající se užívaných pojmů či metodických nástrojů (klasifikací apod.), které není nutno s ohledem na srozumitelnost textu řešit bezprostředně na místě, jsou blíže specifikovány v metodické příloze.</w:t>
      </w:r>
    </w:p>
    <w:p w:rsidR="006067DA" w:rsidRPr="00240B6D" w:rsidRDefault="006067DA" w:rsidP="006067DA">
      <w:pPr>
        <w:keepNext/>
        <w:keepLines/>
        <w:spacing w:before="240" w:after="120"/>
        <w:outlineLvl w:val="1"/>
        <w:rPr>
          <w:rFonts w:eastAsia="MS Gothic"/>
          <w:b/>
          <w:bCs/>
          <w:color w:val="BC091B"/>
          <w:sz w:val="28"/>
          <w:szCs w:val="26"/>
        </w:rPr>
      </w:pPr>
      <w:bookmarkStart w:id="2" w:name="OLE_LINK9"/>
      <w:bookmarkStart w:id="3" w:name="OLE_LINK116"/>
      <w:r w:rsidRPr="00240B6D">
        <w:rPr>
          <w:rFonts w:eastAsia="MS Gothic"/>
          <w:b/>
          <w:bCs/>
          <w:color w:val="BC091B"/>
          <w:sz w:val="28"/>
          <w:szCs w:val="26"/>
        </w:rPr>
        <w:t>2.1 Celkové výdaje na zdravotní péči</w:t>
      </w:r>
      <w:r>
        <w:rPr>
          <w:rFonts w:eastAsia="MS Gothic"/>
          <w:b/>
          <w:bCs/>
          <w:color w:val="BC091B"/>
          <w:sz w:val="28"/>
          <w:szCs w:val="26"/>
        </w:rPr>
        <w:t xml:space="preserve"> – základní údaje</w:t>
      </w:r>
      <w:r w:rsidRPr="00240B6D">
        <w:rPr>
          <w:rFonts w:eastAsia="MS Gothic"/>
          <w:b/>
          <w:bCs/>
          <w:color w:val="BC091B"/>
          <w:sz w:val="28"/>
          <w:szCs w:val="26"/>
        </w:rPr>
        <w:t xml:space="preserve"> </w:t>
      </w:r>
    </w:p>
    <w:p w:rsidR="006067DA" w:rsidRDefault="006067DA" w:rsidP="006067DA">
      <w:pPr>
        <w:spacing w:before="120"/>
        <w:jc w:val="both"/>
        <w:rPr>
          <w:bCs/>
          <w:szCs w:val="20"/>
        </w:rPr>
      </w:pPr>
      <w:r w:rsidRPr="005D3FC5">
        <w:rPr>
          <w:bCs/>
          <w:szCs w:val="20"/>
        </w:rPr>
        <w:t>V roce 2017 dosáhly</w:t>
      </w:r>
      <w:r w:rsidRPr="00240B6D">
        <w:rPr>
          <w:b/>
          <w:bCs/>
          <w:szCs w:val="20"/>
        </w:rPr>
        <w:t xml:space="preserve"> celkové výdaje</w:t>
      </w:r>
      <w:r w:rsidRPr="00240B6D">
        <w:rPr>
          <w:bCs/>
          <w:szCs w:val="20"/>
        </w:rPr>
        <w:t xml:space="preserve"> </w:t>
      </w:r>
      <w:r w:rsidRPr="00240B6D">
        <w:rPr>
          <w:b/>
          <w:bCs/>
          <w:szCs w:val="20"/>
        </w:rPr>
        <w:t>na zdravotní péči</w:t>
      </w:r>
      <w:r w:rsidRPr="00240B6D">
        <w:rPr>
          <w:b/>
          <w:bCs/>
          <w:szCs w:val="20"/>
          <w:vertAlign w:val="superscript"/>
        </w:rPr>
        <w:footnoteReference w:id="1"/>
      </w:r>
      <w:r w:rsidRPr="00240B6D">
        <w:rPr>
          <w:bCs/>
          <w:szCs w:val="20"/>
        </w:rPr>
        <w:t xml:space="preserve"> v České republice </w:t>
      </w:r>
      <w:r w:rsidRPr="00240B6D">
        <w:rPr>
          <w:b/>
          <w:bCs/>
          <w:szCs w:val="20"/>
        </w:rPr>
        <w:t>3</w:t>
      </w:r>
      <w:r>
        <w:rPr>
          <w:b/>
          <w:bCs/>
          <w:szCs w:val="20"/>
        </w:rPr>
        <w:t>87,4</w:t>
      </w:r>
      <w:r w:rsidRPr="00240B6D">
        <w:rPr>
          <w:b/>
          <w:bCs/>
          <w:szCs w:val="20"/>
        </w:rPr>
        <w:t xml:space="preserve"> mld. Kč. </w:t>
      </w:r>
      <w:r w:rsidRPr="00240B6D">
        <w:rPr>
          <w:bCs/>
          <w:szCs w:val="20"/>
        </w:rPr>
        <w:t>Meziročně vzrostly o</w:t>
      </w:r>
      <w:r w:rsidRPr="00240B6D">
        <w:rPr>
          <w:b/>
          <w:bCs/>
          <w:szCs w:val="20"/>
        </w:rPr>
        <w:t xml:space="preserve"> </w:t>
      </w:r>
      <w:r>
        <w:rPr>
          <w:b/>
          <w:bCs/>
          <w:szCs w:val="20"/>
        </w:rPr>
        <w:t>25,8</w:t>
      </w:r>
      <w:r w:rsidRPr="00240B6D">
        <w:rPr>
          <w:bCs/>
          <w:szCs w:val="20"/>
        </w:rPr>
        <w:t xml:space="preserve"> mld. Kč (</w:t>
      </w:r>
      <w:r w:rsidRPr="00BB515B">
        <w:rPr>
          <w:b/>
          <w:bCs/>
          <w:szCs w:val="20"/>
        </w:rPr>
        <w:t>7,1</w:t>
      </w:r>
      <w:r w:rsidRPr="00240B6D">
        <w:rPr>
          <w:bCs/>
          <w:szCs w:val="20"/>
        </w:rPr>
        <w:t> </w:t>
      </w:r>
      <w:r w:rsidRPr="00BB515B">
        <w:rPr>
          <w:b/>
          <w:bCs/>
          <w:szCs w:val="20"/>
        </w:rPr>
        <w:t>%</w:t>
      </w:r>
      <w:r w:rsidRPr="00BB515B">
        <w:rPr>
          <w:bCs/>
          <w:szCs w:val="20"/>
        </w:rPr>
        <w:t>)</w:t>
      </w:r>
      <w:r w:rsidRPr="00240B6D">
        <w:rPr>
          <w:bCs/>
          <w:szCs w:val="20"/>
        </w:rPr>
        <w:t xml:space="preserve">, </w:t>
      </w:r>
      <w:r w:rsidRPr="002E7C59">
        <w:rPr>
          <w:bCs/>
          <w:szCs w:val="20"/>
        </w:rPr>
        <w:t>tj. nejvíce od roku 2010, kdy má ČSÚ k dispozici srovnatelné údaje o výdajích na zdravotní péči podle mezinárodní metodiky SHA 2011.</w:t>
      </w:r>
      <w:r w:rsidRPr="00240B6D">
        <w:rPr>
          <w:bCs/>
          <w:szCs w:val="20"/>
        </w:rPr>
        <w:t xml:space="preserve"> V letech 2010 až 201</w:t>
      </w:r>
      <w:r>
        <w:rPr>
          <w:bCs/>
          <w:szCs w:val="20"/>
        </w:rPr>
        <w:t>7</w:t>
      </w:r>
      <w:r w:rsidRPr="00240B6D">
        <w:rPr>
          <w:bCs/>
          <w:szCs w:val="20"/>
        </w:rPr>
        <w:t xml:space="preserve"> rostly c</w:t>
      </w:r>
      <w:r>
        <w:rPr>
          <w:bCs/>
          <w:szCs w:val="20"/>
        </w:rPr>
        <w:t xml:space="preserve">elkové výdaje na zdravotní péči </w:t>
      </w:r>
      <w:r w:rsidRPr="00240B6D">
        <w:rPr>
          <w:bCs/>
          <w:szCs w:val="20"/>
        </w:rPr>
        <w:t>v běžných cenách</w:t>
      </w:r>
      <w:r w:rsidRPr="00B63AFC">
        <w:rPr>
          <w:bCs/>
          <w:szCs w:val="20"/>
        </w:rPr>
        <w:t xml:space="preserve"> </w:t>
      </w:r>
      <w:r w:rsidRPr="00240B6D">
        <w:rPr>
          <w:bCs/>
          <w:szCs w:val="20"/>
        </w:rPr>
        <w:t xml:space="preserve">v průměru o </w:t>
      </w:r>
      <w:r>
        <w:rPr>
          <w:bCs/>
          <w:szCs w:val="20"/>
        </w:rPr>
        <w:t>2,14</w:t>
      </w:r>
      <w:r w:rsidRPr="00240B6D">
        <w:rPr>
          <w:bCs/>
          <w:szCs w:val="20"/>
        </w:rPr>
        <w:t xml:space="preserve"> % ročně. Od roku 2010 včetně bylo za zdravotní péči v Česku vynaloženo celkem téměř 2 </w:t>
      </w:r>
      <w:r>
        <w:rPr>
          <w:bCs/>
          <w:szCs w:val="20"/>
        </w:rPr>
        <w:t>809</w:t>
      </w:r>
      <w:r w:rsidRPr="00240B6D">
        <w:rPr>
          <w:bCs/>
          <w:szCs w:val="20"/>
        </w:rPr>
        <w:t xml:space="preserve"> miliard korun z toho v posledních </w:t>
      </w:r>
      <w:r>
        <w:rPr>
          <w:bCs/>
          <w:szCs w:val="20"/>
        </w:rPr>
        <w:t>pěti</w:t>
      </w:r>
      <w:r w:rsidRPr="00240B6D">
        <w:rPr>
          <w:bCs/>
          <w:szCs w:val="20"/>
        </w:rPr>
        <w:t xml:space="preserve"> letech (201</w:t>
      </w:r>
      <w:r>
        <w:rPr>
          <w:bCs/>
          <w:szCs w:val="20"/>
        </w:rPr>
        <w:t>3</w:t>
      </w:r>
      <w:r w:rsidRPr="00240B6D">
        <w:rPr>
          <w:bCs/>
          <w:szCs w:val="20"/>
        </w:rPr>
        <w:t xml:space="preserve"> až 201</w:t>
      </w:r>
      <w:r>
        <w:rPr>
          <w:bCs/>
          <w:szCs w:val="20"/>
        </w:rPr>
        <w:t>7</w:t>
      </w:r>
      <w:r w:rsidRPr="00240B6D">
        <w:rPr>
          <w:bCs/>
          <w:szCs w:val="20"/>
        </w:rPr>
        <w:t>) to byl cca jeden bilion</w:t>
      </w:r>
      <w:r>
        <w:rPr>
          <w:bCs/>
          <w:szCs w:val="20"/>
        </w:rPr>
        <w:t xml:space="preserve"> a tři čtvrtě</w:t>
      </w:r>
      <w:r w:rsidRPr="00240B6D">
        <w:rPr>
          <w:bCs/>
          <w:szCs w:val="20"/>
        </w:rPr>
        <w:t xml:space="preserve"> (1 </w:t>
      </w:r>
      <w:r>
        <w:rPr>
          <w:bCs/>
          <w:szCs w:val="20"/>
        </w:rPr>
        <w:t>795</w:t>
      </w:r>
      <w:r w:rsidRPr="00240B6D">
        <w:rPr>
          <w:bCs/>
          <w:szCs w:val="20"/>
        </w:rPr>
        <w:t xml:space="preserve"> mld. Kč). </w:t>
      </w:r>
    </w:p>
    <w:p w:rsidR="006067DA" w:rsidRPr="00941601" w:rsidRDefault="006067DA" w:rsidP="006067DA">
      <w:pPr>
        <w:spacing w:before="120"/>
        <w:jc w:val="both"/>
        <w:rPr>
          <w:bCs/>
          <w:i/>
          <w:szCs w:val="20"/>
        </w:rPr>
      </w:pPr>
      <w:r>
        <w:rPr>
          <w:bCs/>
          <w:szCs w:val="20"/>
        </w:rPr>
        <w:t>U</w:t>
      </w:r>
      <w:r w:rsidRPr="00736F53">
        <w:rPr>
          <w:bCs/>
          <w:szCs w:val="20"/>
        </w:rPr>
        <w:t xml:space="preserve">vedený meziroční celkový </w:t>
      </w:r>
      <w:r w:rsidRPr="00212B4D">
        <w:rPr>
          <w:bCs/>
          <w:szCs w:val="20"/>
        </w:rPr>
        <w:t xml:space="preserve">nárůst výdajů na zdravotní péči v ČR o </w:t>
      </w:r>
      <w:r>
        <w:rPr>
          <w:bCs/>
          <w:szCs w:val="20"/>
        </w:rPr>
        <w:t>25,8 mld. Kč</w:t>
      </w:r>
      <w:r w:rsidRPr="00736F53">
        <w:rPr>
          <w:bCs/>
          <w:szCs w:val="20"/>
        </w:rPr>
        <w:t xml:space="preserve"> byl zapříčiněn více než 10% </w:t>
      </w:r>
      <w:r w:rsidRPr="008B7F0E">
        <w:rPr>
          <w:b/>
          <w:bCs/>
          <w:szCs w:val="20"/>
        </w:rPr>
        <w:t>vyššími výdaji ze státního rozpočtu</w:t>
      </w:r>
      <w:r w:rsidRPr="00736F53">
        <w:rPr>
          <w:bCs/>
          <w:szCs w:val="20"/>
        </w:rPr>
        <w:t xml:space="preserve"> (6,2 mld. Kč) a 6% navýšením prostředků </w:t>
      </w:r>
      <w:r w:rsidRPr="008B7F0E">
        <w:rPr>
          <w:b/>
          <w:bCs/>
          <w:szCs w:val="20"/>
        </w:rPr>
        <w:t>z veřejného zdravotního pojištění</w:t>
      </w:r>
      <w:r w:rsidRPr="00736F53">
        <w:rPr>
          <w:bCs/>
          <w:szCs w:val="20"/>
        </w:rPr>
        <w:t xml:space="preserve"> (14,5 mld. Kč). Přímé platby </w:t>
      </w:r>
      <w:r w:rsidRPr="00BB515B">
        <w:rPr>
          <w:b/>
          <w:bCs/>
          <w:szCs w:val="20"/>
        </w:rPr>
        <w:t>domácností</w:t>
      </w:r>
      <w:r w:rsidRPr="00736F53">
        <w:rPr>
          <w:bCs/>
          <w:szCs w:val="20"/>
        </w:rPr>
        <w:t xml:space="preserve"> (pacientů) – třetí hlavní zdroj financování zdravotní péče v Česku – od roku 2016 vzrostly o 2,8 mld. Kč (5,5 %). </w:t>
      </w:r>
      <w:r w:rsidRPr="00736F53">
        <w:rPr>
          <w:rFonts w:cs="Arial"/>
          <w:szCs w:val="20"/>
        </w:rPr>
        <w:t xml:space="preserve">V meziročním srovnání přímých plateb domácností na zdravotní péči </w:t>
      </w:r>
      <w:r>
        <w:rPr>
          <w:rFonts w:cs="Arial"/>
          <w:szCs w:val="20"/>
        </w:rPr>
        <w:t>zejména</w:t>
      </w:r>
      <w:r w:rsidRPr="00736F53">
        <w:rPr>
          <w:rFonts w:cs="Arial"/>
          <w:szCs w:val="20"/>
        </w:rPr>
        <w:t xml:space="preserve"> vzrostly výdaje jak na volně prodejné léky, tak na doplatky na léky na předpis </w:t>
      </w:r>
      <w:r w:rsidR="00640637">
        <w:rPr>
          <w:rFonts w:cs="Arial"/>
          <w:szCs w:val="20"/>
        </w:rPr>
        <w:t xml:space="preserve">okolo </w:t>
      </w:r>
      <w:r w:rsidRPr="00736F53">
        <w:rPr>
          <w:rFonts w:cs="Arial"/>
          <w:szCs w:val="20"/>
        </w:rPr>
        <w:t>8 %.</w:t>
      </w:r>
      <w:r>
        <w:rPr>
          <w:rFonts w:cs="Arial"/>
          <w:szCs w:val="20"/>
        </w:rPr>
        <w:t xml:space="preserve"> </w:t>
      </w:r>
      <w:r w:rsidRPr="00941601">
        <w:rPr>
          <w:rFonts w:cs="Arial"/>
          <w:i/>
          <w:szCs w:val="20"/>
        </w:rPr>
        <w:t xml:space="preserve">Podrobněji viz kapitola 3.2 </w:t>
      </w:r>
      <w:r w:rsidRPr="00941601">
        <w:rPr>
          <w:bCs/>
          <w:i/>
          <w:szCs w:val="17"/>
        </w:rPr>
        <w:t>Výdaje domácností na zdravotní péči.</w:t>
      </w:r>
    </w:p>
    <w:p w:rsidR="006067DA" w:rsidRDefault="006067DA" w:rsidP="006067DA">
      <w:pPr>
        <w:keepNext/>
        <w:spacing w:before="240"/>
        <w:jc w:val="both"/>
        <w:rPr>
          <w:rFonts w:cs="Arial"/>
          <w:b/>
          <w:sz w:val="18"/>
          <w:szCs w:val="18"/>
        </w:rPr>
      </w:pPr>
      <w:r w:rsidRPr="00240B6D">
        <w:rPr>
          <w:rFonts w:cs="Arial"/>
          <w:b/>
          <w:sz w:val="18"/>
          <w:szCs w:val="18"/>
        </w:rPr>
        <w:t>Graf č. 2.1 Celkové výdaje na zdravotní péči v Česku, 2010 - 201</w:t>
      </w:r>
      <w:r>
        <w:rPr>
          <w:rFonts w:cs="Arial"/>
          <w:b/>
          <w:sz w:val="18"/>
          <w:szCs w:val="18"/>
        </w:rPr>
        <w:t>7</w:t>
      </w:r>
      <w:r w:rsidRPr="00240B6D">
        <w:rPr>
          <w:rFonts w:cs="Arial"/>
          <w:b/>
          <w:sz w:val="18"/>
          <w:szCs w:val="18"/>
        </w:rPr>
        <w:t xml:space="preserve"> (mld. Kč; podíl na HDP)</w:t>
      </w:r>
    </w:p>
    <w:p w:rsidR="006067DA" w:rsidRDefault="00DE7B9D" w:rsidP="00DF1593">
      <w:pPr>
        <w:keepNext/>
        <w:rPr>
          <w:b/>
          <w:bCs/>
          <w:i/>
          <w:sz w:val="16"/>
          <w:szCs w:val="16"/>
        </w:rPr>
      </w:pPr>
      <w:r>
        <w:rPr>
          <w:b/>
          <w:bCs/>
          <w:i/>
          <w:noProof/>
          <w:sz w:val="16"/>
          <w:szCs w:val="16"/>
        </w:rPr>
        <w:drawing>
          <wp:inline distT="0" distB="0" distL="0" distR="0" wp14:anchorId="14E621A1">
            <wp:extent cx="6084570" cy="28778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2877820"/>
                    </a:xfrm>
                    <a:prstGeom prst="rect">
                      <a:avLst/>
                    </a:prstGeom>
                    <a:noFill/>
                  </pic:spPr>
                </pic:pic>
              </a:graphicData>
            </a:graphic>
          </wp:inline>
        </w:drawing>
      </w:r>
    </w:p>
    <w:p w:rsidR="006067DA" w:rsidRDefault="006067DA" w:rsidP="006067DA">
      <w:pPr>
        <w:keepNext/>
        <w:jc w:val="right"/>
        <w:rPr>
          <w:b/>
          <w:bCs/>
          <w:i/>
          <w:sz w:val="16"/>
          <w:szCs w:val="16"/>
        </w:rPr>
      </w:pPr>
      <w:r w:rsidRPr="00240B6D">
        <w:rPr>
          <w:b/>
          <w:bCs/>
          <w:i/>
          <w:sz w:val="16"/>
          <w:szCs w:val="16"/>
        </w:rPr>
        <w:t>Zdroj: ČSÚ 201</w:t>
      </w:r>
      <w:r>
        <w:rPr>
          <w:b/>
          <w:bCs/>
          <w:i/>
          <w:sz w:val="16"/>
          <w:szCs w:val="16"/>
        </w:rPr>
        <w:t>9</w:t>
      </w:r>
      <w:r w:rsidRPr="00240B6D">
        <w:rPr>
          <w:b/>
          <w:bCs/>
          <w:i/>
          <w:sz w:val="16"/>
          <w:szCs w:val="16"/>
        </w:rPr>
        <w:t xml:space="preserve">, Zdravotnické účty ČR 2010 </w:t>
      </w:r>
      <w:r>
        <w:rPr>
          <w:b/>
          <w:bCs/>
          <w:i/>
          <w:sz w:val="16"/>
          <w:szCs w:val="16"/>
        </w:rPr>
        <w:t>–</w:t>
      </w:r>
      <w:r w:rsidRPr="00240B6D">
        <w:rPr>
          <w:b/>
          <w:bCs/>
          <w:i/>
          <w:sz w:val="16"/>
          <w:szCs w:val="16"/>
        </w:rPr>
        <w:t xml:space="preserve"> 201</w:t>
      </w:r>
      <w:r>
        <w:rPr>
          <w:b/>
          <w:bCs/>
          <w:i/>
          <w:sz w:val="16"/>
          <w:szCs w:val="16"/>
        </w:rPr>
        <w:t>7</w:t>
      </w:r>
    </w:p>
    <w:p w:rsidR="006067DA" w:rsidRDefault="006067DA" w:rsidP="006067DA">
      <w:pPr>
        <w:widowControl w:val="0"/>
        <w:spacing w:before="120"/>
        <w:jc w:val="both"/>
      </w:pPr>
      <w:r w:rsidRPr="00FC7C45">
        <w:t xml:space="preserve">Zatímco v absolutních hodnotách každoročně výdaje na zdravotní péči v Česku rostou, v případě jejich </w:t>
      </w:r>
      <w:r w:rsidRPr="00FC7C45">
        <w:rPr>
          <w:b/>
        </w:rPr>
        <w:t>podílu na HDP</w:t>
      </w:r>
      <w:r w:rsidRPr="00FC7C45">
        <w:t xml:space="preserve"> – základní poměrový ukazatel používaný pro mezinárodní srovnání – došlo po letech stagnace, kdy se tento poměrový ukazatele pohyboval kolem hodnoty 8,4 % HDP, v roce 2014 poprvé k meziročnímu poklesu z 8,41 % na 8,08 %. Klesající trend pokračoval i v dalších letech, a to až do roku 2016, kdy výdaje na zdravotní péči ve vztahu k HDP dosáhly 7,58 %. V těchto letech </w:t>
      </w:r>
      <w:r w:rsidRPr="00DF1593">
        <w:t>tak výdaje</w:t>
      </w:r>
      <w:r w:rsidRPr="00FC7C45">
        <w:t xml:space="preserve"> na zdravotní péči rostly pomalejším tempem, než rostla celá česká ekonomika. Jak ukazuje graf č.</w:t>
      </w:r>
      <w:r w:rsidR="0096414A">
        <w:t> </w:t>
      </w:r>
      <w:r w:rsidRPr="00FC7C45">
        <w:t>2.1, podíl výdajů na zdravotní péči na HDP se v roce 2017 meziročně po čtyřech letech nepatrně (o 0,1 procentního bodu) zvýšil.</w:t>
      </w:r>
      <w:r>
        <w:t xml:space="preserve"> </w:t>
      </w:r>
    </w:p>
    <w:p w:rsidR="00777353" w:rsidRPr="002C5FF0" w:rsidRDefault="00777353" w:rsidP="00777353">
      <w:pPr>
        <w:widowControl w:val="0"/>
        <w:spacing w:before="120"/>
        <w:jc w:val="both"/>
      </w:pPr>
      <w:r w:rsidRPr="002C5FF0">
        <w:lastRenderedPageBreak/>
        <w:t xml:space="preserve">Výdaje na zdravotní péči v České republice </w:t>
      </w:r>
      <w:r w:rsidRPr="002C5FF0">
        <w:rPr>
          <w:b/>
        </w:rPr>
        <w:t>ve vztahu k jejímu HDP</w:t>
      </w:r>
      <w:r w:rsidRPr="002C5FF0">
        <w:t xml:space="preserve"> patří </w:t>
      </w:r>
      <w:r w:rsidRPr="002C5FF0">
        <w:rPr>
          <w:b/>
        </w:rPr>
        <w:t>v rámci zemí EU</w:t>
      </w:r>
      <w:r w:rsidRPr="002C5FF0">
        <w:t xml:space="preserve"> dlouhodobě k těm nižším. V roce 2016 </w:t>
      </w:r>
      <w:r>
        <w:t xml:space="preserve">se přiblížil </w:t>
      </w:r>
      <w:r w:rsidRPr="002C5FF0">
        <w:t xml:space="preserve">průměr za země EU28 u tohoto ukazatele </w:t>
      </w:r>
      <w:r>
        <w:t xml:space="preserve">desetiprocentnímu podílu na </w:t>
      </w:r>
      <w:r w:rsidRPr="002C5FF0">
        <w:t xml:space="preserve">HDP. Podle těchto posledních kompletních údajů za všechny státy Evropské unie, se Česká republika umístila na pomyslném žebříčku zemí EU na 16. místě, tedy v jeho druhé polovině. Bez započtení výdajů ze státního rozpočtu na dlouhodobou sociální péči – které nejsou k dispozici pro mezinárodní srovnání - by byla Česko dokonce až na místě </w:t>
      </w:r>
      <w:r>
        <w:t xml:space="preserve">dvacátém, tj. </w:t>
      </w:r>
      <w:r w:rsidRPr="002C5FF0">
        <w:t xml:space="preserve">na úrovni Chorvatska a Slovenska. </w:t>
      </w:r>
    </w:p>
    <w:p w:rsidR="006067DA" w:rsidRDefault="006067DA" w:rsidP="006067DA">
      <w:pPr>
        <w:keepNext/>
        <w:spacing w:before="240"/>
        <w:jc w:val="both"/>
        <w:rPr>
          <w:rFonts w:cs="Arial"/>
          <w:b/>
          <w:sz w:val="18"/>
          <w:szCs w:val="18"/>
        </w:rPr>
      </w:pPr>
      <w:r w:rsidRPr="00240B6D">
        <w:rPr>
          <w:rFonts w:cs="Arial"/>
          <w:b/>
          <w:sz w:val="18"/>
          <w:szCs w:val="18"/>
        </w:rPr>
        <w:t>Graf č. 2.</w:t>
      </w:r>
      <w:r>
        <w:rPr>
          <w:rFonts w:cs="Arial"/>
          <w:b/>
          <w:sz w:val="18"/>
          <w:szCs w:val="18"/>
        </w:rPr>
        <w:t>2</w:t>
      </w:r>
      <w:r w:rsidRPr="00240B6D">
        <w:rPr>
          <w:rFonts w:cs="Arial"/>
          <w:b/>
          <w:sz w:val="18"/>
          <w:szCs w:val="18"/>
        </w:rPr>
        <w:t xml:space="preserve"> Celkové výdaje na zdravotní péči v</w:t>
      </w:r>
      <w:r>
        <w:rPr>
          <w:rFonts w:cs="Arial"/>
          <w:b/>
          <w:sz w:val="18"/>
          <w:szCs w:val="18"/>
        </w:rPr>
        <w:t>e vybraných zemích EU</w:t>
      </w:r>
      <w:r w:rsidRPr="00240B6D">
        <w:rPr>
          <w:rFonts w:cs="Arial"/>
          <w:b/>
          <w:sz w:val="18"/>
          <w:szCs w:val="18"/>
        </w:rPr>
        <w:t> </w:t>
      </w:r>
      <w:r>
        <w:rPr>
          <w:rFonts w:cs="Arial"/>
          <w:b/>
          <w:sz w:val="18"/>
          <w:szCs w:val="18"/>
        </w:rPr>
        <w:t>v roce 2016</w:t>
      </w:r>
      <w:r w:rsidR="00640637">
        <w:rPr>
          <w:rFonts w:cs="Arial"/>
          <w:b/>
          <w:sz w:val="18"/>
          <w:szCs w:val="18"/>
        </w:rPr>
        <w:t>*</w:t>
      </w:r>
    </w:p>
    <w:p w:rsidR="006067DA" w:rsidRPr="008B3941" w:rsidRDefault="006067DA" w:rsidP="006067DA">
      <w:pPr>
        <w:keepNext/>
        <w:tabs>
          <w:tab w:val="left" w:pos="142"/>
          <w:tab w:val="left" w:pos="4962"/>
        </w:tabs>
        <w:spacing w:before="120"/>
        <w:rPr>
          <w:rFonts w:cs="Arial"/>
          <w:b/>
          <w:i/>
          <w:sz w:val="18"/>
          <w:szCs w:val="18"/>
        </w:rPr>
      </w:pPr>
      <w:r w:rsidRPr="008B3941">
        <w:rPr>
          <w:rFonts w:cs="Arial"/>
          <w:b/>
          <w:i/>
          <w:sz w:val="18"/>
          <w:szCs w:val="18"/>
        </w:rPr>
        <w:tab/>
        <w:t xml:space="preserve">a) podíl na HDP v % </w:t>
      </w:r>
      <w:r w:rsidRPr="008B3941">
        <w:rPr>
          <w:rFonts w:cs="Arial"/>
          <w:b/>
          <w:i/>
          <w:sz w:val="18"/>
          <w:szCs w:val="18"/>
        </w:rPr>
        <w:tab/>
        <w:t xml:space="preserve">b) na obyvatele v EUR </w:t>
      </w:r>
    </w:p>
    <w:p w:rsidR="006067DA" w:rsidRDefault="00DE7B9D" w:rsidP="006067DA">
      <w:pPr>
        <w:widowControl w:val="0"/>
        <w:jc w:val="both"/>
        <w:rPr>
          <w:noProof/>
          <w:lang w:val="en-US" w:eastAsia="en-US"/>
        </w:rPr>
      </w:pPr>
      <w:r>
        <w:rPr>
          <w:noProof/>
        </w:rPr>
        <w:drawing>
          <wp:inline distT="0" distB="0" distL="0" distR="0" wp14:anchorId="36A5335C">
            <wp:extent cx="3035935" cy="27127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5935" cy="2712720"/>
                    </a:xfrm>
                    <a:prstGeom prst="rect">
                      <a:avLst/>
                    </a:prstGeom>
                    <a:noFill/>
                  </pic:spPr>
                </pic:pic>
              </a:graphicData>
            </a:graphic>
          </wp:inline>
        </w:drawing>
      </w:r>
      <w:r w:rsidR="006067DA" w:rsidRPr="008B3941">
        <w:rPr>
          <w:noProof/>
          <w:lang w:val="en-US" w:eastAsia="en-US"/>
        </w:rPr>
        <w:t xml:space="preserve"> </w:t>
      </w:r>
      <w:r>
        <w:rPr>
          <w:noProof/>
        </w:rPr>
        <w:drawing>
          <wp:inline distT="0" distB="0" distL="0" distR="0" wp14:anchorId="59E47265">
            <wp:extent cx="3035935" cy="271272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935" cy="2712720"/>
                    </a:xfrm>
                    <a:prstGeom prst="rect">
                      <a:avLst/>
                    </a:prstGeom>
                    <a:noFill/>
                  </pic:spPr>
                </pic:pic>
              </a:graphicData>
            </a:graphic>
          </wp:inline>
        </w:drawing>
      </w:r>
    </w:p>
    <w:p w:rsidR="006067DA" w:rsidRPr="00FC7C45" w:rsidRDefault="006067DA" w:rsidP="006067DA">
      <w:pPr>
        <w:keepNext/>
        <w:jc w:val="both"/>
        <w:rPr>
          <w:bCs/>
          <w:i/>
          <w:sz w:val="16"/>
          <w:szCs w:val="16"/>
        </w:rPr>
      </w:pPr>
      <w:r w:rsidRPr="00FC7C45">
        <w:rPr>
          <w:bCs/>
          <w:i/>
          <w:sz w:val="16"/>
          <w:szCs w:val="16"/>
        </w:rPr>
        <w:t>*</w:t>
      </w:r>
      <w:r w:rsidR="00DF1593">
        <w:rPr>
          <w:bCs/>
          <w:i/>
          <w:sz w:val="16"/>
          <w:szCs w:val="16"/>
        </w:rPr>
        <w:t xml:space="preserve"> </w:t>
      </w:r>
      <w:r w:rsidRPr="00FC7C45">
        <w:rPr>
          <w:bCs/>
          <w:i/>
          <w:sz w:val="16"/>
          <w:szCs w:val="16"/>
        </w:rPr>
        <w:t xml:space="preserve">Bez započtení </w:t>
      </w:r>
      <w:r>
        <w:rPr>
          <w:bCs/>
          <w:i/>
          <w:sz w:val="16"/>
          <w:szCs w:val="16"/>
        </w:rPr>
        <w:t>výdajů</w:t>
      </w:r>
      <w:r w:rsidRPr="00FC7C45">
        <w:rPr>
          <w:bCs/>
          <w:i/>
          <w:sz w:val="16"/>
          <w:szCs w:val="16"/>
        </w:rPr>
        <w:t xml:space="preserve"> na dlouhodobou </w:t>
      </w:r>
      <w:r w:rsidRPr="002C5FF0">
        <w:rPr>
          <w:bCs/>
          <w:i/>
          <w:sz w:val="16"/>
          <w:szCs w:val="16"/>
        </w:rPr>
        <w:t>sociální</w:t>
      </w:r>
      <w:r w:rsidRPr="00FC7C45">
        <w:rPr>
          <w:bCs/>
          <w:i/>
          <w:sz w:val="16"/>
          <w:szCs w:val="16"/>
        </w:rPr>
        <w:t xml:space="preserve"> </w:t>
      </w:r>
      <w:r>
        <w:rPr>
          <w:bCs/>
          <w:i/>
          <w:sz w:val="16"/>
          <w:szCs w:val="16"/>
        </w:rPr>
        <w:t xml:space="preserve">péči </w:t>
      </w:r>
      <w:r w:rsidRPr="00FC7C45">
        <w:rPr>
          <w:bCs/>
          <w:i/>
          <w:sz w:val="16"/>
          <w:szCs w:val="16"/>
        </w:rPr>
        <w:t xml:space="preserve">ze státního rozpočtu – jde především o peněžité dávky pro osoby </w:t>
      </w:r>
      <w:r>
        <w:rPr>
          <w:bCs/>
          <w:i/>
          <w:sz w:val="16"/>
          <w:szCs w:val="16"/>
        </w:rPr>
        <w:t>zdravotně postižené a výdaje na sociální služby např. chráněné bydlení, sociální rehabilitaci, terapeutické komunity apod. Vzhledem k tomu, že většina zemí EU nevykazuje výdaje za dlouhodobou péči sociální</w:t>
      </w:r>
      <w:r w:rsidRPr="00FC7C45">
        <w:rPr>
          <w:bCs/>
          <w:i/>
          <w:sz w:val="16"/>
          <w:szCs w:val="16"/>
        </w:rPr>
        <w:t xml:space="preserve">, nejsou v současné době započítávány pro mezinárodní srovnání do celkových výdajů na zdravotní péči.  </w:t>
      </w:r>
    </w:p>
    <w:p w:rsidR="006067DA" w:rsidRPr="00FC7C45" w:rsidRDefault="006067DA" w:rsidP="006067DA">
      <w:pPr>
        <w:keepNext/>
        <w:jc w:val="right"/>
        <w:rPr>
          <w:b/>
          <w:bCs/>
          <w:i/>
          <w:sz w:val="16"/>
          <w:szCs w:val="16"/>
        </w:rPr>
      </w:pPr>
      <w:r w:rsidRPr="00FC7C45">
        <w:rPr>
          <w:b/>
          <w:bCs/>
          <w:i/>
          <w:sz w:val="16"/>
          <w:szCs w:val="16"/>
        </w:rPr>
        <w:t>Zdroj: Eurostat 2019 a vlastní dopočty ČSÚ</w:t>
      </w:r>
    </w:p>
    <w:p w:rsidR="006067DA" w:rsidRPr="00320E92" w:rsidRDefault="006067DA" w:rsidP="00320E92">
      <w:pPr>
        <w:widowControl w:val="0"/>
        <w:spacing w:before="120"/>
        <w:jc w:val="both"/>
        <w:rPr>
          <w:rFonts w:cs="Arial"/>
          <w:i/>
          <w:szCs w:val="20"/>
        </w:rPr>
      </w:pPr>
      <w:r w:rsidRPr="00320E92">
        <w:t xml:space="preserve">Více jak 10 % ve vztahu k HDP ze zemí EU vydalo na zdravotní péči </w:t>
      </w:r>
      <w:r w:rsidR="00777353" w:rsidRPr="00320E92">
        <w:t>6</w:t>
      </w:r>
      <w:r w:rsidRPr="00320E92">
        <w:t xml:space="preserve"> zemí, ale pouze Německo a Francie překročili hranici 11 %. Nejméně </w:t>
      </w:r>
      <w:r w:rsidR="00777353" w:rsidRPr="00320E92">
        <w:t xml:space="preserve">– polovinu toho co je celoevropský průměr - </w:t>
      </w:r>
      <w:r w:rsidRPr="00320E92">
        <w:t xml:space="preserve">na zdravotní péči ve vztahu k jejich HDP </w:t>
      </w:r>
      <w:r w:rsidR="00777353" w:rsidRPr="00320E92">
        <w:t xml:space="preserve">bylo v roce 2016 vydáno v </w:t>
      </w:r>
      <w:r w:rsidRPr="00320E92">
        <w:t>Rumunsk</w:t>
      </w:r>
      <w:r w:rsidR="00777353" w:rsidRPr="00320E92">
        <w:t>u</w:t>
      </w:r>
      <w:r w:rsidRPr="00320E92">
        <w:t xml:space="preserve"> (5,0 %). Z ostatních sousedních států překročilo průměrnou hodnotu EU také Rakousko (10,4 %). </w:t>
      </w:r>
      <w:r w:rsidR="00777353" w:rsidRPr="00320E92">
        <w:t xml:space="preserve">Nejen Česko, ale další dva naši sousední státy, </w:t>
      </w:r>
      <w:r w:rsidRPr="00320E92">
        <w:t xml:space="preserve">Slovensko s hodnotou 7,1 % a Polsko </w:t>
      </w:r>
      <w:r w:rsidR="00777353" w:rsidRPr="00320E92">
        <w:t>(</w:t>
      </w:r>
      <w:r w:rsidRPr="00320E92">
        <w:t>6,5 %</w:t>
      </w:r>
      <w:r w:rsidR="00777353" w:rsidRPr="00320E92">
        <w:t>)</w:t>
      </w:r>
      <w:r w:rsidRPr="00320E92">
        <w:t xml:space="preserve"> zůstaly daleko pod průměrem zemí EU. Ze zemí mimo EU, dlouhodobě nejvíce finančních prostředků na zdravotní péči ve vztahu k HDP vydávají Spojené státy (17,1 % v roce 2016) a dále pak s odstupem Švýcarsko (12,3 %) a Japonsko (10,8 %). </w:t>
      </w:r>
      <w:r w:rsidRPr="00320E92">
        <w:rPr>
          <w:rFonts w:cs="Arial"/>
          <w:i/>
          <w:szCs w:val="20"/>
        </w:rPr>
        <w:t>Podrobněji viz kapitola 4 Mezinárodní srovnání.</w:t>
      </w:r>
    </w:p>
    <w:p w:rsidR="00DF1593" w:rsidRDefault="00777353" w:rsidP="00320E92">
      <w:pPr>
        <w:widowControl w:val="0"/>
        <w:spacing w:before="120"/>
        <w:jc w:val="both"/>
        <w:rPr>
          <w:bCs/>
          <w:szCs w:val="20"/>
        </w:rPr>
      </w:pPr>
      <w:r w:rsidRPr="00320E92">
        <w:rPr>
          <w:bCs/>
          <w:szCs w:val="20"/>
        </w:rPr>
        <w:t xml:space="preserve">Kromě podílu celkových výdajů na zdravotní péči na HDP, který je ovlivněn jak rozdílnou výší HDP v jednotlivých zemích tak specifikou jejich ekonomik, se pro mezinárodní srovnání vyjadřují celkové výdaje na zdravotní péči připadající na jednoho obyvatele ať už prostřednictvím směnného kurzu nebo v paritě kupní síly. </w:t>
      </w:r>
      <w:r w:rsidR="00DF1593" w:rsidRPr="00DF1593">
        <w:rPr>
          <w:bCs/>
          <w:szCs w:val="20"/>
        </w:rPr>
        <w:t xml:space="preserve">V tomto porovnání sice úroveň ČR převyšuje blízké země Polsko, Maďarsko a Slovensko, ale nedosahuje úrovně většiny ostatních evropských zemí. </w:t>
      </w:r>
    </w:p>
    <w:p w:rsidR="006067DA" w:rsidRPr="00906778" w:rsidRDefault="00777353" w:rsidP="00320E92">
      <w:pPr>
        <w:widowControl w:val="0"/>
        <w:spacing w:before="120"/>
        <w:jc w:val="both"/>
      </w:pPr>
      <w:r w:rsidRPr="00320E92">
        <w:rPr>
          <w:bCs/>
          <w:szCs w:val="20"/>
        </w:rPr>
        <w:t>P</w:t>
      </w:r>
      <w:r w:rsidR="006067DA" w:rsidRPr="00320E92">
        <w:rPr>
          <w:bCs/>
          <w:szCs w:val="20"/>
        </w:rPr>
        <w:t xml:space="preserve">růměrné výdaje na zdravotní péči vztažené </w:t>
      </w:r>
      <w:r w:rsidR="006067DA" w:rsidRPr="00320E92">
        <w:rPr>
          <w:b/>
          <w:bCs/>
          <w:szCs w:val="20"/>
        </w:rPr>
        <w:t>na jednoho obyvatele</w:t>
      </w:r>
      <w:r w:rsidR="006067DA" w:rsidRPr="00320E92">
        <w:rPr>
          <w:bCs/>
          <w:szCs w:val="20"/>
        </w:rPr>
        <w:t xml:space="preserve"> ČR vzrostly od roku 2010 z 31 767 Kč na 36 582 Kč v roce 2017 (tj. o 15,1 %; 4,8 tis. Kč). V mezinárodním srovnání při přepočtu na eura, jsou výdaje na zdravotní péči přepočtené na 1 obyvatele například ve Švédsku nebo v Dánsku - kde v roce 2016 dosáhly cca 5 tisíc EUR – více než 4násobné v porovnání s Českou republikou, kde dosáhly 1,2 tisíce EUR bez započtení výdajů na dlouhodobou sociální péči. I v Německu a v Rakousku je tento ukazatel cca 3,5krát vyšší než u nás. Naopak v Česku vydáváme na zdravotní péči na 1 obyvatele více než na Slovensku (o</w:t>
      </w:r>
      <w:r w:rsidR="006067DA" w:rsidRPr="002C5FF0">
        <w:rPr>
          <w:bCs/>
          <w:szCs w:val="20"/>
        </w:rPr>
        <w:t xml:space="preserve"> 13 %), v Maďarsku (o 40 %) </w:t>
      </w:r>
      <w:r>
        <w:rPr>
          <w:bCs/>
          <w:szCs w:val="20"/>
        </w:rPr>
        <w:t xml:space="preserve">či </w:t>
      </w:r>
      <w:r w:rsidR="00320E92">
        <w:rPr>
          <w:bCs/>
          <w:szCs w:val="20"/>
        </w:rPr>
        <w:t xml:space="preserve">v Polsku (o 63 %). </w:t>
      </w:r>
      <w:r w:rsidR="006067DA" w:rsidRPr="002C5FF0">
        <w:rPr>
          <w:bCs/>
          <w:szCs w:val="20"/>
        </w:rPr>
        <w:t>Průměr zemí EU na jednoho obyvatele dosáhl v roce 2016 hodnoty 2,</w:t>
      </w:r>
      <w:r>
        <w:rPr>
          <w:bCs/>
          <w:szCs w:val="20"/>
        </w:rPr>
        <w:t>9</w:t>
      </w:r>
      <w:r w:rsidR="006067DA" w:rsidRPr="002C5FF0">
        <w:rPr>
          <w:bCs/>
          <w:szCs w:val="20"/>
        </w:rPr>
        <w:t xml:space="preserve"> tisíce EUR.</w:t>
      </w:r>
      <w:r>
        <w:rPr>
          <w:bCs/>
          <w:szCs w:val="20"/>
        </w:rPr>
        <w:t xml:space="preserve"> </w:t>
      </w:r>
      <w:r w:rsidRPr="00941601">
        <w:rPr>
          <w:rFonts w:cs="Arial"/>
          <w:i/>
          <w:szCs w:val="20"/>
        </w:rPr>
        <w:t>Podrobněji viz kapitola 4</w:t>
      </w:r>
      <w:r>
        <w:rPr>
          <w:rFonts w:cs="Arial"/>
          <w:i/>
          <w:szCs w:val="20"/>
        </w:rPr>
        <w:t xml:space="preserve"> Mezinárodní srovnání.</w:t>
      </w:r>
    </w:p>
    <w:p w:rsidR="006067DA" w:rsidRPr="00240B6D" w:rsidRDefault="006067DA" w:rsidP="006067DA">
      <w:pPr>
        <w:keepNext/>
        <w:keepLines/>
        <w:pageBreakBefore/>
        <w:spacing w:before="240" w:after="120"/>
        <w:outlineLvl w:val="1"/>
        <w:rPr>
          <w:rFonts w:eastAsia="MS Gothic"/>
          <w:b/>
          <w:bCs/>
          <w:color w:val="BC091B"/>
          <w:sz w:val="28"/>
          <w:szCs w:val="26"/>
        </w:rPr>
      </w:pPr>
      <w:bookmarkStart w:id="4" w:name="_Toc481748786"/>
      <w:r w:rsidRPr="00240B6D">
        <w:rPr>
          <w:rFonts w:eastAsia="MS Gothic"/>
          <w:b/>
          <w:bCs/>
          <w:color w:val="BC091B"/>
          <w:sz w:val="28"/>
          <w:szCs w:val="26"/>
        </w:rPr>
        <w:lastRenderedPageBreak/>
        <w:t>2.2 Výdaje na zdravotní péči dle zdrojů financování</w:t>
      </w:r>
      <w:bookmarkEnd w:id="4"/>
      <w:r w:rsidRPr="00240B6D">
        <w:rPr>
          <w:rFonts w:eastAsia="MS Gothic"/>
          <w:b/>
          <w:bCs/>
          <w:color w:val="BC091B"/>
          <w:sz w:val="28"/>
          <w:szCs w:val="26"/>
        </w:rPr>
        <w:t xml:space="preserve"> </w:t>
      </w:r>
    </w:p>
    <w:p w:rsidR="006067DA" w:rsidRPr="00240B6D" w:rsidRDefault="003C1109" w:rsidP="006067DA">
      <w:pPr>
        <w:keepNext/>
        <w:jc w:val="both"/>
        <w:rPr>
          <w:bCs/>
          <w:szCs w:val="20"/>
        </w:rPr>
      </w:pPr>
      <w:r>
        <w:rPr>
          <w:bCs/>
          <w:szCs w:val="20"/>
        </w:rPr>
        <w:t>Mezinárodní m</w:t>
      </w:r>
      <w:r w:rsidR="006067DA" w:rsidRPr="00240B6D">
        <w:rPr>
          <w:bCs/>
          <w:szCs w:val="20"/>
        </w:rPr>
        <w:t xml:space="preserve">anuál SHA 2011 k zdravotnickým účtům </w:t>
      </w:r>
      <w:r w:rsidR="006067DA">
        <w:rPr>
          <w:bCs/>
          <w:szCs w:val="20"/>
        </w:rPr>
        <w:t>definuje</w:t>
      </w:r>
      <w:r w:rsidR="006067DA" w:rsidRPr="00240B6D">
        <w:rPr>
          <w:bCs/>
          <w:szCs w:val="20"/>
        </w:rPr>
        <w:t xml:space="preserve"> tři základní </w:t>
      </w:r>
      <w:r w:rsidR="006067DA" w:rsidRPr="00240B6D">
        <w:rPr>
          <w:b/>
          <w:bCs/>
          <w:szCs w:val="20"/>
        </w:rPr>
        <w:t>zdroje financování</w:t>
      </w:r>
      <w:r w:rsidR="006067DA" w:rsidRPr="00240B6D">
        <w:rPr>
          <w:bCs/>
          <w:szCs w:val="20"/>
        </w:rPr>
        <w:t xml:space="preserve"> zdravotní péče</w:t>
      </w:r>
      <w:r w:rsidR="006067DA">
        <w:rPr>
          <w:bCs/>
          <w:szCs w:val="20"/>
        </w:rPr>
        <w:t>,</w:t>
      </w:r>
      <w:r w:rsidR="006067DA" w:rsidRPr="00240B6D">
        <w:rPr>
          <w:bCs/>
          <w:szCs w:val="20"/>
        </w:rPr>
        <w:t xml:space="preserve"> a to: </w:t>
      </w:r>
    </w:p>
    <w:p w:rsidR="006067DA" w:rsidRPr="00240B6D" w:rsidRDefault="006067DA" w:rsidP="006067DA">
      <w:pPr>
        <w:keepNext/>
        <w:numPr>
          <w:ilvl w:val="0"/>
          <w:numId w:val="20"/>
        </w:numPr>
        <w:tabs>
          <w:tab w:val="left" w:pos="426"/>
        </w:tabs>
        <w:ind w:left="851" w:hanging="851"/>
        <w:jc w:val="both"/>
        <w:rPr>
          <w:bCs/>
          <w:szCs w:val="20"/>
        </w:rPr>
      </w:pPr>
      <w:r w:rsidRPr="00240B6D">
        <w:rPr>
          <w:bCs/>
          <w:szCs w:val="20"/>
        </w:rPr>
        <w:t>veřejné zdroje</w:t>
      </w:r>
      <w:r>
        <w:rPr>
          <w:bCs/>
          <w:szCs w:val="20"/>
        </w:rPr>
        <w:t>,</w:t>
      </w:r>
      <w:r w:rsidRPr="00240B6D">
        <w:rPr>
          <w:bCs/>
          <w:szCs w:val="20"/>
        </w:rPr>
        <w:t xml:space="preserve"> </w:t>
      </w:r>
    </w:p>
    <w:p w:rsidR="006067DA" w:rsidRPr="00240B6D" w:rsidRDefault="006067DA" w:rsidP="006067DA">
      <w:pPr>
        <w:keepNext/>
        <w:numPr>
          <w:ilvl w:val="0"/>
          <w:numId w:val="20"/>
        </w:numPr>
        <w:tabs>
          <w:tab w:val="left" w:pos="426"/>
        </w:tabs>
        <w:ind w:left="851" w:hanging="851"/>
        <w:jc w:val="both"/>
        <w:rPr>
          <w:bCs/>
          <w:szCs w:val="20"/>
        </w:rPr>
      </w:pPr>
      <w:r w:rsidRPr="00240B6D">
        <w:rPr>
          <w:bCs/>
          <w:szCs w:val="20"/>
        </w:rPr>
        <w:t>soukromé zdroje bez přímých plateb domácností</w:t>
      </w:r>
      <w:r>
        <w:rPr>
          <w:bCs/>
          <w:szCs w:val="20"/>
        </w:rPr>
        <w:t>,</w:t>
      </w:r>
    </w:p>
    <w:p w:rsidR="006067DA" w:rsidRPr="00240B6D" w:rsidRDefault="006067DA" w:rsidP="006067DA">
      <w:pPr>
        <w:keepNext/>
        <w:numPr>
          <w:ilvl w:val="0"/>
          <w:numId w:val="20"/>
        </w:numPr>
        <w:tabs>
          <w:tab w:val="left" w:pos="426"/>
        </w:tabs>
        <w:ind w:left="851" w:hanging="851"/>
        <w:jc w:val="both"/>
        <w:rPr>
          <w:bCs/>
          <w:szCs w:val="20"/>
        </w:rPr>
      </w:pPr>
      <w:r w:rsidRPr="00240B6D">
        <w:rPr>
          <w:bCs/>
          <w:szCs w:val="20"/>
        </w:rPr>
        <w:t>přímé platby domácností</w:t>
      </w:r>
      <w:r>
        <w:rPr>
          <w:bCs/>
          <w:szCs w:val="20"/>
        </w:rPr>
        <w:t>.</w:t>
      </w:r>
    </w:p>
    <w:p w:rsidR="006067DA" w:rsidRDefault="006067DA" w:rsidP="006067DA">
      <w:pPr>
        <w:keepNext/>
        <w:spacing w:before="120"/>
        <w:jc w:val="both"/>
        <w:rPr>
          <w:bCs/>
          <w:szCs w:val="20"/>
        </w:rPr>
      </w:pPr>
      <w:r w:rsidRPr="00240B6D">
        <w:rPr>
          <w:bCs/>
          <w:szCs w:val="20"/>
        </w:rPr>
        <w:t xml:space="preserve">Do prvně jmenované skupiny – veřejné zdroje – patří především finanční prostředky získané v rámci </w:t>
      </w:r>
      <w:r w:rsidRPr="00240B6D">
        <w:rPr>
          <w:b/>
          <w:bCs/>
          <w:szCs w:val="20"/>
        </w:rPr>
        <w:t>povinného zdravotního pojištění</w:t>
      </w:r>
      <w:r w:rsidRPr="00240B6D">
        <w:rPr>
          <w:bCs/>
          <w:szCs w:val="20"/>
        </w:rPr>
        <w:t xml:space="preserve"> </w:t>
      </w:r>
      <w:r w:rsidRPr="003C1109">
        <w:rPr>
          <w:bCs/>
          <w:i/>
          <w:szCs w:val="20"/>
        </w:rPr>
        <w:t>(podrobněji viz kapitola 3.1)</w:t>
      </w:r>
      <w:r w:rsidRPr="00240B6D">
        <w:rPr>
          <w:bCs/>
          <w:szCs w:val="20"/>
        </w:rPr>
        <w:t xml:space="preserve"> a dále prostředky z veřejných rozpočtů, které zahrnují jak finanční zdroje získané na zdravotní péči přímo ze </w:t>
      </w:r>
      <w:r w:rsidRPr="00240B6D">
        <w:rPr>
          <w:b/>
          <w:bCs/>
          <w:szCs w:val="20"/>
        </w:rPr>
        <w:t>státního rozpočtu</w:t>
      </w:r>
      <w:r w:rsidRPr="00240B6D">
        <w:rPr>
          <w:bCs/>
          <w:szCs w:val="20"/>
        </w:rPr>
        <w:t xml:space="preserve"> - nejčastěji z kapitoly </w:t>
      </w:r>
      <w:r>
        <w:rPr>
          <w:bCs/>
          <w:szCs w:val="20"/>
        </w:rPr>
        <w:t>MZ</w:t>
      </w:r>
      <w:r w:rsidRPr="00240B6D">
        <w:rPr>
          <w:bCs/>
          <w:szCs w:val="20"/>
        </w:rPr>
        <w:t xml:space="preserve"> ČR a MPSV, tak zdroje místních rozpočtů</w:t>
      </w:r>
      <w:r>
        <w:rPr>
          <w:bCs/>
          <w:szCs w:val="20"/>
        </w:rPr>
        <w:t>,</w:t>
      </w:r>
      <w:r w:rsidRPr="00240B6D">
        <w:rPr>
          <w:bCs/>
          <w:szCs w:val="20"/>
        </w:rPr>
        <w:t xml:space="preserve"> kam patří především zdroje získané na zdravotní péči z </w:t>
      </w:r>
      <w:r w:rsidRPr="00240B6D">
        <w:rPr>
          <w:b/>
          <w:bCs/>
          <w:szCs w:val="20"/>
        </w:rPr>
        <w:t>krajských rozpočtů</w:t>
      </w:r>
      <w:r w:rsidRPr="00240B6D">
        <w:rPr>
          <w:bCs/>
          <w:szCs w:val="20"/>
        </w:rPr>
        <w:t>.</w:t>
      </w:r>
    </w:p>
    <w:p w:rsidR="003C1109" w:rsidRDefault="006067DA" w:rsidP="006067DA">
      <w:pPr>
        <w:keepNext/>
        <w:spacing w:before="120"/>
        <w:jc w:val="both"/>
        <w:rPr>
          <w:bCs/>
          <w:szCs w:val="20"/>
        </w:rPr>
      </w:pPr>
      <w:r w:rsidRPr="00240B6D">
        <w:rPr>
          <w:bCs/>
          <w:szCs w:val="20"/>
        </w:rPr>
        <w:t xml:space="preserve">Do soukromých zdrojů (bez přímých plateb domácností) jsou zahrnuty </w:t>
      </w:r>
      <w:r w:rsidRPr="00240B6D">
        <w:rPr>
          <w:b/>
          <w:bCs/>
          <w:szCs w:val="20"/>
        </w:rPr>
        <w:t>dobrovolné platby</w:t>
      </w:r>
      <w:r w:rsidRPr="00240B6D">
        <w:rPr>
          <w:bCs/>
          <w:szCs w:val="20"/>
        </w:rPr>
        <w:t xml:space="preserve"> na zdravotní péči </w:t>
      </w:r>
      <w:r w:rsidRPr="00240B6D">
        <w:rPr>
          <w:b/>
          <w:bCs/>
          <w:szCs w:val="20"/>
        </w:rPr>
        <w:t>neziskových institucí</w:t>
      </w:r>
      <w:r w:rsidRPr="00240B6D">
        <w:rPr>
          <w:bCs/>
          <w:szCs w:val="20"/>
        </w:rPr>
        <w:t xml:space="preserve">, </w:t>
      </w:r>
      <w:r w:rsidRPr="00240B6D">
        <w:rPr>
          <w:b/>
          <w:bCs/>
          <w:szCs w:val="20"/>
        </w:rPr>
        <w:t>soukromé zdravotní pojištění</w:t>
      </w:r>
      <w:r w:rsidRPr="00240B6D">
        <w:rPr>
          <w:bCs/>
          <w:szCs w:val="20"/>
        </w:rPr>
        <w:t xml:space="preserve"> a </w:t>
      </w:r>
      <w:r w:rsidRPr="00240B6D">
        <w:rPr>
          <w:b/>
          <w:bCs/>
          <w:szCs w:val="20"/>
        </w:rPr>
        <w:t>závodní (podniková) preventivní péče</w:t>
      </w:r>
      <w:r w:rsidRPr="00240B6D">
        <w:rPr>
          <w:bCs/>
          <w:szCs w:val="20"/>
        </w:rPr>
        <w:t xml:space="preserve">. </w:t>
      </w:r>
    </w:p>
    <w:p w:rsidR="006067DA" w:rsidRPr="00240B6D" w:rsidRDefault="006067DA" w:rsidP="006067DA">
      <w:pPr>
        <w:keepNext/>
        <w:spacing w:before="120"/>
        <w:jc w:val="both"/>
        <w:rPr>
          <w:bCs/>
          <w:szCs w:val="20"/>
        </w:rPr>
      </w:pPr>
      <w:r w:rsidRPr="00240B6D">
        <w:rPr>
          <w:bCs/>
          <w:szCs w:val="20"/>
        </w:rPr>
        <w:t xml:space="preserve">Přímé platby domácností </w:t>
      </w:r>
      <w:r w:rsidRPr="003C1109">
        <w:rPr>
          <w:bCs/>
          <w:i/>
          <w:szCs w:val="20"/>
        </w:rPr>
        <w:t>(podrobněji viz kapitola 3.2)</w:t>
      </w:r>
      <w:r w:rsidRPr="00240B6D">
        <w:rPr>
          <w:bCs/>
          <w:szCs w:val="20"/>
        </w:rPr>
        <w:t xml:space="preserve"> zahrnují </w:t>
      </w:r>
      <w:r w:rsidRPr="00240B6D">
        <w:rPr>
          <w:b/>
          <w:bCs/>
          <w:szCs w:val="20"/>
        </w:rPr>
        <w:t>přímé výdaje příjemců zdravotní péče (pacientů)</w:t>
      </w:r>
      <w:r w:rsidRPr="00240B6D">
        <w:rPr>
          <w:bCs/>
          <w:szCs w:val="20"/>
        </w:rPr>
        <w:t xml:space="preserve"> nebo jejich případnou </w:t>
      </w:r>
      <w:r w:rsidRPr="00240B6D">
        <w:rPr>
          <w:b/>
          <w:bCs/>
          <w:szCs w:val="20"/>
        </w:rPr>
        <w:t>spoluúčast</w:t>
      </w:r>
      <w:r w:rsidRPr="00240B6D">
        <w:rPr>
          <w:bCs/>
          <w:szCs w:val="20"/>
        </w:rPr>
        <w:t xml:space="preserve">. </w:t>
      </w:r>
    </w:p>
    <w:p w:rsidR="006067DA" w:rsidRDefault="006067DA" w:rsidP="006067DA">
      <w:pPr>
        <w:keepNext/>
        <w:spacing w:before="240" w:after="120" w:line="240" w:lineRule="auto"/>
        <w:jc w:val="both"/>
        <w:rPr>
          <w:b/>
          <w:bCs/>
          <w:sz w:val="18"/>
          <w:szCs w:val="18"/>
        </w:rPr>
      </w:pPr>
      <w:bookmarkStart w:id="5" w:name="OLE_LINK2"/>
      <w:r w:rsidRPr="00240B6D">
        <w:rPr>
          <w:b/>
          <w:bCs/>
          <w:sz w:val="18"/>
          <w:szCs w:val="18"/>
        </w:rPr>
        <w:t>Tab. 2.1 Výdaje na zdravotní péči v Česku podle zdrojů financování, 2010</w:t>
      </w:r>
      <w:r>
        <w:rPr>
          <w:b/>
          <w:bCs/>
          <w:sz w:val="18"/>
          <w:szCs w:val="18"/>
        </w:rPr>
        <w:t xml:space="preserve"> a 2013</w:t>
      </w:r>
      <w:r w:rsidRPr="00240B6D">
        <w:rPr>
          <w:b/>
          <w:bCs/>
          <w:sz w:val="18"/>
          <w:szCs w:val="18"/>
        </w:rPr>
        <w:t xml:space="preserve"> </w:t>
      </w:r>
      <w:r>
        <w:rPr>
          <w:b/>
          <w:bCs/>
          <w:sz w:val="18"/>
          <w:szCs w:val="18"/>
        </w:rPr>
        <w:t>až</w:t>
      </w:r>
      <w:r w:rsidRPr="00240B6D">
        <w:rPr>
          <w:b/>
          <w:bCs/>
          <w:sz w:val="18"/>
          <w:szCs w:val="18"/>
        </w:rPr>
        <w:t xml:space="preserve"> 201</w:t>
      </w:r>
      <w:r>
        <w:rPr>
          <w:b/>
          <w:bCs/>
          <w:sz w:val="18"/>
          <w:szCs w:val="18"/>
        </w:rPr>
        <w:t>7</w:t>
      </w:r>
      <w:r w:rsidRPr="00240B6D">
        <w:rPr>
          <w:b/>
          <w:bCs/>
          <w:sz w:val="18"/>
          <w:szCs w:val="18"/>
        </w:rPr>
        <w:t xml:space="preserve"> (mil. Kč)</w:t>
      </w:r>
    </w:p>
    <w:tbl>
      <w:tblPr>
        <w:tblW w:w="9694" w:type="dxa"/>
        <w:tblInd w:w="27" w:type="dxa"/>
        <w:tblLayout w:type="fixed"/>
        <w:tblCellMar>
          <w:left w:w="70" w:type="dxa"/>
          <w:right w:w="70" w:type="dxa"/>
        </w:tblCellMar>
        <w:tblLook w:val="04A0" w:firstRow="1" w:lastRow="0" w:firstColumn="1" w:lastColumn="0" w:noHBand="0" w:noVBand="1"/>
      </w:tblPr>
      <w:tblGrid>
        <w:gridCol w:w="3087"/>
        <w:gridCol w:w="943"/>
        <w:gridCol w:w="944"/>
        <w:gridCol w:w="944"/>
        <w:gridCol w:w="944"/>
        <w:gridCol w:w="944"/>
        <w:gridCol w:w="944"/>
        <w:gridCol w:w="944"/>
      </w:tblGrid>
      <w:tr w:rsidR="006067DA" w:rsidRPr="00AB24DE" w:rsidTr="00437926">
        <w:trPr>
          <w:trHeight w:val="571"/>
        </w:trPr>
        <w:tc>
          <w:tcPr>
            <w:tcW w:w="3087" w:type="dxa"/>
            <w:tcBorders>
              <w:top w:val="single" w:sz="8" w:space="0" w:color="auto"/>
              <w:left w:val="nil"/>
              <w:bottom w:val="single" w:sz="8" w:space="0" w:color="auto"/>
              <w:right w:val="single" w:sz="8" w:space="0" w:color="auto"/>
            </w:tcBorders>
            <w:shd w:val="clear" w:color="auto" w:fill="auto"/>
            <w:noWrap/>
            <w:vAlign w:val="center"/>
            <w:hideMark/>
          </w:tcPr>
          <w:p w:rsidR="006067DA" w:rsidRPr="00AB24DE" w:rsidRDefault="006067DA" w:rsidP="00777353">
            <w:pPr>
              <w:spacing w:line="240" w:lineRule="auto"/>
              <w:jc w:val="center"/>
              <w:rPr>
                <w:rFonts w:cs="Arial"/>
                <w:color w:val="000000"/>
                <w:sz w:val="16"/>
                <w:szCs w:val="16"/>
              </w:rPr>
            </w:pPr>
            <w:r w:rsidRPr="00AB24DE">
              <w:rPr>
                <w:rFonts w:cs="Arial"/>
                <w:color w:val="000000"/>
                <w:sz w:val="16"/>
                <w:szCs w:val="16"/>
                <w:lang w:eastAsia="en-US"/>
              </w:rPr>
              <w:t>Ukazatel</w:t>
            </w:r>
          </w:p>
        </w:tc>
        <w:tc>
          <w:tcPr>
            <w:tcW w:w="943" w:type="dxa"/>
            <w:tcBorders>
              <w:top w:val="single" w:sz="8" w:space="0" w:color="auto"/>
              <w:left w:val="nil"/>
              <w:bottom w:val="single" w:sz="8" w:space="0" w:color="auto"/>
              <w:right w:val="single" w:sz="8" w:space="0" w:color="auto"/>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lang w:eastAsia="en-US"/>
              </w:rPr>
              <w:t>2010</w:t>
            </w:r>
          </w:p>
        </w:tc>
        <w:tc>
          <w:tcPr>
            <w:tcW w:w="944" w:type="dxa"/>
            <w:tcBorders>
              <w:top w:val="single" w:sz="8" w:space="0" w:color="auto"/>
              <w:left w:val="nil"/>
              <w:bottom w:val="single" w:sz="8" w:space="0" w:color="auto"/>
              <w:right w:val="single" w:sz="8" w:space="0" w:color="auto"/>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lang w:eastAsia="en-US"/>
              </w:rPr>
              <w:t>2013</w:t>
            </w:r>
          </w:p>
        </w:tc>
        <w:tc>
          <w:tcPr>
            <w:tcW w:w="944" w:type="dxa"/>
            <w:tcBorders>
              <w:top w:val="single" w:sz="8" w:space="0" w:color="auto"/>
              <w:left w:val="nil"/>
              <w:bottom w:val="single" w:sz="8" w:space="0" w:color="auto"/>
              <w:right w:val="single" w:sz="8" w:space="0" w:color="auto"/>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lang w:eastAsia="en-US"/>
              </w:rPr>
              <w:t>2014</w:t>
            </w:r>
          </w:p>
        </w:tc>
        <w:tc>
          <w:tcPr>
            <w:tcW w:w="944" w:type="dxa"/>
            <w:tcBorders>
              <w:top w:val="single" w:sz="8" w:space="0" w:color="auto"/>
              <w:left w:val="nil"/>
              <w:bottom w:val="single" w:sz="8" w:space="0" w:color="auto"/>
              <w:right w:val="single" w:sz="8" w:space="0" w:color="auto"/>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lang w:eastAsia="en-US"/>
              </w:rPr>
              <w:t>2015</w:t>
            </w:r>
          </w:p>
        </w:tc>
        <w:tc>
          <w:tcPr>
            <w:tcW w:w="944" w:type="dxa"/>
            <w:tcBorders>
              <w:top w:val="single" w:sz="8" w:space="0" w:color="auto"/>
              <w:left w:val="nil"/>
              <w:bottom w:val="single" w:sz="8" w:space="0" w:color="auto"/>
              <w:right w:val="nil"/>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lang w:eastAsia="en-US"/>
              </w:rPr>
              <w:t>2016</w:t>
            </w:r>
          </w:p>
        </w:tc>
        <w:tc>
          <w:tcPr>
            <w:tcW w:w="944" w:type="dxa"/>
            <w:tcBorders>
              <w:top w:val="single" w:sz="8" w:space="0" w:color="auto"/>
              <w:left w:val="single" w:sz="8" w:space="0" w:color="auto"/>
              <w:bottom w:val="single" w:sz="8" w:space="0" w:color="auto"/>
              <w:right w:val="nil"/>
            </w:tcBorders>
            <w:shd w:val="clear" w:color="auto" w:fill="auto"/>
            <w:noWrap/>
            <w:vAlign w:val="center"/>
            <w:hideMark/>
          </w:tcPr>
          <w:p w:rsidR="006067DA" w:rsidRPr="00AB24DE" w:rsidRDefault="006067DA" w:rsidP="00777353">
            <w:pPr>
              <w:spacing w:line="240" w:lineRule="auto"/>
              <w:jc w:val="center"/>
              <w:rPr>
                <w:rFonts w:cs="Arial"/>
                <w:b/>
                <w:bCs/>
                <w:color w:val="000000"/>
                <w:sz w:val="16"/>
                <w:szCs w:val="16"/>
              </w:rPr>
            </w:pPr>
            <w:r w:rsidRPr="00AB24DE">
              <w:rPr>
                <w:rFonts w:cs="Arial"/>
                <w:b/>
                <w:bCs/>
                <w:color w:val="000000"/>
                <w:sz w:val="16"/>
                <w:szCs w:val="16"/>
              </w:rPr>
              <w:t>2017</w:t>
            </w:r>
          </w:p>
        </w:tc>
        <w:tc>
          <w:tcPr>
            <w:tcW w:w="944" w:type="dxa"/>
            <w:tcBorders>
              <w:top w:val="single" w:sz="8" w:space="0" w:color="auto"/>
              <w:left w:val="single" w:sz="8" w:space="0" w:color="auto"/>
              <w:bottom w:val="single" w:sz="8" w:space="0" w:color="auto"/>
              <w:right w:val="nil"/>
            </w:tcBorders>
            <w:shd w:val="clear" w:color="auto" w:fill="auto"/>
            <w:vAlign w:val="center"/>
            <w:hideMark/>
          </w:tcPr>
          <w:p w:rsidR="006067DA" w:rsidRPr="00AB24DE" w:rsidRDefault="006067DA" w:rsidP="00777353">
            <w:pPr>
              <w:spacing w:line="240" w:lineRule="auto"/>
              <w:jc w:val="right"/>
              <w:rPr>
                <w:rFonts w:cs="Arial"/>
                <w:b/>
                <w:bCs/>
                <w:i/>
                <w:iCs/>
                <w:color w:val="000000"/>
                <w:sz w:val="16"/>
                <w:szCs w:val="16"/>
              </w:rPr>
            </w:pPr>
            <w:r>
              <w:rPr>
                <w:rFonts w:cs="Arial"/>
                <w:b/>
                <w:bCs/>
                <w:i/>
                <w:iCs/>
                <w:color w:val="000000"/>
                <w:sz w:val="16"/>
                <w:szCs w:val="16"/>
                <w:lang w:eastAsia="en-US"/>
              </w:rPr>
              <w:t>Index 2017/20</w:t>
            </w:r>
            <w:r w:rsidRPr="00AB24DE">
              <w:rPr>
                <w:rFonts w:cs="Arial"/>
                <w:b/>
                <w:bCs/>
                <w:i/>
                <w:iCs/>
                <w:color w:val="000000"/>
                <w:sz w:val="16"/>
                <w:szCs w:val="16"/>
                <w:lang w:eastAsia="en-US"/>
              </w:rPr>
              <w:t>16</w:t>
            </w:r>
          </w:p>
        </w:tc>
      </w:tr>
      <w:tr w:rsidR="006067DA" w:rsidRPr="00AB24DE" w:rsidTr="00437926">
        <w:trPr>
          <w:trHeight w:val="393"/>
        </w:trPr>
        <w:tc>
          <w:tcPr>
            <w:tcW w:w="3087"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rPr>
                <w:rFonts w:cs="Arial"/>
                <w:b/>
                <w:bCs/>
                <w:color w:val="000000"/>
                <w:sz w:val="16"/>
                <w:szCs w:val="16"/>
              </w:rPr>
            </w:pPr>
            <w:r w:rsidRPr="00AB24DE">
              <w:rPr>
                <w:rFonts w:cs="Arial"/>
                <w:b/>
                <w:bCs/>
                <w:color w:val="000000"/>
                <w:sz w:val="16"/>
                <w:szCs w:val="16"/>
                <w:lang w:eastAsia="en-US"/>
              </w:rPr>
              <w:t xml:space="preserve">  Veřejné zdroje celkem</w:t>
            </w:r>
          </w:p>
        </w:tc>
        <w:tc>
          <w:tcPr>
            <w:tcW w:w="943"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282 166</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292 053</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291 572</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293 359</w:t>
            </w:r>
          </w:p>
        </w:tc>
        <w:tc>
          <w:tcPr>
            <w:tcW w:w="944" w:type="dxa"/>
            <w:tcBorders>
              <w:top w:val="nil"/>
              <w:left w:val="nil"/>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300 210</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rPr>
              <w:t>322 033</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107,3</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 xml:space="preserve">veřejné zdravotní pojištění </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231 889</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238 354</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234 602</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234 460</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237 700</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252 169</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106,1</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státní rozpočet</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45 187</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47 499</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50 721</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52 622</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55 895</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62 090</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111,1</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krajské a obecní rozpočty</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5 091</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6 200</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6 250</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6 277</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6 614</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7 774</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117,5</w:t>
            </w:r>
          </w:p>
        </w:tc>
      </w:tr>
      <w:tr w:rsidR="006067DA" w:rsidRPr="00AB24DE" w:rsidTr="00437926">
        <w:trPr>
          <w:trHeight w:val="393"/>
        </w:trPr>
        <w:tc>
          <w:tcPr>
            <w:tcW w:w="3087" w:type="dxa"/>
            <w:tcBorders>
              <w:top w:val="nil"/>
              <w:left w:val="nil"/>
              <w:bottom w:val="nil"/>
              <w:right w:val="single" w:sz="8" w:space="0" w:color="auto"/>
            </w:tcBorders>
            <w:shd w:val="clear" w:color="000000" w:fill="F2DCDB"/>
            <w:noWrap/>
            <w:vAlign w:val="center"/>
            <w:hideMark/>
          </w:tcPr>
          <w:p w:rsidR="006067DA" w:rsidRDefault="006067DA" w:rsidP="00777353">
            <w:pPr>
              <w:spacing w:line="240" w:lineRule="auto"/>
              <w:rPr>
                <w:rFonts w:cs="Arial"/>
                <w:b/>
                <w:bCs/>
                <w:color w:val="000000"/>
                <w:sz w:val="16"/>
                <w:szCs w:val="16"/>
                <w:lang w:eastAsia="en-US"/>
              </w:rPr>
            </w:pPr>
            <w:r w:rsidRPr="00AB24DE">
              <w:rPr>
                <w:rFonts w:cs="Arial"/>
                <w:b/>
                <w:bCs/>
                <w:color w:val="000000"/>
                <w:sz w:val="16"/>
                <w:szCs w:val="16"/>
                <w:lang w:eastAsia="en-US"/>
              </w:rPr>
              <w:t xml:space="preserve">  Soukromé zdroje</w:t>
            </w:r>
            <w:r>
              <w:rPr>
                <w:rFonts w:cs="Arial"/>
                <w:b/>
                <w:bCs/>
                <w:color w:val="000000"/>
                <w:sz w:val="16"/>
                <w:szCs w:val="16"/>
                <w:lang w:eastAsia="en-US"/>
              </w:rPr>
              <w:t xml:space="preserve"> celkem</w:t>
            </w:r>
            <w:r w:rsidRPr="00AB24DE">
              <w:rPr>
                <w:rFonts w:cs="Arial"/>
                <w:b/>
                <w:bCs/>
                <w:color w:val="000000"/>
                <w:sz w:val="16"/>
                <w:szCs w:val="16"/>
                <w:lang w:eastAsia="en-US"/>
              </w:rPr>
              <w:t xml:space="preserve"> </w:t>
            </w:r>
          </w:p>
          <w:p w:rsidR="006067DA" w:rsidRPr="00AB24DE" w:rsidRDefault="006067DA" w:rsidP="00777353">
            <w:pPr>
              <w:spacing w:line="240" w:lineRule="auto"/>
              <w:rPr>
                <w:rFonts w:cs="Arial"/>
                <w:b/>
                <w:bCs/>
                <w:color w:val="000000"/>
                <w:sz w:val="16"/>
                <w:szCs w:val="16"/>
              </w:rPr>
            </w:pPr>
            <w:r>
              <w:rPr>
                <w:rFonts w:cs="Arial"/>
                <w:b/>
                <w:bCs/>
                <w:color w:val="000000"/>
                <w:sz w:val="16"/>
                <w:szCs w:val="16"/>
                <w:lang w:eastAsia="en-US"/>
              </w:rPr>
              <w:t xml:space="preserve">  (bez přímých plateb domácností)</w:t>
            </w:r>
          </w:p>
        </w:tc>
        <w:tc>
          <w:tcPr>
            <w:tcW w:w="943"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9 217</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9 202</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10 668</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9 322</w:t>
            </w:r>
          </w:p>
        </w:tc>
        <w:tc>
          <w:tcPr>
            <w:tcW w:w="944" w:type="dxa"/>
            <w:tcBorders>
              <w:top w:val="nil"/>
              <w:left w:val="nil"/>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10 222</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rPr>
              <w:t>11 303</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110,6</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 xml:space="preserve">soukromé zdravotní pojištění </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427</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475</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537</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478</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484</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539</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111,4</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neziskové instituce</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7 888</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7 726</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7 757</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7 929</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8 479</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8 995</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106,1</w:t>
            </w:r>
          </w:p>
        </w:tc>
      </w:tr>
      <w:tr w:rsidR="006067DA" w:rsidRPr="00AB24DE" w:rsidTr="00437926">
        <w:trPr>
          <w:trHeight w:val="393"/>
        </w:trPr>
        <w:tc>
          <w:tcPr>
            <w:tcW w:w="3087"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ind w:firstLineChars="100" w:firstLine="160"/>
              <w:rPr>
                <w:rFonts w:cs="Arial"/>
                <w:color w:val="000000"/>
                <w:sz w:val="16"/>
                <w:szCs w:val="16"/>
              </w:rPr>
            </w:pPr>
            <w:r w:rsidRPr="00AB24DE">
              <w:rPr>
                <w:rFonts w:cs="Arial"/>
                <w:color w:val="000000"/>
                <w:sz w:val="16"/>
                <w:szCs w:val="16"/>
                <w:lang w:eastAsia="en-US"/>
              </w:rPr>
              <w:t>podniky - závodní preventivní péče</w:t>
            </w:r>
          </w:p>
        </w:tc>
        <w:tc>
          <w:tcPr>
            <w:tcW w:w="943"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901</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1 001</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2 374</w:t>
            </w:r>
          </w:p>
        </w:tc>
        <w:tc>
          <w:tcPr>
            <w:tcW w:w="944" w:type="dxa"/>
            <w:tcBorders>
              <w:top w:val="nil"/>
              <w:left w:val="nil"/>
              <w:bottom w:val="nil"/>
              <w:right w:val="single" w:sz="8" w:space="0" w:color="auto"/>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915</w:t>
            </w:r>
          </w:p>
        </w:tc>
        <w:tc>
          <w:tcPr>
            <w:tcW w:w="944" w:type="dxa"/>
            <w:tcBorders>
              <w:top w:val="nil"/>
              <w:left w:val="nil"/>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lang w:eastAsia="en-US"/>
              </w:rPr>
              <w:t>1 259</w:t>
            </w:r>
          </w:p>
        </w:tc>
        <w:tc>
          <w:tcPr>
            <w:tcW w:w="944" w:type="dxa"/>
            <w:tcBorders>
              <w:top w:val="nil"/>
              <w:left w:val="single" w:sz="8" w:space="0" w:color="auto"/>
              <w:bottom w:val="nil"/>
              <w:right w:val="nil"/>
            </w:tcBorders>
            <w:shd w:val="clear" w:color="auto" w:fill="auto"/>
            <w:noWrap/>
            <w:vAlign w:val="center"/>
            <w:hideMark/>
          </w:tcPr>
          <w:p w:rsidR="006067DA" w:rsidRPr="00AB24DE" w:rsidRDefault="006067DA" w:rsidP="00777353">
            <w:pPr>
              <w:spacing w:line="240" w:lineRule="auto"/>
              <w:jc w:val="right"/>
              <w:rPr>
                <w:rFonts w:cs="Arial"/>
                <w:color w:val="000000"/>
                <w:sz w:val="16"/>
                <w:szCs w:val="16"/>
              </w:rPr>
            </w:pPr>
            <w:r w:rsidRPr="00AB24DE">
              <w:rPr>
                <w:rFonts w:cs="Arial"/>
                <w:color w:val="000000"/>
                <w:sz w:val="16"/>
                <w:szCs w:val="16"/>
              </w:rPr>
              <w:t>1 769</w:t>
            </w:r>
          </w:p>
        </w:tc>
        <w:tc>
          <w:tcPr>
            <w:tcW w:w="944" w:type="dxa"/>
            <w:tcBorders>
              <w:top w:val="nil"/>
              <w:left w:val="single" w:sz="8" w:space="0" w:color="auto"/>
              <w:bottom w:val="nil"/>
              <w:right w:val="nil"/>
            </w:tcBorders>
            <w:shd w:val="clear" w:color="000000" w:fill="FFFFFF"/>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140,5</w:t>
            </w:r>
          </w:p>
        </w:tc>
      </w:tr>
      <w:tr w:rsidR="006067DA" w:rsidRPr="00AB24DE" w:rsidTr="00437926">
        <w:trPr>
          <w:trHeight w:val="413"/>
        </w:trPr>
        <w:tc>
          <w:tcPr>
            <w:tcW w:w="3087"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rPr>
                <w:rFonts w:cs="Arial"/>
                <w:b/>
                <w:bCs/>
                <w:color w:val="000000"/>
                <w:sz w:val="16"/>
                <w:szCs w:val="16"/>
              </w:rPr>
            </w:pPr>
            <w:r w:rsidRPr="00AB24DE">
              <w:rPr>
                <w:rFonts w:cs="Arial"/>
                <w:b/>
                <w:bCs/>
                <w:color w:val="000000"/>
                <w:sz w:val="16"/>
                <w:szCs w:val="16"/>
                <w:lang w:eastAsia="en-US"/>
              </w:rPr>
              <w:t xml:space="preserve">  Přímé platby domácností</w:t>
            </w:r>
            <w:r w:rsidRPr="00AB24DE">
              <w:rPr>
                <w:rFonts w:cs="Arial"/>
                <w:b/>
                <w:bCs/>
                <w:color w:val="000000"/>
                <w:sz w:val="18"/>
                <w:szCs w:val="18"/>
                <w:vertAlign w:val="superscript"/>
                <w:lang w:eastAsia="en-US"/>
              </w:rPr>
              <w:t>1)</w:t>
            </w:r>
          </w:p>
        </w:tc>
        <w:tc>
          <w:tcPr>
            <w:tcW w:w="943"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42 705</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43 465</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46 490</w:t>
            </w:r>
          </w:p>
        </w:tc>
        <w:tc>
          <w:tcPr>
            <w:tcW w:w="944" w:type="dxa"/>
            <w:tcBorders>
              <w:top w:val="nil"/>
              <w:left w:val="nil"/>
              <w:bottom w:val="nil"/>
              <w:right w:val="single" w:sz="8" w:space="0" w:color="auto"/>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49 358</w:t>
            </w:r>
          </w:p>
        </w:tc>
        <w:tc>
          <w:tcPr>
            <w:tcW w:w="944" w:type="dxa"/>
            <w:tcBorders>
              <w:top w:val="nil"/>
              <w:left w:val="nil"/>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51 215</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rPr>
              <w:t>54 051</w:t>
            </w:r>
          </w:p>
        </w:tc>
        <w:tc>
          <w:tcPr>
            <w:tcW w:w="944" w:type="dxa"/>
            <w:tcBorders>
              <w:top w:val="nil"/>
              <w:left w:val="single" w:sz="8" w:space="0" w:color="auto"/>
              <w:bottom w:val="nil"/>
              <w:right w:val="nil"/>
            </w:tcBorders>
            <w:shd w:val="clear" w:color="000000" w:fill="F2DCDB"/>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105,5</w:t>
            </w:r>
          </w:p>
        </w:tc>
      </w:tr>
      <w:tr w:rsidR="006067DA" w:rsidRPr="00AB24DE" w:rsidTr="00437926">
        <w:trPr>
          <w:trHeight w:val="413"/>
        </w:trPr>
        <w:tc>
          <w:tcPr>
            <w:tcW w:w="3087" w:type="dxa"/>
            <w:tcBorders>
              <w:top w:val="single" w:sz="8" w:space="0" w:color="auto"/>
              <w:left w:val="nil"/>
              <w:bottom w:val="single" w:sz="8" w:space="0" w:color="auto"/>
              <w:right w:val="single" w:sz="8" w:space="0" w:color="auto"/>
            </w:tcBorders>
            <w:shd w:val="clear" w:color="000000" w:fill="D99594"/>
            <w:noWrap/>
            <w:vAlign w:val="center"/>
            <w:hideMark/>
          </w:tcPr>
          <w:p w:rsidR="006067DA" w:rsidRPr="00AB24DE" w:rsidRDefault="006067DA" w:rsidP="00777353">
            <w:pPr>
              <w:spacing w:line="240" w:lineRule="auto"/>
              <w:rPr>
                <w:rFonts w:cs="Arial"/>
                <w:b/>
                <w:bCs/>
                <w:color w:val="000000"/>
                <w:sz w:val="16"/>
                <w:szCs w:val="16"/>
              </w:rPr>
            </w:pPr>
            <w:r w:rsidRPr="00AB24DE">
              <w:rPr>
                <w:rFonts w:cs="Arial"/>
                <w:b/>
                <w:bCs/>
                <w:color w:val="000000"/>
                <w:sz w:val="16"/>
                <w:szCs w:val="16"/>
                <w:lang w:eastAsia="en-US"/>
              </w:rPr>
              <w:t>Výdaje na zdravotní péči celkem</w:t>
            </w:r>
          </w:p>
        </w:tc>
        <w:tc>
          <w:tcPr>
            <w:tcW w:w="943" w:type="dxa"/>
            <w:tcBorders>
              <w:top w:val="single" w:sz="8" w:space="0" w:color="auto"/>
              <w:left w:val="nil"/>
              <w:bottom w:val="single" w:sz="8" w:space="0" w:color="auto"/>
              <w:right w:val="single" w:sz="8" w:space="0" w:color="auto"/>
            </w:tcBorders>
            <w:shd w:val="clear" w:color="000000" w:fill="D995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334 088</w:t>
            </w:r>
          </w:p>
        </w:tc>
        <w:tc>
          <w:tcPr>
            <w:tcW w:w="944" w:type="dxa"/>
            <w:tcBorders>
              <w:top w:val="single" w:sz="8" w:space="0" w:color="auto"/>
              <w:left w:val="nil"/>
              <w:bottom w:val="single" w:sz="8" w:space="0" w:color="auto"/>
              <w:right w:val="single" w:sz="8" w:space="0" w:color="auto"/>
            </w:tcBorders>
            <w:shd w:val="clear" w:color="000000" w:fill="D995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344 720</w:t>
            </w:r>
          </w:p>
        </w:tc>
        <w:tc>
          <w:tcPr>
            <w:tcW w:w="944" w:type="dxa"/>
            <w:tcBorders>
              <w:top w:val="single" w:sz="8" w:space="0" w:color="auto"/>
              <w:left w:val="nil"/>
              <w:bottom w:val="single" w:sz="8" w:space="0" w:color="auto"/>
              <w:right w:val="single" w:sz="8" w:space="0" w:color="auto"/>
            </w:tcBorders>
            <w:shd w:val="clear" w:color="000000" w:fill="D995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348 730</w:t>
            </w:r>
          </w:p>
        </w:tc>
        <w:tc>
          <w:tcPr>
            <w:tcW w:w="944" w:type="dxa"/>
            <w:tcBorders>
              <w:top w:val="single" w:sz="8" w:space="0" w:color="auto"/>
              <w:left w:val="nil"/>
              <w:bottom w:val="single" w:sz="8" w:space="0" w:color="auto"/>
              <w:right w:val="single" w:sz="8" w:space="0" w:color="auto"/>
            </w:tcBorders>
            <w:shd w:val="clear" w:color="000000" w:fill="D995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352 039</w:t>
            </w:r>
          </w:p>
        </w:tc>
        <w:tc>
          <w:tcPr>
            <w:tcW w:w="944" w:type="dxa"/>
            <w:tcBorders>
              <w:top w:val="single" w:sz="8" w:space="0" w:color="auto"/>
              <w:left w:val="nil"/>
              <w:bottom w:val="single" w:sz="8" w:space="0" w:color="auto"/>
              <w:right w:val="nil"/>
            </w:tcBorders>
            <w:shd w:val="clear" w:color="000000" w:fill="D995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lang w:eastAsia="en-US"/>
              </w:rPr>
              <w:t>361 647</w:t>
            </w:r>
          </w:p>
        </w:tc>
        <w:tc>
          <w:tcPr>
            <w:tcW w:w="944" w:type="dxa"/>
            <w:tcBorders>
              <w:top w:val="single" w:sz="8" w:space="0" w:color="auto"/>
              <w:left w:val="single" w:sz="8" w:space="0" w:color="auto"/>
              <w:bottom w:val="single" w:sz="8" w:space="0" w:color="auto"/>
              <w:right w:val="nil"/>
            </w:tcBorders>
            <w:shd w:val="clear" w:color="000000" w:fill="DA9694"/>
            <w:noWrap/>
            <w:vAlign w:val="center"/>
            <w:hideMark/>
          </w:tcPr>
          <w:p w:rsidR="006067DA" w:rsidRPr="00AB24DE" w:rsidRDefault="006067DA" w:rsidP="00777353">
            <w:pPr>
              <w:spacing w:line="240" w:lineRule="auto"/>
              <w:jc w:val="right"/>
              <w:rPr>
                <w:rFonts w:cs="Arial"/>
                <w:b/>
                <w:bCs/>
                <w:color w:val="000000"/>
                <w:sz w:val="16"/>
                <w:szCs w:val="16"/>
              </w:rPr>
            </w:pPr>
            <w:r w:rsidRPr="00AB24DE">
              <w:rPr>
                <w:rFonts w:cs="Arial"/>
                <w:b/>
                <w:bCs/>
                <w:color w:val="000000"/>
                <w:sz w:val="16"/>
                <w:szCs w:val="16"/>
              </w:rPr>
              <w:t>387 388</w:t>
            </w:r>
          </w:p>
        </w:tc>
        <w:tc>
          <w:tcPr>
            <w:tcW w:w="944" w:type="dxa"/>
            <w:tcBorders>
              <w:top w:val="single" w:sz="8" w:space="0" w:color="auto"/>
              <w:left w:val="single" w:sz="8" w:space="0" w:color="auto"/>
              <w:bottom w:val="single" w:sz="8" w:space="0" w:color="auto"/>
              <w:right w:val="nil"/>
            </w:tcBorders>
            <w:shd w:val="clear" w:color="000000" w:fill="DA9694"/>
            <w:noWrap/>
            <w:vAlign w:val="center"/>
            <w:hideMark/>
          </w:tcPr>
          <w:p w:rsidR="006067DA" w:rsidRPr="00AB24DE" w:rsidRDefault="006067DA" w:rsidP="00777353">
            <w:pPr>
              <w:spacing w:line="240" w:lineRule="auto"/>
              <w:jc w:val="right"/>
              <w:rPr>
                <w:rFonts w:cs="Arial"/>
                <w:b/>
                <w:bCs/>
                <w:i/>
                <w:iCs/>
                <w:color w:val="000000"/>
                <w:sz w:val="16"/>
                <w:szCs w:val="16"/>
              </w:rPr>
            </w:pPr>
            <w:r w:rsidRPr="00AB24DE">
              <w:rPr>
                <w:rFonts w:cs="Arial"/>
                <w:b/>
                <w:bCs/>
                <w:i/>
                <w:iCs/>
                <w:color w:val="000000"/>
                <w:sz w:val="16"/>
                <w:szCs w:val="16"/>
                <w:lang w:eastAsia="en-US"/>
              </w:rPr>
              <w:t>107,1</w:t>
            </w:r>
          </w:p>
        </w:tc>
      </w:tr>
    </w:tbl>
    <w:p w:rsidR="006067DA" w:rsidRPr="00240B6D" w:rsidRDefault="006067DA" w:rsidP="006067DA">
      <w:pPr>
        <w:keepNext/>
        <w:spacing w:before="60" w:line="240" w:lineRule="auto"/>
        <w:jc w:val="both"/>
        <w:rPr>
          <w:sz w:val="16"/>
        </w:rPr>
      </w:pPr>
      <w:r>
        <w:rPr>
          <w:sz w:val="16"/>
        </w:rPr>
        <w:t>1</w:t>
      </w:r>
      <w:r w:rsidRPr="00240B6D">
        <w:rPr>
          <w:sz w:val="16"/>
        </w:rPr>
        <w:t>) údaje za rok 201</w:t>
      </w:r>
      <w:r>
        <w:rPr>
          <w:sz w:val="16"/>
        </w:rPr>
        <w:t>7</w:t>
      </w:r>
      <w:r w:rsidRPr="00240B6D">
        <w:rPr>
          <w:sz w:val="16"/>
        </w:rPr>
        <w:t xml:space="preserve"> jsou předběžné</w:t>
      </w:r>
    </w:p>
    <w:bookmarkEnd w:id="5"/>
    <w:p w:rsidR="006067DA" w:rsidRPr="00240B6D" w:rsidRDefault="006067DA" w:rsidP="006067DA">
      <w:pPr>
        <w:widowControl w:val="0"/>
        <w:spacing w:before="120" w:after="24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Zdravotnické účty ČR 2010 - 201</w:t>
      </w:r>
      <w:r>
        <w:rPr>
          <w:b/>
          <w:bCs/>
          <w:i/>
          <w:sz w:val="16"/>
          <w:szCs w:val="16"/>
        </w:rPr>
        <w:t>7</w:t>
      </w:r>
      <w:r w:rsidRPr="00240B6D">
        <w:rPr>
          <w:b/>
          <w:bCs/>
          <w:i/>
          <w:sz w:val="16"/>
          <w:szCs w:val="16"/>
        </w:rPr>
        <w:t xml:space="preserve"> </w:t>
      </w:r>
    </w:p>
    <w:p w:rsidR="006067DA" w:rsidRDefault="006067DA" w:rsidP="006067DA">
      <w:pPr>
        <w:widowControl w:val="0"/>
        <w:spacing w:before="120"/>
        <w:jc w:val="both"/>
        <w:rPr>
          <w:bCs/>
          <w:i/>
          <w:szCs w:val="20"/>
        </w:rPr>
      </w:pPr>
      <w:r w:rsidRPr="002E7C59">
        <w:rPr>
          <w:bCs/>
          <w:szCs w:val="20"/>
        </w:rPr>
        <w:t>České zdravotnictví je dlouhodobě financováno primárně z veřejných zdrojů, a to především z veřejného zdravotního pojištění. V sledovaném období let 2010 až 201</w:t>
      </w:r>
      <w:r>
        <w:rPr>
          <w:bCs/>
          <w:szCs w:val="20"/>
        </w:rPr>
        <w:t>7</w:t>
      </w:r>
      <w:r w:rsidRPr="002E7C59">
        <w:rPr>
          <w:bCs/>
          <w:szCs w:val="20"/>
        </w:rPr>
        <w:t xml:space="preserve"> se </w:t>
      </w:r>
      <w:r w:rsidRPr="002E7C59">
        <w:rPr>
          <w:b/>
          <w:bCs/>
          <w:szCs w:val="20"/>
        </w:rPr>
        <w:t>veřejné zdroje</w:t>
      </w:r>
      <w:r w:rsidRPr="002E7C59">
        <w:rPr>
          <w:bCs/>
          <w:szCs w:val="20"/>
        </w:rPr>
        <w:t xml:space="preserve"> podílely z 83 až 85 % na financování zdravotní péč</w:t>
      </w:r>
      <w:r>
        <w:rPr>
          <w:bCs/>
          <w:szCs w:val="20"/>
        </w:rPr>
        <w:t>e</w:t>
      </w:r>
      <w:r w:rsidRPr="002E7C59">
        <w:rPr>
          <w:bCs/>
          <w:szCs w:val="20"/>
        </w:rPr>
        <w:t xml:space="preserve"> v ČR. </w:t>
      </w:r>
      <w:r w:rsidRPr="00240B6D">
        <w:rPr>
          <w:bCs/>
          <w:szCs w:val="20"/>
        </w:rPr>
        <w:t>V podrobnějším členění v rámci výše uvedených konečných zdrojů financování měly v letech 2010 až 201</w:t>
      </w:r>
      <w:r>
        <w:rPr>
          <w:bCs/>
          <w:szCs w:val="20"/>
        </w:rPr>
        <w:t>7</w:t>
      </w:r>
      <w:r w:rsidRPr="00240B6D">
        <w:rPr>
          <w:bCs/>
          <w:szCs w:val="20"/>
        </w:rPr>
        <w:t xml:space="preserve"> největší podíl na celkových výdajích na zdravotní péči </w:t>
      </w:r>
      <w:r w:rsidRPr="009D7138">
        <w:rPr>
          <w:b/>
          <w:bCs/>
          <w:szCs w:val="20"/>
        </w:rPr>
        <w:t>platby hrazené zdravotními pojišťovnami z veřejného pojištění</w:t>
      </w:r>
      <w:r w:rsidRPr="00240B6D">
        <w:rPr>
          <w:bCs/>
          <w:szCs w:val="20"/>
        </w:rPr>
        <w:t xml:space="preserve"> (2</w:t>
      </w:r>
      <w:r>
        <w:rPr>
          <w:bCs/>
          <w:szCs w:val="20"/>
        </w:rPr>
        <w:t>52,2</w:t>
      </w:r>
      <w:r w:rsidRPr="00240B6D">
        <w:rPr>
          <w:bCs/>
          <w:szCs w:val="20"/>
        </w:rPr>
        <w:t> mld. Kč; 65,</w:t>
      </w:r>
      <w:r>
        <w:rPr>
          <w:bCs/>
          <w:szCs w:val="20"/>
        </w:rPr>
        <w:t>1</w:t>
      </w:r>
      <w:r w:rsidRPr="00240B6D">
        <w:rPr>
          <w:bCs/>
          <w:szCs w:val="20"/>
        </w:rPr>
        <w:t> % podíl v roce 201</w:t>
      </w:r>
      <w:r>
        <w:rPr>
          <w:bCs/>
          <w:szCs w:val="20"/>
        </w:rPr>
        <w:t>7</w:t>
      </w:r>
      <w:r w:rsidRPr="00240B6D">
        <w:rPr>
          <w:bCs/>
          <w:szCs w:val="20"/>
        </w:rPr>
        <w:t xml:space="preserve">), následované </w:t>
      </w:r>
      <w:r w:rsidRPr="009D7138">
        <w:rPr>
          <w:b/>
          <w:bCs/>
          <w:szCs w:val="20"/>
        </w:rPr>
        <w:t>státním rozpočtem</w:t>
      </w:r>
      <w:r w:rsidRPr="00240B6D">
        <w:rPr>
          <w:bCs/>
          <w:szCs w:val="20"/>
        </w:rPr>
        <w:t xml:space="preserve"> (</w:t>
      </w:r>
      <w:r>
        <w:rPr>
          <w:bCs/>
          <w:szCs w:val="20"/>
        </w:rPr>
        <w:t>62,1</w:t>
      </w:r>
      <w:r w:rsidRPr="00240B6D">
        <w:rPr>
          <w:bCs/>
          <w:szCs w:val="20"/>
        </w:rPr>
        <w:t xml:space="preserve"> mld. Kč; 1</w:t>
      </w:r>
      <w:r>
        <w:rPr>
          <w:bCs/>
          <w:szCs w:val="20"/>
        </w:rPr>
        <w:t>6</w:t>
      </w:r>
      <w:r w:rsidRPr="00240B6D">
        <w:rPr>
          <w:bCs/>
          <w:szCs w:val="20"/>
        </w:rPr>
        <w:t>,</w:t>
      </w:r>
      <w:r>
        <w:rPr>
          <w:bCs/>
          <w:szCs w:val="20"/>
        </w:rPr>
        <w:t>0</w:t>
      </w:r>
      <w:r w:rsidRPr="00240B6D">
        <w:rPr>
          <w:bCs/>
          <w:szCs w:val="20"/>
        </w:rPr>
        <w:t> %) a </w:t>
      </w:r>
      <w:r w:rsidRPr="009D7138">
        <w:rPr>
          <w:b/>
          <w:bCs/>
          <w:szCs w:val="20"/>
        </w:rPr>
        <w:t xml:space="preserve">domácnostmi </w:t>
      </w:r>
      <w:r w:rsidRPr="00240B6D">
        <w:rPr>
          <w:bCs/>
          <w:szCs w:val="20"/>
        </w:rPr>
        <w:t>(5</w:t>
      </w:r>
      <w:r>
        <w:rPr>
          <w:bCs/>
          <w:szCs w:val="20"/>
        </w:rPr>
        <w:t>4,1</w:t>
      </w:r>
      <w:r w:rsidRPr="00240B6D">
        <w:rPr>
          <w:bCs/>
          <w:szCs w:val="20"/>
        </w:rPr>
        <w:t xml:space="preserve"> mld. Kč; 14,</w:t>
      </w:r>
      <w:r>
        <w:rPr>
          <w:bCs/>
          <w:szCs w:val="20"/>
        </w:rPr>
        <w:t>0</w:t>
      </w:r>
      <w:r w:rsidRPr="00240B6D">
        <w:rPr>
          <w:bCs/>
          <w:szCs w:val="20"/>
        </w:rPr>
        <w:t xml:space="preserve"> %). </w:t>
      </w:r>
      <w:r w:rsidRPr="009D7138">
        <w:rPr>
          <w:bCs/>
          <w:i/>
          <w:szCs w:val="20"/>
        </w:rPr>
        <w:t xml:space="preserve">Podrobnější údaje za posledních pět </w:t>
      </w:r>
      <w:r>
        <w:rPr>
          <w:bCs/>
          <w:i/>
          <w:szCs w:val="20"/>
        </w:rPr>
        <w:t>let přináší následující graf 2</w:t>
      </w:r>
      <w:r w:rsidRPr="009D7138">
        <w:rPr>
          <w:bCs/>
          <w:i/>
          <w:szCs w:val="20"/>
        </w:rPr>
        <w:t>.</w:t>
      </w:r>
      <w:r>
        <w:rPr>
          <w:bCs/>
          <w:i/>
          <w:szCs w:val="20"/>
        </w:rPr>
        <w:t>3.</w:t>
      </w:r>
    </w:p>
    <w:p w:rsidR="006067DA" w:rsidRPr="00240B6D" w:rsidRDefault="006067DA" w:rsidP="006067DA">
      <w:pPr>
        <w:keepNext/>
        <w:spacing w:before="240" w:after="120" w:line="240" w:lineRule="auto"/>
        <w:jc w:val="both"/>
        <w:rPr>
          <w:b/>
          <w:bCs/>
          <w:sz w:val="18"/>
          <w:szCs w:val="18"/>
        </w:rPr>
      </w:pPr>
      <w:r w:rsidRPr="00240B6D">
        <w:rPr>
          <w:b/>
          <w:bCs/>
          <w:sz w:val="18"/>
          <w:szCs w:val="18"/>
        </w:rPr>
        <w:lastRenderedPageBreak/>
        <w:t>Graf č: 2.</w:t>
      </w:r>
      <w:r>
        <w:rPr>
          <w:b/>
          <w:bCs/>
          <w:sz w:val="18"/>
          <w:szCs w:val="18"/>
        </w:rPr>
        <w:t>3</w:t>
      </w:r>
      <w:r w:rsidRPr="00240B6D">
        <w:rPr>
          <w:b/>
          <w:bCs/>
          <w:sz w:val="18"/>
          <w:szCs w:val="18"/>
        </w:rPr>
        <w:t xml:space="preserve"> Výdaje na zdravotní péči v Česku podle hlavních zdrojů financování, 201</w:t>
      </w:r>
      <w:r>
        <w:rPr>
          <w:b/>
          <w:bCs/>
          <w:sz w:val="18"/>
          <w:szCs w:val="18"/>
        </w:rPr>
        <w:t>3</w:t>
      </w:r>
      <w:r w:rsidRPr="00240B6D">
        <w:rPr>
          <w:b/>
          <w:bCs/>
          <w:sz w:val="18"/>
          <w:szCs w:val="18"/>
        </w:rPr>
        <w:t xml:space="preserve"> – 201</w:t>
      </w:r>
      <w:r>
        <w:rPr>
          <w:b/>
          <w:bCs/>
          <w:sz w:val="18"/>
          <w:szCs w:val="18"/>
        </w:rPr>
        <w:t>7</w:t>
      </w:r>
      <w:r w:rsidRPr="00240B6D">
        <w:rPr>
          <w:b/>
          <w:bCs/>
          <w:sz w:val="18"/>
          <w:szCs w:val="18"/>
        </w:rPr>
        <w:t xml:space="preserve"> (mld. Kč; %)</w:t>
      </w:r>
    </w:p>
    <w:p w:rsidR="006067DA" w:rsidRPr="00240B6D" w:rsidRDefault="006067DA" w:rsidP="006067DA">
      <w:pPr>
        <w:keepNext/>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6067DA" w:rsidRPr="00240B6D" w:rsidRDefault="00DE7B9D" w:rsidP="006067DA">
      <w:pPr>
        <w:keepNext/>
        <w:jc w:val="both"/>
      </w:pPr>
      <w:r>
        <w:rPr>
          <w:noProof/>
        </w:rPr>
        <w:drawing>
          <wp:inline distT="0" distB="0" distL="0" distR="0" wp14:anchorId="1867F854">
            <wp:extent cx="3602990" cy="270065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2700655"/>
                    </a:xfrm>
                    <a:prstGeom prst="rect">
                      <a:avLst/>
                    </a:prstGeom>
                    <a:noFill/>
                  </pic:spPr>
                </pic:pic>
              </a:graphicData>
            </a:graphic>
          </wp:inline>
        </w:drawing>
      </w:r>
      <w:r w:rsidR="006067DA" w:rsidRPr="00231759">
        <w:rPr>
          <w:noProof/>
        </w:rPr>
        <w:t xml:space="preserve"> </w:t>
      </w:r>
      <w:r>
        <w:rPr>
          <w:noProof/>
        </w:rPr>
        <w:drawing>
          <wp:inline distT="0" distB="0" distL="0" distR="0" wp14:anchorId="461C855D">
            <wp:extent cx="2481580" cy="270065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1580" cy="2700655"/>
                    </a:xfrm>
                    <a:prstGeom prst="rect">
                      <a:avLst/>
                    </a:prstGeom>
                    <a:noFill/>
                  </pic:spPr>
                </pic:pic>
              </a:graphicData>
            </a:graphic>
          </wp:inline>
        </w:drawing>
      </w:r>
    </w:p>
    <w:p w:rsidR="006067DA" w:rsidRPr="00240B6D" w:rsidRDefault="006067DA" w:rsidP="006067DA">
      <w:pPr>
        <w:keepNext/>
        <w:spacing w:before="60" w:line="240" w:lineRule="auto"/>
        <w:jc w:val="both"/>
        <w:rPr>
          <w:sz w:val="16"/>
        </w:rPr>
      </w:pPr>
      <w:r>
        <w:rPr>
          <w:sz w:val="16"/>
        </w:rPr>
        <w:t>(</w:t>
      </w:r>
      <w:r w:rsidRPr="00240B6D">
        <w:rPr>
          <w:sz w:val="16"/>
        </w:rPr>
        <w:t xml:space="preserve">1) zahrnují přímé výdaje na zdravotní péči ze státního rozpočtu ČR a z místních rozpočtů </w:t>
      </w:r>
    </w:p>
    <w:p w:rsidR="006067DA" w:rsidRPr="00240B6D" w:rsidRDefault="006067DA" w:rsidP="006067DA">
      <w:pPr>
        <w:keepNext/>
        <w:spacing w:before="60" w:line="240" w:lineRule="auto"/>
        <w:jc w:val="both"/>
        <w:rPr>
          <w:sz w:val="16"/>
        </w:rPr>
      </w:pPr>
      <w:r>
        <w:rPr>
          <w:sz w:val="16"/>
        </w:rPr>
        <w:t>(</w:t>
      </w:r>
      <w:r w:rsidRPr="00240B6D">
        <w:rPr>
          <w:sz w:val="16"/>
        </w:rPr>
        <w:t xml:space="preserve">2) zahrnují </w:t>
      </w:r>
      <w:r w:rsidRPr="00240B6D">
        <w:rPr>
          <w:bCs/>
          <w:sz w:val="16"/>
          <w:szCs w:val="16"/>
        </w:rPr>
        <w:t>dobrovolné platby na zdravotní péči neziskových institucí, soukromé zdravotní pojištění a podnikov</w:t>
      </w:r>
      <w:r>
        <w:rPr>
          <w:bCs/>
          <w:sz w:val="16"/>
          <w:szCs w:val="16"/>
        </w:rPr>
        <w:t>ou</w:t>
      </w:r>
      <w:r w:rsidRPr="00240B6D">
        <w:rPr>
          <w:bCs/>
          <w:sz w:val="16"/>
          <w:szCs w:val="16"/>
        </w:rPr>
        <w:t xml:space="preserve"> preventivní péč</w:t>
      </w:r>
      <w:r>
        <w:rPr>
          <w:bCs/>
          <w:sz w:val="16"/>
          <w:szCs w:val="16"/>
        </w:rPr>
        <w:t>i</w:t>
      </w:r>
    </w:p>
    <w:p w:rsidR="006067DA" w:rsidRPr="00240B6D" w:rsidRDefault="006067DA" w:rsidP="006067DA">
      <w:pPr>
        <w:spacing w:before="12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Zdravotnické účty ČR 2010 - 201</w:t>
      </w:r>
      <w:r>
        <w:rPr>
          <w:b/>
          <w:bCs/>
          <w:i/>
          <w:sz w:val="16"/>
          <w:szCs w:val="16"/>
        </w:rPr>
        <w:t>7</w:t>
      </w:r>
      <w:r w:rsidRPr="00240B6D">
        <w:rPr>
          <w:b/>
          <w:bCs/>
          <w:i/>
          <w:sz w:val="16"/>
          <w:szCs w:val="16"/>
        </w:rPr>
        <w:t xml:space="preserve"> </w:t>
      </w:r>
    </w:p>
    <w:p w:rsidR="006067DA" w:rsidRPr="00240B6D" w:rsidRDefault="006067DA" w:rsidP="006067DA">
      <w:pPr>
        <w:spacing w:before="240" w:after="120"/>
        <w:rPr>
          <w:rFonts w:eastAsia="MS Gothic"/>
          <w:b/>
          <w:i/>
        </w:rPr>
      </w:pPr>
      <w:r w:rsidRPr="00240B6D">
        <w:rPr>
          <w:rFonts w:eastAsia="MS Gothic"/>
          <w:b/>
          <w:i/>
        </w:rPr>
        <w:t xml:space="preserve">Podíl veřejných zdrojů na financování zdravotní péče je v Česku </w:t>
      </w:r>
      <w:r>
        <w:rPr>
          <w:rFonts w:eastAsia="MS Gothic"/>
          <w:b/>
          <w:i/>
        </w:rPr>
        <w:t>pátý</w:t>
      </w:r>
      <w:r w:rsidRPr="00240B6D">
        <w:rPr>
          <w:rFonts w:eastAsia="MS Gothic"/>
          <w:b/>
          <w:i/>
        </w:rPr>
        <w:t xml:space="preserve"> nejvyšší ze zemí EU</w:t>
      </w:r>
    </w:p>
    <w:p w:rsidR="006067DA" w:rsidRPr="005E316C" w:rsidRDefault="006067DA" w:rsidP="006067DA">
      <w:pPr>
        <w:spacing w:before="120"/>
        <w:jc w:val="both"/>
        <w:rPr>
          <w:bCs/>
          <w:i/>
          <w:szCs w:val="20"/>
        </w:rPr>
      </w:pPr>
      <w:r>
        <w:rPr>
          <w:bCs/>
          <w:szCs w:val="20"/>
        </w:rPr>
        <w:t>I když se j</w:t>
      </w:r>
      <w:r w:rsidRPr="00EF5416">
        <w:rPr>
          <w:bCs/>
          <w:szCs w:val="20"/>
        </w:rPr>
        <w:t xml:space="preserve">ednotlivé státy </w:t>
      </w:r>
      <w:r>
        <w:rPr>
          <w:bCs/>
          <w:szCs w:val="20"/>
        </w:rPr>
        <w:t xml:space="preserve">EU </w:t>
      </w:r>
      <w:r w:rsidRPr="00EF5416">
        <w:rPr>
          <w:bCs/>
          <w:szCs w:val="20"/>
        </w:rPr>
        <w:t xml:space="preserve">výrazně odlišují ve způsobu financování zdravotní péče, obecně lze říci, že ve všech sledovaných zemích </w:t>
      </w:r>
      <w:r w:rsidRPr="003C1109">
        <w:rPr>
          <w:b/>
          <w:bCs/>
          <w:szCs w:val="20"/>
        </w:rPr>
        <w:t>převládá financování z veřejných zdrojů nad soukromými</w:t>
      </w:r>
      <w:r w:rsidRPr="00EF5416">
        <w:rPr>
          <w:bCs/>
          <w:szCs w:val="20"/>
        </w:rPr>
        <w:t xml:space="preserve">. </w:t>
      </w:r>
      <w:r>
        <w:rPr>
          <w:bCs/>
          <w:szCs w:val="20"/>
        </w:rPr>
        <w:t xml:space="preserve">Výjimkou je pouze Bulharsko, </w:t>
      </w:r>
      <w:r w:rsidRPr="00EF5416">
        <w:rPr>
          <w:bCs/>
          <w:szCs w:val="20"/>
        </w:rPr>
        <w:t>kde jsou výdaje z veřejných a soukromých zdrojů zhruba rovnoměrně rozděleny</w:t>
      </w:r>
      <w:r>
        <w:rPr>
          <w:bCs/>
          <w:szCs w:val="20"/>
        </w:rPr>
        <w:t xml:space="preserve"> a Kypr, kde převládají zdroje soukromé</w:t>
      </w:r>
      <w:r w:rsidRPr="00EF5416">
        <w:rPr>
          <w:bCs/>
          <w:szCs w:val="20"/>
        </w:rPr>
        <w:t xml:space="preserve">. </w:t>
      </w:r>
    </w:p>
    <w:p w:rsidR="006067DA" w:rsidRPr="00201D3A" w:rsidRDefault="006067DA" w:rsidP="00201D3A">
      <w:pPr>
        <w:keepNext/>
        <w:spacing w:before="240" w:after="120" w:line="240" w:lineRule="auto"/>
        <w:jc w:val="both"/>
        <w:rPr>
          <w:b/>
          <w:bCs/>
          <w:sz w:val="18"/>
          <w:szCs w:val="18"/>
        </w:rPr>
      </w:pPr>
      <w:r w:rsidRPr="00201D3A">
        <w:rPr>
          <w:b/>
          <w:bCs/>
          <w:sz w:val="18"/>
          <w:szCs w:val="18"/>
        </w:rPr>
        <w:t>Graf č. 2.4 Zdravotní péče financovaná z veřejných zdrojů ve vybraných zemích EU v roce 2016</w:t>
      </w:r>
    </w:p>
    <w:p w:rsidR="006067DA" w:rsidRPr="008B3941" w:rsidRDefault="006067DA" w:rsidP="006067DA">
      <w:pPr>
        <w:keepNext/>
        <w:tabs>
          <w:tab w:val="left" w:pos="142"/>
          <w:tab w:val="left" w:pos="5103"/>
        </w:tabs>
        <w:spacing w:before="120"/>
        <w:rPr>
          <w:rFonts w:cs="Arial"/>
          <w:b/>
          <w:i/>
          <w:sz w:val="18"/>
          <w:szCs w:val="18"/>
        </w:rPr>
      </w:pPr>
      <w:r w:rsidRPr="008B3941">
        <w:rPr>
          <w:rFonts w:cs="Arial"/>
          <w:b/>
          <w:i/>
          <w:sz w:val="18"/>
          <w:szCs w:val="18"/>
        </w:rPr>
        <w:tab/>
        <w:t xml:space="preserve">a) podíl </w:t>
      </w:r>
      <w:r>
        <w:rPr>
          <w:rFonts w:cs="Arial"/>
          <w:b/>
          <w:i/>
          <w:sz w:val="18"/>
          <w:szCs w:val="18"/>
        </w:rPr>
        <w:t xml:space="preserve">na výdajích na zdravotní péči celkem </w:t>
      </w:r>
      <w:r w:rsidR="003C1109">
        <w:rPr>
          <w:rFonts w:cs="Arial"/>
          <w:b/>
          <w:i/>
          <w:sz w:val="18"/>
          <w:szCs w:val="18"/>
        </w:rPr>
        <w:t>(</w:t>
      </w:r>
      <w:r w:rsidRPr="008B3941">
        <w:rPr>
          <w:rFonts w:cs="Arial"/>
          <w:b/>
          <w:i/>
          <w:sz w:val="18"/>
          <w:szCs w:val="18"/>
        </w:rPr>
        <w:t>v %</w:t>
      </w:r>
      <w:r w:rsidR="003C1109">
        <w:rPr>
          <w:rFonts w:cs="Arial"/>
          <w:b/>
          <w:i/>
          <w:sz w:val="18"/>
          <w:szCs w:val="18"/>
        </w:rPr>
        <w:t>)</w:t>
      </w:r>
      <w:r w:rsidRPr="008B3941">
        <w:rPr>
          <w:rFonts w:cs="Arial"/>
          <w:b/>
          <w:i/>
          <w:sz w:val="18"/>
          <w:szCs w:val="18"/>
        </w:rPr>
        <w:t xml:space="preserve"> </w:t>
      </w:r>
      <w:r w:rsidRPr="008B3941">
        <w:rPr>
          <w:rFonts w:cs="Arial"/>
          <w:b/>
          <w:i/>
          <w:sz w:val="18"/>
          <w:szCs w:val="18"/>
        </w:rPr>
        <w:tab/>
        <w:t xml:space="preserve">b) </w:t>
      </w:r>
      <w:r>
        <w:rPr>
          <w:rFonts w:cs="Arial"/>
          <w:b/>
          <w:i/>
          <w:sz w:val="18"/>
          <w:szCs w:val="18"/>
        </w:rPr>
        <w:t xml:space="preserve">podíl na HDP </w:t>
      </w:r>
      <w:r w:rsidR="003C1109">
        <w:rPr>
          <w:rFonts w:cs="Arial"/>
          <w:b/>
          <w:i/>
          <w:sz w:val="18"/>
          <w:szCs w:val="18"/>
        </w:rPr>
        <w:t>(</w:t>
      </w:r>
      <w:r>
        <w:rPr>
          <w:rFonts w:cs="Arial"/>
          <w:b/>
          <w:i/>
          <w:sz w:val="18"/>
          <w:szCs w:val="18"/>
        </w:rPr>
        <w:t>v %</w:t>
      </w:r>
      <w:r w:rsidR="003C1109">
        <w:rPr>
          <w:rFonts w:cs="Arial"/>
          <w:b/>
          <w:i/>
          <w:sz w:val="18"/>
          <w:szCs w:val="18"/>
        </w:rPr>
        <w:t>)</w:t>
      </w:r>
      <w:r w:rsidRPr="008B3941">
        <w:rPr>
          <w:rFonts w:cs="Arial"/>
          <w:b/>
          <w:i/>
          <w:sz w:val="18"/>
          <w:szCs w:val="18"/>
        </w:rPr>
        <w:t xml:space="preserve"> </w:t>
      </w:r>
    </w:p>
    <w:p w:rsidR="006067DA" w:rsidRDefault="00DE7B9D" w:rsidP="006067DA">
      <w:pPr>
        <w:widowControl w:val="0"/>
        <w:jc w:val="both"/>
        <w:rPr>
          <w:noProof/>
          <w:lang w:val="en-US" w:eastAsia="en-US"/>
        </w:rPr>
      </w:pPr>
      <w:r>
        <w:rPr>
          <w:noProof/>
        </w:rPr>
        <w:drawing>
          <wp:inline distT="0" distB="0" distL="0" distR="0" wp14:anchorId="5501444A">
            <wp:extent cx="3035935" cy="2353310"/>
            <wp:effectExtent l="0" t="0" r="0" b="889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935" cy="2353310"/>
                    </a:xfrm>
                    <a:prstGeom prst="rect">
                      <a:avLst/>
                    </a:prstGeom>
                    <a:noFill/>
                  </pic:spPr>
                </pic:pic>
              </a:graphicData>
            </a:graphic>
          </wp:inline>
        </w:drawing>
      </w:r>
      <w:r w:rsidR="006067DA" w:rsidRPr="008B3941">
        <w:rPr>
          <w:noProof/>
          <w:lang w:val="en-US" w:eastAsia="en-US"/>
        </w:rPr>
        <w:t xml:space="preserve"> </w:t>
      </w:r>
      <w:r>
        <w:rPr>
          <w:noProof/>
        </w:rPr>
        <w:drawing>
          <wp:inline distT="0" distB="0" distL="0" distR="0" wp14:anchorId="6E81DA3C">
            <wp:extent cx="3035935" cy="2353310"/>
            <wp:effectExtent l="0" t="0" r="0" b="889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935" cy="2353310"/>
                    </a:xfrm>
                    <a:prstGeom prst="rect">
                      <a:avLst/>
                    </a:prstGeom>
                    <a:noFill/>
                  </pic:spPr>
                </pic:pic>
              </a:graphicData>
            </a:graphic>
          </wp:inline>
        </w:drawing>
      </w:r>
    </w:p>
    <w:p w:rsidR="006067DA" w:rsidRPr="00FC7C45" w:rsidRDefault="006067DA" w:rsidP="006067DA">
      <w:pPr>
        <w:keepNext/>
        <w:jc w:val="both"/>
        <w:rPr>
          <w:bCs/>
          <w:i/>
          <w:sz w:val="16"/>
          <w:szCs w:val="16"/>
        </w:rPr>
      </w:pPr>
      <w:r w:rsidRPr="002C5FF0">
        <w:rPr>
          <w:bCs/>
          <w:i/>
          <w:sz w:val="16"/>
          <w:szCs w:val="16"/>
        </w:rPr>
        <w:t xml:space="preserve">* </w:t>
      </w:r>
      <w:r w:rsidRPr="00FC7C45">
        <w:rPr>
          <w:bCs/>
          <w:i/>
          <w:sz w:val="16"/>
          <w:szCs w:val="16"/>
        </w:rPr>
        <w:t xml:space="preserve">Bez započtení </w:t>
      </w:r>
      <w:r>
        <w:rPr>
          <w:bCs/>
          <w:i/>
          <w:sz w:val="16"/>
          <w:szCs w:val="16"/>
        </w:rPr>
        <w:t>výdajů</w:t>
      </w:r>
      <w:r w:rsidRPr="00FC7C45">
        <w:rPr>
          <w:bCs/>
          <w:i/>
          <w:sz w:val="16"/>
          <w:szCs w:val="16"/>
        </w:rPr>
        <w:t xml:space="preserve"> na dlouhodobou </w:t>
      </w:r>
      <w:r w:rsidRPr="002C5FF0">
        <w:rPr>
          <w:bCs/>
          <w:i/>
          <w:sz w:val="16"/>
          <w:szCs w:val="16"/>
        </w:rPr>
        <w:t>sociální</w:t>
      </w:r>
      <w:r w:rsidRPr="00FC7C45">
        <w:rPr>
          <w:bCs/>
          <w:i/>
          <w:sz w:val="16"/>
          <w:szCs w:val="16"/>
        </w:rPr>
        <w:t xml:space="preserve"> </w:t>
      </w:r>
      <w:r>
        <w:rPr>
          <w:bCs/>
          <w:i/>
          <w:sz w:val="16"/>
          <w:szCs w:val="16"/>
        </w:rPr>
        <w:t xml:space="preserve">péči </w:t>
      </w:r>
      <w:r w:rsidR="002339D2">
        <w:rPr>
          <w:bCs/>
          <w:i/>
          <w:sz w:val="16"/>
          <w:szCs w:val="16"/>
        </w:rPr>
        <w:t xml:space="preserve">financovanou </w:t>
      </w:r>
      <w:r w:rsidRPr="00FC7C45">
        <w:rPr>
          <w:bCs/>
          <w:i/>
          <w:sz w:val="16"/>
          <w:szCs w:val="16"/>
        </w:rPr>
        <w:t>ze státního rozpočtu</w:t>
      </w:r>
      <w:r w:rsidR="002339D2">
        <w:rPr>
          <w:bCs/>
          <w:i/>
          <w:sz w:val="16"/>
          <w:szCs w:val="16"/>
        </w:rPr>
        <w:t>.</w:t>
      </w:r>
      <w:r w:rsidRPr="00FC7C45">
        <w:rPr>
          <w:bCs/>
          <w:i/>
          <w:sz w:val="16"/>
          <w:szCs w:val="16"/>
        </w:rPr>
        <w:t xml:space="preserve"> </w:t>
      </w:r>
    </w:p>
    <w:p w:rsidR="006067DA" w:rsidRPr="002C5FF0" w:rsidRDefault="006067DA" w:rsidP="00320E92">
      <w:pPr>
        <w:jc w:val="right"/>
        <w:rPr>
          <w:b/>
          <w:bCs/>
          <w:i/>
          <w:sz w:val="16"/>
          <w:szCs w:val="16"/>
        </w:rPr>
      </w:pPr>
      <w:r w:rsidRPr="002C5FF0">
        <w:rPr>
          <w:b/>
          <w:bCs/>
          <w:i/>
          <w:sz w:val="16"/>
          <w:szCs w:val="16"/>
        </w:rPr>
        <w:t>Zdroj: Eurostat 2019 a vlastní dopočty ČSÚ</w:t>
      </w:r>
    </w:p>
    <w:p w:rsidR="006067DA" w:rsidRPr="00941601" w:rsidRDefault="006067DA" w:rsidP="002075A8">
      <w:pPr>
        <w:widowControl w:val="0"/>
        <w:spacing w:before="120"/>
        <w:jc w:val="both"/>
        <w:rPr>
          <w:bCs/>
          <w:i/>
          <w:szCs w:val="20"/>
        </w:rPr>
      </w:pPr>
      <w:r>
        <w:rPr>
          <w:bCs/>
          <w:szCs w:val="20"/>
        </w:rPr>
        <w:t xml:space="preserve">I bez výdajů na sociálně zdravotní péči ze státního rozpočtu, je </w:t>
      </w:r>
      <w:r w:rsidRPr="003C1109">
        <w:rPr>
          <w:b/>
          <w:bCs/>
          <w:szCs w:val="20"/>
        </w:rPr>
        <w:t>podíl veřejných</w:t>
      </w:r>
      <w:r w:rsidR="002075A8">
        <w:rPr>
          <w:b/>
          <w:bCs/>
          <w:szCs w:val="20"/>
        </w:rPr>
        <w:t xml:space="preserve"> </w:t>
      </w:r>
      <w:r w:rsidR="00D10A68" w:rsidRPr="00D10A68">
        <w:rPr>
          <w:b/>
          <w:bCs/>
          <w:szCs w:val="20"/>
        </w:rPr>
        <w:t>zdrojů</w:t>
      </w:r>
      <w:r w:rsidR="00D10A68" w:rsidRPr="00D10A68">
        <w:rPr>
          <w:bCs/>
          <w:szCs w:val="20"/>
        </w:rPr>
        <w:t xml:space="preserve"> </w:t>
      </w:r>
      <w:r w:rsidR="002075A8" w:rsidRPr="00D10A68">
        <w:rPr>
          <w:b/>
          <w:bCs/>
          <w:szCs w:val="20"/>
        </w:rPr>
        <w:t>(</w:t>
      </w:r>
      <w:r w:rsidR="00D10A68">
        <w:rPr>
          <w:b/>
          <w:bCs/>
          <w:szCs w:val="20"/>
        </w:rPr>
        <w:t>veřejné rozpočty a </w:t>
      </w:r>
      <w:r w:rsidR="00D10A68" w:rsidRPr="00D10A68">
        <w:rPr>
          <w:b/>
          <w:bCs/>
          <w:szCs w:val="20"/>
        </w:rPr>
        <w:t>povinné pojištění</w:t>
      </w:r>
      <w:r w:rsidR="002075A8" w:rsidRPr="00D10A68">
        <w:rPr>
          <w:b/>
          <w:bCs/>
          <w:szCs w:val="20"/>
        </w:rPr>
        <w:t>)</w:t>
      </w:r>
      <w:r w:rsidRPr="00D10A68">
        <w:rPr>
          <w:b/>
          <w:bCs/>
          <w:szCs w:val="20"/>
        </w:rPr>
        <w:t xml:space="preserve"> </w:t>
      </w:r>
      <w:r w:rsidRPr="00D10A68">
        <w:rPr>
          <w:bCs/>
          <w:szCs w:val="20"/>
        </w:rPr>
        <w:t>na financování celkové zdravotní péče v Česku, jeden z nejvyšších</w:t>
      </w:r>
      <w:r>
        <w:rPr>
          <w:bCs/>
          <w:szCs w:val="20"/>
        </w:rPr>
        <w:t xml:space="preserve"> ze zemí EU. V roce 2016 byl jejich podíl pátý</w:t>
      </w:r>
      <w:r w:rsidR="003C1109">
        <w:rPr>
          <w:bCs/>
          <w:szCs w:val="20"/>
        </w:rPr>
        <w:t xml:space="preserve"> nejvyšší</w:t>
      </w:r>
      <w:r>
        <w:rPr>
          <w:bCs/>
          <w:szCs w:val="20"/>
        </w:rPr>
        <w:t>, a</w:t>
      </w:r>
      <w:r w:rsidR="003C1109">
        <w:rPr>
          <w:bCs/>
          <w:szCs w:val="20"/>
        </w:rPr>
        <w:t> </w:t>
      </w:r>
      <w:r>
        <w:rPr>
          <w:bCs/>
          <w:szCs w:val="20"/>
        </w:rPr>
        <w:t xml:space="preserve">to za Francií a před Nizozemskem. Nejvyšší byl v roce 2016 v </w:t>
      </w:r>
      <w:r w:rsidRPr="002E7C59">
        <w:rPr>
          <w:bCs/>
          <w:szCs w:val="20"/>
        </w:rPr>
        <w:t xml:space="preserve">sousedním Německu </w:t>
      </w:r>
      <w:r>
        <w:rPr>
          <w:bCs/>
          <w:szCs w:val="20"/>
        </w:rPr>
        <w:t>a dále pak ve dvou skandinávských zemích – v Dánsku a ve Švédsku – ve všech těchto zemích se tento podíl pohyboval kolem 8</w:t>
      </w:r>
      <w:r w:rsidR="00777353">
        <w:rPr>
          <w:bCs/>
          <w:szCs w:val="20"/>
        </w:rPr>
        <w:t>5</w:t>
      </w:r>
      <w:r>
        <w:rPr>
          <w:bCs/>
          <w:szCs w:val="20"/>
        </w:rPr>
        <w:t> %.</w:t>
      </w:r>
      <w:r w:rsidRPr="002E7C59">
        <w:rPr>
          <w:bCs/>
          <w:szCs w:val="20"/>
        </w:rPr>
        <w:t xml:space="preserve"> </w:t>
      </w:r>
      <w:r>
        <w:rPr>
          <w:bCs/>
          <w:szCs w:val="20"/>
        </w:rPr>
        <w:t>Pod průměrem zemí EU28 (79,5</w:t>
      </w:r>
      <w:r w:rsidR="003C1109">
        <w:rPr>
          <w:bCs/>
          <w:szCs w:val="20"/>
        </w:rPr>
        <w:t> </w:t>
      </w:r>
      <w:r>
        <w:rPr>
          <w:bCs/>
          <w:szCs w:val="20"/>
        </w:rPr>
        <w:t>%</w:t>
      </w:r>
      <w:r w:rsidR="003C1109">
        <w:rPr>
          <w:bCs/>
          <w:szCs w:val="20"/>
        </w:rPr>
        <w:t xml:space="preserve"> v roce 2016</w:t>
      </w:r>
      <w:r>
        <w:rPr>
          <w:bCs/>
          <w:szCs w:val="20"/>
        </w:rPr>
        <w:t>) se z našich sousedních zemí vyskytovalo Rakousko 74,1</w:t>
      </w:r>
      <w:r w:rsidR="003C1109">
        <w:rPr>
          <w:bCs/>
          <w:szCs w:val="20"/>
        </w:rPr>
        <w:t> </w:t>
      </w:r>
      <w:r>
        <w:rPr>
          <w:bCs/>
          <w:szCs w:val="20"/>
        </w:rPr>
        <w:t>% a</w:t>
      </w:r>
      <w:r w:rsidR="003C1109">
        <w:rPr>
          <w:bCs/>
          <w:szCs w:val="20"/>
        </w:rPr>
        <w:t> </w:t>
      </w:r>
      <w:r>
        <w:rPr>
          <w:bCs/>
          <w:szCs w:val="20"/>
        </w:rPr>
        <w:t xml:space="preserve">Polsko 69,9 %. Vůbec nejnižší podíl veřejných </w:t>
      </w:r>
      <w:r>
        <w:rPr>
          <w:bCs/>
          <w:szCs w:val="20"/>
        </w:rPr>
        <w:lastRenderedPageBreak/>
        <w:t xml:space="preserve">zdrojů na financování </w:t>
      </w:r>
      <w:r w:rsidR="00DB5AED">
        <w:rPr>
          <w:bCs/>
          <w:szCs w:val="20"/>
        </w:rPr>
        <w:t xml:space="preserve">celkové </w:t>
      </w:r>
      <w:r>
        <w:rPr>
          <w:bCs/>
          <w:szCs w:val="20"/>
        </w:rPr>
        <w:t xml:space="preserve">zdravotní </w:t>
      </w:r>
      <w:r w:rsidR="00DB5AED">
        <w:rPr>
          <w:bCs/>
          <w:szCs w:val="20"/>
        </w:rPr>
        <w:t xml:space="preserve">péče byl </w:t>
      </w:r>
      <w:r>
        <w:rPr>
          <w:bCs/>
          <w:szCs w:val="20"/>
        </w:rPr>
        <w:t>ve výše zmíněném Bulharsku a na Kypru.</w:t>
      </w:r>
      <w:r w:rsidRPr="009E01B7">
        <w:t xml:space="preserve"> </w:t>
      </w:r>
    </w:p>
    <w:p w:rsidR="006067DA" w:rsidRPr="009E01B7" w:rsidRDefault="006067DA" w:rsidP="002075A8">
      <w:pPr>
        <w:widowControl w:val="0"/>
        <w:spacing w:before="120"/>
        <w:jc w:val="both"/>
        <w:rPr>
          <w:bCs/>
          <w:szCs w:val="20"/>
        </w:rPr>
      </w:pPr>
      <w:r w:rsidRPr="00DB5AED">
        <w:rPr>
          <w:bCs/>
          <w:szCs w:val="20"/>
        </w:rPr>
        <w:t xml:space="preserve">Výše zmíněné Německo, Francie, Slovensko či Nizozemsko patří k zemím se systémem založeným především na </w:t>
      </w:r>
      <w:r w:rsidRPr="00DB5AED">
        <w:rPr>
          <w:b/>
          <w:bCs/>
          <w:szCs w:val="20"/>
        </w:rPr>
        <w:t xml:space="preserve">všeobecném </w:t>
      </w:r>
      <w:r w:rsidR="003C1109" w:rsidRPr="00DB5AED">
        <w:rPr>
          <w:b/>
          <w:bCs/>
          <w:szCs w:val="20"/>
        </w:rPr>
        <w:t xml:space="preserve">povinném </w:t>
      </w:r>
      <w:r w:rsidRPr="00DB5AED">
        <w:rPr>
          <w:b/>
          <w:bCs/>
          <w:szCs w:val="20"/>
        </w:rPr>
        <w:t>zdravotním pojištění</w:t>
      </w:r>
      <w:r w:rsidRPr="00DB5AED">
        <w:rPr>
          <w:bCs/>
          <w:szCs w:val="20"/>
        </w:rPr>
        <w:t xml:space="preserve">, které se v těchto zemích podílí na veškerých výdajích na zdravotní péči 75 a více procenty. K této skupině se blíží i Česká republika, kde zdravotní pojišťovny hradí cca dvě třetiny a bez započtení výše uvedených peněžitých dávek pro osoby dlouhodobě nemocné či zdravotně postižené dokonce 70 % z celkových </w:t>
      </w:r>
      <w:r w:rsidR="003C1109" w:rsidRPr="00DB5AED">
        <w:rPr>
          <w:bCs/>
          <w:szCs w:val="20"/>
        </w:rPr>
        <w:t xml:space="preserve">běžných nákladů </w:t>
      </w:r>
      <w:r w:rsidRPr="00DB5AED">
        <w:rPr>
          <w:bCs/>
          <w:szCs w:val="20"/>
        </w:rPr>
        <w:t>na zdravotní péči</w:t>
      </w:r>
      <w:r w:rsidRPr="00D10A68">
        <w:rPr>
          <w:bCs/>
          <w:szCs w:val="20"/>
        </w:rPr>
        <w:t>.</w:t>
      </w:r>
      <w:r w:rsidR="00437926" w:rsidRPr="00D10A68">
        <w:rPr>
          <w:bCs/>
          <w:szCs w:val="20"/>
        </w:rPr>
        <w:t xml:space="preserve"> Je ovšem nutno podotknout, že na rozdíl od Česka nebo Slovenska, v případě Německa i Francie je část z tohoto všeobecného zdravotního pojištění (cca 10 %) financovaná prostřednictvím povinného připojištění, které je částečně hrazeno zaměstnavateli pojištěných osob. V Nizozemsku a Švýcarsku je takto financovaná dokonce převážná část všeobecného povinného zdravotního pojištění.</w:t>
      </w:r>
      <w:r w:rsidRPr="00D10A68">
        <w:rPr>
          <w:bCs/>
          <w:szCs w:val="20"/>
        </w:rPr>
        <w:t xml:space="preserve"> Ve  Švédsku a Dánsku je</w:t>
      </w:r>
      <w:r w:rsidRPr="00DB5AED">
        <w:rPr>
          <w:bCs/>
          <w:szCs w:val="20"/>
        </w:rPr>
        <w:t xml:space="preserve"> naopak zdravotní péče financovaná výhradně </w:t>
      </w:r>
      <w:r w:rsidRPr="00DB5AED">
        <w:rPr>
          <w:b/>
          <w:bCs/>
          <w:szCs w:val="20"/>
        </w:rPr>
        <w:t>přímo z rozpočtů centrálních</w:t>
      </w:r>
      <w:r w:rsidRPr="003C1109">
        <w:rPr>
          <w:b/>
          <w:bCs/>
          <w:szCs w:val="20"/>
        </w:rPr>
        <w:t xml:space="preserve"> a</w:t>
      </w:r>
      <w:r w:rsidR="00DB5AED">
        <w:rPr>
          <w:b/>
          <w:bCs/>
          <w:szCs w:val="20"/>
        </w:rPr>
        <w:t> </w:t>
      </w:r>
      <w:r w:rsidRPr="003C1109">
        <w:rPr>
          <w:b/>
          <w:bCs/>
          <w:szCs w:val="20"/>
        </w:rPr>
        <w:t>místních vlád</w:t>
      </w:r>
      <w:r w:rsidRPr="009E01B7">
        <w:rPr>
          <w:bCs/>
          <w:szCs w:val="20"/>
        </w:rPr>
        <w:t xml:space="preserve"> s jejich podílem </w:t>
      </w:r>
      <w:r w:rsidR="002339D2">
        <w:rPr>
          <w:bCs/>
          <w:szCs w:val="20"/>
        </w:rPr>
        <w:t xml:space="preserve">kolem </w:t>
      </w:r>
      <w:r w:rsidRPr="009E01B7">
        <w:rPr>
          <w:bCs/>
          <w:szCs w:val="20"/>
        </w:rPr>
        <w:t>8</w:t>
      </w:r>
      <w:r w:rsidR="002339D2">
        <w:rPr>
          <w:bCs/>
          <w:szCs w:val="20"/>
        </w:rPr>
        <w:t>5</w:t>
      </w:r>
      <w:r w:rsidRPr="009E01B7">
        <w:rPr>
          <w:bCs/>
          <w:szCs w:val="20"/>
        </w:rPr>
        <w:t xml:space="preserve"> %. </w:t>
      </w:r>
      <w:r w:rsidR="003C1109" w:rsidRPr="00941601">
        <w:rPr>
          <w:bCs/>
          <w:i/>
          <w:szCs w:val="20"/>
        </w:rPr>
        <w:t>Podrobněji viz kapitola 4 Mezinárodní srovnání.</w:t>
      </w:r>
    </w:p>
    <w:p w:rsidR="006067DA" w:rsidRPr="00DB5AED" w:rsidRDefault="006067DA" w:rsidP="00201D3A">
      <w:pPr>
        <w:spacing w:before="120" w:after="60"/>
        <w:rPr>
          <w:rFonts w:eastAsia="MS Gothic"/>
          <w:b/>
          <w:i/>
        </w:rPr>
      </w:pPr>
      <w:r w:rsidRPr="00DB5AED">
        <w:rPr>
          <w:rFonts w:eastAsia="MS Gothic"/>
          <w:b/>
          <w:i/>
        </w:rPr>
        <w:t>Výdaje na zdravotní péči ze státního rozpočtu významně rostou</w:t>
      </w:r>
    </w:p>
    <w:p w:rsidR="006067DA" w:rsidRPr="00240B6D" w:rsidRDefault="006067DA" w:rsidP="00761C28">
      <w:pPr>
        <w:keepNext/>
        <w:spacing w:before="120"/>
        <w:jc w:val="both"/>
        <w:rPr>
          <w:bCs/>
          <w:szCs w:val="20"/>
        </w:rPr>
      </w:pPr>
      <w:r w:rsidRPr="00240B6D">
        <w:rPr>
          <w:bCs/>
          <w:szCs w:val="20"/>
        </w:rPr>
        <w:t>V roce 201</w:t>
      </w:r>
      <w:r>
        <w:rPr>
          <w:bCs/>
          <w:szCs w:val="20"/>
        </w:rPr>
        <w:t>7</w:t>
      </w:r>
      <w:r w:rsidRPr="00240B6D">
        <w:rPr>
          <w:bCs/>
          <w:szCs w:val="20"/>
        </w:rPr>
        <w:t xml:space="preserve"> šlo z </w:t>
      </w:r>
      <w:r w:rsidRPr="00DB5AED">
        <w:rPr>
          <w:b/>
          <w:bCs/>
          <w:szCs w:val="20"/>
        </w:rPr>
        <w:t>veřejných zdrojů</w:t>
      </w:r>
      <w:r w:rsidRPr="00240B6D">
        <w:rPr>
          <w:bCs/>
          <w:szCs w:val="20"/>
        </w:rPr>
        <w:t xml:space="preserve"> na zdravotní péči v </w:t>
      </w:r>
      <w:r w:rsidRPr="00DB5AED">
        <w:rPr>
          <w:bCs/>
          <w:szCs w:val="20"/>
        </w:rPr>
        <w:t>Česku celkem</w:t>
      </w:r>
      <w:r w:rsidRPr="00240B6D">
        <w:rPr>
          <w:bCs/>
          <w:szCs w:val="20"/>
        </w:rPr>
        <w:t xml:space="preserve"> 3</w:t>
      </w:r>
      <w:r>
        <w:rPr>
          <w:bCs/>
          <w:szCs w:val="20"/>
        </w:rPr>
        <w:t xml:space="preserve">22 mld. Kč, což je o 14 % více než v roce 2010. Celkově bylo za uplynulých osm let vydáno z veřejných rozpočtů </w:t>
      </w:r>
      <w:r w:rsidRPr="00240B6D">
        <w:rPr>
          <w:bCs/>
          <w:szCs w:val="20"/>
        </w:rPr>
        <w:t>2 </w:t>
      </w:r>
      <w:r>
        <w:rPr>
          <w:bCs/>
          <w:szCs w:val="20"/>
        </w:rPr>
        <w:t>355</w:t>
      </w:r>
      <w:r w:rsidRPr="00240B6D">
        <w:rPr>
          <w:bCs/>
          <w:szCs w:val="20"/>
        </w:rPr>
        <w:t xml:space="preserve"> miliard korun, z toho v posledních </w:t>
      </w:r>
      <w:r>
        <w:rPr>
          <w:bCs/>
          <w:szCs w:val="20"/>
        </w:rPr>
        <w:t>čtyřech</w:t>
      </w:r>
      <w:r w:rsidRPr="00240B6D">
        <w:rPr>
          <w:bCs/>
          <w:szCs w:val="20"/>
        </w:rPr>
        <w:t xml:space="preserve"> letech (2014 až 201</w:t>
      </w:r>
      <w:r>
        <w:rPr>
          <w:bCs/>
          <w:szCs w:val="20"/>
        </w:rPr>
        <w:t>7</w:t>
      </w:r>
      <w:r w:rsidRPr="00240B6D">
        <w:rPr>
          <w:bCs/>
          <w:szCs w:val="20"/>
        </w:rPr>
        <w:t xml:space="preserve">) </w:t>
      </w:r>
      <w:r>
        <w:rPr>
          <w:bCs/>
          <w:szCs w:val="20"/>
        </w:rPr>
        <w:t>1 207</w:t>
      </w:r>
      <w:r w:rsidRPr="00240B6D">
        <w:rPr>
          <w:bCs/>
          <w:szCs w:val="20"/>
        </w:rPr>
        <w:t xml:space="preserve"> miliard. </w:t>
      </w:r>
      <w:r>
        <w:rPr>
          <w:bCs/>
          <w:szCs w:val="20"/>
        </w:rPr>
        <w:t>V roce 2017 šlo</w:t>
      </w:r>
      <w:r w:rsidRPr="00240B6D">
        <w:rPr>
          <w:bCs/>
          <w:szCs w:val="20"/>
        </w:rPr>
        <w:t xml:space="preserve"> na zdravotní péči </w:t>
      </w:r>
      <w:r w:rsidRPr="00B96B41">
        <w:rPr>
          <w:b/>
          <w:bCs/>
          <w:szCs w:val="20"/>
        </w:rPr>
        <w:t>n</w:t>
      </w:r>
      <w:r w:rsidRPr="003452B6">
        <w:rPr>
          <w:b/>
          <w:bCs/>
          <w:szCs w:val="20"/>
        </w:rPr>
        <w:t>a jednoho obyvatele</w:t>
      </w:r>
      <w:r w:rsidRPr="00240B6D">
        <w:rPr>
          <w:bCs/>
          <w:szCs w:val="20"/>
        </w:rPr>
        <w:t xml:space="preserve"> </w:t>
      </w:r>
      <w:r>
        <w:rPr>
          <w:bCs/>
          <w:szCs w:val="20"/>
        </w:rPr>
        <w:t>z veřejných zdrojů 30,4 tis. Kč, což je zhruba o 3,6 tisíc</w:t>
      </w:r>
      <w:r w:rsidR="00DB5AED">
        <w:rPr>
          <w:bCs/>
          <w:szCs w:val="20"/>
        </w:rPr>
        <w:t>e</w:t>
      </w:r>
      <w:r>
        <w:rPr>
          <w:bCs/>
          <w:szCs w:val="20"/>
        </w:rPr>
        <w:t xml:space="preserve"> více než</w:t>
      </w:r>
      <w:r w:rsidRPr="00240B6D">
        <w:rPr>
          <w:bCs/>
          <w:szCs w:val="20"/>
        </w:rPr>
        <w:t xml:space="preserve"> </w:t>
      </w:r>
      <w:r>
        <w:rPr>
          <w:bCs/>
          <w:szCs w:val="20"/>
        </w:rPr>
        <w:t xml:space="preserve">v roce 2010. </w:t>
      </w:r>
      <w:r w:rsidRPr="00240B6D">
        <w:rPr>
          <w:bCs/>
          <w:szCs w:val="20"/>
        </w:rPr>
        <w:t xml:space="preserve">Ve vztahu k celkovým výdajům </w:t>
      </w:r>
      <w:r>
        <w:rPr>
          <w:bCs/>
          <w:szCs w:val="20"/>
        </w:rPr>
        <w:t xml:space="preserve">z </w:t>
      </w:r>
      <w:r w:rsidRPr="00240B6D">
        <w:rPr>
          <w:bCs/>
          <w:szCs w:val="20"/>
        </w:rPr>
        <w:t>veřejných rozpočt</w:t>
      </w:r>
      <w:r>
        <w:rPr>
          <w:bCs/>
          <w:szCs w:val="20"/>
        </w:rPr>
        <w:t>ů</w:t>
      </w:r>
      <w:r w:rsidRPr="00240B6D">
        <w:rPr>
          <w:bCs/>
          <w:szCs w:val="20"/>
        </w:rPr>
        <w:t xml:space="preserve"> tvořily v roce 201</w:t>
      </w:r>
      <w:r>
        <w:rPr>
          <w:bCs/>
          <w:szCs w:val="20"/>
        </w:rPr>
        <w:t>7</w:t>
      </w:r>
      <w:r w:rsidRPr="00240B6D">
        <w:rPr>
          <w:bCs/>
          <w:szCs w:val="20"/>
        </w:rPr>
        <w:t xml:space="preserve"> výdaje na zdravotní péči v pojetí SHA 16</w:t>
      </w:r>
      <w:r>
        <w:rPr>
          <w:bCs/>
          <w:szCs w:val="20"/>
        </w:rPr>
        <w:t>,4</w:t>
      </w:r>
      <w:r w:rsidRPr="00240B6D">
        <w:rPr>
          <w:bCs/>
          <w:szCs w:val="20"/>
        </w:rPr>
        <w:t> %.</w:t>
      </w:r>
    </w:p>
    <w:p w:rsidR="006067DA" w:rsidRDefault="006067DA" w:rsidP="00761C28">
      <w:pPr>
        <w:spacing w:before="120"/>
        <w:jc w:val="both"/>
        <w:rPr>
          <w:bCs/>
          <w:szCs w:val="20"/>
        </w:rPr>
      </w:pPr>
      <w:r w:rsidRPr="00240B6D">
        <w:rPr>
          <w:bCs/>
          <w:szCs w:val="20"/>
        </w:rPr>
        <w:t xml:space="preserve">V rámci veřejného financování zdravotní péče u nás jednoznačně převládá jeho financování prostřednictvím </w:t>
      </w:r>
      <w:r w:rsidRPr="00D76ECF">
        <w:rPr>
          <w:b/>
          <w:bCs/>
          <w:szCs w:val="20"/>
        </w:rPr>
        <w:t>plateb z veřejného zdravotního pojištění</w:t>
      </w:r>
      <w:r w:rsidRPr="00240B6D">
        <w:rPr>
          <w:bCs/>
          <w:szCs w:val="20"/>
        </w:rPr>
        <w:t>. Veřejné zdravotní pojišťovny se v roce 201</w:t>
      </w:r>
      <w:r>
        <w:rPr>
          <w:bCs/>
          <w:szCs w:val="20"/>
        </w:rPr>
        <w:t>7</w:t>
      </w:r>
      <w:r w:rsidRPr="00240B6D">
        <w:rPr>
          <w:bCs/>
          <w:szCs w:val="20"/>
        </w:rPr>
        <w:t xml:space="preserve"> podílely ze 7</w:t>
      </w:r>
      <w:r>
        <w:rPr>
          <w:bCs/>
          <w:szCs w:val="20"/>
        </w:rPr>
        <w:t>8,3</w:t>
      </w:r>
      <w:r w:rsidRPr="00240B6D">
        <w:rPr>
          <w:bCs/>
          <w:szCs w:val="20"/>
        </w:rPr>
        <w:t> % (2</w:t>
      </w:r>
      <w:r>
        <w:rPr>
          <w:bCs/>
          <w:szCs w:val="20"/>
        </w:rPr>
        <w:t>52,2</w:t>
      </w:r>
      <w:r w:rsidRPr="00240B6D">
        <w:rPr>
          <w:bCs/>
          <w:szCs w:val="20"/>
        </w:rPr>
        <w:t xml:space="preserve"> mld. Kč) na financování zdravotní péče z veřejných zdrojů</w:t>
      </w:r>
      <w:r>
        <w:rPr>
          <w:bCs/>
          <w:szCs w:val="20"/>
        </w:rPr>
        <w:t>. V</w:t>
      </w:r>
      <w:r w:rsidRPr="00240B6D">
        <w:rPr>
          <w:bCs/>
          <w:szCs w:val="20"/>
        </w:rPr>
        <w:t> posledních letech podíl tohoto zdroje však klesá</w:t>
      </w:r>
      <w:r>
        <w:rPr>
          <w:bCs/>
          <w:szCs w:val="20"/>
        </w:rPr>
        <w:t>. O</w:t>
      </w:r>
      <w:r w:rsidRPr="009C1400">
        <w:rPr>
          <w:bCs/>
          <w:szCs w:val="20"/>
        </w:rPr>
        <w:t xml:space="preserve">d roku 2013 vzrostl podíl </w:t>
      </w:r>
      <w:r w:rsidRPr="009C1400">
        <w:rPr>
          <w:b/>
          <w:bCs/>
          <w:szCs w:val="20"/>
        </w:rPr>
        <w:t>státního rozpočtu</w:t>
      </w:r>
      <w:r w:rsidRPr="009C1400">
        <w:rPr>
          <w:bCs/>
          <w:szCs w:val="20"/>
        </w:rPr>
        <w:t xml:space="preserve"> na financování zdravotní péče z veřejných zdrojů</w:t>
      </w:r>
      <w:r w:rsidRPr="00240B6D">
        <w:rPr>
          <w:bCs/>
          <w:szCs w:val="20"/>
        </w:rPr>
        <w:t xml:space="preserve"> z</w:t>
      </w:r>
      <w:r>
        <w:rPr>
          <w:bCs/>
          <w:szCs w:val="20"/>
        </w:rPr>
        <w:t> </w:t>
      </w:r>
      <w:r w:rsidRPr="00240B6D">
        <w:rPr>
          <w:bCs/>
          <w:szCs w:val="20"/>
        </w:rPr>
        <w:t>1</w:t>
      </w:r>
      <w:r>
        <w:rPr>
          <w:bCs/>
          <w:szCs w:val="20"/>
        </w:rPr>
        <w:t>6,3</w:t>
      </w:r>
      <w:r w:rsidRPr="00240B6D">
        <w:rPr>
          <w:bCs/>
          <w:szCs w:val="20"/>
        </w:rPr>
        <w:t> % (4</w:t>
      </w:r>
      <w:r>
        <w:rPr>
          <w:bCs/>
          <w:szCs w:val="20"/>
        </w:rPr>
        <w:t>7,5</w:t>
      </w:r>
      <w:r w:rsidRPr="00240B6D">
        <w:rPr>
          <w:bCs/>
          <w:szCs w:val="20"/>
        </w:rPr>
        <w:t xml:space="preserve"> mld. Kč) na 1</w:t>
      </w:r>
      <w:r>
        <w:rPr>
          <w:bCs/>
          <w:szCs w:val="20"/>
        </w:rPr>
        <w:t>9,3</w:t>
      </w:r>
      <w:r w:rsidRPr="00240B6D">
        <w:rPr>
          <w:bCs/>
          <w:szCs w:val="20"/>
        </w:rPr>
        <w:t> % (</w:t>
      </w:r>
      <w:r>
        <w:rPr>
          <w:bCs/>
          <w:szCs w:val="20"/>
        </w:rPr>
        <w:t>62,1</w:t>
      </w:r>
      <w:r w:rsidRPr="00240B6D">
        <w:rPr>
          <w:bCs/>
          <w:szCs w:val="20"/>
        </w:rPr>
        <w:t xml:space="preserve"> mld. Kč) v roce 201</w:t>
      </w:r>
      <w:r>
        <w:rPr>
          <w:bCs/>
          <w:szCs w:val="20"/>
        </w:rPr>
        <w:t>7</w:t>
      </w:r>
      <w:r w:rsidRPr="00240B6D">
        <w:rPr>
          <w:bCs/>
          <w:szCs w:val="20"/>
        </w:rPr>
        <w:t xml:space="preserve">. </w:t>
      </w:r>
    </w:p>
    <w:p w:rsidR="006067DA" w:rsidRPr="00240B6D" w:rsidRDefault="006067DA" w:rsidP="006067DA">
      <w:pPr>
        <w:keepNext/>
        <w:spacing w:before="240" w:after="120" w:line="240" w:lineRule="auto"/>
        <w:jc w:val="both"/>
        <w:rPr>
          <w:b/>
          <w:bCs/>
          <w:sz w:val="18"/>
          <w:szCs w:val="18"/>
        </w:rPr>
      </w:pPr>
      <w:r w:rsidRPr="00240B6D">
        <w:rPr>
          <w:b/>
          <w:bCs/>
          <w:sz w:val="18"/>
          <w:szCs w:val="18"/>
        </w:rPr>
        <w:t>Graf č: 2.</w:t>
      </w:r>
      <w:r>
        <w:rPr>
          <w:b/>
          <w:bCs/>
          <w:sz w:val="18"/>
          <w:szCs w:val="18"/>
        </w:rPr>
        <w:t>5</w:t>
      </w:r>
      <w:r w:rsidRPr="00240B6D">
        <w:rPr>
          <w:b/>
          <w:bCs/>
          <w:sz w:val="18"/>
          <w:szCs w:val="18"/>
        </w:rPr>
        <w:t xml:space="preserve"> Výdaje na zdravotní péči v Česku financované z veřejných zdrojů, 201</w:t>
      </w:r>
      <w:r>
        <w:rPr>
          <w:b/>
          <w:bCs/>
          <w:sz w:val="18"/>
          <w:szCs w:val="18"/>
        </w:rPr>
        <w:t>3</w:t>
      </w:r>
      <w:r w:rsidRPr="00240B6D">
        <w:rPr>
          <w:b/>
          <w:bCs/>
          <w:sz w:val="18"/>
          <w:szCs w:val="18"/>
        </w:rPr>
        <w:t xml:space="preserve"> – 201</w:t>
      </w:r>
      <w:r>
        <w:rPr>
          <w:b/>
          <w:bCs/>
          <w:sz w:val="18"/>
          <w:szCs w:val="18"/>
        </w:rPr>
        <w:t>7</w:t>
      </w:r>
      <w:r w:rsidRPr="00240B6D">
        <w:rPr>
          <w:b/>
          <w:bCs/>
          <w:sz w:val="18"/>
          <w:szCs w:val="18"/>
        </w:rPr>
        <w:t xml:space="preserve"> (mld. Kč; %)</w:t>
      </w:r>
    </w:p>
    <w:p w:rsidR="006067DA" w:rsidRPr="00240B6D" w:rsidRDefault="006067DA" w:rsidP="006067DA">
      <w:pPr>
        <w:keepNext/>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6067DA" w:rsidRPr="00240B6D" w:rsidRDefault="00DE7B9D" w:rsidP="006067DA">
      <w:pPr>
        <w:keepNext/>
        <w:jc w:val="both"/>
        <w:rPr>
          <w:bCs/>
          <w:szCs w:val="20"/>
        </w:rPr>
      </w:pPr>
      <w:r>
        <w:rPr>
          <w:noProof/>
        </w:rPr>
        <w:drawing>
          <wp:inline distT="0" distB="0" distL="0" distR="0" wp14:anchorId="7374FBAC">
            <wp:extent cx="3420110" cy="270065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110" cy="2700655"/>
                    </a:xfrm>
                    <a:prstGeom prst="rect">
                      <a:avLst/>
                    </a:prstGeom>
                    <a:noFill/>
                  </pic:spPr>
                </pic:pic>
              </a:graphicData>
            </a:graphic>
          </wp:inline>
        </w:drawing>
      </w:r>
      <w:r w:rsidR="006067DA" w:rsidRPr="00240B6D">
        <w:rPr>
          <w:noProof/>
          <w:lang w:val="en-US" w:eastAsia="en-US"/>
        </w:rPr>
        <w:t xml:space="preserve"> </w:t>
      </w:r>
      <w:r>
        <w:rPr>
          <w:noProof/>
        </w:rPr>
        <w:drawing>
          <wp:inline distT="0" distB="0" distL="0" distR="0" wp14:anchorId="7A1618BB">
            <wp:extent cx="2664460" cy="270065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4460" cy="2700655"/>
                    </a:xfrm>
                    <a:prstGeom prst="rect">
                      <a:avLst/>
                    </a:prstGeom>
                    <a:noFill/>
                  </pic:spPr>
                </pic:pic>
              </a:graphicData>
            </a:graphic>
          </wp:inline>
        </w:drawing>
      </w:r>
    </w:p>
    <w:p w:rsidR="006067DA" w:rsidRPr="00240B6D" w:rsidRDefault="006067DA" w:rsidP="006067DA">
      <w:pPr>
        <w:spacing w:before="120" w:line="240" w:lineRule="auto"/>
        <w:jc w:val="right"/>
        <w:rPr>
          <w:b/>
          <w:bCs/>
          <w:i/>
          <w:sz w:val="16"/>
          <w:szCs w:val="16"/>
        </w:rPr>
      </w:pPr>
      <w:r>
        <w:rPr>
          <w:b/>
          <w:bCs/>
          <w:i/>
          <w:sz w:val="16"/>
          <w:szCs w:val="16"/>
        </w:rPr>
        <w:t>Zdroj: ČSÚ 2019</w:t>
      </w:r>
      <w:r w:rsidRPr="00240B6D">
        <w:rPr>
          <w:b/>
          <w:bCs/>
          <w:i/>
          <w:sz w:val="16"/>
          <w:szCs w:val="16"/>
        </w:rPr>
        <w:t>, Zdravotnické účty ČR 2010 - 201</w:t>
      </w:r>
      <w:r>
        <w:rPr>
          <w:b/>
          <w:bCs/>
          <w:i/>
          <w:sz w:val="16"/>
          <w:szCs w:val="16"/>
        </w:rPr>
        <w:t>7</w:t>
      </w:r>
      <w:r w:rsidRPr="00240B6D">
        <w:rPr>
          <w:b/>
          <w:bCs/>
          <w:i/>
          <w:sz w:val="16"/>
          <w:szCs w:val="16"/>
        </w:rPr>
        <w:t xml:space="preserve"> </w:t>
      </w:r>
    </w:p>
    <w:p w:rsidR="002339D2" w:rsidRDefault="002339D2" w:rsidP="002339D2">
      <w:pPr>
        <w:spacing w:before="120"/>
        <w:jc w:val="both"/>
        <w:rPr>
          <w:bCs/>
          <w:szCs w:val="20"/>
        </w:rPr>
      </w:pPr>
      <w:r w:rsidRPr="00D76ECF">
        <w:rPr>
          <w:b/>
          <w:bCs/>
          <w:szCs w:val="20"/>
        </w:rPr>
        <w:t>Místní (krajské a obecní) rozpočty</w:t>
      </w:r>
      <w:r w:rsidRPr="00240B6D">
        <w:rPr>
          <w:bCs/>
          <w:szCs w:val="20"/>
        </w:rPr>
        <w:t xml:space="preserve"> jsou v Česku pouze doplňkovým zdrojem financování zdravotní péče. </w:t>
      </w:r>
      <w:r>
        <w:rPr>
          <w:bCs/>
          <w:szCs w:val="17"/>
        </w:rPr>
        <w:t>Z</w:t>
      </w:r>
      <w:r w:rsidR="00DB5AED">
        <w:rPr>
          <w:bCs/>
          <w:szCs w:val="17"/>
        </w:rPr>
        <w:t> </w:t>
      </w:r>
      <w:r>
        <w:rPr>
          <w:bCs/>
          <w:szCs w:val="17"/>
        </w:rPr>
        <w:t>v</w:t>
      </w:r>
      <w:r w:rsidRPr="00240B6D">
        <w:rPr>
          <w:bCs/>
          <w:szCs w:val="17"/>
        </w:rPr>
        <w:t xml:space="preserve">ýdajů </w:t>
      </w:r>
      <w:r>
        <w:rPr>
          <w:bCs/>
          <w:szCs w:val="17"/>
        </w:rPr>
        <w:t>ve výši 7,8</w:t>
      </w:r>
      <w:r w:rsidR="00DB5AED">
        <w:rPr>
          <w:bCs/>
          <w:szCs w:val="17"/>
        </w:rPr>
        <w:t> </w:t>
      </w:r>
      <w:r w:rsidRPr="00240B6D">
        <w:rPr>
          <w:bCs/>
          <w:szCs w:val="17"/>
        </w:rPr>
        <w:t>mld</w:t>
      </w:r>
      <w:r>
        <w:rPr>
          <w:bCs/>
          <w:szCs w:val="17"/>
        </w:rPr>
        <w:t>. Kč</w:t>
      </w:r>
      <w:r w:rsidRPr="00240B6D">
        <w:rPr>
          <w:bCs/>
          <w:szCs w:val="17"/>
        </w:rPr>
        <w:t xml:space="preserve"> na zdravotní péči v roce 201</w:t>
      </w:r>
      <w:r>
        <w:rPr>
          <w:bCs/>
          <w:szCs w:val="17"/>
        </w:rPr>
        <w:t>7</w:t>
      </w:r>
      <w:r w:rsidRPr="00240B6D">
        <w:rPr>
          <w:bCs/>
          <w:szCs w:val="17"/>
        </w:rPr>
        <w:t xml:space="preserve">, která byla hrazena z krajských a obecních rozpočtů, </w:t>
      </w:r>
      <w:r>
        <w:rPr>
          <w:bCs/>
          <w:szCs w:val="17"/>
        </w:rPr>
        <w:t xml:space="preserve">zhruba </w:t>
      </w:r>
      <w:r w:rsidRPr="00240B6D">
        <w:rPr>
          <w:bCs/>
          <w:szCs w:val="17"/>
        </w:rPr>
        <w:t>polovina (3,</w:t>
      </w:r>
      <w:r>
        <w:rPr>
          <w:bCs/>
          <w:szCs w:val="17"/>
        </w:rPr>
        <w:t>7</w:t>
      </w:r>
      <w:r w:rsidR="00DB5AED">
        <w:rPr>
          <w:bCs/>
          <w:szCs w:val="17"/>
        </w:rPr>
        <w:t> </w:t>
      </w:r>
      <w:r w:rsidRPr="00240B6D">
        <w:rPr>
          <w:bCs/>
          <w:szCs w:val="17"/>
        </w:rPr>
        <w:t>mld.</w:t>
      </w:r>
      <w:r w:rsidR="00DB5AED">
        <w:rPr>
          <w:bCs/>
          <w:szCs w:val="17"/>
        </w:rPr>
        <w:t> </w:t>
      </w:r>
      <w:r w:rsidRPr="00240B6D">
        <w:rPr>
          <w:bCs/>
          <w:szCs w:val="17"/>
        </w:rPr>
        <w:t xml:space="preserve">Kč) připadla na dopravu pacientů – </w:t>
      </w:r>
      <w:r>
        <w:rPr>
          <w:bCs/>
          <w:szCs w:val="17"/>
        </w:rPr>
        <w:t xml:space="preserve">zdravotnickou </w:t>
      </w:r>
      <w:r w:rsidRPr="00240B6D">
        <w:rPr>
          <w:bCs/>
          <w:szCs w:val="17"/>
        </w:rPr>
        <w:t>záchrannou</w:t>
      </w:r>
      <w:r>
        <w:rPr>
          <w:bCs/>
          <w:szCs w:val="17"/>
        </w:rPr>
        <w:t xml:space="preserve"> a</w:t>
      </w:r>
      <w:r w:rsidR="00DB5AED">
        <w:rPr>
          <w:bCs/>
          <w:szCs w:val="17"/>
        </w:rPr>
        <w:t> </w:t>
      </w:r>
      <w:r>
        <w:rPr>
          <w:bCs/>
          <w:szCs w:val="17"/>
        </w:rPr>
        <w:t>dopravní</w:t>
      </w:r>
      <w:r w:rsidRPr="00240B6D">
        <w:rPr>
          <w:bCs/>
          <w:szCs w:val="17"/>
        </w:rPr>
        <w:t xml:space="preserve"> službu</w:t>
      </w:r>
      <w:r>
        <w:rPr>
          <w:bCs/>
          <w:szCs w:val="17"/>
        </w:rPr>
        <w:t xml:space="preserve"> provozovanou kraji</w:t>
      </w:r>
      <w:r w:rsidRPr="00240B6D">
        <w:rPr>
          <w:bCs/>
          <w:szCs w:val="17"/>
        </w:rPr>
        <w:t>.</w:t>
      </w:r>
      <w:r w:rsidRPr="00B81E9C">
        <w:rPr>
          <w:bCs/>
          <w:szCs w:val="20"/>
        </w:rPr>
        <w:t xml:space="preserve"> </w:t>
      </w:r>
      <w:r w:rsidRPr="009E01B7">
        <w:rPr>
          <w:bCs/>
          <w:szCs w:val="20"/>
        </w:rPr>
        <w:t xml:space="preserve">U těchto zdrojů byl v roce 2017 zaznamenán vysoký procentuální meziroční nárůst výdajů na zdravotní péči. Výše výdajů místních rozpočtů je však v porovnání s výdaji zdravotních pojišťoven a ze státního rozpočtu nižší a z tohoto důvodu i absolutní nárůst </w:t>
      </w:r>
      <w:r w:rsidR="00DB5AED">
        <w:rPr>
          <w:bCs/>
          <w:szCs w:val="20"/>
        </w:rPr>
        <w:t xml:space="preserve">o </w:t>
      </w:r>
      <w:r w:rsidRPr="009E01B7">
        <w:rPr>
          <w:bCs/>
          <w:szCs w:val="20"/>
        </w:rPr>
        <w:t>1,2</w:t>
      </w:r>
      <w:r w:rsidR="00DB5AED">
        <w:rPr>
          <w:bCs/>
          <w:szCs w:val="20"/>
        </w:rPr>
        <w:t> </w:t>
      </w:r>
      <w:r w:rsidRPr="009E01B7">
        <w:rPr>
          <w:bCs/>
          <w:szCs w:val="20"/>
        </w:rPr>
        <w:t>mld.</w:t>
      </w:r>
      <w:r w:rsidR="00DB5AED">
        <w:rPr>
          <w:bCs/>
          <w:szCs w:val="20"/>
        </w:rPr>
        <w:t> </w:t>
      </w:r>
      <w:r w:rsidRPr="009E01B7">
        <w:rPr>
          <w:bCs/>
          <w:szCs w:val="20"/>
        </w:rPr>
        <w:t>Kč způsobil významné procentuální zvýšení o téměř jednu pětinu.</w:t>
      </w:r>
    </w:p>
    <w:p w:rsidR="006067DA" w:rsidRPr="00240B6D" w:rsidRDefault="006067DA" w:rsidP="00201D3A">
      <w:pPr>
        <w:spacing w:before="120" w:after="60"/>
        <w:rPr>
          <w:rFonts w:eastAsia="MS Gothic"/>
          <w:b/>
          <w:i/>
        </w:rPr>
      </w:pPr>
      <w:r w:rsidRPr="00240B6D">
        <w:rPr>
          <w:rFonts w:eastAsia="MS Gothic"/>
          <w:b/>
          <w:i/>
        </w:rPr>
        <w:lastRenderedPageBreak/>
        <w:t xml:space="preserve">Platby z povinného zdravotního pojištění se </w:t>
      </w:r>
      <w:r>
        <w:rPr>
          <w:rFonts w:eastAsia="MS Gothic"/>
          <w:b/>
          <w:i/>
        </w:rPr>
        <w:t xml:space="preserve">v Česku </w:t>
      </w:r>
      <w:r w:rsidRPr="00240B6D">
        <w:rPr>
          <w:rFonts w:eastAsia="MS Gothic"/>
          <w:b/>
          <w:i/>
        </w:rPr>
        <w:t>podílejí 2/3 na financování zdravotní péče</w:t>
      </w:r>
    </w:p>
    <w:p w:rsidR="006067DA" w:rsidRPr="009D2120" w:rsidRDefault="006067DA" w:rsidP="006067DA">
      <w:pPr>
        <w:keepNext/>
        <w:jc w:val="both"/>
        <w:rPr>
          <w:i/>
        </w:rPr>
      </w:pPr>
      <w:r>
        <w:rPr>
          <w:i/>
        </w:rPr>
        <w:t xml:space="preserve">Základním pilířem českého systému zdravotní péče je veřejné zdravotní pojištění, které poskytuje všeobecné pokrytí a široký rozsah hrazených služeb. </w:t>
      </w:r>
      <w:r w:rsidRPr="009D2120">
        <w:rPr>
          <w:i/>
        </w:rPr>
        <w:t xml:space="preserve">V České republice mají klíčové postavení z hlediska financování zdravotní péče </w:t>
      </w:r>
      <w:r w:rsidRPr="009D2120">
        <w:rPr>
          <w:b/>
          <w:i/>
        </w:rPr>
        <w:t>zdravotní pojišťovny</w:t>
      </w:r>
      <w:r w:rsidRPr="009D2120">
        <w:rPr>
          <w:i/>
        </w:rPr>
        <w:t xml:space="preserve">, </w:t>
      </w:r>
      <w:r w:rsidRPr="00572B22">
        <w:rPr>
          <w:i/>
        </w:rPr>
        <w:t>jejichž příjmy plynou z veřejného zdravotního pojištění, kterého je povinně účastna každá osoba s trvalým pobytem na našem území. V případě zaměstnaneckého poměru odvádí zaměstnavatel na zdravotní pojištění 13,5 % z vyměřovacího základu, z toho 1/3 hradí zaměstnanec a 2/3 zaměstnavatel. V některých případech je plátcem pojistného tohoto pojištění stát (například za nezaopatřené děti, důchodce aj.).</w:t>
      </w:r>
      <w:r>
        <w:t xml:space="preserve"> </w:t>
      </w:r>
      <w:r w:rsidRPr="009D2120">
        <w:rPr>
          <w:i/>
        </w:rPr>
        <w:t xml:space="preserve">Hlavní zásadou veřejného zdravotního pojištění je solidarita a rovnost přístupu ke zdravotní péči. </w:t>
      </w:r>
    </w:p>
    <w:p w:rsidR="006067DA" w:rsidRPr="000353CA" w:rsidRDefault="006067DA" w:rsidP="00761C28">
      <w:pPr>
        <w:spacing w:before="120"/>
        <w:jc w:val="both"/>
        <w:rPr>
          <w:bCs/>
          <w:i/>
          <w:szCs w:val="20"/>
        </w:rPr>
      </w:pPr>
      <w:r w:rsidRPr="00761C28">
        <w:rPr>
          <w:b/>
          <w:bCs/>
          <w:szCs w:val="20"/>
        </w:rPr>
        <w:t>Veřejné zdravotní pojišťovny</w:t>
      </w:r>
      <w:r w:rsidRPr="00240B6D">
        <w:rPr>
          <w:bCs/>
          <w:szCs w:val="20"/>
        </w:rPr>
        <w:t xml:space="preserve"> se </w:t>
      </w:r>
      <w:r>
        <w:rPr>
          <w:bCs/>
          <w:szCs w:val="20"/>
        </w:rPr>
        <w:t xml:space="preserve">v roce 2017 podílely </w:t>
      </w:r>
      <w:r w:rsidRPr="00240B6D">
        <w:rPr>
          <w:bCs/>
          <w:szCs w:val="20"/>
        </w:rPr>
        <w:t>podstatnou částí na krytí výdajů na zdravotní péči v České republice</w:t>
      </w:r>
      <w:r>
        <w:rPr>
          <w:bCs/>
          <w:szCs w:val="20"/>
        </w:rPr>
        <w:t xml:space="preserve">. V roce 2017 to bylo </w:t>
      </w:r>
      <w:r w:rsidR="00761C28">
        <w:rPr>
          <w:bCs/>
          <w:szCs w:val="20"/>
        </w:rPr>
        <w:t xml:space="preserve">z výše uvedených necelých </w:t>
      </w:r>
      <w:r w:rsidRPr="00240B6D">
        <w:rPr>
          <w:bCs/>
          <w:szCs w:val="20"/>
        </w:rPr>
        <w:t>dvou</w:t>
      </w:r>
      <w:r>
        <w:rPr>
          <w:bCs/>
          <w:szCs w:val="20"/>
        </w:rPr>
        <w:t xml:space="preserve"> </w:t>
      </w:r>
      <w:r w:rsidRPr="00240B6D">
        <w:rPr>
          <w:bCs/>
          <w:szCs w:val="20"/>
        </w:rPr>
        <w:t>třetin</w:t>
      </w:r>
      <w:r w:rsidR="00761C28">
        <w:rPr>
          <w:bCs/>
          <w:szCs w:val="20"/>
        </w:rPr>
        <w:t xml:space="preserve"> (65,1 %)</w:t>
      </w:r>
      <w:r>
        <w:rPr>
          <w:bCs/>
          <w:szCs w:val="20"/>
        </w:rPr>
        <w:t xml:space="preserve"> – v roce 201</w:t>
      </w:r>
      <w:r w:rsidR="00761C28">
        <w:rPr>
          <w:bCs/>
          <w:szCs w:val="20"/>
        </w:rPr>
        <w:t>2 to bylo ze</w:t>
      </w:r>
      <w:r>
        <w:rPr>
          <w:bCs/>
          <w:szCs w:val="20"/>
        </w:rPr>
        <w:t xml:space="preserve"> </w:t>
      </w:r>
      <w:r w:rsidR="00761C28">
        <w:rPr>
          <w:bCs/>
          <w:szCs w:val="20"/>
        </w:rPr>
        <w:t>70</w:t>
      </w:r>
      <w:r w:rsidRPr="00240B6D">
        <w:rPr>
          <w:bCs/>
          <w:szCs w:val="20"/>
        </w:rPr>
        <w:t> %</w:t>
      </w:r>
      <w:r>
        <w:rPr>
          <w:bCs/>
          <w:szCs w:val="20"/>
        </w:rPr>
        <w:t>.</w:t>
      </w:r>
      <w:r w:rsidRPr="00240B6D">
        <w:rPr>
          <w:bCs/>
          <w:szCs w:val="20"/>
        </w:rPr>
        <w:t xml:space="preserve"> V absolutním vyjádření šlo </w:t>
      </w:r>
      <w:r w:rsidR="00761C28">
        <w:rPr>
          <w:bCs/>
          <w:szCs w:val="20"/>
        </w:rPr>
        <w:t>od roku 2012</w:t>
      </w:r>
      <w:r w:rsidRPr="00240B6D">
        <w:rPr>
          <w:bCs/>
          <w:szCs w:val="20"/>
        </w:rPr>
        <w:t xml:space="preserve"> na zdravotní péči z veřejného </w:t>
      </w:r>
      <w:r>
        <w:rPr>
          <w:bCs/>
          <w:szCs w:val="20"/>
        </w:rPr>
        <w:t xml:space="preserve">zdravotního </w:t>
      </w:r>
      <w:r w:rsidRPr="00240B6D">
        <w:rPr>
          <w:bCs/>
          <w:szCs w:val="20"/>
        </w:rPr>
        <w:t>pojištění nejvíce finančních prostředků v roce 201</w:t>
      </w:r>
      <w:r>
        <w:rPr>
          <w:bCs/>
          <w:szCs w:val="20"/>
        </w:rPr>
        <w:t>7</w:t>
      </w:r>
      <w:r w:rsidRPr="00240B6D">
        <w:rPr>
          <w:bCs/>
          <w:szCs w:val="20"/>
        </w:rPr>
        <w:t xml:space="preserve"> (2</w:t>
      </w:r>
      <w:r>
        <w:rPr>
          <w:bCs/>
          <w:szCs w:val="20"/>
        </w:rPr>
        <w:t>52,2</w:t>
      </w:r>
      <w:r w:rsidRPr="00240B6D">
        <w:rPr>
          <w:bCs/>
          <w:szCs w:val="20"/>
        </w:rPr>
        <w:t xml:space="preserve"> mld. Kč) a nejméně pak v roce 2015 (234,5 mld. Kč). </w:t>
      </w:r>
      <w:r w:rsidR="00201D3A">
        <w:rPr>
          <w:bCs/>
          <w:szCs w:val="20"/>
        </w:rPr>
        <w:t>V</w:t>
      </w:r>
      <w:r w:rsidR="00761C28">
        <w:rPr>
          <w:bCs/>
          <w:szCs w:val="20"/>
        </w:rPr>
        <w:t xml:space="preserve"> letech 2011 až 2016 </w:t>
      </w:r>
      <w:r w:rsidR="00201D3A">
        <w:rPr>
          <w:bCs/>
          <w:szCs w:val="20"/>
        </w:rPr>
        <w:t xml:space="preserve">se výdaje na zdravotní péči hrazené z veřejného zdravotního pojištění pohybovaly v rozmezí 234 až 238 miliard. V roce 2017 se meziročně zvýšily o 6,1 % (14,5 mld. Kč). </w:t>
      </w:r>
      <w:r w:rsidRPr="00240B6D">
        <w:rPr>
          <w:bCs/>
          <w:szCs w:val="20"/>
        </w:rPr>
        <w:t xml:space="preserve">V těchto částkách </w:t>
      </w:r>
      <w:r>
        <w:rPr>
          <w:bCs/>
          <w:szCs w:val="20"/>
        </w:rPr>
        <w:t>jsou</w:t>
      </w:r>
      <w:r w:rsidRPr="00240B6D">
        <w:rPr>
          <w:bCs/>
          <w:szCs w:val="20"/>
        </w:rPr>
        <w:t xml:space="preserve"> kromě peněz, které jdou přímo na zdravotní péči</w:t>
      </w:r>
      <w:r>
        <w:rPr>
          <w:bCs/>
          <w:szCs w:val="20"/>
        </w:rPr>
        <w:t>,</w:t>
      </w:r>
      <w:r w:rsidRPr="00240B6D">
        <w:rPr>
          <w:bCs/>
          <w:szCs w:val="20"/>
        </w:rPr>
        <w:t xml:space="preserve"> zahrnuty i výdaje na programy preventivní péče </w:t>
      </w:r>
      <w:r>
        <w:rPr>
          <w:bCs/>
          <w:szCs w:val="20"/>
        </w:rPr>
        <w:t xml:space="preserve">a vlastní provoz </w:t>
      </w:r>
      <w:r w:rsidRPr="00240B6D">
        <w:rPr>
          <w:bCs/>
          <w:szCs w:val="20"/>
        </w:rPr>
        <w:t>zdravotních pojišťoven</w:t>
      </w:r>
      <w:r>
        <w:rPr>
          <w:bCs/>
          <w:szCs w:val="20"/>
        </w:rPr>
        <w:t>.</w:t>
      </w:r>
      <w:r w:rsidRPr="00240B6D">
        <w:rPr>
          <w:bCs/>
          <w:szCs w:val="20"/>
        </w:rPr>
        <w:t xml:space="preserve"> </w:t>
      </w:r>
      <w:r w:rsidRPr="000353CA">
        <w:rPr>
          <w:bCs/>
          <w:i/>
          <w:szCs w:val="20"/>
        </w:rPr>
        <w:t>Podrobněji viz kapitola 3.1 této publikace.</w:t>
      </w:r>
    </w:p>
    <w:p w:rsidR="006067DA" w:rsidRPr="00240B6D" w:rsidRDefault="006067DA" w:rsidP="00441783">
      <w:pPr>
        <w:spacing w:before="120" w:after="60"/>
        <w:rPr>
          <w:rFonts w:eastAsia="MS Gothic"/>
          <w:b/>
          <w:i/>
        </w:rPr>
      </w:pPr>
      <w:r w:rsidRPr="00240B6D">
        <w:rPr>
          <w:rFonts w:eastAsia="MS Gothic"/>
          <w:b/>
          <w:i/>
        </w:rPr>
        <w:t xml:space="preserve">Výdaje státního rozpočtu na zdravotní péči </w:t>
      </w:r>
      <w:r>
        <w:rPr>
          <w:rFonts w:eastAsia="MS Gothic"/>
          <w:b/>
          <w:i/>
        </w:rPr>
        <w:t xml:space="preserve">v roce 2017 </w:t>
      </w:r>
      <w:r w:rsidRPr="00240B6D">
        <w:rPr>
          <w:rFonts w:eastAsia="MS Gothic"/>
          <w:b/>
          <w:i/>
        </w:rPr>
        <w:t xml:space="preserve">meziročně stouply o více než </w:t>
      </w:r>
      <w:r>
        <w:rPr>
          <w:rFonts w:eastAsia="MS Gothic"/>
          <w:b/>
          <w:i/>
        </w:rPr>
        <w:t>6</w:t>
      </w:r>
      <w:r w:rsidRPr="00240B6D">
        <w:rPr>
          <w:rFonts w:eastAsia="MS Gothic"/>
          <w:b/>
          <w:i/>
        </w:rPr>
        <w:t xml:space="preserve"> miliard</w:t>
      </w:r>
      <w:r>
        <w:rPr>
          <w:rFonts w:eastAsia="MS Gothic"/>
          <w:b/>
          <w:i/>
        </w:rPr>
        <w:t xml:space="preserve"> </w:t>
      </w:r>
      <w:r w:rsidRPr="00240B6D">
        <w:rPr>
          <w:rFonts w:eastAsia="MS Gothic"/>
          <w:b/>
          <w:i/>
        </w:rPr>
        <w:t>Kč</w:t>
      </w:r>
    </w:p>
    <w:p w:rsidR="006067DA" w:rsidRPr="00240B6D" w:rsidRDefault="006067DA" w:rsidP="00761C28">
      <w:pPr>
        <w:spacing w:before="120" w:after="120"/>
        <w:jc w:val="both"/>
        <w:rPr>
          <w:bCs/>
          <w:szCs w:val="17"/>
        </w:rPr>
      </w:pPr>
      <w:r w:rsidRPr="00240B6D">
        <w:rPr>
          <w:bCs/>
          <w:szCs w:val="17"/>
        </w:rPr>
        <w:t>V roce 201</w:t>
      </w:r>
      <w:r>
        <w:rPr>
          <w:bCs/>
          <w:szCs w:val="17"/>
        </w:rPr>
        <w:t>7</w:t>
      </w:r>
      <w:r w:rsidRPr="00240B6D">
        <w:rPr>
          <w:bCs/>
          <w:szCs w:val="17"/>
        </w:rPr>
        <w:t xml:space="preserve"> šlo </w:t>
      </w:r>
      <w:r>
        <w:rPr>
          <w:bCs/>
          <w:szCs w:val="17"/>
        </w:rPr>
        <w:t xml:space="preserve">přímo </w:t>
      </w:r>
      <w:r w:rsidRPr="00240B6D">
        <w:rPr>
          <w:bCs/>
          <w:szCs w:val="17"/>
        </w:rPr>
        <w:t xml:space="preserve">ze </w:t>
      </w:r>
      <w:r w:rsidRPr="00240B6D">
        <w:rPr>
          <w:b/>
          <w:bCs/>
          <w:szCs w:val="17"/>
        </w:rPr>
        <w:t>státního rozpočtu</w:t>
      </w:r>
      <w:r w:rsidRPr="00240B6D">
        <w:rPr>
          <w:bCs/>
          <w:szCs w:val="17"/>
        </w:rPr>
        <w:t xml:space="preserve"> na zdravotní péči celkem </w:t>
      </w:r>
      <w:r>
        <w:rPr>
          <w:bCs/>
          <w:szCs w:val="17"/>
        </w:rPr>
        <w:t>62,1</w:t>
      </w:r>
      <w:r w:rsidRPr="00240B6D">
        <w:rPr>
          <w:bCs/>
          <w:szCs w:val="17"/>
        </w:rPr>
        <w:t xml:space="preserve"> mld. Kč</w:t>
      </w:r>
      <w:r>
        <w:rPr>
          <w:rStyle w:val="Znakapoznpodarou"/>
          <w:bCs/>
          <w:szCs w:val="17"/>
        </w:rPr>
        <w:footnoteReference w:id="2"/>
      </w:r>
      <w:r w:rsidRPr="00240B6D">
        <w:rPr>
          <w:bCs/>
          <w:szCs w:val="17"/>
        </w:rPr>
        <w:t xml:space="preserve">, tj. o </w:t>
      </w:r>
      <w:r>
        <w:rPr>
          <w:bCs/>
          <w:szCs w:val="17"/>
        </w:rPr>
        <w:t>6,2</w:t>
      </w:r>
      <w:r w:rsidRPr="00240B6D">
        <w:rPr>
          <w:bCs/>
          <w:szCs w:val="17"/>
        </w:rPr>
        <w:t xml:space="preserve"> mld. Kč (</w:t>
      </w:r>
      <w:r>
        <w:rPr>
          <w:bCs/>
          <w:szCs w:val="17"/>
        </w:rPr>
        <w:t>11,1</w:t>
      </w:r>
      <w:r w:rsidRPr="00240B6D">
        <w:rPr>
          <w:bCs/>
          <w:szCs w:val="17"/>
        </w:rPr>
        <w:t xml:space="preserve"> %) více </w:t>
      </w:r>
      <w:r>
        <w:rPr>
          <w:bCs/>
          <w:szCs w:val="17"/>
        </w:rPr>
        <w:t xml:space="preserve">finančních prostředků </w:t>
      </w:r>
      <w:r w:rsidRPr="00240B6D">
        <w:rPr>
          <w:bCs/>
          <w:szCs w:val="17"/>
        </w:rPr>
        <w:t>než v roce 201</w:t>
      </w:r>
      <w:r>
        <w:rPr>
          <w:bCs/>
          <w:szCs w:val="17"/>
        </w:rPr>
        <w:t>6</w:t>
      </w:r>
      <w:r w:rsidRPr="00240B6D">
        <w:rPr>
          <w:bCs/>
          <w:szCs w:val="17"/>
        </w:rPr>
        <w:t>. Od roku 2013 lze pozorovat poměrně výrazné meziroční nárůsty výdajů na zdravotní péči financovan</w:t>
      </w:r>
      <w:r>
        <w:rPr>
          <w:bCs/>
          <w:szCs w:val="17"/>
        </w:rPr>
        <w:t>é</w:t>
      </w:r>
      <w:r w:rsidRPr="00240B6D">
        <w:rPr>
          <w:bCs/>
          <w:szCs w:val="17"/>
        </w:rPr>
        <w:t xml:space="preserve"> přímo ze státního rozpočtu. Jestliže v</w:t>
      </w:r>
      <w:r>
        <w:rPr>
          <w:bCs/>
          <w:szCs w:val="17"/>
        </w:rPr>
        <w:t xml:space="preserve"> letech 2010 až 2012 ze státního rozpočtu směřovalo každoročně do českého zdravotnictví cca 45 mld. Kč, </w:t>
      </w:r>
      <w:r w:rsidRPr="00240B6D">
        <w:rPr>
          <w:bCs/>
          <w:szCs w:val="17"/>
        </w:rPr>
        <w:t>tak v roce 201</w:t>
      </w:r>
      <w:r>
        <w:rPr>
          <w:bCs/>
          <w:szCs w:val="17"/>
        </w:rPr>
        <w:t>7</w:t>
      </w:r>
      <w:r w:rsidRPr="00240B6D">
        <w:rPr>
          <w:bCs/>
          <w:szCs w:val="17"/>
        </w:rPr>
        <w:t xml:space="preserve"> to bylo o</w:t>
      </w:r>
      <w:r>
        <w:rPr>
          <w:bCs/>
          <w:szCs w:val="17"/>
        </w:rPr>
        <w:t> dvě pětiny</w:t>
      </w:r>
      <w:r w:rsidRPr="00240B6D">
        <w:rPr>
          <w:bCs/>
          <w:szCs w:val="17"/>
        </w:rPr>
        <w:t xml:space="preserve"> (1</w:t>
      </w:r>
      <w:r>
        <w:rPr>
          <w:bCs/>
          <w:szCs w:val="17"/>
        </w:rPr>
        <w:t xml:space="preserve">7 </w:t>
      </w:r>
      <w:r w:rsidRPr="00240B6D">
        <w:rPr>
          <w:bCs/>
          <w:szCs w:val="17"/>
        </w:rPr>
        <w:t>mld. Kč) více finančních prostředků. V roce 201</w:t>
      </w:r>
      <w:r>
        <w:rPr>
          <w:bCs/>
          <w:szCs w:val="17"/>
        </w:rPr>
        <w:t>7</w:t>
      </w:r>
      <w:r w:rsidRPr="00240B6D">
        <w:rPr>
          <w:bCs/>
          <w:szCs w:val="17"/>
        </w:rPr>
        <w:t xml:space="preserve"> </w:t>
      </w:r>
      <w:r>
        <w:rPr>
          <w:bCs/>
          <w:szCs w:val="17"/>
        </w:rPr>
        <w:t xml:space="preserve">se státní rozpočet podílel </w:t>
      </w:r>
      <w:r w:rsidRPr="00240B6D">
        <w:rPr>
          <w:bCs/>
          <w:szCs w:val="17"/>
        </w:rPr>
        <w:t>1</w:t>
      </w:r>
      <w:r>
        <w:rPr>
          <w:bCs/>
          <w:szCs w:val="17"/>
        </w:rPr>
        <w:t>6,0</w:t>
      </w:r>
      <w:r w:rsidR="00052153">
        <w:rPr>
          <w:bCs/>
          <w:szCs w:val="17"/>
        </w:rPr>
        <w:t> </w:t>
      </w:r>
      <w:r w:rsidRPr="00240B6D">
        <w:rPr>
          <w:bCs/>
          <w:szCs w:val="17"/>
        </w:rPr>
        <w:t>%</w:t>
      </w:r>
      <w:r>
        <w:rPr>
          <w:bCs/>
          <w:szCs w:val="17"/>
        </w:rPr>
        <w:t xml:space="preserve"> na financování </w:t>
      </w:r>
      <w:r w:rsidRPr="00240B6D">
        <w:rPr>
          <w:rFonts w:cs="Arial"/>
          <w:bCs/>
          <w:color w:val="000000"/>
          <w:szCs w:val="20"/>
        </w:rPr>
        <w:t>zdravotní péč</w:t>
      </w:r>
      <w:r>
        <w:rPr>
          <w:rFonts w:cs="Arial"/>
          <w:bCs/>
          <w:color w:val="000000"/>
          <w:szCs w:val="20"/>
        </w:rPr>
        <w:t>e</w:t>
      </w:r>
      <w:r w:rsidRPr="00240B6D">
        <w:rPr>
          <w:rFonts w:cs="Arial"/>
          <w:bCs/>
          <w:color w:val="000000"/>
          <w:szCs w:val="20"/>
        </w:rPr>
        <w:t xml:space="preserve"> v České republice</w:t>
      </w:r>
      <w:r w:rsidRPr="00240B6D">
        <w:rPr>
          <w:rFonts w:cs="Arial"/>
          <w:b/>
          <w:bCs/>
          <w:color w:val="000000"/>
          <w:szCs w:val="20"/>
        </w:rPr>
        <w:t>.</w:t>
      </w:r>
    </w:p>
    <w:p w:rsidR="006067DA" w:rsidRPr="00201D3A" w:rsidRDefault="006067DA" w:rsidP="00201D3A">
      <w:pPr>
        <w:spacing w:before="120" w:after="60"/>
        <w:rPr>
          <w:rFonts w:eastAsia="MS Gothic"/>
          <w:b/>
          <w:i/>
        </w:rPr>
      </w:pPr>
      <w:r w:rsidRPr="00201D3A">
        <w:rPr>
          <w:rFonts w:eastAsia="MS Gothic"/>
          <w:b/>
          <w:i/>
        </w:rPr>
        <w:t xml:space="preserve">Graf 2.6. Výdaje na zdravotní péči v Česku financované přímo ze státního rozpočtu, 2013 – 2017 </w:t>
      </w:r>
    </w:p>
    <w:p w:rsidR="006067DA" w:rsidRPr="00240B6D" w:rsidRDefault="006067DA" w:rsidP="002339D2">
      <w:pPr>
        <w:widowControl w:val="0"/>
        <w:tabs>
          <w:tab w:val="left" w:pos="142"/>
          <w:tab w:val="left" w:pos="5812"/>
        </w:tabs>
        <w:spacing w:before="120"/>
        <w:jc w:val="both"/>
        <w:rPr>
          <w:b/>
          <w:i/>
          <w:sz w:val="18"/>
        </w:rPr>
      </w:pPr>
      <w:r w:rsidRPr="00240B6D">
        <w:rPr>
          <w:b/>
          <w:i/>
          <w:sz w:val="18"/>
        </w:rPr>
        <w:tab/>
        <w:t xml:space="preserve">a) v mld. Kč </w:t>
      </w:r>
      <w:r w:rsidRPr="00240B6D">
        <w:rPr>
          <w:b/>
          <w:i/>
          <w:sz w:val="18"/>
        </w:rPr>
        <w:tab/>
        <w:t>b) struktura v %</w:t>
      </w:r>
    </w:p>
    <w:p w:rsidR="006067DA" w:rsidRDefault="00DE7B9D" w:rsidP="002339D2">
      <w:pPr>
        <w:widowControl w:val="0"/>
        <w:spacing w:line="240" w:lineRule="auto"/>
        <w:jc w:val="both"/>
        <w:rPr>
          <w:sz w:val="16"/>
        </w:rPr>
      </w:pPr>
      <w:r>
        <w:rPr>
          <w:noProof/>
          <w:sz w:val="16"/>
        </w:rPr>
        <w:drawing>
          <wp:inline distT="0" distB="0" distL="0" distR="0" wp14:anchorId="7E26CF65">
            <wp:extent cx="3602990" cy="251777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2990" cy="2517775"/>
                    </a:xfrm>
                    <a:prstGeom prst="rect">
                      <a:avLst/>
                    </a:prstGeom>
                    <a:noFill/>
                  </pic:spPr>
                </pic:pic>
              </a:graphicData>
            </a:graphic>
          </wp:inline>
        </w:drawing>
      </w:r>
      <w:r>
        <w:rPr>
          <w:noProof/>
          <w:sz w:val="16"/>
        </w:rPr>
        <w:drawing>
          <wp:inline distT="0" distB="0" distL="0" distR="0" wp14:anchorId="587AD936">
            <wp:extent cx="2481580" cy="251777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1580" cy="2517775"/>
                    </a:xfrm>
                    <a:prstGeom prst="rect">
                      <a:avLst/>
                    </a:prstGeom>
                    <a:noFill/>
                  </pic:spPr>
                </pic:pic>
              </a:graphicData>
            </a:graphic>
          </wp:inline>
        </w:drawing>
      </w:r>
    </w:p>
    <w:p w:rsidR="006067DA" w:rsidRPr="00240B6D" w:rsidRDefault="002339D2" w:rsidP="002339D2">
      <w:pPr>
        <w:widowControl w:val="0"/>
        <w:spacing w:before="60" w:line="240" w:lineRule="auto"/>
        <w:jc w:val="both"/>
        <w:rPr>
          <w:sz w:val="16"/>
        </w:rPr>
      </w:pPr>
      <w:r>
        <w:rPr>
          <w:sz w:val="16"/>
        </w:rPr>
        <w:t xml:space="preserve"> </w:t>
      </w:r>
      <w:r w:rsidR="006067DA">
        <w:rPr>
          <w:sz w:val="16"/>
        </w:rPr>
        <w:t>(</w:t>
      </w:r>
      <w:r w:rsidR="006067DA" w:rsidRPr="00240B6D">
        <w:rPr>
          <w:sz w:val="16"/>
        </w:rPr>
        <w:t xml:space="preserve">1) zahrnuje lůžkovou, denní a domácí dlouhodobou péči </w:t>
      </w:r>
    </w:p>
    <w:p w:rsidR="006067DA" w:rsidRPr="00240B6D" w:rsidRDefault="006067DA" w:rsidP="002339D2">
      <w:pPr>
        <w:widowControl w:val="0"/>
        <w:spacing w:before="60" w:line="240" w:lineRule="auto"/>
        <w:jc w:val="both"/>
        <w:rPr>
          <w:sz w:val="16"/>
        </w:rPr>
      </w:pPr>
      <w:r>
        <w:rPr>
          <w:sz w:val="16"/>
        </w:rPr>
        <w:t>(</w:t>
      </w:r>
      <w:r w:rsidRPr="00240B6D">
        <w:rPr>
          <w:sz w:val="16"/>
        </w:rPr>
        <w:t xml:space="preserve">2) zahrnuje příspěvek na péči, na mobilitu, na kompenzační pomůcky a sociální služby </w:t>
      </w:r>
    </w:p>
    <w:p w:rsidR="006067DA" w:rsidRPr="00240B6D" w:rsidRDefault="006067DA" w:rsidP="002339D2">
      <w:pPr>
        <w:widowControl w:val="0"/>
        <w:spacing w:before="60" w:line="240" w:lineRule="auto"/>
        <w:jc w:val="both"/>
        <w:rPr>
          <w:sz w:val="16"/>
        </w:rPr>
      </w:pPr>
      <w:r>
        <w:rPr>
          <w:sz w:val="16"/>
        </w:rPr>
        <w:t>(</w:t>
      </w:r>
      <w:r w:rsidRPr="00240B6D">
        <w:rPr>
          <w:sz w:val="16"/>
        </w:rPr>
        <w:t xml:space="preserve">3) zahrnuje lůžkovou a ambulantní akutní péči, dopravu pacientů, preventivní programy, řízení a správu systému zdravotnictví  </w:t>
      </w:r>
    </w:p>
    <w:p w:rsidR="006067DA" w:rsidRPr="00240B6D" w:rsidRDefault="006067DA" w:rsidP="002339D2">
      <w:pPr>
        <w:widowControl w:val="0"/>
        <w:spacing w:before="12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Zdravotnické účty ČR 2010 - 201</w:t>
      </w:r>
      <w:r>
        <w:rPr>
          <w:b/>
          <w:bCs/>
          <w:i/>
          <w:sz w:val="16"/>
          <w:szCs w:val="16"/>
        </w:rPr>
        <w:t>7</w:t>
      </w:r>
      <w:r w:rsidRPr="00240B6D">
        <w:rPr>
          <w:b/>
          <w:bCs/>
          <w:i/>
          <w:sz w:val="16"/>
          <w:szCs w:val="16"/>
        </w:rPr>
        <w:t xml:space="preserve"> </w:t>
      </w:r>
    </w:p>
    <w:p w:rsidR="002339D2" w:rsidRPr="00240B6D" w:rsidRDefault="002339D2" w:rsidP="002339D2">
      <w:pPr>
        <w:widowControl w:val="0"/>
        <w:spacing w:before="120" w:after="120"/>
        <w:jc w:val="both"/>
        <w:rPr>
          <w:bCs/>
          <w:szCs w:val="17"/>
        </w:rPr>
      </w:pPr>
      <w:r w:rsidRPr="00052153">
        <w:rPr>
          <w:bCs/>
          <w:szCs w:val="17"/>
        </w:rPr>
        <w:lastRenderedPageBreak/>
        <w:t>Za posledních pět let šlo ze státního rozpočtu na zdravotní péči celkem 269 mld. Kč s průměrným ročním tempem růstu 6,</w:t>
      </w:r>
      <w:r w:rsidR="00201D3A" w:rsidRPr="00052153">
        <w:rPr>
          <w:bCs/>
          <w:szCs w:val="17"/>
        </w:rPr>
        <w:t>8 </w:t>
      </w:r>
      <w:r w:rsidRPr="00052153">
        <w:rPr>
          <w:bCs/>
          <w:szCs w:val="17"/>
        </w:rPr>
        <w:t>%</w:t>
      </w:r>
      <w:r w:rsidR="00052153" w:rsidRPr="00052153">
        <w:rPr>
          <w:bCs/>
          <w:szCs w:val="17"/>
        </w:rPr>
        <w:t xml:space="preserve"> - jde opět o částky bez výše zmíněných investičních výdajů na nákup a modernizaci přístrojového vybavení a výstavbu a rekonstrukci zdravotnických zařízení, výdajů na zdravotnický výzkum a</w:t>
      </w:r>
      <w:r w:rsidR="00052153">
        <w:rPr>
          <w:bCs/>
          <w:szCs w:val="17"/>
        </w:rPr>
        <w:t> </w:t>
      </w:r>
      <w:r w:rsidR="00052153" w:rsidRPr="00052153">
        <w:rPr>
          <w:bCs/>
          <w:szCs w:val="17"/>
        </w:rPr>
        <w:t>vývoj a vzdělávání zdravotnického personálu.</w:t>
      </w:r>
      <w:r w:rsidRPr="00052153">
        <w:rPr>
          <w:bCs/>
          <w:szCs w:val="17"/>
        </w:rPr>
        <w:t xml:space="preserve"> Pokud vztáhneme tyto prostředky k celkovému státnímu rozpočtu, tak zdravotní péče v pojetí SHA 2011 se v roce 2017 podílela 4,9 % </w:t>
      </w:r>
      <w:r w:rsidRPr="00052153">
        <w:rPr>
          <w:b/>
          <w:bCs/>
          <w:szCs w:val="17"/>
        </w:rPr>
        <w:t>na celkových výdajích státního rozpočtu</w:t>
      </w:r>
      <w:r w:rsidRPr="00052153">
        <w:rPr>
          <w:bCs/>
          <w:szCs w:val="17"/>
        </w:rPr>
        <w:t xml:space="preserve"> v porovnání s 4,6 % v roce předchozím.</w:t>
      </w:r>
      <w:r w:rsidRPr="00240B6D">
        <w:rPr>
          <w:bCs/>
          <w:szCs w:val="17"/>
        </w:rPr>
        <w:t xml:space="preserve"> </w:t>
      </w:r>
    </w:p>
    <w:p w:rsidR="006067DA" w:rsidRPr="00C6634F" w:rsidRDefault="006067DA" w:rsidP="006067DA">
      <w:pPr>
        <w:spacing w:before="120" w:after="120"/>
        <w:jc w:val="both"/>
        <w:rPr>
          <w:bCs/>
          <w:i/>
          <w:szCs w:val="17"/>
        </w:rPr>
      </w:pPr>
      <w:r w:rsidRPr="00C6634F">
        <w:rPr>
          <w:b/>
          <w:bCs/>
          <w:i/>
          <w:szCs w:val="17"/>
        </w:rPr>
        <w:t xml:space="preserve">Úloha státního rozpočtu </w:t>
      </w:r>
      <w:r w:rsidRPr="00C6634F">
        <w:rPr>
          <w:bCs/>
          <w:i/>
          <w:szCs w:val="17"/>
        </w:rPr>
        <w:t>v oblasti přímého financování zdravotní péče</w:t>
      </w:r>
      <w:r w:rsidRPr="00C6634F">
        <w:rPr>
          <w:b/>
          <w:bCs/>
          <w:i/>
          <w:szCs w:val="17"/>
        </w:rPr>
        <w:t xml:space="preserve"> </w:t>
      </w:r>
      <w:r w:rsidRPr="00C6634F">
        <w:rPr>
          <w:bCs/>
          <w:i/>
          <w:szCs w:val="17"/>
        </w:rPr>
        <w:t>spočívá především v podpoře zařízení dlouhodobé sociálně-zdravotní péče</w:t>
      </w:r>
      <w:r w:rsidRPr="00C6634F">
        <w:rPr>
          <w:b/>
          <w:bCs/>
          <w:i/>
          <w:szCs w:val="17"/>
        </w:rPr>
        <w:t xml:space="preserve"> </w:t>
      </w:r>
      <w:r w:rsidRPr="00C6634F">
        <w:rPr>
          <w:bCs/>
          <w:i/>
          <w:szCs w:val="17"/>
        </w:rPr>
        <w:t>(domovy pro seniory, domovy se zvláštním režimem, domovy pro zdravotně postižné a týdenní stacionáře) a poskytování peněžitých dávek pro osoby dlouhodobě nemocné či zdravotně postižené.</w:t>
      </w:r>
      <w:r w:rsidR="00052153">
        <w:rPr>
          <w:bCs/>
          <w:i/>
          <w:szCs w:val="17"/>
        </w:rPr>
        <w:t xml:space="preserve"> </w:t>
      </w:r>
      <w:r w:rsidR="00441783" w:rsidRPr="00441783">
        <w:rPr>
          <w:bCs/>
          <w:i/>
          <w:szCs w:val="17"/>
        </w:rPr>
        <w:t>Podrobnější informace jsou k dispozici v kapitole 3.3 Výdaje na dlouhodobou péči.</w:t>
      </w:r>
      <w:r w:rsidRPr="00C6634F">
        <w:rPr>
          <w:bCs/>
          <w:i/>
          <w:szCs w:val="17"/>
        </w:rPr>
        <w:t xml:space="preserve"> Ze státního rozpočtu je navíc hrazena i správa rezortu zdravotnictví, tj. provoz Ministerstva zdravotnictví, Státního zdravotního ústavu, Státního ústavu pro kontrolu léčiv a Ústavu zdravotnických informací a statistiky. </w:t>
      </w:r>
    </w:p>
    <w:p w:rsidR="006067DA" w:rsidRPr="00240B6D" w:rsidRDefault="006067DA" w:rsidP="006067DA">
      <w:pPr>
        <w:spacing w:before="120" w:after="120"/>
        <w:jc w:val="both"/>
        <w:rPr>
          <w:bCs/>
          <w:szCs w:val="17"/>
        </w:rPr>
      </w:pPr>
      <w:r w:rsidRPr="00240B6D">
        <w:rPr>
          <w:bCs/>
          <w:szCs w:val="17"/>
        </w:rPr>
        <w:t>V roce 201</w:t>
      </w:r>
      <w:r>
        <w:rPr>
          <w:bCs/>
          <w:szCs w:val="17"/>
        </w:rPr>
        <w:t>7</w:t>
      </w:r>
      <w:r w:rsidRPr="00240B6D">
        <w:rPr>
          <w:bCs/>
          <w:szCs w:val="17"/>
        </w:rPr>
        <w:t xml:space="preserve"> šlo na </w:t>
      </w:r>
      <w:r w:rsidRPr="00213704">
        <w:rPr>
          <w:b/>
          <w:bCs/>
          <w:szCs w:val="17"/>
        </w:rPr>
        <w:t>dlouhodobou zdravotní</w:t>
      </w:r>
      <w:r w:rsidRPr="00240B6D">
        <w:rPr>
          <w:bCs/>
          <w:szCs w:val="17"/>
        </w:rPr>
        <w:t xml:space="preserve"> </w:t>
      </w:r>
      <w:r w:rsidRPr="00213704">
        <w:rPr>
          <w:b/>
          <w:bCs/>
          <w:szCs w:val="17"/>
        </w:rPr>
        <w:t xml:space="preserve">péči </w:t>
      </w:r>
      <w:r w:rsidRPr="00240B6D">
        <w:rPr>
          <w:bCs/>
          <w:szCs w:val="17"/>
        </w:rPr>
        <w:t xml:space="preserve">ze státního rozpočtu celkem </w:t>
      </w:r>
      <w:r>
        <w:rPr>
          <w:bCs/>
          <w:szCs w:val="17"/>
        </w:rPr>
        <w:t>33,8</w:t>
      </w:r>
      <w:r w:rsidRPr="00240B6D">
        <w:rPr>
          <w:bCs/>
          <w:szCs w:val="17"/>
        </w:rPr>
        <w:t xml:space="preserve"> mld. Kč</w:t>
      </w:r>
      <w:r>
        <w:rPr>
          <w:bCs/>
          <w:szCs w:val="17"/>
        </w:rPr>
        <w:t xml:space="preserve"> z celkových 50,4 mld. Kč</w:t>
      </w:r>
      <w:r w:rsidRPr="00240B6D">
        <w:rPr>
          <w:bCs/>
          <w:szCs w:val="17"/>
        </w:rPr>
        <w:t xml:space="preserve">. </w:t>
      </w:r>
      <w:r>
        <w:rPr>
          <w:bCs/>
          <w:szCs w:val="17"/>
        </w:rPr>
        <w:t>Touto částkou se tak s</w:t>
      </w:r>
      <w:r w:rsidRPr="00240B6D">
        <w:rPr>
          <w:bCs/>
          <w:szCs w:val="17"/>
        </w:rPr>
        <w:t>tát prostřednictvím státního rozpočtu podíl</w:t>
      </w:r>
      <w:r>
        <w:rPr>
          <w:bCs/>
          <w:szCs w:val="17"/>
        </w:rPr>
        <w:t xml:space="preserve">el </w:t>
      </w:r>
      <w:r w:rsidRPr="00240B6D">
        <w:rPr>
          <w:bCs/>
          <w:szCs w:val="17"/>
        </w:rPr>
        <w:t>ze dvou třetin na financování této dlouhodobé zdravotní péče. Většina z těchto finančních prostředků (2</w:t>
      </w:r>
      <w:r>
        <w:rPr>
          <w:bCs/>
          <w:szCs w:val="17"/>
        </w:rPr>
        <w:t>6,7</w:t>
      </w:r>
      <w:r w:rsidRPr="00240B6D">
        <w:rPr>
          <w:bCs/>
          <w:szCs w:val="17"/>
        </w:rPr>
        <w:t xml:space="preserve"> mld. Kč; 79 %) bylo v roce 201</w:t>
      </w:r>
      <w:r>
        <w:rPr>
          <w:bCs/>
          <w:szCs w:val="17"/>
        </w:rPr>
        <w:t>7</w:t>
      </w:r>
      <w:r w:rsidRPr="00240B6D">
        <w:rPr>
          <w:bCs/>
          <w:szCs w:val="17"/>
        </w:rPr>
        <w:t xml:space="preserve"> určeno na dlouhodobou lůžkovou zdravotní péči, </w:t>
      </w:r>
      <w:r>
        <w:rPr>
          <w:bCs/>
          <w:szCs w:val="17"/>
        </w:rPr>
        <w:t>zahrnující např. domovy pro seniory, domovy se zvláštním režimem, domovy pro zdravotně postižené a další zařízení. Na</w:t>
      </w:r>
      <w:r w:rsidRPr="00240B6D">
        <w:rPr>
          <w:bCs/>
          <w:szCs w:val="17"/>
        </w:rPr>
        <w:t xml:space="preserve"> domácí dlouhodobou </w:t>
      </w:r>
      <w:r>
        <w:rPr>
          <w:bCs/>
          <w:szCs w:val="17"/>
        </w:rPr>
        <w:t>zdravotní péči směřovalo „jen“ 5,2</w:t>
      </w:r>
      <w:r w:rsidRPr="00240B6D">
        <w:rPr>
          <w:bCs/>
          <w:szCs w:val="17"/>
        </w:rPr>
        <w:t xml:space="preserve"> mld. Kč.</w:t>
      </w:r>
    </w:p>
    <w:p w:rsidR="006067DA" w:rsidRPr="000353CA" w:rsidRDefault="006067DA" w:rsidP="006067DA">
      <w:pPr>
        <w:spacing w:before="120" w:after="120"/>
        <w:jc w:val="both"/>
        <w:rPr>
          <w:bCs/>
          <w:i/>
          <w:szCs w:val="17"/>
        </w:rPr>
      </w:pPr>
      <w:r w:rsidRPr="00240B6D">
        <w:rPr>
          <w:bCs/>
          <w:szCs w:val="17"/>
        </w:rPr>
        <w:t xml:space="preserve">Na </w:t>
      </w:r>
      <w:r w:rsidRPr="00213704">
        <w:rPr>
          <w:b/>
          <w:bCs/>
          <w:szCs w:val="17"/>
        </w:rPr>
        <w:t>sociáln</w:t>
      </w:r>
      <w:r>
        <w:rPr>
          <w:b/>
          <w:bCs/>
          <w:szCs w:val="17"/>
        </w:rPr>
        <w:t>í</w:t>
      </w:r>
      <w:r w:rsidRPr="00213704">
        <w:rPr>
          <w:b/>
          <w:bCs/>
          <w:szCs w:val="17"/>
        </w:rPr>
        <w:t xml:space="preserve"> dlouhodobou péči</w:t>
      </w:r>
      <w:r w:rsidRPr="00240B6D">
        <w:rPr>
          <w:bCs/>
          <w:szCs w:val="17"/>
        </w:rPr>
        <w:t xml:space="preserve"> vynaložil stát v roce 201</w:t>
      </w:r>
      <w:r>
        <w:rPr>
          <w:bCs/>
          <w:szCs w:val="17"/>
        </w:rPr>
        <w:t>7</w:t>
      </w:r>
      <w:r w:rsidRPr="00240B6D">
        <w:rPr>
          <w:bCs/>
          <w:szCs w:val="17"/>
        </w:rPr>
        <w:t xml:space="preserve"> ze státního rozpočtu </w:t>
      </w:r>
      <w:r>
        <w:rPr>
          <w:bCs/>
          <w:szCs w:val="17"/>
        </w:rPr>
        <w:t>téměř 21,8</w:t>
      </w:r>
      <w:r w:rsidRPr="00240B6D">
        <w:rPr>
          <w:bCs/>
          <w:szCs w:val="17"/>
        </w:rPr>
        <w:t xml:space="preserve"> miliard korun. Jde především o příspěvky na péči pro zdravotně postižené a seniory (1</w:t>
      </w:r>
      <w:r>
        <w:rPr>
          <w:bCs/>
          <w:szCs w:val="17"/>
        </w:rPr>
        <w:t>7</w:t>
      </w:r>
      <w:r w:rsidRPr="00240B6D">
        <w:rPr>
          <w:bCs/>
          <w:szCs w:val="17"/>
        </w:rPr>
        <w:t>,</w:t>
      </w:r>
      <w:r>
        <w:rPr>
          <w:bCs/>
          <w:szCs w:val="17"/>
        </w:rPr>
        <w:t>5</w:t>
      </w:r>
      <w:r w:rsidRPr="00240B6D">
        <w:rPr>
          <w:bCs/>
          <w:szCs w:val="17"/>
        </w:rPr>
        <w:t xml:space="preserve"> mld. Kč</w:t>
      </w:r>
      <w:r>
        <w:rPr>
          <w:bCs/>
          <w:szCs w:val="17"/>
        </w:rPr>
        <w:t>; nárůst o 8 % oproti roku 2016</w:t>
      </w:r>
      <w:r w:rsidRPr="00240B6D">
        <w:rPr>
          <w:bCs/>
          <w:szCs w:val="17"/>
        </w:rPr>
        <w:t>) a</w:t>
      </w:r>
      <w:r>
        <w:rPr>
          <w:bCs/>
          <w:szCs w:val="17"/>
        </w:rPr>
        <w:t> </w:t>
      </w:r>
      <w:r w:rsidRPr="00240B6D">
        <w:rPr>
          <w:bCs/>
          <w:szCs w:val="17"/>
        </w:rPr>
        <w:t xml:space="preserve">příspěvky na mobilitu a na zvláštní kompenzační pomůcku pro zdravotně postižené (téměř 2 mld. Kč mld. Kč). </w:t>
      </w:r>
      <w:r>
        <w:rPr>
          <w:bCs/>
          <w:szCs w:val="17"/>
        </w:rPr>
        <w:t>Poprvé více než dvě miliardy (2,4</w:t>
      </w:r>
      <w:r w:rsidRPr="00240B6D">
        <w:rPr>
          <w:bCs/>
          <w:szCs w:val="17"/>
        </w:rPr>
        <w:t xml:space="preserve"> mld. Kč) směřoval</w:t>
      </w:r>
      <w:r>
        <w:rPr>
          <w:bCs/>
          <w:szCs w:val="17"/>
        </w:rPr>
        <w:t>y</w:t>
      </w:r>
      <w:r w:rsidRPr="00240B6D">
        <w:rPr>
          <w:bCs/>
          <w:szCs w:val="17"/>
        </w:rPr>
        <w:t xml:space="preserve"> v roce 201</w:t>
      </w:r>
      <w:r>
        <w:rPr>
          <w:bCs/>
          <w:szCs w:val="17"/>
        </w:rPr>
        <w:t>7</w:t>
      </w:r>
      <w:r w:rsidRPr="00240B6D">
        <w:rPr>
          <w:bCs/>
          <w:szCs w:val="17"/>
        </w:rPr>
        <w:t xml:space="preserve"> ze státního rozpočtu i na sociální služby související s dlouhodobou péčí. Jde především o financování chráněného bydlení či sociální rehabilitace a</w:t>
      </w:r>
      <w:r>
        <w:rPr>
          <w:bCs/>
          <w:szCs w:val="17"/>
        </w:rPr>
        <w:t> </w:t>
      </w:r>
      <w:r w:rsidRPr="00240B6D">
        <w:rPr>
          <w:bCs/>
          <w:szCs w:val="17"/>
        </w:rPr>
        <w:t xml:space="preserve">sociální akviziční služby pro osoby se zdravotním postižením. </w:t>
      </w:r>
      <w:r w:rsidRPr="000353CA">
        <w:rPr>
          <w:bCs/>
          <w:i/>
          <w:szCs w:val="17"/>
        </w:rPr>
        <w:t xml:space="preserve">Podrobněji se k otázce dlouhodobé sociálně-zdravotní péče vrátíme v kapitole 3.3. </w:t>
      </w:r>
    </w:p>
    <w:p w:rsidR="006067DA" w:rsidRPr="00240B6D" w:rsidRDefault="006067DA" w:rsidP="006067DA">
      <w:pPr>
        <w:spacing w:before="120" w:after="120"/>
        <w:jc w:val="both"/>
        <w:rPr>
          <w:bCs/>
          <w:szCs w:val="17"/>
        </w:rPr>
      </w:pPr>
      <w:r w:rsidRPr="00240B6D">
        <w:rPr>
          <w:bCs/>
          <w:szCs w:val="17"/>
        </w:rPr>
        <w:t xml:space="preserve">Mezi ostatní výdaje na zdravotní péči hrazené ze státního rozpočtu patří především </w:t>
      </w:r>
      <w:r w:rsidRPr="00213704">
        <w:rPr>
          <w:b/>
          <w:bCs/>
          <w:szCs w:val="17"/>
        </w:rPr>
        <w:t>preventivní zdravotní péče,</w:t>
      </w:r>
      <w:r w:rsidRPr="00240B6D">
        <w:rPr>
          <w:bCs/>
          <w:szCs w:val="17"/>
        </w:rPr>
        <w:t xml:space="preserve"> do které stát v roce 201</w:t>
      </w:r>
      <w:r>
        <w:rPr>
          <w:bCs/>
          <w:szCs w:val="17"/>
        </w:rPr>
        <w:t>7</w:t>
      </w:r>
      <w:r w:rsidRPr="00240B6D">
        <w:rPr>
          <w:bCs/>
          <w:szCs w:val="17"/>
        </w:rPr>
        <w:t xml:space="preserve"> investoval 1,3 mld. Kč</w:t>
      </w:r>
      <w:r>
        <w:rPr>
          <w:bCs/>
          <w:szCs w:val="17"/>
        </w:rPr>
        <w:t>,</w:t>
      </w:r>
      <w:r w:rsidRPr="00240B6D">
        <w:rPr>
          <w:bCs/>
          <w:szCs w:val="17"/>
        </w:rPr>
        <w:t xml:space="preserve"> a výše uvedené výdaje související se </w:t>
      </w:r>
      <w:r w:rsidRPr="00213704">
        <w:rPr>
          <w:b/>
          <w:bCs/>
          <w:szCs w:val="17"/>
        </w:rPr>
        <w:t>správou rezortu zdravotnictv</w:t>
      </w:r>
      <w:r w:rsidRPr="00240B6D">
        <w:rPr>
          <w:bCs/>
          <w:szCs w:val="17"/>
        </w:rPr>
        <w:t>í (2,</w:t>
      </w:r>
      <w:r>
        <w:rPr>
          <w:bCs/>
          <w:szCs w:val="17"/>
        </w:rPr>
        <w:t>2</w:t>
      </w:r>
      <w:r w:rsidRPr="00240B6D">
        <w:rPr>
          <w:bCs/>
          <w:szCs w:val="17"/>
        </w:rPr>
        <w:t xml:space="preserve"> mld. Kč ve stejném roce).</w:t>
      </w:r>
      <w:r>
        <w:rPr>
          <w:bCs/>
          <w:szCs w:val="17"/>
        </w:rPr>
        <w:t xml:space="preserve"> Obě uvedené hodnoty zůstaly v porovnání s rokem 2016 stabilní.</w:t>
      </w:r>
    </w:p>
    <w:p w:rsidR="006067DA" w:rsidRDefault="006067DA" w:rsidP="006067DA">
      <w:pPr>
        <w:spacing w:before="120" w:after="120"/>
        <w:jc w:val="both"/>
        <w:rPr>
          <w:i/>
        </w:rPr>
      </w:pPr>
      <w:r w:rsidRPr="00213704">
        <w:rPr>
          <w:bCs/>
          <w:i/>
          <w:szCs w:val="17"/>
        </w:rPr>
        <w:t xml:space="preserve">Ze státního rozpočtu jsou rovněž hrazeny </w:t>
      </w:r>
      <w:r w:rsidRPr="00213704">
        <w:rPr>
          <w:b/>
          <w:bCs/>
          <w:i/>
          <w:szCs w:val="17"/>
        </w:rPr>
        <w:t>platby na zdravotní pojištění za nevýdělečně činné skupiny obyvatelstva</w:t>
      </w:r>
      <w:r w:rsidRPr="00213704">
        <w:rPr>
          <w:bCs/>
          <w:i/>
          <w:szCs w:val="17"/>
        </w:rPr>
        <w:t xml:space="preserve"> (děti do ukončení jejich povinné školní docházky, studenty do 26 let, osoby na mateřské a</w:t>
      </w:r>
      <w:r>
        <w:rPr>
          <w:bCs/>
          <w:i/>
          <w:szCs w:val="17"/>
        </w:rPr>
        <w:t> </w:t>
      </w:r>
      <w:r w:rsidRPr="00213704">
        <w:rPr>
          <w:bCs/>
          <w:i/>
          <w:szCs w:val="17"/>
        </w:rPr>
        <w:t>rodičovské dovolené, osoby, které pobírají některý z důchodů, uchazeče o zaměstnání, pokud jsou v</w:t>
      </w:r>
      <w:r>
        <w:rPr>
          <w:bCs/>
          <w:i/>
          <w:szCs w:val="17"/>
        </w:rPr>
        <w:t> </w:t>
      </w:r>
      <w:r w:rsidRPr="00213704">
        <w:rPr>
          <w:bCs/>
          <w:i/>
          <w:szCs w:val="17"/>
        </w:rPr>
        <w:t xml:space="preserve">evidenci úřadu práce atd.). Konečným zdrojem financování zdravotní péče (ať již lůžkové, ambulantní či jiné) o tyto </w:t>
      </w:r>
      <w:r>
        <w:rPr>
          <w:bCs/>
          <w:i/>
          <w:szCs w:val="17"/>
        </w:rPr>
        <w:t>státní pojištěnce</w:t>
      </w:r>
      <w:r w:rsidRPr="00213704">
        <w:rPr>
          <w:bCs/>
          <w:i/>
          <w:szCs w:val="17"/>
        </w:rPr>
        <w:t xml:space="preserve"> jsou většinou zdravotní pojišťovny, které jsou primárním příjemcem těchto finančních prostředků. </w:t>
      </w:r>
      <w:r w:rsidRPr="00C6634F">
        <w:rPr>
          <w:b/>
          <w:bCs/>
          <w:i/>
          <w:szCs w:val="17"/>
        </w:rPr>
        <w:t>Tyto prostředky jsou tedy dle metodiky SHA alokovány do zdrojů zdravotních pojišťoven, které s nimi dále hospodaří.</w:t>
      </w:r>
      <w:r w:rsidRPr="00213704">
        <w:rPr>
          <w:bCs/>
          <w:i/>
          <w:szCs w:val="17"/>
        </w:rPr>
        <w:t xml:space="preserve"> </w:t>
      </w:r>
      <w:r w:rsidRPr="00213704">
        <w:rPr>
          <w:i/>
        </w:rPr>
        <w:t xml:space="preserve">Platba pojistného od státu se </w:t>
      </w:r>
      <w:r>
        <w:rPr>
          <w:i/>
        </w:rPr>
        <w:t xml:space="preserve">v roce 2017 </w:t>
      </w:r>
      <w:r w:rsidRPr="00213704">
        <w:rPr>
          <w:i/>
        </w:rPr>
        <w:t>v porovnání s rokem 201</w:t>
      </w:r>
      <w:r>
        <w:rPr>
          <w:i/>
        </w:rPr>
        <w:t>6</w:t>
      </w:r>
      <w:r w:rsidRPr="00213704">
        <w:rPr>
          <w:i/>
        </w:rPr>
        <w:t xml:space="preserve"> zvýšila o</w:t>
      </w:r>
      <w:r>
        <w:rPr>
          <w:i/>
        </w:rPr>
        <w:t> 50</w:t>
      </w:r>
      <w:r w:rsidRPr="00213704">
        <w:rPr>
          <w:i/>
        </w:rPr>
        <w:t xml:space="preserve"> Kč na stávajících </w:t>
      </w:r>
      <w:r>
        <w:rPr>
          <w:i/>
        </w:rPr>
        <w:t>920</w:t>
      </w:r>
      <w:r w:rsidRPr="00213704">
        <w:rPr>
          <w:i/>
        </w:rPr>
        <w:t xml:space="preserve"> Kč za osobu a měsíc. Z všeobecné pokladní správy </w:t>
      </w:r>
      <w:r>
        <w:rPr>
          <w:i/>
        </w:rPr>
        <w:t>bylo vydáno</w:t>
      </w:r>
      <w:r w:rsidRPr="00213704">
        <w:rPr>
          <w:i/>
        </w:rPr>
        <w:t xml:space="preserve"> celkem za rok 201</w:t>
      </w:r>
      <w:r>
        <w:rPr>
          <w:i/>
        </w:rPr>
        <w:t>7 na tuto platbu 6</w:t>
      </w:r>
      <w:r w:rsidR="000F2D17">
        <w:rPr>
          <w:i/>
        </w:rPr>
        <w:t>5,2</w:t>
      </w:r>
      <w:r>
        <w:rPr>
          <w:i/>
        </w:rPr>
        <w:t xml:space="preserve"> mld. Kč za 5,8 mil. pojištěnců, což je 56 % všech osob zdravotně pojištěných na území ČR.</w:t>
      </w:r>
      <w:r w:rsidR="00052153">
        <w:rPr>
          <w:i/>
        </w:rPr>
        <w:t xml:space="preserve"> </w:t>
      </w:r>
    </w:p>
    <w:p w:rsidR="006067DA" w:rsidRPr="00240B6D" w:rsidRDefault="006067DA" w:rsidP="00052153">
      <w:pPr>
        <w:spacing w:before="120" w:after="60"/>
        <w:rPr>
          <w:rFonts w:eastAsia="MS Gothic"/>
          <w:b/>
          <w:i/>
        </w:rPr>
      </w:pPr>
      <w:r w:rsidRPr="00240B6D">
        <w:rPr>
          <w:rFonts w:eastAsia="MS Gothic"/>
          <w:b/>
          <w:i/>
        </w:rPr>
        <w:t>České domácnosti zaplatily za zdravotní péči v roce 201</w:t>
      </w:r>
      <w:r>
        <w:rPr>
          <w:rFonts w:eastAsia="MS Gothic"/>
          <w:b/>
          <w:i/>
        </w:rPr>
        <w:t>7</w:t>
      </w:r>
      <w:r w:rsidRPr="00240B6D">
        <w:rPr>
          <w:rFonts w:eastAsia="MS Gothic"/>
          <w:b/>
          <w:i/>
        </w:rPr>
        <w:t xml:space="preserve"> </w:t>
      </w:r>
      <w:r>
        <w:rPr>
          <w:rFonts w:eastAsia="MS Gothic"/>
          <w:b/>
          <w:i/>
        </w:rPr>
        <w:t>o čtvrtinu více než před pěti lety</w:t>
      </w:r>
    </w:p>
    <w:p w:rsidR="006067DA" w:rsidRDefault="006067DA" w:rsidP="006067DA">
      <w:pPr>
        <w:spacing w:before="120"/>
        <w:jc w:val="both"/>
        <w:rPr>
          <w:bCs/>
          <w:szCs w:val="20"/>
        </w:rPr>
      </w:pPr>
      <w:r w:rsidRPr="00240B6D">
        <w:rPr>
          <w:bCs/>
          <w:szCs w:val="20"/>
        </w:rPr>
        <w:t xml:space="preserve">V posledních </w:t>
      </w:r>
      <w:r w:rsidR="00640637">
        <w:rPr>
          <w:bCs/>
          <w:szCs w:val="20"/>
        </w:rPr>
        <w:t>čtyřech</w:t>
      </w:r>
      <w:r>
        <w:rPr>
          <w:bCs/>
          <w:szCs w:val="20"/>
        </w:rPr>
        <w:t xml:space="preserve"> </w:t>
      </w:r>
      <w:r w:rsidRPr="00240B6D">
        <w:rPr>
          <w:bCs/>
          <w:szCs w:val="20"/>
        </w:rPr>
        <w:t xml:space="preserve">letech roste v Česku nepatrně podíl financování zdravotní péče ze </w:t>
      </w:r>
      <w:r w:rsidRPr="00213704">
        <w:rPr>
          <w:b/>
          <w:bCs/>
          <w:szCs w:val="20"/>
        </w:rPr>
        <w:t>soukromých zdrojů</w:t>
      </w:r>
      <w:r w:rsidRPr="00240B6D">
        <w:rPr>
          <w:bCs/>
          <w:szCs w:val="20"/>
        </w:rPr>
        <w:t>, a to z 15,3 % (52,7 mld. Kč) v roce 2013 na 1</w:t>
      </w:r>
      <w:r>
        <w:rPr>
          <w:bCs/>
          <w:szCs w:val="20"/>
        </w:rPr>
        <w:t>6,9</w:t>
      </w:r>
      <w:r w:rsidRPr="00240B6D">
        <w:rPr>
          <w:bCs/>
          <w:szCs w:val="20"/>
        </w:rPr>
        <w:t> % (6</w:t>
      </w:r>
      <w:r>
        <w:rPr>
          <w:bCs/>
          <w:szCs w:val="20"/>
        </w:rPr>
        <w:t>5,3</w:t>
      </w:r>
      <w:r w:rsidRPr="00240B6D">
        <w:rPr>
          <w:bCs/>
          <w:szCs w:val="20"/>
        </w:rPr>
        <w:t xml:space="preserve"> mld. Kč) v roce 201</w:t>
      </w:r>
      <w:r>
        <w:rPr>
          <w:bCs/>
          <w:szCs w:val="20"/>
        </w:rPr>
        <w:t>7</w:t>
      </w:r>
      <w:r w:rsidRPr="00240B6D">
        <w:rPr>
          <w:bCs/>
          <w:szCs w:val="20"/>
        </w:rPr>
        <w:t xml:space="preserve">. Nejvýznamnější položkou v rámci těchto soukromých zdrojů tvoří </w:t>
      </w:r>
      <w:r w:rsidRPr="00591143">
        <w:rPr>
          <w:b/>
          <w:bCs/>
          <w:szCs w:val="20"/>
        </w:rPr>
        <w:t>přímé platby a spoluúčast domácností (pacientů)</w:t>
      </w:r>
      <w:r w:rsidRPr="00240B6D">
        <w:rPr>
          <w:bCs/>
          <w:szCs w:val="20"/>
        </w:rPr>
        <w:t xml:space="preserve"> za poskytnutou zdravotní péči včetně výdajů za léky a ostatní zdravotn</w:t>
      </w:r>
      <w:r w:rsidR="00052153">
        <w:rPr>
          <w:bCs/>
          <w:szCs w:val="20"/>
        </w:rPr>
        <w:t>ický</w:t>
      </w:r>
      <w:r w:rsidRPr="00240B6D">
        <w:rPr>
          <w:bCs/>
          <w:szCs w:val="20"/>
        </w:rPr>
        <w:t xml:space="preserve"> materiál.</w:t>
      </w:r>
    </w:p>
    <w:p w:rsidR="002339D2" w:rsidRPr="002E7C59" w:rsidRDefault="002339D2" w:rsidP="002339D2">
      <w:pPr>
        <w:spacing w:before="120" w:after="120"/>
        <w:jc w:val="both"/>
        <w:rPr>
          <w:bCs/>
          <w:szCs w:val="17"/>
        </w:rPr>
      </w:pPr>
      <w:r w:rsidRPr="002E7C59">
        <w:rPr>
          <w:bCs/>
          <w:szCs w:val="17"/>
        </w:rPr>
        <w:t xml:space="preserve">Skupina </w:t>
      </w:r>
      <w:r w:rsidRPr="002E7C59">
        <w:rPr>
          <w:b/>
          <w:bCs/>
          <w:szCs w:val="17"/>
        </w:rPr>
        <w:t>dobrovolných plateb</w:t>
      </w:r>
      <w:r w:rsidRPr="002E7C59">
        <w:rPr>
          <w:bCs/>
          <w:szCs w:val="17"/>
        </w:rPr>
        <w:t xml:space="preserve"> na zdravotní péči, přes vysokou dynamiku růstu, představuje spíše doplňkový finanční zdroj. Na celkových výdajích na zdravotní péči v ČR se tyto soukromé zdroje</w:t>
      </w:r>
      <w:r w:rsidRPr="002E7C59">
        <w:rPr>
          <w:b/>
          <w:bCs/>
          <w:szCs w:val="17"/>
        </w:rPr>
        <w:t xml:space="preserve"> </w:t>
      </w:r>
      <w:r w:rsidRPr="002E7C59">
        <w:rPr>
          <w:bCs/>
          <w:szCs w:val="17"/>
        </w:rPr>
        <w:t xml:space="preserve">(bez </w:t>
      </w:r>
      <w:r w:rsidRPr="002E7C59">
        <w:rPr>
          <w:bCs/>
          <w:szCs w:val="17"/>
        </w:rPr>
        <w:lastRenderedPageBreak/>
        <w:t>přímých výdajů domácností) v roce 201</w:t>
      </w:r>
      <w:r>
        <w:rPr>
          <w:bCs/>
          <w:szCs w:val="17"/>
        </w:rPr>
        <w:t>7</w:t>
      </w:r>
      <w:r w:rsidRPr="002E7C59">
        <w:rPr>
          <w:bCs/>
          <w:szCs w:val="17"/>
        </w:rPr>
        <w:t xml:space="preserve"> podílely necelými 3 % (1</w:t>
      </w:r>
      <w:r>
        <w:rPr>
          <w:bCs/>
          <w:szCs w:val="17"/>
        </w:rPr>
        <w:t>1,3</w:t>
      </w:r>
      <w:r w:rsidRPr="002E7C59">
        <w:rPr>
          <w:bCs/>
          <w:szCs w:val="17"/>
        </w:rPr>
        <w:t xml:space="preserve"> mld. Kč) a na celkových soukromých zdrojích pak 1</w:t>
      </w:r>
      <w:r>
        <w:rPr>
          <w:bCs/>
          <w:szCs w:val="17"/>
        </w:rPr>
        <w:t>7,2</w:t>
      </w:r>
      <w:r w:rsidRPr="002E7C59">
        <w:rPr>
          <w:bCs/>
          <w:szCs w:val="17"/>
        </w:rPr>
        <w:t xml:space="preserve"> %. Tato skupina zahrnuje různorodé finanční zdroje. </w:t>
      </w:r>
    </w:p>
    <w:p w:rsidR="006067DA" w:rsidRPr="00240B6D" w:rsidRDefault="006067DA" w:rsidP="006067DA">
      <w:pPr>
        <w:keepNext/>
        <w:spacing w:before="240" w:after="120" w:line="240" w:lineRule="auto"/>
        <w:jc w:val="both"/>
        <w:rPr>
          <w:b/>
          <w:bCs/>
          <w:sz w:val="18"/>
          <w:szCs w:val="18"/>
        </w:rPr>
      </w:pPr>
      <w:r w:rsidRPr="00240B6D">
        <w:rPr>
          <w:b/>
          <w:bCs/>
          <w:sz w:val="18"/>
          <w:szCs w:val="18"/>
        </w:rPr>
        <w:t>Graf č: 2.</w:t>
      </w:r>
      <w:r>
        <w:rPr>
          <w:b/>
          <w:bCs/>
          <w:sz w:val="18"/>
          <w:szCs w:val="18"/>
        </w:rPr>
        <w:t>7</w:t>
      </w:r>
      <w:r w:rsidRPr="00240B6D">
        <w:rPr>
          <w:b/>
          <w:bCs/>
          <w:sz w:val="18"/>
          <w:szCs w:val="18"/>
        </w:rPr>
        <w:t xml:space="preserve"> Výdaje na zdravotní péči v Česku financované ze soukromých zdrojů, 201</w:t>
      </w:r>
      <w:r>
        <w:rPr>
          <w:b/>
          <w:bCs/>
          <w:sz w:val="18"/>
          <w:szCs w:val="18"/>
        </w:rPr>
        <w:t>3</w:t>
      </w:r>
      <w:r w:rsidRPr="00240B6D">
        <w:rPr>
          <w:b/>
          <w:bCs/>
          <w:sz w:val="18"/>
          <w:szCs w:val="18"/>
        </w:rPr>
        <w:t xml:space="preserve"> – 201</w:t>
      </w:r>
      <w:r>
        <w:rPr>
          <w:b/>
          <w:bCs/>
          <w:sz w:val="18"/>
          <w:szCs w:val="18"/>
        </w:rPr>
        <w:t>7</w:t>
      </w:r>
      <w:r w:rsidRPr="00240B6D">
        <w:rPr>
          <w:b/>
          <w:bCs/>
          <w:sz w:val="18"/>
          <w:szCs w:val="18"/>
        </w:rPr>
        <w:t xml:space="preserve"> (mld. Kč; %)</w:t>
      </w:r>
    </w:p>
    <w:p w:rsidR="006067DA" w:rsidRPr="00240B6D" w:rsidRDefault="006067DA" w:rsidP="006067DA">
      <w:pPr>
        <w:keepNext/>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6067DA" w:rsidRPr="00240B6D" w:rsidRDefault="00DE7B9D" w:rsidP="006067DA">
      <w:pPr>
        <w:keepNext/>
        <w:jc w:val="both"/>
        <w:rPr>
          <w:bCs/>
          <w:szCs w:val="20"/>
        </w:rPr>
      </w:pPr>
      <w:r>
        <w:rPr>
          <w:noProof/>
        </w:rPr>
        <w:drawing>
          <wp:inline distT="0" distB="0" distL="0" distR="0" wp14:anchorId="0F49C59D">
            <wp:extent cx="3381375" cy="2700655"/>
            <wp:effectExtent l="0" t="0" r="9525"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2700655"/>
                    </a:xfrm>
                    <a:prstGeom prst="rect">
                      <a:avLst/>
                    </a:prstGeom>
                    <a:noFill/>
                  </pic:spPr>
                </pic:pic>
              </a:graphicData>
            </a:graphic>
          </wp:inline>
        </w:drawing>
      </w:r>
      <w:r w:rsidR="006067DA" w:rsidRPr="00240B6D">
        <w:rPr>
          <w:noProof/>
          <w:lang w:val="en-US" w:eastAsia="en-US"/>
        </w:rPr>
        <w:t xml:space="preserve"> </w:t>
      </w:r>
      <w:r>
        <w:rPr>
          <w:noProof/>
        </w:rPr>
        <w:drawing>
          <wp:inline distT="0" distB="0" distL="0" distR="0" wp14:anchorId="7F51F345">
            <wp:extent cx="2664460" cy="270065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4460" cy="2700655"/>
                    </a:xfrm>
                    <a:prstGeom prst="rect">
                      <a:avLst/>
                    </a:prstGeom>
                    <a:noFill/>
                  </pic:spPr>
                </pic:pic>
              </a:graphicData>
            </a:graphic>
          </wp:inline>
        </w:drawing>
      </w:r>
    </w:p>
    <w:p w:rsidR="006067DA" w:rsidRPr="00240B6D" w:rsidRDefault="006067DA" w:rsidP="006067DA">
      <w:pPr>
        <w:spacing w:before="120" w:after="240" w:line="240" w:lineRule="auto"/>
        <w:jc w:val="right"/>
        <w:rPr>
          <w:b/>
          <w:bCs/>
          <w:i/>
          <w:sz w:val="16"/>
          <w:szCs w:val="16"/>
        </w:rPr>
      </w:pPr>
      <w:r>
        <w:rPr>
          <w:b/>
          <w:bCs/>
          <w:i/>
          <w:sz w:val="16"/>
          <w:szCs w:val="16"/>
        </w:rPr>
        <w:t>Zdroj: ČSÚ 2019</w:t>
      </w:r>
      <w:r w:rsidRPr="00240B6D">
        <w:rPr>
          <w:b/>
          <w:bCs/>
          <w:i/>
          <w:sz w:val="16"/>
          <w:szCs w:val="16"/>
        </w:rPr>
        <w:t>, Zdravotnické účty ČR 2010 - 201</w:t>
      </w:r>
      <w:r>
        <w:rPr>
          <w:b/>
          <w:bCs/>
          <w:i/>
          <w:sz w:val="16"/>
          <w:szCs w:val="16"/>
        </w:rPr>
        <w:t>7</w:t>
      </w:r>
      <w:r w:rsidRPr="00240B6D">
        <w:rPr>
          <w:b/>
          <w:bCs/>
          <w:i/>
          <w:sz w:val="16"/>
          <w:szCs w:val="16"/>
        </w:rPr>
        <w:t xml:space="preserve"> </w:t>
      </w:r>
    </w:p>
    <w:p w:rsidR="006067DA" w:rsidRPr="002E7C59" w:rsidRDefault="00D10A68" w:rsidP="006067DA">
      <w:pPr>
        <w:spacing w:before="120" w:after="120"/>
        <w:jc w:val="both"/>
        <w:rPr>
          <w:bCs/>
          <w:szCs w:val="17"/>
        </w:rPr>
      </w:pPr>
      <w:r w:rsidRPr="00D10A68">
        <w:rPr>
          <w:b/>
          <w:bCs/>
          <w:szCs w:val="17"/>
        </w:rPr>
        <w:t>Soukromé zdravotní pojiště</w:t>
      </w:r>
      <w:r w:rsidR="006067DA" w:rsidRPr="00D10A68">
        <w:rPr>
          <w:b/>
          <w:bCs/>
          <w:szCs w:val="17"/>
        </w:rPr>
        <w:t>n</w:t>
      </w:r>
      <w:r w:rsidRPr="00D10A68">
        <w:rPr>
          <w:b/>
          <w:bCs/>
          <w:szCs w:val="17"/>
        </w:rPr>
        <w:t>í</w:t>
      </w:r>
      <w:r w:rsidR="006067DA" w:rsidRPr="00D10A68">
        <w:rPr>
          <w:bCs/>
          <w:szCs w:val="17"/>
        </w:rPr>
        <w:t xml:space="preserve"> </w:t>
      </w:r>
      <w:r w:rsidRPr="00D10A68">
        <w:rPr>
          <w:bCs/>
          <w:szCs w:val="17"/>
        </w:rPr>
        <w:t>v datech zdravotnických účtů České republiky zahrnuje</w:t>
      </w:r>
      <w:r w:rsidR="006067DA" w:rsidRPr="00D10A68">
        <w:rPr>
          <w:bCs/>
          <w:szCs w:val="17"/>
        </w:rPr>
        <w:t xml:space="preserve"> pouze cestovní pojištění. Na</w:t>
      </w:r>
      <w:r w:rsidR="006067DA" w:rsidRPr="002E7C59">
        <w:rPr>
          <w:bCs/>
          <w:szCs w:val="17"/>
        </w:rPr>
        <w:t xml:space="preserve"> rozdíl od některých jiných evropských </w:t>
      </w:r>
      <w:r w:rsidR="006067DA">
        <w:rPr>
          <w:bCs/>
          <w:szCs w:val="17"/>
        </w:rPr>
        <w:t>států např. Slovinska</w:t>
      </w:r>
      <w:r w:rsidR="00DA5900">
        <w:rPr>
          <w:bCs/>
          <w:szCs w:val="17"/>
        </w:rPr>
        <w:t xml:space="preserve">, </w:t>
      </w:r>
      <w:r w:rsidR="006067DA" w:rsidRPr="002E7C59">
        <w:rPr>
          <w:bCs/>
          <w:szCs w:val="17"/>
        </w:rPr>
        <w:t>Irska</w:t>
      </w:r>
      <w:r w:rsidR="00DA5900">
        <w:rPr>
          <w:bCs/>
          <w:szCs w:val="17"/>
        </w:rPr>
        <w:t xml:space="preserve"> či Kypru</w:t>
      </w:r>
      <w:r w:rsidR="006067DA" w:rsidRPr="002E7C59">
        <w:rPr>
          <w:bCs/>
          <w:szCs w:val="17"/>
        </w:rPr>
        <w:t xml:space="preserve">, ve kterých je podíl výdajů na zdravotní péči financovaný </w:t>
      </w:r>
      <w:r w:rsidR="006067DA" w:rsidRPr="002E7C59">
        <w:rPr>
          <w:b/>
          <w:bCs/>
          <w:szCs w:val="17"/>
        </w:rPr>
        <w:t>ze soukromého pojištění</w:t>
      </w:r>
      <w:r w:rsidR="006067DA" w:rsidRPr="002E7C59">
        <w:rPr>
          <w:bCs/>
          <w:szCs w:val="17"/>
        </w:rPr>
        <w:t xml:space="preserve"> přibližně </w:t>
      </w:r>
      <w:r w:rsidR="006067DA">
        <w:rPr>
          <w:bCs/>
          <w:szCs w:val="17"/>
        </w:rPr>
        <w:t>13</w:t>
      </w:r>
      <w:r w:rsidR="006067DA" w:rsidRPr="002E7C59">
        <w:rPr>
          <w:bCs/>
          <w:szCs w:val="17"/>
        </w:rPr>
        <w:t xml:space="preserve"> %, </w:t>
      </w:r>
      <w:r w:rsidR="006067DA" w:rsidRPr="00D10A68">
        <w:rPr>
          <w:bCs/>
          <w:szCs w:val="17"/>
        </w:rPr>
        <w:t>v</w:t>
      </w:r>
      <w:r w:rsidR="00437926" w:rsidRPr="00D10A68">
        <w:rPr>
          <w:bCs/>
          <w:szCs w:val="17"/>
        </w:rPr>
        <w:t> </w:t>
      </w:r>
      <w:r w:rsidR="006067DA" w:rsidRPr="00D10A68">
        <w:rPr>
          <w:bCs/>
          <w:szCs w:val="17"/>
        </w:rPr>
        <w:t>Česku</w:t>
      </w:r>
      <w:r w:rsidR="00437926" w:rsidRPr="00D10A68">
        <w:rPr>
          <w:bCs/>
          <w:szCs w:val="17"/>
        </w:rPr>
        <w:t xml:space="preserve">, </w:t>
      </w:r>
      <w:r>
        <w:rPr>
          <w:bCs/>
          <w:szCs w:val="17"/>
        </w:rPr>
        <w:t>na Slovensku, v </w:t>
      </w:r>
      <w:r w:rsidR="00437926" w:rsidRPr="00D10A68">
        <w:rPr>
          <w:bCs/>
          <w:szCs w:val="17"/>
        </w:rPr>
        <w:t>Bulharsku</w:t>
      </w:r>
      <w:r w:rsidR="00F77FB0" w:rsidRPr="00D10A68">
        <w:rPr>
          <w:bCs/>
          <w:szCs w:val="17"/>
        </w:rPr>
        <w:t>, Rumunsku, v pobaltských státech, ale i např. ve Švédsku</w:t>
      </w:r>
      <w:r w:rsidR="00DA5900" w:rsidRPr="00D10A68">
        <w:rPr>
          <w:bCs/>
          <w:szCs w:val="17"/>
        </w:rPr>
        <w:t xml:space="preserve"> </w:t>
      </w:r>
      <w:r w:rsidR="006067DA" w:rsidRPr="00D10A68">
        <w:rPr>
          <w:bCs/>
          <w:szCs w:val="17"/>
        </w:rPr>
        <w:t xml:space="preserve">dosahuje jeho podíl </w:t>
      </w:r>
      <w:r w:rsidR="00F77FB0" w:rsidRPr="00D10A68">
        <w:rPr>
          <w:bCs/>
          <w:szCs w:val="17"/>
        </w:rPr>
        <w:t xml:space="preserve">méně než </w:t>
      </w:r>
      <w:r w:rsidR="006067DA" w:rsidRPr="00D10A68">
        <w:rPr>
          <w:bCs/>
          <w:szCs w:val="17"/>
        </w:rPr>
        <w:t>1</w:t>
      </w:r>
      <w:r w:rsidR="00DA5900" w:rsidRPr="00D10A68">
        <w:rPr>
          <w:bCs/>
          <w:szCs w:val="17"/>
        </w:rPr>
        <w:t> </w:t>
      </w:r>
      <w:r w:rsidR="006067DA" w:rsidRPr="00D10A68">
        <w:rPr>
          <w:bCs/>
          <w:szCs w:val="17"/>
        </w:rPr>
        <w:t>%.</w:t>
      </w:r>
      <w:r w:rsidR="006067DA" w:rsidRPr="002E7C59">
        <w:rPr>
          <w:bCs/>
          <w:szCs w:val="17"/>
        </w:rPr>
        <w:t xml:space="preserve"> </w:t>
      </w:r>
      <w:r w:rsidR="00DA5900">
        <w:rPr>
          <w:bCs/>
          <w:szCs w:val="17"/>
        </w:rPr>
        <w:t xml:space="preserve">Zdroje ze soukromého dobrovolného </w:t>
      </w:r>
      <w:r w:rsidR="004775D1">
        <w:rPr>
          <w:bCs/>
          <w:szCs w:val="17"/>
        </w:rPr>
        <w:t>pojištění zaujímají velmi n</w:t>
      </w:r>
      <w:r w:rsidR="006067DA">
        <w:rPr>
          <w:bCs/>
          <w:szCs w:val="17"/>
        </w:rPr>
        <w:t xml:space="preserve">ízkou hodnotu </w:t>
      </w:r>
      <w:r w:rsidR="004775D1">
        <w:rPr>
          <w:bCs/>
          <w:szCs w:val="17"/>
        </w:rPr>
        <w:t xml:space="preserve">na financování zdravotní péče </w:t>
      </w:r>
      <w:r w:rsidR="006067DA">
        <w:rPr>
          <w:bCs/>
          <w:szCs w:val="17"/>
        </w:rPr>
        <w:t xml:space="preserve">i </w:t>
      </w:r>
      <w:r w:rsidR="006067DA" w:rsidRPr="00F725A0">
        <w:rPr>
          <w:bCs/>
          <w:szCs w:val="17"/>
        </w:rPr>
        <w:t>v</w:t>
      </w:r>
      <w:r w:rsidR="004775D1" w:rsidRPr="00F725A0">
        <w:rPr>
          <w:bCs/>
          <w:szCs w:val="17"/>
        </w:rPr>
        <w:t xml:space="preserve"> sousedním </w:t>
      </w:r>
      <w:r w:rsidR="006067DA" w:rsidRPr="00F725A0">
        <w:rPr>
          <w:bCs/>
          <w:szCs w:val="17"/>
        </w:rPr>
        <w:t xml:space="preserve"> Německu, které má obdobné zastoupení zdrojů financování zdravotní péče jako Česká republika. </w:t>
      </w:r>
      <w:r w:rsidR="00F725A0" w:rsidRPr="00F725A0">
        <w:rPr>
          <w:bCs/>
          <w:szCs w:val="17"/>
        </w:rPr>
        <w:t>Je však třeba znovu zdůraznit</w:t>
      </w:r>
      <w:r w:rsidR="00F77FB0" w:rsidRPr="00F725A0">
        <w:rPr>
          <w:bCs/>
          <w:szCs w:val="17"/>
        </w:rPr>
        <w:t xml:space="preserve">, že v Německu, na rozdíl od Česka, je část z všeobecného povinného zdravotního pojištění (10 % v roce 2016) financovaná prostřednictvím povinného připojištění, které je částečně hrazeno zaměstnavateli pojištěných osob. </w:t>
      </w:r>
      <w:r w:rsidR="006067DA" w:rsidRPr="00F725A0">
        <w:rPr>
          <w:bCs/>
          <w:szCs w:val="17"/>
        </w:rPr>
        <w:t>V Polsku</w:t>
      </w:r>
      <w:r w:rsidR="006067DA">
        <w:rPr>
          <w:bCs/>
          <w:szCs w:val="17"/>
        </w:rPr>
        <w:t xml:space="preserve"> a Rakousku plyne </w:t>
      </w:r>
      <w:r w:rsidR="00F725A0">
        <w:rPr>
          <w:bCs/>
          <w:szCs w:val="17"/>
        </w:rPr>
        <w:t xml:space="preserve">na financování zdravotní péče </w:t>
      </w:r>
      <w:r w:rsidR="006067DA">
        <w:rPr>
          <w:bCs/>
          <w:szCs w:val="17"/>
        </w:rPr>
        <w:t>ze soukromého zdravotního pojištění 5</w:t>
      </w:r>
      <w:r w:rsidR="00DA5900">
        <w:rPr>
          <w:bCs/>
          <w:szCs w:val="17"/>
        </w:rPr>
        <w:t> </w:t>
      </w:r>
      <w:r w:rsidR="00F725A0">
        <w:rPr>
          <w:bCs/>
          <w:szCs w:val="17"/>
        </w:rPr>
        <w:t>%.</w:t>
      </w:r>
    </w:p>
    <w:p w:rsidR="006067DA" w:rsidRDefault="006067DA" w:rsidP="006067DA">
      <w:pPr>
        <w:spacing w:before="120" w:after="120"/>
        <w:jc w:val="both"/>
        <w:rPr>
          <w:bCs/>
          <w:szCs w:val="17"/>
        </w:rPr>
      </w:pPr>
      <w:r w:rsidRPr="002E7C59">
        <w:rPr>
          <w:b/>
          <w:bCs/>
          <w:szCs w:val="17"/>
        </w:rPr>
        <w:t>Neziskové instituce</w:t>
      </w:r>
      <w:r w:rsidRPr="002E7C59">
        <w:rPr>
          <w:bCs/>
          <w:szCs w:val="17"/>
        </w:rPr>
        <w:t xml:space="preserve"> (např. Červený kříž) jsou v Česku orientovány zejména charitativně a jejich podíl na financování zdravotní péče je poměrně vysoký</w:t>
      </w:r>
      <w:r w:rsidR="004775D1">
        <w:rPr>
          <w:bCs/>
          <w:szCs w:val="17"/>
        </w:rPr>
        <w:t>. V roce 2016 byl jejich podíl nejvyšší ze zemí EU (2,5 %) a </w:t>
      </w:r>
      <w:r w:rsidRPr="002E7C59">
        <w:rPr>
          <w:bCs/>
          <w:szCs w:val="17"/>
        </w:rPr>
        <w:t>v roce 201</w:t>
      </w:r>
      <w:r>
        <w:rPr>
          <w:bCs/>
          <w:szCs w:val="17"/>
        </w:rPr>
        <w:t>7</w:t>
      </w:r>
      <w:r w:rsidRPr="002E7C59">
        <w:rPr>
          <w:bCs/>
          <w:szCs w:val="17"/>
        </w:rPr>
        <w:t xml:space="preserve"> </w:t>
      </w:r>
      <w:r w:rsidR="004775D1">
        <w:rPr>
          <w:bCs/>
          <w:szCs w:val="17"/>
        </w:rPr>
        <w:t xml:space="preserve">tyto neziskové instituce vynaložily na zdravotní péči </w:t>
      </w:r>
      <w:r>
        <w:rPr>
          <w:bCs/>
          <w:szCs w:val="17"/>
        </w:rPr>
        <w:t>9 mld. Kč</w:t>
      </w:r>
      <w:r w:rsidR="004775D1">
        <w:rPr>
          <w:bCs/>
          <w:szCs w:val="17"/>
        </w:rPr>
        <w:t>, tj. o 0,5 mld. Kč více než v roce předchozím.</w:t>
      </w:r>
      <w:r w:rsidRPr="002E7C59">
        <w:rPr>
          <w:bCs/>
          <w:szCs w:val="17"/>
        </w:rPr>
        <w:t xml:space="preserve"> Pro </w:t>
      </w:r>
      <w:r w:rsidRPr="002E7C59">
        <w:rPr>
          <w:b/>
          <w:bCs/>
          <w:szCs w:val="17"/>
        </w:rPr>
        <w:t>podnikovou sféru</w:t>
      </w:r>
      <w:r w:rsidRPr="002E7C59">
        <w:rPr>
          <w:bCs/>
          <w:szCs w:val="17"/>
        </w:rPr>
        <w:t xml:space="preserve"> je účast na financování zdravotní péče, zejména péče preventivní, spíše vedlejší, i když (z pohledu právních norem) nutnou aktivitou.</w:t>
      </w:r>
      <w:r w:rsidRPr="00240B6D">
        <w:rPr>
          <w:bCs/>
          <w:szCs w:val="17"/>
        </w:rPr>
        <w:t xml:space="preserve"> </w:t>
      </w:r>
    </w:p>
    <w:p w:rsidR="00052153" w:rsidRDefault="006067DA" w:rsidP="006067DA">
      <w:pPr>
        <w:spacing w:before="120" w:after="120"/>
        <w:jc w:val="both"/>
        <w:rPr>
          <w:bCs/>
          <w:szCs w:val="17"/>
        </w:rPr>
      </w:pPr>
      <w:r w:rsidRPr="00240B6D">
        <w:rPr>
          <w:bCs/>
          <w:szCs w:val="17"/>
        </w:rPr>
        <w:t xml:space="preserve">V případě výdajů </w:t>
      </w:r>
      <w:r w:rsidRPr="00240B6D">
        <w:rPr>
          <w:b/>
          <w:bCs/>
          <w:szCs w:val="17"/>
        </w:rPr>
        <w:t>domácností</w:t>
      </w:r>
      <w:r w:rsidRPr="00240B6D">
        <w:rPr>
          <w:bCs/>
          <w:szCs w:val="17"/>
        </w:rPr>
        <w:t xml:space="preserve"> přicházejí v úvahu přímé platby či spoluúčast na úhradách zdravotní péče. V převážné většině případů si domácnosti platí ambulantně užívané léky (ať už se jedná o doplatky u předepsaných léčiv či platby plných cen u volně prodejných léků) a terapeutické pomůcky. </w:t>
      </w:r>
      <w:r w:rsidRPr="00F725A0">
        <w:rPr>
          <w:b/>
          <w:bCs/>
          <w:szCs w:val="17"/>
        </w:rPr>
        <w:t>Spoluúčast</w:t>
      </w:r>
      <w:r w:rsidRPr="00F725A0">
        <w:rPr>
          <w:bCs/>
          <w:szCs w:val="17"/>
        </w:rPr>
        <w:t xml:space="preserve"> na léčivech a zdravotnických prostředcích tvoří až tři pětiny výdajů domácností na zdravotní péči.</w:t>
      </w:r>
      <w:r>
        <w:rPr>
          <w:bCs/>
          <w:szCs w:val="17"/>
        </w:rPr>
        <w:t xml:space="preserve"> </w:t>
      </w:r>
      <w:r w:rsidRPr="00240B6D">
        <w:rPr>
          <w:bCs/>
          <w:szCs w:val="17"/>
        </w:rPr>
        <w:t xml:space="preserve">Významný podíl výdajů domácností představují též platby za </w:t>
      </w:r>
      <w:r w:rsidRPr="00052153">
        <w:rPr>
          <w:b/>
          <w:bCs/>
          <w:szCs w:val="17"/>
        </w:rPr>
        <w:t>nadstandardní služby a materiál</w:t>
      </w:r>
      <w:r w:rsidRPr="00240B6D">
        <w:rPr>
          <w:bCs/>
          <w:szCs w:val="17"/>
        </w:rPr>
        <w:t>. Další</w:t>
      </w:r>
      <w:r>
        <w:rPr>
          <w:bCs/>
          <w:szCs w:val="17"/>
        </w:rPr>
        <w:t>,</w:t>
      </w:r>
      <w:r w:rsidRPr="00240B6D">
        <w:rPr>
          <w:bCs/>
          <w:szCs w:val="17"/>
        </w:rPr>
        <w:t xml:space="preserve"> byť méně významné</w:t>
      </w:r>
      <w:r>
        <w:rPr>
          <w:bCs/>
          <w:szCs w:val="17"/>
        </w:rPr>
        <w:t>,</w:t>
      </w:r>
      <w:r w:rsidRPr="00240B6D">
        <w:rPr>
          <w:bCs/>
          <w:szCs w:val="17"/>
        </w:rPr>
        <w:t xml:space="preserve"> jsou platby za lázeňské pobyty, nadstandardně vybavené pokoje v nemocnicích a platby za různá potvrzení</w:t>
      </w:r>
      <w:r>
        <w:rPr>
          <w:bCs/>
          <w:szCs w:val="17"/>
        </w:rPr>
        <w:t xml:space="preserve"> např. </w:t>
      </w:r>
      <w:r w:rsidRPr="00240B6D">
        <w:rPr>
          <w:bCs/>
          <w:szCs w:val="17"/>
        </w:rPr>
        <w:t xml:space="preserve">u praktických lékařů. </w:t>
      </w:r>
    </w:p>
    <w:p w:rsidR="006067DA" w:rsidRPr="00A5222D" w:rsidRDefault="006067DA" w:rsidP="006067DA">
      <w:pPr>
        <w:spacing w:before="120" w:after="120"/>
        <w:jc w:val="both"/>
        <w:rPr>
          <w:bCs/>
          <w:i/>
          <w:szCs w:val="17"/>
        </w:rPr>
      </w:pPr>
      <w:r w:rsidRPr="00240B6D">
        <w:rPr>
          <w:bCs/>
          <w:szCs w:val="17"/>
        </w:rPr>
        <w:t xml:space="preserve">Od roku 2008 také přibyly </w:t>
      </w:r>
      <w:r w:rsidRPr="00052153">
        <w:rPr>
          <w:b/>
          <w:bCs/>
          <w:szCs w:val="17"/>
        </w:rPr>
        <w:t>regulační poplatky</w:t>
      </w:r>
      <w:r w:rsidRPr="00240B6D">
        <w:rPr>
          <w:bCs/>
          <w:szCs w:val="17"/>
        </w:rPr>
        <w:t xml:space="preserve"> za ošetření u lékařů, za recepty v lékárnách, návštěvu pohotovosti nebo za hospitalizaci v nemocnicích a ostatních lůžkových zařízeních. V průběhu svojí existence prošly regulační poplatky různými změnami a postupně byly tři z nich zrušeny. Od ledna 2015 hradí pacienti pouze regulační poplatek za pohotovostní služby</w:t>
      </w:r>
      <w:r>
        <w:rPr>
          <w:bCs/>
          <w:szCs w:val="17"/>
        </w:rPr>
        <w:t xml:space="preserve">. </w:t>
      </w:r>
      <w:r w:rsidRPr="00A5222D">
        <w:rPr>
          <w:bCs/>
          <w:i/>
          <w:szCs w:val="17"/>
        </w:rPr>
        <w:t>Podrobnější informace jsou k dispozici v kapitole 3.2 Výdaje domácností na zdravotní péči.</w:t>
      </w:r>
    </w:p>
    <w:p w:rsidR="006067DA" w:rsidRPr="00321851" w:rsidRDefault="006067DA" w:rsidP="00441783">
      <w:pPr>
        <w:keepNext/>
        <w:keepLines/>
        <w:pageBreakBefore/>
        <w:spacing w:before="240" w:after="120"/>
        <w:outlineLvl w:val="1"/>
        <w:rPr>
          <w:rFonts w:eastAsia="MS Gothic"/>
          <w:b/>
          <w:bCs/>
          <w:color w:val="BC091B"/>
          <w:sz w:val="28"/>
          <w:szCs w:val="26"/>
        </w:rPr>
      </w:pPr>
      <w:bookmarkStart w:id="6" w:name="_Toc481748787"/>
      <w:bookmarkStart w:id="7" w:name="_Toc130184754"/>
      <w:bookmarkStart w:id="8" w:name="_Toc256065138"/>
      <w:bookmarkEnd w:id="2"/>
      <w:bookmarkEnd w:id="3"/>
      <w:r w:rsidRPr="00321851">
        <w:rPr>
          <w:rFonts w:eastAsia="MS Gothic"/>
          <w:b/>
          <w:bCs/>
          <w:color w:val="BC091B"/>
          <w:sz w:val="28"/>
          <w:szCs w:val="26"/>
        </w:rPr>
        <w:lastRenderedPageBreak/>
        <w:t>2.3 Výdaje na zdravotnictví podle druh</w:t>
      </w:r>
      <w:r w:rsidR="00CE45A3">
        <w:rPr>
          <w:rFonts w:eastAsia="MS Gothic"/>
          <w:b/>
          <w:bCs/>
          <w:color w:val="BC091B"/>
          <w:sz w:val="28"/>
          <w:szCs w:val="26"/>
        </w:rPr>
        <w:t>u poskytnuté</w:t>
      </w:r>
      <w:r w:rsidRPr="00321851">
        <w:rPr>
          <w:rFonts w:eastAsia="MS Gothic"/>
          <w:b/>
          <w:bCs/>
          <w:color w:val="BC091B"/>
          <w:sz w:val="28"/>
          <w:szCs w:val="26"/>
        </w:rPr>
        <w:t xml:space="preserve"> péče</w:t>
      </w:r>
      <w:bookmarkEnd w:id="6"/>
      <w:r w:rsidRPr="00321851">
        <w:rPr>
          <w:rFonts w:eastAsia="MS Gothic"/>
          <w:b/>
          <w:bCs/>
          <w:color w:val="BC091B"/>
          <w:sz w:val="28"/>
          <w:szCs w:val="26"/>
        </w:rPr>
        <w:t xml:space="preserve"> </w:t>
      </w:r>
      <w:bookmarkEnd w:id="7"/>
      <w:bookmarkEnd w:id="8"/>
    </w:p>
    <w:p w:rsidR="006067DA" w:rsidRDefault="006067DA" w:rsidP="006067DA">
      <w:pPr>
        <w:spacing w:before="120"/>
        <w:jc w:val="both"/>
        <w:rPr>
          <w:rFonts w:cs="Arial"/>
          <w:szCs w:val="20"/>
        </w:rPr>
      </w:pPr>
      <w:r w:rsidRPr="00240B6D">
        <w:rPr>
          <w:rFonts w:cs="Arial"/>
          <w:szCs w:val="20"/>
        </w:rPr>
        <w:t xml:space="preserve">Druhý významný pohled na problematiku zdravotní péče souvisí s druhem péče, která je poskytována. Zdravotní péče může být spotřebovávána dvěma způsoby: individuálně nebo kolektivně. Vzhledem ke skutečnosti, že zdravotní stav je vlastností jednotlivců, většina spotřeby zdravotních služeb se vztahuje k soukromé spotřebě. </w:t>
      </w:r>
    </w:p>
    <w:p w:rsidR="006067DA" w:rsidRDefault="006067DA" w:rsidP="006067DA">
      <w:pPr>
        <w:spacing w:before="120"/>
        <w:jc w:val="both"/>
        <w:rPr>
          <w:rFonts w:eastAsia="Calibri" w:cs="Arial"/>
          <w:szCs w:val="20"/>
          <w:lang w:eastAsia="en-US"/>
        </w:rPr>
      </w:pPr>
      <w:r w:rsidRPr="00696417">
        <w:rPr>
          <w:rFonts w:cs="Arial"/>
          <w:b/>
          <w:szCs w:val="20"/>
        </w:rPr>
        <w:t>Individuální</w:t>
      </w:r>
      <w:r w:rsidRPr="00696417">
        <w:rPr>
          <w:rFonts w:cs="Arial"/>
          <w:szCs w:val="20"/>
        </w:rPr>
        <w:t xml:space="preserve"> spotřeba obsahuje standardní kroky léčebného procesu – stanovení diagnózy, formace léčebného plánu, předepsání léku či terapie, diagnostiku a lékařské hodnocení, provedení léčby a hodnocení výsledků. Osobní zdravotní péče zahrnuje léčebnou, rehabilitační, dlouhodobou zdravotní péči a také podpůrné služby (laboratoře, zobrazovací metody a dopravu pacientů) a v neposlední řadě léky a</w:t>
      </w:r>
      <w:r>
        <w:rPr>
          <w:rFonts w:cs="Arial"/>
          <w:szCs w:val="20"/>
        </w:rPr>
        <w:t> </w:t>
      </w:r>
      <w:r w:rsidRPr="00696417">
        <w:rPr>
          <w:rFonts w:cs="Arial"/>
          <w:szCs w:val="20"/>
        </w:rPr>
        <w:t>terapeutické pomůcky.</w:t>
      </w:r>
      <w:r w:rsidRPr="00240B6D">
        <w:rPr>
          <w:rFonts w:cs="Arial"/>
          <w:szCs w:val="20"/>
        </w:rPr>
        <w:t xml:space="preserve"> </w:t>
      </w:r>
      <w:r w:rsidRPr="00240B6D">
        <w:rPr>
          <w:rFonts w:eastAsia="Calibri" w:cs="Arial"/>
          <w:szCs w:val="20"/>
          <w:lang w:eastAsia="en-US"/>
        </w:rPr>
        <w:t xml:space="preserve">Výdaje na individuální spotřebu pokrývají </w:t>
      </w:r>
      <w:r>
        <w:rPr>
          <w:rFonts w:eastAsia="Calibri" w:cs="Arial"/>
          <w:szCs w:val="20"/>
          <w:lang w:eastAsia="en-US"/>
        </w:rPr>
        <w:t xml:space="preserve">v Česku </w:t>
      </w:r>
      <w:r w:rsidRPr="00240B6D">
        <w:rPr>
          <w:rFonts w:eastAsia="Calibri" w:cs="Arial"/>
          <w:szCs w:val="20"/>
          <w:lang w:eastAsia="en-US"/>
        </w:rPr>
        <w:t xml:space="preserve">dlouhodobě </w:t>
      </w:r>
      <w:r>
        <w:rPr>
          <w:rFonts w:eastAsia="Calibri" w:cs="Arial"/>
          <w:szCs w:val="20"/>
          <w:lang w:eastAsia="en-US"/>
        </w:rPr>
        <w:t xml:space="preserve">cca </w:t>
      </w:r>
      <w:r w:rsidRPr="00240B6D">
        <w:rPr>
          <w:rFonts w:eastAsia="Calibri" w:cs="Arial"/>
          <w:szCs w:val="20"/>
          <w:lang w:eastAsia="en-US"/>
        </w:rPr>
        <w:t>9</w:t>
      </w:r>
      <w:r>
        <w:rPr>
          <w:rFonts w:eastAsia="Calibri" w:cs="Arial"/>
          <w:szCs w:val="20"/>
          <w:lang w:eastAsia="en-US"/>
        </w:rPr>
        <w:t>0 </w:t>
      </w:r>
      <w:r w:rsidRPr="00240B6D">
        <w:rPr>
          <w:rFonts w:eastAsia="Calibri" w:cs="Arial"/>
          <w:szCs w:val="20"/>
          <w:lang w:eastAsia="en-US"/>
        </w:rPr>
        <w:t>% výdajů na zdravotní péči</w:t>
      </w:r>
      <w:r>
        <w:rPr>
          <w:rFonts w:eastAsia="Calibri" w:cs="Arial"/>
          <w:szCs w:val="20"/>
          <w:lang w:eastAsia="en-US"/>
        </w:rPr>
        <w:t>.</w:t>
      </w:r>
    </w:p>
    <w:p w:rsidR="006067DA" w:rsidRDefault="006067DA" w:rsidP="006067DA">
      <w:pPr>
        <w:spacing w:before="120"/>
        <w:jc w:val="both"/>
        <w:rPr>
          <w:rFonts w:eastAsia="Calibri" w:cs="Arial"/>
          <w:szCs w:val="20"/>
          <w:lang w:eastAsia="en-US"/>
        </w:rPr>
      </w:pPr>
      <w:r w:rsidRPr="00240B6D">
        <w:rPr>
          <w:rFonts w:cs="Arial"/>
          <w:szCs w:val="20"/>
        </w:rPr>
        <w:t xml:space="preserve">Do pojmu zdravotní péče podle metodiky SHA patří také </w:t>
      </w:r>
      <w:r w:rsidRPr="00441783">
        <w:rPr>
          <w:rFonts w:cs="Arial"/>
          <w:szCs w:val="20"/>
        </w:rPr>
        <w:t>služby</w:t>
      </w:r>
      <w:r w:rsidRPr="00240B6D">
        <w:rPr>
          <w:rFonts w:cs="Arial"/>
          <w:szCs w:val="20"/>
        </w:rPr>
        <w:t xml:space="preserve">, které jsou zaměřeny na zlepšení celkového zdravotního stavu populace či efektivity systému zdravotnictví. </w:t>
      </w:r>
      <w:r w:rsidRPr="00240B6D">
        <w:rPr>
          <w:rFonts w:eastAsia="Calibri" w:cs="Arial"/>
          <w:b/>
          <w:szCs w:val="20"/>
          <w:lang w:eastAsia="en-US"/>
        </w:rPr>
        <w:t>Kolektivní</w:t>
      </w:r>
      <w:r w:rsidRPr="00240B6D">
        <w:rPr>
          <w:rFonts w:eastAsia="Calibri" w:cs="Arial"/>
          <w:szCs w:val="20"/>
          <w:lang w:eastAsia="en-US"/>
        </w:rPr>
        <w:t xml:space="preserve"> </w:t>
      </w:r>
      <w:r w:rsidRPr="00441783">
        <w:rPr>
          <w:rFonts w:eastAsia="Calibri" w:cs="Arial"/>
          <w:b/>
          <w:szCs w:val="20"/>
          <w:lang w:eastAsia="en-US"/>
        </w:rPr>
        <w:t>služby</w:t>
      </w:r>
      <w:r w:rsidRPr="00240B6D">
        <w:rPr>
          <w:rFonts w:eastAsia="Calibri" w:cs="Arial"/>
          <w:szCs w:val="20"/>
          <w:lang w:eastAsia="en-US"/>
        </w:rPr>
        <w:t xml:space="preserve"> jsou zacíleny na celou populaci (nebo části populace) a mají zlepšit celkové zdravotní standardy nebo efektivitu a výkonnost systému zdravotnictví, To se týká zejména některých </w:t>
      </w:r>
      <w:r w:rsidRPr="00441783">
        <w:rPr>
          <w:rFonts w:eastAsia="Calibri" w:cs="Arial"/>
          <w:b/>
          <w:szCs w:val="20"/>
          <w:lang w:eastAsia="en-US"/>
        </w:rPr>
        <w:t>preventivních služeb a provádění a finanční správy zdravotnických programů</w:t>
      </w:r>
      <w:r w:rsidRPr="00240B6D">
        <w:rPr>
          <w:rFonts w:eastAsia="Calibri" w:cs="Arial"/>
          <w:szCs w:val="20"/>
          <w:lang w:eastAsia="en-US"/>
        </w:rPr>
        <w:t xml:space="preserve">. </w:t>
      </w:r>
    </w:p>
    <w:p w:rsidR="006067DA" w:rsidRPr="00240B6D" w:rsidRDefault="006067DA" w:rsidP="00441783">
      <w:pPr>
        <w:keepNext/>
        <w:spacing w:before="120" w:after="60" w:line="240" w:lineRule="auto"/>
        <w:jc w:val="both"/>
        <w:rPr>
          <w:b/>
          <w:bCs/>
          <w:sz w:val="18"/>
          <w:szCs w:val="18"/>
        </w:rPr>
      </w:pPr>
      <w:r w:rsidRPr="00240B6D">
        <w:rPr>
          <w:b/>
          <w:bCs/>
          <w:sz w:val="18"/>
          <w:szCs w:val="18"/>
        </w:rPr>
        <w:t>Tabulka č. 2.2 Výdaje na zdravotnictví v Česku podle druhů péče, 2010</w:t>
      </w:r>
      <w:r>
        <w:rPr>
          <w:b/>
          <w:bCs/>
          <w:sz w:val="18"/>
          <w:szCs w:val="18"/>
        </w:rPr>
        <w:t xml:space="preserve"> a 2013 až</w:t>
      </w:r>
      <w:r w:rsidRPr="00240B6D">
        <w:rPr>
          <w:b/>
          <w:bCs/>
          <w:sz w:val="18"/>
          <w:szCs w:val="18"/>
        </w:rPr>
        <w:t xml:space="preserve"> 201</w:t>
      </w:r>
      <w:r>
        <w:rPr>
          <w:b/>
          <w:bCs/>
          <w:sz w:val="18"/>
          <w:szCs w:val="18"/>
        </w:rPr>
        <w:t>7</w:t>
      </w:r>
      <w:r w:rsidRPr="00240B6D">
        <w:rPr>
          <w:b/>
          <w:bCs/>
          <w:sz w:val="18"/>
          <w:szCs w:val="18"/>
        </w:rPr>
        <w:t xml:space="preserve"> (mil. Kč)</w:t>
      </w:r>
    </w:p>
    <w:tbl>
      <w:tblPr>
        <w:tblW w:w="9534" w:type="dxa"/>
        <w:tblInd w:w="93" w:type="dxa"/>
        <w:tblLayout w:type="fixed"/>
        <w:tblLook w:val="04A0" w:firstRow="1" w:lastRow="0" w:firstColumn="1" w:lastColumn="0" w:noHBand="0" w:noVBand="1"/>
      </w:tblPr>
      <w:tblGrid>
        <w:gridCol w:w="3198"/>
        <w:gridCol w:w="880"/>
        <w:gridCol w:w="880"/>
        <w:gridCol w:w="880"/>
        <w:gridCol w:w="880"/>
        <w:gridCol w:w="880"/>
        <w:gridCol w:w="880"/>
        <w:gridCol w:w="1056"/>
      </w:tblGrid>
      <w:tr w:rsidR="006067DA" w:rsidRPr="00240B6D" w:rsidTr="00441783">
        <w:trPr>
          <w:trHeight w:val="257"/>
        </w:trPr>
        <w:tc>
          <w:tcPr>
            <w:tcW w:w="3198" w:type="dxa"/>
            <w:tcBorders>
              <w:top w:val="single" w:sz="8" w:space="0" w:color="auto"/>
              <w:left w:val="nil"/>
              <w:bottom w:val="single" w:sz="8" w:space="0" w:color="auto"/>
              <w:right w:val="single" w:sz="4" w:space="0" w:color="auto"/>
            </w:tcBorders>
            <w:shd w:val="clear" w:color="auto" w:fill="auto"/>
            <w:noWrap/>
            <w:vAlign w:val="center"/>
            <w:hideMark/>
          </w:tcPr>
          <w:p w:rsidR="006067DA" w:rsidRPr="00240B6D" w:rsidRDefault="006067DA" w:rsidP="00777353">
            <w:pPr>
              <w:spacing w:line="240" w:lineRule="auto"/>
              <w:jc w:val="center"/>
              <w:rPr>
                <w:rFonts w:cs="Arial"/>
                <w:sz w:val="16"/>
                <w:szCs w:val="16"/>
                <w:lang w:eastAsia="en-US"/>
              </w:rPr>
            </w:pPr>
            <w:r w:rsidRPr="00240B6D">
              <w:rPr>
                <w:rFonts w:cs="Arial"/>
                <w:sz w:val="16"/>
                <w:szCs w:val="16"/>
                <w:lang w:eastAsia="en-US"/>
              </w:rPr>
              <w:t>Ukazatel</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6067DA" w:rsidRPr="00240B6D" w:rsidRDefault="006067DA" w:rsidP="00777353">
            <w:pPr>
              <w:spacing w:line="240" w:lineRule="auto"/>
              <w:jc w:val="center"/>
              <w:rPr>
                <w:rFonts w:cs="Arial"/>
                <w:b/>
                <w:bCs/>
                <w:sz w:val="16"/>
                <w:szCs w:val="16"/>
                <w:lang w:eastAsia="en-US"/>
              </w:rPr>
            </w:pPr>
            <w:r w:rsidRPr="00240B6D">
              <w:rPr>
                <w:rFonts w:cs="Arial"/>
                <w:b/>
                <w:bCs/>
                <w:sz w:val="16"/>
                <w:szCs w:val="16"/>
                <w:lang w:eastAsia="en-US"/>
              </w:rPr>
              <w:t>2010</w:t>
            </w:r>
          </w:p>
        </w:tc>
        <w:tc>
          <w:tcPr>
            <w:tcW w:w="880" w:type="dxa"/>
            <w:tcBorders>
              <w:top w:val="single" w:sz="8" w:space="0" w:color="auto"/>
              <w:left w:val="nil"/>
              <w:bottom w:val="single" w:sz="8" w:space="0" w:color="auto"/>
              <w:right w:val="single" w:sz="4" w:space="0" w:color="auto"/>
            </w:tcBorders>
            <w:vAlign w:val="center"/>
          </w:tcPr>
          <w:p w:rsidR="006067DA" w:rsidRPr="00240B6D" w:rsidRDefault="006067DA" w:rsidP="00777353">
            <w:pPr>
              <w:spacing w:line="240" w:lineRule="auto"/>
              <w:jc w:val="center"/>
              <w:rPr>
                <w:rFonts w:cs="Arial"/>
                <w:b/>
                <w:bCs/>
                <w:sz w:val="16"/>
                <w:szCs w:val="16"/>
                <w:lang w:eastAsia="en-US"/>
              </w:rPr>
            </w:pPr>
            <w:r w:rsidRPr="00240B6D">
              <w:rPr>
                <w:rFonts w:cs="Arial"/>
                <w:b/>
                <w:bCs/>
                <w:sz w:val="16"/>
                <w:szCs w:val="16"/>
                <w:lang w:eastAsia="en-US"/>
              </w:rPr>
              <w:t>2013</w:t>
            </w:r>
          </w:p>
        </w:tc>
        <w:tc>
          <w:tcPr>
            <w:tcW w:w="880" w:type="dxa"/>
            <w:tcBorders>
              <w:top w:val="single" w:sz="8" w:space="0" w:color="auto"/>
              <w:left w:val="single" w:sz="4" w:space="0" w:color="auto"/>
              <w:bottom w:val="single" w:sz="8" w:space="0" w:color="auto"/>
              <w:right w:val="single" w:sz="4" w:space="0" w:color="auto"/>
            </w:tcBorders>
            <w:vAlign w:val="center"/>
          </w:tcPr>
          <w:p w:rsidR="006067DA" w:rsidRPr="00240B6D" w:rsidRDefault="006067DA" w:rsidP="00777353">
            <w:pPr>
              <w:spacing w:line="240" w:lineRule="auto"/>
              <w:jc w:val="center"/>
              <w:rPr>
                <w:rFonts w:cs="Arial"/>
                <w:b/>
                <w:bCs/>
                <w:sz w:val="16"/>
                <w:szCs w:val="16"/>
                <w:lang w:eastAsia="en-US"/>
              </w:rPr>
            </w:pPr>
            <w:r w:rsidRPr="00240B6D">
              <w:rPr>
                <w:rFonts w:cs="Arial"/>
                <w:b/>
                <w:bCs/>
                <w:sz w:val="16"/>
                <w:szCs w:val="16"/>
                <w:lang w:eastAsia="en-US"/>
              </w:rPr>
              <w:t>2014</w:t>
            </w:r>
          </w:p>
        </w:tc>
        <w:tc>
          <w:tcPr>
            <w:tcW w:w="880" w:type="dxa"/>
            <w:tcBorders>
              <w:top w:val="single" w:sz="8" w:space="0" w:color="auto"/>
              <w:left w:val="nil"/>
              <w:bottom w:val="single" w:sz="8" w:space="0" w:color="auto"/>
              <w:right w:val="single" w:sz="4" w:space="0" w:color="auto"/>
            </w:tcBorders>
            <w:vAlign w:val="center"/>
          </w:tcPr>
          <w:p w:rsidR="006067DA" w:rsidRPr="00240B6D" w:rsidRDefault="006067DA" w:rsidP="00777353">
            <w:pPr>
              <w:spacing w:line="240" w:lineRule="auto"/>
              <w:jc w:val="center"/>
              <w:rPr>
                <w:rFonts w:cs="Arial"/>
                <w:b/>
                <w:bCs/>
                <w:sz w:val="16"/>
                <w:szCs w:val="16"/>
                <w:lang w:eastAsia="en-US"/>
              </w:rPr>
            </w:pPr>
            <w:r w:rsidRPr="00240B6D">
              <w:rPr>
                <w:rFonts w:cs="Arial"/>
                <w:b/>
                <w:bCs/>
                <w:sz w:val="16"/>
                <w:szCs w:val="16"/>
                <w:lang w:eastAsia="en-US"/>
              </w:rPr>
              <w:t>2015</w:t>
            </w:r>
          </w:p>
        </w:tc>
        <w:tc>
          <w:tcPr>
            <w:tcW w:w="880" w:type="dxa"/>
            <w:tcBorders>
              <w:top w:val="single" w:sz="8" w:space="0" w:color="auto"/>
              <w:left w:val="nil"/>
              <w:bottom w:val="single" w:sz="8" w:space="0" w:color="auto"/>
              <w:right w:val="single" w:sz="4" w:space="0" w:color="auto"/>
            </w:tcBorders>
            <w:vAlign w:val="center"/>
          </w:tcPr>
          <w:p w:rsidR="006067DA" w:rsidRPr="00240B6D" w:rsidRDefault="006067DA" w:rsidP="00777353">
            <w:pPr>
              <w:spacing w:line="240" w:lineRule="auto"/>
              <w:jc w:val="center"/>
              <w:rPr>
                <w:rFonts w:cs="Arial"/>
                <w:b/>
                <w:bCs/>
                <w:sz w:val="16"/>
                <w:szCs w:val="16"/>
                <w:lang w:eastAsia="en-US"/>
              </w:rPr>
            </w:pPr>
            <w:r w:rsidRPr="00240B6D">
              <w:rPr>
                <w:rFonts w:cs="Arial"/>
                <w:b/>
                <w:bCs/>
                <w:sz w:val="16"/>
                <w:szCs w:val="16"/>
                <w:lang w:eastAsia="en-US"/>
              </w:rPr>
              <w:t>2016</w:t>
            </w:r>
          </w:p>
        </w:tc>
        <w:tc>
          <w:tcPr>
            <w:tcW w:w="880" w:type="dxa"/>
            <w:tcBorders>
              <w:top w:val="single" w:sz="8" w:space="0" w:color="auto"/>
              <w:left w:val="nil"/>
              <w:bottom w:val="single" w:sz="8" w:space="0" w:color="auto"/>
              <w:right w:val="single" w:sz="4" w:space="0" w:color="auto"/>
            </w:tcBorders>
            <w:shd w:val="clear" w:color="auto" w:fill="auto"/>
            <w:noWrap/>
            <w:vAlign w:val="center"/>
          </w:tcPr>
          <w:p w:rsidR="006067DA" w:rsidRPr="00240B6D" w:rsidRDefault="006067DA" w:rsidP="00777353">
            <w:pPr>
              <w:spacing w:line="240" w:lineRule="auto"/>
              <w:jc w:val="center"/>
              <w:rPr>
                <w:rFonts w:cs="Arial"/>
                <w:b/>
                <w:bCs/>
                <w:sz w:val="16"/>
                <w:szCs w:val="16"/>
                <w:lang w:eastAsia="en-US"/>
              </w:rPr>
            </w:pPr>
            <w:r>
              <w:rPr>
                <w:rFonts w:cs="Arial"/>
                <w:b/>
                <w:bCs/>
                <w:sz w:val="16"/>
                <w:szCs w:val="16"/>
                <w:lang w:eastAsia="en-US"/>
              </w:rPr>
              <w:t>2017</w:t>
            </w:r>
          </w:p>
        </w:tc>
        <w:tc>
          <w:tcPr>
            <w:tcW w:w="1056" w:type="dxa"/>
            <w:tcBorders>
              <w:top w:val="single" w:sz="8" w:space="0" w:color="auto"/>
              <w:left w:val="nil"/>
              <w:bottom w:val="single" w:sz="8" w:space="0" w:color="auto"/>
              <w:right w:val="nil"/>
            </w:tcBorders>
            <w:shd w:val="clear" w:color="auto" w:fill="auto"/>
            <w:vAlign w:val="center"/>
            <w:hideMark/>
          </w:tcPr>
          <w:p w:rsidR="006067DA" w:rsidRPr="00240B6D" w:rsidRDefault="006067DA" w:rsidP="00777353">
            <w:pPr>
              <w:spacing w:line="240" w:lineRule="auto"/>
              <w:jc w:val="center"/>
              <w:rPr>
                <w:rFonts w:cs="Arial"/>
                <w:b/>
                <w:bCs/>
                <w:i/>
                <w:iCs/>
                <w:color w:val="000000"/>
                <w:sz w:val="16"/>
                <w:szCs w:val="16"/>
                <w:lang w:eastAsia="en-US"/>
              </w:rPr>
            </w:pPr>
            <w:r>
              <w:rPr>
                <w:rFonts w:cs="Arial"/>
                <w:b/>
                <w:bCs/>
                <w:i/>
                <w:iCs/>
                <w:color w:val="000000"/>
                <w:sz w:val="16"/>
                <w:szCs w:val="16"/>
                <w:lang w:eastAsia="en-US"/>
              </w:rPr>
              <w:t>Index 2017/2016</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Léčebná péče celkem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137 302</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140 948</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137 311</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141 600</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142 437</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151 875</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106,6</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 xml:space="preserve">lůžková </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55 948</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53 489</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52 473</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51 431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50 938</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56 302</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110,5</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a</w:t>
            </w:r>
            <w:r w:rsidRPr="00240B6D">
              <w:rPr>
                <w:rFonts w:cs="Arial"/>
                <w:sz w:val="16"/>
                <w:szCs w:val="16"/>
                <w:lang w:eastAsia="en-US"/>
              </w:rPr>
              <w:t>mbulantní</w:t>
            </w:r>
            <w:r>
              <w:rPr>
                <w:rFonts w:cs="Arial"/>
                <w:sz w:val="16"/>
                <w:szCs w:val="16"/>
                <w:lang w:eastAsia="en-US"/>
              </w:rPr>
              <w:t xml:space="preserve"> (bez stomatologické)</w:t>
            </w:r>
          </w:p>
        </w:tc>
        <w:tc>
          <w:tcPr>
            <w:tcW w:w="880" w:type="dxa"/>
            <w:tcBorders>
              <w:top w:val="nil"/>
              <w:left w:val="nil"/>
              <w:bottom w:val="nil"/>
              <w:right w:val="single" w:sz="4" w:space="0" w:color="auto"/>
            </w:tcBorders>
            <w:shd w:val="clear" w:color="auto" w:fill="auto"/>
            <w:noWrap/>
            <w:vAlign w:val="bottom"/>
          </w:tcPr>
          <w:p w:rsidR="006067DA" w:rsidRPr="00370B28" w:rsidRDefault="006067DA" w:rsidP="00777353">
            <w:pPr>
              <w:spacing w:line="240" w:lineRule="auto"/>
              <w:jc w:val="right"/>
              <w:rPr>
                <w:rFonts w:cs="Arial"/>
                <w:sz w:val="16"/>
                <w:szCs w:val="16"/>
                <w:lang w:eastAsia="en-US"/>
              </w:rPr>
            </w:pPr>
            <w:r w:rsidRPr="00370B28">
              <w:rPr>
                <w:rFonts w:cs="Arial"/>
                <w:sz w:val="16"/>
                <w:szCs w:val="16"/>
                <w:lang w:eastAsia="en-US"/>
              </w:rPr>
              <w:t>59 101</w:t>
            </w:r>
          </w:p>
        </w:tc>
        <w:tc>
          <w:tcPr>
            <w:tcW w:w="880" w:type="dxa"/>
            <w:tcBorders>
              <w:top w:val="nil"/>
              <w:left w:val="nil"/>
              <w:bottom w:val="nil"/>
              <w:right w:val="single" w:sz="4" w:space="0" w:color="auto"/>
            </w:tcBorders>
            <w:vAlign w:val="bottom"/>
          </w:tcPr>
          <w:p w:rsidR="006067DA" w:rsidRPr="00370B28" w:rsidRDefault="006067DA" w:rsidP="00777353">
            <w:pPr>
              <w:spacing w:line="240" w:lineRule="auto"/>
              <w:jc w:val="right"/>
              <w:rPr>
                <w:rFonts w:cs="Arial"/>
                <w:sz w:val="16"/>
                <w:szCs w:val="16"/>
                <w:lang w:eastAsia="en-US"/>
              </w:rPr>
            </w:pPr>
            <w:r w:rsidRPr="00370B28">
              <w:rPr>
                <w:rFonts w:cs="Arial"/>
                <w:sz w:val="16"/>
                <w:szCs w:val="16"/>
                <w:lang w:eastAsia="en-US"/>
              </w:rPr>
              <w:t>65 040</w:t>
            </w:r>
          </w:p>
        </w:tc>
        <w:tc>
          <w:tcPr>
            <w:tcW w:w="880" w:type="dxa"/>
            <w:tcBorders>
              <w:top w:val="nil"/>
              <w:left w:val="single" w:sz="4" w:space="0" w:color="auto"/>
              <w:bottom w:val="nil"/>
              <w:right w:val="single" w:sz="4" w:space="0" w:color="auto"/>
            </w:tcBorders>
            <w:vAlign w:val="bottom"/>
          </w:tcPr>
          <w:p w:rsidR="006067DA" w:rsidRPr="00370B28" w:rsidRDefault="006067DA" w:rsidP="00777353">
            <w:pPr>
              <w:spacing w:line="240" w:lineRule="auto"/>
              <w:jc w:val="right"/>
              <w:rPr>
                <w:rFonts w:cs="Arial"/>
                <w:sz w:val="16"/>
                <w:szCs w:val="16"/>
                <w:lang w:eastAsia="en-US"/>
              </w:rPr>
            </w:pPr>
            <w:r w:rsidRPr="00370B28">
              <w:rPr>
                <w:rFonts w:cs="Arial"/>
                <w:sz w:val="16"/>
                <w:szCs w:val="16"/>
                <w:lang w:eastAsia="en-US"/>
              </w:rPr>
              <w:t>61 609</w:t>
            </w:r>
          </w:p>
        </w:tc>
        <w:tc>
          <w:tcPr>
            <w:tcW w:w="880" w:type="dxa"/>
            <w:tcBorders>
              <w:top w:val="nil"/>
              <w:left w:val="nil"/>
              <w:bottom w:val="nil"/>
              <w:right w:val="single" w:sz="4" w:space="0" w:color="auto"/>
            </w:tcBorders>
            <w:vAlign w:val="bottom"/>
          </w:tcPr>
          <w:p w:rsidR="006067DA" w:rsidRPr="00370B28" w:rsidRDefault="006067DA" w:rsidP="00777353">
            <w:pPr>
              <w:spacing w:line="240" w:lineRule="auto"/>
              <w:jc w:val="right"/>
              <w:rPr>
                <w:rFonts w:cs="Arial"/>
                <w:sz w:val="16"/>
                <w:szCs w:val="16"/>
                <w:lang w:eastAsia="en-US"/>
              </w:rPr>
            </w:pPr>
            <w:r w:rsidRPr="00370B28">
              <w:rPr>
                <w:rFonts w:cs="Arial"/>
                <w:sz w:val="16"/>
                <w:szCs w:val="16"/>
                <w:lang w:eastAsia="en-US"/>
              </w:rPr>
              <w:t>66 461</w:t>
            </w:r>
          </w:p>
        </w:tc>
        <w:tc>
          <w:tcPr>
            <w:tcW w:w="880" w:type="dxa"/>
            <w:tcBorders>
              <w:top w:val="nil"/>
              <w:left w:val="nil"/>
              <w:bottom w:val="nil"/>
              <w:right w:val="single" w:sz="4" w:space="0" w:color="auto"/>
            </w:tcBorders>
            <w:vAlign w:val="bottom"/>
          </w:tcPr>
          <w:p w:rsidR="006067DA" w:rsidRPr="00370B28" w:rsidRDefault="006067DA" w:rsidP="00777353">
            <w:pPr>
              <w:spacing w:line="240" w:lineRule="auto"/>
              <w:jc w:val="right"/>
              <w:rPr>
                <w:rFonts w:cs="Arial"/>
                <w:sz w:val="16"/>
                <w:szCs w:val="16"/>
                <w:lang w:eastAsia="en-US"/>
              </w:rPr>
            </w:pPr>
            <w:r w:rsidRPr="00370B28">
              <w:rPr>
                <w:rFonts w:cs="Arial"/>
                <w:sz w:val="16"/>
                <w:szCs w:val="16"/>
                <w:lang w:eastAsia="en-US"/>
              </w:rPr>
              <w:t>67 361</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69 255</w:t>
            </w:r>
          </w:p>
        </w:tc>
        <w:tc>
          <w:tcPr>
            <w:tcW w:w="1056" w:type="dxa"/>
            <w:tcBorders>
              <w:top w:val="nil"/>
              <w:left w:val="nil"/>
              <w:bottom w:val="nil"/>
              <w:right w:val="nil"/>
            </w:tcBorders>
            <w:shd w:val="clear" w:color="auto" w:fill="auto"/>
            <w:noWrap/>
            <w:vAlign w:val="bottom"/>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102,8</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stomatologická</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16 829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16 900</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17 491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17 781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18 230</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19 743</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108,3</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d</w:t>
            </w:r>
            <w:r w:rsidRPr="00240B6D">
              <w:rPr>
                <w:rFonts w:cs="Arial"/>
                <w:sz w:val="16"/>
                <w:szCs w:val="16"/>
                <w:lang w:eastAsia="en-US"/>
              </w:rPr>
              <w:t>enní</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5 238</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5 333</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5 561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5 735</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5 720</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6 386</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111,7</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d</w:t>
            </w:r>
            <w:r w:rsidRPr="00240B6D">
              <w:rPr>
                <w:rFonts w:cs="Arial"/>
                <w:sz w:val="16"/>
                <w:szCs w:val="16"/>
                <w:lang w:eastAsia="en-US"/>
              </w:rPr>
              <w:t>omácí</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186</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186</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179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192</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187</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189</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101,2</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Rehabilitační péče celkem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12 808</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13 753</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13 738</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14 764</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15 018</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17 145</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114,2</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l</w:t>
            </w:r>
            <w:r w:rsidRPr="00240B6D">
              <w:rPr>
                <w:rFonts w:cs="Arial"/>
                <w:sz w:val="16"/>
                <w:szCs w:val="16"/>
                <w:lang w:eastAsia="en-US"/>
              </w:rPr>
              <w:t>ůžková</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5 886</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6 255</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6 407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6 911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7 483</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8 027</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107,3</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 xml:space="preserve">ambulantní </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6 922</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7 498</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7 331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7 853</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7 535</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9 117</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121,0</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Dlouhodobá péče celkem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52 761</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55 837</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62 113</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61 018</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65 264</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72 181</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110,6</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z</w:t>
            </w:r>
            <w:r w:rsidRPr="00240B6D">
              <w:rPr>
                <w:rFonts w:cs="Arial"/>
                <w:sz w:val="16"/>
                <w:szCs w:val="16"/>
                <w:lang w:eastAsia="en-US"/>
              </w:rPr>
              <w:t>dravotní</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35 762</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38 596</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44 035</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42 407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45 116</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50 382</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111,7</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Pr>
                <w:rFonts w:cs="Arial"/>
                <w:sz w:val="16"/>
                <w:szCs w:val="16"/>
                <w:lang w:eastAsia="en-US"/>
              </w:rPr>
              <w:t>s</w:t>
            </w:r>
            <w:r w:rsidRPr="00240B6D">
              <w:rPr>
                <w:rFonts w:cs="Arial"/>
                <w:sz w:val="16"/>
                <w:szCs w:val="16"/>
                <w:lang w:eastAsia="en-US"/>
              </w:rPr>
              <w:t>ociální</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16 999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17 241</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18 078</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18 611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20 148</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21 799</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108,2</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Doplňkové služby celkem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37 039</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38 469</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38 883</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40 020</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41 081</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43 524</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105,9</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laboratorní služby</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19 917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21 215</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21 454</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22 037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22 527</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23 793</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105,6</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zobrazovací metody</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9 729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10 044</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10 490</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10 484</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10 698</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11 154</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104,3</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doprava pacientů</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7 393</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7 210</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6 939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7 499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7 856</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8 577</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109,2</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Léčiva a zdrav</w:t>
            </w:r>
            <w:r>
              <w:rPr>
                <w:rFonts w:cs="Arial"/>
                <w:b/>
                <w:bCs/>
                <w:sz w:val="16"/>
                <w:szCs w:val="16"/>
                <w:lang w:eastAsia="en-US"/>
              </w:rPr>
              <w:t xml:space="preserve">otnické </w:t>
            </w:r>
            <w:r w:rsidRPr="00240B6D">
              <w:rPr>
                <w:rFonts w:cs="Arial"/>
                <w:b/>
                <w:bCs/>
                <w:sz w:val="16"/>
                <w:szCs w:val="16"/>
                <w:lang w:eastAsia="en-US"/>
              </w:rPr>
              <w:t>výrobky celk</w:t>
            </w:r>
            <w:r>
              <w:rPr>
                <w:rFonts w:cs="Arial"/>
                <w:b/>
                <w:bCs/>
                <w:sz w:val="16"/>
                <w:szCs w:val="16"/>
                <w:lang w:eastAsia="en-US"/>
              </w:rPr>
              <w:t>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66 231</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66 784</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67 021</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67 831</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69 285</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72 578</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104,8</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léčiva a zdravotnický materiál (1)</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57 091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56 221</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56 957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58 061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59 365</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61 989</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104,4</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terapeutické pomůcky</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9 141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10 563</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10 064</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9 770</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9 921</w:t>
            </w:r>
          </w:p>
        </w:tc>
        <w:tc>
          <w:tcPr>
            <w:tcW w:w="880" w:type="dxa"/>
            <w:tcBorders>
              <w:top w:val="nil"/>
              <w:left w:val="nil"/>
              <w:bottom w:val="nil"/>
              <w:right w:val="single" w:sz="4" w:space="0" w:color="auto"/>
            </w:tcBorders>
            <w:shd w:val="clear" w:color="auto" w:fill="auto"/>
            <w:noWrap/>
            <w:vAlign w:val="bottom"/>
          </w:tcPr>
          <w:p w:rsidR="006067DA" w:rsidRDefault="006067DA" w:rsidP="00777353">
            <w:pPr>
              <w:jc w:val="right"/>
              <w:rPr>
                <w:rFonts w:cs="Arial"/>
                <w:color w:val="000000"/>
                <w:sz w:val="16"/>
                <w:szCs w:val="16"/>
              </w:rPr>
            </w:pPr>
            <w:r>
              <w:rPr>
                <w:rFonts w:cs="Arial"/>
                <w:color w:val="000000"/>
                <w:sz w:val="16"/>
                <w:szCs w:val="16"/>
              </w:rPr>
              <w:t>10 588</w:t>
            </w:r>
          </w:p>
        </w:tc>
        <w:tc>
          <w:tcPr>
            <w:tcW w:w="1056" w:type="dxa"/>
            <w:tcBorders>
              <w:top w:val="nil"/>
              <w:left w:val="nil"/>
              <w:bottom w:val="nil"/>
              <w:right w:val="nil"/>
            </w:tcBorders>
            <w:shd w:val="clear" w:color="auto" w:fill="auto"/>
            <w:noWrap/>
            <w:vAlign w:val="bottom"/>
            <w:hideMark/>
          </w:tcPr>
          <w:p w:rsidR="006067DA" w:rsidRPr="001D1248" w:rsidRDefault="006067DA" w:rsidP="00777353">
            <w:pPr>
              <w:jc w:val="right"/>
              <w:rPr>
                <w:rFonts w:cs="Arial"/>
                <w:bCs/>
                <w:i/>
                <w:iCs/>
                <w:color w:val="000000"/>
                <w:sz w:val="16"/>
                <w:szCs w:val="16"/>
              </w:rPr>
            </w:pPr>
            <w:r w:rsidRPr="001D1248">
              <w:rPr>
                <w:rFonts w:cs="Arial"/>
                <w:bCs/>
                <w:i/>
                <w:iCs/>
                <w:color w:val="000000"/>
                <w:sz w:val="16"/>
                <w:szCs w:val="16"/>
              </w:rPr>
              <w:t>106,7</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Preventivní péče celkem</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9 990</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10 765</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11 433</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9 027</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9 739</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10 540</w:t>
            </w:r>
          </w:p>
        </w:tc>
        <w:tc>
          <w:tcPr>
            <w:tcW w:w="1056" w:type="dxa"/>
            <w:tcBorders>
              <w:top w:val="nil"/>
              <w:left w:val="nil"/>
              <w:bottom w:val="nil"/>
              <w:right w:val="nil"/>
            </w:tcBorders>
            <w:shd w:val="clear" w:color="000000" w:fill="F2DCDB"/>
            <w:noWrap/>
            <w:vAlign w:val="bottom"/>
            <w:hideMark/>
          </w:tcPr>
          <w:p w:rsidR="006067DA" w:rsidRDefault="006067DA" w:rsidP="00777353">
            <w:pPr>
              <w:jc w:val="right"/>
              <w:rPr>
                <w:rFonts w:cs="Arial"/>
                <w:b/>
                <w:bCs/>
                <w:i/>
                <w:iCs/>
                <w:color w:val="000000"/>
                <w:sz w:val="16"/>
                <w:szCs w:val="16"/>
              </w:rPr>
            </w:pPr>
            <w:r>
              <w:rPr>
                <w:rFonts w:cs="Arial"/>
                <w:b/>
                <w:bCs/>
                <w:i/>
                <w:iCs/>
                <w:color w:val="000000"/>
                <w:sz w:val="16"/>
                <w:szCs w:val="16"/>
              </w:rPr>
              <w:t>108,2</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programy pro sledování  zdrav</w:t>
            </w:r>
            <w:r>
              <w:rPr>
                <w:rFonts w:cs="Arial"/>
                <w:sz w:val="16"/>
                <w:szCs w:val="16"/>
                <w:lang w:eastAsia="en-US"/>
              </w:rPr>
              <w:t>.</w:t>
            </w:r>
            <w:r w:rsidRPr="00240B6D">
              <w:rPr>
                <w:rFonts w:cs="Arial"/>
                <w:sz w:val="16"/>
                <w:szCs w:val="16"/>
                <w:lang w:eastAsia="en-US"/>
              </w:rPr>
              <w:t xml:space="preserve"> stavu</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6 541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7 034</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7 561</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5 455</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w:t>
            </w:r>
            <w:r>
              <w:rPr>
                <w:rFonts w:cs="Arial"/>
                <w:sz w:val="16"/>
                <w:szCs w:val="16"/>
                <w:lang w:eastAsia="en-US"/>
              </w:rPr>
              <w:t> </w:t>
            </w:r>
            <w:r w:rsidRPr="00240B6D">
              <w:rPr>
                <w:rFonts w:cs="Arial"/>
                <w:sz w:val="16"/>
                <w:szCs w:val="16"/>
                <w:lang w:eastAsia="en-US"/>
              </w:rPr>
              <w:t>121</w:t>
            </w:r>
          </w:p>
        </w:tc>
        <w:tc>
          <w:tcPr>
            <w:tcW w:w="880" w:type="dxa"/>
            <w:tcBorders>
              <w:top w:val="nil"/>
              <w:left w:val="nil"/>
              <w:bottom w:val="nil"/>
              <w:right w:val="single" w:sz="4" w:space="0" w:color="auto"/>
            </w:tcBorders>
            <w:shd w:val="clear" w:color="auto" w:fill="auto"/>
            <w:noWrap/>
            <w:vAlign w:val="bottom"/>
          </w:tcPr>
          <w:p w:rsidR="006067DA" w:rsidRPr="00240B6D" w:rsidRDefault="006067DA" w:rsidP="00777353">
            <w:pPr>
              <w:spacing w:line="240" w:lineRule="auto"/>
              <w:jc w:val="right"/>
              <w:rPr>
                <w:rFonts w:cs="Arial"/>
                <w:sz w:val="16"/>
                <w:szCs w:val="16"/>
                <w:lang w:eastAsia="en-US"/>
              </w:rPr>
            </w:pPr>
            <w:r>
              <w:rPr>
                <w:rFonts w:cs="Arial"/>
                <w:sz w:val="16"/>
                <w:szCs w:val="16"/>
                <w:lang w:eastAsia="en-US"/>
              </w:rPr>
              <w:t>6 887</w:t>
            </w:r>
          </w:p>
        </w:tc>
        <w:tc>
          <w:tcPr>
            <w:tcW w:w="1056" w:type="dxa"/>
            <w:tcBorders>
              <w:top w:val="nil"/>
              <w:left w:val="nil"/>
              <w:bottom w:val="nil"/>
              <w:right w:val="nil"/>
            </w:tcBorders>
            <w:shd w:val="clear" w:color="auto" w:fill="auto"/>
            <w:noWrap/>
            <w:vAlign w:val="bottom"/>
            <w:hideMark/>
          </w:tcPr>
          <w:p w:rsidR="006067DA" w:rsidRPr="00240B6D" w:rsidRDefault="006067DA" w:rsidP="00777353">
            <w:pPr>
              <w:spacing w:line="240" w:lineRule="auto"/>
              <w:jc w:val="right"/>
              <w:rPr>
                <w:rFonts w:cs="Arial"/>
                <w:i/>
                <w:iCs/>
                <w:color w:val="000000"/>
                <w:sz w:val="16"/>
                <w:szCs w:val="16"/>
                <w:lang w:eastAsia="en-US"/>
              </w:rPr>
            </w:pPr>
            <w:r w:rsidRPr="00240B6D">
              <w:rPr>
                <w:rFonts w:cs="Arial"/>
                <w:i/>
                <w:iCs/>
                <w:color w:val="000000"/>
                <w:sz w:val="16"/>
                <w:szCs w:val="16"/>
                <w:lang w:eastAsia="en-US"/>
              </w:rPr>
              <w:t>112,</w:t>
            </w:r>
            <w:r>
              <w:rPr>
                <w:rFonts w:cs="Arial"/>
                <w:i/>
                <w:iCs/>
                <w:color w:val="000000"/>
                <w:sz w:val="16"/>
                <w:szCs w:val="16"/>
                <w:lang w:eastAsia="en-US"/>
              </w:rPr>
              <w:t>5</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programy pro včasné odhalení nemocí</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1 573</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1 644</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1 659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1 637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w:t>
            </w:r>
            <w:r>
              <w:rPr>
                <w:rFonts w:cs="Arial"/>
                <w:sz w:val="16"/>
                <w:szCs w:val="16"/>
                <w:lang w:eastAsia="en-US"/>
              </w:rPr>
              <w:t> </w:t>
            </w:r>
            <w:r w:rsidRPr="00240B6D">
              <w:rPr>
                <w:rFonts w:cs="Arial"/>
                <w:sz w:val="16"/>
                <w:szCs w:val="16"/>
                <w:lang w:eastAsia="en-US"/>
              </w:rPr>
              <w:t>746</w:t>
            </w:r>
          </w:p>
        </w:tc>
        <w:tc>
          <w:tcPr>
            <w:tcW w:w="880" w:type="dxa"/>
            <w:tcBorders>
              <w:top w:val="nil"/>
              <w:left w:val="nil"/>
              <w:bottom w:val="nil"/>
              <w:right w:val="single" w:sz="4" w:space="0" w:color="auto"/>
            </w:tcBorders>
            <w:shd w:val="clear" w:color="auto" w:fill="auto"/>
            <w:noWrap/>
            <w:vAlign w:val="bottom"/>
          </w:tcPr>
          <w:p w:rsidR="006067DA" w:rsidRPr="00240B6D" w:rsidRDefault="006067DA" w:rsidP="00777353">
            <w:pPr>
              <w:spacing w:line="240" w:lineRule="auto"/>
              <w:jc w:val="right"/>
              <w:rPr>
                <w:rFonts w:cs="Arial"/>
                <w:sz w:val="16"/>
                <w:szCs w:val="16"/>
                <w:lang w:eastAsia="en-US"/>
              </w:rPr>
            </w:pPr>
            <w:r>
              <w:rPr>
                <w:rFonts w:cs="Arial"/>
                <w:sz w:val="16"/>
                <w:szCs w:val="16"/>
                <w:lang w:eastAsia="en-US"/>
              </w:rPr>
              <w:t>1 788</w:t>
            </w:r>
          </w:p>
        </w:tc>
        <w:tc>
          <w:tcPr>
            <w:tcW w:w="1056" w:type="dxa"/>
            <w:tcBorders>
              <w:top w:val="nil"/>
              <w:left w:val="nil"/>
              <w:bottom w:val="nil"/>
              <w:right w:val="nil"/>
            </w:tcBorders>
            <w:shd w:val="clear" w:color="auto" w:fill="auto"/>
            <w:noWrap/>
            <w:vAlign w:val="bottom"/>
            <w:hideMark/>
          </w:tcPr>
          <w:p w:rsidR="006067DA" w:rsidRPr="00240B6D" w:rsidRDefault="006067DA" w:rsidP="00777353">
            <w:pPr>
              <w:spacing w:line="240" w:lineRule="auto"/>
              <w:jc w:val="right"/>
              <w:rPr>
                <w:rFonts w:cs="Arial"/>
                <w:i/>
                <w:iCs/>
                <w:color w:val="000000"/>
                <w:sz w:val="16"/>
                <w:szCs w:val="16"/>
                <w:lang w:eastAsia="en-US"/>
              </w:rPr>
            </w:pPr>
            <w:r>
              <w:rPr>
                <w:rFonts w:cs="Arial"/>
                <w:i/>
                <w:iCs/>
                <w:color w:val="000000"/>
                <w:sz w:val="16"/>
                <w:szCs w:val="16"/>
                <w:lang w:eastAsia="en-US"/>
              </w:rPr>
              <w:t>102,4</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imunizační programy</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1 389</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1 458</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1 576</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1 267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1 172</w:t>
            </w:r>
          </w:p>
        </w:tc>
        <w:tc>
          <w:tcPr>
            <w:tcW w:w="880" w:type="dxa"/>
            <w:tcBorders>
              <w:top w:val="nil"/>
              <w:left w:val="nil"/>
              <w:bottom w:val="nil"/>
              <w:right w:val="single" w:sz="4" w:space="0" w:color="auto"/>
            </w:tcBorders>
            <w:shd w:val="clear" w:color="auto" w:fill="auto"/>
            <w:noWrap/>
            <w:vAlign w:val="bottom"/>
          </w:tcPr>
          <w:p w:rsidR="006067DA" w:rsidRPr="00240B6D" w:rsidRDefault="006067DA" w:rsidP="00777353">
            <w:pPr>
              <w:spacing w:line="240" w:lineRule="auto"/>
              <w:jc w:val="right"/>
              <w:rPr>
                <w:rFonts w:cs="Arial"/>
                <w:sz w:val="16"/>
                <w:szCs w:val="16"/>
                <w:lang w:eastAsia="en-US"/>
              </w:rPr>
            </w:pPr>
            <w:r>
              <w:rPr>
                <w:rFonts w:cs="Arial"/>
                <w:sz w:val="16"/>
                <w:szCs w:val="16"/>
                <w:lang w:eastAsia="en-US"/>
              </w:rPr>
              <w:t>1 161</w:t>
            </w:r>
          </w:p>
        </w:tc>
        <w:tc>
          <w:tcPr>
            <w:tcW w:w="1056" w:type="dxa"/>
            <w:tcBorders>
              <w:top w:val="nil"/>
              <w:left w:val="nil"/>
              <w:bottom w:val="nil"/>
              <w:right w:val="nil"/>
            </w:tcBorders>
            <w:shd w:val="clear" w:color="auto" w:fill="auto"/>
            <w:noWrap/>
            <w:vAlign w:val="bottom"/>
            <w:hideMark/>
          </w:tcPr>
          <w:p w:rsidR="006067DA" w:rsidRPr="00240B6D" w:rsidRDefault="006067DA" w:rsidP="00777353">
            <w:pPr>
              <w:spacing w:line="240" w:lineRule="auto"/>
              <w:jc w:val="right"/>
              <w:rPr>
                <w:rFonts w:cs="Arial"/>
                <w:i/>
                <w:iCs/>
                <w:color w:val="000000"/>
                <w:sz w:val="16"/>
                <w:szCs w:val="16"/>
                <w:lang w:eastAsia="en-US"/>
              </w:rPr>
            </w:pPr>
            <w:r w:rsidRPr="00240B6D">
              <w:rPr>
                <w:rFonts w:cs="Arial"/>
                <w:i/>
                <w:iCs/>
                <w:color w:val="000000"/>
                <w:sz w:val="16"/>
                <w:szCs w:val="16"/>
                <w:lang w:eastAsia="en-US"/>
              </w:rPr>
              <w:t>9</w:t>
            </w:r>
            <w:r>
              <w:rPr>
                <w:rFonts w:cs="Arial"/>
                <w:i/>
                <w:iCs/>
                <w:color w:val="000000"/>
                <w:sz w:val="16"/>
                <w:szCs w:val="16"/>
                <w:lang w:eastAsia="en-US"/>
              </w:rPr>
              <w:t>9,1</w:t>
            </w:r>
          </w:p>
        </w:tc>
      </w:tr>
      <w:tr w:rsidR="006067DA" w:rsidRPr="00240B6D" w:rsidTr="00441783">
        <w:trPr>
          <w:trHeight w:val="264"/>
        </w:trPr>
        <w:tc>
          <w:tcPr>
            <w:tcW w:w="3198"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ind w:firstLineChars="100" w:firstLine="160"/>
              <w:rPr>
                <w:rFonts w:cs="Arial"/>
                <w:sz w:val="16"/>
                <w:szCs w:val="16"/>
                <w:lang w:eastAsia="en-US"/>
              </w:rPr>
            </w:pPr>
            <w:r w:rsidRPr="00240B6D">
              <w:rPr>
                <w:rFonts w:cs="Arial"/>
                <w:sz w:val="16"/>
                <w:szCs w:val="16"/>
                <w:lang w:eastAsia="en-US"/>
              </w:rPr>
              <w:t>informační a poradenské programy</w:t>
            </w:r>
          </w:p>
        </w:tc>
        <w:tc>
          <w:tcPr>
            <w:tcW w:w="880" w:type="dxa"/>
            <w:tcBorders>
              <w:top w:val="nil"/>
              <w:left w:val="nil"/>
              <w:bottom w:val="nil"/>
              <w:right w:val="single" w:sz="4" w:space="0" w:color="auto"/>
            </w:tcBorders>
            <w:shd w:val="clear" w:color="auto" w:fill="auto"/>
            <w:noWrap/>
            <w:vAlign w:val="bottom"/>
            <w:hideMark/>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487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629</w:t>
            </w:r>
          </w:p>
        </w:tc>
        <w:tc>
          <w:tcPr>
            <w:tcW w:w="880" w:type="dxa"/>
            <w:tcBorders>
              <w:top w:val="nil"/>
              <w:left w:val="single" w:sz="4" w:space="0" w:color="auto"/>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637</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668</w:t>
            </w:r>
          </w:p>
        </w:tc>
        <w:tc>
          <w:tcPr>
            <w:tcW w:w="880" w:type="dxa"/>
            <w:tcBorders>
              <w:top w:val="nil"/>
              <w:left w:val="nil"/>
              <w:bottom w:val="nil"/>
              <w:right w:val="single" w:sz="4" w:space="0" w:color="auto"/>
            </w:tcBorders>
            <w:vAlign w:val="bottom"/>
          </w:tcPr>
          <w:p w:rsidR="006067DA" w:rsidRPr="00240B6D" w:rsidRDefault="006067DA" w:rsidP="00777353">
            <w:pPr>
              <w:spacing w:line="240" w:lineRule="auto"/>
              <w:jc w:val="right"/>
              <w:rPr>
                <w:rFonts w:cs="Arial"/>
                <w:sz w:val="16"/>
                <w:szCs w:val="16"/>
                <w:lang w:eastAsia="en-US"/>
              </w:rPr>
            </w:pPr>
            <w:r w:rsidRPr="00240B6D">
              <w:rPr>
                <w:rFonts w:cs="Arial"/>
                <w:sz w:val="16"/>
                <w:szCs w:val="16"/>
                <w:lang w:eastAsia="en-US"/>
              </w:rPr>
              <w:t>700</w:t>
            </w:r>
          </w:p>
        </w:tc>
        <w:tc>
          <w:tcPr>
            <w:tcW w:w="880" w:type="dxa"/>
            <w:tcBorders>
              <w:top w:val="nil"/>
              <w:left w:val="nil"/>
              <w:bottom w:val="nil"/>
              <w:right w:val="single" w:sz="4" w:space="0" w:color="auto"/>
            </w:tcBorders>
            <w:shd w:val="clear" w:color="auto" w:fill="auto"/>
            <w:noWrap/>
            <w:vAlign w:val="bottom"/>
          </w:tcPr>
          <w:p w:rsidR="006067DA" w:rsidRPr="00240B6D" w:rsidRDefault="006067DA" w:rsidP="00777353">
            <w:pPr>
              <w:spacing w:line="240" w:lineRule="auto"/>
              <w:jc w:val="right"/>
              <w:rPr>
                <w:rFonts w:cs="Arial"/>
                <w:sz w:val="16"/>
                <w:szCs w:val="16"/>
                <w:lang w:eastAsia="en-US"/>
              </w:rPr>
            </w:pPr>
            <w:r>
              <w:rPr>
                <w:rFonts w:cs="Arial"/>
                <w:sz w:val="16"/>
                <w:szCs w:val="16"/>
                <w:lang w:eastAsia="en-US"/>
              </w:rPr>
              <w:t>704</w:t>
            </w:r>
          </w:p>
        </w:tc>
        <w:tc>
          <w:tcPr>
            <w:tcW w:w="1056" w:type="dxa"/>
            <w:tcBorders>
              <w:top w:val="nil"/>
              <w:left w:val="nil"/>
              <w:bottom w:val="nil"/>
              <w:right w:val="nil"/>
            </w:tcBorders>
            <w:shd w:val="clear" w:color="auto" w:fill="auto"/>
            <w:noWrap/>
            <w:vAlign w:val="bottom"/>
            <w:hideMark/>
          </w:tcPr>
          <w:p w:rsidR="006067DA" w:rsidRPr="00240B6D" w:rsidRDefault="006067DA" w:rsidP="00777353">
            <w:pPr>
              <w:spacing w:line="240" w:lineRule="auto"/>
              <w:jc w:val="right"/>
              <w:rPr>
                <w:rFonts w:cs="Arial"/>
                <w:i/>
                <w:iCs/>
                <w:color w:val="000000"/>
                <w:sz w:val="16"/>
                <w:szCs w:val="16"/>
                <w:lang w:eastAsia="en-US"/>
              </w:rPr>
            </w:pPr>
            <w:r w:rsidRPr="00240B6D">
              <w:rPr>
                <w:rFonts w:cs="Arial"/>
                <w:i/>
                <w:iCs/>
                <w:color w:val="000000"/>
                <w:sz w:val="16"/>
                <w:szCs w:val="16"/>
                <w:lang w:eastAsia="en-US"/>
              </w:rPr>
              <w:t>10</w:t>
            </w:r>
            <w:r>
              <w:rPr>
                <w:rFonts w:cs="Arial"/>
                <w:i/>
                <w:iCs/>
                <w:color w:val="000000"/>
                <w:sz w:val="16"/>
                <w:szCs w:val="16"/>
                <w:lang w:eastAsia="en-US"/>
              </w:rPr>
              <w:t>0</w:t>
            </w:r>
            <w:r w:rsidRPr="00240B6D">
              <w:rPr>
                <w:rFonts w:cs="Arial"/>
                <w:i/>
                <w:iCs/>
                <w:color w:val="000000"/>
                <w:sz w:val="16"/>
                <w:szCs w:val="16"/>
                <w:lang w:eastAsia="en-US"/>
              </w:rPr>
              <w:t>,</w:t>
            </w:r>
            <w:r>
              <w:rPr>
                <w:rFonts w:cs="Arial"/>
                <w:i/>
                <w:iCs/>
                <w:color w:val="000000"/>
                <w:sz w:val="16"/>
                <w:szCs w:val="16"/>
                <w:lang w:eastAsia="en-US"/>
              </w:rPr>
              <w:t>5</w:t>
            </w:r>
          </w:p>
        </w:tc>
      </w:tr>
      <w:tr w:rsidR="006067DA" w:rsidRPr="00240B6D" w:rsidTr="00441783">
        <w:trPr>
          <w:trHeight w:val="264"/>
        </w:trPr>
        <w:tc>
          <w:tcPr>
            <w:tcW w:w="3198"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Správa systému zdravotní péče</w:t>
            </w:r>
          </w:p>
        </w:tc>
        <w:tc>
          <w:tcPr>
            <w:tcW w:w="880" w:type="dxa"/>
            <w:tcBorders>
              <w:top w:val="nil"/>
              <w:left w:val="nil"/>
              <w:bottom w:val="nil"/>
              <w:right w:val="single" w:sz="4" w:space="0" w:color="auto"/>
            </w:tcBorders>
            <w:shd w:val="clear" w:color="000000" w:fill="F2DCDB"/>
            <w:noWrap/>
            <w:vAlign w:val="bottom"/>
            <w:hideMark/>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8 649</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9 005</w:t>
            </w:r>
          </w:p>
        </w:tc>
        <w:tc>
          <w:tcPr>
            <w:tcW w:w="880" w:type="dxa"/>
            <w:tcBorders>
              <w:top w:val="nil"/>
              <w:left w:val="single" w:sz="4" w:space="0" w:color="auto"/>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9 040</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8 536</w:t>
            </w:r>
          </w:p>
        </w:tc>
        <w:tc>
          <w:tcPr>
            <w:tcW w:w="880" w:type="dxa"/>
            <w:tcBorders>
              <w:top w:val="nil"/>
              <w:left w:val="nil"/>
              <w:bottom w:val="nil"/>
              <w:right w:val="single" w:sz="4" w:space="0" w:color="auto"/>
            </w:tcBorders>
            <w:shd w:val="clear" w:color="000000" w:fill="F2DCDB"/>
            <w:vAlign w:val="bottom"/>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8 583</w:t>
            </w:r>
          </w:p>
        </w:tc>
        <w:tc>
          <w:tcPr>
            <w:tcW w:w="880" w:type="dxa"/>
            <w:tcBorders>
              <w:top w:val="nil"/>
              <w:left w:val="nil"/>
              <w:bottom w:val="nil"/>
              <w:right w:val="single" w:sz="4" w:space="0" w:color="auto"/>
            </w:tcBorders>
            <w:shd w:val="clear" w:color="000000" w:fill="F2DCDB"/>
            <w:noWrap/>
            <w:vAlign w:val="bottom"/>
          </w:tcPr>
          <w:p w:rsidR="006067DA" w:rsidRDefault="006067DA" w:rsidP="00777353">
            <w:pPr>
              <w:jc w:val="right"/>
              <w:rPr>
                <w:rFonts w:cs="Arial"/>
                <w:b/>
                <w:bCs/>
                <w:color w:val="000000"/>
                <w:sz w:val="16"/>
                <w:szCs w:val="16"/>
              </w:rPr>
            </w:pPr>
            <w:r>
              <w:rPr>
                <w:rFonts w:cs="Arial"/>
                <w:b/>
                <w:bCs/>
                <w:color w:val="000000"/>
                <w:sz w:val="16"/>
                <w:szCs w:val="16"/>
              </w:rPr>
              <w:t>8 634</w:t>
            </w:r>
          </w:p>
        </w:tc>
        <w:tc>
          <w:tcPr>
            <w:tcW w:w="1056" w:type="dxa"/>
            <w:tcBorders>
              <w:top w:val="nil"/>
              <w:left w:val="nil"/>
              <w:bottom w:val="nil"/>
              <w:right w:val="nil"/>
            </w:tcBorders>
            <w:shd w:val="clear" w:color="000000" w:fill="F2DCDB"/>
            <w:noWrap/>
            <w:vAlign w:val="bottom"/>
            <w:hideMark/>
          </w:tcPr>
          <w:p w:rsidR="006067DA" w:rsidRPr="00240B6D" w:rsidRDefault="006067DA" w:rsidP="00777353">
            <w:pPr>
              <w:spacing w:line="240" w:lineRule="auto"/>
              <w:jc w:val="right"/>
              <w:rPr>
                <w:rFonts w:cs="Arial"/>
                <w:b/>
                <w:bCs/>
                <w:i/>
                <w:iCs/>
                <w:color w:val="000000"/>
                <w:sz w:val="16"/>
                <w:szCs w:val="16"/>
                <w:lang w:eastAsia="en-US"/>
              </w:rPr>
            </w:pPr>
            <w:r w:rsidRPr="00240B6D">
              <w:rPr>
                <w:rFonts w:cs="Arial"/>
                <w:b/>
                <w:bCs/>
                <w:i/>
                <w:iCs/>
                <w:color w:val="000000"/>
                <w:sz w:val="16"/>
                <w:szCs w:val="16"/>
                <w:lang w:eastAsia="en-US"/>
              </w:rPr>
              <w:t>100,6</w:t>
            </w:r>
          </w:p>
        </w:tc>
      </w:tr>
      <w:tr w:rsidR="006067DA" w:rsidRPr="00240B6D" w:rsidTr="00441783">
        <w:trPr>
          <w:trHeight w:val="264"/>
        </w:trPr>
        <w:tc>
          <w:tcPr>
            <w:tcW w:w="3198" w:type="dxa"/>
            <w:tcBorders>
              <w:top w:val="nil"/>
              <w:left w:val="nil"/>
              <w:bottom w:val="single" w:sz="8" w:space="0" w:color="auto"/>
              <w:right w:val="single" w:sz="4" w:space="0" w:color="auto"/>
            </w:tcBorders>
            <w:shd w:val="clear" w:color="auto" w:fill="auto"/>
            <w:noWrap/>
            <w:vAlign w:val="bottom"/>
            <w:hideMark/>
          </w:tcPr>
          <w:p w:rsidR="006067DA" w:rsidRPr="00240B6D" w:rsidRDefault="006067DA" w:rsidP="00777353">
            <w:pPr>
              <w:spacing w:line="240" w:lineRule="auto"/>
              <w:rPr>
                <w:rFonts w:cs="Arial"/>
                <w:bCs/>
                <w:i/>
                <w:iCs/>
                <w:sz w:val="16"/>
                <w:szCs w:val="16"/>
                <w:lang w:eastAsia="en-US"/>
              </w:rPr>
            </w:pPr>
            <w:r>
              <w:rPr>
                <w:rFonts w:cs="Arial"/>
                <w:bCs/>
                <w:i/>
                <w:iCs/>
                <w:sz w:val="16"/>
                <w:szCs w:val="16"/>
                <w:lang w:eastAsia="en-US"/>
              </w:rPr>
              <w:t>o</w:t>
            </w:r>
            <w:r w:rsidRPr="00240B6D">
              <w:rPr>
                <w:rFonts w:cs="Arial"/>
                <w:bCs/>
                <w:i/>
                <w:iCs/>
                <w:sz w:val="16"/>
                <w:szCs w:val="16"/>
                <w:lang w:eastAsia="en-US"/>
              </w:rPr>
              <w:t>statní či nespecifikováno (2)</w:t>
            </w:r>
          </w:p>
        </w:tc>
        <w:tc>
          <w:tcPr>
            <w:tcW w:w="880" w:type="dxa"/>
            <w:tcBorders>
              <w:top w:val="nil"/>
              <w:left w:val="nil"/>
              <w:bottom w:val="single" w:sz="8" w:space="0" w:color="auto"/>
              <w:right w:val="single" w:sz="4" w:space="0" w:color="auto"/>
            </w:tcBorders>
            <w:shd w:val="clear" w:color="auto" w:fill="auto"/>
            <w:noWrap/>
            <w:vAlign w:val="bottom"/>
            <w:hideMark/>
          </w:tcPr>
          <w:p w:rsidR="006067DA" w:rsidRPr="00240B6D" w:rsidRDefault="006067DA" w:rsidP="00777353">
            <w:pPr>
              <w:spacing w:line="240" w:lineRule="auto"/>
              <w:jc w:val="right"/>
              <w:rPr>
                <w:rFonts w:cs="Arial"/>
                <w:bCs/>
                <w:i/>
                <w:iCs/>
                <w:sz w:val="16"/>
                <w:szCs w:val="16"/>
                <w:lang w:eastAsia="en-US"/>
              </w:rPr>
            </w:pPr>
            <w:r w:rsidRPr="00240B6D">
              <w:rPr>
                <w:rFonts w:cs="Arial"/>
                <w:bCs/>
                <w:i/>
                <w:iCs/>
                <w:sz w:val="16"/>
                <w:szCs w:val="16"/>
                <w:lang w:eastAsia="en-US"/>
              </w:rPr>
              <w:t>9 307</w:t>
            </w:r>
          </w:p>
        </w:tc>
        <w:tc>
          <w:tcPr>
            <w:tcW w:w="880" w:type="dxa"/>
            <w:tcBorders>
              <w:top w:val="nil"/>
              <w:left w:val="nil"/>
              <w:bottom w:val="single" w:sz="8" w:space="0" w:color="auto"/>
              <w:right w:val="single" w:sz="4" w:space="0" w:color="auto"/>
            </w:tcBorders>
            <w:vAlign w:val="bottom"/>
          </w:tcPr>
          <w:p w:rsidR="006067DA" w:rsidRPr="00240B6D" w:rsidRDefault="006067DA" w:rsidP="00777353">
            <w:pPr>
              <w:spacing w:line="240" w:lineRule="auto"/>
              <w:jc w:val="right"/>
              <w:rPr>
                <w:rFonts w:cs="Arial"/>
                <w:bCs/>
                <w:i/>
                <w:iCs/>
                <w:sz w:val="16"/>
                <w:szCs w:val="16"/>
                <w:lang w:eastAsia="en-US"/>
              </w:rPr>
            </w:pPr>
            <w:r w:rsidRPr="00240B6D">
              <w:rPr>
                <w:rFonts w:cs="Arial"/>
                <w:bCs/>
                <w:i/>
                <w:iCs/>
                <w:sz w:val="16"/>
                <w:szCs w:val="16"/>
                <w:lang w:eastAsia="en-US"/>
              </w:rPr>
              <w:t>9 159</w:t>
            </w:r>
          </w:p>
        </w:tc>
        <w:tc>
          <w:tcPr>
            <w:tcW w:w="880" w:type="dxa"/>
            <w:tcBorders>
              <w:top w:val="nil"/>
              <w:left w:val="single" w:sz="4" w:space="0" w:color="auto"/>
              <w:bottom w:val="single" w:sz="8" w:space="0" w:color="auto"/>
              <w:right w:val="single" w:sz="4" w:space="0" w:color="auto"/>
            </w:tcBorders>
            <w:vAlign w:val="bottom"/>
          </w:tcPr>
          <w:p w:rsidR="006067DA" w:rsidRPr="00240B6D" w:rsidRDefault="006067DA" w:rsidP="00777353">
            <w:pPr>
              <w:spacing w:line="240" w:lineRule="auto"/>
              <w:jc w:val="right"/>
              <w:rPr>
                <w:rFonts w:cs="Arial"/>
                <w:bCs/>
                <w:i/>
                <w:iCs/>
                <w:sz w:val="16"/>
                <w:szCs w:val="16"/>
                <w:lang w:eastAsia="en-US"/>
              </w:rPr>
            </w:pPr>
            <w:r w:rsidRPr="00240B6D">
              <w:rPr>
                <w:rFonts w:cs="Arial"/>
                <w:bCs/>
                <w:i/>
                <w:iCs/>
                <w:sz w:val="16"/>
                <w:szCs w:val="16"/>
                <w:lang w:eastAsia="en-US"/>
              </w:rPr>
              <w:t>9 192</w:t>
            </w:r>
          </w:p>
        </w:tc>
        <w:tc>
          <w:tcPr>
            <w:tcW w:w="880" w:type="dxa"/>
            <w:tcBorders>
              <w:top w:val="nil"/>
              <w:left w:val="nil"/>
              <w:bottom w:val="single" w:sz="8" w:space="0" w:color="auto"/>
              <w:right w:val="single" w:sz="4" w:space="0" w:color="auto"/>
            </w:tcBorders>
            <w:vAlign w:val="bottom"/>
          </w:tcPr>
          <w:p w:rsidR="006067DA" w:rsidRPr="00240B6D" w:rsidRDefault="006067DA" w:rsidP="00777353">
            <w:pPr>
              <w:spacing w:line="240" w:lineRule="auto"/>
              <w:jc w:val="right"/>
              <w:rPr>
                <w:rFonts w:cs="Arial"/>
                <w:bCs/>
                <w:i/>
                <w:iCs/>
                <w:sz w:val="16"/>
                <w:szCs w:val="16"/>
                <w:lang w:eastAsia="en-US"/>
              </w:rPr>
            </w:pPr>
            <w:r w:rsidRPr="00240B6D">
              <w:rPr>
                <w:rFonts w:cs="Arial"/>
                <w:bCs/>
                <w:i/>
                <w:iCs/>
                <w:sz w:val="16"/>
                <w:szCs w:val="16"/>
                <w:lang w:eastAsia="en-US"/>
              </w:rPr>
              <w:t>9 245</w:t>
            </w:r>
          </w:p>
        </w:tc>
        <w:tc>
          <w:tcPr>
            <w:tcW w:w="880" w:type="dxa"/>
            <w:tcBorders>
              <w:top w:val="nil"/>
              <w:left w:val="nil"/>
              <w:bottom w:val="single" w:sz="8" w:space="0" w:color="auto"/>
              <w:right w:val="single" w:sz="4" w:space="0" w:color="auto"/>
            </w:tcBorders>
            <w:vAlign w:val="bottom"/>
          </w:tcPr>
          <w:p w:rsidR="006067DA" w:rsidRPr="00240B6D" w:rsidRDefault="006067DA" w:rsidP="00777353">
            <w:pPr>
              <w:spacing w:line="240" w:lineRule="auto"/>
              <w:jc w:val="right"/>
              <w:rPr>
                <w:rFonts w:cs="Arial"/>
                <w:bCs/>
                <w:i/>
                <w:iCs/>
                <w:sz w:val="16"/>
                <w:szCs w:val="16"/>
                <w:lang w:eastAsia="en-US"/>
              </w:rPr>
            </w:pPr>
            <w:r w:rsidRPr="00240B6D">
              <w:rPr>
                <w:rFonts w:cs="Arial"/>
                <w:bCs/>
                <w:i/>
                <w:iCs/>
                <w:sz w:val="16"/>
                <w:szCs w:val="16"/>
                <w:lang w:eastAsia="en-US"/>
              </w:rPr>
              <w:t>10 240</w:t>
            </w:r>
          </w:p>
        </w:tc>
        <w:tc>
          <w:tcPr>
            <w:tcW w:w="880" w:type="dxa"/>
            <w:tcBorders>
              <w:top w:val="nil"/>
              <w:left w:val="nil"/>
              <w:bottom w:val="single" w:sz="8" w:space="0" w:color="auto"/>
              <w:right w:val="single" w:sz="4" w:space="0" w:color="auto"/>
            </w:tcBorders>
            <w:shd w:val="clear" w:color="auto" w:fill="auto"/>
            <w:noWrap/>
            <w:vAlign w:val="bottom"/>
          </w:tcPr>
          <w:p w:rsidR="006067DA" w:rsidRDefault="006067DA" w:rsidP="00777353">
            <w:pPr>
              <w:jc w:val="right"/>
              <w:rPr>
                <w:rFonts w:cs="Arial"/>
                <w:i/>
                <w:iCs/>
                <w:color w:val="000000"/>
                <w:sz w:val="16"/>
                <w:szCs w:val="16"/>
              </w:rPr>
            </w:pPr>
            <w:r>
              <w:rPr>
                <w:rFonts w:cs="Arial"/>
                <w:i/>
                <w:iCs/>
                <w:color w:val="000000"/>
                <w:sz w:val="16"/>
                <w:szCs w:val="16"/>
              </w:rPr>
              <w:t>10 911</w:t>
            </w:r>
          </w:p>
        </w:tc>
        <w:tc>
          <w:tcPr>
            <w:tcW w:w="1056" w:type="dxa"/>
            <w:tcBorders>
              <w:top w:val="nil"/>
              <w:left w:val="nil"/>
              <w:bottom w:val="single" w:sz="8" w:space="0" w:color="auto"/>
              <w:right w:val="nil"/>
            </w:tcBorders>
            <w:shd w:val="clear" w:color="auto" w:fill="auto"/>
            <w:noWrap/>
            <w:vAlign w:val="bottom"/>
            <w:hideMark/>
          </w:tcPr>
          <w:p w:rsidR="006067DA" w:rsidRPr="00240B6D" w:rsidRDefault="006067DA" w:rsidP="00777353">
            <w:pPr>
              <w:spacing w:line="240" w:lineRule="auto"/>
              <w:jc w:val="right"/>
              <w:rPr>
                <w:rFonts w:cs="Arial"/>
                <w:bCs/>
                <w:i/>
                <w:iCs/>
                <w:color w:val="000000"/>
                <w:sz w:val="16"/>
                <w:szCs w:val="16"/>
                <w:lang w:eastAsia="en-US"/>
              </w:rPr>
            </w:pPr>
            <w:r>
              <w:rPr>
                <w:rFonts w:cs="Arial"/>
                <w:bCs/>
                <w:i/>
                <w:iCs/>
                <w:color w:val="000000"/>
                <w:sz w:val="16"/>
                <w:szCs w:val="16"/>
                <w:lang w:eastAsia="en-US"/>
              </w:rPr>
              <w:t>106,5</w:t>
            </w:r>
          </w:p>
        </w:tc>
      </w:tr>
      <w:tr w:rsidR="006067DA" w:rsidRPr="00240B6D" w:rsidTr="00441783">
        <w:trPr>
          <w:trHeight w:val="264"/>
        </w:trPr>
        <w:tc>
          <w:tcPr>
            <w:tcW w:w="3198" w:type="dxa"/>
            <w:tcBorders>
              <w:top w:val="nil"/>
              <w:left w:val="nil"/>
              <w:bottom w:val="single" w:sz="8" w:space="0" w:color="auto"/>
              <w:right w:val="single" w:sz="4" w:space="0" w:color="auto"/>
            </w:tcBorders>
            <w:shd w:val="clear" w:color="auto" w:fill="E5B8B7" w:themeFill="accent2" w:themeFillTint="66"/>
            <w:noWrap/>
            <w:vAlign w:val="center"/>
          </w:tcPr>
          <w:p w:rsidR="006067DA" w:rsidRPr="00240B6D" w:rsidRDefault="006067DA" w:rsidP="00777353">
            <w:pPr>
              <w:spacing w:line="240" w:lineRule="auto"/>
              <w:rPr>
                <w:rFonts w:cs="Arial"/>
                <w:b/>
                <w:bCs/>
                <w:sz w:val="16"/>
                <w:szCs w:val="16"/>
                <w:lang w:eastAsia="en-US"/>
              </w:rPr>
            </w:pPr>
            <w:r w:rsidRPr="00240B6D">
              <w:rPr>
                <w:rFonts w:cs="Arial"/>
                <w:b/>
                <w:bCs/>
                <w:sz w:val="16"/>
                <w:szCs w:val="16"/>
                <w:lang w:eastAsia="en-US"/>
              </w:rPr>
              <w:t>Zdravotní péče celkem</w:t>
            </w:r>
          </w:p>
        </w:tc>
        <w:tc>
          <w:tcPr>
            <w:tcW w:w="880" w:type="dxa"/>
            <w:tcBorders>
              <w:top w:val="nil"/>
              <w:left w:val="nil"/>
              <w:bottom w:val="single" w:sz="8" w:space="0" w:color="auto"/>
              <w:right w:val="single" w:sz="4" w:space="0" w:color="auto"/>
            </w:tcBorders>
            <w:shd w:val="clear" w:color="auto" w:fill="E5B8B7" w:themeFill="accent2" w:themeFillTint="66"/>
            <w:noWrap/>
            <w:vAlign w:val="center"/>
          </w:tcPr>
          <w:p w:rsidR="006067DA" w:rsidRPr="00240B6D" w:rsidRDefault="006067DA" w:rsidP="00777353">
            <w:pPr>
              <w:spacing w:line="240" w:lineRule="auto"/>
              <w:jc w:val="right"/>
              <w:rPr>
                <w:rFonts w:cs="Arial"/>
                <w:b/>
                <w:bCs/>
                <w:sz w:val="16"/>
                <w:szCs w:val="16"/>
                <w:lang w:eastAsia="en-US"/>
              </w:rPr>
            </w:pPr>
            <w:r>
              <w:rPr>
                <w:rFonts w:cs="Arial"/>
                <w:b/>
                <w:bCs/>
                <w:sz w:val="16"/>
                <w:szCs w:val="16"/>
                <w:lang w:eastAsia="en-US"/>
              </w:rPr>
              <w:t>334 088</w:t>
            </w:r>
          </w:p>
        </w:tc>
        <w:tc>
          <w:tcPr>
            <w:tcW w:w="880" w:type="dxa"/>
            <w:tcBorders>
              <w:top w:val="nil"/>
              <w:left w:val="nil"/>
              <w:bottom w:val="single" w:sz="8" w:space="0" w:color="auto"/>
              <w:right w:val="single" w:sz="4" w:space="0" w:color="auto"/>
            </w:tcBorders>
            <w:shd w:val="clear" w:color="auto" w:fill="E5B8B7" w:themeFill="accent2" w:themeFillTint="66"/>
            <w:vAlign w:val="center"/>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344 720</w:t>
            </w:r>
          </w:p>
        </w:tc>
        <w:tc>
          <w:tcPr>
            <w:tcW w:w="880" w:type="dxa"/>
            <w:tcBorders>
              <w:top w:val="nil"/>
              <w:left w:val="single" w:sz="4" w:space="0" w:color="auto"/>
              <w:bottom w:val="single" w:sz="8" w:space="0" w:color="auto"/>
              <w:right w:val="single" w:sz="4" w:space="0" w:color="auto"/>
            </w:tcBorders>
            <w:shd w:val="clear" w:color="auto" w:fill="E5B8B7" w:themeFill="accent2" w:themeFillTint="66"/>
            <w:vAlign w:val="center"/>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348 730</w:t>
            </w:r>
          </w:p>
        </w:tc>
        <w:tc>
          <w:tcPr>
            <w:tcW w:w="880" w:type="dxa"/>
            <w:tcBorders>
              <w:top w:val="nil"/>
              <w:left w:val="nil"/>
              <w:bottom w:val="single" w:sz="8" w:space="0" w:color="auto"/>
              <w:right w:val="single" w:sz="4" w:space="0" w:color="auto"/>
            </w:tcBorders>
            <w:shd w:val="clear" w:color="auto" w:fill="E5B8B7" w:themeFill="accent2" w:themeFillTint="66"/>
            <w:vAlign w:val="center"/>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352 039</w:t>
            </w:r>
          </w:p>
        </w:tc>
        <w:tc>
          <w:tcPr>
            <w:tcW w:w="880" w:type="dxa"/>
            <w:tcBorders>
              <w:top w:val="nil"/>
              <w:left w:val="nil"/>
              <w:bottom w:val="single" w:sz="8" w:space="0" w:color="auto"/>
              <w:right w:val="single" w:sz="4" w:space="0" w:color="auto"/>
            </w:tcBorders>
            <w:shd w:val="clear" w:color="auto" w:fill="E5B8B7" w:themeFill="accent2" w:themeFillTint="66"/>
            <w:vAlign w:val="center"/>
          </w:tcPr>
          <w:p w:rsidR="006067DA" w:rsidRPr="00240B6D" w:rsidRDefault="006067DA" w:rsidP="00777353">
            <w:pPr>
              <w:spacing w:line="240" w:lineRule="auto"/>
              <w:jc w:val="right"/>
              <w:rPr>
                <w:rFonts w:cs="Arial"/>
                <w:b/>
                <w:bCs/>
                <w:sz w:val="16"/>
                <w:szCs w:val="16"/>
                <w:lang w:eastAsia="en-US"/>
              </w:rPr>
            </w:pPr>
            <w:r w:rsidRPr="00240B6D">
              <w:rPr>
                <w:rFonts w:cs="Arial"/>
                <w:b/>
                <w:bCs/>
                <w:sz w:val="16"/>
                <w:szCs w:val="16"/>
                <w:lang w:eastAsia="en-US"/>
              </w:rPr>
              <w:t>361 647</w:t>
            </w:r>
          </w:p>
        </w:tc>
        <w:tc>
          <w:tcPr>
            <w:tcW w:w="880" w:type="dxa"/>
            <w:tcBorders>
              <w:top w:val="nil"/>
              <w:left w:val="nil"/>
              <w:bottom w:val="single" w:sz="8" w:space="0" w:color="auto"/>
              <w:right w:val="single" w:sz="4" w:space="0" w:color="auto"/>
            </w:tcBorders>
            <w:shd w:val="clear" w:color="auto" w:fill="E5B8B7" w:themeFill="accent2" w:themeFillTint="66"/>
            <w:noWrap/>
            <w:vAlign w:val="bottom"/>
          </w:tcPr>
          <w:p w:rsidR="006067DA" w:rsidRDefault="006067DA" w:rsidP="00777353">
            <w:pPr>
              <w:jc w:val="right"/>
              <w:rPr>
                <w:rFonts w:cs="Arial"/>
                <w:b/>
                <w:bCs/>
                <w:color w:val="000000"/>
                <w:sz w:val="16"/>
                <w:szCs w:val="16"/>
              </w:rPr>
            </w:pPr>
            <w:r>
              <w:rPr>
                <w:rFonts w:cs="Arial"/>
                <w:b/>
                <w:bCs/>
                <w:color w:val="000000"/>
                <w:sz w:val="16"/>
                <w:szCs w:val="16"/>
              </w:rPr>
              <w:t>387 388</w:t>
            </w:r>
          </w:p>
        </w:tc>
        <w:tc>
          <w:tcPr>
            <w:tcW w:w="1056" w:type="dxa"/>
            <w:tcBorders>
              <w:top w:val="nil"/>
              <w:left w:val="nil"/>
              <w:bottom w:val="single" w:sz="8" w:space="0" w:color="auto"/>
              <w:right w:val="nil"/>
            </w:tcBorders>
            <w:shd w:val="clear" w:color="auto" w:fill="E5B8B7" w:themeFill="accent2" w:themeFillTint="66"/>
            <w:noWrap/>
            <w:vAlign w:val="center"/>
          </w:tcPr>
          <w:p w:rsidR="006067DA" w:rsidRPr="00240B6D" w:rsidRDefault="006067DA" w:rsidP="00777353">
            <w:pPr>
              <w:spacing w:line="240" w:lineRule="auto"/>
              <w:jc w:val="right"/>
              <w:rPr>
                <w:rFonts w:cs="Arial"/>
                <w:b/>
                <w:bCs/>
                <w:i/>
                <w:iCs/>
                <w:color w:val="000000"/>
                <w:sz w:val="16"/>
                <w:szCs w:val="16"/>
                <w:lang w:eastAsia="en-US"/>
              </w:rPr>
            </w:pPr>
            <w:r>
              <w:rPr>
                <w:rFonts w:cs="Arial"/>
                <w:b/>
                <w:bCs/>
                <w:i/>
                <w:iCs/>
                <w:color w:val="000000"/>
                <w:sz w:val="16"/>
                <w:szCs w:val="16"/>
                <w:lang w:eastAsia="en-US"/>
              </w:rPr>
              <w:t>107,1</w:t>
            </w:r>
          </w:p>
        </w:tc>
      </w:tr>
    </w:tbl>
    <w:p w:rsidR="006067DA" w:rsidRPr="00240B6D" w:rsidRDefault="006067DA" w:rsidP="006067DA">
      <w:pPr>
        <w:keepNext/>
        <w:spacing w:before="40" w:line="240" w:lineRule="auto"/>
        <w:jc w:val="both"/>
        <w:rPr>
          <w:bCs/>
          <w:sz w:val="16"/>
          <w:szCs w:val="16"/>
        </w:rPr>
      </w:pPr>
      <w:r w:rsidRPr="00240B6D">
        <w:rPr>
          <w:bCs/>
          <w:sz w:val="16"/>
          <w:szCs w:val="16"/>
        </w:rPr>
        <w:t>(1) zahrnují léky na předpis, volně prodejné léky a další zboží krátkodobé spotřeby např. obvazy, elastické kompresivní punčochy, inkontinenční pomůcky atd</w:t>
      </w:r>
      <w:r>
        <w:rPr>
          <w:bCs/>
          <w:sz w:val="16"/>
          <w:szCs w:val="16"/>
        </w:rPr>
        <w:t xml:space="preserve">. </w:t>
      </w:r>
      <w:r w:rsidRPr="001D189A">
        <w:rPr>
          <w:b/>
          <w:bCs/>
          <w:sz w:val="16"/>
          <w:szCs w:val="16"/>
        </w:rPr>
        <w:t>Nezahrnuje</w:t>
      </w:r>
      <w:r>
        <w:rPr>
          <w:bCs/>
          <w:sz w:val="16"/>
          <w:szCs w:val="16"/>
        </w:rPr>
        <w:t>, dle manuálu SHA,</w:t>
      </w:r>
      <w:r w:rsidRPr="00696417">
        <w:rPr>
          <w:bCs/>
          <w:sz w:val="16"/>
          <w:szCs w:val="16"/>
        </w:rPr>
        <w:t xml:space="preserve"> </w:t>
      </w:r>
      <w:r>
        <w:rPr>
          <w:bCs/>
          <w:sz w:val="16"/>
          <w:szCs w:val="16"/>
        </w:rPr>
        <w:t xml:space="preserve">výdaje na léky </w:t>
      </w:r>
      <w:r w:rsidRPr="006374C2">
        <w:rPr>
          <w:b/>
          <w:bCs/>
          <w:sz w:val="16"/>
          <w:szCs w:val="16"/>
        </w:rPr>
        <w:t>spotřebované přímo</w:t>
      </w:r>
      <w:r>
        <w:rPr>
          <w:bCs/>
          <w:sz w:val="16"/>
          <w:szCs w:val="16"/>
        </w:rPr>
        <w:t xml:space="preserve"> ve zdravotnických zařízeních. </w:t>
      </w:r>
    </w:p>
    <w:p w:rsidR="006067DA" w:rsidRPr="00240B6D" w:rsidRDefault="006067DA" w:rsidP="006067DA">
      <w:pPr>
        <w:keepNext/>
        <w:spacing w:before="40" w:line="240" w:lineRule="auto"/>
        <w:jc w:val="both"/>
        <w:rPr>
          <w:bCs/>
          <w:sz w:val="16"/>
          <w:szCs w:val="16"/>
        </w:rPr>
      </w:pPr>
      <w:r w:rsidRPr="00240B6D">
        <w:rPr>
          <w:bCs/>
          <w:sz w:val="16"/>
          <w:szCs w:val="16"/>
        </w:rPr>
        <w:t xml:space="preserve">(2) zahrnuje programy na podporu zdraví v širším pohledu např. kontrolu a zavádění nových předpisů na ochranu pitné vody, potravin, bezpečnostní opatření spojená s nakládání s odpady, znečistění půdy a také </w:t>
      </w:r>
      <w:r>
        <w:rPr>
          <w:bCs/>
          <w:sz w:val="16"/>
          <w:szCs w:val="16"/>
        </w:rPr>
        <w:t xml:space="preserve">nespecifikované </w:t>
      </w:r>
      <w:r w:rsidRPr="00240B6D">
        <w:rPr>
          <w:bCs/>
          <w:sz w:val="16"/>
          <w:szCs w:val="16"/>
        </w:rPr>
        <w:t xml:space="preserve">druhy zdravotní péče </w:t>
      </w:r>
    </w:p>
    <w:p w:rsidR="006067DA" w:rsidRPr="00240B6D" w:rsidRDefault="006067DA" w:rsidP="006067DA">
      <w:pPr>
        <w:spacing w:before="120" w:line="240" w:lineRule="auto"/>
        <w:ind w:right="-425"/>
        <w:rPr>
          <w:b/>
          <w:bCs/>
          <w:i/>
          <w:sz w:val="16"/>
          <w:szCs w:val="16"/>
        </w:rPr>
      </w:pPr>
      <w:r w:rsidRPr="00240B6D">
        <w:rPr>
          <w:b/>
          <w:bCs/>
          <w:i/>
          <w:sz w:val="16"/>
          <w:szCs w:val="16"/>
        </w:rPr>
        <w:t xml:space="preserve">                                                                                                                                 Zdroj: ČSÚ 201</w:t>
      </w:r>
      <w:r>
        <w:rPr>
          <w:b/>
          <w:bCs/>
          <w:i/>
          <w:sz w:val="16"/>
          <w:szCs w:val="16"/>
        </w:rPr>
        <w:t>9</w:t>
      </w:r>
      <w:r w:rsidRPr="00240B6D">
        <w:rPr>
          <w:b/>
          <w:bCs/>
          <w:i/>
          <w:sz w:val="16"/>
          <w:szCs w:val="16"/>
        </w:rPr>
        <w:t>, Zdravotnické účty ČR 2010 - 201</w:t>
      </w:r>
      <w:r>
        <w:rPr>
          <w:b/>
          <w:bCs/>
          <w:i/>
          <w:sz w:val="16"/>
          <w:szCs w:val="16"/>
        </w:rPr>
        <w:t>7</w:t>
      </w:r>
    </w:p>
    <w:p w:rsidR="006067DA" w:rsidRPr="00441783" w:rsidRDefault="006067DA" w:rsidP="00441783">
      <w:pPr>
        <w:spacing w:before="120" w:after="60"/>
        <w:rPr>
          <w:rFonts w:eastAsia="MS Gothic"/>
          <w:b/>
          <w:i/>
        </w:rPr>
      </w:pPr>
      <w:r w:rsidRPr="00441783">
        <w:rPr>
          <w:rFonts w:eastAsia="MS Gothic"/>
          <w:b/>
          <w:i/>
        </w:rPr>
        <w:lastRenderedPageBreak/>
        <w:t xml:space="preserve">Léčebná péče tvoří dvě pětiny z celkových výdajů na zdravotní péči </w:t>
      </w:r>
    </w:p>
    <w:p w:rsidR="006067DA" w:rsidRDefault="006067DA" w:rsidP="006067DA">
      <w:pPr>
        <w:spacing w:before="120"/>
        <w:jc w:val="both"/>
        <w:rPr>
          <w:bCs/>
          <w:szCs w:val="20"/>
        </w:rPr>
      </w:pPr>
      <w:r w:rsidRPr="00240B6D">
        <w:rPr>
          <w:bCs/>
          <w:szCs w:val="20"/>
        </w:rPr>
        <w:t xml:space="preserve">Z hlediska </w:t>
      </w:r>
      <w:r>
        <w:rPr>
          <w:bCs/>
          <w:szCs w:val="20"/>
        </w:rPr>
        <w:t xml:space="preserve">druhu poskytnuté zdravotní péče, je </w:t>
      </w:r>
      <w:r w:rsidRPr="00240B6D">
        <w:rPr>
          <w:bCs/>
          <w:szCs w:val="20"/>
        </w:rPr>
        <w:t>v</w:t>
      </w:r>
      <w:r>
        <w:rPr>
          <w:bCs/>
          <w:szCs w:val="20"/>
        </w:rPr>
        <w:t> </w:t>
      </w:r>
      <w:r w:rsidRPr="00240B6D">
        <w:rPr>
          <w:bCs/>
          <w:szCs w:val="20"/>
        </w:rPr>
        <w:t>Česku</w:t>
      </w:r>
      <w:r>
        <w:rPr>
          <w:bCs/>
          <w:szCs w:val="20"/>
        </w:rPr>
        <w:t xml:space="preserve"> z pohledu výše vynaložených finančních prostředků</w:t>
      </w:r>
      <w:r w:rsidRPr="00240B6D">
        <w:rPr>
          <w:bCs/>
          <w:szCs w:val="20"/>
        </w:rPr>
        <w:t xml:space="preserve">, dlouhodobě na prvním místě </w:t>
      </w:r>
      <w:r w:rsidRPr="00A5222D">
        <w:rPr>
          <w:b/>
          <w:bCs/>
          <w:szCs w:val="20"/>
        </w:rPr>
        <w:t>péče léčebná</w:t>
      </w:r>
      <w:r>
        <w:rPr>
          <w:bCs/>
          <w:szCs w:val="20"/>
        </w:rPr>
        <w:t>. V letech 2010 až 2017 na léčebnou péči u nás směřovalo 39</w:t>
      </w:r>
      <w:r w:rsidRPr="00240B6D">
        <w:rPr>
          <w:bCs/>
          <w:szCs w:val="20"/>
        </w:rPr>
        <w:t xml:space="preserve"> % </w:t>
      </w:r>
      <w:r>
        <w:rPr>
          <w:bCs/>
          <w:szCs w:val="20"/>
        </w:rPr>
        <w:t>z celkových výdajů na zdravotní péči. Tento podíl se v čase téměř nemění. Celkem bylo vydáno v období 2010 – 2017 za léčebnou péči 1 127 mld. Kč</w:t>
      </w:r>
      <w:r w:rsidRPr="00240B6D">
        <w:rPr>
          <w:bCs/>
          <w:szCs w:val="20"/>
        </w:rPr>
        <w:t xml:space="preserve"> </w:t>
      </w:r>
      <w:r>
        <w:rPr>
          <w:bCs/>
          <w:szCs w:val="20"/>
        </w:rPr>
        <w:t xml:space="preserve">s průměrným </w:t>
      </w:r>
      <w:r w:rsidR="00441783">
        <w:rPr>
          <w:bCs/>
          <w:szCs w:val="20"/>
        </w:rPr>
        <w:t xml:space="preserve">ročním </w:t>
      </w:r>
      <w:r>
        <w:rPr>
          <w:bCs/>
          <w:szCs w:val="20"/>
        </w:rPr>
        <w:t>tempem růstu 1,45 %.</w:t>
      </w:r>
    </w:p>
    <w:p w:rsidR="006067DA" w:rsidRDefault="006067DA" w:rsidP="006067DA">
      <w:pPr>
        <w:spacing w:before="240" w:line="240" w:lineRule="auto"/>
        <w:rPr>
          <w:b/>
          <w:sz w:val="18"/>
          <w:szCs w:val="18"/>
        </w:rPr>
      </w:pPr>
      <w:r w:rsidRPr="00240B6D">
        <w:rPr>
          <w:b/>
          <w:sz w:val="18"/>
          <w:szCs w:val="18"/>
        </w:rPr>
        <w:t>Graf č. 2.</w:t>
      </w:r>
      <w:r>
        <w:rPr>
          <w:b/>
          <w:sz w:val="18"/>
          <w:szCs w:val="18"/>
        </w:rPr>
        <w:t>8</w:t>
      </w:r>
      <w:r w:rsidRPr="00240B6D">
        <w:rPr>
          <w:b/>
          <w:sz w:val="18"/>
          <w:szCs w:val="18"/>
        </w:rPr>
        <w:t xml:space="preserve"> Výdaje na zdravotní péči v Česku podle vybraných druhů </w:t>
      </w:r>
      <w:r>
        <w:rPr>
          <w:b/>
          <w:sz w:val="18"/>
          <w:szCs w:val="18"/>
        </w:rPr>
        <w:t xml:space="preserve">poskytnuté </w:t>
      </w:r>
      <w:r w:rsidRPr="00240B6D">
        <w:rPr>
          <w:b/>
          <w:sz w:val="18"/>
          <w:szCs w:val="18"/>
        </w:rPr>
        <w:t>péče</w:t>
      </w:r>
      <w:r>
        <w:rPr>
          <w:b/>
          <w:sz w:val="18"/>
          <w:szCs w:val="18"/>
        </w:rPr>
        <w:t xml:space="preserve"> či poskytnutých služeb </w:t>
      </w:r>
    </w:p>
    <w:p w:rsidR="006067DA" w:rsidRPr="009867E7" w:rsidRDefault="006067DA" w:rsidP="006067DA">
      <w:pPr>
        <w:keepNext/>
        <w:spacing w:before="120" w:line="240" w:lineRule="auto"/>
        <w:rPr>
          <w:rFonts w:cs="Arial"/>
          <w:b/>
          <w:i/>
          <w:color w:val="000000"/>
          <w:sz w:val="18"/>
          <w:szCs w:val="18"/>
        </w:rPr>
      </w:pPr>
      <w:r w:rsidRPr="009867E7">
        <w:rPr>
          <w:b/>
          <w:bCs/>
          <w:i/>
          <w:sz w:val="18"/>
          <w:szCs w:val="18"/>
        </w:rPr>
        <w:t>a) v mld. Kč</w:t>
      </w:r>
      <w:r w:rsidRPr="009867E7">
        <w:rPr>
          <w:i/>
          <w:noProof/>
        </w:rPr>
        <w:t xml:space="preserve"> </w:t>
      </w:r>
    </w:p>
    <w:p w:rsidR="006067DA" w:rsidRPr="009867E7" w:rsidRDefault="00DE7B9D" w:rsidP="00222564">
      <w:pPr>
        <w:spacing w:line="240" w:lineRule="auto"/>
        <w:rPr>
          <w:b/>
          <w:bCs/>
          <w:i/>
          <w:sz w:val="18"/>
          <w:szCs w:val="18"/>
        </w:rPr>
      </w:pPr>
      <w:r>
        <w:rPr>
          <w:b/>
          <w:bCs/>
          <w:i/>
          <w:noProof/>
          <w:sz w:val="18"/>
          <w:szCs w:val="18"/>
        </w:rPr>
        <w:drawing>
          <wp:inline distT="0" distB="0" distL="0" distR="0" wp14:anchorId="5361BF3C">
            <wp:extent cx="6084570" cy="3060700"/>
            <wp:effectExtent l="0" t="0" r="0" b="635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3060700"/>
                    </a:xfrm>
                    <a:prstGeom prst="rect">
                      <a:avLst/>
                    </a:prstGeom>
                    <a:noFill/>
                  </pic:spPr>
                </pic:pic>
              </a:graphicData>
            </a:graphic>
          </wp:inline>
        </w:drawing>
      </w:r>
      <w:r w:rsidR="006067DA" w:rsidRPr="009867E7">
        <w:rPr>
          <w:b/>
          <w:bCs/>
          <w:i/>
          <w:sz w:val="18"/>
          <w:szCs w:val="18"/>
        </w:rPr>
        <w:t>b) struktura (%)</w:t>
      </w:r>
    </w:p>
    <w:p w:rsidR="006067DA" w:rsidRDefault="00DE7B9D" w:rsidP="006067DA">
      <w:pPr>
        <w:keepNext/>
        <w:spacing w:line="240" w:lineRule="auto"/>
        <w:rPr>
          <w:bCs/>
          <w:sz w:val="16"/>
          <w:szCs w:val="16"/>
        </w:rPr>
      </w:pPr>
      <w:r>
        <w:rPr>
          <w:bCs/>
          <w:noProof/>
          <w:sz w:val="16"/>
          <w:szCs w:val="16"/>
        </w:rPr>
        <w:drawing>
          <wp:inline distT="0" distB="0" distL="0" distR="0" wp14:anchorId="4FDD0D4F">
            <wp:extent cx="6084570" cy="19812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4570" cy="1981200"/>
                    </a:xfrm>
                    <a:prstGeom prst="rect">
                      <a:avLst/>
                    </a:prstGeom>
                    <a:noFill/>
                  </pic:spPr>
                </pic:pic>
              </a:graphicData>
            </a:graphic>
          </wp:inline>
        </w:drawing>
      </w:r>
    </w:p>
    <w:p w:rsidR="006067DA" w:rsidRDefault="006067DA" w:rsidP="006067DA">
      <w:pPr>
        <w:keepNext/>
        <w:spacing w:line="240" w:lineRule="auto"/>
        <w:rPr>
          <w:bCs/>
          <w:sz w:val="16"/>
          <w:szCs w:val="16"/>
        </w:rPr>
      </w:pPr>
      <w:r w:rsidRPr="00240B6D">
        <w:rPr>
          <w:bCs/>
          <w:sz w:val="16"/>
          <w:szCs w:val="16"/>
        </w:rPr>
        <w:t xml:space="preserve">1) zahrnují léky na předpis, volně prodejné léky a další </w:t>
      </w:r>
      <w:r>
        <w:rPr>
          <w:bCs/>
          <w:sz w:val="16"/>
          <w:szCs w:val="16"/>
        </w:rPr>
        <w:t xml:space="preserve">zdravotnické </w:t>
      </w:r>
      <w:r w:rsidRPr="00240B6D">
        <w:rPr>
          <w:bCs/>
          <w:sz w:val="16"/>
          <w:szCs w:val="16"/>
        </w:rPr>
        <w:t>zboží krátkodobé spotřeby např. obvazy, elastické kompresivní punčochy atd</w:t>
      </w:r>
      <w:r>
        <w:rPr>
          <w:bCs/>
          <w:sz w:val="16"/>
          <w:szCs w:val="16"/>
        </w:rPr>
        <w:t xml:space="preserve">. </w:t>
      </w:r>
      <w:r w:rsidRPr="001D189A">
        <w:rPr>
          <w:b/>
          <w:bCs/>
          <w:sz w:val="16"/>
          <w:szCs w:val="16"/>
        </w:rPr>
        <w:t>Nezahrnuje</w:t>
      </w:r>
      <w:r>
        <w:rPr>
          <w:bCs/>
          <w:sz w:val="16"/>
          <w:szCs w:val="16"/>
        </w:rPr>
        <w:t>, dle manuálu SHA,</w:t>
      </w:r>
      <w:r w:rsidRPr="00696417">
        <w:rPr>
          <w:bCs/>
          <w:sz w:val="16"/>
          <w:szCs w:val="16"/>
        </w:rPr>
        <w:t xml:space="preserve"> </w:t>
      </w:r>
      <w:r>
        <w:rPr>
          <w:bCs/>
          <w:sz w:val="16"/>
          <w:szCs w:val="16"/>
        </w:rPr>
        <w:t xml:space="preserve">výdaje na léky </w:t>
      </w:r>
      <w:r w:rsidRPr="006374C2">
        <w:rPr>
          <w:b/>
          <w:bCs/>
          <w:sz w:val="16"/>
          <w:szCs w:val="16"/>
        </w:rPr>
        <w:t>spotřebované přímo ve zdravotnických zařízeních</w:t>
      </w:r>
      <w:r>
        <w:rPr>
          <w:bCs/>
          <w:sz w:val="16"/>
          <w:szCs w:val="16"/>
        </w:rPr>
        <w:t>.</w:t>
      </w:r>
      <w:r w:rsidRPr="00A5222D">
        <w:rPr>
          <w:bCs/>
          <w:sz w:val="16"/>
          <w:szCs w:val="16"/>
        </w:rPr>
        <w:t xml:space="preserve"> </w:t>
      </w:r>
    </w:p>
    <w:p w:rsidR="006067DA" w:rsidRPr="00A5222D" w:rsidRDefault="006067DA" w:rsidP="006067DA">
      <w:pPr>
        <w:keepNext/>
        <w:spacing w:line="240" w:lineRule="auto"/>
        <w:rPr>
          <w:bCs/>
          <w:sz w:val="16"/>
          <w:szCs w:val="16"/>
        </w:rPr>
      </w:pPr>
      <w:r w:rsidRPr="00A5222D">
        <w:rPr>
          <w:bCs/>
          <w:sz w:val="16"/>
          <w:szCs w:val="16"/>
        </w:rPr>
        <w:t>(</w:t>
      </w:r>
      <w:r>
        <w:rPr>
          <w:bCs/>
          <w:sz w:val="16"/>
          <w:szCs w:val="16"/>
        </w:rPr>
        <w:t>2</w:t>
      </w:r>
      <w:r w:rsidRPr="00A5222D">
        <w:rPr>
          <w:bCs/>
          <w:sz w:val="16"/>
          <w:szCs w:val="16"/>
        </w:rPr>
        <w:t>)</w:t>
      </w:r>
      <w:r w:rsidRPr="00A5222D">
        <w:rPr>
          <w:rFonts w:eastAsia="Calibri" w:cs="Arial"/>
          <w:sz w:val="16"/>
          <w:szCs w:val="16"/>
          <w:lang w:eastAsia="en-US"/>
        </w:rPr>
        <w:t xml:space="preserve"> zahrnuj</w:t>
      </w:r>
      <w:r>
        <w:rPr>
          <w:rFonts w:eastAsia="Calibri" w:cs="Arial"/>
          <w:sz w:val="16"/>
          <w:szCs w:val="16"/>
          <w:lang w:eastAsia="en-US"/>
        </w:rPr>
        <w:t>e</w:t>
      </w:r>
      <w:r w:rsidRPr="00A5222D">
        <w:rPr>
          <w:rFonts w:eastAsia="Calibri" w:cs="Arial"/>
          <w:sz w:val="16"/>
          <w:szCs w:val="16"/>
          <w:lang w:eastAsia="en-US"/>
        </w:rPr>
        <w:t xml:space="preserve"> dohled nad poskytovateli zdravotní péče, správu vládní politiky</w:t>
      </w:r>
      <w:r>
        <w:rPr>
          <w:rFonts w:eastAsia="Calibri" w:cs="Arial"/>
          <w:sz w:val="16"/>
          <w:szCs w:val="16"/>
          <w:lang w:eastAsia="en-US"/>
        </w:rPr>
        <w:t xml:space="preserve">, </w:t>
      </w:r>
      <w:r w:rsidRPr="00A5222D">
        <w:rPr>
          <w:bCs/>
          <w:sz w:val="16"/>
          <w:szCs w:val="16"/>
        </w:rPr>
        <w:t xml:space="preserve">programy na podporu zdraví v širším pohledu </w:t>
      </w:r>
      <w:r>
        <w:rPr>
          <w:bCs/>
          <w:sz w:val="16"/>
          <w:szCs w:val="16"/>
        </w:rPr>
        <w:t>atd.</w:t>
      </w:r>
    </w:p>
    <w:p w:rsidR="006067DA" w:rsidRPr="00240B6D" w:rsidRDefault="006067DA" w:rsidP="006067DA">
      <w:pPr>
        <w:spacing w:before="120" w:after="24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xml:space="preserve">, </w:t>
      </w:r>
      <w:r>
        <w:rPr>
          <w:b/>
          <w:bCs/>
          <w:i/>
          <w:sz w:val="16"/>
          <w:szCs w:val="16"/>
        </w:rPr>
        <w:t>Zdravotnické účty ČR 2010 - 2017</w:t>
      </w:r>
      <w:r w:rsidRPr="00240B6D">
        <w:rPr>
          <w:b/>
          <w:bCs/>
          <w:i/>
          <w:sz w:val="16"/>
          <w:szCs w:val="16"/>
        </w:rPr>
        <w:t xml:space="preserve"> </w:t>
      </w:r>
    </w:p>
    <w:p w:rsidR="006067DA" w:rsidRDefault="006067DA" w:rsidP="006067DA">
      <w:pPr>
        <w:spacing w:before="120"/>
        <w:jc w:val="both"/>
        <w:rPr>
          <w:bCs/>
          <w:szCs w:val="20"/>
        </w:rPr>
      </w:pPr>
      <w:r w:rsidRPr="00240B6D">
        <w:rPr>
          <w:bCs/>
          <w:szCs w:val="20"/>
        </w:rPr>
        <w:t>V</w:t>
      </w:r>
      <w:r>
        <w:rPr>
          <w:bCs/>
          <w:szCs w:val="20"/>
        </w:rPr>
        <w:t> posledních dvou letech r</w:t>
      </w:r>
      <w:r w:rsidRPr="00240B6D">
        <w:rPr>
          <w:bCs/>
          <w:szCs w:val="20"/>
        </w:rPr>
        <w:t xml:space="preserve">oste význam </w:t>
      </w:r>
      <w:r w:rsidRPr="00A5222D">
        <w:rPr>
          <w:b/>
          <w:bCs/>
          <w:szCs w:val="20"/>
        </w:rPr>
        <w:t>dlouhodobé péče</w:t>
      </w:r>
      <w:r w:rsidRPr="00240B6D">
        <w:rPr>
          <w:bCs/>
          <w:szCs w:val="20"/>
        </w:rPr>
        <w:t xml:space="preserve"> s již téměř pětinovým podílem (18</w:t>
      </w:r>
      <w:r>
        <w:rPr>
          <w:bCs/>
          <w:szCs w:val="20"/>
        </w:rPr>
        <w:t>,6</w:t>
      </w:r>
      <w:r w:rsidRPr="00240B6D">
        <w:rPr>
          <w:bCs/>
          <w:szCs w:val="20"/>
        </w:rPr>
        <w:t> %) na celkov</w:t>
      </w:r>
      <w:r>
        <w:rPr>
          <w:bCs/>
          <w:szCs w:val="20"/>
        </w:rPr>
        <w:t xml:space="preserve">ých výdajích vynaložených na </w:t>
      </w:r>
      <w:r w:rsidRPr="00240B6D">
        <w:rPr>
          <w:bCs/>
          <w:szCs w:val="20"/>
        </w:rPr>
        <w:t xml:space="preserve">zdravotní péči </w:t>
      </w:r>
      <w:r>
        <w:rPr>
          <w:bCs/>
          <w:szCs w:val="20"/>
        </w:rPr>
        <w:t>v Česku. Průměr za období 2010 - 2017</w:t>
      </w:r>
      <w:r w:rsidRPr="00240B6D">
        <w:rPr>
          <w:bCs/>
          <w:szCs w:val="20"/>
        </w:rPr>
        <w:t xml:space="preserve"> dosáhl 16,</w:t>
      </w:r>
      <w:r w:rsidR="00640637">
        <w:rPr>
          <w:bCs/>
          <w:szCs w:val="20"/>
        </w:rPr>
        <w:t>9</w:t>
      </w:r>
      <w:r w:rsidRPr="00240B6D">
        <w:rPr>
          <w:bCs/>
          <w:szCs w:val="20"/>
        </w:rPr>
        <w:t xml:space="preserve"> %. V rámci dlouhodobé péče jde </w:t>
      </w:r>
      <w:r>
        <w:rPr>
          <w:bCs/>
          <w:szCs w:val="20"/>
        </w:rPr>
        <w:t>nej</w:t>
      </w:r>
      <w:r w:rsidRPr="00240B6D">
        <w:rPr>
          <w:bCs/>
          <w:szCs w:val="20"/>
        </w:rPr>
        <w:t xml:space="preserve">více finančních prostředků </w:t>
      </w:r>
      <w:r w:rsidRPr="006374C2">
        <w:rPr>
          <w:bCs/>
          <w:szCs w:val="20"/>
        </w:rPr>
        <w:t>do dlouhodobé</w:t>
      </w:r>
      <w:r>
        <w:rPr>
          <w:bCs/>
          <w:szCs w:val="20"/>
        </w:rPr>
        <w:t xml:space="preserve"> zdravotní péče – 50,4 </w:t>
      </w:r>
      <w:r w:rsidRPr="006374C2">
        <w:rPr>
          <w:bCs/>
          <w:szCs w:val="20"/>
        </w:rPr>
        <w:t>mld. Kč (1</w:t>
      </w:r>
      <w:r>
        <w:rPr>
          <w:bCs/>
          <w:szCs w:val="20"/>
        </w:rPr>
        <w:t>3,0</w:t>
      </w:r>
      <w:r w:rsidRPr="006374C2">
        <w:rPr>
          <w:bCs/>
          <w:szCs w:val="20"/>
        </w:rPr>
        <w:t> %) v roce 201</w:t>
      </w:r>
      <w:r>
        <w:rPr>
          <w:bCs/>
          <w:szCs w:val="20"/>
        </w:rPr>
        <w:t>7</w:t>
      </w:r>
      <w:r w:rsidRPr="006374C2">
        <w:rPr>
          <w:bCs/>
          <w:szCs w:val="20"/>
        </w:rPr>
        <w:t>. V čase však roste především význam dlouhodobé sociální péče,</w:t>
      </w:r>
      <w:r w:rsidRPr="00240B6D">
        <w:rPr>
          <w:bCs/>
          <w:szCs w:val="20"/>
        </w:rPr>
        <w:t xml:space="preserve"> kam ve stejném roce směřovalo 2</w:t>
      </w:r>
      <w:r>
        <w:rPr>
          <w:bCs/>
          <w:szCs w:val="20"/>
        </w:rPr>
        <w:t>1,8</w:t>
      </w:r>
      <w:r w:rsidRPr="00240B6D">
        <w:rPr>
          <w:bCs/>
          <w:szCs w:val="20"/>
        </w:rPr>
        <w:t xml:space="preserve"> mld. Kč (5,6 %). </w:t>
      </w:r>
      <w:r w:rsidRPr="00A5222D">
        <w:rPr>
          <w:bCs/>
          <w:i/>
          <w:szCs w:val="17"/>
        </w:rPr>
        <w:t>Podrobnější informace jsou k dispozici v kapitole 3.</w:t>
      </w:r>
      <w:r>
        <w:rPr>
          <w:bCs/>
          <w:i/>
          <w:szCs w:val="17"/>
        </w:rPr>
        <w:t>3</w:t>
      </w:r>
      <w:r w:rsidRPr="00A5222D">
        <w:rPr>
          <w:bCs/>
          <w:i/>
          <w:szCs w:val="17"/>
        </w:rPr>
        <w:t xml:space="preserve"> Výdaje </w:t>
      </w:r>
      <w:r>
        <w:rPr>
          <w:bCs/>
          <w:i/>
          <w:szCs w:val="17"/>
        </w:rPr>
        <w:t xml:space="preserve">na dlouhodobou </w:t>
      </w:r>
      <w:r w:rsidRPr="00A5222D">
        <w:rPr>
          <w:bCs/>
          <w:i/>
          <w:szCs w:val="17"/>
        </w:rPr>
        <w:t>péči.</w:t>
      </w:r>
    </w:p>
    <w:p w:rsidR="006067DA" w:rsidRPr="00240B6D" w:rsidRDefault="006067DA" w:rsidP="006067DA">
      <w:pPr>
        <w:spacing w:before="120"/>
        <w:jc w:val="both"/>
        <w:rPr>
          <w:bCs/>
          <w:szCs w:val="20"/>
        </w:rPr>
      </w:pPr>
      <w:r w:rsidRPr="00A5222D">
        <w:rPr>
          <w:b/>
          <w:bCs/>
          <w:szCs w:val="20"/>
        </w:rPr>
        <w:t xml:space="preserve">Rehabilitační </w:t>
      </w:r>
      <w:r w:rsidRPr="00A5222D">
        <w:rPr>
          <w:bCs/>
          <w:szCs w:val="20"/>
        </w:rPr>
        <w:t>a především</w:t>
      </w:r>
      <w:r w:rsidRPr="00A5222D">
        <w:rPr>
          <w:b/>
          <w:bCs/>
          <w:szCs w:val="20"/>
        </w:rPr>
        <w:t xml:space="preserve"> preventivní péče</w:t>
      </w:r>
      <w:r w:rsidRPr="00240B6D">
        <w:rPr>
          <w:bCs/>
          <w:szCs w:val="20"/>
        </w:rPr>
        <w:t xml:space="preserve"> tvořila v Česku v letech 2010 až 201</w:t>
      </w:r>
      <w:r>
        <w:rPr>
          <w:bCs/>
          <w:szCs w:val="20"/>
        </w:rPr>
        <w:t>7</w:t>
      </w:r>
      <w:r w:rsidRPr="00240B6D">
        <w:rPr>
          <w:bCs/>
          <w:szCs w:val="20"/>
        </w:rPr>
        <w:t xml:space="preserve"> </w:t>
      </w:r>
      <w:r>
        <w:rPr>
          <w:bCs/>
          <w:szCs w:val="20"/>
        </w:rPr>
        <w:t>v </w:t>
      </w:r>
      <w:r w:rsidR="00640637">
        <w:rPr>
          <w:bCs/>
          <w:szCs w:val="20"/>
        </w:rPr>
        <w:t>úhrnu</w:t>
      </w:r>
      <w:r>
        <w:rPr>
          <w:bCs/>
          <w:szCs w:val="20"/>
        </w:rPr>
        <w:t xml:space="preserve"> </w:t>
      </w:r>
      <w:r w:rsidRPr="00240B6D">
        <w:rPr>
          <w:bCs/>
          <w:szCs w:val="20"/>
        </w:rPr>
        <w:t>jen 7% podíl na celkových výdajích na zdravotní péči. V roce 201</w:t>
      </w:r>
      <w:r>
        <w:rPr>
          <w:bCs/>
          <w:szCs w:val="20"/>
        </w:rPr>
        <w:t>7</w:t>
      </w:r>
      <w:r w:rsidRPr="00240B6D">
        <w:rPr>
          <w:bCs/>
          <w:szCs w:val="20"/>
        </w:rPr>
        <w:t xml:space="preserve"> šlo na preventivní péči </w:t>
      </w:r>
      <w:r>
        <w:rPr>
          <w:bCs/>
          <w:szCs w:val="20"/>
        </w:rPr>
        <w:t xml:space="preserve">10,5 mld. Kč (2,7 %) a </w:t>
      </w:r>
      <w:r w:rsidRPr="00240B6D">
        <w:rPr>
          <w:bCs/>
          <w:szCs w:val="20"/>
        </w:rPr>
        <w:t xml:space="preserve">na </w:t>
      </w:r>
      <w:r w:rsidRPr="00240B6D">
        <w:rPr>
          <w:bCs/>
          <w:szCs w:val="20"/>
        </w:rPr>
        <w:lastRenderedPageBreak/>
        <w:t>rehabilitační péči 1</w:t>
      </w:r>
      <w:r>
        <w:rPr>
          <w:bCs/>
          <w:szCs w:val="20"/>
        </w:rPr>
        <w:t>7,1 mld. Kč (4,4</w:t>
      </w:r>
      <w:r w:rsidRPr="00240B6D">
        <w:rPr>
          <w:bCs/>
          <w:szCs w:val="20"/>
        </w:rPr>
        <w:t> %)</w:t>
      </w:r>
      <w:r>
        <w:rPr>
          <w:bCs/>
          <w:szCs w:val="20"/>
        </w:rPr>
        <w:t>. Výdaje na rehabilitační péči se v porovnání s rokem 2016 zvýšily o 14 % a dosáhly poprvé hodnoty nad 17 mld. Kč.</w:t>
      </w:r>
    </w:p>
    <w:p w:rsidR="006067DA" w:rsidRPr="005073EF" w:rsidRDefault="006067DA" w:rsidP="006067DA">
      <w:pPr>
        <w:spacing w:before="120"/>
        <w:jc w:val="both"/>
        <w:rPr>
          <w:bCs/>
          <w:szCs w:val="20"/>
        </w:rPr>
      </w:pPr>
      <w:r w:rsidRPr="00A5222D">
        <w:rPr>
          <w:bCs/>
          <w:szCs w:val="20"/>
        </w:rPr>
        <w:t>Pětina výdajů na zdravotní péči v letech 2010 - 201</w:t>
      </w:r>
      <w:r>
        <w:rPr>
          <w:bCs/>
          <w:szCs w:val="20"/>
        </w:rPr>
        <w:t>7</w:t>
      </w:r>
      <w:r w:rsidRPr="00A5222D">
        <w:rPr>
          <w:bCs/>
          <w:szCs w:val="20"/>
        </w:rPr>
        <w:t xml:space="preserve"> byla vynaložena na </w:t>
      </w:r>
      <w:r w:rsidRPr="00A5222D">
        <w:rPr>
          <w:b/>
          <w:bCs/>
          <w:szCs w:val="20"/>
        </w:rPr>
        <w:t>léčiva</w:t>
      </w:r>
      <w:r w:rsidRPr="00A5222D">
        <w:rPr>
          <w:b/>
          <w:bCs/>
          <w:szCs w:val="20"/>
          <w:vertAlign w:val="superscript"/>
        </w:rPr>
        <w:footnoteReference w:id="3"/>
      </w:r>
      <w:r w:rsidRPr="00A5222D">
        <w:rPr>
          <w:b/>
          <w:bCs/>
          <w:szCs w:val="20"/>
        </w:rPr>
        <w:t>, zdravotnický materiál a</w:t>
      </w:r>
      <w:r>
        <w:rPr>
          <w:b/>
          <w:bCs/>
          <w:szCs w:val="20"/>
        </w:rPr>
        <w:t> </w:t>
      </w:r>
      <w:r w:rsidRPr="00A5222D">
        <w:rPr>
          <w:b/>
          <w:bCs/>
          <w:szCs w:val="20"/>
        </w:rPr>
        <w:t>terapeutické výrobky</w:t>
      </w:r>
      <w:r w:rsidRPr="00A5222D">
        <w:rPr>
          <w:bCs/>
          <w:szCs w:val="20"/>
        </w:rPr>
        <w:t xml:space="preserve"> – v roce 201</w:t>
      </w:r>
      <w:r>
        <w:rPr>
          <w:bCs/>
          <w:szCs w:val="20"/>
        </w:rPr>
        <w:t>7</w:t>
      </w:r>
      <w:r w:rsidRPr="00A5222D">
        <w:rPr>
          <w:bCs/>
          <w:szCs w:val="20"/>
        </w:rPr>
        <w:t xml:space="preserve"> to bylo 1</w:t>
      </w:r>
      <w:r>
        <w:rPr>
          <w:bCs/>
          <w:szCs w:val="20"/>
        </w:rPr>
        <w:t>8,7</w:t>
      </w:r>
      <w:r w:rsidRPr="00A5222D">
        <w:rPr>
          <w:bCs/>
          <w:szCs w:val="20"/>
        </w:rPr>
        <w:t xml:space="preserve"> %. </w:t>
      </w:r>
      <w:r>
        <w:rPr>
          <w:bCs/>
          <w:szCs w:val="20"/>
        </w:rPr>
        <w:t>Více než</w:t>
      </w:r>
      <w:r w:rsidRPr="00A5222D">
        <w:rPr>
          <w:bCs/>
          <w:szCs w:val="20"/>
        </w:rPr>
        <w:t xml:space="preserve"> jedna desetina (11 %) z finančních prostředků určených na zdravotní péči v Česku v celém sledovaném období směřovalo na </w:t>
      </w:r>
      <w:r w:rsidRPr="00A5222D">
        <w:rPr>
          <w:b/>
          <w:bCs/>
          <w:szCs w:val="20"/>
        </w:rPr>
        <w:t xml:space="preserve">laboratorní služby, zobrazovací metody a dopravu pacientů (doplňkové služby). </w:t>
      </w:r>
      <w:r w:rsidRPr="00A5222D">
        <w:rPr>
          <w:bCs/>
          <w:szCs w:val="20"/>
        </w:rPr>
        <w:t>Necelých deset (8,6) miliard (2,</w:t>
      </w:r>
      <w:r>
        <w:rPr>
          <w:bCs/>
          <w:szCs w:val="20"/>
        </w:rPr>
        <w:t>2 </w:t>
      </w:r>
      <w:r w:rsidRPr="00A5222D">
        <w:rPr>
          <w:bCs/>
          <w:szCs w:val="20"/>
        </w:rPr>
        <w:t>%) v roce 201</w:t>
      </w:r>
      <w:r>
        <w:rPr>
          <w:bCs/>
          <w:szCs w:val="20"/>
        </w:rPr>
        <w:t>7</w:t>
      </w:r>
      <w:r w:rsidRPr="00A5222D">
        <w:rPr>
          <w:bCs/>
          <w:szCs w:val="20"/>
        </w:rPr>
        <w:t xml:space="preserve"> směřovalo na </w:t>
      </w:r>
      <w:r w:rsidRPr="00A5222D">
        <w:rPr>
          <w:b/>
          <w:bCs/>
          <w:szCs w:val="20"/>
        </w:rPr>
        <w:t>správu systému zdravotní péče</w:t>
      </w:r>
      <w:r>
        <w:rPr>
          <w:b/>
          <w:bCs/>
          <w:szCs w:val="20"/>
        </w:rPr>
        <w:t xml:space="preserve"> </w:t>
      </w:r>
      <w:r w:rsidRPr="005073EF">
        <w:rPr>
          <w:bCs/>
          <w:szCs w:val="20"/>
        </w:rPr>
        <w:t>a zbylých 10,9 miliard (2,8 %)</w:t>
      </w:r>
      <w:r>
        <w:rPr>
          <w:b/>
          <w:bCs/>
          <w:szCs w:val="20"/>
        </w:rPr>
        <w:t xml:space="preserve"> </w:t>
      </w:r>
      <w:r w:rsidRPr="005073EF">
        <w:rPr>
          <w:bCs/>
          <w:szCs w:val="20"/>
        </w:rPr>
        <w:t>na</w:t>
      </w:r>
      <w:r>
        <w:rPr>
          <w:b/>
          <w:bCs/>
          <w:szCs w:val="20"/>
        </w:rPr>
        <w:t xml:space="preserve"> ostatní výdaje </w:t>
      </w:r>
      <w:r w:rsidRPr="005073EF">
        <w:rPr>
          <w:bCs/>
          <w:szCs w:val="20"/>
        </w:rPr>
        <w:t xml:space="preserve">související se zdravotní péči kam zařazujeme např. kontrolu a zavádění nových předpisů na ochranu pitné vody, potravin, bezpečnostní opatření spojená s nakládání s odpady, znečistění půdy a také ostatní blíže nespecifikované druhy zdravotní péče.  </w:t>
      </w:r>
    </w:p>
    <w:p w:rsidR="006067DA" w:rsidRPr="00441783" w:rsidRDefault="006067DA" w:rsidP="00441783">
      <w:pPr>
        <w:spacing w:before="120" w:after="60"/>
        <w:rPr>
          <w:rFonts w:eastAsia="MS Gothic"/>
          <w:b/>
          <w:i/>
        </w:rPr>
      </w:pPr>
      <w:r w:rsidRPr="00441783">
        <w:rPr>
          <w:rFonts w:eastAsia="MS Gothic"/>
          <w:b/>
          <w:i/>
        </w:rPr>
        <w:t xml:space="preserve">Výdaje na lůžkovou léčebnou péči meziročně vzrostly o desetinu – 5,4 mld. Kč </w:t>
      </w:r>
    </w:p>
    <w:p w:rsidR="006067DA" w:rsidRPr="00A5222D" w:rsidRDefault="006067DA" w:rsidP="006067DA">
      <w:pPr>
        <w:spacing w:before="120"/>
        <w:jc w:val="both"/>
        <w:rPr>
          <w:bCs/>
          <w:i/>
          <w:szCs w:val="17"/>
        </w:rPr>
      </w:pPr>
      <w:r w:rsidRPr="00240B6D">
        <w:rPr>
          <w:bCs/>
          <w:szCs w:val="17"/>
        </w:rPr>
        <w:t>V roce 201</w:t>
      </w:r>
      <w:r>
        <w:rPr>
          <w:bCs/>
          <w:szCs w:val="17"/>
        </w:rPr>
        <w:t>7</w:t>
      </w:r>
      <w:r w:rsidRPr="00240B6D">
        <w:rPr>
          <w:bCs/>
          <w:szCs w:val="17"/>
        </w:rPr>
        <w:t xml:space="preserve"> dosáhly v Česku výdaje na </w:t>
      </w:r>
      <w:r w:rsidRPr="00520DCA">
        <w:rPr>
          <w:b/>
          <w:bCs/>
          <w:szCs w:val="17"/>
        </w:rPr>
        <w:t>léčebnou péči celkem</w:t>
      </w:r>
      <w:r w:rsidRPr="00240B6D">
        <w:rPr>
          <w:bCs/>
          <w:szCs w:val="17"/>
        </w:rPr>
        <w:t xml:space="preserve"> 1</w:t>
      </w:r>
      <w:r>
        <w:rPr>
          <w:bCs/>
          <w:szCs w:val="17"/>
        </w:rPr>
        <w:t>51,9</w:t>
      </w:r>
      <w:r w:rsidRPr="00240B6D">
        <w:rPr>
          <w:bCs/>
          <w:szCs w:val="17"/>
        </w:rPr>
        <w:t xml:space="preserve"> mld. Kč. Meziročně výdaje na léčebnou péči vzrostly o </w:t>
      </w:r>
      <w:r>
        <w:rPr>
          <w:bCs/>
          <w:szCs w:val="17"/>
        </w:rPr>
        <w:t>6</w:t>
      </w:r>
      <w:r w:rsidRPr="00240B6D">
        <w:rPr>
          <w:bCs/>
          <w:szCs w:val="17"/>
        </w:rPr>
        <w:t>,6 % (</w:t>
      </w:r>
      <w:r>
        <w:rPr>
          <w:bCs/>
          <w:szCs w:val="17"/>
        </w:rPr>
        <w:t>9,4</w:t>
      </w:r>
      <w:r w:rsidRPr="00240B6D">
        <w:rPr>
          <w:bCs/>
          <w:szCs w:val="17"/>
        </w:rPr>
        <w:t xml:space="preserve"> mld. Kč). </w:t>
      </w:r>
      <w:r>
        <w:rPr>
          <w:bCs/>
          <w:szCs w:val="17"/>
        </w:rPr>
        <w:t xml:space="preserve">V období 2010 – 2017 se pohybovaly průměrné výdaje na léčebnou péči na hranici 140 mld. Kč. V posledním sledovaném roce poprvé překročily 150 mld. Kč, což je ovlivněno především 11% meziročním nárůstem výdajů na lůžkovou péči, </w:t>
      </w:r>
      <w:r w:rsidR="00441783">
        <w:rPr>
          <w:bCs/>
          <w:szCs w:val="17"/>
        </w:rPr>
        <w:t xml:space="preserve">a to </w:t>
      </w:r>
      <w:r>
        <w:rPr>
          <w:bCs/>
          <w:szCs w:val="17"/>
        </w:rPr>
        <w:t xml:space="preserve">zejména ve všeobecných nemocnicích. </w:t>
      </w:r>
      <w:r w:rsidRPr="00240B6D">
        <w:rPr>
          <w:bCs/>
          <w:szCs w:val="17"/>
        </w:rPr>
        <w:t>Léčebná péče je v Česku z 85 % financovaná z veřejného zdravotního pojištění. Přibližně z desetiny (11,</w:t>
      </w:r>
      <w:r>
        <w:rPr>
          <w:bCs/>
          <w:szCs w:val="17"/>
        </w:rPr>
        <w:t>7</w:t>
      </w:r>
      <w:r w:rsidRPr="00240B6D">
        <w:rPr>
          <w:bCs/>
          <w:szCs w:val="17"/>
        </w:rPr>
        <w:t> %; 1</w:t>
      </w:r>
      <w:r>
        <w:rPr>
          <w:bCs/>
          <w:szCs w:val="17"/>
        </w:rPr>
        <w:t>7</w:t>
      </w:r>
      <w:r w:rsidRPr="00240B6D">
        <w:rPr>
          <w:bCs/>
          <w:szCs w:val="17"/>
        </w:rPr>
        <w:t>,</w:t>
      </w:r>
      <w:r>
        <w:rPr>
          <w:bCs/>
          <w:szCs w:val="17"/>
        </w:rPr>
        <w:t>8</w:t>
      </w:r>
      <w:r w:rsidRPr="00240B6D">
        <w:rPr>
          <w:bCs/>
          <w:szCs w:val="17"/>
        </w:rPr>
        <w:t xml:space="preserve"> mld. Kč v roce 201</w:t>
      </w:r>
      <w:r>
        <w:rPr>
          <w:bCs/>
          <w:szCs w:val="17"/>
        </w:rPr>
        <w:t>7</w:t>
      </w:r>
      <w:r w:rsidRPr="00240B6D">
        <w:rPr>
          <w:bCs/>
          <w:szCs w:val="17"/>
        </w:rPr>
        <w:t>) si pak na léčebnou péči přispívají sami pacienti, a to nejčastěji na péči stomatologickou (</w:t>
      </w:r>
      <w:r>
        <w:rPr>
          <w:bCs/>
          <w:szCs w:val="17"/>
        </w:rPr>
        <w:t>10,3</w:t>
      </w:r>
      <w:r w:rsidRPr="00240B6D">
        <w:rPr>
          <w:bCs/>
          <w:szCs w:val="17"/>
        </w:rPr>
        <w:t xml:space="preserve"> mld. Kč). </w:t>
      </w:r>
      <w:r w:rsidRPr="00A5222D">
        <w:rPr>
          <w:bCs/>
          <w:i/>
          <w:szCs w:val="17"/>
        </w:rPr>
        <w:t>Podrobněji viz kapitola č.</w:t>
      </w:r>
      <w:r w:rsidR="00F725A0">
        <w:rPr>
          <w:bCs/>
          <w:i/>
          <w:szCs w:val="17"/>
        </w:rPr>
        <w:t> </w:t>
      </w:r>
      <w:r w:rsidRPr="00A5222D">
        <w:rPr>
          <w:bCs/>
          <w:i/>
          <w:szCs w:val="17"/>
        </w:rPr>
        <w:t xml:space="preserve">3.2 Výdaje domácností na zdravotní péči.  </w:t>
      </w:r>
    </w:p>
    <w:p w:rsidR="006067DA" w:rsidRPr="0005411D" w:rsidRDefault="006067DA" w:rsidP="006067DA">
      <w:pPr>
        <w:spacing w:before="120"/>
        <w:jc w:val="both"/>
        <w:rPr>
          <w:i/>
          <w:szCs w:val="17"/>
        </w:rPr>
      </w:pPr>
      <w:r w:rsidRPr="00240B6D">
        <w:rPr>
          <w:szCs w:val="17"/>
        </w:rPr>
        <w:t>Z hlediska typu léčebné péče, v roce 201</w:t>
      </w:r>
      <w:r>
        <w:rPr>
          <w:szCs w:val="17"/>
        </w:rPr>
        <w:t xml:space="preserve">7 </w:t>
      </w:r>
      <w:r w:rsidRPr="00240B6D">
        <w:rPr>
          <w:szCs w:val="17"/>
        </w:rPr>
        <w:t>stále více jak třetinu (3</w:t>
      </w:r>
      <w:r>
        <w:rPr>
          <w:szCs w:val="17"/>
        </w:rPr>
        <w:t>7,1</w:t>
      </w:r>
      <w:r w:rsidRPr="00240B6D">
        <w:rPr>
          <w:szCs w:val="17"/>
        </w:rPr>
        <w:t xml:space="preserve"> %) tvořila </w:t>
      </w:r>
      <w:r w:rsidRPr="00A5222D">
        <w:rPr>
          <w:b/>
          <w:szCs w:val="17"/>
        </w:rPr>
        <w:t>péče lůžková</w:t>
      </w:r>
      <w:r w:rsidRPr="00240B6D">
        <w:rPr>
          <w:szCs w:val="17"/>
        </w:rPr>
        <w:t xml:space="preserve"> poskytovaná v nemocnicích. Výdaje na tuto </w:t>
      </w:r>
      <w:r w:rsidRPr="00CB374C">
        <w:rPr>
          <w:szCs w:val="17"/>
        </w:rPr>
        <w:t>péči</w:t>
      </w:r>
      <w:r w:rsidRPr="00240B6D">
        <w:rPr>
          <w:szCs w:val="17"/>
        </w:rPr>
        <w:t xml:space="preserve"> však od roku 2010, kdy představovaly 41 % celkové léčebné péče, postupně klesa</w:t>
      </w:r>
      <w:r>
        <w:rPr>
          <w:szCs w:val="17"/>
        </w:rPr>
        <w:t xml:space="preserve">ly – </w:t>
      </w:r>
      <w:r w:rsidRPr="00240B6D">
        <w:rPr>
          <w:szCs w:val="17"/>
        </w:rPr>
        <w:t>z</w:t>
      </w:r>
      <w:r>
        <w:rPr>
          <w:szCs w:val="17"/>
        </w:rPr>
        <w:t xml:space="preserve"> částky</w:t>
      </w:r>
      <w:r w:rsidRPr="00240B6D">
        <w:rPr>
          <w:szCs w:val="17"/>
        </w:rPr>
        <w:t xml:space="preserve"> 55,9 mld. Kč v roce 2010 na 50,9 mld. Kč v roce 2016. </w:t>
      </w:r>
      <w:r>
        <w:rPr>
          <w:szCs w:val="17"/>
        </w:rPr>
        <w:t xml:space="preserve">V roce 2017 však tyto výdaje meziročně vzrostly o více jak desetinu na 56,3 mld. Kč. </w:t>
      </w:r>
      <w:r w:rsidRPr="0005411D">
        <w:rPr>
          <w:szCs w:val="17"/>
        </w:rPr>
        <w:t>Uvedený nárůst byl do určité míry ovlivněn navýšením úhradové vyhlášky, kdy p</w:t>
      </w:r>
      <w:r w:rsidRPr="0005411D">
        <w:t>oskytovatelé akutní lůžkové péče měli</w:t>
      </w:r>
      <w:r>
        <w:t>,</w:t>
      </w:r>
      <w:r w:rsidRPr="0005411D">
        <w:t xml:space="preserve"> za stejné produkce</w:t>
      </w:r>
      <w:r>
        <w:t>,</w:t>
      </w:r>
      <w:r w:rsidRPr="0005411D">
        <w:t xml:space="preserve"> úhrady o 6,3 % vyšší oproti roku 2016. </w:t>
      </w:r>
    </w:p>
    <w:p w:rsidR="006067DA" w:rsidRPr="00240B6D" w:rsidRDefault="006067DA" w:rsidP="00441783">
      <w:pPr>
        <w:spacing w:before="240" w:after="120"/>
        <w:jc w:val="both"/>
        <w:rPr>
          <w:b/>
          <w:bCs/>
          <w:sz w:val="18"/>
          <w:szCs w:val="18"/>
        </w:rPr>
      </w:pPr>
      <w:r w:rsidRPr="00240B6D">
        <w:rPr>
          <w:b/>
          <w:bCs/>
          <w:sz w:val="18"/>
          <w:szCs w:val="18"/>
        </w:rPr>
        <w:t>Graf č: 2.</w:t>
      </w:r>
      <w:r>
        <w:rPr>
          <w:b/>
          <w:bCs/>
          <w:sz w:val="18"/>
          <w:szCs w:val="18"/>
        </w:rPr>
        <w:t>9</w:t>
      </w:r>
      <w:r w:rsidRPr="00240B6D">
        <w:rPr>
          <w:b/>
          <w:bCs/>
          <w:sz w:val="18"/>
          <w:szCs w:val="18"/>
        </w:rPr>
        <w:t xml:space="preserve"> Výdaje na léčebnou péči v Česku podle jejího typu, 201</w:t>
      </w:r>
      <w:r>
        <w:rPr>
          <w:b/>
          <w:bCs/>
          <w:sz w:val="18"/>
          <w:szCs w:val="18"/>
        </w:rPr>
        <w:t>5</w:t>
      </w:r>
      <w:r w:rsidRPr="00240B6D">
        <w:rPr>
          <w:b/>
          <w:bCs/>
          <w:sz w:val="18"/>
          <w:szCs w:val="18"/>
        </w:rPr>
        <w:t xml:space="preserve"> – 201</w:t>
      </w:r>
      <w:r>
        <w:rPr>
          <w:b/>
          <w:bCs/>
          <w:sz w:val="18"/>
          <w:szCs w:val="18"/>
        </w:rPr>
        <w:t>7</w:t>
      </w:r>
    </w:p>
    <w:p w:rsidR="006067DA" w:rsidRPr="00240B6D" w:rsidRDefault="006067DA" w:rsidP="00441783">
      <w:pPr>
        <w:keepNext/>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6067DA" w:rsidRPr="00240B6D" w:rsidRDefault="00DE7B9D" w:rsidP="00441783">
      <w:pPr>
        <w:keepNext/>
        <w:tabs>
          <w:tab w:val="left" w:pos="142"/>
          <w:tab w:val="left" w:pos="5812"/>
        </w:tabs>
        <w:jc w:val="both"/>
        <w:rPr>
          <w:b/>
          <w:i/>
          <w:sz w:val="18"/>
        </w:rPr>
      </w:pPr>
      <w:r>
        <w:rPr>
          <w:noProof/>
        </w:rPr>
        <w:drawing>
          <wp:inline distT="0" distB="0" distL="0" distR="0" wp14:anchorId="6019329C">
            <wp:extent cx="3420110" cy="306070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0110" cy="3060700"/>
                    </a:xfrm>
                    <a:prstGeom prst="rect">
                      <a:avLst/>
                    </a:prstGeom>
                    <a:noFill/>
                  </pic:spPr>
                </pic:pic>
              </a:graphicData>
            </a:graphic>
          </wp:inline>
        </w:drawing>
      </w:r>
      <w:r w:rsidR="006067DA" w:rsidRPr="00240B6D">
        <w:rPr>
          <w:noProof/>
          <w:lang w:val="en-US" w:eastAsia="en-US"/>
        </w:rPr>
        <w:t xml:space="preserve"> </w:t>
      </w:r>
      <w:r>
        <w:rPr>
          <w:noProof/>
        </w:rPr>
        <w:drawing>
          <wp:inline distT="0" distB="0" distL="0" distR="0" wp14:anchorId="5C451A40">
            <wp:extent cx="2664460" cy="306070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4460" cy="3060700"/>
                    </a:xfrm>
                    <a:prstGeom prst="rect">
                      <a:avLst/>
                    </a:prstGeom>
                    <a:noFill/>
                  </pic:spPr>
                </pic:pic>
              </a:graphicData>
            </a:graphic>
          </wp:inline>
        </w:drawing>
      </w:r>
    </w:p>
    <w:p w:rsidR="006067DA" w:rsidRPr="00240B6D" w:rsidRDefault="006067DA" w:rsidP="006067DA">
      <w:pPr>
        <w:keepNext/>
        <w:jc w:val="both"/>
        <w:rPr>
          <w:bCs/>
          <w:sz w:val="16"/>
          <w:szCs w:val="16"/>
        </w:rPr>
      </w:pPr>
      <w:r w:rsidRPr="00BC2F06">
        <w:rPr>
          <w:bCs/>
          <w:sz w:val="16"/>
          <w:szCs w:val="16"/>
        </w:rPr>
        <w:t>(1) zahrnuje jak všeobecnou ambulantní péči poskytovanou nejčastěji praktickými lékaři pro děti a dospělé, tak i specializovanou (bez stomatologické) ambulantní péči poskytovanou nejčastěji specialisty v nemocnicích nebo samostatných ordinacích lékaře</w:t>
      </w:r>
      <w:r>
        <w:rPr>
          <w:bCs/>
          <w:sz w:val="16"/>
          <w:szCs w:val="16"/>
        </w:rPr>
        <w:t xml:space="preserve"> </w:t>
      </w:r>
    </w:p>
    <w:p w:rsidR="006067DA" w:rsidRPr="00240B6D" w:rsidRDefault="006067DA" w:rsidP="006067DA">
      <w:pPr>
        <w:spacing w:before="12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xml:space="preserve">, </w:t>
      </w:r>
      <w:r>
        <w:rPr>
          <w:b/>
          <w:bCs/>
          <w:i/>
          <w:sz w:val="16"/>
          <w:szCs w:val="16"/>
        </w:rPr>
        <w:t>Zdravotnické účty ČR 2010 - 2017</w:t>
      </w:r>
      <w:r w:rsidRPr="00240B6D">
        <w:rPr>
          <w:b/>
          <w:bCs/>
          <w:i/>
          <w:sz w:val="16"/>
          <w:szCs w:val="16"/>
        </w:rPr>
        <w:t xml:space="preserve"> </w:t>
      </w:r>
    </w:p>
    <w:p w:rsidR="00C148E2" w:rsidRPr="00240B6D" w:rsidRDefault="00C148E2" w:rsidP="00C148E2">
      <w:pPr>
        <w:widowControl w:val="0"/>
        <w:spacing w:before="120" w:after="60"/>
        <w:rPr>
          <w:b/>
          <w:i/>
        </w:rPr>
      </w:pPr>
      <w:r w:rsidRPr="00282A20">
        <w:rPr>
          <w:b/>
          <w:i/>
        </w:rPr>
        <w:lastRenderedPageBreak/>
        <w:t>Od roku</w:t>
      </w:r>
      <w:r w:rsidR="00282A20" w:rsidRPr="00282A20">
        <w:rPr>
          <w:b/>
          <w:i/>
        </w:rPr>
        <w:t xml:space="preserve"> 2014</w:t>
      </w:r>
      <w:r w:rsidRPr="00282A20">
        <w:rPr>
          <w:b/>
          <w:i/>
        </w:rPr>
        <w:t xml:space="preserve"> výdaje na ambulantní péči včetně stomatologické vzrostly o 10 </w:t>
      </w:r>
      <w:r w:rsidR="002075A8" w:rsidRPr="00282A20">
        <w:rPr>
          <w:b/>
          <w:i/>
        </w:rPr>
        <w:t>miliard</w:t>
      </w:r>
      <w:r w:rsidRPr="00240B6D">
        <w:rPr>
          <w:b/>
          <w:i/>
        </w:rPr>
        <w:t xml:space="preserve"> </w:t>
      </w:r>
    </w:p>
    <w:p w:rsidR="006067DA" w:rsidRPr="009A76CB" w:rsidRDefault="00441783" w:rsidP="006067DA">
      <w:pPr>
        <w:spacing w:before="120"/>
        <w:jc w:val="both"/>
        <w:rPr>
          <w:i/>
          <w:szCs w:val="17"/>
        </w:rPr>
      </w:pPr>
      <w:r w:rsidRPr="00F725A0">
        <w:rPr>
          <w:b/>
          <w:szCs w:val="17"/>
        </w:rPr>
        <w:t>Ambulantní péče</w:t>
      </w:r>
      <w:r w:rsidRPr="00F725A0">
        <w:rPr>
          <w:szCs w:val="17"/>
        </w:rPr>
        <w:t xml:space="preserve"> může být poskytována v nemocnicích nebo praktickými lékaři a specialisty v soukromých zdravotnických zařízeních či jednotlivých ordinacích.</w:t>
      </w:r>
      <w:r w:rsidRPr="00F725A0">
        <w:rPr>
          <w:i/>
          <w:szCs w:val="17"/>
        </w:rPr>
        <w:t xml:space="preserve"> </w:t>
      </w:r>
      <w:r w:rsidR="006067DA" w:rsidRPr="00F725A0">
        <w:rPr>
          <w:szCs w:val="17"/>
        </w:rPr>
        <w:t>Výdaje na ambulantní péči</w:t>
      </w:r>
      <w:r w:rsidR="00222564" w:rsidRPr="00F725A0">
        <w:rPr>
          <w:szCs w:val="17"/>
        </w:rPr>
        <w:t xml:space="preserve"> </w:t>
      </w:r>
      <w:r w:rsidR="006067DA" w:rsidRPr="00F725A0">
        <w:rPr>
          <w:i/>
          <w:szCs w:val="17"/>
        </w:rPr>
        <w:t>(bez stomatologické)</w:t>
      </w:r>
      <w:r w:rsidR="00222564" w:rsidRPr="00F725A0">
        <w:rPr>
          <w:szCs w:val="17"/>
        </w:rPr>
        <w:t xml:space="preserve"> v </w:t>
      </w:r>
      <w:r w:rsidR="00F725A0" w:rsidRPr="00F725A0">
        <w:rPr>
          <w:szCs w:val="17"/>
        </w:rPr>
        <w:t>posledních třech letech rostly</w:t>
      </w:r>
      <w:r w:rsidR="002D1024" w:rsidRPr="00F725A0">
        <w:rPr>
          <w:szCs w:val="17"/>
        </w:rPr>
        <w:t>, a to z 61,6 miliard v roce 2014 na 69,3 miliard v roce 2017, tj. o 12,4 %.</w:t>
      </w:r>
      <w:r w:rsidR="006067DA" w:rsidRPr="00240B6D">
        <w:rPr>
          <w:szCs w:val="17"/>
        </w:rPr>
        <w:t xml:space="preserve"> V roce 201</w:t>
      </w:r>
      <w:r w:rsidR="006067DA">
        <w:rPr>
          <w:szCs w:val="17"/>
        </w:rPr>
        <w:t>7</w:t>
      </w:r>
      <w:r w:rsidR="006067DA" w:rsidRPr="00240B6D">
        <w:rPr>
          <w:szCs w:val="17"/>
        </w:rPr>
        <w:t xml:space="preserve"> dosáhl objem finančních prostředků určených na </w:t>
      </w:r>
      <w:r w:rsidR="006067DA" w:rsidRPr="00222564">
        <w:rPr>
          <w:b/>
          <w:szCs w:val="17"/>
        </w:rPr>
        <w:t xml:space="preserve">specializovanou </w:t>
      </w:r>
      <w:r w:rsidR="00222564" w:rsidRPr="00222564">
        <w:rPr>
          <w:i/>
          <w:szCs w:val="17"/>
        </w:rPr>
        <w:t>(bez stomatologické)</w:t>
      </w:r>
      <w:r w:rsidR="00222564">
        <w:rPr>
          <w:b/>
          <w:szCs w:val="17"/>
        </w:rPr>
        <w:t xml:space="preserve"> </w:t>
      </w:r>
      <w:r w:rsidR="006067DA" w:rsidRPr="00222564">
        <w:rPr>
          <w:b/>
          <w:szCs w:val="17"/>
        </w:rPr>
        <w:t>ambulantní</w:t>
      </w:r>
      <w:r w:rsidR="006067DA" w:rsidRPr="00240B6D">
        <w:rPr>
          <w:szCs w:val="17"/>
        </w:rPr>
        <w:t xml:space="preserve"> </w:t>
      </w:r>
      <w:r w:rsidR="006067DA" w:rsidRPr="00222564">
        <w:rPr>
          <w:b/>
          <w:szCs w:val="17"/>
        </w:rPr>
        <w:t xml:space="preserve">péči </w:t>
      </w:r>
      <w:r w:rsidR="006067DA" w:rsidRPr="00240B6D">
        <w:rPr>
          <w:szCs w:val="17"/>
        </w:rPr>
        <w:t>4</w:t>
      </w:r>
      <w:r w:rsidR="006067DA">
        <w:rPr>
          <w:szCs w:val="17"/>
        </w:rPr>
        <w:t>6,7</w:t>
      </w:r>
      <w:r w:rsidR="006067DA" w:rsidRPr="00240B6D">
        <w:rPr>
          <w:szCs w:val="17"/>
        </w:rPr>
        <w:t xml:space="preserve"> mld. Kč a na </w:t>
      </w:r>
      <w:r w:rsidR="006067DA" w:rsidRPr="00222564">
        <w:rPr>
          <w:b/>
          <w:szCs w:val="17"/>
        </w:rPr>
        <w:t>všeobecnou ambulantní péči</w:t>
      </w:r>
      <w:r w:rsidR="006067DA" w:rsidRPr="00240B6D">
        <w:rPr>
          <w:szCs w:val="17"/>
        </w:rPr>
        <w:t xml:space="preserve"> 22,</w:t>
      </w:r>
      <w:r w:rsidR="006067DA">
        <w:rPr>
          <w:szCs w:val="17"/>
        </w:rPr>
        <w:t>6</w:t>
      </w:r>
      <w:r w:rsidR="006067DA" w:rsidRPr="00240B6D">
        <w:rPr>
          <w:szCs w:val="17"/>
        </w:rPr>
        <w:t xml:space="preserve"> mld. Kč. </w:t>
      </w:r>
      <w:r w:rsidR="006067DA" w:rsidRPr="009A76CB">
        <w:rPr>
          <w:i/>
          <w:szCs w:val="17"/>
        </w:rPr>
        <w:t>Jestliže specializovaná ambulantní péče je poskytována především v nemocnicích, tak všeobecná v samostatných ordinacích lékaře - např. na pracovištích praktického lékaře pro dospělé, pro děti a dorost, pracovištích lékařské pohotovostní služby atd.</w:t>
      </w:r>
    </w:p>
    <w:p w:rsidR="006067DA" w:rsidRPr="009D15E0" w:rsidRDefault="006067DA" w:rsidP="006067DA">
      <w:pPr>
        <w:spacing w:before="120"/>
        <w:jc w:val="both"/>
        <w:rPr>
          <w:i/>
          <w:szCs w:val="20"/>
        </w:rPr>
      </w:pPr>
      <w:r w:rsidRPr="009E3D07">
        <w:rPr>
          <w:szCs w:val="20"/>
        </w:rPr>
        <w:t xml:space="preserve">Výdaje na </w:t>
      </w:r>
      <w:r w:rsidRPr="009E3D07">
        <w:rPr>
          <w:b/>
          <w:szCs w:val="20"/>
        </w:rPr>
        <w:t>denní léčebnou péči</w:t>
      </w:r>
      <w:r w:rsidRPr="009E3D07">
        <w:rPr>
          <w:szCs w:val="20"/>
        </w:rPr>
        <w:t xml:space="preserve"> se v</w:t>
      </w:r>
      <w:r>
        <w:rPr>
          <w:szCs w:val="20"/>
        </w:rPr>
        <w:t xml:space="preserve"> roce 2015 a 2016 </w:t>
      </w:r>
      <w:r w:rsidRPr="009E3D07">
        <w:rPr>
          <w:szCs w:val="20"/>
        </w:rPr>
        <w:t>pohyb</w:t>
      </w:r>
      <w:r>
        <w:rPr>
          <w:szCs w:val="20"/>
        </w:rPr>
        <w:t>ovaly</w:t>
      </w:r>
      <w:r w:rsidRPr="009E3D07">
        <w:rPr>
          <w:szCs w:val="20"/>
        </w:rPr>
        <w:t xml:space="preserve"> </w:t>
      </w:r>
      <w:r>
        <w:rPr>
          <w:szCs w:val="20"/>
        </w:rPr>
        <w:t xml:space="preserve">kolem </w:t>
      </w:r>
      <w:r w:rsidRPr="009E3D07">
        <w:rPr>
          <w:szCs w:val="20"/>
        </w:rPr>
        <w:t>5</w:t>
      </w:r>
      <w:r>
        <w:rPr>
          <w:szCs w:val="20"/>
        </w:rPr>
        <w:t>,7</w:t>
      </w:r>
      <w:r w:rsidRPr="009E3D07">
        <w:rPr>
          <w:szCs w:val="20"/>
        </w:rPr>
        <w:t xml:space="preserve"> miliard Kč</w:t>
      </w:r>
      <w:r>
        <w:rPr>
          <w:szCs w:val="20"/>
        </w:rPr>
        <w:t>. V roce 2017 se v porovnání s předchozím rokem zvýšily o 12 % a dosáhly částky 6,4 mld. Kč</w:t>
      </w:r>
      <w:r w:rsidRPr="001D50DB">
        <w:rPr>
          <w:i/>
          <w:szCs w:val="20"/>
        </w:rPr>
        <w:t>. I přes toto zvýšení to však zatím plně neodpovídá současné snaze o zkrácení doby hospitalizace na</w:t>
      </w:r>
      <w:r w:rsidRPr="009D15E0">
        <w:rPr>
          <w:i/>
          <w:szCs w:val="20"/>
        </w:rPr>
        <w:t xml:space="preserve"> nezbytné minimum a provádění některých zákroků, jejichž povaha to umožňuje, ambulantně či prostřednictvím denní léčebné péče. V</w:t>
      </w:r>
      <w:r w:rsidR="00C148E2">
        <w:rPr>
          <w:i/>
          <w:szCs w:val="20"/>
        </w:rPr>
        <w:t> </w:t>
      </w:r>
      <w:r w:rsidRPr="009D15E0">
        <w:rPr>
          <w:i/>
          <w:szCs w:val="20"/>
        </w:rPr>
        <w:t>současné době lze poskytovat jednodenní péči v šesti smluvních odbornostech: chirurgie (včetně dětské, úrazové a cévní chirurgie), plastická chirurgie (zahrnuje i</w:t>
      </w:r>
      <w:r>
        <w:rPr>
          <w:i/>
          <w:szCs w:val="20"/>
        </w:rPr>
        <w:t> </w:t>
      </w:r>
      <w:r w:rsidRPr="009D15E0">
        <w:rPr>
          <w:i/>
          <w:szCs w:val="20"/>
        </w:rPr>
        <w:t>popáleniny), gynekologie, urologie, ortopedie a ORL. Péče je poskytována vždy plánovaně, v žádném případě se nejedná o akutní péči. Obecně je při výběru výkonů vhodných k jednodenní péči na lůžku kladen důraz na minimálně invazivní výkony.</w:t>
      </w:r>
    </w:p>
    <w:p w:rsidR="002D1024" w:rsidRPr="00240B6D" w:rsidRDefault="002D1024" w:rsidP="00C148E2">
      <w:pPr>
        <w:widowControl w:val="0"/>
        <w:spacing w:before="120" w:after="60"/>
        <w:rPr>
          <w:b/>
          <w:i/>
        </w:rPr>
      </w:pPr>
      <w:r>
        <w:rPr>
          <w:b/>
          <w:i/>
        </w:rPr>
        <w:t>Domácnosti se podílejí z více jak poloviny na hrazení své stomatologické péče</w:t>
      </w:r>
      <w:r w:rsidRPr="00240B6D">
        <w:rPr>
          <w:b/>
          <w:i/>
        </w:rPr>
        <w:t xml:space="preserve"> </w:t>
      </w:r>
    </w:p>
    <w:p w:rsidR="006067DA" w:rsidRPr="007C6D9C" w:rsidRDefault="006067DA" w:rsidP="006067DA">
      <w:pPr>
        <w:spacing w:before="120"/>
        <w:jc w:val="both"/>
        <w:rPr>
          <w:szCs w:val="20"/>
        </w:rPr>
      </w:pPr>
      <w:r w:rsidRPr="00240B6D">
        <w:rPr>
          <w:szCs w:val="20"/>
        </w:rPr>
        <w:t>Od roku 201</w:t>
      </w:r>
      <w:r>
        <w:rPr>
          <w:szCs w:val="20"/>
        </w:rPr>
        <w:t>3</w:t>
      </w:r>
      <w:r w:rsidRPr="00240B6D">
        <w:rPr>
          <w:szCs w:val="20"/>
        </w:rPr>
        <w:t xml:space="preserve"> roste objem výdajů na </w:t>
      </w:r>
      <w:r w:rsidRPr="005F2EE2">
        <w:rPr>
          <w:b/>
          <w:szCs w:val="20"/>
        </w:rPr>
        <w:t>stomatologickou péči</w:t>
      </w:r>
      <w:r w:rsidRPr="00240B6D">
        <w:rPr>
          <w:szCs w:val="20"/>
        </w:rPr>
        <w:t>, kterou si z velké části hradí domácnosti samy. V roce 201</w:t>
      </w:r>
      <w:r>
        <w:rPr>
          <w:szCs w:val="20"/>
        </w:rPr>
        <w:t>7</w:t>
      </w:r>
      <w:r w:rsidRPr="00240B6D">
        <w:rPr>
          <w:szCs w:val="20"/>
        </w:rPr>
        <w:t xml:space="preserve"> šlo </w:t>
      </w:r>
      <w:r>
        <w:rPr>
          <w:szCs w:val="20"/>
        </w:rPr>
        <w:t xml:space="preserve">na </w:t>
      </w:r>
      <w:r w:rsidRPr="00240B6D">
        <w:rPr>
          <w:szCs w:val="20"/>
        </w:rPr>
        <w:t>ambulantní stomatologickou péči celkem 1</w:t>
      </w:r>
      <w:r>
        <w:rPr>
          <w:szCs w:val="20"/>
        </w:rPr>
        <w:t>9,7</w:t>
      </w:r>
      <w:r w:rsidRPr="00240B6D">
        <w:rPr>
          <w:szCs w:val="20"/>
        </w:rPr>
        <w:t xml:space="preserve"> mld. Kč, z nichž si </w:t>
      </w:r>
      <w:r w:rsidRPr="009D15E0">
        <w:rPr>
          <w:b/>
          <w:szCs w:val="20"/>
        </w:rPr>
        <w:t>domácnosti hradily</w:t>
      </w:r>
      <w:r w:rsidRPr="00240B6D">
        <w:rPr>
          <w:szCs w:val="20"/>
        </w:rPr>
        <w:t xml:space="preserve"> </w:t>
      </w:r>
      <w:r>
        <w:rPr>
          <w:szCs w:val="20"/>
        </w:rPr>
        <w:t>více jak polovinu (52,0 %; 10,3</w:t>
      </w:r>
      <w:r w:rsidRPr="00240B6D">
        <w:rPr>
          <w:szCs w:val="20"/>
        </w:rPr>
        <w:t xml:space="preserve"> mld. Kč).</w:t>
      </w:r>
      <w:r>
        <w:rPr>
          <w:szCs w:val="20"/>
        </w:rPr>
        <w:t xml:space="preserve"> </w:t>
      </w:r>
      <w:r w:rsidRPr="007C6D9C">
        <w:rPr>
          <w:szCs w:val="20"/>
        </w:rPr>
        <w:t xml:space="preserve">V porovnání s rokem 2013, kdy podíl domácností na financování zubařské péče činil 43,6 %, tak vzrostly jejich výdaje na tuto péči o 2,9 mld. Kč </w:t>
      </w:r>
      <w:r>
        <w:rPr>
          <w:szCs w:val="20"/>
        </w:rPr>
        <w:t xml:space="preserve">a jejich podíl dosáhl výše zmíněných </w:t>
      </w:r>
      <w:r w:rsidRPr="007C6D9C">
        <w:rPr>
          <w:szCs w:val="20"/>
        </w:rPr>
        <w:t xml:space="preserve">52,0 %. </w:t>
      </w:r>
    </w:p>
    <w:p w:rsidR="006067DA" w:rsidRPr="00C148E2" w:rsidRDefault="006067DA" w:rsidP="00C148E2">
      <w:pPr>
        <w:widowControl w:val="0"/>
        <w:spacing w:before="120" w:after="60"/>
        <w:rPr>
          <w:b/>
          <w:i/>
        </w:rPr>
      </w:pPr>
      <w:r w:rsidRPr="00C148E2">
        <w:rPr>
          <w:b/>
          <w:i/>
        </w:rPr>
        <w:t>Výdaje na lůžkovou rehabilitační péči vzrostly mezi roky 2010 a 2017 více než o jednu třetinu</w:t>
      </w:r>
    </w:p>
    <w:p w:rsidR="006067DA" w:rsidRDefault="006067DA" w:rsidP="006067DA">
      <w:pPr>
        <w:spacing w:before="120"/>
        <w:jc w:val="both"/>
        <w:rPr>
          <w:szCs w:val="17"/>
        </w:rPr>
      </w:pPr>
      <w:r w:rsidRPr="00240B6D">
        <w:rPr>
          <w:szCs w:val="17"/>
        </w:rPr>
        <w:t xml:space="preserve">Výdaje </w:t>
      </w:r>
      <w:r>
        <w:rPr>
          <w:szCs w:val="17"/>
        </w:rPr>
        <w:t>n</w:t>
      </w:r>
      <w:r w:rsidRPr="00240B6D">
        <w:rPr>
          <w:szCs w:val="17"/>
        </w:rPr>
        <w:t xml:space="preserve">a </w:t>
      </w:r>
      <w:r w:rsidRPr="00240B6D">
        <w:rPr>
          <w:b/>
          <w:szCs w:val="17"/>
        </w:rPr>
        <w:t>rehabilitační péči</w:t>
      </w:r>
      <w:r w:rsidRPr="00240B6D">
        <w:rPr>
          <w:szCs w:val="17"/>
        </w:rPr>
        <w:t xml:space="preserve"> se v roce 201</w:t>
      </w:r>
      <w:r>
        <w:rPr>
          <w:szCs w:val="17"/>
        </w:rPr>
        <w:t>7</w:t>
      </w:r>
      <w:r w:rsidRPr="00240B6D">
        <w:rPr>
          <w:szCs w:val="17"/>
        </w:rPr>
        <w:t xml:space="preserve"> </w:t>
      </w:r>
      <w:r>
        <w:rPr>
          <w:szCs w:val="17"/>
        </w:rPr>
        <w:t xml:space="preserve">téměř </w:t>
      </w:r>
      <w:r w:rsidRPr="00240B6D">
        <w:rPr>
          <w:szCs w:val="17"/>
        </w:rPr>
        <w:t>z poloviny týkal</w:t>
      </w:r>
      <w:r>
        <w:rPr>
          <w:szCs w:val="17"/>
        </w:rPr>
        <w:t>y</w:t>
      </w:r>
      <w:r w:rsidRPr="00240B6D">
        <w:rPr>
          <w:szCs w:val="17"/>
        </w:rPr>
        <w:t xml:space="preserve"> léčby lůžkové, kam spadá především </w:t>
      </w:r>
      <w:r w:rsidRPr="00240B6D">
        <w:rPr>
          <w:b/>
          <w:szCs w:val="17"/>
        </w:rPr>
        <w:t>lázeňská</w:t>
      </w:r>
      <w:r>
        <w:rPr>
          <w:b/>
          <w:szCs w:val="17"/>
        </w:rPr>
        <w:t xml:space="preserve"> péče</w:t>
      </w:r>
      <w:r w:rsidRPr="00240B6D">
        <w:rPr>
          <w:szCs w:val="17"/>
        </w:rPr>
        <w:t>. Na lůžkovou rehabilitační péči bylo v roce 201</w:t>
      </w:r>
      <w:r>
        <w:rPr>
          <w:szCs w:val="17"/>
        </w:rPr>
        <w:t>7</w:t>
      </w:r>
      <w:r w:rsidRPr="00240B6D">
        <w:rPr>
          <w:szCs w:val="17"/>
        </w:rPr>
        <w:t xml:space="preserve"> celkem vydáno </w:t>
      </w:r>
      <w:r>
        <w:rPr>
          <w:szCs w:val="17"/>
        </w:rPr>
        <w:t>8</w:t>
      </w:r>
      <w:r w:rsidRPr="00240B6D">
        <w:rPr>
          <w:szCs w:val="17"/>
        </w:rPr>
        <w:t xml:space="preserve"> mld. Kč, tj. meziročně o</w:t>
      </w:r>
      <w:r>
        <w:rPr>
          <w:szCs w:val="17"/>
        </w:rPr>
        <w:t> </w:t>
      </w:r>
      <w:r w:rsidRPr="00240B6D">
        <w:rPr>
          <w:szCs w:val="17"/>
        </w:rPr>
        <w:t>5</w:t>
      </w:r>
      <w:r>
        <w:rPr>
          <w:szCs w:val="17"/>
        </w:rPr>
        <w:t>44</w:t>
      </w:r>
      <w:r w:rsidRPr="00240B6D">
        <w:rPr>
          <w:szCs w:val="17"/>
        </w:rPr>
        <w:t xml:space="preserve"> mil. Kč (</w:t>
      </w:r>
      <w:r>
        <w:rPr>
          <w:szCs w:val="17"/>
        </w:rPr>
        <w:t>7</w:t>
      </w:r>
      <w:r w:rsidRPr="00240B6D">
        <w:rPr>
          <w:szCs w:val="17"/>
        </w:rPr>
        <w:t xml:space="preserve">,3 %) více finančních prostředků. </w:t>
      </w:r>
    </w:p>
    <w:p w:rsidR="001466BB" w:rsidRPr="00240B6D" w:rsidRDefault="001466BB" w:rsidP="001466BB">
      <w:pPr>
        <w:spacing w:before="240" w:after="120"/>
        <w:jc w:val="both"/>
        <w:rPr>
          <w:b/>
          <w:bCs/>
          <w:sz w:val="18"/>
          <w:szCs w:val="18"/>
        </w:rPr>
      </w:pPr>
      <w:r w:rsidRPr="00240B6D">
        <w:rPr>
          <w:b/>
          <w:bCs/>
          <w:sz w:val="18"/>
          <w:szCs w:val="18"/>
        </w:rPr>
        <w:t>Graf č: 2.</w:t>
      </w:r>
      <w:r>
        <w:rPr>
          <w:b/>
          <w:bCs/>
          <w:sz w:val="18"/>
          <w:szCs w:val="18"/>
        </w:rPr>
        <w:t>10</w:t>
      </w:r>
      <w:r w:rsidRPr="00240B6D">
        <w:rPr>
          <w:b/>
          <w:bCs/>
          <w:sz w:val="18"/>
          <w:szCs w:val="18"/>
        </w:rPr>
        <w:t xml:space="preserve"> Výdaje na </w:t>
      </w:r>
      <w:r>
        <w:rPr>
          <w:b/>
          <w:bCs/>
          <w:sz w:val="18"/>
          <w:szCs w:val="18"/>
        </w:rPr>
        <w:t xml:space="preserve">rehabilitační péči v Česku </w:t>
      </w:r>
      <w:r w:rsidRPr="00240B6D">
        <w:rPr>
          <w:b/>
          <w:bCs/>
          <w:sz w:val="18"/>
          <w:szCs w:val="18"/>
        </w:rPr>
        <w:t>podle jejího typu, 201</w:t>
      </w:r>
      <w:r>
        <w:rPr>
          <w:b/>
          <w:bCs/>
          <w:sz w:val="18"/>
          <w:szCs w:val="18"/>
        </w:rPr>
        <w:t>3</w:t>
      </w:r>
      <w:r w:rsidRPr="00240B6D">
        <w:rPr>
          <w:b/>
          <w:bCs/>
          <w:sz w:val="18"/>
          <w:szCs w:val="18"/>
        </w:rPr>
        <w:t xml:space="preserve"> – 201</w:t>
      </w:r>
      <w:r>
        <w:rPr>
          <w:b/>
          <w:bCs/>
          <w:sz w:val="18"/>
          <w:szCs w:val="18"/>
        </w:rPr>
        <w:t>7</w:t>
      </w:r>
    </w:p>
    <w:p w:rsidR="001466BB" w:rsidRPr="00240B6D" w:rsidRDefault="001466BB" w:rsidP="00DD0AC7">
      <w:pPr>
        <w:keepNext/>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10041E" w:rsidRDefault="001466BB" w:rsidP="00DD0AC7">
      <w:pPr>
        <w:jc w:val="both"/>
        <w:rPr>
          <w:rFonts w:cs="Arial"/>
          <w:i/>
          <w:szCs w:val="20"/>
        </w:rPr>
      </w:pPr>
      <w:r>
        <w:rPr>
          <w:rFonts w:cs="Arial"/>
          <w:i/>
          <w:szCs w:val="20"/>
        </w:rPr>
        <w:t xml:space="preserve"> </w:t>
      </w:r>
      <w:r w:rsidR="00222564" w:rsidRPr="00222564">
        <w:rPr>
          <w:noProof/>
          <w:lang w:val="en-US" w:eastAsia="en-US"/>
        </w:rPr>
        <w:t xml:space="preserve"> </w:t>
      </w:r>
      <w:r w:rsidR="00DE7B9D">
        <w:rPr>
          <w:noProof/>
        </w:rPr>
        <w:drawing>
          <wp:inline distT="0" distB="0" distL="0" distR="0" wp14:anchorId="09F81D5A">
            <wp:extent cx="3493135" cy="251777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3135" cy="2517775"/>
                    </a:xfrm>
                    <a:prstGeom prst="rect">
                      <a:avLst/>
                    </a:prstGeom>
                    <a:noFill/>
                  </pic:spPr>
                </pic:pic>
              </a:graphicData>
            </a:graphic>
          </wp:inline>
        </w:drawing>
      </w:r>
      <w:r w:rsidR="00DE7B9D">
        <w:rPr>
          <w:noProof/>
        </w:rPr>
        <w:drawing>
          <wp:inline distT="0" distB="0" distL="0" distR="0" wp14:anchorId="1F47B257">
            <wp:extent cx="2517775" cy="251777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pic:spPr>
                </pic:pic>
              </a:graphicData>
            </a:graphic>
          </wp:inline>
        </w:drawing>
      </w:r>
    </w:p>
    <w:p w:rsidR="0010041E" w:rsidRPr="00240B6D" w:rsidRDefault="0010041E" w:rsidP="007F3932">
      <w:pPr>
        <w:spacing w:before="120" w:line="240" w:lineRule="auto"/>
        <w:ind w:left="4956" w:firstLine="708"/>
        <w:rPr>
          <w:b/>
          <w:bCs/>
          <w:i/>
          <w:sz w:val="16"/>
          <w:szCs w:val="16"/>
        </w:rPr>
      </w:pPr>
      <w:r w:rsidRPr="00240B6D">
        <w:rPr>
          <w:b/>
          <w:bCs/>
          <w:i/>
          <w:sz w:val="16"/>
          <w:szCs w:val="16"/>
        </w:rPr>
        <w:t>Zdroj: ČSÚ 201</w:t>
      </w:r>
      <w:r>
        <w:rPr>
          <w:b/>
          <w:bCs/>
          <w:i/>
          <w:sz w:val="16"/>
          <w:szCs w:val="16"/>
        </w:rPr>
        <w:t>9</w:t>
      </w:r>
      <w:r w:rsidRPr="00240B6D">
        <w:rPr>
          <w:b/>
          <w:bCs/>
          <w:i/>
          <w:sz w:val="16"/>
          <w:szCs w:val="16"/>
        </w:rPr>
        <w:t xml:space="preserve">, </w:t>
      </w:r>
      <w:r>
        <w:rPr>
          <w:b/>
          <w:bCs/>
          <w:i/>
          <w:sz w:val="16"/>
          <w:szCs w:val="16"/>
        </w:rPr>
        <w:t>Zdravotnické účty ČR 2010 - 2017</w:t>
      </w:r>
      <w:r w:rsidRPr="00240B6D">
        <w:rPr>
          <w:b/>
          <w:bCs/>
          <w:i/>
          <w:sz w:val="16"/>
          <w:szCs w:val="16"/>
        </w:rPr>
        <w:t xml:space="preserve"> </w:t>
      </w:r>
    </w:p>
    <w:p w:rsidR="00222564" w:rsidRDefault="00222564" w:rsidP="00222564">
      <w:pPr>
        <w:spacing w:before="120"/>
        <w:jc w:val="both"/>
        <w:rPr>
          <w:rFonts w:cs="Arial"/>
          <w:i/>
          <w:szCs w:val="20"/>
        </w:rPr>
      </w:pPr>
      <w:r w:rsidRPr="007C740E">
        <w:rPr>
          <w:i/>
          <w:szCs w:val="17"/>
        </w:rPr>
        <w:t>Pravidla pro úhradu lázeňské péče ze zdravotního pojištění se změnila v říjnu 2012 a tato změna se projevila naplno v roce 2013, kdy poklesl počet přijatých pacientů pro komplexní lázeňskou péči na náklad zdravotního pojištění z 80,4 tisíc v roce 2012 na 59,6 tisíc v roce 2013 – pro zajímavost v roce 2010 byl</w:t>
      </w:r>
      <w:r>
        <w:rPr>
          <w:i/>
          <w:szCs w:val="17"/>
        </w:rPr>
        <w:t>o</w:t>
      </w:r>
      <w:r w:rsidRPr="007C740E">
        <w:rPr>
          <w:i/>
          <w:szCs w:val="17"/>
        </w:rPr>
        <w:t xml:space="preserve"> </w:t>
      </w:r>
      <w:r w:rsidRPr="007C740E">
        <w:rPr>
          <w:i/>
          <w:szCs w:val="17"/>
        </w:rPr>
        <w:lastRenderedPageBreak/>
        <w:t xml:space="preserve">takových pacientů 107 tisíc.  Vyhláška zkrátila u dospělých pacientů zdravotními </w:t>
      </w:r>
      <w:r w:rsidRPr="007C740E">
        <w:rPr>
          <w:rFonts w:cs="Arial"/>
          <w:i/>
          <w:szCs w:val="20"/>
        </w:rPr>
        <w:t>pojišťovnami plně hrazené pobyty ze čtyř týdnů na tři, upravila indikační seznam a u některých diagnóz odstranila možnost opakování hrazeného pobytu. K opětovnému zvýšení výdajů došlo až v roce 2014, kdy od dubna začali lékaři předepisovat poukazy podle nových pravidel a mírný nárůst pokračoval i</w:t>
      </w:r>
      <w:r>
        <w:rPr>
          <w:rFonts w:cs="Arial"/>
          <w:i/>
          <w:szCs w:val="20"/>
        </w:rPr>
        <w:t> </w:t>
      </w:r>
      <w:r w:rsidRPr="007C740E">
        <w:rPr>
          <w:rFonts w:cs="Arial"/>
          <w:i/>
          <w:szCs w:val="20"/>
        </w:rPr>
        <w:t xml:space="preserve">v následujících dvou letech. </w:t>
      </w:r>
    </w:p>
    <w:p w:rsidR="00222564" w:rsidRDefault="00222564" w:rsidP="00222564">
      <w:pPr>
        <w:spacing w:before="120"/>
        <w:jc w:val="both"/>
        <w:rPr>
          <w:rFonts w:cs="Arial"/>
          <w:szCs w:val="20"/>
        </w:rPr>
      </w:pPr>
      <w:r w:rsidRPr="00CC14C1">
        <w:rPr>
          <w:rFonts w:cs="Arial"/>
          <w:szCs w:val="20"/>
        </w:rPr>
        <w:t>Podle údajů zdravotních pojišťoven vzrostly v roce 201</w:t>
      </w:r>
      <w:r>
        <w:rPr>
          <w:rFonts w:cs="Arial"/>
          <w:szCs w:val="20"/>
        </w:rPr>
        <w:t>7</w:t>
      </w:r>
      <w:r w:rsidRPr="00CC14C1">
        <w:rPr>
          <w:rFonts w:cs="Arial"/>
          <w:szCs w:val="20"/>
        </w:rPr>
        <w:t xml:space="preserve"> meziročně o </w:t>
      </w:r>
      <w:r>
        <w:rPr>
          <w:rFonts w:cs="Arial"/>
          <w:szCs w:val="20"/>
        </w:rPr>
        <w:t>6 %</w:t>
      </w:r>
      <w:r w:rsidRPr="00CC14C1">
        <w:rPr>
          <w:rFonts w:cs="Arial"/>
          <w:szCs w:val="20"/>
        </w:rPr>
        <w:t xml:space="preserve"> výdaje na </w:t>
      </w:r>
      <w:r w:rsidRPr="00CC14C1">
        <w:rPr>
          <w:rFonts w:cs="Arial"/>
          <w:b/>
          <w:szCs w:val="20"/>
        </w:rPr>
        <w:t>komplexní lázeňskou léčbu pacientů</w:t>
      </w:r>
      <w:r w:rsidRPr="00CC14C1">
        <w:rPr>
          <w:rFonts w:cs="Arial"/>
          <w:szCs w:val="20"/>
        </w:rPr>
        <w:t xml:space="preserve"> (z </w:t>
      </w:r>
      <w:r>
        <w:rPr>
          <w:rFonts w:cs="Arial"/>
          <w:szCs w:val="20"/>
        </w:rPr>
        <w:t>3,1</w:t>
      </w:r>
      <w:r w:rsidRPr="00CC14C1">
        <w:rPr>
          <w:rFonts w:cs="Arial"/>
          <w:szCs w:val="20"/>
        </w:rPr>
        <w:t xml:space="preserve"> mld. Kč v roce 201</w:t>
      </w:r>
      <w:r>
        <w:rPr>
          <w:rFonts w:cs="Arial"/>
          <w:szCs w:val="20"/>
        </w:rPr>
        <w:t>6</w:t>
      </w:r>
      <w:r w:rsidRPr="00CC14C1">
        <w:rPr>
          <w:rFonts w:cs="Arial"/>
          <w:szCs w:val="20"/>
        </w:rPr>
        <w:t xml:space="preserve"> na 3,</w:t>
      </w:r>
      <w:r>
        <w:rPr>
          <w:rFonts w:cs="Arial"/>
          <w:szCs w:val="20"/>
        </w:rPr>
        <w:t>3</w:t>
      </w:r>
      <w:r w:rsidRPr="00CC14C1">
        <w:rPr>
          <w:rFonts w:cs="Arial"/>
          <w:szCs w:val="20"/>
        </w:rPr>
        <w:t xml:space="preserve"> mld. Kč v roce 201</w:t>
      </w:r>
      <w:r>
        <w:rPr>
          <w:rFonts w:cs="Arial"/>
          <w:szCs w:val="20"/>
        </w:rPr>
        <w:t>7</w:t>
      </w:r>
      <w:r w:rsidRPr="00CC14C1">
        <w:rPr>
          <w:rFonts w:cs="Arial"/>
          <w:szCs w:val="20"/>
        </w:rPr>
        <w:t>)</w:t>
      </w:r>
      <w:r>
        <w:rPr>
          <w:rFonts w:cs="Arial"/>
          <w:szCs w:val="20"/>
        </w:rPr>
        <w:t>, která je</w:t>
      </w:r>
      <w:r w:rsidRPr="00CC14C1">
        <w:rPr>
          <w:rFonts w:cs="Arial"/>
          <w:szCs w:val="20"/>
        </w:rPr>
        <w:t xml:space="preserve"> plně hrazen</w:t>
      </w:r>
      <w:r>
        <w:rPr>
          <w:rFonts w:cs="Arial"/>
          <w:szCs w:val="20"/>
        </w:rPr>
        <w:t>a</w:t>
      </w:r>
      <w:r w:rsidRPr="00CC14C1">
        <w:rPr>
          <w:rFonts w:cs="Arial"/>
          <w:szCs w:val="20"/>
        </w:rPr>
        <w:t xml:space="preserve"> ze zdravotního pojištění. </w:t>
      </w:r>
    </w:p>
    <w:p w:rsidR="006067DA" w:rsidRPr="002075A8" w:rsidRDefault="006067DA" w:rsidP="006067DA">
      <w:pPr>
        <w:spacing w:before="120"/>
        <w:jc w:val="both"/>
        <w:rPr>
          <w:i/>
          <w:szCs w:val="17"/>
        </w:rPr>
      </w:pPr>
      <w:r w:rsidRPr="002075A8">
        <w:rPr>
          <w:i/>
          <w:szCs w:val="17"/>
        </w:rPr>
        <w:t xml:space="preserve">Lázeňský fond v roce 2017 zahrnoval 92 lázeňských léčeben s  kapacitou 21 925 lůžek. Na náklady zdravotních pojišťoven se léčilo v lázeňských zařízeních 96 175 dospělých tuzemských pacientů (88 331 komplexní lázeňská péče a 7844 příspěvková lázeňská péče).  Zdravotní pojišťovny platily v roce 2017 plně hrazenou péči 10 768 dětem a mladistvým. U dospělých se na celkových nákladech na lázeňskou péči nejvíce podílejí nemoci pohybového ústrojí (více než 55 %), nemoci nervové (cca 17 %) a nemoci oběhového ústrojí (8 %). U dětí a dorostu se jedná o nemoci dýchacího ústrojí (cca 45 %), onemocnění nervové soustavy (20 %) a poruchy látkové výměny a žláz s vnitřní sekrecí, nejčastěji diabetes mellitus a obezitu (cca 12 %). Lázeňská péče se ovšem nehradí jen ze zdravotního pojištění, ale velkou měrou si na ni přispívají i pacienti sami. V roce 2017 šlo z jejich kapes na </w:t>
      </w:r>
      <w:r w:rsidR="00F127ED" w:rsidRPr="002075A8">
        <w:rPr>
          <w:i/>
          <w:szCs w:val="17"/>
        </w:rPr>
        <w:t xml:space="preserve">veškerou </w:t>
      </w:r>
      <w:r w:rsidRPr="002075A8">
        <w:rPr>
          <w:i/>
          <w:szCs w:val="17"/>
        </w:rPr>
        <w:t>lůžkovou rehabilitační péči celkem 2,9 mld. Kč, tj. 37 % z celkových výdajů na tuto péči.</w:t>
      </w:r>
    </w:p>
    <w:p w:rsidR="006067DA" w:rsidRPr="00943AFA" w:rsidRDefault="006067DA" w:rsidP="002075A8">
      <w:pPr>
        <w:spacing w:before="120"/>
        <w:jc w:val="both"/>
        <w:rPr>
          <w:rFonts w:eastAsia="Calibri"/>
          <w:lang w:eastAsia="en-US"/>
        </w:rPr>
      </w:pPr>
      <w:r w:rsidRPr="00F1671D">
        <w:rPr>
          <w:rFonts w:cs="Arial"/>
          <w:szCs w:val="20"/>
        </w:rPr>
        <w:t xml:space="preserve">Druhá polovina výdajů na rehabilitační péči připadá na její </w:t>
      </w:r>
      <w:r w:rsidRPr="009E3D07">
        <w:rPr>
          <w:rFonts w:cs="Arial"/>
          <w:b/>
          <w:szCs w:val="20"/>
        </w:rPr>
        <w:t>ambulantní formu</w:t>
      </w:r>
      <w:r w:rsidRPr="00F1671D">
        <w:rPr>
          <w:rFonts w:cs="Arial"/>
          <w:szCs w:val="20"/>
        </w:rPr>
        <w:t xml:space="preserve">, kdy pacienti docházejí na procedury do </w:t>
      </w:r>
      <w:r w:rsidRPr="00300021">
        <w:rPr>
          <w:rFonts w:cs="Arial"/>
          <w:b/>
          <w:szCs w:val="20"/>
        </w:rPr>
        <w:t>rehabilitačních zařízení</w:t>
      </w:r>
      <w:r w:rsidRPr="00F1671D">
        <w:rPr>
          <w:rFonts w:cs="Arial"/>
          <w:szCs w:val="20"/>
        </w:rPr>
        <w:t xml:space="preserve"> popř. do lázní bez možnosti ubytování</w:t>
      </w:r>
      <w:r>
        <w:rPr>
          <w:rFonts w:cs="Arial"/>
          <w:szCs w:val="20"/>
        </w:rPr>
        <w:t>. Meziročně zde bylo</w:t>
      </w:r>
      <w:r w:rsidRPr="00F1671D">
        <w:rPr>
          <w:rFonts w:cs="Arial"/>
          <w:szCs w:val="20"/>
        </w:rPr>
        <w:t xml:space="preserve"> zaznamenán</w:t>
      </w:r>
      <w:r>
        <w:rPr>
          <w:rFonts w:cs="Arial"/>
          <w:szCs w:val="20"/>
        </w:rPr>
        <w:t>o</w:t>
      </w:r>
      <w:r w:rsidRPr="00F1671D">
        <w:rPr>
          <w:rFonts w:cs="Arial"/>
          <w:szCs w:val="20"/>
        </w:rPr>
        <w:t xml:space="preserve"> </w:t>
      </w:r>
      <w:r>
        <w:rPr>
          <w:rFonts w:cs="Arial"/>
          <w:szCs w:val="20"/>
        </w:rPr>
        <w:t>21%</w:t>
      </w:r>
      <w:r w:rsidRPr="00F1671D">
        <w:rPr>
          <w:rFonts w:cs="Arial"/>
          <w:szCs w:val="20"/>
        </w:rPr>
        <w:t xml:space="preserve"> </w:t>
      </w:r>
      <w:r>
        <w:rPr>
          <w:rFonts w:cs="Arial"/>
          <w:szCs w:val="20"/>
        </w:rPr>
        <w:t>zvýšení</w:t>
      </w:r>
      <w:r w:rsidRPr="00F1671D">
        <w:rPr>
          <w:rFonts w:cs="Arial"/>
          <w:szCs w:val="20"/>
        </w:rPr>
        <w:t xml:space="preserve"> v jejím financování</w:t>
      </w:r>
      <w:r>
        <w:rPr>
          <w:rFonts w:cs="Arial"/>
          <w:szCs w:val="20"/>
        </w:rPr>
        <w:t xml:space="preserve"> na 9,1 mld. Kč v roce 2017 oproti 7,5 mld. Kč v roce 2016</w:t>
      </w:r>
      <w:r w:rsidRPr="00F1671D">
        <w:rPr>
          <w:rFonts w:cs="Arial"/>
          <w:szCs w:val="20"/>
        </w:rPr>
        <w:t xml:space="preserve">. </w:t>
      </w:r>
      <w:r>
        <w:rPr>
          <w:rFonts w:eastAsia="Calibri"/>
          <w:lang w:eastAsia="en-US"/>
        </w:rPr>
        <w:t xml:space="preserve">Rostoucí </w:t>
      </w:r>
      <w:r w:rsidRPr="00943AFA">
        <w:rPr>
          <w:rFonts w:eastAsia="Calibri"/>
          <w:lang w:eastAsia="en-US"/>
        </w:rPr>
        <w:t xml:space="preserve">výdaje </w:t>
      </w:r>
      <w:r>
        <w:rPr>
          <w:rFonts w:eastAsia="Calibri"/>
          <w:lang w:eastAsia="en-US"/>
        </w:rPr>
        <w:t>naznačují</w:t>
      </w:r>
      <w:r w:rsidRPr="00943AFA">
        <w:rPr>
          <w:rFonts w:eastAsia="Calibri"/>
          <w:lang w:eastAsia="en-US"/>
        </w:rPr>
        <w:t xml:space="preserve">, že pacienti, kteří </w:t>
      </w:r>
      <w:r>
        <w:rPr>
          <w:rFonts w:eastAsia="Calibri"/>
          <w:lang w:eastAsia="en-US"/>
        </w:rPr>
        <w:t>nepotřebují</w:t>
      </w:r>
      <w:r w:rsidRPr="00943AFA">
        <w:rPr>
          <w:rFonts w:eastAsia="Calibri"/>
          <w:lang w:eastAsia="en-US"/>
        </w:rPr>
        <w:t xml:space="preserve"> dal</w:t>
      </w:r>
      <w:r>
        <w:rPr>
          <w:rFonts w:eastAsia="Calibri"/>
          <w:lang w:eastAsia="en-US"/>
        </w:rPr>
        <w:t xml:space="preserve">ší ošetřovatelskou péči, častěji preferují </w:t>
      </w:r>
      <w:r w:rsidRPr="00943AFA">
        <w:rPr>
          <w:rFonts w:eastAsia="Calibri"/>
          <w:lang w:eastAsia="en-US"/>
        </w:rPr>
        <w:t>ambulantní rehabilitaci před lůžkovým zařízením nebo lázeňským pobytem.</w:t>
      </w:r>
      <w:r>
        <w:rPr>
          <w:rFonts w:eastAsia="Calibri"/>
          <w:lang w:eastAsia="en-US"/>
        </w:rPr>
        <w:t xml:space="preserve"> Uvedený</w:t>
      </w:r>
      <w:r w:rsidRPr="00F1671D">
        <w:rPr>
          <w:rFonts w:cs="Arial"/>
          <w:szCs w:val="20"/>
        </w:rPr>
        <w:t xml:space="preserve"> </w:t>
      </w:r>
      <w:r>
        <w:rPr>
          <w:rFonts w:cs="Arial"/>
          <w:szCs w:val="20"/>
        </w:rPr>
        <w:t>nárůst</w:t>
      </w:r>
      <w:r w:rsidRPr="00F1671D">
        <w:rPr>
          <w:rFonts w:cs="Arial"/>
          <w:szCs w:val="20"/>
        </w:rPr>
        <w:t xml:space="preserve"> se však netýkal části, která je financovaná domácnostmi, které za tuto péči utratily </w:t>
      </w:r>
      <w:r>
        <w:rPr>
          <w:rFonts w:cs="Arial"/>
          <w:szCs w:val="20"/>
        </w:rPr>
        <w:t xml:space="preserve">o 2 % méně než v roce 2016. </w:t>
      </w:r>
    </w:p>
    <w:p w:rsidR="006067DA" w:rsidRPr="00240B6D" w:rsidRDefault="006067DA" w:rsidP="006067DA">
      <w:pPr>
        <w:spacing w:before="120"/>
        <w:jc w:val="both"/>
        <w:rPr>
          <w:rFonts w:cs="Arial"/>
          <w:b/>
          <w:i/>
          <w:szCs w:val="20"/>
        </w:rPr>
      </w:pPr>
      <w:r w:rsidRPr="002B4648">
        <w:rPr>
          <w:rFonts w:cs="Arial"/>
          <w:b/>
          <w:i/>
          <w:szCs w:val="20"/>
        </w:rPr>
        <w:t>Zdravotní pojišťovny zaplatily v roce 201</w:t>
      </w:r>
      <w:r>
        <w:rPr>
          <w:rFonts w:cs="Arial"/>
          <w:b/>
          <w:i/>
          <w:szCs w:val="20"/>
        </w:rPr>
        <w:t>7</w:t>
      </w:r>
      <w:r w:rsidRPr="002B4648">
        <w:rPr>
          <w:rFonts w:cs="Arial"/>
          <w:b/>
          <w:i/>
          <w:szCs w:val="20"/>
        </w:rPr>
        <w:t xml:space="preserve"> za screeningová vyšetření a diagnostické testy 1,5 mld. Kč</w:t>
      </w:r>
    </w:p>
    <w:p w:rsidR="006067DA" w:rsidRPr="00B85CB1" w:rsidRDefault="006067DA" w:rsidP="006067DA">
      <w:pPr>
        <w:spacing w:before="120"/>
        <w:jc w:val="both"/>
        <w:rPr>
          <w:rFonts w:cs="Arial"/>
          <w:i/>
          <w:szCs w:val="20"/>
        </w:rPr>
      </w:pPr>
      <w:r w:rsidRPr="00B85CB1">
        <w:rPr>
          <w:rFonts w:cs="Arial"/>
          <w:i/>
          <w:szCs w:val="20"/>
        </w:rPr>
        <w:t>Cílem</w:t>
      </w:r>
      <w:r w:rsidRPr="00B85CB1">
        <w:rPr>
          <w:rFonts w:cs="Arial"/>
          <w:b/>
          <w:i/>
          <w:szCs w:val="20"/>
        </w:rPr>
        <w:t xml:space="preserve"> preventivní péče </w:t>
      </w:r>
      <w:r w:rsidRPr="00B85CB1">
        <w:rPr>
          <w:rFonts w:cs="Arial"/>
          <w:i/>
          <w:szCs w:val="20"/>
        </w:rPr>
        <w:t xml:space="preserve">je celkově dobrý zdravotní stav obyvatel a nebývá proto zaměřena na konkrétní onemocnění. Preventivní programy jsou více </w:t>
      </w:r>
      <w:r>
        <w:rPr>
          <w:rFonts w:cs="Arial"/>
          <w:i/>
          <w:szCs w:val="20"/>
        </w:rPr>
        <w:t>cíleny</w:t>
      </w:r>
      <w:r w:rsidRPr="00B85CB1">
        <w:rPr>
          <w:rFonts w:cs="Arial"/>
          <w:i/>
          <w:szCs w:val="20"/>
        </w:rPr>
        <w:t xml:space="preserve"> na ty skupiny obyvatel, které jsou považovány za ohrožené (děti, senioři, těhotné ženy) případně na určité zdravotní oblasti (např. zubní a všeobecné preventivní prohlídky). V rámci těchto programů je zvyšována informovanost a vzdělanost obyvatel v oblasti zdravotní péče. Lidé jsou seznamováni s metodami a postupy, které jim umožňují převzít aktivní roli v ochraně jejich vlastního zdraví.</w:t>
      </w:r>
      <w:r w:rsidRPr="00B85CB1">
        <w:rPr>
          <w:i/>
        </w:rPr>
        <w:t xml:space="preserve"> </w:t>
      </w:r>
    </w:p>
    <w:p w:rsidR="006067DA" w:rsidRDefault="006067DA" w:rsidP="006067DA">
      <w:pPr>
        <w:spacing w:before="120"/>
        <w:jc w:val="both"/>
        <w:rPr>
          <w:rFonts w:cs="Arial"/>
          <w:szCs w:val="20"/>
        </w:rPr>
      </w:pPr>
      <w:r w:rsidRPr="00240B6D">
        <w:rPr>
          <w:rFonts w:cs="Arial"/>
          <w:szCs w:val="20"/>
        </w:rPr>
        <w:t xml:space="preserve">Významné místo v preventivní péči mají </w:t>
      </w:r>
      <w:r w:rsidRPr="0016731E">
        <w:rPr>
          <w:rFonts w:cs="Arial"/>
          <w:b/>
          <w:szCs w:val="20"/>
        </w:rPr>
        <w:t>imunizační programy</w:t>
      </w:r>
      <w:r w:rsidRPr="00240B6D">
        <w:rPr>
          <w:rFonts w:cs="Arial"/>
          <w:szCs w:val="20"/>
        </w:rPr>
        <w:t>. Výčet povinných očkování a nepovinných očkování hrazených z veřejného pojištění se mění a s ním i výdaje na preventivní péči. Stejně tak nabídka dalších očkování, mimo jiné i pro cestování do tropických oblastí a další</w:t>
      </w:r>
      <w:r>
        <w:rPr>
          <w:rFonts w:cs="Arial"/>
          <w:szCs w:val="20"/>
        </w:rPr>
        <w:t>ch</w:t>
      </w:r>
      <w:r w:rsidRPr="00240B6D">
        <w:rPr>
          <w:rFonts w:cs="Arial"/>
          <w:szCs w:val="20"/>
        </w:rPr>
        <w:t xml:space="preserve">, se během doby vyvíjí. </w:t>
      </w:r>
      <w:r>
        <w:rPr>
          <w:rFonts w:cs="Arial"/>
          <w:szCs w:val="20"/>
        </w:rPr>
        <w:t>V roce 2017 bylo v Česku na tyto imunizační programy vynaloženo celkem 1,2 mld. Kč, tj. nejméně od roku 2010. Většina těchto výdajů (95 % v roce 2017) je hrazena přímo ze státního rozpočtu.</w:t>
      </w:r>
    </w:p>
    <w:p w:rsidR="006067DA" w:rsidRPr="00240B6D" w:rsidRDefault="006067DA" w:rsidP="006067DA">
      <w:pPr>
        <w:spacing w:before="120"/>
        <w:jc w:val="both"/>
        <w:rPr>
          <w:rFonts w:cs="Arial"/>
          <w:szCs w:val="20"/>
        </w:rPr>
      </w:pPr>
      <w:r w:rsidRPr="00240B6D">
        <w:rPr>
          <w:rFonts w:cs="Arial"/>
          <w:szCs w:val="20"/>
        </w:rPr>
        <w:t xml:space="preserve">Výdajově nejvýznamnější položkou preventivní péče jsou </w:t>
      </w:r>
      <w:r w:rsidRPr="00B85CB1">
        <w:rPr>
          <w:rFonts w:cs="Arial"/>
          <w:b/>
          <w:szCs w:val="20"/>
        </w:rPr>
        <w:t>programy pro sledování zdravotního stavu obyvatelstva</w:t>
      </w:r>
      <w:r w:rsidRPr="00240B6D">
        <w:rPr>
          <w:rFonts w:cs="Arial"/>
          <w:szCs w:val="20"/>
        </w:rPr>
        <w:t xml:space="preserve"> zahrnující </w:t>
      </w:r>
      <w:r w:rsidRPr="00B85CB1">
        <w:rPr>
          <w:rFonts w:cs="Arial"/>
          <w:szCs w:val="20"/>
        </w:rPr>
        <w:t>aktivní monitoring</w:t>
      </w:r>
      <w:r w:rsidRPr="00240B6D">
        <w:rPr>
          <w:rFonts w:cs="Arial"/>
          <w:szCs w:val="20"/>
        </w:rPr>
        <w:t xml:space="preserve"> celkového zdravotního stavu i jeho dílčích aspektů. Preventivní programy z této skupiny se zaměřují </w:t>
      </w:r>
      <w:r w:rsidRPr="00240B6D">
        <w:rPr>
          <w:rFonts w:eastAsia="Calibri" w:cs="Arial"/>
          <w:szCs w:val="20"/>
        </w:rPr>
        <w:t xml:space="preserve">na určitá období života jako je těhotenství (předporodní a poporodní péči), růst a vývoj dítěte, skupiny stárnoucích lidí nebo na zubní a všeobecné preventivní prohlídky, na které bylo </w:t>
      </w:r>
      <w:r>
        <w:rPr>
          <w:rFonts w:eastAsia="Calibri" w:cs="Arial"/>
          <w:szCs w:val="20"/>
        </w:rPr>
        <w:t xml:space="preserve">v roce 2017 </w:t>
      </w:r>
      <w:r w:rsidRPr="00240B6D">
        <w:rPr>
          <w:rFonts w:cs="Arial"/>
          <w:szCs w:val="20"/>
        </w:rPr>
        <w:t>vydáno</w:t>
      </w:r>
      <w:r w:rsidRPr="00240B6D">
        <w:rPr>
          <w:rFonts w:eastAsia="Calibri" w:cs="Arial"/>
          <w:szCs w:val="20"/>
        </w:rPr>
        <w:t xml:space="preserve"> </w:t>
      </w:r>
      <w:r>
        <w:rPr>
          <w:rFonts w:eastAsia="Calibri" w:cs="Arial"/>
          <w:szCs w:val="20"/>
        </w:rPr>
        <w:t xml:space="preserve">celkem </w:t>
      </w:r>
      <w:r w:rsidRPr="00240B6D">
        <w:rPr>
          <w:rFonts w:eastAsia="Calibri" w:cs="Arial"/>
          <w:szCs w:val="20"/>
        </w:rPr>
        <w:t>6,</w:t>
      </w:r>
      <w:r>
        <w:rPr>
          <w:rFonts w:eastAsia="Calibri" w:cs="Arial"/>
          <w:szCs w:val="20"/>
        </w:rPr>
        <w:t>9</w:t>
      </w:r>
      <w:r w:rsidRPr="00240B6D">
        <w:rPr>
          <w:rFonts w:eastAsia="Calibri" w:cs="Arial"/>
          <w:szCs w:val="20"/>
        </w:rPr>
        <w:t xml:space="preserve"> mld. Kč. </w:t>
      </w:r>
      <w:r>
        <w:rPr>
          <w:rFonts w:eastAsia="Calibri" w:cs="Arial"/>
          <w:szCs w:val="20"/>
        </w:rPr>
        <w:t>Uvedená částka je vyšší (o 766 mil. Kč; 12,5 %) než v roce 2016. Tato část preventivní péče je ze 74 % (údaj za rok 2017) hrazena z veřejného zdravotního pojištění a zbytek připadá na podnikové zdroje v rámci závodní preventivní péče o své zaměstnance.</w:t>
      </w:r>
    </w:p>
    <w:p w:rsidR="006067DA" w:rsidRPr="00240B6D" w:rsidRDefault="006067DA" w:rsidP="006067DA">
      <w:pPr>
        <w:spacing w:before="120"/>
        <w:jc w:val="both"/>
        <w:rPr>
          <w:rFonts w:cs="Arial"/>
          <w:szCs w:val="20"/>
        </w:rPr>
      </w:pPr>
      <w:r w:rsidRPr="00F1671D">
        <w:rPr>
          <w:rFonts w:cs="Arial"/>
          <w:szCs w:val="20"/>
        </w:rPr>
        <w:t xml:space="preserve">Další skupinou výdajů preventivní péče jsou </w:t>
      </w:r>
      <w:r w:rsidRPr="00F1671D">
        <w:rPr>
          <w:rFonts w:cs="Arial"/>
          <w:b/>
          <w:szCs w:val="20"/>
        </w:rPr>
        <w:t>programy pro včasné odhalení nemocí</w:t>
      </w:r>
      <w:r w:rsidRPr="00F1671D">
        <w:rPr>
          <w:rFonts w:cs="Arial"/>
          <w:szCs w:val="20"/>
        </w:rPr>
        <w:t xml:space="preserve"> zahrnující různé typy screeningů, diagnostické testy a lékařské prohlídky. </w:t>
      </w:r>
      <w:r w:rsidRPr="00F1671D">
        <w:rPr>
          <w:szCs w:val="20"/>
        </w:rPr>
        <w:t xml:space="preserve">Zdravotní pojišťovny hradí některá preventivní vyšetření např. </w:t>
      </w:r>
      <w:r>
        <w:rPr>
          <w:szCs w:val="20"/>
        </w:rPr>
        <w:t>screening zhoubných</w:t>
      </w:r>
      <w:r w:rsidRPr="00F1671D">
        <w:rPr>
          <w:szCs w:val="20"/>
        </w:rPr>
        <w:t xml:space="preserve"> nádorů, </w:t>
      </w:r>
      <w:r w:rsidRPr="00F1671D">
        <w:rPr>
          <w:rFonts w:cs="Arial"/>
          <w:szCs w:val="20"/>
        </w:rPr>
        <w:t>screening sluchu u novorozenců nebo preventivní prohlídky ze základního fondu veřejného zdravotního pojištění.</w:t>
      </w:r>
      <w:r>
        <w:rPr>
          <w:rFonts w:cs="Arial"/>
          <w:szCs w:val="20"/>
        </w:rPr>
        <w:t xml:space="preserve"> V roce 2017 bylo na tato preventivní vyšetření z veřejného zdravotního pojištění vynaloženo 1,5 mld. Kč. Ze státního rozpočt</w:t>
      </w:r>
      <w:r w:rsidR="00DD0AC7">
        <w:rPr>
          <w:rFonts w:cs="Arial"/>
          <w:szCs w:val="20"/>
        </w:rPr>
        <w:t>u</w:t>
      </w:r>
      <w:r>
        <w:rPr>
          <w:rFonts w:cs="Arial"/>
          <w:szCs w:val="20"/>
        </w:rPr>
        <w:t xml:space="preserve"> šlo na tuto péči dalších 279 mil. Kč.</w:t>
      </w:r>
    </w:p>
    <w:p w:rsidR="006067DA" w:rsidRPr="00240B6D" w:rsidRDefault="006067DA" w:rsidP="006067DA">
      <w:pPr>
        <w:spacing w:before="240"/>
        <w:jc w:val="both"/>
        <w:rPr>
          <w:b/>
          <w:i/>
          <w:szCs w:val="20"/>
        </w:rPr>
      </w:pPr>
      <w:r w:rsidRPr="00240B6D">
        <w:rPr>
          <w:b/>
          <w:i/>
          <w:szCs w:val="20"/>
        </w:rPr>
        <w:lastRenderedPageBreak/>
        <w:t xml:space="preserve">Meziroční výdaje na dlouhodobou lůžkovou péči se zvýšily o </w:t>
      </w:r>
      <w:r>
        <w:rPr>
          <w:b/>
          <w:i/>
          <w:szCs w:val="20"/>
        </w:rPr>
        <w:t>11</w:t>
      </w:r>
      <w:r w:rsidRPr="00240B6D">
        <w:rPr>
          <w:b/>
          <w:i/>
          <w:szCs w:val="20"/>
        </w:rPr>
        <w:t xml:space="preserve"> % a dosáhly částky </w:t>
      </w:r>
      <w:r>
        <w:rPr>
          <w:b/>
          <w:i/>
          <w:szCs w:val="20"/>
        </w:rPr>
        <w:t>41,3</w:t>
      </w:r>
      <w:r w:rsidRPr="00240B6D">
        <w:rPr>
          <w:b/>
          <w:i/>
          <w:szCs w:val="20"/>
        </w:rPr>
        <w:t xml:space="preserve"> mld. Kč</w:t>
      </w:r>
    </w:p>
    <w:p w:rsidR="006067DA" w:rsidRDefault="006067DA" w:rsidP="006067DA">
      <w:pPr>
        <w:keepNext/>
        <w:spacing w:before="120"/>
        <w:jc w:val="both"/>
        <w:rPr>
          <w:szCs w:val="17"/>
        </w:rPr>
      </w:pPr>
      <w:r w:rsidRPr="00240B6D">
        <w:rPr>
          <w:szCs w:val="17"/>
        </w:rPr>
        <w:t xml:space="preserve">Potřeba </w:t>
      </w:r>
      <w:r w:rsidRPr="00240B6D">
        <w:rPr>
          <w:b/>
          <w:szCs w:val="17"/>
        </w:rPr>
        <w:t xml:space="preserve">dlouhodobé </w:t>
      </w:r>
      <w:r>
        <w:rPr>
          <w:b/>
          <w:szCs w:val="17"/>
        </w:rPr>
        <w:t xml:space="preserve">zdravotní </w:t>
      </w:r>
      <w:r w:rsidRPr="00240B6D">
        <w:rPr>
          <w:b/>
          <w:szCs w:val="17"/>
        </w:rPr>
        <w:t>péče</w:t>
      </w:r>
      <w:r w:rsidRPr="00240B6D">
        <w:rPr>
          <w:szCs w:val="17"/>
        </w:rPr>
        <w:t xml:space="preserve"> s ohledem na stárnutí populace </w:t>
      </w:r>
      <w:r>
        <w:rPr>
          <w:szCs w:val="17"/>
        </w:rPr>
        <w:t xml:space="preserve">každoročně </w:t>
      </w:r>
      <w:r w:rsidRPr="00240B6D">
        <w:rPr>
          <w:szCs w:val="17"/>
        </w:rPr>
        <w:t>narůst</w:t>
      </w:r>
      <w:r>
        <w:rPr>
          <w:szCs w:val="17"/>
        </w:rPr>
        <w:t>á</w:t>
      </w:r>
      <w:r w:rsidRPr="00240B6D">
        <w:rPr>
          <w:szCs w:val="17"/>
        </w:rPr>
        <w:t xml:space="preserve"> a s tím souvisí </w:t>
      </w:r>
      <w:r>
        <w:rPr>
          <w:szCs w:val="17"/>
        </w:rPr>
        <w:t>i </w:t>
      </w:r>
      <w:r w:rsidRPr="00240B6D">
        <w:rPr>
          <w:szCs w:val="17"/>
        </w:rPr>
        <w:t xml:space="preserve">pozvolné zvyšování výdajů </w:t>
      </w:r>
      <w:r>
        <w:rPr>
          <w:szCs w:val="17"/>
        </w:rPr>
        <w:t>na tuto péči</w:t>
      </w:r>
      <w:r w:rsidRPr="00240B6D">
        <w:rPr>
          <w:szCs w:val="17"/>
        </w:rPr>
        <w:t>. V období 2010 – 201</w:t>
      </w:r>
      <w:r>
        <w:rPr>
          <w:szCs w:val="17"/>
        </w:rPr>
        <w:t>7</w:t>
      </w:r>
      <w:r w:rsidRPr="00240B6D">
        <w:rPr>
          <w:szCs w:val="17"/>
        </w:rPr>
        <w:t xml:space="preserve"> se </w:t>
      </w:r>
      <w:r>
        <w:rPr>
          <w:szCs w:val="17"/>
        </w:rPr>
        <w:t xml:space="preserve">celkové výdaje na dlouhodobou zdravotní péči </w:t>
      </w:r>
      <w:r w:rsidRPr="00240B6D">
        <w:rPr>
          <w:szCs w:val="17"/>
        </w:rPr>
        <w:t xml:space="preserve">zvýšily o </w:t>
      </w:r>
      <w:r>
        <w:rPr>
          <w:szCs w:val="17"/>
        </w:rPr>
        <w:t>dvě pětiny – v absolutním vyjádření šlo o nárůst o téměř 15 mld. Kč z 35,8 mld. Kč v roce 2010 na 50,4 mld. Kč v roce 2017.</w:t>
      </w:r>
      <w:r w:rsidRPr="00240B6D">
        <w:rPr>
          <w:szCs w:val="17"/>
        </w:rPr>
        <w:t xml:space="preserve"> </w:t>
      </w:r>
      <w:r w:rsidRPr="00A074EF">
        <w:rPr>
          <w:szCs w:val="17"/>
        </w:rPr>
        <w:t>Výdaje na</w:t>
      </w:r>
      <w:r w:rsidRPr="00240B6D">
        <w:rPr>
          <w:b/>
          <w:szCs w:val="17"/>
        </w:rPr>
        <w:t xml:space="preserve"> dlouhodobou lůžkovou péči</w:t>
      </w:r>
      <w:r w:rsidRPr="00240B6D">
        <w:rPr>
          <w:szCs w:val="17"/>
        </w:rPr>
        <w:t xml:space="preserve"> představují 82 % z celkových výdajů na dlouhodobou </w:t>
      </w:r>
      <w:r>
        <w:rPr>
          <w:szCs w:val="17"/>
        </w:rPr>
        <w:t xml:space="preserve">zdravotní </w:t>
      </w:r>
      <w:r w:rsidRPr="00240B6D">
        <w:rPr>
          <w:szCs w:val="17"/>
        </w:rPr>
        <w:t>péči</w:t>
      </w:r>
      <w:r>
        <w:rPr>
          <w:szCs w:val="17"/>
        </w:rPr>
        <w:t xml:space="preserve">. Od roku 2010 došlo k nárůstu výdajů o více než jednu třetinu s průměrným tempem růstu 4,76 %. </w:t>
      </w:r>
    </w:p>
    <w:p w:rsidR="006067DA" w:rsidRDefault="006067DA" w:rsidP="006067DA">
      <w:pPr>
        <w:keepNext/>
        <w:spacing w:before="120"/>
        <w:jc w:val="both"/>
        <w:rPr>
          <w:i/>
          <w:szCs w:val="17"/>
        </w:rPr>
      </w:pPr>
      <w:r w:rsidRPr="00240B6D">
        <w:rPr>
          <w:b/>
          <w:szCs w:val="20"/>
        </w:rPr>
        <w:t>Dlouhodobá d</w:t>
      </w:r>
      <w:r w:rsidRPr="00240B6D">
        <w:rPr>
          <w:b/>
          <w:bCs/>
          <w:szCs w:val="20"/>
        </w:rPr>
        <w:t>omácí péče</w:t>
      </w:r>
      <w:r w:rsidRPr="00240B6D">
        <w:rPr>
          <w:szCs w:val="20"/>
        </w:rPr>
        <w:t xml:space="preserve"> je určena chronicky nemocným klientům, jejichž zdravotní i duševní stav si vyžaduje dlouhodobou a pravidelnou domácí péči kvalifikovaného personálu. V souvislosti se změnou metodiky SHA 2011 se podařilo rozšířit zdroje dat a tím se zaměřit také na výdaje za denní dlouhodobou péči, která byla sledována v minulosti pouze okrajově. </w:t>
      </w:r>
      <w:r>
        <w:rPr>
          <w:szCs w:val="17"/>
        </w:rPr>
        <w:t xml:space="preserve">Výdaje na domácí dlouhodobou péči překročily v roce 2017 poprvé hranici 7 mld. Kč a od roku 2010 došlo k navýšení o 60 % tj. 2,7 mld. Kč s průměrným ročním tempem růstu 6,93 %. </w:t>
      </w:r>
      <w:r w:rsidRPr="00240B6D">
        <w:rPr>
          <w:b/>
          <w:szCs w:val="20"/>
        </w:rPr>
        <w:t>Denní dlouhodobá</w:t>
      </w:r>
      <w:r w:rsidRPr="00240B6D">
        <w:rPr>
          <w:szCs w:val="20"/>
        </w:rPr>
        <w:t xml:space="preserve"> péče, která zahrnuje především denní stacionáře a centra odlehčovacích služeb, ovšem tvoří pouze velmi malou</w:t>
      </w:r>
      <w:r>
        <w:rPr>
          <w:szCs w:val="20"/>
        </w:rPr>
        <w:t xml:space="preserve"> část výdajů na zdravotní péči (zhruba 2 mld. Kč v roce 2017). </w:t>
      </w:r>
      <w:r w:rsidRPr="00A074EF">
        <w:rPr>
          <w:i/>
          <w:szCs w:val="17"/>
        </w:rPr>
        <w:t xml:space="preserve">Podrobněji se budeme věnovat </w:t>
      </w:r>
      <w:r w:rsidRPr="00A074EF">
        <w:rPr>
          <w:b/>
          <w:i/>
          <w:szCs w:val="17"/>
        </w:rPr>
        <w:t>dlouhodobé zdravotní a sociální péči</w:t>
      </w:r>
      <w:r w:rsidRPr="00A074EF">
        <w:rPr>
          <w:i/>
          <w:szCs w:val="17"/>
        </w:rPr>
        <w:t xml:space="preserve"> v samostatné kapitole č. 3.3.</w:t>
      </w:r>
    </w:p>
    <w:p w:rsidR="006067DA" w:rsidRPr="00240B6D" w:rsidRDefault="006067DA" w:rsidP="002339D2">
      <w:pPr>
        <w:spacing w:before="120"/>
        <w:jc w:val="both"/>
        <w:rPr>
          <w:b/>
          <w:i/>
          <w:szCs w:val="20"/>
        </w:rPr>
      </w:pPr>
      <w:r>
        <w:rPr>
          <w:b/>
          <w:i/>
          <w:szCs w:val="20"/>
        </w:rPr>
        <w:t>Domácnosti utratily v roce 2017 za</w:t>
      </w:r>
      <w:r w:rsidRPr="00240B6D">
        <w:rPr>
          <w:b/>
          <w:i/>
          <w:szCs w:val="20"/>
        </w:rPr>
        <w:t xml:space="preserve"> volně prodejné léky </w:t>
      </w:r>
      <w:r>
        <w:rPr>
          <w:b/>
          <w:i/>
          <w:szCs w:val="20"/>
        </w:rPr>
        <w:t>14,5</w:t>
      </w:r>
      <w:r w:rsidRPr="00240B6D">
        <w:rPr>
          <w:b/>
          <w:i/>
          <w:szCs w:val="20"/>
        </w:rPr>
        <w:t xml:space="preserve"> mld. Kč</w:t>
      </w:r>
    </w:p>
    <w:p w:rsidR="006067DA" w:rsidRDefault="006067DA" w:rsidP="006067DA">
      <w:pPr>
        <w:widowControl w:val="0"/>
        <w:spacing w:before="120"/>
        <w:jc w:val="both"/>
        <w:rPr>
          <w:i/>
        </w:rPr>
      </w:pPr>
      <w:r w:rsidRPr="00240B6D">
        <w:rPr>
          <w:b/>
        </w:rPr>
        <w:t>Léčiva a ostatní zdravotnické výrobky</w:t>
      </w:r>
      <w:r w:rsidRPr="00240B6D">
        <w:t xml:space="preserve"> se v roce 201</w:t>
      </w:r>
      <w:r>
        <w:t>7</w:t>
      </w:r>
      <w:r w:rsidRPr="00240B6D">
        <w:t xml:space="preserve"> podílely  na celkových běžných výdajích na zdravotní péči 1</w:t>
      </w:r>
      <w:r>
        <w:t>8,7</w:t>
      </w:r>
      <w:r w:rsidRPr="00240B6D">
        <w:t xml:space="preserve"> %</w:t>
      </w:r>
      <w:r>
        <w:t>, v absolutním vyjádření šlo 72,6 mld. Kč</w:t>
      </w:r>
      <w:r w:rsidRPr="00240B6D">
        <w:t xml:space="preserve">. </w:t>
      </w:r>
      <w:r w:rsidRPr="00F12246">
        <w:rPr>
          <w:i/>
        </w:rPr>
        <w:t xml:space="preserve">Výdaje za léčiva a ostatní zdravotnický materiál dle mezinárodní metodiky </w:t>
      </w:r>
      <w:r>
        <w:rPr>
          <w:i/>
        </w:rPr>
        <w:t xml:space="preserve">SHA 2011 </w:t>
      </w:r>
      <w:r w:rsidRPr="00F12246">
        <w:rPr>
          <w:i/>
        </w:rPr>
        <w:t>neobsahují výdaje za léky spotřebované přímo ve zdravotnických zařízeních. Pokud bychom do této položky zařadili i výdaje za tyto léky – podrobněji viz samostatná kapitola č.</w:t>
      </w:r>
      <w:r w:rsidR="00F725A0">
        <w:rPr>
          <w:i/>
        </w:rPr>
        <w:t> </w:t>
      </w:r>
      <w:r w:rsidRPr="00F12246">
        <w:rPr>
          <w:i/>
        </w:rPr>
        <w:t>3.4 – pak by podíl léčiv a ostatních zdravotnických výrobků na celkových výdajích na zdravotní péči v Česku dosáhl v roce 201</w:t>
      </w:r>
      <w:r>
        <w:rPr>
          <w:i/>
        </w:rPr>
        <w:t>7</w:t>
      </w:r>
      <w:r w:rsidRPr="00F12246">
        <w:rPr>
          <w:i/>
        </w:rPr>
        <w:t xml:space="preserve"> jedné čtvrtiny (9</w:t>
      </w:r>
      <w:r>
        <w:rPr>
          <w:i/>
        </w:rPr>
        <w:t>7,2</w:t>
      </w:r>
      <w:r w:rsidRPr="00F12246">
        <w:rPr>
          <w:i/>
        </w:rPr>
        <w:t xml:space="preserve"> mld. Kč). </w:t>
      </w:r>
    </w:p>
    <w:p w:rsidR="006067DA" w:rsidRPr="00240B6D" w:rsidRDefault="006067DA" w:rsidP="006067DA">
      <w:pPr>
        <w:widowControl w:val="0"/>
        <w:spacing w:before="120"/>
        <w:jc w:val="both"/>
      </w:pPr>
      <w:r w:rsidRPr="00A91F5C">
        <w:rPr>
          <w:b/>
        </w:rPr>
        <w:t>Léčiva a zdravotnický materiál</w:t>
      </w:r>
      <w:r w:rsidRPr="00240B6D">
        <w:t xml:space="preserve"> (léky</w:t>
      </w:r>
      <w:r>
        <w:t xml:space="preserve">, </w:t>
      </w:r>
      <w:r w:rsidRPr="00240B6D">
        <w:t>dezinfekce, obvazy, náplasti, teploměry atd.) tvoří dlouhodobě až 8</w:t>
      </w:r>
      <w:r>
        <w:t>5</w:t>
      </w:r>
      <w:r w:rsidRPr="00240B6D">
        <w:t> % výdajů této skupiny</w:t>
      </w:r>
      <w:r>
        <w:t xml:space="preserve">. </w:t>
      </w:r>
      <w:r w:rsidRPr="00A91F5C">
        <w:rPr>
          <w:i/>
        </w:rPr>
        <w:t>Při započtení i výše uvedených léků spotřebovaných přímo ve zdravotnických zařízeních dokonce téměř 90 %.</w:t>
      </w:r>
      <w:r w:rsidRPr="00240B6D">
        <w:t xml:space="preserve"> Meziročně se výdaje v uvedené skupině léčiv zvýšily v roce 201</w:t>
      </w:r>
      <w:r>
        <w:t>7</w:t>
      </w:r>
      <w:r w:rsidRPr="00240B6D">
        <w:t xml:space="preserve"> o </w:t>
      </w:r>
      <w:r>
        <w:t>4,4</w:t>
      </w:r>
      <w:r w:rsidRPr="00240B6D">
        <w:t xml:space="preserve"> % (v</w:t>
      </w:r>
      <w:r>
        <w:t> </w:t>
      </w:r>
      <w:r w:rsidRPr="00240B6D">
        <w:t xml:space="preserve">absolutních hodnotách o </w:t>
      </w:r>
      <w:r>
        <w:t>2,6</w:t>
      </w:r>
      <w:r w:rsidRPr="00240B6D">
        <w:t xml:space="preserve"> mld. Kč), což je dáno zejména zvýšením výdajů za volně prodejné léky, které hradí domácnosti, a to o </w:t>
      </w:r>
      <w:r>
        <w:t>8</w:t>
      </w:r>
      <w:r w:rsidRPr="00240B6D">
        <w:t xml:space="preserve"> %. </w:t>
      </w:r>
    </w:p>
    <w:p w:rsidR="006067DA" w:rsidRPr="00240B6D" w:rsidRDefault="006067DA" w:rsidP="002339D2">
      <w:pPr>
        <w:keepNext/>
        <w:spacing w:before="240" w:after="120" w:line="240" w:lineRule="auto"/>
        <w:jc w:val="both"/>
        <w:rPr>
          <w:b/>
          <w:bCs/>
          <w:sz w:val="18"/>
          <w:szCs w:val="18"/>
        </w:rPr>
      </w:pPr>
      <w:r w:rsidRPr="00240B6D">
        <w:rPr>
          <w:b/>
          <w:bCs/>
          <w:sz w:val="18"/>
          <w:szCs w:val="18"/>
        </w:rPr>
        <w:t>Graf č: 2.</w:t>
      </w:r>
      <w:r>
        <w:rPr>
          <w:b/>
          <w:bCs/>
          <w:sz w:val="18"/>
          <w:szCs w:val="18"/>
        </w:rPr>
        <w:t>1</w:t>
      </w:r>
      <w:r w:rsidR="001466BB">
        <w:rPr>
          <w:b/>
          <w:bCs/>
          <w:sz w:val="18"/>
          <w:szCs w:val="18"/>
        </w:rPr>
        <w:t>1</w:t>
      </w:r>
      <w:r w:rsidRPr="00240B6D">
        <w:rPr>
          <w:b/>
          <w:bCs/>
          <w:sz w:val="18"/>
          <w:szCs w:val="18"/>
        </w:rPr>
        <w:t xml:space="preserve"> Výdaje na léčiva a ostatní zdravotnické výrobky v Česku, </w:t>
      </w:r>
      <w:r>
        <w:rPr>
          <w:b/>
          <w:bCs/>
          <w:sz w:val="18"/>
          <w:szCs w:val="18"/>
        </w:rPr>
        <w:t>2013</w:t>
      </w:r>
      <w:r w:rsidRPr="00240B6D">
        <w:rPr>
          <w:b/>
          <w:bCs/>
          <w:sz w:val="18"/>
          <w:szCs w:val="18"/>
        </w:rPr>
        <w:t xml:space="preserve"> – 201</w:t>
      </w:r>
      <w:r>
        <w:rPr>
          <w:b/>
          <w:bCs/>
          <w:sz w:val="18"/>
          <w:szCs w:val="18"/>
        </w:rPr>
        <w:t>7</w:t>
      </w:r>
    </w:p>
    <w:p w:rsidR="006067DA" w:rsidRPr="00240B6D" w:rsidRDefault="006067DA" w:rsidP="006067DA">
      <w:pPr>
        <w:keepNext/>
        <w:tabs>
          <w:tab w:val="left" w:pos="142"/>
          <w:tab w:val="left" w:pos="5812"/>
        </w:tabs>
        <w:spacing w:before="120"/>
        <w:jc w:val="both"/>
        <w:rPr>
          <w:b/>
          <w:i/>
          <w:sz w:val="18"/>
        </w:rPr>
      </w:pPr>
      <w:r w:rsidRPr="00240B6D">
        <w:rPr>
          <w:b/>
          <w:i/>
          <w:sz w:val="18"/>
        </w:rPr>
        <w:tab/>
        <w:t xml:space="preserve">a) v mld. Kč </w:t>
      </w:r>
      <w:r w:rsidRPr="00240B6D">
        <w:rPr>
          <w:b/>
          <w:i/>
          <w:sz w:val="18"/>
        </w:rPr>
        <w:tab/>
        <w:t>b) struktura v %</w:t>
      </w:r>
    </w:p>
    <w:p w:rsidR="006067DA" w:rsidRPr="00240B6D" w:rsidRDefault="00DE7B9D" w:rsidP="006067DA">
      <w:pPr>
        <w:keepNext/>
        <w:tabs>
          <w:tab w:val="left" w:pos="142"/>
          <w:tab w:val="left" w:pos="5812"/>
        </w:tabs>
        <w:jc w:val="both"/>
        <w:rPr>
          <w:b/>
          <w:i/>
          <w:sz w:val="18"/>
        </w:rPr>
      </w:pPr>
      <w:r>
        <w:rPr>
          <w:b/>
          <w:i/>
          <w:noProof/>
          <w:sz w:val="18"/>
        </w:rPr>
        <w:drawing>
          <wp:inline distT="0" distB="0" distL="0" distR="0" wp14:anchorId="2F5FAD8D">
            <wp:extent cx="3420110" cy="287782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0110" cy="2877820"/>
                    </a:xfrm>
                    <a:prstGeom prst="rect">
                      <a:avLst/>
                    </a:prstGeom>
                    <a:noFill/>
                  </pic:spPr>
                </pic:pic>
              </a:graphicData>
            </a:graphic>
          </wp:inline>
        </w:drawing>
      </w:r>
      <w:r>
        <w:rPr>
          <w:b/>
          <w:i/>
          <w:noProof/>
          <w:sz w:val="18"/>
        </w:rPr>
        <w:drawing>
          <wp:inline distT="0" distB="0" distL="0" distR="0" wp14:anchorId="2E008C26">
            <wp:extent cx="2664460" cy="287782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4460" cy="2877820"/>
                    </a:xfrm>
                    <a:prstGeom prst="rect">
                      <a:avLst/>
                    </a:prstGeom>
                    <a:noFill/>
                  </pic:spPr>
                </pic:pic>
              </a:graphicData>
            </a:graphic>
          </wp:inline>
        </w:drawing>
      </w:r>
    </w:p>
    <w:p w:rsidR="006067DA" w:rsidRDefault="006067DA" w:rsidP="006067DA">
      <w:pPr>
        <w:keepNext/>
        <w:spacing w:line="240" w:lineRule="auto"/>
        <w:jc w:val="both"/>
        <w:rPr>
          <w:rFonts w:cs="Arial"/>
          <w:sz w:val="16"/>
          <w:szCs w:val="16"/>
        </w:rPr>
      </w:pPr>
      <w:r w:rsidRPr="00240B6D">
        <w:rPr>
          <w:rFonts w:cs="Arial"/>
          <w:bCs/>
          <w:sz w:val="16"/>
          <w:szCs w:val="16"/>
        </w:rPr>
        <w:t xml:space="preserve">(1) zahrnují spotřebu léků např. v </w:t>
      </w:r>
      <w:r w:rsidRPr="00240B6D">
        <w:rPr>
          <w:rFonts w:cs="Arial"/>
          <w:sz w:val="16"/>
          <w:szCs w:val="16"/>
        </w:rPr>
        <w:t>nemocnicích, zařízeních pro dlouhodobě nemocné a hospicového typu, láz</w:t>
      </w:r>
      <w:r w:rsidR="002339D2">
        <w:rPr>
          <w:rFonts w:cs="Arial"/>
          <w:sz w:val="16"/>
          <w:szCs w:val="16"/>
        </w:rPr>
        <w:t>ních</w:t>
      </w:r>
      <w:r w:rsidRPr="00240B6D">
        <w:rPr>
          <w:rFonts w:cs="Arial"/>
          <w:sz w:val="16"/>
          <w:szCs w:val="16"/>
        </w:rPr>
        <w:t>, poliklinikách</w:t>
      </w:r>
    </w:p>
    <w:p w:rsidR="006067DA" w:rsidRPr="002B4648" w:rsidRDefault="006067DA" w:rsidP="006067DA">
      <w:pPr>
        <w:keepNext/>
        <w:spacing w:line="240" w:lineRule="auto"/>
        <w:jc w:val="both"/>
        <w:rPr>
          <w:rFonts w:cs="Arial"/>
          <w:sz w:val="16"/>
          <w:szCs w:val="16"/>
        </w:rPr>
      </w:pPr>
      <w:r>
        <w:rPr>
          <w:rFonts w:cs="Arial"/>
          <w:sz w:val="16"/>
          <w:szCs w:val="16"/>
        </w:rPr>
        <w:t>ZZ – zdravotnická zařízení</w:t>
      </w:r>
    </w:p>
    <w:p w:rsidR="006067DA" w:rsidRPr="00240B6D" w:rsidRDefault="006067DA" w:rsidP="006067DA">
      <w:pPr>
        <w:spacing w:before="120" w:after="24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Zdravotnické účty ČR 2010 - 201</w:t>
      </w:r>
      <w:r>
        <w:rPr>
          <w:b/>
          <w:bCs/>
          <w:i/>
          <w:sz w:val="16"/>
          <w:szCs w:val="16"/>
        </w:rPr>
        <w:t>7</w:t>
      </w:r>
      <w:r w:rsidRPr="00240B6D">
        <w:rPr>
          <w:b/>
          <w:bCs/>
          <w:i/>
          <w:sz w:val="16"/>
          <w:szCs w:val="16"/>
        </w:rPr>
        <w:t xml:space="preserve"> </w:t>
      </w:r>
    </w:p>
    <w:p w:rsidR="00DD0AC7" w:rsidRPr="00240B6D" w:rsidRDefault="00DD0AC7" w:rsidP="00DD0AC7">
      <w:pPr>
        <w:widowControl w:val="0"/>
        <w:spacing w:before="120"/>
        <w:jc w:val="both"/>
      </w:pPr>
      <w:r>
        <w:rPr>
          <w:b/>
        </w:rPr>
        <w:lastRenderedPageBreak/>
        <w:t>V</w:t>
      </w:r>
      <w:r w:rsidRPr="00240B6D">
        <w:rPr>
          <w:b/>
        </w:rPr>
        <w:t>ýdaje na</w:t>
      </w:r>
      <w:r w:rsidRPr="00240B6D">
        <w:t xml:space="preserve"> </w:t>
      </w:r>
      <w:r w:rsidRPr="00240B6D">
        <w:rPr>
          <w:b/>
        </w:rPr>
        <w:t>terapeutické pomůcky</w:t>
      </w:r>
      <w:r w:rsidRPr="00240B6D">
        <w:t xml:space="preserve"> (brýle, naslouchadla, berle, invalidní vozíky, apod.)</w:t>
      </w:r>
      <w:r>
        <w:t xml:space="preserve"> se podílely 15 % na celkových výdajích na léčiva a ostatní zdravotnický materiál a výrobky. </w:t>
      </w:r>
      <w:r w:rsidRPr="00240B6D">
        <w:t xml:space="preserve">Za </w:t>
      </w:r>
      <w:r w:rsidRPr="002B4648">
        <w:rPr>
          <w:b/>
        </w:rPr>
        <w:t>dioptrické brýle, kontaktní čočky a ostatní výrobky oční optiky</w:t>
      </w:r>
      <w:r w:rsidRPr="00240B6D">
        <w:t xml:space="preserve"> utratí pacienti každoročně v průměru 4 mld. Kč, z čehož 92 % těchto výdajů hradí domácnosti a zbývajících 8 % zdravotní pojišťovny. </w:t>
      </w:r>
    </w:p>
    <w:p w:rsidR="006067DA" w:rsidRPr="00240B6D" w:rsidRDefault="006067DA" w:rsidP="00DD0AC7">
      <w:pPr>
        <w:keepNext/>
        <w:spacing w:before="120"/>
        <w:jc w:val="both"/>
        <w:rPr>
          <w:bCs/>
          <w:szCs w:val="20"/>
        </w:rPr>
      </w:pPr>
      <w:r w:rsidRPr="00240B6D">
        <w:rPr>
          <w:bCs/>
          <w:szCs w:val="20"/>
        </w:rPr>
        <w:t>V letech 2010 až 201</w:t>
      </w:r>
      <w:r>
        <w:rPr>
          <w:bCs/>
          <w:szCs w:val="20"/>
        </w:rPr>
        <w:t>7</w:t>
      </w:r>
      <w:r w:rsidRPr="00240B6D">
        <w:rPr>
          <w:bCs/>
          <w:szCs w:val="20"/>
        </w:rPr>
        <w:t xml:space="preserve"> rostly výdaje na </w:t>
      </w:r>
      <w:r w:rsidRPr="00A91F5C">
        <w:rPr>
          <w:b/>
          <w:bCs/>
          <w:szCs w:val="20"/>
        </w:rPr>
        <w:t>léčiva a ostatní zdravotnické výrobky</w:t>
      </w:r>
      <w:r w:rsidRPr="00240B6D">
        <w:rPr>
          <w:bCs/>
          <w:szCs w:val="20"/>
        </w:rPr>
        <w:t xml:space="preserve"> v Česku v průměru v běžných </w:t>
      </w:r>
      <w:r w:rsidRPr="00654141">
        <w:rPr>
          <w:bCs/>
          <w:szCs w:val="20"/>
        </w:rPr>
        <w:t>cenách o 1,</w:t>
      </w:r>
      <w:r>
        <w:rPr>
          <w:bCs/>
          <w:szCs w:val="20"/>
        </w:rPr>
        <w:t>32</w:t>
      </w:r>
      <w:r w:rsidRPr="00654141">
        <w:rPr>
          <w:bCs/>
          <w:szCs w:val="20"/>
        </w:rPr>
        <w:t xml:space="preserve"> %</w:t>
      </w:r>
      <w:r w:rsidRPr="00240B6D">
        <w:rPr>
          <w:bCs/>
          <w:szCs w:val="20"/>
        </w:rPr>
        <w:t xml:space="preserve"> ročně. Od roku 2010 včetně bylo za tyto položky </w:t>
      </w:r>
      <w:r>
        <w:rPr>
          <w:bCs/>
          <w:szCs w:val="20"/>
        </w:rPr>
        <w:t xml:space="preserve">vynaloženo </w:t>
      </w:r>
      <w:r w:rsidRPr="00240B6D">
        <w:rPr>
          <w:bCs/>
          <w:szCs w:val="20"/>
        </w:rPr>
        <w:t xml:space="preserve">celkem </w:t>
      </w:r>
      <w:r>
        <w:rPr>
          <w:bCs/>
          <w:szCs w:val="20"/>
        </w:rPr>
        <w:t>více než</w:t>
      </w:r>
      <w:r w:rsidRPr="00240B6D">
        <w:rPr>
          <w:bCs/>
          <w:szCs w:val="20"/>
        </w:rPr>
        <w:t xml:space="preserve"> půl biliónu korun (</w:t>
      </w:r>
      <w:r>
        <w:rPr>
          <w:bCs/>
          <w:szCs w:val="20"/>
        </w:rPr>
        <w:t>548</w:t>
      </w:r>
      <w:r w:rsidRPr="00240B6D">
        <w:rPr>
          <w:bCs/>
          <w:szCs w:val="20"/>
        </w:rPr>
        <w:t>,</w:t>
      </w:r>
      <w:r>
        <w:rPr>
          <w:bCs/>
          <w:szCs w:val="20"/>
        </w:rPr>
        <w:t>0</w:t>
      </w:r>
      <w:r w:rsidRPr="00240B6D">
        <w:rPr>
          <w:bCs/>
          <w:szCs w:val="20"/>
        </w:rPr>
        <w:t xml:space="preserve"> mld. Kč), z toho v posledních třech letech (201</w:t>
      </w:r>
      <w:r>
        <w:rPr>
          <w:bCs/>
          <w:szCs w:val="20"/>
        </w:rPr>
        <w:t>5</w:t>
      </w:r>
      <w:r w:rsidRPr="00240B6D">
        <w:rPr>
          <w:bCs/>
          <w:szCs w:val="20"/>
        </w:rPr>
        <w:t xml:space="preserve"> až 201</w:t>
      </w:r>
      <w:r>
        <w:rPr>
          <w:bCs/>
          <w:szCs w:val="20"/>
        </w:rPr>
        <w:t>7</w:t>
      </w:r>
      <w:r w:rsidRPr="00240B6D">
        <w:rPr>
          <w:bCs/>
          <w:szCs w:val="20"/>
        </w:rPr>
        <w:t>) to bylo 20</w:t>
      </w:r>
      <w:r>
        <w:rPr>
          <w:bCs/>
          <w:szCs w:val="20"/>
        </w:rPr>
        <w:t>9,6</w:t>
      </w:r>
      <w:r w:rsidRPr="00240B6D">
        <w:rPr>
          <w:bCs/>
          <w:szCs w:val="20"/>
        </w:rPr>
        <w:t xml:space="preserve"> miliard. Průměrné výdaje na léčiva a zdravotnické výrobky vztažené na jednoho obyvatele dosáhly v roce 201</w:t>
      </w:r>
      <w:r>
        <w:rPr>
          <w:bCs/>
          <w:szCs w:val="20"/>
        </w:rPr>
        <w:t>7</w:t>
      </w:r>
      <w:r w:rsidRPr="00240B6D">
        <w:rPr>
          <w:bCs/>
          <w:szCs w:val="20"/>
        </w:rPr>
        <w:t xml:space="preserve"> částky 6 </w:t>
      </w:r>
      <w:r>
        <w:rPr>
          <w:bCs/>
          <w:szCs w:val="20"/>
        </w:rPr>
        <w:t>853</w:t>
      </w:r>
      <w:r w:rsidRPr="00240B6D">
        <w:rPr>
          <w:bCs/>
          <w:szCs w:val="20"/>
        </w:rPr>
        <w:t xml:space="preserve"> Kč. </w:t>
      </w:r>
      <w:r w:rsidRPr="00A91F5C">
        <w:rPr>
          <w:bCs/>
          <w:i/>
          <w:szCs w:val="20"/>
        </w:rPr>
        <w:t>Pokud bychom do této částky započetl</w:t>
      </w:r>
      <w:r>
        <w:rPr>
          <w:bCs/>
          <w:i/>
          <w:szCs w:val="20"/>
        </w:rPr>
        <w:t>i</w:t>
      </w:r>
      <w:r w:rsidRPr="00A91F5C">
        <w:rPr>
          <w:bCs/>
          <w:i/>
          <w:szCs w:val="20"/>
        </w:rPr>
        <w:t xml:space="preserve"> i výdaje za léky spotřebované přímo ve zdravotnických zařízeních, pak by šlo o částku </w:t>
      </w:r>
      <w:r>
        <w:rPr>
          <w:bCs/>
          <w:i/>
          <w:szCs w:val="20"/>
        </w:rPr>
        <w:t>9 176,4</w:t>
      </w:r>
      <w:r w:rsidRPr="00A91F5C">
        <w:rPr>
          <w:bCs/>
          <w:i/>
          <w:szCs w:val="20"/>
        </w:rPr>
        <w:t xml:space="preserve"> Kč.</w:t>
      </w:r>
      <w:r w:rsidRPr="00240B6D">
        <w:rPr>
          <w:bCs/>
          <w:szCs w:val="20"/>
        </w:rPr>
        <w:t xml:space="preserve"> </w:t>
      </w:r>
    </w:p>
    <w:p w:rsidR="002339D2" w:rsidRPr="00240B6D" w:rsidRDefault="002339D2" w:rsidP="002339D2">
      <w:pPr>
        <w:widowControl w:val="0"/>
        <w:spacing w:before="240" w:after="120" w:line="240" w:lineRule="auto"/>
        <w:jc w:val="both"/>
        <w:rPr>
          <w:b/>
          <w:bCs/>
          <w:sz w:val="18"/>
          <w:szCs w:val="18"/>
        </w:rPr>
      </w:pPr>
      <w:r w:rsidRPr="00240B6D">
        <w:rPr>
          <w:b/>
          <w:bCs/>
          <w:sz w:val="18"/>
          <w:szCs w:val="18"/>
        </w:rPr>
        <w:t>Graf č: 2.</w:t>
      </w:r>
      <w:r>
        <w:rPr>
          <w:b/>
          <w:bCs/>
          <w:sz w:val="18"/>
          <w:szCs w:val="18"/>
        </w:rPr>
        <w:t>1</w:t>
      </w:r>
      <w:r w:rsidR="001466BB">
        <w:rPr>
          <w:b/>
          <w:bCs/>
          <w:sz w:val="18"/>
          <w:szCs w:val="18"/>
        </w:rPr>
        <w:t>2</w:t>
      </w:r>
      <w:r w:rsidRPr="00240B6D">
        <w:rPr>
          <w:b/>
          <w:bCs/>
          <w:sz w:val="18"/>
          <w:szCs w:val="18"/>
        </w:rPr>
        <w:t xml:space="preserve"> Výdaje na doplňkové služby v oblasti zdravotní péče v Česku, 201</w:t>
      </w:r>
      <w:r>
        <w:rPr>
          <w:b/>
          <w:bCs/>
          <w:sz w:val="18"/>
          <w:szCs w:val="18"/>
        </w:rPr>
        <w:t>3</w:t>
      </w:r>
      <w:r w:rsidRPr="00240B6D">
        <w:rPr>
          <w:b/>
          <w:bCs/>
          <w:sz w:val="18"/>
          <w:szCs w:val="18"/>
        </w:rPr>
        <w:t xml:space="preserve"> - 201</w:t>
      </w:r>
      <w:r>
        <w:rPr>
          <w:b/>
          <w:bCs/>
          <w:sz w:val="18"/>
          <w:szCs w:val="18"/>
        </w:rPr>
        <w:t>7</w:t>
      </w:r>
    </w:p>
    <w:p w:rsidR="002339D2" w:rsidRDefault="002339D2" w:rsidP="002339D2">
      <w:pPr>
        <w:widowControl w:val="0"/>
        <w:tabs>
          <w:tab w:val="left" w:pos="142"/>
          <w:tab w:val="left" w:pos="5812"/>
        </w:tabs>
        <w:jc w:val="both"/>
        <w:rPr>
          <w:b/>
          <w:i/>
          <w:sz w:val="18"/>
        </w:rPr>
      </w:pPr>
      <w:r w:rsidRPr="00240B6D">
        <w:rPr>
          <w:b/>
          <w:i/>
          <w:sz w:val="18"/>
        </w:rPr>
        <w:tab/>
        <w:t xml:space="preserve">a) v mld. Kč </w:t>
      </w:r>
      <w:r w:rsidRPr="00240B6D">
        <w:rPr>
          <w:b/>
          <w:i/>
          <w:sz w:val="18"/>
        </w:rPr>
        <w:tab/>
        <w:t>b) struktura v %</w:t>
      </w:r>
    </w:p>
    <w:p w:rsidR="002339D2" w:rsidRPr="00240B6D" w:rsidRDefault="00DE7B9D" w:rsidP="002339D2">
      <w:pPr>
        <w:widowControl w:val="0"/>
        <w:tabs>
          <w:tab w:val="left" w:pos="142"/>
          <w:tab w:val="left" w:pos="5812"/>
        </w:tabs>
        <w:jc w:val="both"/>
        <w:rPr>
          <w:b/>
          <w:i/>
          <w:sz w:val="18"/>
        </w:rPr>
      </w:pPr>
      <w:r>
        <w:rPr>
          <w:noProof/>
        </w:rPr>
        <w:drawing>
          <wp:inline distT="0" distB="0" distL="0" distR="0" wp14:anchorId="0F22017B">
            <wp:extent cx="3602990" cy="270065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2990" cy="2700655"/>
                    </a:xfrm>
                    <a:prstGeom prst="rect">
                      <a:avLst/>
                    </a:prstGeom>
                    <a:noFill/>
                  </pic:spPr>
                </pic:pic>
              </a:graphicData>
            </a:graphic>
          </wp:inline>
        </w:drawing>
      </w:r>
      <w:r w:rsidR="002339D2" w:rsidRPr="00C83CD1">
        <w:rPr>
          <w:noProof/>
        </w:rPr>
        <w:t xml:space="preserve"> </w:t>
      </w:r>
      <w:r>
        <w:rPr>
          <w:noProof/>
        </w:rPr>
        <w:drawing>
          <wp:inline distT="0" distB="0" distL="0" distR="0" wp14:anchorId="04B4861B">
            <wp:extent cx="2481580" cy="270065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81580" cy="2700655"/>
                    </a:xfrm>
                    <a:prstGeom prst="rect">
                      <a:avLst/>
                    </a:prstGeom>
                    <a:noFill/>
                  </pic:spPr>
                </pic:pic>
              </a:graphicData>
            </a:graphic>
          </wp:inline>
        </w:drawing>
      </w:r>
    </w:p>
    <w:p w:rsidR="002339D2" w:rsidRPr="00240B6D" w:rsidRDefault="002339D2" w:rsidP="002339D2">
      <w:pPr>
        <w:widowControl w:val="0"/>
        <w:tabs>
          <w:tab w:val="left" w:pos="142"/>
          <w:tab w:val="left" w:pos="5812"/>
        </w:tabs>
        <w:jc w:val="both"/>
        <w:rPr>
          <w:sz w:val="16"/>
          <w:szCs w:val="16"/>
        </w:rPr>
      </w:pPr>
      <w:r w:rsidRPr="00240B6D">
        <w:rPr>
          <w:bCs/>
          <w:i/>
          <w:sz w:val="16"/>
          <w:szCs w:val="16"/>
        </w:rPr>
        <w:t xml:space="preserve"> </w:t>
      </w:r>
      <w:r w:rsidRPr="00240B6D">
        <w:rPr>
          <w:bCs/>
          <w:sz w:val="16"/>
          <w:szCs w:val="16"/>
        </w:rPr>
        <w:t>(1)</w:t>
      </w:r>
      <w:r w:rsidRPr="00240B6D">
        <w:rPr>
          <w:sz w:val="16"/>
          <w:szCs w:val="16"/>
        </w:rPr>
        <w:t xml:space="preserve"> laboratorní </w:t>
      </w:r>
      <w:r>
        <w:rPr>
          <w:sz w:val="16"/>
          <w:szCs w:val="16"/>
        </w:rPr>
        <w:t xml:space="preserve">služby </w:t>
      </w:r>
      <w:r w:rsidRPr="00240B6D">
        <w:rPr>
          <w:sz w:val="16"/>
          <w:szCs w:val="16"/>
        </w:rPr>
        <w:t xml:space="preserve">zahrnují především testy z klinické biochemie a mikrobiologie, testy krevní srážlivosti, genetiky, ale také </w:t>
      </w:r>
    </w:p>
    <w:p w:rsidR="002339D2" w:rsidRPr="00240B6D" w:rsidRDefault="002339D2" w:rsidP="002339D2">
      <w:pPr>
        <w:widowControl w:val="0"/>
        <w:spacing w:line="240" w:lineRule="auto"/>
        <w:jc w:val="both"/>
        <w:rPr>
          <w:bCs/>
          <w:i/>
          <w:sz w:val="16"/>
          <w:szCs w:val="16"/>
        </w:rPr>
      </w:pPr>
      <w:r w:rsidRPr="00240B6D">
        <w:rPr>
          <w:sz w:val="16"/>
          <w:szCs w:val="16"/>
        </w:rPr>
        <w:t xml:space="preserve">  z cytologie, která je nezbytnou součástí gynekologických prohlídek</w:t>
      </w:r>
    </w:p>
    <w:p w:rsidR="002339D2" w:rsidRPr="00240B6D" w:rsidRDefault="002339D2" w:rsidP="002339D2">
      <w:pPr>
        <w:widowControl w:val="0"/>
        <w:spacing w:line="240" w:lineRule="auto"/>
        <w:jc w:val="both"/>
        <w:rPr>
          <w:sz w:val="16"/>
          <w:szCs w:val="16"/>
        </w:rPr>
      </w:pPr>
      <w:r w:rsidRPr="00240B6D">
        <w:rPr>
          <w:bCs/>
          <w:sz w:val="16"/>
          <w:szCs w:val="16"/>
        </w:rPr>
        <w:t xml:space="preserve"> (2) do </w:t>
      </w:r>
      <w:r w:rsidRPr="00240B6D">
        <w:rPr>
          <w:sz w:val="16"/>
          <w:szCs w:val="16"/>
        </w:rPr>
        <w:t xml:space="preserve">kategorie zobrazovací metody patří např. klasické, ale i kontrastní RTG snímkování, ultrazvuková diagnostika, vyšetření pomocí </w:t>
      </w:r>
    </w:p>
    <w:p w:rsidR="002339D2" w:rsidRPr="00240B6D" w:rsidRDefault="002339D2" w:rsidP="002339D2">
      <w:pPr>
        <w:widowControl w:val="0"/>
        <w:spacing w:line="240" w:lineRule="auto"/>
        <w:jc w:val="both"/>
        <w:rPr>
          <w:bCs/>
          <w:i/>
          <w:sz w:val="16"/>
          <w:szCs w:val="16"/>
        </w:rPr>
      </w:pPr>
      <w:r w:rsidRPr="00240B6D">
        <w:rPr>
          <w:sz w:val="16"/>
          <w:szCs w:val="16"/>
        </w:rPr>
        <w:t xml:space="preserve"> počítačové tomografie (CT), zobrazování magnetickou rezonancí</w:t>
      </w:r>
    </w:p>
    <w:p w:rsidR="002339D2" w:rsidRDefault="002339D2" w:rsidP="002339D2">
      <w:pPr>
        <w:widowControl w:val="0"/>
        <w:spacing w:before="12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xml:space="preserve">, Zdravotnické účty ČR 2010 </w:t>
      </w:r>
      <w:r>
        <w:rPr>
          <w:b/>
          <w:bCs/>
          <w:i/>
          <w:sz w:val="16"/>
          <w:szCs w:val="16"/>
        </w:rPr>
        <w:t>–</w:t>
      </w:r>
      <w:r w:rsidRPr="00240B6D">
        <w:rPr>
          <w:b/>
          <w:bCs/>
          <w:i/>
          <w:sz w:val="16"/>
          <w:szCs w:val="16"/>
        </w:rPr>
        <w:t xml:space="preserve"> 201</w:t>
      </w:r>
      <w:r>
        <w:rPr>
          <w:b/>
          <w:bCs/>
          <w:i/>
          <w:sz w:val="16"/>
          <w:szCs w:val="16"/>
        </w:rPr>
        <w:t>7</w:t>
      </w:r>
    </w:p>
    <w:p w:rsidR="006067DA" w:rsidRPr="00240B6D" w:rsidRDefault="006067DA" w:rsidP="00DD0AC7">
      <w:pPr>
        <w:widowControl w:val="0"/>
        <w:spacing w:before="240"/>
        <w:jc w:val="both"/>
        <w:rPr>
          <w:b/>
          <w:i/>
          <w:szCs w:val="20"/>
        </w:rPr>
      </w:pPr>
      <w:r w:rsidRPr="00240B6D">
        <w:rPr>
          <w:b/>
          <w:i/>
          <w:szCs w:val="20"/>
        </w:rPr>
        <w:t>Přeprava pacientů hrazená z veřejného zdra</w:t>
      </w:r>
      <w:r>
        <w:rPr>
          <w:b/>
          <w:i/>
          <w:szCs w:val="20"/>
        </w:rPr>
        <w:t xml:space="preserve">votního pojištění stála téměř 4,5 </w:t>
      </w:r>
      <w:r w:rsidRPr="00240B6D">
        <w:rPr>
          <w:b/>
          <w:i/>
          <w:szCs w:val="20"/>
        </w:rPr>
        <w:t>mld. Kč</w:t>
      </w:r>
    </w:p>
    <w:p w:rsidR="006067DA" w:rsidRDefault="006067DA" w:rsidP="002339D2">
      <w:pPr>
        <w:widowControl w:val="0"/>
        <w:spacing w:before="120"/>
        <w:jc w:val="both"/>
      </w:pPr>
      <w:r w:rsidRPr="00240B6D">
        <w:rPr>
          <w:b/>
          <w:szCs w:val="20"/>
        </w:rPr>
        <w:t>Doplňkové služby</w:t>
      </w:r>
      <w:r w:rsidRPr="00240B6D">
        <w:rPr>
          <w:szCs w:val="20"/>
        </w:rPr>
        <w:t xml:space="preserve"> tvoří dlouhodobě 11 % celkových výdajů na zdravotnictví. Více než polovinu výdajů (2</w:t>
      </w:r>
      <w:r>
        <w:rPr>
          <w:szCs w:val="20"/>
        </w:rPr>
        <w:t>3</w:t>
      </w:r>
      <w:r w:rsidRPr="00240B6D">
        <w:rPr>
          <w:szCs w:val="20"/>
        </w:rPr>
        <w:t>,</w:t>
      </w:r>
      <w:r>
        <w:rPr>
          <w:szCs w:val="20"/>
        </w:rPr>
        <w:t>8</w:t>
      </w:r>
      <w:r w:rsidRPr="00240B6D">
        <w:rPr>
          <w:szCs w:val="20"/>
        </w:rPr>
        <w:t> mld. Kč v roce 201</w:t>
      </w:r>
      <w:r>
        <w:rPr>
          <w:szCs w:val="20"/>
        </w:rPr>
        <w:t>7</w:t>
      </w:r>
      <w:r w:rsidRPr="00240B6D">
        <w:rPr>
          <w:szCs w:val="20"/>
        </w:rPr>
        <w:t xml:space="preserve">) z této kategorie představují výdaje na </w:t>
      </w:r>
      <w:r w:rsidRPr="00240B6D">
        <w:rPr>
          <w:b/>
          <w:szCs w:val="20"/>
        </w:rPr>
        <w:t>laboratorní vyšetření</w:t>
      </w:r>
      <w:r w:rsidRPr="00240B6D">
        <w:rPr>
          <w:szCs w:val="20"/>
        </w:rPr>
        <w:t xml:space="preserve">. Výdaje za </w:t>
      </w:r>
      <w:r w:rsidRPr="00240B6D">
        <w:rPr>
          <w:b/>
          <w:szCs w:val="20"/>
        </w:rPr>
        <w:t>zobrazovací metody</w:t>
      </w:r>
      <w:r w:rsidRPr="00240B6D">
        <w:rPr>
          <w:szCs w:val="20"/>
        </w:rPr>
        <w:t xml:space="preserve"> dosáhly ve stejném roce hodnoty 1</w:t>
      </w:r>
      <w:r>
        <w:rPr>
          <w:szCs w:val="20"/>
        </w:rPr>
        <w:t>1</w:t>
      </w:r>
      <w:r w:rsidRPr="00240B6D">
        <w:rPr>
          <w:szCs w:val="20"/>
        </w:rPr>
        <w:t>,</w:t>
      </w:r>
      <w:r>
        <w:rPr>
          <w:szCs w:val="20"/>
        </w:rPr>
        <w:t>2</w:t>
      </w:r>
      <w:r w:rsidRPr="00240B6D">
        <w:rPr>
          <w:szCs w:val="20"/>
        </w:rPr>
        <w:t xml:space="preserve"> mld. Kč. Výdaje na</w:t>
      </w:r>
      <w:r w:rsidRPr="00240B6D">
        <w:rPr>
          <w:b/>
          <w:szCs w:val="20"/>
        </w:rPr>
        <w:t xml:space="preserve"> dopravu pacientů</w:t>
      </w:r>
      <w:r w:rsidRPr="00240B6D">
        <w:rPr>
          <w:szCs w:val="20"/>
        </w:rPr>
        <w:t xml:space="preserve"> se </w:t>
      </w:r>
      <w:r>
        <w:rPr>
          <w:szCs w:val="20"/>
        </w:rPr>
        <w:t xml:space="preserve">v porovnání s rokem 2014, kdy byl zaznamenán mírný </w:t>
      </w:r>
      <w:r w:rsidRPr="00240B6D">
        <w:rPr>
          <w:szCs w:val="20"/>
        </w:rPr>
        <w:t>propad</w:t>
      </w:r>
      <w:r>
        <w:rPr>
          <w:szCs w:val="20"/>
        </w:rPr>
        <w:t xml:space="preserve">, zvýšily </w:t>
      </w:r>
      <w:r w:rsidRPr="00240B6D">
        <w:rPr>
          <w:szCs w:val="20"/>
        </w:rPr>
        <w:t>v roce 201</w:t>
      </w:r>
      <w:r>
        <w:rPr>
          <w:szCs w:val="20"/>
        </w:rPr>
        <w:t>7</w:t>
      </w:r>
      <w:r w:rsidRPr="00240B6D">
        <w:rPr>
          <w:szCs w:val="20"/>
        </w:rPr>
        <w:t xml:space="preserve"> </w:t>
      </w:r>
      <w:r>
        <w:rPr>
          <w:szCs w:val="20"/>
        </w:rPr>
        <w:t xml:space="preserve">o jednu čtvrtinu </w:t>
      </w:r>
      <w:r w:rsidRPr="00240B6D">
        <w:rPr>
          <w:szCs w:val="20"/>
        </w:rPr>
        <w:t>a zaujaly téměř pětinu výdajů ze skupiny doplňkových služeb, přičemž největší podíl na těchto výdajích má pochopitelně zdravotnická záchranná služba (ZZS). Podle metodiky SHA se však výdaje na ZZS nerozlišují zvlášť, ale jsou spojeny s celkovými výdaji na dopravu.</w:t>
      </w:r>
      <w:r w:rsidR="002339D2">
        <w:rPr>
          <w:szCs w:val="20"/>
        </w:rPr>
        <w:t xml:space="preserve"> </w:t>
      </w:r>
      <w:r w:rsidRPr="00240B6D">
        <w:t xml:space="preserve">Kromě dopravy pacientů, která je z poloviny hrazena přímo ze státního rozpočtu či místních rozpočtů, jsou výše uvedená laboratorní vyšetření a zobrazovací metody plně hrazeny z veřejného pojištění.  </w:t>
      </w:r>
    </w:p>
    <w:p w:rsidR="006067DA" w:rsidRDefault="0085489F" w:rsidP="006067DA">
      <w:pPr>
        <w:widowControl w:val="0"/>
        <w:spacing w:before="120"/>
        <w:jc w:val="both"/>
        <w:rPr>
          <w:b/>
          <w:i/>
          <w:szCs w:val="20"/>
        </w:rPr>
      </w:pPr>
      <w:r>
        <w:rPr>
          <w:b/>
          <w:i/>
          <w:szCs w:val="20"/>
        </w:rPr>
        <w:t>Česká republika vydala v průměru na jednu osobu za dlouhodobou péči 8 krát méně než Dánsko</w:t>
      </w:r>
    </w:p>
    <w:p w:rsidR="00BF0BA2" w:rsidRPr="0085489F" w:rsidRDefault="00BF0BA2" w:rsidP="0085489F">
      <w:pPr>
        <w:spacing w:before="120"/>
        <w:jc w:val="both"/>
        <w:rPr>
          <w:rFonts w:cs="Arial"/>
          <w:bCs/>
          <w:color w:val="000000"/>
          <w:szCs w:val="20"/>
        </w:rPr>
      </w:pPr>
      <w:r w:rsidRPr="00F725A0">
        <w:rPr>
          <w:rFonts w:cs="Arial"/>
          <w:bCs/>
          <w:color w:val="000000"/>
          <w:szCs w:val="20"/>
        </w:rPr>
        <w:t xml:space="preserve">Na léčebnou a rehabilitační péči vynaložily země EU v roce 2016 v průměru 1 575 EUR na osobu. Výdaje v Dánsku, Rakousku a Německu jsou nejvyšší a pohybovaly se nad hranicí 2 000 EUR na osobu.  V České republice byly výdaje na léčebnou a rehabilitační péči na jednoho obyvatele 2,5krát nižší je průměr EU. V sousedních státech Slovensku a Polsku bylo vydáno méně než v České republice. Podobné zastoupení mají </w:t>
      </w:r>
      <w:r w:rsidR="0085489F" w:rsidRPr="00F725A0">
        <w:rPr>
          <w:rFonts w:cs="Arial"/>
          <w:bCs/>
          <w:color w:val="000000"/>
          <w:szCs w:val="20"/>
        </w:rPr>
        <w:t xml:space="preserve">i přes rozdílné hodnoty </w:t>
      </w:r>
      <w:r w:rsidRPr="00F725A0">
        <w:rPr>
          <w:rFonts w:cs="Arial"/>
          <w:bCs/>
          <w:color w:val="000000"/>
          <w:szCs w:val="20"/>
        </w:rPr>
        <w:t>výdaje na dlouhodobou a preventivní péči</w:t>
      </w:r>
      <w:r w:rsidR="0085489F" w:rsidRPr="00F725A0">
        <w:rPr>
          <w:rFonts w:cs="Arial"/>
          <w:bCs/>
          <w:color w:val="000000"/>
          <w:szCs w:val="20"/>
        </w:rPr>
        <w:t xml:space="preserve">. Průměr evropské osmadvacítky se </w:t>
      </w:r>
      <w:r w:rsidR="0085489F" w:rsidRPr="00F725A0">
        <w:rPr>
          <w:rFonts w:cs="Arial"/>
          <w:bCs/>
          <w:color w:val="000000"/>
          <w:szCs w:val="20"/>
        </w:rPr>
        <w:lastRenderedPageBreak/>
        <w:t xml:space="preserve">pohyboval na úrovni 455 EUR respektive 91 EUR na osobu. </w:t>
      </w:r>
      <w:r w:rsidR="00452B8C" w:rsidRPr="00F725A0">
        <w:rPr>
          <w:rFonts w:cs="Arial"/>
          <w:bCs/>
          <w:color w:val="000000"/>
          <w:szCs w:val="20"/>
        </w:rPr>
        <w:t xml:space="preserve">Dánsko je jediná země EU 28, jejíž průměrné výdaje na dlouhodobou péči na osobu se pohybují nad hranicí 1 000 EUR. </w:t>
      </w:r>
      <w:r w:rsidR="0085489F" w:rsidRPr="00F725A0">
        <w:rPr>
          <w:rFonts w:cs="Arial"/>
          <w:bCs/>
          <w:color w:val="000000"/>
          <w:szCs w:val="20"/>
        </w:rPr>
        <w:t>Zatímco v České republice na dlouhodobou péči by</w:t>
      </w:r>
      <w:r w:rsidR="00F725A0" w:rsidRPr="00F725A0">
        <w:rPr>
          <w:rFonts w:cs="Arial"/>
          <w:bCs/>
          <w:color w:val="000000"/>
          <w:szCs w:val="20"/>
        </w:rPr>
        <w:t>lo vynaloženo 158 EUR na osobu.</w:t>
      </w:r>
    </w:p>
    <w:p w:rsidR="006067DA" w:rsidRDefault="006067DA" w:rsidP="006067DA">
      <w:pPr>
        <w:keepNext/>
        <w:spacing w:before="240"/>
        <w:jc w:val="both"/>
        <w:rPr>
          <w:rFonts w:cs="Arial"/>
          <w:b/>
          <w:sz w:val="18"/>
          <w:szCs w:val="18"/>
        </w:rPr>
      </w:pPr>
      <w:r w:rsidRPr="00240B6D">
        <w:rPr>
          <w:rFonts w:cs="Arial"/>
          <w:b/>
          <w:sz w:val="18"/>
          <w:szCs w:val="18"/>
        </w:rPr>
        <w:t>Graf č. 2.</w:t>
      </w:r>
      <w:r>
        <w:rPr>
          <w:rFonts w:cs="Arial"/>
          <w:b/>
          <w:sz w:val="18"/>
          <w:szCs w:val="18"/>
        </w:rPr>
        <w:t>1</w:t>
      </w:r>
      <w:r w:rsidR="001466BB">
        <w:rPr>
          <w:rFonts w:cs="Arial"/>
          <w:b/>
          <w:sz w:val="18"/>
          <w:szCs w:val="18"/>
        </w:rPr>
        <w:t>3</w:t>
      </w:r>
      <w:r w:rsidRPr="00240B6D">
        <w:rPr>
          <w:rFonts w:cs="Arial"/>
          <w:b/>
          <w:sz w:val="18"/>
          <w:szCs w:val="18"/>
        </w:rPr>
        <w:t xml:space="preserve"> </w:t>
      </w:r>
      <w:r>
        <w:rPr>
          <w:rFonts w:cs="Arial"/>
          <w:b/>
          <w:sz w:val="18"/>
          <w:szCs w:val="18"/>
        </w:rPr>
        <w:t>Výdaje na vybrané druhy zdravotní péče ve vybraných zemích EU</w:t>
      </w:r>
      <w:r w:rsidRPr="00240B6D">
        <w:rPr>
          <w:rFonts w:cs="Arial"/>
          <w:b/>
          <w:sz w:val="18"/>
          <w:szCs w:val="18"/>
        </w:rPr>
        <w:t> </w:t>
      </w:r>
      <w:r>
        <w:rPr>
          <w:rFonts w:cs="Arial"/>
          <w:b/>
          <w:sz w:val="18"/>
          <w:szCs w:val="18"/>
        </w:rPr>
        <w:t>v roce 2016 (v EUR na obyv.)</w:t>
      </w:r>
    </w:p>
    <w:p w:rsidR="006067DA" w:rsidRPr="008B3941" w:rsidRDefault="006067DA" w:rsidP="006067DA">
      <w:pPr>
        <w:keepNext/>
        <w:tabs>
          <w:tab w:val="left" w:pos="142"/>
          <w:tab w:val="left" w:pos="3261"/>
          <w:tab w:val="left" w:pos="6379"/>
        </w:tabs>
        <w:spacing w:before="120"/>
        <w:rPr>
          <w:rFonts w:cs="Arial"/>
          <w:b/>
          <w:i/>
          <w:sz w:val="18"/>
          <w:szCs w:val="18"/>
        </w:rPr>
      </w:pPr>
      <w:r w:rsidRPr="008B3941">
        <w:rPr>
          <w:rFonts w:cs="Arial"/>
          <w:b/>
          <w:i/>
          <w:sz w:val="18"/>
          <w:szCs w:val="18"/>
        </w:rPr>
        <w:tab/>
        <w:t xml:space="preserve">a) </w:t>
      </w:r>
      <w:r>
        <w:rPr>
          <w:rFonts w:cs="Arial"/>
          <w:b/>
          <w:i/>
          <w:sz w:val="18"/>
          <w:szCs w:val="18"/>
        </w:rPr>
        <w:t>léčebná a rehabilitační</w:t>
      </w:r>
      <w:r w:rsidRPr="008B3941">
        <w:rPr>
          <w:rFonts w:cs="Arial"/>
          <w:b/>
          <w:i/>
          <w:sz w:val="18"/>
          <w:szCs w:val="18"/>
        </w:rPr>
        <w:tab/>
        <w:t xml:space="preserve">b) </w:t>
      </w:r>
      <w:r>
        <w:rPr>
          <w:rFonts w:cs="Arial"/>
          <w:b/>
          <w:i/>
          <w:sz w:val="18"/>
          <w:szCs w:val="18"/>
        </w:rPr>
        <w:t xml:space="preserve">dlouhodobá </w:t>
      </w:r>
      <w:r>
        <w:rPr>
          <w:rFonts w:cs="Arial"/>
          <w:b/>
          <w:i/>
          <w:sz w:val="18"/>
          <w:szCs w:val="18"/>
        </w:rPr>
        <w:tab/>
        <w:t>c) preventivní</w:t>
      </w:r>
      <w:r w:rsidRPr="008B3941">
        <w:rPr>
          <w:rFonts w:cs="Arial"/>
          <w:b/>
          <w:i/>
          <w:sz w:val="18"/>
          <w:szCs w:val="18"/>
        </w:rPr>
        <w:t xml:space="preserve"> </w:t>
      </w:r>
    </w:p>
    <w:p w:rsidR="006067DA" w:rsidRDefault="006067DA" w:rsidP="006067DA">
      <w:pPr>
        <w:widowControl w:val="0"/>
        <w:jc w:val="both"/>
        <w:rPr>
          <w:noProof/>
          <w:lang w:val="en-US" w:eastAsia="en-US"/>
        </w:rPr>
      </w:pPr>
      <w:r w:rsidRPr="008B3941">
        <w:rPr>
          <w:noProof/>
          <w:lang w:val="en-US" w:eastAsia="en-US"/>
        </w:rPr>
        <w:t xml:space="preserve"> </w:t>
      </w:r>
      <w:r w:rsidR="00DE7B9D">
        <w:rPr>
          <w:noProof/>
        </w:rPr>
        <w:drawing>
          <wp:inline distT="0" distB="0" distL="0" distR="0" wp14:anchorId="621A48E6">
            <wp:extent cx="1993265" cy="2889885"/>
            <wp:effectExtent l="0" t="0" r="6985" b="5715"/>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3265" cy="2889885"/>
                    </a:xfrm>
                    <a:prstGeom prst="rect">
                      <a:avLst/>
                    </a:prstGeom>
                    <a:noFill/>
                  </pic:spPr>
                </pic:pic>
              </a:graphicData>
            </a:graphic>
          </wp:inline>
        </w:drawing>
      </w:r>
      <w:r w:rsidR="00DE7B9D">
        <w:rPr>
          <w:noProof/>
        </w:rPr>
        <w:drawing>
          <wp:inline distT="0" distB="0" distL="0" distR="0" wp14:anchorId="10B1133D">
            <wp:extent cx="1993265" cy="2889885"/>
            <wp:effectExtent l="0" t="0" r="6985" b="5715"/>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3265" cy="2889885"/>
                    </a:xfrm>
                    <a:prstGeom prst="rect">
                      <a:avLst/>
                    </a:prstGeom>
                    <a:noFill/>
                  </pic:spPr>
                </pic:pic>
              </a:graphicData>
            </a:graphic>
          </wp:inline>
        </w:drawing>
      </w:r>
      <w:r w:rsidR="00DE7B9D">
        <w:rPr>
          <w:noProof/>
        </w:rPr>
        <w:drawing>
          <wp:inline distT="0" distB="0" distL="0" distR="0" wp14:anchorId="1B2708F3">
            <wp:extent cx="1993265" cy="2889885"/>
            <wp:effectExtent l="0" t="0" r="6985" b="5715"/>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3265" cy="2889885"/>
                    </a:xfrm>
                    <a:prstGeom prst="rect">
                      <a:avLst/>
                    </a:prstGeom>
                    <a:noFill/>
                  </pic:spPr>
                </pic:pic>
              </a:graphicData>
            </a:graphic>
          </wp:inline>
        </w:drawing>
      </w:r>
    </w:p>
    <w:p w:rsidR="006067DA" w:rsidRPr="0085489F" w:rsidRDefault="006067DA" w:rsidP="006067DA">
      <w:pPr>
        <w:keepNext/>
        <w:jc w:val="right"/>
        <w:rPr>
          <w:b/>
          <w:bCs/>
          <w:i/>
          <w:sz w:val="16"/>
          <w:szCs w:val="16"/>
        </w:rPr>
      </w:pPr>
      <w:r w:rsidRPr="0085489F">
        <w:rPr>
          <w:b/>
          <w:bCs/>
          <w:i/>
          <w:sz w:val="16"/>
          <w:szCs w:val="16"/>
        </w:rPr>
        <w:t>Zdroj: Eurostat 2019 a vlastní dopočty ČSÚ</w:t>
      </w:r>
    </w:p>
    <w:p w:rsidR="006067DA" w:rsidRPr="00240B6D" w:rsidRDefault="006067DA" w:rsidP="006067DA">
      <w:pPr>
        <w:keepNext/>
        <w:keepLines/>
        <w:pageBreakBefore/>
        <w:spacing w:before="120" w:after="120"/>
        <w:outlineLvl w:val="1"/>
        <w:rPr>
          <w:rFonts w:eastAsia="MS Gothic"/>
          <w:b/>
          <w:bCs/>
          <w:color w:val="BC091B"/>
          <w:sz w:val="28"/>
          <w:szCs w:val="17"/>
        </w:rPr>
      </w:pPr>
      <w:bookmarkStart w:id="9" w:name="_Toc481748788"/>
      <w:r w:rsidRPr="00240B6D">
        <w:rPr>
          <w:rFonts w:eastAsia="MS Gothic"/>
          <w:b/>
          <w:bCs/>
          <w:color w:val="BC091B"/>
          <w:sz w:val="28"/>
          <w:szCs w:val="26"/>
        </w:rPr>
        <w:lastRenderedPageBreak/>
        <w:t>2.4 Výdaje na zdravotní péči podle typu poskytovatele</w:t>
      </w:r>
      <w:bookmarkEnd w:id="9"/>
    </w:p>
    <w:p w:rsidR="006067DA" w:rsidRPr="00240B6D" w:rsidRDefault="006067DA" w:rsidP="006067DA">
      <w:pPr>
        <w:keepNext/>
        <w:spacing w:before="120"/>
        <w:jc w:val="both"/>
      </w:pPr>
      <w:r w:rsidRPr="00240B6D">
        <w:t xml:space="preserve">Konečně třetí pohled na problematiku zdravotní péče nám dává odpověď na otázku, kdo </w:t>
      </w:r>
      <w:r>
        <w:t>tuto péči</w:t>
      </w:r>
      <w:r w:rsidRPr="00240B6D">
        <w:t xml:space="preserve"> poskytuje. </w:t>
      </w:r>
      <w:r w:rsidRPr="00005868">
        <w:rPr>
          <w:i/>
        </w:rPr>
        <w:t>Bude-li například lékárna, specializovaná ambulance nebo léčebna dlouhodobě nemocných zařazena v rámci širšího subjektu nemocnice, pak se veškeré výdaje na toto zařízení objeví ve výdajích nemocnice. Podle druhu péče pak poznáme, za jakou péči byly peníze vydány, což v případě lékárny v nemocnici mohou být například léky na předpis, u ambulance ambulantní léčebná péče a u léčebny dlouhodobě nemocných dlouhodobá lůžková péče.</w:t>
      </w:r>
      <w:r w:rsidRPr="00240B6D">
        <w:t xml:space="preserve"> </w:t>
      </w:r>
    </w:p>
    <w:p w:rsidR="006067DA" w:rsidRPr="00005868" w:rsidRDefault="006067DA" w:rsidP="006067DA">
      <w:pPr>
        <w:keepNext/>
        <w:spacing w:before="120"/>
        <w:jc w:val="both"/>
        <w:rPr>
          <w:i/>
        </w:rPr>
      </w:pPr>
      <w:r w:rsidRPr="00005868">
        <w:rPr>
          <w:i/>
        </w:rPr>
        <w:t>V České republice existuje Národní registr poskytovatelů zdravotních služeb (NRPZS), který poskytuje kompletní přehled o všech poskytovatelích zdravotních služeb, bez ohledu na jejich zřizovatele. Poskytuje údaje o profilu a rozsahu péče poskytované jednotlivými zdravotnickými zařízeními, obsahuje kontaktní údaje na daná zdravotnická zařízení a další podrobnější informace. Správcem a provozovatelem registru je Ústav zdravotnických informací a statistiky ČR (ÚZIS</w:t>
      </w:r>
      <w:r>
        <w:rPr>
          <w:i/>
        </w:rPr>
        <w:t> ČR</w:t>
      </w:r>
      <w:r w:rsidRPr="00005868">
        <w:rPr>
          <w:i/>
        </w:rPr>
        <w:t>).</w:t>
      </w:r>
    </w:p>
    <w:p w:rsidR="006067DA" w:rsidRPr="00240B6D" w:rsidRDefault="006067DA" w:rsidP="006067DA">
      <w:pPr>
        <w:keepNext/>
        <w:spacing w:line="240" w:lineRule="auto"/>
        <w:jc w:val="both"/>
        <w:rPr>
          <w:b/>
          <w:bCs/>
          <w:sz w:val="2"/>
          <w:szCs w:val="18"/>
        </w:rPr>
      </w:pPr>
    </w:p>
    <w:p w:rsidR="006067DA" w:rsidRPr="00240B6D" w:rsidRDefault="006067DA" w:rsidP="006067DA">
      <w:pPr>
        <w:keepNext/>
        <w:spacing w:before="240" w:after="120" w:line="240" w:lineRule="auto"/>
        <w:jc w:val="both"/>
        <w:rPr>
          <w:b/>
          <w:bCs/>
          <w:sz w:val="18"/>
          <w:szCs w:val="18"/>
        </w:rPr>
      </w:pPr>
      <w:r w:rsidRPr="00CE1031">
        <w:rPr>
          <w:b/>
          <w:bCs/>
          <w:sz w:val="18"/>
          <w:szCs w:val="18"/>
        </w:rPr>
        <w:t>Tabulka č. 2.3 Výdaje na zdravotní péči v Česku podle typu poskytovatele</w:t>
      </w:r>
      <w:r w:rsidRPr="00240B6D">
        <w:rPr>
          <w:b/>
          <w:bCs/>
          <w:sz w:val="18"/>
          <w:szCs w:val="18"/>
        </w:rPr>
        <w:t>, 2010</w:t>
      </w:r>
      <w:r>
        <w:rPr>
          <w:b/>
          <w:bCs/>
          <w:sz w:val="18"/>
          <w:szCs w:val="18"/>
        </w:rPr>
        <w:t xml:space="preserve"> a 2013 až</w:t>
      </w:r>
      <w:r w:rsidRPr="00240B6D">
        <w:rPr>
          <w:b/>
          <w:bCs/>
          <w:sz w:val="18"/>
          <w:szCs w:val="18"/>
        </w:rPr>
        <w:t xml:space="preserve"> 201</w:t>
      </w:r>
      <w:r>
        <w:rPr>
          <w:b/>
          <w:bCs/>
          <w:sz w:val="18"/>
          <w:szCs w:val="18"/>
        </w:rPr>
        <w:t>7</w:t>
      </w:r>
      <w:r w:rsidRPr="00240B6D">
        <w:rPr>
          <w:b/>
          <w:bCs/>
          <w:sz w:val="18"/>
          <w:szCs w:val="18"/>
        </w:rPr>
        <w:t xml:space="preserve"> (mil. Kč)</w:t>
      </w:r>
    </w:p>
    <w:tbl>
      <w:tblPr>
        <w:tblW w:w="9484" w:type="dxa"/>
        <w:tblInd w:w="55" w:type="dxa"/>
        <w:tblLayout w:type="fixed"/>
        <w:tblCellMar>
          <w:left w:w="70" w:type="dxa"/>
          <w:right w:w="70" w:type="dxa"/>
        </w:tblCellMar>
        <w:tblLook w:val="04A0" w:firstRow="1" w:lastRow="0" w:firstColumn="1" w:lastColumn="0" w:noHBand="0" w:noVBand="1"/>
      </w:tblPr>
      <w:tblGrid>
        <w:gridCol w:w="3559"/>
        <w:gridCol w:w="846"/>
        <w:gridCol w:w="846"/>
        <w:gridCol w:w="847"/>
        <w:gridCol w:w="846"/>
        <w:gridCol w:w="847"/>
        <w:gridCol w:w="846"/>
        <w:gridCol w:w="847"/>
      </w:tblGrid>
      <w:tr w:rsidR="006067DA" w:rsidRPr="00E06555" w:rsidTr="00836B26">
        <w:trPr>
          <w:trHeight w:val="502"/>
        </w:trPr>
        <w:tc>
          <w:tcPr>
            <w:tcW w:w="3559"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sz w:val="16"/>
                <w:szCs w:val="16"/>
              </w:rPr>
            </w:pPr>
            <w:r w:rsidRPr="00E06555">
              <w:rPr>
                <w:rFonts w:cs="Arial"/>
                <w:sz w:val="16"/>
                <w:szCs w:val="16"/>
              </w:rPr>
              <w:t>Ukazatel</w:t>
            </w:r>
          </w:p>
        </w:tc>
        <w:tc>
          <w:tcPr>
            <w:tcW w:w="846"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2010</w:t>
            </w:r>
          </w:p>
        </w:tc>
        <w:tc>
          <w:tcPr>
            <w:tcW w:w="846"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2013</w:t>
            </w:r>
          </w:p>
        </w:tc>
        <w:tc>
          <w:tcPr>
            <w:tcW w:w="847"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2014</w:t>
            </w:r>
          </w:p>
        </w:tc>
        <w:tc>
          <w:tcPr>
            <w:tcW w:w="846"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2015</w:t>
            </w:r>
          </w:p>
        </w:tc>
        <w:tc>
          <w:tcPr>
            <w:tcW w:w="847" w:type="dxa"/>
            <w:tcBorders>
              <w:top w:val="single" w:sz="8" w:space="0" w:color="auto"/>
              <w:left w:val="nil"/>
              <w:bottom w:val="single" w:sz="8" w:space="0" w:color="auto"/>
              <w:right w:val="single" w:sz="4" w:space="0" w:color="auto"/>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2016</w:t>
            </w:r>
          </w:p>
        </w:tc>
        <w:tc>
          <w:tcPr>
            <w:tcW w:w="846" w:type="dxa"/>
            <w:tcBorders>
              <w:top w:val="single" w:sz="8" w:space="0" w:color="auto"/>
              <w:left w:val="nil"/>
              <w:bottom w:val="single" w:sz="8" w:space="0" w:color="auto"/>
              <w:right w:val="nil"/>
            </w:tcBorders>
            <w:shd w:val="clear" w:color="auto" w:fill="auto"/>
            <w:noWrap/>
            <w:vAlign w:val="center"/>
            <w:hideMark/>
          </w:tcPr>
          <w:p w:rsidR="006067DA" w:rsidRPr="00E06555" w:rsidRDefault="006067DA" w:rsidP="00777353">
            <w:pPr>
              <w:spacing w:line="240" w:lineRule="auto"/>
              <w:jc w:val="center"/>
              <w:rPr>
                <w:rFonts w:cs="Arial"/>
                <w:b/>
                <w:bCs/>
                <w:sz w:val="16"/>
                <w:szCs w:val="16"/>
              </w:rPr>
            </w:pPr>
            <w:r w:rsidRPr="00E06555">
              <w:rPr>
                <w:rFonts w:cs="Arial"/>
                <w:b/>
                <w:bCs/>
                <w:sz w:val="16"/>
                <w:szCs w:val="16"/>
              </w:rPr>
              <w:t>2017</w:t>
            </w:r>
          </w:p>
        </w:tc>
        <w:tc>
          <w:tcPr>
            <w:tcW w:w="847" w:type="dxa"/>
            <w:tcBorders>
              <w:top w:val="single" w:sz="8" w:space="0" w:color="auto"/>
              <w:left w:val="single" w:sz="4" w:space="0" w:color="auto"/>
              <w:bottom w:val="single" w:sz="8" w:space="0" w:color="auto"/>
              <w:right w:val="nil"/>
            </w:tcBorders>
            <w:shd w:val="clear" w:color="auto" w:fill="auto"/>
            <w:vAlign w:val="center"/>
            <w:hideMark/>
          </w:tcPr>
          <w:p w:rsidR="006067DA" w:rsidRPr="00E06555" w:rsidRDefault="006067DA" w:rsidP="00777353">
            <w:pPr>
              <w:spacing w:line="240" w:lineRule="auto"/>
              <w:jc w:val="center"/>
              <w:rPr>
                <w:rFonts w:cs="Arial"/>
                <w:b/>
                <w:bCs/>
                <w:i/>
                <w:iCs/>
                <w:color w:val="000000"/>
                <w:sz w:val="16"/>
                <w:szCs w:val="16"/>
              </w:rPr>
            </w:pPr>
            <w:r w:rsidRPr="00E06555">
              <w:rPr>
                <w:rFonts w:cs="Arial"/>
                <w:b/>
                <w:bCs/>
                <w:i/>
                <w:iCs/>
                <w:color w:val="000000"/>
                <w:sz w:val="16"/>
                <w:szCs w:val="16"/>
              </w:rPr>
              <w:t>Index 2017/2016</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Nemocnice</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133 211</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136 679</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136 872</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137 195</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138 935</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149 191</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107,4</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Všeobecné nemocnice</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114 664</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119 020</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118 723</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122 520</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122 602</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132 507</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108,1</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Specializované nemocnice</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18 547</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17 659</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18 149</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14 676</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16 333</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16 684</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102,2</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Lůžková zařízení dlouhodobé péče (1)</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20 756</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21 895</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22 574</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24 426</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26 014</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28 431</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109,3</w:t>
            </w:r>
          </w:p>
        </w:tc>
      </w:tr>
      <w:tr w:rsidR="006067DA" w:rsidRPr="00E06555" w:rsidTr="00836B26">
        <w:trPr>
          <w:trHeight w:val="300"/>
        </w:trPr>
        <w:tc>
          <w:tcPr>
            <w:tcW w:w="3559" w:type="dxa"/>
            <w:tcBorders>
              <w:top w:val="nil"/>
              <w:left w:val="nil"/>
              <w:bottom w:val="nil"/>
              <w:right w:val="single" w:sz="4" w:space="0" w:color="auto"/>
            </w:tcBorders>
            <w:shd w:val="clear" w:color="auto" w:fill="auto"/>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Zařízení ošetřovatelské dlouhodobé péče</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11 521</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11 928</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11 890</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12 896</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13 773</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15 043</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109,2</w:t>
            </w:r>
          </w:p>
        </w:tc>
      </w:tr>
      <w:tr w:rsidR="006067DA" w:rsidRPr="00E06555" w:rsidTr="00836B26">
        <w:trPr>
          <w:trHeight w:val="300"/>
        </w:trPr>
        <w:tc>
          <w:tcPr>
            <w:tcW w:w="3559" w:type="dxa"/>
            <w:tcBorders>
              <w:top w:val="nil"/>
              <w:left w:val="nil"/>
              <w:bottom w:val="nil"/>
              <w:right w:val="single" w:sz="4" w:space="0" w:color="auto"/>
            </w:tcBorders>
            <w:shd w:val="clear" w:color="auto" w:fill="auto"/>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 xml:space="preserve">Léčebny pro </w:t>
            </w:r>
            <w:r>
              <w:rPr>
                <w:rFonts w:cs="Arial"/>
                <w:sz w:val="16"/>
                <w:szCs w:val="16"/>
              </w:rPr>
              <w:t>zdravotně</w:t>
            </w:r>
            <w:r w:rsidRPr="00E06555">
              <w:rPr>
                <w:rFonts w:cs="Arial"/>
                <w:sz w:val="16"/>
                <w:szCs w:val="16"/>
              </w:rPr>
              <w:t xml:space="preserve"> postižené</w:t>
            </w:r>
            <w:r>
              <w:rPr>
                <w:rFonts w:cs="Arial"/>
                <w:sz w:val="16"/>
                <w:szCs w:val="16"/>
              </w:rPr>
              <w:t xml:space="preserve"> </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8 005</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8 883</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9 695</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10 606</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11 648</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13 387</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114,9</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Zařízení ambulantní péče</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66 878</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71 780</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71 988</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72 856</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74 342</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78 513</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105,6</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Samostatné ordinace lékaře</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37 679</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39 236</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38 481</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40 159</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41 153</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42 952</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104,4</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Samostatné ordinace zubních lékařů</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16 674</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16 704</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17 447</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17 495</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18 030</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19 546</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108,4</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Ambulantní centra a ostatní zařízení (2)</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12 525</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15 840</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16 060</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15 202</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15 159</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16 014</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105,6</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Ostatní přímí poskytovatelé </w:t>
            </w:r>
            <w:r>
              <w:rPr>
                <w:rFonts w:cs="Arial"/>
                <w:b/>
                <w:bCs/>
                <w:sz w:val="16"/>
                <w:szCs w:val="16"/>
              </w:rPr>
              <w:t>zdravotní péče</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20 167</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21 485</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23 970</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23 525</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25 587</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28 691</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112,1</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Domácnosti (3)</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13 788</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14 593</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15 207</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15 991</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17 393</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18 855</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108,4</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Ostatní (4)</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6 379</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6 893</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8 763</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7 534</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8 194</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9 836</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120,0</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Poskytovatelé doplňkových služeb</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11 116</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11 051</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11 240</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11 960</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12 989</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15 295</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117,8</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 xml:space="preserve"> Doprava pacientů a záchranná služba</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6 670</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6 438</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6 558</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7 093</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7 660</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8 352</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109,0</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 xml:space="preserve"> Laboratoře</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4 446</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4 613</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4 682</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4 867</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5 329</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6 943</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130,3</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836B26">
            <w:pPr>
              <w:spacing w:line="240" w:lineRule="auto"/>
              <w:rPr>
                <w:rFonts w:cs="Arial"/>
                <w:b/>
                <w:bCs/>
                <w:sz w:val="16"/>
                <w:szCs w:val="16"/>
              </w:rPr>
            </w:pPr>
            <w:r w:rsidRPr="00E06555">
              <w:rPr>
                <w:rFonts w:cs="Arial"/>
                <w:b/>
                <w:bCs/>
                <w:sz w:val="16"/>
                <w:szCs w:val="16"/>
              </w:rPr>
              <w:t xml:space="preserve"> Lékárny a ost</w:t>
            </w:r>
            <w:r w:rsidR="00836B26">
              <w:rPr>
                <w:rFonts w:cs="Arial"/>
                <w:b/>
                <w:bCs/>
                <w:sz w:val="16"/>
                <w:szCs w:val="16"/>
              </w:rPr>
              <w:t>atní</w:t>
            </w:r>
            <w:r w:rsidRPr="00E06555">
              <w:rPr>
                <w:rFonts w:cs="Arial"/>
                <w:b/>
                <w:bCs/>
                <w:sz w:val="16"/>
                <w:szCs w:val="16"/>
              </w:rPr>
              <w:t xml:space="preserve"> prodejci zdrav</w:t>
            </w:r>
            <w:r w:rsidR="00836B26">
              <w:rPr>
                <w:rFonts w:cs="Arial"/>
                <w:b/>
                <w:bCs/>
                <w:sz w:val="16"/>
                <w:szCs w:val="16"/>
              </w:rPr>
              <w:t>.</w:t>
            </w:r>
            <w:r w:rsidRPr="00E06555">
              <w:rPr>
                <w:rFonts w:cs="Arial"/>
                <w:b/>
                <w:bCs/>
                <w:sz w:val="16"/>
                <w:szCs w:val="16"/>
              </w:rPr>
              <w:t xml:space="preserve"> zboží</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60 738</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59 653</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55 541</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56 592</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58 179</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60 406</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103,8</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 xml:space="preserve"> Lékárny</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51 469</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50 258</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47 159</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48 684</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49 725</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52 207</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105,0</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 xml:space="preserve"> Ostatní prodejci zdravotnického zboží (5)</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9 268</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9 395</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8 382</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7 908</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8 454</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8 200</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97,0</w:t>
            </w:r>
          </w:p>
        </w:tc>
      </w:tr>
      <w:tr w:rsidR="006067DA" w:rsidRPr="00E06555" w:rsidTr="00836B26">
        <w:trPr>
          <w:trHeight w:val="300"/>
        </w:trPr>
        <w:tc>
          <w:tcPr>
            <w:tcW w:w="3559"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 xml:space="preserve"> Správa systému zdravotní péče</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10 794</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11 292</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11 311</w:t>
            </w:r>
          </w:p>
        </w:tc>
        <w:tc>
          <w:tcPr>
            <w:tcW w:w="846"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10 845</w:t>
            </w:r>
          </w:p>
        </w:tc>
        <w:tc>
          <w:tcPr>
            <w:tcW w:w="847" w:type="dxa"/>
            <w:tcBorders>
              <w:top w:val="nil"/>
              <w:left w:val="nil"/>
              <w:bottom w:val="nil"/>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11 067</w:t>
            </w:r>
          </w:p>
        </w:tc>
        <w:tc>
          <w:tcPr>
            <w:tcW w:w="846" w:type="dxa"/>
            <w:tcBorders>
              <w:top w:val="nil"/>
              <w:left w:val="nil"/>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10 572</w:t>
            </w:r>
          </w:p>
        </w:tc>
        <w:tc>
          <w:tcPr>
            <w:tcW w:w="847" w:type="dxa"/>
            <w:tcBorders>
              <w:top w:val="nil"/>
              <w:left w:val="single" w:sz="4" w:space="0" w:color="auto"/>
              <w:bottom w:val="nil"/>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95,5</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Státní správa</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4 046</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4 192</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4 263</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4 355</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4 581</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4 202</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91,7</w:t>
            </w:r>
          </w:p>
        </w:tc>
      </w:tr>
      <w:tr w:rsidR="006067DA" w:rsidRPr="00E06555" w:rsidTr="00836B26">
        <w:trPr>
          <w:trHeight w:val="300"/>
        </w:trPr>
        <w:tc>
          <w:tcPr>
            <w:tcW w:w="3559"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ind w:firstLineChars="100" w:firstLine="160"/>
              <w:rPr>
                <w:rFonts w:cs="Arial"/>
                <w:sz w:val="16"/>
                <w:szCs w:val="16"/>
              </w:rPr>
            </w:pPr>
            <w:r w:rsidRPr="00E06555">
              <w:rPr>
                <w:rFonts w:cs="Arial"/>
                <w:sz w:val="16"/>
                <w:szCs w:val="16"/>
              </w:rPr>
              <w:t>Správa zdravotních pojišťoven</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6 748</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7 100</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7 048</w:t>
            </w:r>
          </w:p>
        </w:tc>
        <w:tc>
          <w:tcPr>
            <w:tcW w:w="846"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6 490</w:t>
            </w:r>
          </w:p>
        </w:tc>
        <w:tc>
          <w:tcPr>
            <w:tcW w:w="847" w:type="dxa"/>
            <w:tcBorders>
              <w:top w:val="nil"/>
              <w:left w:val="nil"/>
              <w:bottom w:val="nil"/>
              <w:right w:val="single" w:sz="4" w:space="0" w:color="auto"/>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6 486</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sz w:val="16"/>
                <w:szCs w:val="16"/>
              </w:rPr>
            </w:pPr>
            <w:r w:rsidRPr="00E06555">
              <w:rPr>
                <w:rFonts w:cs="Arial"/>
                <w:sz w:val="16"/>
                <w:szCs w:val="16"/>
              </w:rPr>
              <w:t>6 371</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i/>
                <w:iCs/>
                <w:color w:val="000000"/>
                <w:sz w:val="16"/>
                <w:szCs w:val="16"/>
              </w:rPr>
            </w:pPr>
            <w:r w:rsidRPr="00E06555">
              <w:rPr>
                <w:rFonts w:cs="Arial"/>
                <w:i/>
                <w:iCs/>
                <w:color w:val="000000"/>
                <w:sz w:val="16"/>
                <w:szCs w:val="16"/>
              </w:rPr>
              <w:t>98,2</w:t>
            </w:r>
          </w:p>
        </w:tc>
      </w:tr>
      <w:tr w:rsidR="006067DA" w:rsidRPr="00E06555" w:rsidTr="00836B26">
        <w:trPr>
          <w:trHeight w:val="300"/>
        </w:trPr>
        <w:tc>
          <w:tcPr>
            <w:tcW w:w="3559"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rPr>
                <w:rFonts w:cs="Arial"/>
                <w:b/>
                <w:bCs/>
                <w:i/>
                <w:iCs/>
                <w:sz w:val="16"/>
                <w:szCs w:val="16"/>
              </w:rPr>
            </w:pPr>
            <w:r w:rsidRPr="00E06555">
              <w:rPr>
                <w:rFonts w:cs="Arial"/>
                <w:b/>
                <w:bCs/>
                <w:i/>
                <w:iCs/>
                <w:sz w:val="16"/>
                <w:szCs w:val="16"/>
              </w:rPr>
              <w:t xml:space="preserve"> ostatní nebo nerozlišeno (6)</w:t>
            </w:r>
          </w:p>
        </w:tc>
        <w:tc>
          <w:tcPr>
            <w:tcW w:w="846"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jc w:val="right"/>
              <w:rPr>
                <w:rFonts w:cs="Arial"/>
                <w:b/>
                <w:bCs/>
                <w:i/>
                <w:iCs/>
                <w:sz w:val="16"/>
                <w:szCs w:val="16"/>
              </w:rPr>
            </w:pPr>
            <w:r w:rsidRPr="00E06555">
              <w:rPr>
                <w:rFonts w:cs="Arial"/>
                <w:b/>
                <w:bCs/>
                <w:i/>
                <w:iCs/>
                <w:sz w:val="16"/>
                <w:szCs w:val="16"/>
              </w:rPr>
              <w:t>10 429</w:t>
            </w:r>
          </w:p>
        </w:tc>
        <w:tc>
          <w:tcPr>
            <w:tcW w:w="846"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jc w:val="right"/>
              <w:rPr>
                <w:rFonts w:cs="Arial"/>
                <w:b/>
                <w:bCs/>
                <w:i/>
                <w:iCs/>
                <w:sz w:val="16"/>
                <w:szCs w:val="16"/>
              </w:rPr>
            </w:pPr>
            <w:r w:rsidRPr="00E06555">
              <w:rPr>
                <w:rFonts w:cs="Arial"/>
                <w:b/>
                <w:bCs/>
                <w:i/>
                <w:iCs/>
                <w:sz w:val="16"/>
                <w:szCs w:val="16"/>
              </w:rPr>
              <w:t>10 885</w:t>
            </w:r>
          </w:p>
        </w:tc>
        <w:tc>
          <w:tcPr>
            <w:tcW w:w="847"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jc w:val="right"/>
              <w:rPr>
                <w:rFonts w:cs="Arial"/>
                <w:b/>
                <w:bCs/>
                <w:i/>
                <w:iCs/>
                <w:sz w:val="16"/>
                <w:szCs w:val="16"/>
              </w:rPr>
            </w:pPr>
            <w:r w:rsidRPr="00E06555">
              <w:rPr>
                <w:rFonts w:cs="Arial"/>
                <w:b/>
                <w:bCs/>
                <w:i/>
                <w:iCs/>
                <w:sz w:val="16"/>
                <w:szCs w:val="16"/>
              </w:rPr>
              <w:t>15 234</w:t>
            </w:r>
          </w:p>
        </w:tc>
        <w:tc>
          <w:tcPr>
            <w:tcW w:w="846"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jc w:val="right"/>
              <w:rPr>
                <w:rFonts w:cs="Arial"/>
                <w:b/>
                <w:bCs/>
                <w:i/>
                <w:iCs/>
                <w:sz w:val="16"/>
                <w:szCs w:val="16"/>
              </w:rPr>
            </w:pPr>
            <w:r w:rsidRPr="00E06555">
              <w:rPr>
                <w:rFonts w:cs="Arial"/>
                <w:b/>
                <w:bCs/>
                <w:i/>
                <w:iCs/>
                <w:sz w:val="16"/>
                <w:szCs w:val="16"/>
              </w:rPr>
              <w:t>14 639</w:t>
            </w:r>
          </w:p>
        </w:tc>
        <w:tc>
          <w:tcPr>
            <w:tcW w:w="847" w:type="dxa"/>
            <w:tcBorders>
              <w:top w:val="nil"/>
              <w:left w:val="nil"/>
              <w:bottom w:val="single" w:sz="8" w:space="0" w:color="auto"/>
              <w:right w:val="single" w:sz="4" w:space="0" w:color="auto"/>
            </w:tcBorders>
            <w:shd w:val="clear" w:color="auto" w:fill="auto"/>
            <w:noWrap/>
            <w:vAlign w:val="bottom"/>
            <w:hideMark/>
          </w:tcPr>
          <w:p w:rsidR="006067DA" w:rsidRPr="00E06555" w:rsidRDefault="006067DA" w:rsidP="00777353">
            <w:pPr>
              <w:spacing w:line="240" w:lineRule="auto"/>
              <w:jc w:val="right"/>
              <w:rPr>
                <w:rFonts w:cs="Arial"/>
                <w:b/>
                <w:bCs/>
                <w:i/>
                <w:iCs/>
                <w:sz w:val="16"/>
                <w:szCs w:val="16"/>
              </w:rPr>
            </w:pPr>
            <w:r w:rsidRPr="00E06555">
              <w:rPr>
                <w:rFonts w:cs="Arial"/>
                <w:b/>
                <w:bCs/>
                <w:i/>
                <w:iCs/>
                <w:sz w:val="16"/>
                <w:szCs w:val="16"/>
              </w:rPr>
              <w:t>14 535</w:t>
            </w:r>
          </w:p>
        </w:tc>
        <w:tc>
          <w:tcPr>
            <w:tcW w:w="846" w:type="dxa"/>
            <w:tcBorders>
              <w:top w:val="nil"/>
              <w:left w:val="nil"/>
              <w:bottom w:val="nil"/>
              <w:right w:val="nil"/>
            </w:tcBorders>
            <w:shd w:val="clear" w:color="auto" w:fill="auto"/>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16 289</w:t>
            </w:r>
          </w:p>
        </w:tc>
        <w:tc>
          <w:tcPr>
            <w:tcW w:w="847" w:type="dxa"/>
            <w:tcBorders>
              <w:top w:val="nil"/>
              <w:left w:val="single" w:sz="4" w:space="0" w:color="auto"/>
              <w:bottom w:val="nil"/>
              <w:right w:val="nil"/>
            </w:tcBorders>
            <w:shd w:val="clear" w:color="auto" w:fill="auto"/>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112,1</w:t>
            </w:r>
          </w:p>
        </w:tc>
      </w:tr>
      <w:tr w:rsidR="006067DA" w:rsidRPr="00E06555" w:rsidTr="00836B26">
        <w:trPr>
          <w:trHeight w:val="300"/>
        </w:trPr>
        <w:tc>
          <w:tcPr>
            <w:tcW w:w="3559"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rPr>
                <w:rFonts w:cs="Arial"/>
                <w:b/>
                <w:bCs/>
                <w:sz w:val="16"/>
                <w:szCs w:val="16"/>
              </w:rPr>
            </w:pPr>
            <w:r w:rsidRPr="00E06555">
              <w:rPr>
                <w:rFonts w:cs="Arial"/>
                <w:b/>
                <w:bCs/>
                <w:sz w:val="16"/>
                <w:szCs w:val="16"/>
              </w:rPr>
              <w:t>Poskytovatelé zdravotní péče celkem</w:t>
            </w:r>
          </w:p>
        </w:tc>
        <w:tc>
          <w:tcPr>
            <w:tcW w:w="846"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334 088</w:t>
            </w:r>
          </w:p>
        </w:tc>
        <w:tc>
          <w:tcPr>
            <w:tcW w:w="846"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344 720</w:t>
            </w:r>
          </w:p>
        </w:tc>
        <w:tc>
          <w:tcPr>
            <w:tcW w:w="847"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348 730</w:t>
            </w:r>
          </w:p>
        </w:tc>
        <w:tc>
          <w:tcPr>
            <w:tcW w:w="846"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352 039</w:t>
            </w:r>
          </w:p>
        </w:tc>
        <w:tc>
          <w:tcPr>
            <w:tcW w:w="847" w:type="dxa"/>
            <w:tcBorders>
              <w:top w:val="nil"/>
              <w:left w:val="nil"/>
              <w:bottom w:val="single" w:sz="8" w:space="0" w:color="auto"/>
              <w:right w:val="single" w:sz="4" w:space="0" w:color="auto"/>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361 647</w:t>
            </w:r>
          </w:p>
        </w:tc>
        <w:tc>
          <w:tcPr>
            <w:tcW w:w="846" w:type="dxa"/>
            <w:tcBorders>
              <w:top w:val="single" w:sz="8" w:space="0" w:color="auto"/>
              <w:left w:val="nil"/>
              <w:bottom w:val="single" w:sz="8" w:space="0" w:color="auto"/>
              <w:right w:val="nil"/>
            </w:tcBorders>
            <w:shd w:val="clear" w:color="000000" w:fill="F2DCDB"/>
            <w:noWrap/>
            <w:vAlign w:val="bottom"/>
            <w:hideMark/>
          </w:tcPr>
          <w:p w:rsidR="006067DA" w:rsidRPr="00E06555" w:rsidRDefault="006067DA" w:rsidP="00777353">
            <w:pPr>
              <w:spacing w:line="240" w:lineRule="auto"/>
              <w:jc w:val="right"/>
              <w:rPr>
                <w:rFonts w:cs="Arial"/>
                <w:b/>
                <w:bCs/>
                <w:sz w:val="16"/>
                <w:szCs w:val="16"/>
              </w:rPr>
            </w:pPr>
            <w:r w:rsidRPr="00E06555">
              <w:rPr>
                <w:rFonts w:cs="Arial"/>
                <w:b/>
                <w:bCs/>
                <w:sz w:val="16"/>
                <w:szCs w:val="16"/>
              </w:rPr>
              <w:t>387 388</w:t>
            </w:r>
          </w:p>
        </w:tc>
        <w:tc>
          <w:tcPr>
            <w:tcW w:w="847" w:type="dxa"/>
            <w:tcBorders>
              <w:top w:val="single" w:sz="8" w:space="0" w:color="auto"/>
              <w:left w:val="single" w:sz="4" w:space="0" w:color="auto"/>
              <w:bottom w:val="single" w:sz="8" w:space="0" w:color="auto"/>
              <w:right w:val="nil"/>
            </w:tcBorders>
            <w:shd w:val="clear" w:color="000000" w:fill="F2DCDB"/>
            <w:noWrap/>
            <w:vAlign w:val="bottom"/>
            <w:hideMark/>
          </w:tcPr>
          <w:p w:rsidR="006067DA" w:rsidRPr="00E06555" w:rsidRDefault="006067DA" w:rsidP="00777353">
            <w:pPr>
              <w:spacing w:line="240" w:lineRule="auto"/>
              <w:jc w:val="right"/>
              <w:rPr>
                <w:rFonts w:cs="Arial"/>
                <w:b/>
                <w:bCs/>
                <w:i/>
                <w:iCs/>
                <w:color w:val="000000"/>
                <w:sz w:val="16"/>
                <w:szCs w:val="16"/>
              </w:rPr>
            </w:pPr>
            <w:r w:rsidRPr="00E06555">
              <w:rPr>
                <w:rFonts w:cs="Arial"/>
                <w:b/>
                <w:bCs/>
                <w:i/>
                <w:iCs/>
                <w:color w:val="000000"/>
                <w:sz w:val="16"/>
                <w:szCs w:val="16"/>
              </w:rPr>
              <w:t>107,1</w:t>
            </w:r>
          </w:p>
        </w:tc>
      </w:tr>
    </w:tbl>
    <w:p w:rsidR="006067DA" w:rsidRPr="00240B6D" w:rsidRDefault="006067DA" w:rsidP="00836B26">
      <w:pPr>
        <w:keepNext/>
        <w:spacing w:before="40" w:after="40" w:line="240" w:lineRule="auto"/>
        <w:jc w:val="both"/>
        <w:rPr>
          <w:sz w:val="16"/>
          <w:szCs w:val="18"/>
        </w:rPr>
      </w:pPr>
      <w:r w:rsidRPr="00240B6D">
        <w:rPr>
          <w:sz w:val="16"/>
          <w:szCs w:val="18"/>
        </w:rPr>
        <w:t>(1) zahrnují mj. domovy pro seniory s ošetřovatelskou péčí, léčebny pro dlouhodobě nemocné, zařízení hospicového typu</w:t>
      </w:r>
    </w:p>
    <w:p w:rsidR="006067DA" w:rsidRPr="00240B6D" w:rsidRDefault="006067DA" w:rsidP="00836B26">
      <w:pPr>
        <w:keepNext/>
        <w:spacing w:after="40" w:line="240" w:lineRule="auto"/>
        <w:jc w:val="both"/>
        <w:rPr>
          <w:sz w:val="16"/>
          <w:szCs w:val="18"/>
        </w:rPr>
      </w:pPr>
      <w:r w:rsidRPr="00240B6D">
        <w:rPr>
          <w:sz w:val="16"/>
          <w:szCs w:val="18"/>
        </w:rPr>
        <w:t xml:space="preserve">(2) zahrnují ambulance nelékařů – </w:t>
      </w:r>
      <w:r>
        <w:rPr>
          <w:sz w:val="16"/>
          <w:szCs w:val="18"/>
        </w:rPr>
        <w:t xml:space="preserve">např. </w:t>
      </w:r>
      <w:r w:rsidRPr="00240B6D">
        <w:rPr>
          <w:sz w:val="16"/>
          <w:szCs w:val="18"/>
        </w:rPr>
        <w:t xml:space="preserve">psycholog, ergoterapeut, </w:t>
      </w:r>
      <w:r>
        <w:rPr>
          <w:sz w:val="16"/>
          <w:szCs w:val="18"/>
        </w:rPr>
        <w:t>logoped, dentální hygiena, fyzioterapie apod.</w:t>
      </w:r>
    </w:p>
    <w:p w:rsidR="006067DA" w:rsidRPr="00240B6D" w:rsidRDefault="006067DA" w:rsidP="00836B26">
      <w:pPr>
        <w:keepNext/>
        <w:spacing w:after="40" w:line="240" w:lineRule="auto"/>
        <w:jc w:val="both"/>
        <w:rPr>
          <w:sz w:val="16"/>
          <w:szCs w:val="18"/>
        </w:rPr>
      </w:pPr>
      <w:r w:rsidRPr="00240B6D">
        <w:rPr>
          <w:sz w:val="16"/>
          <w:szCs w:val="18"/>
        </w:rPr>
        <w:t>(3) ve skupině domácnosti jako poskytovatelé zdravotní péče je zahrnuto ošetřovné a příspěvek na péči zajišťovanou osobou blízkou</w:t>
      </w:r>
    </w:p>
    <w:p w:rsidR="006067DA" w:rsidRPr="00240B6D" w:rsidRDefault="006067DA" w:rsidP="00836B26">
      <w:pPr>
        <w:keepNext/>
        <w:spacing w:after="40" w:line="240" w:lineRule="auto"/>
        <w:jc w:val="both"/>
        <w:rPr>
          <w:sz w:val="16"/>
          <w:szCs w:val="18"/>
        </w:rPr>
      </w:pPr>
      <w:r w:rsidRPr="00240B6D">
        <w:rPr>
          <w:sz w:val="16"/>
          <w:szCs w:val="18"/>
        </w:rPr>
        <w:t xml:space="preserve">(4) zahrnuje poskytovatele, kteří poskytují zdravotní péči jako sekundární produkt své činnosti např. závodní preventivní péče, školní </w:t>
      </w:r>
      <w:r>
        <w:rPr>
          <w:sz w:val="16"/>
          <w:szCs w:val="18"/>
        </w:rPr>
        <w:t xml:space="preserve">zdravotní </w:t>
      </w:r>
      <w:r w:rsidRPr="00240B6D">
        <w:rPr>
          <w:sz w:val="16"/>
          <w:szCs w:val="18"/>
        </w:rPr>
        <w:t>péče, lékařskou péči v zařízeních vězeňské služby</w:t>
      </w:r>
    </w:p>
    <w:p w:rsidR="006067DA" w:rsidRPr="00240B6D" w:rsidRDefault="006067DA" w:rsidP="00836B26">
      <w:pPr>
        <w:keepNext/>
        <w:spacing w:after="40" w:line="240" w:lineRule="auto"/>
        <w:jc w:val="both"/>
        <w:rPr>
          <w:sz w:val="16"/>
          <w:szCs w:val="18"/>
        </w:rPr>
      </w:pPr>
      <w:r w:rsidRPr="00BC2F06">
        <w:rPr>
          <w:sz w:val="16"/>
          <w:szCs w:val="18"/>
        </w:rPr>
        <w:t xml:space="preserve">(5) </w:t>
      </w:r>
      <w:r>
        <w:rPr>
          <w:sz w:val="16"/>
          <w:szCs w:val="18"/>
        </w:rPr>
        <w:t xml:space="preserve">např. </w:t>
      </w:r>
      <w:r w:rsidRPr="00BC2F06">
        <w:rPr>
          <w:sz w:val="16"/>
          <w:szCs w:val="18"/>
        </w:rPr>
        <w:t>e-shopy se zaměřením na prodej léků, zdravotnického materiálu a terapeutických pomůcek</w:t>
      </w:r>
    </w:p>
    <w:p w:rsidR="006067DA" w:rsidRDefault="006067DA" w:rsidP="006067DA">
      <w:pPr>
        <w:keepNext/>
        <w:spacing w:line="240" w:lineRule="auto"/>
        <w:jc w:val="both"/>
        <w:rPr>
          <w:sz w:val="16"/>
          <w:szCs w:val="18"/>
        </w:rPr>
      </w:pPr>
      <w:r w:rsidRPr="00240B6D">
        <w:rPr>
          <w:sz w:val="16"/>
          <w:szCs w:val="18"/>
        </w:rPr>
        <w:t xml:space="preserve">(6) poskytovatelé preventivní péče a také </w:t>
      </w:r>
      <w:r>
        <w:rPr>
          <w:sz w:val="16"/>
          <w:szCs w:val="18"/>
        </w:rPr>
        <w:t xml:space="preserve">blíže </w:t>
      </w:r>
      <w:r w:rsidRPr="00240B6D">
        <w:rPr>
          <w:sz w:val="16"/>
          <w:szCs w:val="18"/>
        </w:rPr>
        <w:t>ne</w:t>
      </w:r>
      <w:r>
        <w:rPr>
          <w:sz w:val="16"/>
          <w:szCs w:val="18"/>
        </w:rPr>
        <w:t xml:space="preserve">určené či nespecifikované </w:t>
      </w:r>
      <w:r w:rsidRPr="00240B6D">
        <w:rPr>
          <w:sz w:val="16"/>
          <w:szCs w:val="18"/>
        </w:rPr>
        <w:t>typy poskytovatelů</w:t>
      </w:r>
    </w:p>
    <w:p w:rsidR="006067DA" w:rsidRPr="00240B6D" w:rsidRDefault="006067DA" w:rsidP="00836B26">
      <w:pPr>
        <w:spacing w:before="120" w:line="240" w:lineRule="auto"/>
        <w:jc w:val="right"/>
        <w:rPr>
          <w:b/>
          <w:bCs/>
          <w:i/>
          <w:sz w:val="16"/>
          <w:szCs w:val="16"/>
        </w:rPr>
      </w:pPr>
      <w:r w:rsidRPr="00240B6D">
        <w:rPr>
          <w:b/>
          <w:bCs/>
          <w:i/>
          <w:sz w:val="16"/>
          <w:szCs w:val="16"/>
        </w:rPr>
        <w:t>Zdroj: ČSÚ 201</w:t>
      </w:r>
      <w:r>
        <w:rPr>
          <w:b/>
          <w:bCs/>
          <w:i/>
          <w:sz w:val="16"/>
          <w:szCs w:val="16"/>
        </w:rPr>
        <w:t>9</w:t>
      </w:r>
      <w:r w:rsidRPr="00240B6D">
        <w:rPr>
          <w:b/>
          <w:bCs/>
          <w:i/>
          <w:sz w:val="16"/>
          <w:szCs w:val="16"/>
        </w:rPr>
        <w:t>, Zdravotnické účty ČR 2010 - 201</w:t>
      </w:r>
      <w:r>
        <w:rPr>
          <w:b/>
          <w:bCs/>
          <w:i/>
          <w:sz w:val="16"/>
          <w:szCs w:val="16"/>
        </w:rPr>
        <w:t>7</w:t>
      </w:r>
      <w:r w:rsidRPr="00240B6D">
        <w:rPr>
          <w:b/>
          <w:bCs/>
          <w:i/>
          <w:sz w:val="16"/>
          <w:szCs w:val="16"/>
        </w:rPr>
        <w:t xml:space="preserve"> </w:t>
      </w:r>
    </w:p>
    <w:p w:rsidR="006067DA" w:rsidRPr="00240B6D" w:rsidRDefault="006067DA" w:rsidP="006067DA">
      <w:pPr>
        <w:widowControl w:val="0"/>
        <w:spacing w:before="240" w:after="120"/>
        <w:jc w:val="both"/>
        <w:rPr>
          <w:b/>
          <w:bCs/>
          <w:i/>
          <w:szCs w:val="17"/>
        </w:rPr>
      </w:pPr>
      <w:r w:rsidRPr="00240B6D">
        <w:rPr>
          <w:b/>
          <w:bCs/>
          <w:i/>
          <w:szCs w:val="17"/>
        </w:rPr>
        <w:lastRenderedPageBreak/>
        <w:t xml:space="preserve">Od roku 2010 se zvýšily výdaje </w:t>
      </w:r>
      <w:r>
        <w:rPr>
          <w:b/>
          <w:bCs/>
          <w:i/>
          <w:szCs w:val="17"/>
        </w:rPr>
        <w:t xml:space="preserve">na péči v </w:t>
      </w:r>
      <w:r w:rsidRPr="00240B6D">
        <w:rPr>
          <w:b/>
          <w:bCs/>
          <w:i/>
          <w:szCs w:val="17"/>
        </w:rPr>
        <w:t>nemocnic</w:t>
      </w:r>
      <w:r>
        <w:rPr>
          <w:b/>
          <w:bCs/>
          <w:i/>
          <w:szCs w:val="17"/>
        </w:rPr>
        <w:t>ích</w:t>
      </w:r>
      <w:r w:rsidRPr="00240B6D">
        <w:rPr>
          <w:b/>
          <w:bCs/>
          <w:i/>
          <w:szCs w:val="17"/>
        </w:rPr>
        <w:t xml:space="preserve"> o </w:t>
      </w:r>
      <w:r>
        <w:rPr>
          <w:b/>
          <w:bCs/>
          <w:i/>
          <w:szCs w:val="17"/>
        </w:rPr>
        <w:t>1</w:t>
      </w:r>
      <w:r w:rsidRPr="00240B6D">
        <w:rPr>
          <w:b/>
          <w:bCs/>
          <w:i/>
          <w:szCs w:val="17"/>
        </w:rPr>
        <w:t xml:space="preserve">6 miliard Kč (o </w:t>
      </w:r>
      <w:r>
        <w:rPr>
          <w:b/>
          <w:bCs/>
          <w:i/>
          <w:szCs w:val="17"/>
        </w:rPr>
        <w:t>12</w:t>
      </w:r>
      <w:r w:rsidRPr="00240B6D">
        <w:rPr>
          <w:b/>
          <w:bCs/>
          <w:i/>
          <w:szCs w:val="17"/>
        </w:rPr>
        <w:t xml:space="preserve"> %)</w:t>
      </w:r>
    </w:p>
    <w:p w:rsidR="006067DA" w:rsidRPr="00752F72" w:rsidRDefault="006067DA" w:rsidP="006067DA">
      <w:pPr>
        <w:widowControl w:val="0"/>
        <w:spacing w:before="120"/>
        <w:jc w:val="both"/>
        <w:rPr>
          <w:i/>
          <w:szCs w:val="20"/>
        </w:rPr>
      </w:pPr>
      <w:r>
        <w:rPr>
          <w:szCs w:val="20"/>
        </w:rPr>
        <w:t>V</w:t>
      </w:r>
      <w:r w:rsidR="00836B26">
        <w:rPr>
          <w:szCs w:val="20"/>
        </w:rPr>
        <w:t xml:space="preserve"> celém sledovaném období let </w:t>
      </w:r>
      <w:r>
        <w:rPr>
          <w:szCs w:val="20"/>
        </w:rPr>
        <w:t xml:space="preserve">2010 </w:t>
      </w:r>
      <w:r w:rsidR="00836B26">
        <w:rPr>
          <w:szCs w:val="20"/>
        </w:rPr>
        <w:t>až</w:t>
      </w:r>
      <w:r>
        <w:rPr>
          <w:szCs w:val="20"/>
        </w:rPr>
        <w:t xml:space="preserve"> 2017</w:t>
      </w:r>
      <w:r w:rsidRPr="00240B6D">
        <w:rPr>
          <w:szCs w:val="20"/>
        </w:rPr>
        <w:t xml:space="preserve"> </w:t>
      </w:r>
      <w:r>
        <w:rPr>
          <w:szCs w:val="20"/>
        </w:rPr>
        <w:t xml:space="preserve">stabilně </w:t>
      </w:r>
      <w:r w:rsidRPr="00240B6D">
        <w:rPr>
          <w:szCs w:val="20"/>
        </w:rPr>
        <w:t xml:space="preserve">téměř dvě pětiny finančních prostředků </w:t>
      </w:r>
      <w:r>
        <w:rPr>
          <w:szCs w:val="20"/>
        </w:rPr>
        <w:t>na zdravotní péči směřují</w:t>
      </w:r>
      <w:r w:rsidRPr="00240B6D">
        <w:rPr>
          <w:szCs w:val="20"/>
        </w:rPr>
        <w:t xml:space="preserve"> do </w:t>
      </w:r>
      <w:r w:rsidRPr="00240B6D">
        <w:rPr>
          <w:b/>
          <w:szCs w:val="20"/>
        </w:rPr>
        <w:t>nemocnic</w:t>
      </w:r>
      <w:r w:rsidRPr="00240B6D">
        <w:rPr>
          <w:szCs w:val="20"/>
        </w:rPr>
        <w:t>. V roce 201</w:t>
      </w:r>
      <w:r>
        <w:rPr>
          <w:szCs w:val="20"/>
        </w:rPr>
        <w:t>7</w:t>
      </w:r>
      <w:r w:rsidRPr="00240B6D">
        <w:rPr>
          <w:szCs w:val="20"/>
        </w:rPr>
        <w:t xml:space="preserve"> z toho 8</w:t>
      </w:r>
      <w:r>
        <w:rPr>
          <w:szCs w:val="20"/>
        </w:rPr>
        <w:t>9</w:t>
      </w:r>
      <w:r w:rsidRPr="00240B6D">
        <w:rPr>
          <w:szCs w:val="20"/>
        </w:rPr>
        <w:t xml:space="preserve"> % připadalo na </w:t>
      </w:r>
      <w:r w:rsidRPr="00746E1B">
        <w:rPr>
          <w:b/>
          <w:szCs w:val="20"/>
        </w:rPr>
        <w:t>všeobecné nemocnice</w:t>
      </w:r>
      <w:r w:rsidRPr="00240B6D">
        <w:rPr>
          <w:szCs w:val="20"/>
        </w:rPr>
        <w:t xml:space="preserve"> a zbývajících 1</w:t>
      </w:r>
      <w:r>
        <w:rPr>
          <w:szCs w:val="20"/>
        </w:rPr>
        <w:t>1</w:t>
      </w:r>
      <w:r w:rsidRPr="00240B6D">
        <w:rPr>
          <w:szCs w:val="20"/>
        </w:rPr>
        <w:t xml:space="preserve"> % výdajů na zdravotní péči náleželo </w:t>
      </w:r>
      <w:r w:rsidRPr="00746E1B">
        <w:rPr>
          <w:b/>
          <w:szCs w:val="20"/>
        </w:rPr>
        <w:t>specializovaným nemocnicím</w:t>
      </w:r>
      <w:r w:rsidRPr="00240B6D">
        <w:rPr>
          <w:szCs w:val="20"/>
        </w:rPr>
        <w:t>, kam podle mezinárodní metodologie SHA 2011 patří např. psychiatrické nemocnice, zařízení následné péče, rehabilitační nemocnice a nemocnice léčebně rehabilitační péče včetně lázní.</w:t>
      </w:r>
      <w:r>
        <w:rPr>
          <w:szCs w:val="20"/>
        </w:rPr>
        <w:t xml:space="preserve"> </w:t>
      </w:r>
      <w:r w:rsidRPr="00752F72">
        <w:rPr>
          <w:i/>
          <w:szCs w:val="20"/>
        </w:rPr>
        <w:t>Průměrná ošetřovací doba v nemocnicích (akutní a následné péče) zůstává stejná jako v roce 2016 a odpovídá hodnotě 6,6 dne.</w:t>
      </w:r>
    </w:p>
    <w:p w:rsidR="006067DA" w:rsidRPr="00240B6D" w:rsidRDefault="006067DA" w:rsidP="006067DA">
      <w:pPr>
        <w:spacing w:before="120"/>
        <w:jc w:val="both"/>
        <w:rPr>
          <w:szCs w:val="20"/>
        </w:rPr>
      </w:pPr>
      <w:r w:rsidRPr="00240B6D">
        <w:rPr>
          <w:szCs w:val="20"/>
        </w:rPr>
        <w:t xml:space="preserve">V pořadí za nimi následovaly výdaje v </w:t>
      </w:r>
      <w:r w:rsidRPr="00240B6D">
        <w:rPr>
          <w:b/>
          <w:szCs w:val="20"/>
        </w:rPr>
        <w:t>zařízeních ambulantní péče</w:t>
      </w:r>
      <w:r w:rsidRPr="00240B6D">
        <w:rPr>
          <w:szCs w:val="20"/>
        </w:rPr>
        <w:t xml:space="preserve"> (v roce 201</w:t>
      </w:r>
      <w:r>
        <w:rPr>
          <w:szCs w:val="20"/>
        </w:rPr>
        <w:t>7</w:t>
      </w:r>
      <w:r w:rsidRPr="00240B6D">
        <w:rPr>
          <w:szCs w:val="20"/>
        </w:rPr>
        <w:t xml:space="preserve"> dosahovaly jedné pětiny celkových výdajů). V této skupině  poskytovatelů připadalo 55 % výdajů na </w:t>
      </w:r>
      <w:r w:rsidRPr="00E65D1A">
        <w:rPr>
          <w:b/>
          <w:szCs w:val="20"/>
        </w:rPr>
        <w:t>samostatné</w:t>
      </w:r>
      <w:r w:rsidRPr="00240B6D">
        <w:rPr>
          <w:szCs w:val="20"/>
        </w:rPr>
        <w:t xml:space="preserve"> </w:t>
      </w:r>
      <w:r w:rsidRPr="00240B6D">
        <w:rPr>
          <w:b/>
          <w:szCs w:val="20"/>
        </w:rPr>
        <w:t>ordinace lékařů</w:t>
      </w:r>
      <w:r w:rsidRPr="00240B6D">
        <w:rPr>
          <w:szCs w:val="20"/>
        </w:rPr>
        <w:t xml:space="preserve"> a 2</w:t>
      </w:r>
      <w:r>
        <w:rPr>
          <w:szCs w:val="20"/>
        </w:rPr>
        <w:t>5</w:t>
      </w:r>
      <w:r w:rsidRPr="00240B6D">
        <w:rPr>
          <w:szCs w:val="20"/>
        </w:rPr>
        <w:t xml:space="preserve"> % na </w:t>
      </w:r>
      <w:r w:rsidRPr="00240B6D">
        <w:rPr>
          <w:b/>
          <w:szCs w:val="20"/>
        </w:rPr>
        <w:t>ordinace stomatologů</w:t>
      </w:r>
      <w:r w:rsidRPr="00240B6D">
        <w:rPr>
          <w:szCs w:val="20"/>
        </w:rPr>
        <w:t xml:space="preserve">. </w:t>
      </w:r>
    </w:p>
    <w:p w:rsidR="006067DA" w:rsidRPr="00240B6D" w:rsidRDefault="006067DA" w:rsidP="006067DA">
      <w:pPr>
        <w:spacing w:before="240" w:line="240" w:lineRule="auto"/>
        <w:rPr>
          <w:b/>
          <w:bCs/>
          <w:noProof/>
          <w:sz w:val="18"/>
          <w:szCs w:val="18"/>
        </w:rPr>
      </w:pPr>
      <w:r w:rsidRPr="00240B6D">
        <w:rPr>
          <w:b/>
          <w:bCs/>
          <w:noProof/>
          <w:sz w:val="18"/>
          <w:szCs w:val="18"/>
        </w:rPr>
        <w:t>Graf 2.1</w:t>
      </w:r>
      <w:r w:rsidR="001466BB">
        <w:rPr>
          <w:b/>
          <w:bCs/>
          <w:noProof/>
          <w:sz w:val="18"/>
          <w:szCs w:val="18"/>
        </w:rPr>
        <w:t xml:space="preserve">4 </w:t>
      </w:r>
      <w:r w:rsidRPr="00240B6D">
        <w:rPr>
          <w:b/>
          <w:bCs/>
          <w:noProof/>
          <w:sz w:val="18"/>
          <w:szCs w:val="18"/>
        </w:rPr>
        <w:t xml:space="preserve">Výdaje na zdravotní péči v Česku podle poskytovatelů, </w:t>
      </w:r>
      <w:r>
        <w:rPr>
          <w:b/>
          <w:bCs/>
          <w:noProof/>
          <w:sz w:val="18"/>
          <w:szCs w:val="18"/>
        </w:rPr>
        <w:t xml:space="preserve">2015 – 2017 </w:t>
      </w:r>
    </w:p>
    <w:p w:rsidR="006067DA" w:rsidRPr="00240B6D" w:rsidRDefault="006067DA" w:rsidP="006067DA">
      <w:pPr>
        <w:keepNext/>
        <w:tabs>
          <w:tab w:val="left" w:pos="142"/>
          <w:tab w:val="left" w:pos="5812"/>
        </w:tabs>
        <w:spacing w:before="120"/>
        <w:jc w:val="both"/>
        <w:rPr>
          <w:b/>
          <w:i/>
          <w:sz w:val="18"/>
        </w:rPr>
      </w:pPr>
      <w:r w:rsidRPr="00240B6D">
        <w:rPr>
          <w:b/>
          <w:i/>
          <w:sz w:val="18"/>
        </w:rPr>
        <w:tab/>
        <w:t xml:space="preserve">a) v mld. Kč </w:t>
      </w:r>
      <w:r w:rsidRPr="00240B6D">
        <w:rPr>
          <w:b/>
          <w:i/>
          <w:sz w:val="18"/>
        </w:rPr>
        <w:tab/>
        <w:t>b) struktura v %</w:t>
      </w:r>
    </w:p>
    <w:p w:rsidR="006067DA" w:rsidRPr="00240B6D" w:rsidRDefault="00DE7B9D" w:rsidP="006067DA">
      <w:pPr>
        <w:keepNext/>
        <w:jc w:val="both"/>
      </w:pPr>
      <w:r>
        <w:rPr>
          <w:noProof/>
        </w:rPr>
        <w:drawing>
          <wp:inline distT="0" distB="0" distL="0" distR="0" wp14:anchorId="7FEF45F8">
            <wp:extent cx="3780155" cy="378015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80155" cy="3780155"/>
                    </a:xfrm>
                    <a:prstGeom prst="rect">
                      <a:avLst/>
                    </a:prstGeom>
                    <a:noFill/>
                  </pic:spPr>
                </pic:pic>
              </a:graphicData>
            </a:graphic>
          </wp:inline>
        </w:drawing>
      </w:r>
      <w:r>
        <w:rPr>
          <w:noProof/>
        </w:rPr>
        <w:drawing>
          <wp:inline distT="0" distB="0" distL="0" distR="0" wp14:anchorId="62EF2892">
            <wp:extent cx="2231390" cy="378015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31390" cy="3780155"/>
                    </a:xfrm>
                    <a:prstGeom prst="rect">
                      <a:avLst/>
                    </a:prstGeom>
                    <a:noFill/>
                  </pic:spPr>
                </pic:pic>
              </a:graphicData>
            </a:graphic>
          </wp:inline>
        </w:drawing>
      </w:r>
    </w:p>
    <w:p w:rsidR="006067DA" w:rsidRPr="00240B6D" w:rsidRDefault="006067DA" w:rsidP="00830E10">
      <w:pPr>
        <w:keepNext/>
        <w:spacing w:after="40" w:line="240" w:lineRule="auto"/>
        <w:jc w:val="both"/>
        <w:rPr>
          <w:sz w:val="16"/>
        </w:rPr>
      </w:pPr>
      <w:r>
        <w:rPr>
          <w:sz w:val="16"/>
        </w:rPr>
        <w:t>(</w:t>
      </w:r>
      <w:r w:rsidRPr="00240B6D">
        <w:rPr>
          <w:sz w:val="16"/>
        </w:rPr>
        <w:t>1) zahrnují např. domovy pro seniory, domovy se zvláštním režimem, týdenní stacionáře, léčebny pro psychiatrické a závislé pacienty</w:t>
      </w:r>
    </w:p>
    <w:p w:rsidR="006067DA" w:rsidRPr="00240B6D" w:rsidRDefault="006067DA" w:rsidP="00830E10">
      <w:pPr>
        <w:keepNext/>
        <w:spacing w:after="40" w:line="240" w:lineRule="auto"/>
        <w:jc w:val="both"/>
        <w:rPr>
          <w:sz w:val="16"/>
        </w:rPr>
      </w:pPr>
      <w:r>
        <w:rPr>
          <w:sz w:val="16"/>
        </w:rPr>
        <w:t>(</w:t>
      </w:r>
      <w:r w:rsidRPr="00240B6D">
        <w:rPr>
          <w:sz w:val="16"/>
        </w:rPr>
        <w:t>2) zahrnují domácnosti, poskytovatele závodní preventivní péče</w:t>
      </w:r>
      <w:r>
        <w:rPr>
          <w:sz w:val="16"/>
        </w:rPr>
        <w:t>, školní zdravotní péče</w:t>
      </w:r>
      <w:r w:rsidRPr="00240B6D">
        <w:rPr>
          <w:sz w:val="16"/>
        </w:rPr>
        <w:t xml:space="preserve"> apod.</w:t>
      </w:r>
    </w:p>
    <w:p w:rsidR="006067DA" w:rsidRPr="00240B6D" w:rsidRDefault="006067DA" w:rsidP="00830E10">
      <w:pPr>
        <w:keepNext/>
        <w:spacing w:after="40" w:line="240" w:lineRule="auto"/>
        <w:jc w:val="both"/>
        <w:rPr>
          <w:b/>
          <w:bCs/>
          <w:i/>
          <w:sz w:val="16"/>
          <w:szCs w:val="16"/>
        </w:rPr>
      </w:pPr>
      <w:r>
        <w:rPr>
          <w:sz w:val="16"/>
        </w:rPr>
        <w:t>(</w:t>
      </w:r>
      <w:r w:rsidRPr="00240B6D">
        <w:rPr>
          <w:sz w:val="16"/>
        </w:rPr>
        <w:t>3) zahrnují dopravu pacientů včetně záchranné služby a laboratoře</w:t>
      </w:r>
      <w:r>
        <w:rPr>
          <w:sz w:val="16"/>
        </w:rPr>
        <w:t xml:space="preserve">; ZP – zdravotní péče </w:t>
      </w:r>
    </w:p>
    <w:p w:rsidR="006067DA" w:rsidRPr="00240B6D" w:rsidRDefault="006067DA" w:rsidP="00830E10">
      <w:pPr>
        <w:spacing w:after="120" w:line="240" w:lineRule="auto"/>
        <w:jc w:val="right"/>
        <w:rPr>
          <w:b/>
          <w:bCs/>
          <w:i/>
          <w:sz w:val="16"/>
          <w:szCs w:val="16"/>
        </w:rPr>
      </w:pPr>
      <w:r w:rsidRPr="00240B6D">
        <w:rPr>
          <w:b/>
          <w:bCs/>
          <w:i/>
          <w:sz w:val="16"/>
          <w:szCs w:val="16"/>
        </w:rPr>
        <w:tab/>
      </w:r>
      <w:r w:rsidRPr="00240B6D">
        <w:rPr>
          <w:b/>
          <w:bCs/>
          <w:i/>
          <w:sz w:val="16"/>
          <w:szCs w:val="16"/>
        </w:rPr>
        <w:tab/>
        <w:t>Zdroj: ČSÚ 201</w:t>
      </w:r>
      <w:r>
        <w:rPr>
          <w:b/>
          <w:bCs/>
          <w:i/>
          <w:sz w:val="16"/>
          <w:szCs w:val="16"/>
        </w:rPr>
        <w:t>9</w:t>
      </w:r>
      <w:r w:rsidRPr="00240B6D">
        <w:rPr>
          <w:b/>
          <w:bCs/>
          <w:i/>
          <w:sz w:val="16"/>
          <w:szCs w:val="16"/>
        </w:rPr>
        <w:t xml:space="preserve">, </w:t>
      </w:r>
      <w:r>
        <w:rPr>
          <w:b/>
          <w:bCs/>
          <w:i/>
          <w:sz w:val="16"/>
          <w:szCs w:val="16"/>
        </w:rPr>
        <w:t>Zdravotnické účty ČR 2010 - 2017</w:t>
      </w:r>
      <w:r w:rsidRPr="00240B6D">
        <w:rPr>
          <w:b/>
          <w:bCs/>
          <w:i/>
          <w:sz w:val="16"/>
          <w:szCs w:val="16"/>
        </w:rPr>
        <w:t xml:space="preserve"> </w:t>
      </w:r>
    </w:p>
    <w:p w:rsidR="00830E10" w:rsidRDefault="00830E10" w:rsidP="00830E10">
      <w:pPr>
        <w:spacing w:before="120"/>
        <w:jc w:val="both"/>
        <w:rPr>
          <w:szCs w:val="20"/>
        </w:rPr>
      </w:pPr>
      <w:r w:rsidRPr="00240B6D">
        <w:rPr>
          <w:szCs w:val="20"/>
        </w:rPr>
        <w:t>Výdaje v</w:t>
      </w:r>
      <w:r>
        <w:rPr>
          <w:szCs w:val="20"/>
        </w:rPr>
        <w:t> </w:t>
      </w:r>
      <w:r w:rsidRPr="00276016">
        <w:rPr>
          <w:b/>
          <w:szCs w:val="20"/>
        </w:rPr>
        <w:t>lůžkových z</w:t>
      </w:r>
      <w:r w:rsidRPr="00240B6D">
        <w:rPr>
          <w:b/>
          <w:szCs w:val="20"/>
        </w:rPr>
        <w:t>ařízeních dlouhodobé péče</w:t>
      </w:r>
      <w:r w:rsidRPr="00240B6D">
        <w:rPr>
          <w:szCs w:val="20"/>
        </w:rPr>
        <w:t xml:space="preserve"> se v roce 201</w:t>
      </w:r>
      <w:r>
        <w:rPr>
          <w:szCs w:val="20"/>
        </w:rPr>
        <w:t>7</w:t>
      </w:r>
      <w:r w:rsidRPr="00240B6D">
        <w:rPr>
          <w:szCs w:val="20"/>
        </w:rPr>
        <w:t xml:space="preserve"> pohybovaly na úrovni 2</w:t>
      </w:r>
      <w:r>
        <w:rPr>
          <w:szCs w:val="20"/>
        </w:rPr>
        <w:t xml:space="preserve">8,4 mld. Kč, a jak je patrné z údajů za uplynulé roky, každoročně se zvyšovaly. </w:t>
      </w:r>
      <w:r w:rsidRPr="00240B6D">
        <w:rPr>
          <w:szCs w:val="20"/>
        </w:rPr>
        <w:t>V porovnání s rokem 201</w:t>
      </w:r>
      <w:r w:rsidR="00403034">
        <w:rPr>
          <w:szCs w:val="20"/>
        </w:rPr>
        <w:t>2</w:t>
      </w:r>
      <w:r w:rsidRPr="00240B6D">
        <w:rPr>
          <w:szCs w:val="20"/>
        </w:rPr>
        <w:t xml:space="preserve"> jejich výdaje </w:t>
      </w:r>
      <w:r>
        <w:rPr>
          <w:szCs w:val="20"/>
        </w:rPr>
        <w:t>vzrostly</w:t>
      </w:r>
      <w:r w:rsidRPr="00240B6D">
        <w:rPr>
          <w:szCs w:val="20"/>
        </w:rPr>
        <w:t xml:space="preserve"> o </w:t>
      </w:r>
      <w:r w:rsidR="00403034">
        <w:rPr>
          <w:szCs w:val="20"/>
        </w:rPr>
        <w:t xml:space="preserve">cca </w:t>
      </w:r>
      <w:r>
        <w:rPr>
          <w:szCs w:val="20"/>
        </w:rPr>
        <w:t>jednu třetinu</w:t>
      </w:r>
      <w:r w:rsidR="00403034">
        <w:rPr>
          <w:szCs w:val="20"/>
        </w:rPr>
        <w:t xml:space="preserve"> (35 %) - </w:t>
      </w:r>
      <w:r>
        <w:rPr>
          <w:szCs w:val="20"/>
        </w:rPr>
        <w:t>v absolutním vyjádření o 7,</w:t>
      </w:r>
      <w:r w:rsidR="00403034">
        <w:rPr>
          <w:szCs w:val="20"/>
        </w:rPr>
        <w:t>4</w:t>
      </w:r>
      <w:r>
        <w:rPr>
          <w:szCs w:val="20"/>
        </w:rPr>
        <w:t xml:space="preserve"> mld. Kč </w:t>
      </w:r>
      <w:r w:rsidR="00403034">
        <w:rPr>
          <w:szCs w:val="20"/>
        </w:rPr>
        <w:t xml:space="preserve">- </w:t>
      </w:r>
      <w:r>
        <w:rPr>
          <w:szCs w:val="20"/>
        </w:rPr>
        <w:t xml:space="preserve">s průměrným ročním tempem růstu </w:t>
      </w:r>
      <w:r w:rsidR="00403034">
        <w:rPr>
          <w:szCs w:val="20"/>
        </w:rPr>
        <w:t>o 6,2 </w:t>
      </w:r>
      <w:r>
        <w:rPr>
          <w:szCs w:val="20"/>
        </w:rPr>
        <w:t>%.</w:t>
      </w:r>
      <w:r w:rsidR="00403034">
        <w:rPr>
          <w:szCs w:val="20"/>
        </w:rPr>
        <w:t xml:space="preserve"> </w:t>
      </w:r>
    </w:p>
    <w:p w:rsidR="00830E10" w:rsidRDefault="00403034" w:rsidP="00830E10">
      <w:pPr>
        <w:spacing w:before="120"/>
        <w:jc w:val="both"/>
        <w:rPr>
          <w:i/>
          <w:szCs w:val="20"/>
        </w:rPr>
      </w:pPr>
      <w:r w:rsidRPr="00D51522">
        <w:rPr>
          <w:szCs w:val="20"/>
        </w:rPr>
        <w:t xml:space="preserve">Za těchto výše uvedených pět let </w:t>
      </w:r>
      <w:r w:rsidR="00830E10" w:rsidRPr="00D51522">
        <w:rPr>
          <w:szCs w:val="20"/>
        </w:rPr>
        <w:t>vzrostly procentuálně v rámci této kategorie nejvíce (o 6</w:t>
      </w:r>
      <w:r w:rsidRPr="00D51522">
        <w:rPr>
          <w:szCs w:val="20"/>
        </w:rPr>
        <w:t>1</w:t>
      </w:r>
      <w:r w:rsidR="00830E10" w:rsidRPr="00D51522">
        <w:rPr>
          <w:szCs w:val="20"/>
        </w:rPr>
        <w:t> %) výdaje v</w:t>
      </w:r>
      <w:r w:rsidR="00A2383F" w:rsidRPr="00D51522">
        <w:rPr>
          <w:szCs w:val="20"/>
        </w:rPr>
        <w:t> </w:t>
      </w:r>
      <w:r w:rsidR="00830E10" w:rsidRPr="00D51522">
        <w:rPr>
          <w:b/>
          <w:szCs w:val="20"/>
        </w:rPr>
        <w:t xml:space="preserve">zařízeních pro </w:t>
      </w:r>
      <w:r w:rsidR="00D51522" w:rsidRPr="00D51522">
        <w:rPr>
          <w:b/>
          <w:szCs w:val="20"/>
        </w:rPr>
        <w:t>psychiatricky nemocné</w:t>
      </w:r>
      <w:r w:rsidR="00830E10" w:rsidRPr="00D51522">
        <w:rPr>
          <w:b/>
          <w:szCs w:val="20"/>
        </w:rPr>
        <w:t xml:space="preserve"> a osoby </w:t>
      </w:r>
      <w:r w:rsidR="00D51522" w:rsidRPr="00D51522">
        <w:rPr>
          <w:b/>
          <w:szCs w:val="20"/>
        </w:rPr>
        <w:t xml:space="preserve">trpící </w:t>
      </w:r>
      <w:r w:rsidR="00830E10" w:rsidRPr="00D51522">
        <w:rPr>
          <w:b/>
          <w:szCs w:val="20"/>
        </w:rPr>
        <w:t>závislostmi</w:t>
      </w:r>
      <w:r w:rsidR="00830E10" w:rsidRPr="00D51522">
        <w:rPr>
          <w:szCs w:val="20"/>
        </w:rPr>
        <w:t xml:space="preserve">. Meziročně jejich celkové výdaje vzrostly o 15 %, zejména pak o pětinu (o 1,2 mld. Kč) se zvýšily výdaje v domovech se zvláštním režimem. Lůžková zařízení </w:t>
      </w:r>
      <w:r w:rsidR="00830E10" w:rsidRPr="00D51522">
        <w:rPr>
          <w:b/>
          <w:szCs w:val="20"/>
        </w:rPr>
        <w:t xml:space="preserve">dlouhodobé </w:t>
      </w:r>
      <w:r w:rsidRPr="00D51522">
        <w:rPr>
          <w:b/>
          <w:szCs w:val="20"/>
        </w:rPr>
        <w:t xml:space="preserve">ošetřovatelské </w:t>
      </w:r>
      <w:r w:rsidR="00830E10" w:rsidRPr="00D51522">
        <w:rPr>
          <w:b/>
          <w:szCs w:val="20"/>
        </w:rPr>
        <w:t>péče</w:t>
      </w:r>
      <w:r w:rsidR="00A2383F" w:rsidRPr="00D51522">
        <w:rPr>
          <w:szCs w:val="20"/>
        </w:rPr>
        <w:t xml:space="preserve">, kam patří </w:t>
      </w:r>
      <w:r w:rsidRPr="00D51522">
        <w:rPr>
          <w:szCs w:val="20"/>
        </w:rPr>
        <w:t xml:space="preserve">např. </w:t>
      </w:r>
      <w:r w:rsidR="00830E10" w:rsidRPr="00D51522">
        <w:rPr>
          <w:szCs w:val="20"/>
        </w:rPr>
        <w:t>domovy pro seniory</w:t>
      </w:r>
      <w:r w:rsidR="00A2383F" w:rsidRPr="00D51522">
        <w:rPr>
          <w:szCs w:val="20"/>
        </w:rPr>
        <w:t xml:space="preserve"> a</w:t>
      </w:r>
      <w:r w:rsidR="00830E10" w:rsidRPr="00D51522">
        <w:rPr>
          <w:szCs w:val="20"/>
        </w:rPr>
        <w:t xml:space="preserve"> do kterých plynou peníze především ze státního rozpočtu (85 %), se v roce 2017 podílely z 53 % (15,0 mld. Kč) na výše uvedených zařízeních dlouhodobé péče. Meziročně zde výdaje na zdravotní péči vzrostly o 9,2 % (1,3 mld.</w:t>
      </w:r>
      <w:r w:rsidR="00A2383F" w:rsidRPr="00D51522">
        <w:rPr>
          <w:szCs w:val="20"/>
        </w:rPr>
        <w:t> </w:t>
      </w:r>
      <w:r w:rsidR="00830E10" w:rsidRPr="00D51522">
        <w:rPr>
          <w:szCs w:val="20"/>
        </w:rPr>
        <w:t xml:space="preserve">Kč). </w:t>
      </w:r>
      <w:r w:rsidR="00830E10" w:rsidRPr="00D51522">
        <w:rPr>
          <w:i/>
          <w:szCs w:val="20"/>
        </w:rPr>
        <w:t>V roce 2017 bylo</w:t>
      </w:r>
      <w:r w:rsidR="00830E10" w:rsidRPr="00BC2F06">
        <w:rPr>
          <w:szCs w:val="20"/>
        </w:rPr>
        <w:t xml:space="preserve"> </w:t>
      </w:r>
      <w:r w:rsidR="00830E10" w:rsidRPr="00BC2F06">
        <w:rPr>
          <w:i/>
          <w:szCs w:val="20"/>
        </w:rPr>
        <w:t>v České republice 51</w:t>
      </w:r>
      <w:r w:rsidR="00830E10">
        <w:rPr>
          <w:i/>
          <w:szCs w:val="20"/>
        </w:rPr>
        <w:t>9</w:t>
      </w:r>
      <w:r w:rsidR="00830E10" w:rsidRPr="00BC2F06">
        <w:rPr>
          <w:i/>
          <w:szCs w:val="20"/>
        </w:rPr>
        <w:t xml:space="preserve"> </w:t>
      </w:r>
      <w:r w:rsidR="00830E10">
        <w:rPr>
          <w:i/>
          <w:szCs w:val="20"/>
        </w:rPr>
        <w:t xml:space="preserve">domovů pro seniory s kapacitou 37 037 </w:t>
      </w:r>
      <w:r w:rsidR="00830E10" w:rsidRPr="00BC2F06">
        <w:rPr>
          <w:i/>
          <w:szCs w:val="20"/>
        </w:rPr>
        <w:t>lůžek.</w:t>
      </w:r>
    </w:p>
    <w:p w:rsidR="009A0CC8" w:rsidRDefault="00A2383F" w:rsidP="009A0CC8">
      <w:pPr>
        <w:spacing w:before="120"/>
        <w:jc w:val="both"/>
        <w:rPr>
          <w:b/>
          <w:szCs w:val="20"/>
        </w:rPr>
      </w:pPr>
      <w:r w:rsidRPr="00240B6D">
        <w:rPr>
          <w:b/>
          <w:szCs w:val="20"/>
        </w:rPr>
        <w:lastRenderedPageBreak/>
        <w:t>Domácnosti jako poskytovatelé zdravotní péče</w:t>
      </w:r>
      <w:r w:rsidRPr="00240B6D">
        <w:rPr>
          <w:szCs w:val="20"/>
        </w:rPr>
        <w:t xml:space="preserve"> </w:t>
      </w:r>
      <w:r>
        <w:rPr>
          <w:szCs w:val="20"/>
        </w:rPr>
        <w:t>zastupují</w:t>
      </w:r>
      <w:r w:rsidRPr="00240B6D">
        <w:rPr>
          <w:szCs w:val="20"/>
        </w:rPr>
        <w:t xml:space="preserve"> výdaje na péči zajišťovanou osobou blízkou v souvislosti s pobíráním ošetřovného</w:t>
      </w:r>
      <w:r w:rsidRPr="00240B6D" w:rsidDel="003E7082">
        <w:rPr>
          <w:szCs w:val="20"/>
        </w:rPr>
        <w:t xml:space="preserve"> </w:t>
      </w:r>
      <w:r w:rsidRPr="00240B6D">
        <w:rPr>
          <w:szCs w:val="20"/>
        </w:rPr>
        <w:t>a příspěvku na péči (blíže viz metodická příloha). Meziroční</w:t>
      </w:r>
      <w:r>
        <w:rPr>
          <w:szCs w:val="20"/>
        </w:rPr>
        <w:t xml:space="preserve"> zvýšení výdajů domácností o 8,4</w:t>
      </w:r>
      <w:r w:rsidRPr="00240B6D">
        <w:rPr>
          <w:szCs w:val="20"/>
        </w:rPr>
        <w:t> % souvisí především se zvýšením výdajů ze státního rozpočtu na příspěvky na péči, které dosáhly v roce 201</w:t>
      </w:r>
      <w:r>
        <w:rPr>
          <w:szCs w:val="20"/>
        </w:rPr>
        <w:t>7</w:t>
      </w:r>
      <w:r w:rsidRPr="00240B6D">
        <w:rPr>
          <w:szCs w:val="20"/>
        </w:rPr>
        <w:t xml:space="preserve"> částky 1</w:t>
      </w:r>
      <w:r>
        <w:rPr>
          <w:szCs w:val="20"/>
        </w:rPr>
        <w:t>7,5</w:t>
      </w:r>
      <w:r w:rsidRPr="00240B6D">
        <w:rPr>
          <w:szCs w:val="20"/>
        </w:rPr>
        <w:t xml:space="preserve"> mld. Kč. Výdaje na ošetřovné se v</w:t>
      </w:r>
      <w:r>
        <w:rPr>
          <w:szCs w:val="20"/>
        </w:rPr>
        <w:t> daném roce zvýšily ze 1,1 mld. Kč na 1,4 mld. Kč, tedy o 19 %.</w:t>
      </w:r>
      <w:r w:rsidR="009A0CC8" w:rsidRPr="009A0CC8">
        <w:rPr>
          <w:b/>
          <w:szCs w:val="20"/>
        </w:rPr>
        <w:t xml:space="preserve"> </w:t>
      </w:r>
    </w:p>
    <w:p w:rsidR="00A2383F" w:rsidRPr="00635FC7" w:rsidRDefault="00A2383F" w:rsidP="00A2383F">
      <w:pPr>
        <w:widowControl w:val="0"/>
        <w:spacing w:before="120"/>
        <w:jc w:val="both"/>
        <w:rPr>
          <w:i/>
          <w:szCs w:val="20"/>
        </w:rPr>
      </w:pPr>
      <w:r w:rsidRPr="00635FC7">
        <w:rPr>
          <w:i/>
          <w:szCs w:val="20"/>
        </w:rPr>
        <w:t>Na ošetřovné má nárok zaměstnanec, který nemůže pracovat z důvodu, že musí ošetřovat nemocného člena domácnosti, nebo pečovat o zdravé dítě mladší 10 let z důvodů, že školské nebo dětské zařízení bylo uzavřeno z důvodu nepředvídané události, dítěti byla nařízena karanténa, nebo osoba, která jinak o dítě pečuje, sama onemocněla.</w:t>
      </w:r>
      <w:r>
        <w:rPr>
          <w:i/>
          <w:szCs w:val="20"/>
        </w:rPr>
        <w:t xml:space="preserve"> </w:t>
      </w:r>
      <w:r w:rsidRPr="00635FC7">
        <w:rPr>
          <w:i/>
          <w:szCs w:val="20"/>
        </w:rPr>
        <w:t xml:space="preserve">Podpůrčí doba u ošetřovného počíná prvním kalendářním dnem potřeby ošetřování a činí nejdéle 9 kalendářních </w:t>
      </w:r>
      <w:r w:rsidRPr="00931794">
        <w:rPr>
          <w:i/>
          <w:szCs w:val="20"/>
        </w:rPr>
        <w:t>dnů.</w:t>
      </w:r>
    </w:p>
    <w:p w:rsidR="009A0CC8" w:rsidRPr="00240B6D" w:rsidRDefault="009A0CC8" w:rsidP="009A0CC8">
      <w:pPr>
        <w:spacing w:before="120"/>
        <w:jc w:val="both"/>
        <w:rPr>
          <w:szCs w:val="20"/>
        </w:rPr>
      </w:pPr>
      <w:r w:rsidRPr="00240B6D">
        <w:rPr>
          <w:b/>
          <w:szCs w:val="20"/>
        </w:rPr>
        <w:t>Ostatní odvětví</w:t>
      </w:r>
      <w:r w:rsidRPr="00240B6D">
        <w:rPr>
          <w:szCs w:val="20"/>
        </w:rPr>
        <w:t xml:space="preserve"> jako poskytovatelé zdravotní péče</w:t>
      </w:r>
      <w:r w:rsidRPr="00240B6D" w:rsidDel="003E7082">
        <w:rPr>
          <w:szCs w:val="20"/>
        </w:rPr>
        <w:t xml:space="preserve"> </w:t>
      </w:r>
      <w:r w:rsidRPr="00240B6D">
        <w:rPr>
          <w:szCs w:val="20"/>
        </w:rPr>
        <w:t>(</w:t>
      </w:r>
      <w:r>
        <w:rPr>
          <w:szCs w:val="20"/>
        </w:rPr>
        <w:t>9,8</w:t>
      </w:r>
      <w:r w:rsidRPr="00240B6D">
        <w:rPr>
          <w:szCs w:val="20"/>
        </w:rPr>
        <w:t xml:space="preserve"> mld. Kč</w:t>
      </w:r>
      <w:r>
        <w:rPr>
          <w:szCs w:val="20"/>
        </w:rPr>
        <w:t xml:space="preserve"> za rok 2017</w:t>
      </w:r>
      <w:r w:rsidRPr="00240B6D">
        <w:rPr>
          <w:szCs w:val="20"/>
        </w:rPr>
        <w:t xml:space="preserve">) zahrnují širokou škálu poskytovatelů zdravotní péče např. závodní preventivní péči, </w:t>
      </w:r>
      <w:r>
        <w:rPr>
          <w:szCs w:val="20"/>
        </w:rPr>
        <w:t>školní zdravotní péče</w:t>
      </w:r>
      <w:r w:rsidRPr="00240B6D">
        <w:rPr>
          <w:szCs w:val="20"/>
        </w:rPr>
        <w:t>, poskytovatele domácí péče zaměřené na sebeobsluhu a soběstačnost klienta, školy s pracovníky v oblasti zdravotnictví apod.</w:t>
      </w:r>
    </w:p>
    <w:p w:rsidR="006067DA" w:rsidRPr="005C6CA2" w:rsidRDefault="006067DA" w:rsidP="006067DA">
      <w:pPr>
        <w:spacing w:before="120"/>
        <w:jc w:val="both"/>
        <w:rPr>
          <w:i/>
          <w:szCs w:val="20"/>
        </w:rPr>
      </w:pPr>
      <w:r w:rsidRPr="00240B6D">
        <w:rPr>
          <w:szCs w:val="20"/>
        </w:rPr>
        <w:t xml:space="preserve">Kategorie poskytovatelů </w:t>
      </w:r>
      <w:r w:rsidRPr="005B2486">
        <w:rPr>
          <w:b/>
          <w:szCs w:val="20"/>
        </w:rPr>
        <w:t xml:space="preserve">lékárny a ostatní prodejci zdravotnického </w:t>
      </w:r>
      <w:r w:rsidRPr="00D51522">
        <w:rPr>
          <w:b/>
          <w:szCs w:val="20"/>
        </w:rPr>
        <w:t>zboží</w:t>
      </w:r>
      <w:r w:rsidR="005B2486" w:rsidRPr="00D51522">
        <w:rPr>
          <w:szCs w:val="20"/>
        </w:rPr>
        <w:t>, která se v roce 2017 podílela svými 60,4 mld. Kč 15,6 % na celkových výdajích na zdravotní péči</w:t>
      </w:r>
      <w:r w:rsidR="005B2486" w:rsidRPr="00D51522">
        <w:rPr>
          <w:b/>
          <w:szCs w:val="20"/>
        </w:rPr>
        <w:t>,</w:t>
      </w:r>
      <w:r w:rsidR="005B2486" w:rsidRPr="00D51522">
        <w:rPr>
          <w:b/>
          <w:i/>
          <w:szCs w:val="20"/>
        </w:rPr>
        <w:t xml:space="preserve"> </w:t>
      </w:r>
      <w:r w:rsidRPr="00D51522">
        <w:rPr>
          <w:szCs w:val="20"/>
        </w:rPr>
        <w:t>zahrnuje</w:t>
      </w:r>
      <w:r w:rsidRPr="00240B6D">
        <w:rPr>
          <w:szCs w:val="20"/>
        </w:rPr>
        <w:t xml:space="preserve"> specializované provozovny, které se zaměřují na </w:t>
      </w:r>
      <w:r w:rsidRPr="00E65D1A">
        <w:rPr>
          <w:b/>
          <w:i/>
          <w:szCs w:val="20"/>
        </w:rPr>
        <w:t>maloobchodní prodej</w:t>
      </w:r>
      <w:r w:rsidRPr="00240B6D">
        <w:rPr>
          <w:szCs w:val="20"/>
        </w:rPr>
        <w:t xml:space="preserve"> farmaceutických výrobků a lékařských nástrojů nebo zdravotnických prostředků</w:t>
      </w:r>
      <w:r>
        <w:rPr>
          <w:szCs w:val="20"/>
        </w:rPr>
        <w:t>,</w:t>
      </w:r>
      <w:r w:rsidRPr="00240B6D">
        <w:rPr>
          <w:szCs w:val="20"/>
        </w:rPr>
        <w:t xml:space="preserve"> jako jsou </w:t>
      </w:r>
      <w:r>
        <w:rPr>
          <w:szCs w:val="20"/>
        </w:rPr>
        <w:t>dioptrické</w:t>
      </w:r>
      <w:r w:rsidRPr="00240B6D">
        <w:rPr>
          <w:szCs w:val="20"/>
        </w:rPr>
        <w:t xml:space="preserve"> brýle, naslouchátka, ortopedické a protetické pomůcky. Rovněž zahrnují montáž a opravy v kombinaci s prodejem </w:t>
      </w:r>
      <w:r>
        <w:rPr>
          <w:szCs w:val="20"/>
        </w:rPr>
        <w:t xml:space="preserve">těchto </w:t>
      </w:r>
      <w:r w:rsidRPr="00240B6D">
        <w:rPr>
          <w:szCs w:val="20"/>
        </w:rPr>
        <w:t>výrobků</w:t>
      </w:r>
      <w:r w:rsidRPr="00D51522">
        <w:rPr>
          <w:szCs w:val="20"/>
        </w:rPr>
        <w:t xml:space="preserve">. </w:t>
      </w:r>
      <w:r w:rsidRPr="00D51522">
        <w:rPr>
          <w:b/>
          <w:szCs w:val="20"/>
        </w:rPr>
        <w:t>Samostatné lékárny</w:t>
      </w:r>
      <w:r w:rsidRPr="00D51522">
        <w:rPr>
          <w:szCs w:val="20"/>
        </w:rPr>
        <w:t xml:space="preserve"> se v roce 2017 podílely z</w:t>
      </w:r>
      <w:r w:rsidR="005B2486" w:rsidRPr="00D51522">
        <w:rPr>
          <w:szCs w:val="20"/>
        </w:rPr>
        <w:t> </w:t>
      </w:r>
      <w:r w:rsidRPr="00D51522">
        <w:rPr>
          <w:szCs w:val="20"/>
        </w:rPr>
        <w:t>86</w:t>
      </w:r>
      <w:r w:rsidR="005B2486" w:rsidRPr="00D51522">
        <w:rPr>
          <w:szCs w:val="20"/>
        </w:rPr>
        <w:t> </w:t>
      </w:r>
      <w:r w:rsidRPr="00D51522">
        <w:rPr>
          <w:szCs w:val="20"/>
        </w:rPr>
        <w:t>% </w:t>
      </w:r>
      <w:r w:rsidR="005B2486" w:rsidRPr="00D51522">
        <w:rPr>
          <w:szCs w:val="20"/>
        </w:rPr>
        <w:t xml:space="preserve"> (52,2 mld. Kč)</w:t>
      </w:r>
      <w:r w:rsidRPr="00D51522">
        <w:rPr>
          <w:szCs w:val="20"/>
        </w:rPr>
        <w:t xml:space="preserve"> na této kategorii. </w:t>
      </w:r>
      <w:r w:rsidR="005B2486" w:rsidRPr="00D51522">
        <w:rPr>
          <w:szCs w:val="20"/>
        </w:rPr>
        <w:t xml:space="preserve">Jde o jednu z mála kategorií poskytovatelů zdravotní péče, kde v porovnání s rokem 2012, tj. se situací před pěti lety, výdaje v čase klesaly. V roce 2013 došlo k meziročnímu poklesu o téměř desetinu z 55,5 mld. Kč v roce 2012 na 50,3 mld. Kč v roce 2013. V dalším roce výdaje samostatných lékáren poklesky o dalších </w:t>
      </w:r>
      <w:r w:rsidRPr="00D51522">
        <w:rPr>
          <w:szCs w:val="20"/>
        </w:rPr>
        <w:t>o 7</w:t>
      </w:r>
      <w:r w:rsidR="005B2486" w:rsidRPr="00D51522">
        <w:rPr>
          <w:szCs w:val="20"/>
        </w:rPr>
        <w:t> </w:t>
      </w:r>
      <w:r w:rsidRPr="00D51522">
        <w:rPr>
          <w:szCs w:val="20"/>
        </w:rPr>
        <w:t>% a</w:t>
      </w:r>
      <w:r w:rsidR="005B2486" w:rsidRPr="00D51522">
        <w:rPr>
          <w:szCs w:val="20"/>
        </w:rPr>
        <w:t> </w:t>
      </w:r>
      <w:r w:rsidRPr="00D51522">
        <w:rPr>
          <w:szCs w:val="20"/>
        </w:rPr>
        <w:t>v následujících letech se pohybovaly pod hranicí 50</w:t>
      </w:r>
      <w:r w:rsidR="00830E10" w:rsidRPr="00D51522">
        <w:rPr>
          <w:szCs w:val="20"/>
        </w:rPr>
        <w:t> </w:t>
      </w:r>
      <w:r w:rsidRPr="00D51522">
        <w:rPr>
          <w:szCs w:val="20"/>
        </w:rPr>
        <w:t>mld. Kč. V roce 2017 došlo k</w:t>
      </w:r>
      <w:r w:rsidR="00830E10" w:rsidRPr="00D51522">
        <w:rPr>
          <w:szCs w:val="20"/>
        </w:rPr>
        <w:t xml:space="preserve"> meziročnímu </w:t>
      </w:r>
      <w:r w:rsidRPr="00D51522">
        <w:rPr>
          <w:szCs w:val="20"/>
        </w:rPr>
        <w:t>navýšení o 5 %</w:t>
      </w:r>
      <w:r w:rsidR="005B2486" w:rsidRPr="00D51522">
        <w:rPr>
          <w:szCs w:val="20"/>
        </w:rPr>
        <w:t xml:space="preserve"> na výše uvedených 52,2 mld. Kč</w:t>
      </w:r>
      <w:r w:rsidRPr="00D51522">
        <w:rPr>
          <w:szCs w:val="20"/>
        </w:rPr>
        <w:t>.</w:t>
      </w:r>
      <w:r w:rsidR="005B2486" w:rsidRPr="00D51522">
        <w:rPr>
          <w:szCs w:val="20"/>
        </w:rPr>
        <w:t xml:space="preserve"> </w:t>
      </w:r>
      <w:r w:rsidRPr="00D51522">
        <w:rPr>
          <w:rFonts w:eastAsia="Calibri" w:cs="Arial"/>
          <w:i/>
          <w:color w:val="000000"/>
          <w:szCs w:val="20"/>
        </w:rPr>
        <w:t>Lékárenskou péči zajišťovalo (podle informací ÚZIS) 2 852 lékáren včetně odloučených oddělení výdeje</w:t>
      </w:r>
      <w:r>
        <w:rPr>
          <w:rFonts w:eastAsia="Calibri" w:cs="Arial"/>
          <w:i/>
          <w:color w:val="000000"/>
          <w:szCs w:val="20"/>
        </w:rPr>
        <w:t xml:space="preserve"> </w:t>
      </w:r>
      <w:r w:rsidRPr="005C6CA2">
        <w:rPr>
          <w:rFonts w:eastAsia="Calibri" w:cs="Arial"/>
          <w:i/>
          <w:color w:val="000000"/>
          <w:szCs w:val="20"/>
        </w:rPr>
        <w:t>léčiv a 218 výdejen zdravotnických prostředků. Na 1 lékárnu v roce 2017 připadalo v průměru 3 720 obyvatel.</w:t>
      </w:r>
      <w:r w:rsidRPr="00752F72">
        <w:rPr>
          <w:rFonts w:ascii="ArialNarrow" w:eastAsia="Calibri" w:hAnsi="ArialNarrow" w:cs="ArialNarrow"/>
          <w:sz w:val="23"/>
          <w:szCs w:val="23"/>
        </w:rPr>
        <w:t xml:space="preserve"> </w:t>
      </w:r>
    </w:p>
    <w:p w:rsidR="006067DA" w:rsidRPr="00240B6D" w:rsidRDefault="006067DA" w:rsidP="006067DA">
      <w:pPr>
        <w:spacing w:before="120"/>
        <w:jc w:val="both"/>
        <w:rPr>
          <w:szCs w:val="20"/>
        </w:rPr>
      </w:pPr>
      <w:r w:rsidRPr="00240B6D">
        <w:rPr>
          <w:szCs w:val="20"/>
        </w:rPr>
        <w:t>Výdaje poskytovatelů</w:t>
      </w:r>
      <w:r w:rsidRPr="00240B6D">
        <w:rPr>
          <w:b/>
          <w:szCs w:val="20"/>
        </w:rPr>
        <w:t xml:space="preserve"> dopravních služeb</w:t>
      </w:r>
      <w:r w:rsidRPr="00240B6D">
        <w:rPr>
          <w:szCs w:val="20"/>
        </w:rPr>
        <w:t xml:space="preserve"> pro pacienty přesáhly </w:t>
      </w:r>
      <w:r>
        <w:rPr>
          <w:szCs w:val="20"/>
        </w:rPr>
        <w:t xml:space="preserve">v roce 2017 </w:t>
      </w:r>
      <w:r w:rsidRPr="00240B6D">
        <w:rPr>
          <w:szCs w:val="20"/>
        </w:rPr>
        <w:t xml:space="preserve">poprvé od roku 2010 částku </w:t>
      </w:r>
      <w:r>
        <w:rPr>
          <w:szCs w:val="20"/>
        </w:rPr>
        <w:t>osmi miliard (8,4</w:t>
      </w:r>
      <w:r w:rsidRPr="00240B6D">
        <w:rPr>
          <w:szCs w:val="20"/>
        </w:rPr>
        <w:t xml:space="preserve"> mld. Kč</w:t>
      </w:r>
      <w:r>
        <w:rPr>
          <w:szCs w:val="20"/>
        </w:rPr>
        <w:t>)</w:t>
      </w:r>
      <w:r w:rsidRPr="00240B6D">
        <w:rPr>
          <w:szCs w:val="20"/>
        </w:rPr>
        <w:t xml:space="preserve">, což je nárůst o </w:t>
      </w:r>
      <w:r>
        <w:rPr>
          <w:szCs w:val="20"/>
        </w:rPr>
        <w:t>jednu čtvrtinu</w:t>
      </w:r>
      <w:r w:rsidRPr="00240B6D">
        <w:rPr>
          <w:szCs w:val="20"/>
        </w:rPr>
        <w:t>. Podobný vývoj mají i výdaje</w:t>
      </w:r>
      <w:r w:rsidRPr="00240B6D">
        <w:rPr>
          <w:b/>
          <w:szCs w:val="20"/>
        </w:rPr>
        <w:t xml:space="preserve"> zdravotnických laboratoří, </w:t>
      </w:r>
      <w:r w:rsidRPr="00240B6D">
        <w:rPr>
          <w:szCs w:val="20"/>
        </w:rPr>
        <w:t xml:space="preserve">které </w:t>
      </w:r>
      <w:r>
        <w:rPr>
          <w:szCs w:val="20"/>
        </w:rPr>
        <w:t xml:space="preserve">v roce 2017 </w:t>
      </w:r>
      <w:r w:rsidRPr="00240B6D">
        <w:rPr>
          <w:szCs w:val="20"/>
        </w:rPr>
        <w:t xml:space="preserve">dosáhly výše </w:t>
      </w:r>
      <w:r>
        <w:rPr>
          <w:szCs w:val="20"/>
        </w:rPr>
        <w:t>6,9</w:t>
      </w:r>
      <w:r w:rsidRPr="00240B6D">
        <w:rPr>
          <w:szCs w:val="20"/>
        </w:rPr>
        <w:t xml:space="preserve"> mld. Kč, což je </w:t>
      </w:r>
      <w:r>
        <w:rPr>
          <w:szCs w:val="20"/>
        </w:rPr>
        <w:t xml:space="preserve">o cca polovinu </w:t>
      </w:r>
      <w:r w:rsidRPr="00240B6D">
        <w:rPr>
          <w:szCs w:val="20"/>
        </w:rPr>
        <w:t xml:space="preserve">více </w:t>
      </w:r>
      <w:r>
        <w:rPr>
          <w:szCs w:val="20"/>
        </w:rPr>
        <w:t xml:space="preserve">v porovnání s rokem </w:t>
      </w:r>
      <w:r w:rsidRPr="00240B6D">
        <w:rPr>
          <w:szCs w:val="20"/>
        </w:rPr>
        <w:t xml:space="preserve">2010. </w:t>
      </w:r>
    </w:p>
    <w:p w:rsidR="006067DA" w:rsidRPr="00240B6D" w:rsidRDefault="006067DA" w:rsidP="006067DA">
      <w:pPr>
        <w:spacing w:before="120"/>
        <w:jc w:val="both"/>
        <w:rPr>
          <w:rFonts w:cs="Arial"/>
          <w:szCs w:val="20"/>
        </w:rPr>
      </w:pPr>
      <w:r w:rsidRPr="00240B6D">
        <w:rPr>
          <w:b/>
          <w:szCs w:val="20"/>
        </w:rPr>
        <w:t>Správa systému zdravotní péče</w:t>
      </w:r>
      <w:r w:rsidRPr="00240B6D">
        <w:rPr>
          <w:szCs w:val="20"/>
        </w:rPr>
        <w:t xml:space="preserve"> zahrnuje vládní instituce, které </w:t>
      </w:r>
      <w:r>
        <w:rPr>
          <w:rFonts w:cs="Arial"/>
          <w:szCs w:val="20"/>
        </w:rPr>
        <w:t>spravují</w:t>
      </w:r>
      <w:r w:rsidRPr="00240B6D">
        <w:rPr>
          <w:rFonts w:cs="Arial"/>
          <w:szCs w:val="20"/>
        </w:rPr>
        <w:t xml:space="preserve"> v rámci své činnosti množství strategických dokumentů z oblasti zdravotnictví, normy pro lékaře a ostatní zdravotnický personál a</w:t>
      </w:r>
      <w:r>
        <w:rPr>
          <w:rFonts w:cs="Arial"/>
          <w:szCs w:val="20"/>
        </w:rPr>
        <w:t> </w:t>
      </w:r>
      <w:r w:rsidRPr="00240B6D">
        <w:rPr>
          <w:rFonts w:cs="Arial"/>
          <w:szCs w:val="20"/>
        </w:rPr>
        <w:t>přidělování licencí poskytovatelům zdravotní péče (např. Ministerstvo zdravotnictví, Ústav zdravotnických informací a statistik</w:t>
      </w:r>
      <w:r>
        <w:rPr>
          <w:rFonts w:cs="Arial"/>
          <w:szCs w:val="20"/>
        </w:rPr>
        <w:t>y</w:t>
      </w:r>
      <w:r w:rsidRPr="00240B6D">
        <w:rPr>
          <w:rFonts w:cs="Arial"/>
          <w:szCs w:val="20"/>
        </w:rPr>
        <w:t xml:space="preserve">) a v neposlední řadě zdravotní pojišťovny veřejného zdravotního pojištění. Výdaje na zdravotní péči z hlediska tohoto typu poskytovatelů se dlouhodobě pohybují </w:t>
      </w:r>
      <w:r>
        <w:rPr>
          <w:rFonts w:cs="Arial"/>
          <w:szCs w:val="20"/>
        </w:rPr>
        <w:t>mírně přes</w:t>
      </w:r>
      <w:r w:rsidRPr="00240B6D">
        <w:rPr>
          <w:rFonts w:cs="Arial"/>
          <w:szCs w:val="20"/>
        </w:rPr>
        <w:t xml:space="preserve"> 10 mld. Kč.</w:t>
      </w:r>
    </w:p>
    <w:p w:rsidR="006067DA" w:rsidRPr="00240B6D" w:rsidRDefault="006067DA" w:rsidP="006067DA">
      <w:pPr>
        <w:spacing w:before="240"/>
        <w:jc w:val="both"/>
        <w:rPr>
          <w:b/>
          <w:i/>
          <w:szCs w:val="20"/>
        </w:rPr>
      </w:pPr>
      <w:r w:rsidRPr="00240B6D">
        <w:rPr>
          <w:b/>
          <w:i/>
          <w:szCs w:val="20"/>
        </w:rPr>
        <w:t xml:space="preserve">Za ambulantní a denní péči zaplatily </w:t>
      </w:r>
      <w:r>
        <w:rPr>
          <w:b/>
          <w:i/>
          <w:szCs w:val="20"/>
        </w:rPr>
        <w:t xml:space="preserve">všeobecné </w:t>
      </w:r>
      <w:r w:rsidRPr="00240B6D">
        <w:rPr>
          <w:b/>
          <w:i/>
          <w:szCs w:val="20"/>
        </w:rPr>
        <w:t>nemocnice čtvrtinu svých celkových nákladů</w:t>
      </w:r>
    </w:p>
    <w:p w:rsidR="006067DA" w:rsidRDefault="006067DA" w:rsidP="006067DA">
      <w:pPr>
        <w:autoSpaceDE w:val="0"/>
        <w:autoSpaceDN w:val="0"/>
        <w:adjustRightInd w:val="0"/>
        <w:spacing w:before="120"/>
        <w:jc w:val="both"/>
        <w:rPr>
          <w:szCs w:val="20"/>
        </w:rPr>
      </w:pPr>
      <w:r>
        <w:rPr>
          <w:szCs w:val="20"/>
        </w:rPr>
        <w:t xml:space="preserve">Výdaje </w:t>
      </w:r>
      <w:r w:rsidRPr="00B63BD5">
        <w:rPr>
          <w:szCs w:val="20"/>
        </w:rPr>
        <w:t>nemocnic</w:t>
      </w:r>
      <w:r>
        <w:rPr>
          <w:szCs w:val="20"/>
        </w:rPr>
        <w:t xml:space="preserve"> v roce 2017 dosáhly výše 149,2 mld. Kč, z toho činily výdaje </w:t>
      </w:r>
      <w:r w:rsidRPr="00B63BD5">
        <w:rPr>
          <w:b/>
          <w:szCs w:val="20"/>
        </w:rPr>
        <w:t>všeobecných nemocnic</w:t>
      </w:r>
      <w:r>
        <w:rPr>
          <w:szCs w:val="20"/>
        </w:rPr>
        <w:t xml:space="preserve"> 132,5 mld. Kč, což je o 8 % více (v absolutních hodnotách zhruba 10 mld. Kč) než v roce 2016. Od roku 2010 se tyto výdaje zvýšily o 16 %, s průměrným </w:t>
      </w:r>
      <w:r w:rsidR="00B63BD5">
        <w:rPr>
          <w:szCs w:val="20"/>
        </w:rPr>
        <w:t xml:space="preserve">ročním </w:t>
      </w:r>
      <w:r>
        <w:rPr>
          <w:szCs w:val="20"/>
        </w:rPr>
        <w:t>tempem růstu 2,1 %.</w:t>
      </w:r>
    </w:p>
    <w:p w:rsidR="00B63BD5" w:rsidRDefault="006067DA" w:rsidP="00B63BD5">
      <w:pPr>
        <w:spacing w:before="120" w:line="240" w:lineRule="auto"/>
        <w:jc w:val="both"/>
        <w:rPr>
          <w:rFonts w:eastAsia="Calibri" w:cs="Arial"/>
          <w:i/>
          <w:szCs w:val="20"/>
        </w:rPr>
      </w:pPr>
      <w:r w:rsidRPr="00240B6D">
        <w:rPr>
          <w:szCs w:val="20"/>
        </w:rPr>
        <w:t>Většina z finančních prostředků je v</w:t>
      </w:r>
      <w:r>
        <w:rPr>
          <w:szCs w:val="20"/>
        </w:rPr>
        <w:t xml:space="preserve">e všeobecných </w:t>
      </w:r>
      <w:r w:rsidRPr="00240B6D">
        <w:rPr>
          <w:szCs w:val="20"/>
        </w:rPr>
        <w:t xml:space="preserve">nemocnicích vynaložena stále na </w:t>
      </w:r>
      <w:r w:rsidRPr="00240B6D">
        <w:rPr>
          <w:b/>
          <w:szCs w:val="20"/>
        </w:rPr>
        <w:t>lůžkovou léčebnou péči</w:t>
      </w:r>
      <w:r w:rsidRPr="00240B6D">
        <w:rPr>
          <w:szCs w:val="20"/>
        </w:rPr>
        <w:t>. V roce 201</w:t>
      </w:r>
      <w:r>
        <w:rPr>
          <w:szCs w:val="20"/>
        </w:rPr>
        <w:t>7</w:t>
      </w:r>
      <w:r w:rsidRPr="00240B6D">
        <w:rPr>
          <w:szCs w:val="20"/>
        </w:rPr>
        <w:t xml:space="preserve"> na ni šlo </w:t>
      </w:r>
      <w:r>
        <w:rPr>
          <w:szCs w:val="20"/>
        </w:rPr>
        <w:t>54,6</w:t>
      </w:r>
      <w:r w:rsidRPr="00240B6D">
        <w:rPr>
          <w:szCs w:val="20"/>
        </w:rPr>
        <w:t xml:space="preserve"> mld. Kč, tj. 4</w:t>
      </w:r>
      <w:r>
        <w:rPr>
          <w:szCs w:val="20"/>
        </w:rPr>
        <w:t>1</w:t>
      </w:r>
      <w:r w:rsidRPr="00240B6D">
        <w:rPr>
          <w:szCs w:val="20"/>
        </w:rPr>
        <w:t>,</w:t>
      </w:r>
      <w:r w:rsidR="00F127ED">
        <w:rPr>
          <w:szCs w:val="20"/>
        </w:rPr>
        <w:t>2</w:t>
      </w:r>
      <w:r w:rsidRPr="00240B6D">
        <w:rPr>
          <w:szCs w:val="20"/>
        </w:rPr>
        <w:t xml:space="preserve"> %. Před dvěma roky to bylo </w:t>
      </w:r>
      <w:r>
        <w:rPr>
          <w:szCs w:val="20"/>
        </w:rPr>
        <w:t xml:space="preserve">49,7 </w:t>
      </w:r>
      <w:r w:rsidRPr="00240B6D">
        <w:rPr>
          <w:szCs w:val="20"/>
        </w:rPr>
        <w:t>mld. Kč (4</w:t>
      </w:r>
      <w:r>
        <w:rPr>
          <w:szCs w:val="20"/>
        </w:rPr>
        <w:t>0,6</w:t>
      </w:r>
      <w:r w:rsidRPr="00240B6D">
        <w:rPr>
          <w:szCs w:val="20"/>
        </w:rPr>
        <w:t xml:space="preserve"> %). </w:t>
      </w:r>
      <w:r>
        <w:rPr>
          <w:szCs w:val="20"/>
        </w:rPr>
        <w:t>V roce 2017 v</w:t>
      </w:r>
      <w:r w:rsidRPr="00240B6D">
        <w:rPr>
          <w:szCs w:val="20"/>
        </w:rPr>
        <w:t xml:space="preserve">ýdaje </w:t>
      </w:r>
      <w:r>
        <w:rPr>
          <w:szCs w:val="20"/>
        </w:rPr>
        <w:t xml:space="preserve">všeobecných </w:t>
      </w:r>
      <w:r w:rsidRPr="00240B6D">
        <w:rPr>
          <w:szCs w:val="20"/>
        </w:rPr>
        <w:t xml:space="preserve">nemocnic na ambulantní a denní péči dosáhly </w:t>
      </w:r>
      <w:r>
        <w:rPr>
          <w:szCs w:val="20"/>
        </w:rPr>
        <w:t xml:space="preserve">hodnoty </w:t>
      </w:r>
      <w:r w:rsidRPr="00240B6D">
        <w:rPr>
          <w:szCs w:val="20"/>
        </w:rPr>
        <w:t>3</w:t>
      </w:r>
      <w:r>
        <w:rPr>
          <w:szCs w:val="20"/>
        </w:rPr>
        <w:t>3,7</w:t>
      </w:r>
      <w:r w:rsidRPr="00240B6D">
        <w:rPr>
          <w:szCs w:val="20"/>
        </w:rPr>
        <w:t xml:space="preserve"> mld. Kč, což je 2</w:t>
      </w:r>
      <w:r>
        <w:rPr>
          <w:szCs w:val="20"/>
        </w:rPr>
        <w:t>5</w:t>
      </w:r>
      <w:r w:rsidRPr="00240B6D">
        <w:rPr>
          <w:szCs w:val="20"/>
        </w:rPr>
        <w:t>,</w:t>
      </w:r>
      <w:r>
        <w:rPr>
          <w:szCs w:val="20"/>
        </w:rPr>
        <w:t>4</w:t>
      </w:r>
      <w:r w:rsidR="00B63BD5">
        <w:rPr>
          <w:szCs w:val="20"/>
        </w:rPr>
        <w:t> </w:t>
      </w:r>
      <w:r w:rsidRPr="00240B6D">
        <w:rPr>
          <w:szCs w:val="20"/>
        </w:rPr>
        <w:t xml:space="preserve">% z celkových výdajů </w:t>
      </w:r>
      <w:r>
        <w:rPr>
          <w:szCs w:val="20"/>
        </w:rPr>
        <w:t>těchto nemocnic.</w:t>
      </w:r>
      <w:r w:rsidR="00B63BD5" w:rsidRPr="00B63BD5">
        <w:rPr>
          <w:rFonts w:eastAsia="Calibri" w:cs="Arial"/>
          <w:i/>
          <w:szCs w:val="20"/>
        </w:rPr>
        <w:t xml:space="preserve"> </w:t>
      </w:r>
    </w:p>
    <w:p w:rsidR="00B63BD5" w:rsidRDefault="00B63BD5" w:rsidP="00B63BD5">
      <w:pPr>
        <w:spacing w:before="120" w:line="240" w:lineRule="auto"/>
        <w:jc w:val="both"/>
        <w:rPr>
          <w:rFonts w:eastAsia="Calibri" w:cs="Arial"/>
          <w:i/>
          <w:szCs w:val="20"/>
        </w:rPr>
      </w:pPr>
      <w:r w:rsidRPr="003727D3">
        <w:rPr>
          <w:rFonts w:eastAsia="Calibri" w:cs="Arial"/>
          <w:i/>
          <w:szCs w:val="20"/>
        </w:rPr>
        <w:t>Podle sdělení Ústavu zdravotnických informací a statistik</w:t>
      </w:r>
      <w:r>
        <w:rPr>
          <w:rFonts w:eastAsia="Calibri" w:cs="Arial"/>
          <w:i/>
          <w:szCs w:val="20"/>
        </w:rPr>
        <w:t>y ČR</w:t>
      </w:r>
      <w:r w:rsidRPr="003727D3">
        <w:rPr>
          <w:rFonts w:eastAsia="Calibri" w:cs="Arial"/>
          <w:i/>
          <w:szCs w:val="20"/>
        </w:rPr>
        <w:t xml:space="preserve"> byla koncem roku 2017 síť </w:t>
      </w:r>
      <w:r>
        <w:rPr>
          <w:rFonts w:eastAsia="Calibri" w:cs="Arial"/>
          <w:i/>
          <w:szCs w:val="20"/>
        </w:rPr>
        <w:t>poskytovatelů zdravotní lůžkové</w:t>
      </w:r>
      <w:r w:rsidRPr="003727D3">
        <w:rPr>
          <w:rFonts w:eastAsia="Calibri" w:cs="Arial"/>
          <w:i/>
          <w:szCs w:val="20"/>
        </w:rPr>
        <w:t xml:space="preserve"> péče složena ze 193 nemocnic (akutní a následné péče) s celkovým počtem 60 499 lůžek a 118 odborných léčebných ústavů (včetně ozdravoven a hospiců, bez lázeňských léčeben) s celkem 17 079 lůžky.</w:t>
      </w:r>
    </w:p>
    <w:p w:rsidR="006067DA" w:rsidRPr="00240B6D" w:rsidRDefault="006067DA" w:rsidP="006067DA">
      <w:pPr>
        <w:keepNext/>
        <w:spacing w:before="240" w:after="120" w:line="240" w:lineRule="auto"/>
        <w:jc w:val="both"/>
        <w:rPr>
          <w:b/>
          <w:bCs/>
          <w:sz w:val="18"/>
          <w:szCs w:val="18"/>
        </w:rPr>
      </w:pPr>
      <w:r w:rsidRPr="00BC2F06">
        <w:rPr>
          <w:b/>
          <w:bCs/>
          <w:sz w:val="18"/>
          <w:szCs w:val="18"/>
        </w:rPr>
        <w:lastRenderedPageBreak/>
        <w:t>Graf č: 2.1</w:t>
      </w:r>
      <w:r w:rsidR="001466BB">
        <w:rPr>
          <w:b/>
          <w:bCs/>
          <w:sz w:val="18"/>
          <w:szCs w:val="18"/>
        </w:rPr>
        <w:t>5</w:t>
      </w:r>
      <w:r w:rsidRPr="00BC2F06">
        <w:rPr>
          <w:b/>
          <w:bCs/>
          <w:sz w:val="18"/>
          <w:szCs w:val="18"/>
        </w:rPr>
        <w:t xml:space="preserve"> Výdaje na zdravotní péči ve všeobecných nemocnicích v Česku, 201</w:t>
      </w:r>
      <w:r>
        <w:rPr>
          <w:b/>
          <w:bCs/>
          <w:sz w:val="18"/>
          <w:szCs w:val="18"/>
        </w:rPr>
        <w:t>5 – 2017</w:t>
      </w:r>
    </w:p>
    <w:p w:rsidR="006067DA" w:rsidRPr="00240B6D" w:rsidRDefault="006067DA" w:rsidP="006067DA">
      <w:pPr>
        <w:keepNext/>
        <w:tabs>
          <w:tab w:val="left" w:pos="142"/>
          <w:tab w:val="left" w:pos="5812"/>
        </w:tabs>
        <w:rPr>
          <w:b/>
          <w:i/>
          <w:sz w:val="18"/>
        </w:rPr>
      </w:pPr>
      <w:r w:rsidRPr="00240B6D">
        <w:rPr>
          <w:b/>
          <w:i/>
          <w:sz w:val="18"/>
        </w:rPr>
        <w:tab/>
        <w:t xml:space="preserve">a) v mld. Kč </w:t>
      </w:r>
      <w:r w:rsidRPr="00240B6D">
        <w:rPr>
          <w:b/>
          <w:i/>
          <w:sz w:val="18"/>
        </w:rPr>
        <w:tab/>
        <w:t>b) struktura v %</w:t>
      </w:r>
      <w:r w:rsidRPr="00240B6D">
        <w:rPr>
          <w:noProof/>
          <w:lang w:val="en-US" w:eastAsia="en-US"/>
        </w:rPr>
        <w:t xml:space="preserve"> </w:t>
      </w:r>
    </w:p>
    <w:p w:rsidR="006067DA" w:rsidRDefault="00DE7B9D" w:rsidP="00B63BD5">
      <w:pPr>
        <w:spacing w:line="240" w:lineRule="auto"/>
        <w:rPr>
          <w:b/>
          <w:bCs/>
          <w:i/>
          <w:sz w:val="16"/>
          <w:szCs w:val="16"/>
        </w:rPr>
      </w:pPr>
      <w:r>
        <w:rPr>
          <w:b/>
          <w:bCs/>
          <w:i/>
          <w:noProof/>
          <w:sz w:val="16"/>
          <w:szCs w:val="16"/>
        </w:rPr>
        <w:drawing>
          <wp:inline distT="0" distB="0" distL="0" distR="0" wp14:anchorId="00C409C6">
            <wp:extent cx="3780155" cy="287782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80155" cy="2877820"/>
                    </a:xfrm>
                    <a:prstGeom prst="rect">
                      <a:avLst/>
                    </a:prstGeom>
                    <a:noFill/>
                  </pic:spPr>
                </pic:pic>
              </a:graphicData>
            </a:graphic>
          </wp:inline>
        </w:drawing>
      </w:r>
      <w:r>
        <w:rPr>
          <w:b/>
          <w:bCs/>
          <w:i/>
          <w:noProof/>
          <w:sz w:val="16"/>
          <w:szCs w:val="16"/>
        </w:rPr>
        <w:drawing>
          <wp:inline distT="0" distB="0" distL="0" distR="0" wp14:anchorId="543863FC">
            <wp:extent cx="2268220" cy="287782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68220" cy="2877820"/>
                    </a:xfrm>
                    <a:prstGeom prst="rect">
                      <a:avLst/>
                    </a:prstGeom>
                    <a:noFill/>
                  </pic:spPr>
                </pic:pic>
              </a:graphicData>
            </a:graphic>
          </wp:inline>
        </w:drawing>
      </w:r>
      <w:r w:rsidR="006067DA">
        <w:rPr>
          <w:b/>
          <w:bCs/>
          <w:i/>
          <w:sz w:val="16"/>
          <w:szCs w:val="16"/>
        </w:rPr>
        <w:t>Zdr</w:t>
      </w:r>
      <w:r w:rsidR="006067DA" w:rsidRPr="00240B6D">
        <w:rPr>
          <w:b/>
          <w:bCs/>
          <w:i/>
          <w:sz w:val="16"/>
          <w:szCs w:val="16"/>
        </w:rPr>
        <w:t>oj: ČSÚ 201</w:t>
      </w:r>
      <w:r w:rsidR="006067DA">
        <w:rPr>
          <w:b/>
          <w:bCs/>
          <w:i/>
          <w:sz w:val="16"/>
          <w:szCs w:val="16"/>
        </w:rPr>
        <w:t>9</w:t>
      </w:r>
      <w:r w:rsidR="006067DA" w:rsidRPr="00240B6D">
        <w:rPr>
          <w:b/>
          <w:bCs/>
          <w:i/>
          <w:sz w:val="16"/>
          <w:szCs w:val="16"/>
        </w:rPr>
        <w:t>, Zdravotnické účty ČR 2010 - 201</w:t>
      </w:r>
      <w:r w:rsidR="006067DA">
        <w:rPr>
          <w:b/>
          <w:bCs/>
          <w:i/>
          <w:sz w:val="16"/>
          <w:szCs w:val="16"/>
        </w:rPr>
        <w:t>7</w:t>
      </w:r>
      <w:r w:rsidR="006067DA" w:rsidRPr="00240B6D">
        <w:rPr>
          <w:b/>
          <w:bCs/>
          <w:i/>
          <w:sz w:val="16"/>
          <w:szCs w:val="16"/>
        </w:rPr>
        <w:t xml:space="preserve"> </w:t>
      </w:r>
    </w:p>
    <w:p w:rsidR="006067DA" w:rsidRDefault="006067DA" w:rsidP="006067DA">
      <w:pPr>
        <w:spacing w:before="120" w:line="240" w:lineRule="auto"/>
        <w:jc w:val="right"/>
        <w:rPr>
          <w:b/>
          <w:bCs/>
          <w:i/>
          <w:sz w:val="16"/>
          <w:szCs w:val="16"/>
        </w:rPr>
      </w:pPr>
    </w:p>
    <w:p w:rsidR="00452B8C" w:rsidRPr="008E54ED" w:rsidRDefault="00452B8C" w:rsidP="00452B8C">
      <w:pPr>
        <w:spacing w:line="240" w:lineRule="auto"/>
        <w:rPr>
          <w:rFonts w:cs="Arial"/>
          <w:b/>
          <w:i/>
          <w:szCs w:val="20"/>
        </w:rPr>
      </w:pPr>
      <w:r w:rsidRPr="008E54ED">
        <w:rPr>
          <w:rFonts w:cs="Arial"/>
          <w:b/>
          <w:i/>
          <w:szCs w:val="20"/>
        </w:rPr>
        <w:t xml:space="preserve">Výdaje za péči v nemocnicích na </w:t>
      </w:r>
      <w:r w:rsidR="008E54ED">
        <w:rPr>
          <w:rFonts w:cs="Arial"/>
          <w:b/>
          <w:i/>
          <w:szCs w:val="20"/>
        </w:rPr>
        <w:t xml:space="preserve">jednu </w:t>
      </w:r>
      <w:r w:rsidRPr="008E54ED">
        <w:rPr>
          <w:rFonts w:cs="Arial"/>
          <w:b/>
          <w:i/>
          <w:szCs w:val="20"/>
        </w:rPr>
        <w:t>osobu byly v Česku pod polovinou průměru EU</w:t>
      </w:r>
    </w:p>
    <w:p w:rsidR="00B63BD5" w:rsidRPr="00C170C9" w:rsidRDefault="00B63BD5" w:rsidP="00B63BD5">
      <w:pPr>
        <w:spacing w:before="120"/>
        <w:jc w:val="both"/>
        <w:rPr>
          <w:rFonts w:cs="Arial"/>
          <w:szCs w:val="20"/>
        </w:rPr>
      </w:pPr>
      <w:r w:rsidRPr="008E54ED">
        <w:rPr>
          <w:rFonts w:cs="Arial"/>
          <w:szCs w:val="20"/>
        </w:rPr>
        <w:t>Roční výdaje v nemocnicích na jednu osobu v roce 2016 byl</w:t>
      </w:r>
      <w:r w:rsidR="00D51522" w:rsidRPr="008E54ED">
        <w:rPr>
          <w:rFonts w:cs="Arial"/>
          <w:szCs w:val="20"/>
        </w:rPr>
        <w:t>y</w:t>
      </w:r>
      <w:r w:rsidRPr="008E54ED">
        <w:rPr>
          <w:rFonts w:cs="Arial"/>
          <w:szCs w:val="20"/>
        </w:rPr>
        <w:t xml:space="preserve"> sice v České republice více než dvakrát nižší než průměr za EU28 (486 EUR proti 1 084 EUR), ale vyšší než na Slovensku, Maďarsku a Polsku. </w:t>
      </w:r>
      <w:r w:rsidRPr="008E54ED">
        <w:rPr>
          <w:bCs/>
          <w:szCs w:val="20"/>
        </w:rPr>
        <w:t xml:space="preserve">Nejvyšší výdaje zaznamenaly v Dánsku (2 219 EUR). Sousední Rakousko i Německo se pohybovaly nad průměrem EU. Podobnou strukturu, s odlišnými hodnotami, mají i výdaje </w:t>
      </w:r>
      <w:r w:rsidR="008E54ED" w:rsidRPr="008E54ED">
        <w:rPr>
          <w:bCs/>
          <w:szCs w:val="20"/>
        </w:rPr>
        <w:t xml:space="preserve">v </w:t>
      </w:r>
      <w:r w:rsidRPr="008E54ED">
        <w:rPr>
          <w:bCs/>
          <w:szCs w:val="20"/>
        </w:rPr>
        <w:t>ambulantní</w:t>
      </w:r>
      <w:r w:rsidR="008E54ED" w:rsidRPr="008E54ED">
        <w:rPr>
          <w:bCs/>
          <w:szCs w:val="20"/>
        </w:rPr>
        <w:t>c</w:t>
      </w:r>
      <w:r w:rsidRPr="008E54ED">
        <w:rPr>
          <w:bCs/>
          <w:szCs w:val="20"/>
        </w:rPr>
        <w:t>h zařízení</w:t>
      </w:r>
      <w:r w:rsidR="008E54ED" w:rsidRPr="008E54ED">
        <w:rPr>
          <w:bCs/>
          <w:szCs w:val="20"/>
        </w:rPr>
        <w:t>ch</w:t>
      </w:r>
      <w:r w:rsidRPr="008E54ED">
        <w:rPr>
          <w:bCs/>
          <w:szCs w:val="20"/>
        </w:rPr>
        <w:t xml:space="preserve"> na jednu osobu. Průměr evropské osmadvacítky dosáhl 734 EUR a </w:t>
      </w:r>
      <w:r w:rsidR="008E54ED" w:rsidRPr="008E54ED">
        <w:rPr>
          <w:bCs/>
          <w:szCs w:val="20"/>
        </w:rPr>
        <w:t>v České</w:t>
      </w:r>
      <w:r w:rsidRPr="008E54ED">
        <w:rPr>
          <w:bCs/>
          <w:szCs w:val="20"/>
        </w:rPr>
        <w:t xml:space="preserve"> republi</w:t>
      </w:r>
      <w:r w:rsidR="008E54ED" w:rsidRPr="008E54ED">
        <w:rPr>
          <w:bCs/>
          <w:szCs w:val="20"/>
        </w:rPr>
        <w:t>ce</w:t>
      </w:r>
      <w:r w:rsidRPr="008E54ED">
        <w:rPr>
          <w:bCs/>
          <w:szCs w:val="20"/>
        </w:rPr>
        <w:t xml:space="preserve"> </w:t>
      </w:r>
      <w:r w:rsidR="008E54ED" w:rsidRPr="008E54ED">
        <w:rPr>
          <w:bCs/>
          <w:szCs w:val="20"/>
        </w:rPr>
        <w:t xml:space="preserve">bylo </w:t>
      </w:r>
      <w:r w:rsidRPr="008E54ED">
        <w:rPr>
          <w:bCs/>
          <w:szCs w:val="20"/>
        </w:rPr>
        <w:t>vyd</w:t>
      </w:r>
      <w:r w:rsidR="008E54ED" w:rsidRPr="008E54ED">
        <w:rPr>
          <w:bCs/>
          <w:szCs w:val="20"/>
        </w:rPr>
        <w:t>áno</w:t>
      </w:r>
      <w:r w:rsidRPr="008E54ED">
        <w:rPr>
          <w:bCs/>
          <w:szCs w:val="20"/>
        </w:rPr>
        <w:t xml:space="preserve"> 260 EUR. Na předních místech se umístily Dánsko (1 417 EUR) a Německo (1 342 EUR). Slovensko, Polsko a Maďarsko se umístily s mírným odstupem za Českou republikou. V případě lékáren dosáhl průměr EU28  necelých 500 EUR, což je </w:t>
      </w:r>
      <w:r w:rsidR="008E54ED" w:rsidRPr="008E54ED">
        <w:rPr>
          <w:bCs/>
          <w:szCs w:val="20"/>
        </w:rPr>
        <w:t xml:space="preserve">téměř </w:t>
      </w:r>
      <w:r w:rsidRPr="008E54ED">
        <w:rPr>
          <w:bCs/>
          <w:szCs w:val="20"/>
        </w:rPr>
        <w:t>o polovinu méně než v Německu 831 EUR. Slovensko s 365 EUR v tomto případě předstihlo Českou republiku, která se umístila s malým rozdílem před Polskem.</w:t>
      </w:r>
    </w:p>
    <w:p w:rsidR="006067DA" w:rsidRDefault="006067DA" w:rsidP="006067DA">
      <w:pPr>
        <w:keepNext/>
        <w:spacing w:before="240"/>
        <w:jc w:val="both"/>
        <w:rPr>
          <w:rFonts w:cs="Arial"/>
          <w:b/>
          <w:sz w:val="18"/>
          <w:szCs w:val="18"/>
        </w:rPr>
      </w:pPr>
      <w:r w:rsidRPr="00240B6D">
        <w:rPr>
          <w:rFonts w:cs="Arial"/>
          <w:b/>
          <w:sz w:val="18"/>
          <w:szCs w:val="18"/>
        </w:rPr>
        <w:t>Graf č. 2.</w:t>
      </w:r>
      <w:r>
        <w:rPr>
          <w:rFonts w:cs="Arial"/>
          <w:b/>
          <w:sz w:val="18"/>
          <w:szCs w:val="18"/>
        </w:rPr>
        <w:t>1</w:t>
      </w:r>
      <w:r w:rsidR="001466BB">
        <w:rPr>
          <w:rFonts w:cs="Arial"/>
          <w:b/>
          <w:sz w:val="18"/>
          <w:szCs w:val="18"/>
        </w:rPr>
        <w:t>6</w:t>
      </w:r>
      <w:r w:rsidRPr="00240B6D">
        <w:rPr>
          <w:rFonts w:cs="Arial"/>
          <w:b/>
          <w:sz w:val="18"/>
          <w:szCs w:val="18"/>
        </w:rPr>
        <w:t xml:space="preserve"> </w:t>
      </w:r>
      <w:r>
        <w:rPr>
          <w:rFonts w:cs="Arial"/>
          <w:b/>
          <w:sz w:val="18"/>
          <w:szCs w:val="18"/>
        </w:rPr>
        <w:t>Výdaje vybraných poskytovatelů zdravotní péče ve vybraných zemích v roce 2016 (v EUR na obyv.)</w:t>
      </w:r>
    </w:p>
    <w:p w:rsidR="006067DA" w:rsidRPr="008B3941" w:rsidRDefault="006067DA" w:rsidP="006067DA">
      <w:pPr>
        <w:keepNext/>
        <w:tabs>
          <w:tab w:val="left" w:pos="142"/>
          <w:tab w:val="left" w:pos="3261"/>
          <w:tab w:val="left" w:pos="6379"/>
        </w:tabs>
        <w:spacing w:before="120"/>
        <w:rPr>
          <w:rFonts w:cs="Arial"/>
          <w:b/>
          <w:i/>
          <w:sz w:val="18"/>
          <w:szCs w:val="18"/>
        </w:rPr>
      </w:pPr>
      <w:r w:rsidRPr="008B3941">
        <w:rPr>
          <w:rFonts w:cs="Arial"/>
          <w:b/>
          <w:i/>
          <w:sz w:val="18"/>
          <w:szCs w:val="18"/>
        </w:rPr>
        <w:tab/>
        <w:t xml:space="preserve">a) </w:t>
      </w:r>
      <w:r>
        <w:rPr>
          <w:rFonts w:cs="Arial"/>
          <w:b/>
          <w:i/>
          <w:sz w:val="18"/>
          <w:szCs w:val="18"/>
        </w:rPr>
        <w:t>nemocnice</w:t>
      </w:r>
      <w:r w:rsidRPr="008B3941">
        <w:rPr>
          <w:rFonts w:cs="Arial"/>
          <w:b/>
          <w:i/>
          <w:sz w:val="18"/>
          <w:szCs w:val="18"/>
        </w:rPr>
        <w:tab/>
        <w:t xml:space="preserve">b) </w:t>
      </w:r>
      <w:r>
        <w:rPr>
          <w:rFonts w:cs="Arial"/>
          <w:b/>
          <w:i/>
          <w:sz w:val="18"/>
          <w:szCs w:val="18"/>
        </w:rPr>
        <w:t xml:space="preserve">ambulantní zařízení </w:t>
      </w:r>
      <w:r>
        <w:rPr>
          <w:rFonts w:cs="Arial"/>
          <w:b/>
          <w:i/>
          <w:sz w:val="18"/>
          <w:szCs w:val="18"/>
        </w:rPr>
        <w:tab/>
        <w:t>c) lékárny</w:t>
      </w:r>
      <w:r w:rsidR="00F127ED">
        <w:rPr>
          <w:rFonts w:cs="Arial"/>
          <w:b/>
          <w:i/>
          <w:sz w:val="18"/>
          <w:szCs w:val="18"/>
        </w:rPr>
        <w:t xml:space="preserve"> </w:t>
      </w:r>
    </w:p>
    <w:p w:rsidR="006067DA" w:rsidRDefault="006067DA" w:rsidP="006067DA">
      <w:pPr>
        <w:widowControl w:val="0"/>
        <w:jc w:val="both"/>
        <w:rPr>
          <w:noProof/>
          <w:lang w:val="en-US" w:eastAsia="en-US"/>
        </w:rPr>
      </w:pPr>
      <w:r w:rsidRPr="008B3941">
        <w:rPr>
          <w:noProof/>
          <w:lang w:val="en-US" w:eastAsia="en-US"/>
        </w:rPr>
        <w:t xml:space="preserve"> </w:t>
      </w:r>
      <w:r w:rsidR="00C148FE">
        <w:rPr>
          <w:noProof/>
        </w:rPr>
        <w:drawing>
          <wp:inline distT="0" distB="0" distL="0" distR="0" wp14:anchorId="2F502DA5">
            <wp:extent cx="1993265" cy="2529840"/>
            <wp:effectExtent l="0" t="0" r="6985" b="381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93265" cy="2529840"/>
                    </a:xfrm>
                    <a:prstGeom prst="rect">
                      <a:avLst/>
                    </a:prstGeom>
                    <a:noFill/>
                  </pic:spPr>
                </pic:pic>
              </a:graphicData>
            </a:graphic>
          </wp:inline>
        </w:drawing>
      </w:r>
      <w:r w:rsidR="00C148FE">
        <w:rPr>
          <w:noProof/>
        </w:rPr>
        <w:drawing>
          <wp:inline distT="0" distB="0" distL="0" distR="0" wp14:anchorId="57E37CB4">
            <wp:extent cx="2030095" cy="2529840"/>
            <wp:effectExtent l="0" t="0" r="8255" b="381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0095" cy="2529840"/>
                    </a:xfrm>
                    <a:prstGeom prst="rect">
                      <a:avLst/>
                    </a:prstGeom>
                    <a:noFill/>
                  </pic:spPr>
                </pic:pic>
              </a:graphicData>
            </a:graphic>
          </wp:inline>
        </w:drawing>
      </w:r>
      <w:r w:rsidRPr="00DA4822">
        <w:rPr>
          <w:noProof/>
          <w:lang w:val="en-US" w:eastAsia="en-US"/>
        </w:rPr>
        <w:t xml:space="preserve"> </w:t>
      </w:r>
      <w:r w:rsidR="00C148FE">
        <w:rPr>
          <w:noProof/>
        </w:rPr>
        <w:drawing>
          <wp:inline distT="0" distB="0" distL="0" distR="0" wp14:anchorId="5FBC4B6F">
            <wp:extent cx="1993265" cy="2529840"/>
            <wp:effectExtent l="0" t="0" r="6985" b="381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93265" cy="2529840"/>
                    </a:xfrm>
                    <a:prstGeom prst="rect">
                      <a:avLst/>
                    </a:prstGeom>
                    <a:noFill/>
                  </pic:spPr>
                </pic:pic>
              </a:graphicData>
            </a:graphic>
          </wp:inline>
        </w:drawing>
      </w:r>
    </w:p>
    <w:p w:rsidR="006067DA" w:rsidRPr="001E71A9" w:rsidRDefault="006067DA" w:rsidP="006067DA">
      <w:pPr>
        <w:keepNext/>
        <w:jc w:val="right"/>
        <w:rPr>
          <w:b/>
          <w:bCs/>
          <w:i/>
          <w:sz w:val="16"/>
          <w:szCs w:val="16"/>
        </w:rPr>
      </w:pPr>
      <w:r w:rsidRPr="001E71A9">
        <w:rPr>
          <w:b/>
          <w:bCs/>
          <w:i/>
          <w:sz w:val="16"/>
          <w:szCs w:val="16"/>
        </w:rPr>
        <w:t>Zdroj: Eurostat 2019 a vlastní dopočty ČSÚ</w:t>
      </w:r>
    </w:p>
    <w:sectPr w:rsidR="006067DA" w:rsidRPr="001E71A9" w:rsidSect="00D7398A">
      <w:headerReference w:type="even" r:id="rId41"/>
      <w:headerReference w:type="default" r:id="rId42"/>
      <w:footerReference w:type="even" r:id="rId43"/>
      <w:footerReference w:type="default" r:id="rId44"/>
      <w:pgSz w:w="11906" w:h="16838" w:code="9"/>
      <w:pgMar w:top="1134" w:right="1134" w:bottom="1418"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4D" w:rsidRDefault="00730C4D" w:rsidP="00E71A58">
      <w:r>
        <w:separator/>
      </w:r>
    </w:p>
  </w:endnote>
  <w:endnote w:type="continuationSeparator" w:id="0">
    <w:p w:rsidR="00730C4D" w:rsidRDefault="00730C4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Narrow">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Default="00DE7B9D"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14:anchorId="0699F325" wp14:editId="5B11737C">
          <wp:simplePos x="0" y="0"/>
          <wp:positionH relativeFrom="column">
            <wp:posOffset>5660390</wp:posOffset>
          </wp:positionH>
          <wp:positionV relativeFrom="paragraph">
            <wp:posOffset>-52070</wp:posOffset>
          </wp:positionV>
          <wp:extent cx="466725" cy="219075"/>
          <wp:effectExtent l="0" t="0" r="9525" b="9525"/>
          <wp:wrapNone/>
          <wp:docPr id="58"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CF4B39">
      <w:rPr>
        <w:rFonts w:ascii="Arial" w:hAnsi="Arial" w:cs="Arial"/>
        <w:noProof/>
        <w:sz w:val="16"/>
        <w:szCs w:val="16"/>
      </w:rPr>
      <w:t>2</w:t>
    </w:r>
    <w:r w:rsidRPr="005A21E0">
      <w:rPr>
        <w:rFonts w:ascii="Arial" w:hAnsi="Arial" w:cs="Arial"/>
        <w:sz w:val="16"/>
        <w:szCs w:val="16"/>
      </w:rPr>
      <w:fldChar w:fldCharType="end"/>
    </w:r>
    <w:r>
      <w:rPr>
        <w:rFonts w:ascii="Arial" w:hAnsi="Arial" w:cs="Arial"/>
        <w:sz w:val="16"/>
        <w:szCs w:val="16"/>
      </w:rPr>
      <w:tab/>
      <w:t>2019</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Default="00DE7B9D"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6A92E2B6" wp14:editId="20105575">
          <wp:simplePos x="0" y="0"/>
          <wp:positionH relativeFrom="column">
            <wp:posOffset>3810</wp:posOffset>
          </wp:positionH>
          <wp:positionV relativeFrom="paragraph">
            <wp:posOffset>90170</wp:posOffset>
          </wp:positionV>
          <wp:extent cx="495300" cy="266700"/>
          <wp:effectExtent l="0" t="0" r="0" b="0"/>
          <wp:wrapNone/>
          <wp:docPr id="59"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DE7B9D" w:rsidRDefault="00DE7B9D"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2019</w:t>
    </w:r>
    <w:r>
      <w:tab/>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CF4B39">
      <w:rPr>
        <w:rFonts w:ascii="Arial" w:hAnsi="Arial" w:cs="Arial"/>
        <w:noProof/>
        <w:sz w:val="16"/>
        <w:szCs w:val="16"/>
      </w:rPr>
      <w:t>1</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4D" w:rsidRDefault="00730C4D" w:rsidP="00E71A58">
      <w:r>
        <w:separator/>
      </w:r>
    </w:p>
  </w:footnote>
  <w:footnote w:type="continuationSeparator" w:id="0">
    <w:p w:rsidR="00730C4D" w:rsidRDefault="00730C4D" w:rsidP="00E71A58">
      <w:r>
        <w:continuationSeparator/>
      </w:r>
    </w:p>
  </w:footnote>
  <w:footnote w:id="1">
    <w:p w:rsidR="00DE7B9D" w:rsidRDefault="00CF4B39" w:rsidP="006067DA">
      <w:pPr>
        <w:pStyle w:val="Textpoznpodarou"/>
      </w:pPr>
      <w:r>
        <w:rPr>
          <w:vertAlign w:val="superscript"/>
        </w:rPr>
        <w:t>1</w:t>
      </w:r>
      <w:r w:rsidR="00DE7B9D" w:rsidRPr="0096414A">
        <w:rPr>
          <w:rStyle w:val="Znakapoznpodarou"/>
        </w:rPr>
        <w:t xml:space="preserve"> </w:t>
      </w:r>
      <w:r w:rsidR="00DE7B9D" w:rsidRPr="0096414A">
        <w:t>Zahrnují pouze běžné (provozní/neinvestiční) výdaje na zdravotní péči.</w:t>
      </w:r>
    </w:p>
  </w:footnote>
  <w:footnote w:id="2">
    <w:p w:rsidR="00DE7B9D" w:rsidRDefault="00DE7B9D" w:rsidP="006067DA">
      <w:pPr>
        <w:pStyle w:val="Textpoznpodarou"/>
      </w:pPr>
      <w:r>
        <w:rPr>
          <w:rStyle w:val="Znakapoznpodarou"/>
        </w:rPr>
        <w:footnoteRef/>
      </w:r>
      <w:r>
        <w:t xml:space="preserve"> V roce 2017 navíc dosáhly investiční výdaje </w:t>
      </w:r>
      <w:r w:rsidRPr="000353CA">
        <w:t>na nákup a modernizaci přístrojového vybavení a výstavbu a rekonstrukci zdravotnických zařízení</w:t>
      </w:r>
      <w:r>
        <w:t xml:space="preserve"> financované přímo ze státního </w:t>
      </w:r>
      <w:r w:rsidRPr="005530DD">
        <w:t>rozpočtu 4,6 mld. Kč</w:t>
      </w:r>
      <w:r>
        <w:t>, tj. téměř o třetinu více než v roce 2013. Do výdajů na výzkum a vývoj ve zdravotnictví stát investoval v roce 2017 částku 1, 5 mld. Kč  a na vzdělávání zdravotnického personálu připadlo 443 mil. Kč.</w:t>
      </w:r>
    </w:p>
    <w:p w:rsidR="00DE7B9D" w:rsidRDefault="00DE7B9D" w:rsidP="006067DA">
      <w:pPr>
        <w:pStyle w:val="Textpoznpodarou"/>
      </w:pPr>
    </w:p>
  </w:footnote>
  <w:footnote w:id="3">
    <w:p w:rsidR="00DE7B9D" w:rsidRPr="00DA0B2A" w:rsidRDefault="00DE7B9D" w:rsidP="006067DA">
      <w:pPr>
        <w:pStyle w:val="Textpoznpodarou"/>
        <w:rPr>
          <w:szCs w:val="16"/>
        </w:rPr>
      </w:pPr>
      <w:r w:rsidRPr="00DA0B2A">
        <w:rPr>
          <w:rStyle w:val="Znakapoznpodarou"/>
          <w:szCs w:val="16"/>
        </w:rPr>
        <w:footnoteRef/>
      </w:r>
      <w:r>
        <w:rPr>
          <w:szCs w:val="16"/>
        </w:rPr>
        <w:t xml:space="preserve"> </w:t>
      </w:r>
      <w:r w:rsidRPr="006374C2">
        <w:rPr>
          <w:szCs w:val="16"/>
        </w:rPr>
        <w:t>zahrnuje léky na předpis a volně prodejné léky, n</w:t>
      </w:r>
      <w:r w:rsidRPr="006374C2">
        <w:rPr>
          <w:bCs/>
          <w:szCs w:val="16"/>
        </w:rPr>
        <w:t>ezahrnuje léky spotřebované přímo ve zdravotnických zařízeních</w:t>
      </w:r>
      <w:r>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Pr="002175EE" w:rsidRDefault="00DE7B9D"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9D" w:rsidRPr="002175EE" w:rsidRDefault="00DE7B9D"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D550C"/>
    <w:multiLevelType w:val="hybridMultilevel"/>
    <w:tmpl w:val="86B43882"/>
    <w:lvl w:ilvl="0" w:tplc="46C2DFC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07A27793"/>
    <w:multiLevelType w:val="hybridMultilevel"/>
    <w:tmpl w:val="D486A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16AC4"/>
    <w:multiLevelType w:val="hybridMultilevel"/>
    <w:tmpl w:val="371460E6"/>
    <w:lvl w:ilvl="0" w:tplc="4DA05D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D80405"/>
    <w:multiLevelType w:val="multilevel"/>
    <w:tmpl w:val="B94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21244"/>
    <w:multiLevelType w:val="hybridMultilevel"/>
    <w:tmpl w:val="93965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AC752F"/>
    <w:multiLevelType w:val="hybridMultilevel"/>
    <w:tmpl w:val="F1DE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F919ED"/>
    <w:multiLevelType w:val="multilevel"/>
    <w:tmpl w:val="B0E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CB35327"/>
    <w:multiLevelType w:val="hybridMultilevel"/>
    <w:tmpl w:val="0CBCD77C"/>
    <w:lvl w:ilvl="0" w:tplc="C80617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6F4090"/>
    <w:multiLevelType w:val="hybridMultilevel"/>
    <w:tmpl w:val="179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737E1"/>
    <w:multiLevelType w:val="hybridMultilevel"/>
    <w:tmpl w:val="89AAB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6F7E70"/>
    <w:multiLevelType w:val="hybridMultilevel"/>
    <w:tmpl w:val="0128A08A"/>
    <w:lvl w:ilvl="0" w:tplc="49A0ED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C32522"/>
    <w:multiLevelType w:val="hybridMultilevel"/>
    <w:tmpl w:val="7F9C2826"/>
    <w:lvl w:ilvl="0" w:tplc="F93889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5" w15:restartNumberingAfterBreak="0">
    <w:nsid w:val="58544EA5"/>
    <w:multiLevelType w:val="hybridMultilevel"/>
    <w:tmpl w:val="E0D623B2"/>
    <w:lvl w:ilvl="0" w:tplc="E0F4A91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38" w15:restartNumberingAfterBreak="0">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B90EB4"/>
    <w:multiLevelType w:val="hybridMultilevel"/>
    <w:tmpl w:val="98F67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F9F4163"/>
    <w:multiLevelType w:val="hybridMultilevel"/>
    <w:tmpl w:val="A78ADFC6"/>
    <w:lvl w:ilvl="0" w:tplc="242AA788">
      <w:numFmt w:val="bullet"/>
      <w:lvlText w:val="-"/>
      <w:lvlJc w:val="left"/>
      <w:pPr>
        <w:ind w:left="306" w:hanging="360"/>
      </w:pPr>
      <w:rPr>
        <w:rFonts w:ascii="Arial" w:eastAsia="Times New Roman" w:hAnsi="Arial" w:cs="Arial"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num w:numId="1">
    <w:abstractNumId w:val="25"/>
  </w:num>
  <w:num w:numId="2">
    <w:abstractNumId w:val="32"/>
  </w:num>
  <w:num w:numId="3">
    <w:abstractNumId w:val="6"/>
  </w:num>
  <w:num w:numId="4">
    <w:abstractNumId w:val="33"/>
  </w:num>
  <w:num w:numId="5">
    <w:abstractNumId w:val="3"/>
  </w:num>
  <w:num w:numId="6">
    <w:abstractNumId w:val="12"/>
  </w:num>
  <w:num w:numId="7">
    <w:abstractNumId w:val="27"/>
  </w:num>
  <w:num w:numId="8">
    <w:abstractNumId w:val="38"/>
  </w:num>
  <w:num w:numId="9">
    <w:abstractNumId w:val="26"/>
  </w:num>
  <w:num w:numId="10">
    <w:abstractNumId w:val="36"/>
  </w:num>
  <w:num w:numId="11">
    <w:abstractNumId w:val="11"/>
  </w:num>
  <w:num w:numId="12">
    <w:abstractNumId w:val="42"/>
  </w:num>
  <w:num w:numId="13">
    <w:abstractNumId w:val="31"/>
  </w:num>
  <w:num w:numId="14">
    <w:abstractNumId w:val="34"/>
  </w:num>
  <w:num w:numId="15">
    <w:abstractNumId w:val="37"/>
  </w:num>
  <w:num w:numId="16">
    <w:abstractNumId w:val="5"/>
  </w:num>
  <w:num w:numId="17">
    <w:abstractNumId w:val="17"/>
  </w:num>
  <w:num w:numId="18">
    <w:abstractNumId w:val="39"/>
  </w:num>
  <w:num w:numId="19">
    <w:abstractNumId w:val="0"/>
  </w:num>
  <w:num w:numId="20">
    <w:abstractNumId w:val="45"/>
  </w:num>
  <w:num w:numId="21">
    <w:abstractNumId w:val="7"/>
  </w:num>
  <w:num w:numId="22">
    <w:abstractNumId w:val="30"/>
  </w:num>
  <w:num w:numId="23">
    <w:abstractNumId w:val="18"/>
  </w:num>
  <w:num w:numId="24">
    <w:abstractNumId w:val="15"/>
  </w:num>
  <w:num w:numId="25">
    <w:abstractNumId w:val="44"/>
  </w:num>
  <w:num w:numId="26">
    <w:abstractNumId w:val="20"/>
  </w:num>
  <w:num w:numId="27">
    <w:abstractNumId w:val="13"/>
  </w:num>
  <w:num w:numId="28">
    <w:abstractNumId w:val="40"/>
  </w:num>
  <w:num w:numId="29">
    <w:abstractNumId w:val="16"/>
  </w:num>
  <w:num w:numId="30">
    <w:abstractNumId w:val="22"/>
  </w:num>
  <w:num w:numId="31">
    <w:abstractNumId w:val="10"/>
  </w:num>
  <w:num w:numId="32">
    <w:abstractNumId w:val="43"/>
  </w:num>
  <w:num w:numId="33">
    <w:abstractNumId w:val="28"/>
  </w:num>
  <w:num w:numId="34">
    <w:abstractNumId w:val="8"/>
  </w:num>
  <w:num w:numId="35">
    <w:abstractNumId w:val="19"/>
  </w:num>
  <w:num w:numId="36">
    <w:abstractNumId w:val="21"/>
  </w:num>
  <w:num w:numId="37">
    <w:abstractNumId w:val="14"/>
  </w:num>
  <w:num w:numId="38">
    <w:abstractNumId w:val="1"/>
  </w:num>
  <w:num w:numId="39">
    <w:abstractNumId w:val="9"/>
  </w:num>
  <w:num w:numId="40">
    <w:abstractNumId w:val="29"/>
  </w:num>
  <w:num w:numId="41">
    <w:abstractNumId w:val="2"/>
  </w:num>
  <w:num w:numId="42">
    <w:abstractNumId w:val="41"/>
  </w:num>
  <w:num w:numId="43">
    <w:abstractNumId w:val="24"/>
  </w:num>
  <w:num w:numId="44">
    <w:abstractNumId w:val="4"/>
  </w:num>
  <w:num w:numId="45">
    <w:abstractNumId w:val="35"/>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2F19"/>
    <w:rsid w:val="00005515"/>
    <w:rsid w:val="00005868"/>
    <w:rsid w:val="0000767A"/>
    <w:rsid w:val="00007BF6"/>
    <w:rsid w:val="00010702"/>
    <w:rsid w:val="0002040C"/>
    <w:rsid w:val="00025165"/>
    <w:rsid w:val="000307D2"/>
    <w:rsid w:val="000353CA"/>
    <w:rsid w:val="0004694F"/>
    <w:rsid w:val="00052153"/>
    <w:rsid w:val="00052D0B"/>
    <w:rsid w:val="00060D56"/>
    <w:rsid w:val="00062320"/>
    <w:rsid w:val="00062EC5"/>
    <w:rsid w:val="0006345C"/>
    <w:rsid w:val="00074403"/>
    <w:rsid w:val="0007543A"/>
    <w:rsid w:val="00083528"/>
    <w:rsid w:val="00087634"/>
    <w:rsid w:val="000915F5"/>
    <w:rsid w:val="00096004"/>
    <w:rsid w:val="000A1183"/>
    <w:rsid w:val="000A2D10"/>
    <w:rsid w:val="000C3408"/>
    <w:rsid w:val="000C547E"/>
    <w:rsid w:val="000D0933"/>
    <w:rsid w:val="000D1765"/>
    <w:rsid w:val="000D21E1"/>
    <w:rsid w:val="000D2433"/>
    <w:rsid w:val="000D3D85"/>
    <w:rsid w:val="000D3E6C"/>
    <w:rsid w:val="000D5E39"/>
    <w:rsid w:val="000E5DE5"/>
    <w:rsid w:val="000F2D17"/>
    <w:rsid w:val="000F6E14"/>
    <w:rsid w:val="0010041E"/>
    <w:rsid w:val="00101535"/>
    <w:rsid w:val="00110E3B"/>
    <w:rsid w:val="001149A1"/>
    <w:rsid w:val="0011701D"/>
    <w:rsid w:val="00121C92"/>
    <w:rsid w:val="00123EF0"/>
    <w:rsid w:val="001319EB"/>
    <w:rsid w:val="00133BA8"/>
    <w:rsid w:val="001351C9"/>
    <w:rsid w:val="001405FA"/>
    <w:rsid w:val="001425C3"/>
    <w:rsid w:val="001466BB"/>
    <w:rsid w:val="00146973"/>
    <w:rsid w:val="00154ED5"/>
    <w:rsid w:val="00157587"/>
    <w:rsid w:val="00162BF0"/>
    <w:rsid w:val="00162D56"/>
    <w:rsid w:val="00163793"/>
    <w:rsid w:val="00164260"/>
    <w:rsid w:val="0016731E"/>
    <w:rsid w:val="001714F2"/>
    <w:rsid w:val="00172311"/>
    <w:rsid w:val="00175160"/>
    <w:rsid w:val="0017745B"/>
    <w:rsid w:val="0017751B"/>
    <w:rsid w:val="00185010"/>
    <w:rsid w:val="0018680D"/>
    <w:rsid w:val="00190B38"/>
    <w:rsid w:val="00193560"/>
    <w:rsid w:val="001A177C"/>
    <w:rsid w:val="001A3B66"/>
    <w:rsid w:val="001A4ACA"/>
    <w:rsid w:val="001A552F"/>
    <w:rsid w:val="001B176A"/>
    <w:rsid w:val="001B3110"/>
    <w:rsid w:val="001B61BC"/>
    <w:rsid w:val="001C1996"/>
    <w:rsid w:val="001C1D52"/>
    <w:rsid w:val="001D189A"/>
    <w:rsid w:val="001E1749"/>
    <w:rsid w:val="001E3731"/>
    <w:rsid w:val="001F4597"/>
    <w:rsid w:val="00200B56"/>
    <w:rsid w:val="00201D3A"/>
    <w:rsid w:val="002075A8"/>
    <w:rsid w:val="00207936"/>
    <w:rsid w:val="00210AA5"/>
    <w:rsid w:val="00213704"/>
    <w:rsid w:val="00213C72"/>
    <w:rsid w:val="00214E6F"/>
    <w:rsid w:val="00216072"/>
    <w:rsid w:val="002175EE"/>
    <w:rsid w:val="0022139E"/>
    <w:rsid w:val="00222564"/>
    <w:rsid w:val="00223026"/>
    <w:rsid w:val="00223335"/>
    <w:rsid w:val="002237C6"/>
    <w:rsid w:val="002252E0"/>
    <w:rsid w:val="002255F6"/>
    <w:rsid w:val="00226272"/>
    <w:rsid w:val="00227AA9"/>
    <w:rsid w:val="002339D2"/>
    <w:rsid w:val="00236443"/>
    <w:rsid w:val="0024085E"/>
    <w:rsid w:val="00240B6D"/>
    <w:rsid w:val="002436BA"/>
    <w:rsid w:val="00244A15"/>
    <w:rsid w:val="0024799E"/>
    <w:rsid w:val="00247A40"/>
    <w:rsid w:val="00254100"/>
    <w:rsid w:val="0026319A"/>
    <w:rsid w:val="00264C1E"/>
    <w:rsid w:val="00270041"/>
    <w:rsid w:val="00271AC3"/>
    <w:rsid w:val="00277062"/>
    <w:rsid w:val="00277DC6"/>
    <w:rsid w:val="00281EE4"/>
    <w:rsid w:val="00282A20"/>
    <w:rsid w:val="0028438F"/>
    <w:rsid w:val="00290B98"/>
    <w:rsid w:val="00290F1C"/>
    <w:rsid w:val="002A310D"/>
    <w:rsid w:val="002A795D"/>
    <w:rsid w:val="002B4648"/>
    <w:rsid w:val="002B6C95"/>
    <w:rsid w:val="002B7526"/>
    <w:rsid w:val="002C1EDC"/>
    <w:rsid w:val="002C43BD"/>
    <w:rsid w:val="002D036A"/>
    <w:rsid w:val="002D1024"/>
    <w:rsid w:val="002D246F"/>
    <w:rsid w:val="002D700F"/>
    <w:rsid w:val="002E02A1"/>
    <w:rsid w:val="002E7C59"/>
    <w:rsid w:val="002F59C4"/>
    <w:rsid w:val="00304771"/>
    <w:rsid w:val="00306C5B"/>
    <w:rsid w:val="00313FC3"/>
    <w:rsid w:val="003209D6"/>
    <w:rsid w:val="00320E92"/>
    <w:rsid w:val="00323231"/>
    <w:rsid w:val="00330C8E"/>
    <w:rsid w:val="0034055C"/>
    <w:rsid w:val="00341C9C"/>
    <w:rsid w:val="00341E61"/>
    <w:rsid w:val="00344398"/>
    <w:rsid w:val="003446FE"/>
    <w:rsid w:val="00344A9F"/>
    <w:rsid w:val="003452B6"/>
    <w:rsid w:val="00345347"/>
    <w:rsid w:val="0035195A"/>
    <w:rsid w:val="00352ACB"/>
    <w:rsid w:val="00356E1F"/>
    <w:rsid w:val="003657F3"/>
    <w:rsid w:val="00370B28"/>
    <w:rsid w:val="00375B3D"/>
    <w:rsid w:val="00380B0F"/>
    <w:rsid w:val="00381C1A"/>
    <w:rsid w:val="0038205A"/>
    <w:rsid w:val="00385D98"/>
    <w:rsid w:val="00394B23"/>
    <w:rsid w:val="00396A34"/>
    <w:rsid w:val="00397972"/>
    <w:rsid w:val="003A2B4D"/>
    <w:rsid w:val="003A478C"/>
    <w:rsid w:val="003A5525"/>
    <w:rsid w:val="003A6B38"/>
    <w:rsid w:val="003A7223"/>
    <w:rsid w:val="003B0B06"/>
    <w:rsid w:val="003B34FF"/>
    <w:rsid w:val="003B4169"/>
    <w:rsid w:val="003B5A32"/>
    <w:rsid w:val="003B5B99"/>
    <w:rsid w:val="003C1109"/>
    <w:rsid w:val="003C627D"/>
    <w:rsid w:val="003C6CC2"/>
    <w:rsid w:val="003D5919"/>
    <w:rsid w:val="003E037E"/>
    <w:rsid w:val="003E0671"/>
    <w:rsid w:val="003E76A0"/>
    <w:rsid w:val="003F144E"/>
    <w:rsid w:val="003F174C"/>
    <w:rsid w:val="003F313C"/>
    <w:rsid w:val="004004F4"/>
    <w:rsid w:val="0040155D"/>
    <w:rsid w:val="00403034"/>
    <w:rsid w:val="00403484"/>
    <w:rsid w:val="00406353"/>
    <w:rsid w:val="004117C8"/>
    <w:rsid w:val="00416281"/>
    <w:rsid w:val="00416C0A"/>
    <w:rsid w:val="004236AB"/>
    <w:rsid w:val="004242B2"/>
    <w:rsid w:val="00426A61"/>
    <w:rsid w:val="00437926"/>
    <w:rsid w:val="00437DC6"/>
    <w:rsid w:val="00441783"/>
    <w:rsid w:val="0044625F"/>
    <w:rsid w:val="00452B8C"/>
    <w:rsid w:val="00452EBE"/>
    <w:rsid w:val="00467087"/>
    <w:rsid w:val="00470E57"/>
    <w:rsid w:val="00476265"/>
    <w:rsid w:val="004775D1"/>
    <w:rsid w:val="0048086F"/>
    <w:rsid w:val="00480E40"/>
    <w:rsid w:val="0048139F"/>
    <w:rsid w:val="004859A8"/>
    <w:rsid w:val="004868D6"/>
    <w:rsid w:val="004A081C"/>
    <w:rsid w:val="004A44A2"/>
    <w:rsid w:val="004A77DF"/>
    <w:rsid w:val="004B2C1E"/>
    <w:rsid w:val="004B55B7"/>
    <w:rsid w:val="004B7591"/>
    <w:rsid w:val="004C3867"/>
    <w:rsid w:val="004C4ABE"/>
    <w:rsid w:val="004C4CD0"/>
    <w:rsid w:val="004C70DC"/>
    <w:rsid w:val="004D0211"/>
    <w:rsid w:val="004D5E24"/>
    <w:rsid w:val="004E1007"/>
    <w:rsid w:val="004E3E1A"/>
    <w:rsid w:val="004F06F5"/>
    <w:rsid w:val="004F0E28"/>
    <w:rsid w:val="004F209C"/>
    <w:rsid w:val="004F78C3"/>
    <w:rsid w:val="00501EFA"/>
    <w:rsid w:val="005108C0"/>
    <w:rsid w:val="00511873"/>
    <w:rsid w:val="00513B7E"/>
    <w:rsid w:val="00514041"/>
    <w:rsid w:val="0051478D"/>
    <w:rsid w:val="005151FB"/>
    <w:rsid w:val="00520DCA"/>
    <w:rsid w:val="005221B3"/>
    <w:rsid w:val="0052495E"/>
    <w:rsid w:val="00525137"/>
    <w:rsid w:val="005251DD"/>
    <w:rsid w:val="00527720"/>
    <w:rsid w:val="00531985"/>
    <w:rsid w:val="00532D7D"/>
    <w:rsid w:val="005376AD"/>
    <w:rsid w:val="005376E3"/>
    <w:rsid w:val="00542E84"/>
    <w:rsid w:val="00544082"/>
    <w:rsid w:val="00550483"/>
    <w:rsid w:val="00550FE5"/>
    <w:rsid w:val="005513E1"/>
    <w:rsid w:val="00551573"/>
    <w:rsid w:val="00557A96"/>
    <w:rsid w:val="00561D72"/>
    <w:rsid w:val="00572C92"/>
    <w:rsid w:val="00583FFD"/>
    <w:rsid w:val="0058445D"/>
    <w:rsid w:val="00586971"/>
    <w:rsid w:val="00591143"/>
    <w:rsid w:val="00593152"/>
    <w:rsid w:val="00593E87"/>
    <w:rsid w:val="005956E7"/>
    <w:rsid w:val="005A21E0"/>
    <w:rsid w:val="005A54EB"/>
    <w:rsid w:val="005A7305"/>
    <w:rsid w:val="005A7316"/>
    <w:rsid w:val="005B20AA"/>
    <w:rsid w:val="005B2486"/>
    <w:rsid w:val="005C04E2"/>
    <w:rsid w:val="005C2045"/>
    <w:rsid w:val="005D1BF3"/>
    <w:rsid w:val="005D514D"/>
    <w:rsid w:val="005D5495"/>
    <w:rsid w:val="005D5802"/>
    <w:rsid w:val="005E0178"/>
    <w:rsid w:val="005E1DD5"/>
    <w:rsid w:val="005E316C"/>
    <w:rsid w:val="005E5711"/>
    <w:rsid w:val="005E73F3"/>
    <w:rsid w:val="005F153A"/>
    <w:rsid w:val="005F2EE2"/>
    <w:rsid w:val="006016D1"/>
    <w:rsid w:val="00602EF3"/>
    <w:rsid w:val="00604307"/>
    <w:rsid w:val="0060487F"/>
    <w:rsid w:val="006067DA"/>
    <w:rsid w:val="00606B1B"/>
    <w:rsid w:val="0061689B"/>
    <w:rsid w:val="00624093"/>
    <w:rsid w:val="00625E0F"/>
    <w:rsid w:val="00633AEB"/>
    <w:rsid w:val="00633F6D"/>
    <w:rsid w:val="006352A8"/>
    <w:rsid w:val="00635866"/>
    <w:rsid w:val="00635B35"/>
    <w:rsid w:val="00635FC7"/>
    <w:rsid w:val="006366C8"/>
    <w:rsid w:val="006374C2"/>
    <w:rsid w:val="006404A7"/>
    <w:rsid w:val="00640637"/>
    <w:rsid w:val="006419F8"/>
    <w:rsid w:val="006451E4"/>
    <w:rsid w:val="00645EF8"/>
    <w:rsid w:val="006472BA"/>
    <w:rsid w:val="006523BB"/>
    <w:rsid w:val="00653860"/>
    <w:rsid w:val="00655906"/>
    <w:rsid w:val="0065667A"/>
    <w:rsid w:val="00657E87"/>
    <w:rsid w:val="006710C9"/>
    <w:rsid w:val="00674BA1"/>
    <w:rsid w:val="00675DD1"/>
    <w:rsid w:val="00675E37"/>
    <w:rsid w:val="00677696"/>
    <w:rsid w:val="0068260E"/>
    <w:rsid w:val="0069246C"/>
    <w:rsid w:val="006941CE"/>
    <w:rsid w:val="00695BEF"/>
    <w:rsid w:val="00696417"/>
    <w:rsid w:val="00697219"/>
    <w:rsid w:val="006977F6"/>
    <w:rsid w:val="00697A13"/>
    <w:rsid w:val="00697C9B"/>
    <w:rsid w:val="006A109C"/>
    <w:rsid w:val="006A31C8"/>
    <w:rsid w:val="006A420D"/>
    <w:rsid w:val="006A4247"/>
    <w:rsid w:val="006A429F"/>
    <w:rsid w:val="006B1874"/>
    <w:rsid w:val="006B7581"/>
    <w:rsid w:val="006B78D8"/>
    <w:rsid w:val="006C0C43"/>
    <w:rsid w:val="006C113F"/>
    <w:rsid w:val="006C47BD"/>
    <w:rsid w:val="006D211A"/>
    <w:rsid w:val="006D3ACC"/>
    <w:rsid w:val="006D61F6"/>
    <w:rsid w:val="006D640E"/>
    <w:rsid w:val="006E09D5"/>
    <w:rsid w:val="006E1FDB"/>
    <w:rsid w:val="006E279A"/>
    <w:rsid w:val="006E313B"/>
    <w:rsid w:val="006E5DFC"/>
    <w:rsid w:val="006E71FE"/>
    <w:rsid w:val="007051F5"/>
    <w:rsid w:val="0070676A"/>
    <w:rsid w:val="00711D97"/>
    <w:rsid w:val="007211F5"/>
    <w:rsid w:val="007271FD"/>
    <w:rsid w:val="00730AE8"/>
    <w:rsid w:val="00730C4D"/>
    <w:rsid w:val="00736D17"/>
    <w:rsid w:val="0073795D"/>
    <w:rsid w:val="00741493"/>
    <w:rsid w:val="00746E1B"/>
    <w:rsid w:val="0074736D"/>
    <w:rsid w:val="00747BB9"/>
    <w:rsid w:val="00750951"/>
    <w:rsid w:val="00752180"/>
    <w:rsid w:val="00755D3A"/>
    <w:rsid w:val="007572C9"/>
    <w:rsid w:val="0075757C"/>
    <w:rsid w:val="007609C6"/>
    <w:rsid w:val="00760D36"/>
    <w:rsid w:val="00761C28"/>
    <w:rsid w:val="007632B9"/>
    <w:rsid w:val="0077264D"/>
    <w:rsid w:val="00774CA3"/>
    <w:rsid w:val="00776527"/>
    <w:rsid w:val="00777353"/>
    <w:rsid w:val="00784861"/>
    <w:rsid w:val="007949E3"/>
    <w:rsid w:val="007A01BD"/>
    <w:rsid w:val="007A4E4E"/>
    <w:rsid w:val="007A68E8"/>
    <w:rsid w:val="007A7B9B"/>
    <w:rsid w:val="007B47EE"/>
    <w:rsid w:val="007B60D9"/>
    <w:rsid w:val="007C01B3"/>
    <w:rsid w:val="007C740E"/>
    <w:rsid w:val="007D3A47"/>
    <w:rsid w:val="007D6E98"/>
    <w:rsid w:val="007E0D3A"/>
    <w:rsid w:val="007E12CE"/>
    <w:rsid w:val="007E7E61"/>
    <w:rsid w:val="007F3932"/>
    <w:rsid w:val="007F4A5E"/>
    <w:rsid w:val="007F6B36"/>
    <w:rsid w:val="00802A57"/>
    <w:rsid w:val="00814887"/>
    <w:rsid w:val="00814A8E"/>
    <w:rsid w:val="008207EF"/>
    <w:rsid w:val="00821FF6"/>
    <w:rsid w:val="00830E10"/>
    <w:rsid w:val="0083143E"/>
    <w:rsid w:val="00831D41"/>
    <w:rsid w:val="00834FAA"/>
    <w:rsid w:val="0083596D"/>
    <w:rsid w:val="00836086"/>
    <w:rsid w:val="00836B26"/>
    <w:rsid w:val="0084681E"/>
    <w:rsid w:val="00853E06"/>
    <w:rsid w:val="0085489F"/>
    <w:rsid w:val="00855FB6"/>
    <w:rsid w:val="00857578"/>
    <w:rsid w:val="0086041E"/>
    <w:rsid w:val="008605E5"/>
    <w:rsid w:val="00860953"/>
    <w:rsid w:val="008620CA"/>
    <w:rsid w:val="00863FDA"/>
    <w:rsid w:val="0087055B"/>
    <w:rsid w:val="00876086"/>
    <w:rsid w:val="0088462E"/>
    <w:rsid w:val="008877B0"/>
    <w:rsid w:val="008B0974"/>
    <w:rsid w:val="008B309A"/>
    <w:rsid w:val="008B5772"/>
    <w:rsid w:val="008B7C02"/>
    <w:rsid w:val="008C0E88"/>
    <w:rsid w:val="008C1793"/>
    <w:rsid w:val="008D1923"/>
    <w:rsid w:val="008D2A16"/>
    <w:rsid w:val="008D44AD"/>
    <w:rsid w:val="008D7DD3"/>
    <w:rsid w:val="008E31FF"/>
    <w:rsid w:val="008E401B"/>
    <w:rsid w:val="008E41B4"/>
    <w:rsid w:val="008E54ED"/>
    <w:rsid w:val="008F60FD"/>
    <w:rsid w:val="009003A8"/>
    <w:rsid w:val="00901E8E"/>
    <w:rsid w:val="009020FE"/>
    <w:rsid w:val="00902EFF"/>
    <w:rsid w:val="0090382A"/>
    <w:rsid w:val="00903ADB"/>
    <w:rsid w:val="00917F10"/>
    <w:rsid w:val="00921F14"/>
    <w:rsid w:val="009233F1"/>
    <w:rsid w:val="009248E3"/>
    <w:rsid w:val="00930D23"/>
    <w:rsid w:val="00930E84"/>
    <w:rsid w:val="00931794"/>
    <w:rsid w:val="0094427A"/>
    <w:rsid w:val="00944EA6"/>
    <w:rsid w:val="009552B1"/>
    <w:rsid w:val="00957CD1"/>
    <w:rsid w:val="0096414A"/>
    <w:rsid w:val="00972CA2"/>
    <w:rsid w:val="00973454"/>
    <w:rsid w:val="00974923"/>
    <w:rsid w:val="0098715D"/>
    <w:rsid w:val="00991A9E"/>
    <w:rsid w:val="0099411B"/>
    <w:rsid w:val="009A0CC8"/>
    <w:rsid w:val="009A23E5"/>
    <w:rsid w:val="009A76CB"/>
    <w:rsid w:val="009B35D8"/>
    <w:rsid w:val="009B6FD3"/>
    <w:rsid w:val="009C00F3"/>
    <w:rsid w:val="009C3912"/>
    <w:rsid w:val="009C7B08"/>
    <w:rsid w:val="009D15E0"/>
    <w:rsid w:val="009D2120"/>
    <w:rsid w:val="009D307C"/>
    <w:rsid w:val="009D7138"/>
    <w:rsid w:val="009E14B5"/>
    <w:rsid w:val="009E3131"/>
    <w:rsid w:val="009E3D07"/>
    <w:rsid w:val="009E5300"/>
    <w:rsid w:val="009E5C6B"/>
    <w:rsid w:val="009F30E4"/>
    <w:rsid w:val="009F4437"/>
    <w:rsid w:val="00A00BE4"/>
    <w:rsid w:val="00A0275E"/>
    <w:rsid w:val="00A074EF"/>
    <w:rsid w:val="00A077BC"/>
    <w:rsid w:val="00A10D66"/>
    <w:rsid w:val="00A11757"/>
    <w:rsid w:val="00A15646"/>
    <w:rsid w:val="00A1636E"/>
    <w:rsid w:val="00A202A7"/>
    <w:rsid w:val="00A204CF"/>
    <w:rsid w:val="00A219A9"/>
    <w:rsid w:val="00A2383F"/>
    <w:rsid w:val="00A23E43"/>
    <w:rsid w:val="00A33EFD"/>
    <w:rsid w:val="00A34DA0"/>
    <w:rsid w:val="00A35033"/>
    <w:rsid w:val="00A460B2"/>
    <w:rsid w:val="00A4618B"/>
    <w:rsid w:val="00A46DE0"/>
    <w:rsid w:val="00A475AC"/>
    <w:rsid w:val="00A5222D"/>
    <w:rsid w:val="00A52B44"/>
    <w:rsid w:val="00A52EC2"/>
    <w:rsid w:val="00A5555E"/>
    <w:rsid w:val="00A55FDE"/>
    <w:rsid w:val="00A57446"/>
    <w:rsid w:val="00A62CE1"/>
    <w:rsid w:val="00A75E40"/>
    <w:rsid w:val="00A84BAF"/>
    <w:rsid w:val="00A857C0"/>
    <w:rsid w:val="00A90201"/>
    <w:rsid w:val="00A902A5"/>
    <w:rsid w:val="00A91F5C"/>
    <w:rsid w:val="00A94AB5"/>
    <w:rsid w:val="00A953D4"/>
    <w:rsid w:val="00AA0168"/>
    <w:rsid w:val="00AA315F"/>
    <w:rsid w:val="00AA3BA1"/>
    <w:rsid w:val="00AA559A"/>
    <w:rsid w:val="00AB2AF1"/>
    <w:rsid w:val="00AB3CE2"/>
    <w:rsid w:val="00AB64E8"/>
    <w:rsid w:val="00AC1752"/>
    <w:rsid w:val="00AC4A24"/>
    <w:rsid w:val="00AD239A"/>
    <w:rsid w:val="00AD306C"/>
    <w:rsid w:val="00AD4FBF"/>
    <w:rsid w:val="00AD5913"/>
    <w:rsid w:val="00AE33C2"/>
    <w:rsid w:val="00AE6C8E"/>
    <w:rsid w:val="00AF25EE"/>
    <w:rsid w:val="00B01CAD"/>
    <w:rsid w:val="00B17C49"/>
    <w:rsid w:val="00B17E71"/>
    <w:rsid w:val="00B17FDE"/>
    <w:rsid w:val="00B2098B"/>
    <w:rsid w:val="00B32BCC"/>
    <w:rsid w:val="00B32DDB"/>
    <w:rsid w:val="00B36A65"/>
    <w:rsid w:val="00B372C8"/>
    <w:rsid w:val="00B40A03"/>
    <w:rsid w:val="00B40CFB"/>
    <w:rsid w:val="00B44676"/>
    <w:rsid w:val="00B448FC"/>
    <w:rsid w:val="00B46099"/>
    <w:rsid w:val="00B4643E"/>
    <w:rsid w:val="00B513EB"/>
    <w:rsid w:val="00B551E6"/>
    <w:rsid w:val="00B63AFC"/>
    <w:rsid w:val="00B63BD5"/>
    <w:rsid w:val="00B6608F"/>
    <w:rsid w:val="00B76CB5"/>
    <w:rsid w:val="00B76D1E"/>
    <w:rsid w:val="00B801AF"/>
    <w:rsid w:val="00B80EDA"/>
    <w:rsid w:val="00B81475"/>
    <w:rsid w:val="00B85CB1"/>
    <w:rsid w:val="00B90EFA"/>
    <w:rsid w:val="00B92C54"/>
    <w:rsid w:val="00B95940"/>
    <w:rsid w:val="00B97BEC"/>
    <w:rsid w:val="00BA0E5F"/>
    <w:rsid w:val="00BA493B"/>
    <w:rsid w:val="00BA4D62"/>
    <w:rsid w:val="00BB0015"/>
    <w:rsid w:val="00BB10A9"/>
    <w:rsid w:val="00BB5FF0"/>
    <w:rsid w:val="00BC2F06"/>
    <w:rsid w:val="00BC3543"/>
    <w:rsid w:val="00BC39BB"/>
    <w:rsid w:val="00BC5568"/>
    <w:rsid w:val="00BC66E8"/>
    <w:rsid w:val="00BD2BDC"/>
    <w:rsid w:val="00BD366B"/>
    <w:rsid w:val="00BD3FB1"/>
    <w:rsid w:val="00BD6D50"/>
    <w:rsid w:val="00BD7706"/>
    <w:rsid w:val="00BE23F8"/>
    <w:rsid w:val="00BF011D"/>
    <w:rsid w:val="00BF0BA2"/>
    <w:rsid w:val="00BF26C4"/>
    <w:rsid w:val="00C01506"/>
    <w:rsid w:val="00C107E7"/>
    <w:rsid w:val="00C148E2"/>
    <w:rsid w:val="00C148FE"/>
    <w:rsid w:val="00C21F94"/>
    <w:rsid w:val="00C22FC8"/>
    <w:rsid w:val="00C274E0"/>
    <w:rsid w:val="00C3177E"/>
    <w:rsid w:val="00C36AC9"/>
    <w:rsid w:val="00C41EFF"/>
    <w:rsid w:val="00C41FBD"/>
    <w:rsid w:val="00C45E27"/>
    <w:rsid w:val="00C47265"/>
    <w:rsid w:val="00C51E92"/>
    <w:rsid w:val="00C54836"/>
    <w:rsid w:val="00C556F4"/>
    <w:rsid w:val="00C64B75"/>
    <w:rsid w:val="00C6634F"/>
    <w:rsid w:val="00C728E0"/>
    <w:rsid w:val="00C8098B"/>
    <w:rsid w:val="00C80F44"/>
    <w:rsid w:val="00C85E96"/>
    <w:rsid w:val="00C901F9"/>
    <w:rsid w:val="00C90CF4"/>
    <w:rsid w:val="00C91D7C"/>
    <w:rsid w:val="00C92654"/>
    <w:rsid w:val="00C93389"/>
    <w:rsid w:val="00C93C0D"/>
    <w:rsid w:val="00C97E34"/>
    <w:rsid w:val="00CA0463"/>
    <w:rsid w:val="00CA24C7"/>
    <w:rsid w:val="00CA5A12"/>
    <w:rsid w:val="00CB7349"/>
    <w:rsid w:val="00CC14C1"/>
    <w:rsid w:val="00CC1931"/>
    <w:rsid w:val="00CC1CC4"/>
    <w:rsid w:val="00CC2E9C"/>
    <w:rsid w:val="00CC475C"/>
    <w:rsid w:val="00CC6A28"/>
    <w:rsid w:val="00CD2807"/>
    <w:rsid w:val="00CD288B"/>
    <w:rsid w:val="00CE26E9"/>
    <w:rsid w:val="00CE3173"/>
    <w:rsid w:val="00CE45A3"/>
    <w:rsid w:val="00CE6149"/>
    <w:rsid w:val="00CF26A8"/>
    <w:rsid w:val="00CF3148"/>
    <w:rsid w:val="00CF4B39"/>
    <w:rsid w:val="00CF51EC"/>
    <w:rsid w:val="00D03353"/>
    <w:rsid w:val="00D03693"/>
    <w:rsid w:val="00D040DD"/>
    <w:rsid w:val="00D10241"/>
    <w:rsid w:val="00D10A68"/>
    <w:rsid w:val="00D15A3E"/>
    <w:rsid w:val="00D16F21"/>
    <w:rsid w:val="00D30233"/>
    <w:rsid w:val="00D31387"/>
    <w:rsid w:val="00D32AAF"/>
    <w:rsid w:val="00D347C8"/>
    <w:rsid w:val="00D3681A"/>
    <w:rsid w:val="00D41CE2"/>
    <w:rsid w:val="00D51522"/>
    <w:rsid w:val="00D516DE"/>
    <w:rsid w:val="00D51805"/>
    <w:rsid w:val="00D56ADA"/>
    <w:rsid w:val="00D602CE"/>
    <w:rsid w:val="00D60433"/>
    <w:rsid w:val="00D615CD"/>
    <w:rsid w:val="00D61A47"/>
    <w:rsid w:val="00D67975"/>
    <w:rsid w:val="00D709E7"/>
    <w:rsid w:val="00D719DF"/>
    <w:rsid w:val="00D7363A"/>
    <w:rsid w:val="00D7398A"/>
    <w:rsid w:val="00D76ECF"/>
    <w:rsid w:val="00D842D3"/>
    <w:rsid w:val="00D849E3"/>
    <w:rsid w:val="00D85D2F"/>
    <w:rsid w:val="00DA2A27"/>
    <w:rsid w:val="00DA3AAF"/>
    <w:rsid w:val="00DA45FF"/>
    <w:rsid w:val="00DA5852"/>
    <w:rsid w:val="00DA5900"/>
    <w:rsid w:val="00DB210A"/>
    <w:rsid w:val="00DB4F3B"/>
    <w:rsid w:val="00DB5AED"/>
    <w:rsid w:val="00DC2E00"/>
    <w:rsid w:val="00DC5B3B"/>
    <w:rsid w:val="00DD0AC7"/>
    <w:rsid w:val="00DD39C0"/>
    <w:rsid w:val="00DE2D8F"/>
    <w:rsid w:val="00DE3724"/>
    <w:rsid w:val="00DE6B5D"/>
    <w:rsid w:val="00DE6F11"/>
    <w:rsid w:val="00DE7B9D"/>
    <w:rsid w:val="00DF00E1"/>
    <w:rsid w:val="00DF1554"/>
    <w:rsid w:val="00DF1593"/>
    <w:rsid w:val="00DF4DBA"/>
    <w:rsid w:val="00DF5641"/>
    <w:rsid w:val="00E01C0E"/>
    <w:rsid w:val="00E03893"/>
    <w:rsid w:val="00E04694"/>
    <w:rsid w:val="00E069D1"/>
    <w:rsid w:val="00E17090"/>
    <w:rsid w:val="00E1763E"/>
    <w:rsid w:val="00E22935"/>
    <w:rsid w:val="00E23CFF"/>
    <w:rsid w:val="00E263D4"/>
    <w:rsid w:val="00E2712D"/>
    <w:rsid w:val="00E40102"/>
    <w:rsid w:val="00E42B4D"/>
    <w:rsid w:val="00E438DF"/>
    <w:rsid w:val="00E471F8"/>
    <w:rsid w:val="00E5040E"/>
    <w:rsid w:val="00E55504"/>
    <w:rsid w:val="00E578A9"/>
    <w:rsid w:val="00E63EC2"/>
    <w:rsid w:val="00E644C5"/>
    <w:rsid w:val="00E65D1A"/>
    <w:rsid w:val="00E663CD"/>
    <w:rsid w:val="00E71A58"/>
    <w:rsid w:val="00E75DA1"/>
    <w:rsid w:val="00E81B7C"/>
    <w:rsid w:val="00E8493B"/>
    <w:rsid w:val="00E90C72"/>
    <w:rsid w:val="00E93764"/>
    <w:rsid w:val="00E97C6C"/>
    <w:rsid w:val="00EA0C68"/>
    <w:rsid w:val="00EA29F0"/>
    <w:rsid w:val="00EB3661"/>
    <w:rsid w:val="00EB7DA1"/>
    <w:rsid w:val="00EC6E8A"/>
    <w:rsid w:val="00ED286F"/>
    <w:rsid w:val="00EE1E7F"/>
    <w:rsid w:val="00EE39DC"/>
    <w:rsid w:val="00EE3E78"/>
    <w:rsid w:val="00EE5A6E"/>
    <w:rsid w:val="00EF1AEF"/>
    <w:rsid w:val="00EF1F5A"/>
    <w:rsid w:val="00EF3E4D"/>
    <w:rsid w:val="00EF4D97"/>
    <w:rsid w:val="00EF5416"/>
    <w:rsid w:val="00F014FF"/>
    <w:rsid w:val="00F02F8E"/>
    <w:rsid w:val="00F0328F"/>
    <w:rsid w:val="00F03967"/>
    <w:rsid w:val="00F04811"/>
    <w:rsid w:val="00F0488C"/>
    <w:rsid w:val="00F12246"/>
    <w:rsid w:val="00F127ED"/>
    <w:rsid w:val="00F15BEF"/>
    <w:rsid w:val="00F24FAA"/>
    <w:rsid w:val="00F3364D"/>
    <w:rsid w:val="00F41C6D"/>
    <w:rsid w:val="00F42351"/>
    <w:rsid w:val="00F45E8A"/>
    <w:rsid w:val="00F53404"/>
    <w:rsid w:val="00F5536C"/>
    <w:rsid w:val="00F6371C"/>
    <w:rsid w:val="00F63DDE"/>
    <w:rsid w:val="00F63FB7"/>
    <w:rsid w:val="00F6458A"/>
    <w:rsid w:val="00F67236"/>
    <w:rsid w:val="00F70B9D"/>
    <w:rsid w:val="00F71B42"/>
    <w:rsid w:val="00F725A0"/>
    <w:rsid w:val="00F73A0C"/>
    <w:rsid w:val="00F77FB0"/>
    <w:rsid w:val="00F85872"/>
    <w:rsid w:val="00F954C5"/>
    <w:rsid w:val="00F95636"/>
    <w:rsid w:val="00FA499A"/>
    <w:rsid w:val="00FB007E"/>
    <w:rsid w:val="00FB2302"/>
    <w:rsid w:val="00FC0B39"/>
    <w:rsid w:val="00FC0C8F"/>
    <w:rsid w:val="00FC0E5F"/>
    <w:rsid w:val="00FC12FB"/>
    <w:rsid w:val="00FC1CDE"/>
    <w:rsid w:val="00FC56DE"/>
    <w:rsid w:val="00FD0311"/>
    <w:rsid w:val="00FD0F42"/>
    <w:rsid w:val="00FD497D"/>
    <w:rsid w:val="00FD730E"/>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1"/>
    </o:shapelayout>
  </w:shapeDefaults>
  <w:decimalSymbol w:val=","/>
  <w:listSeparator w:val=";"/>
  <w14:docId w14:val="0FDFDA8C"/>
  <w15:docId w15:val="{DE5222CD-3FE1-407A-9B81-7E212EF1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draznn">
    <w:name w:val="Emphasis"/>
    <w:basedOn w:val="Standardnpsmoodstavce"/>
    <w:uiPriority w:val="20"/>
    <w:qFormat/>
    <w:rsid w:val="00214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64866142">
      <w:bodyDiv w:val="1"/>
      <w:marLeft w:val="60"/>
      <w:marRight w:val="60"/>
      <w:marTop w:val="60"/>
      <w:marBottom w:val="15"/>
      <w:divBdr>
        <w:top w:val="none" w:sz="0" w:space="0" w:color="auto"/>
        <w:left w:val="none" w:sz="0" w:space="0" w:color="auto"/>
        <w:bottom w:val="none" w:sz="0" w:space="0" w:color="auto"/>
        <w:right w:val="none" w:sz="0" w:space="0" w:color="auto"/>
      </w:divBdr>
      <w:divsChild>
        <w:div w:id="1891261821">
          <w:marLeft w:val="0"/>
          <w:marRight w:val="0"/>
          <w:marTop w:val="0"/>
          <w:marBottom w:val="0"/>
          <w:divBdr>
            <w:top w:val="none" w:sz="0" w:space="0" w:color="auto"/>
            <w:left w:val="none" w:sz="0" w:space="0" w:color="auto"/>
            <w:bottom w:val="none" w:sz="0" w:space="0" w:color="auto"/>
            <w:right w:val="none" w:sz="0" w:space="0" w:color="auto"/>
          </w:divBdr>
          <w:divsChild>
            <w:div w:id="7945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8822910">
      <w:bodyDiv w:val="1"/>
      <w:marLeft w:val="0"/>
      <w:marRight w:val="0"/>
      <w:marTop w:val="0"/>
      <w:marBottom w:val="0"/>
      <w:divBdr>
        <w:top w:val="none" w:sz="0" w:space="0" w:color="auto"/>
        <w:left w:val="none" w:sz="0" w:space="0" w:color="auto"/>
        <w:bottom w:val="none" w:sz="0" w:space="0" w:color="auto"/>
        <w:right w:val="none" w:sz="0" w:space="0" w:color="auto"/>
      </w:divBdr>
    </w:div>
    <w:div w:id="889415061">
      <w:bodyDiv w:val="1"/>
      <w:marLeft w:val="0"/>
      <w:marRight w:val="0"/>
      <w:marTop w:val="0"/>
      <w:marBottom w:val="0"/>
      <w:divBdr>
        <w:top w:val="none" w:sz="0" w:space="0" w:color="auto"/>
        <w:left w:val="none" w:sz="0" w:space="0" w:color="auto"/>
        <w:bottom w:val="none" w:sz="0" w:space="0" w:color="auto"/>
        <w:right w:val="none" w:sz="0" w:space="0" w:color="auto"/>
      </w:divBdr>
    </w:div>
    <w:div w:id="915171869">
      <w:bodyDiv w:val="1"/>
      <w:marLeft w:val="0"/>
      <w:marRight w:val="0"/>
      <w:marTop w:val="0"/>
      <w:marBottom w:val="0"/>
      <w:divBdr>
        <w:top w:val="none" w:sz="0" w:space="0" w:color="auto"/>
        <w:left w:val="none" w:sz="0" w:space="0" w:color="auto"/>
        <w:bottom w:val="none" w:sz="0" w:space="0" w:color="auto"/>
        <w:right w:val="none" w:sz="0" w:space="0" w:color="auto"/>
      </w:divBdr>
    </w:div>
    <w:div w:id="1162425717">
      <w:bodyDiv w:val="1"/>
      <w:marLeft w:val="0"/>
      <w:marRight w:val="0"/>
      <w:marTop w:val="0"/>
      <w:marBottom w:val="0"/>
      <w:divBdr>
        <w:top w:val="none" w:sz="0" w:space="0" w:color="auto"/>
        <w:left w:val="none" w:sz="0" w:space="0" w:color="auto"/>
        <w:bottom w:val="none" w:sz="0" w:space="0" w:color="auto"/>
        <w:right w:val="none" w:sz="0" w:space="0" w:color="auto"/>
      </w:divBdr>
    </w:div>
    <w:div w:id="1280798522">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79514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55724239">
      <w:bodyDiv w:val="1"/>
      <w:marLeft w:val="0"/>
      <w:marRight w:val="0"/>
      <w:marTop w:val="0"/>
      <w:marBottom w:val="0"/>
      <w:divBdr>
        <w:top w:val="none" w:sz="0" w:space="0" w:color="auto"/>
        <w:left w:val="none" w:sz="0" w:space="0" w:color="auto"/>
        <w:bottom w:val="none" w:sz="0" w:space="0" w:color="auto"/>
        <w:right w:val="none" w:sz="0" w:space="0" w:color="auto"/>
      </w:divBdr>
    </w:div>
    <w:div w:id="20510291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footer2.xml.rels><?xml version="1.0" encoding="UTF-8" standalone="yes"?>
<Relationships xmlns="http://schemas.openxmlformats.org/package/2006/relationships"><Relationship Id="rId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45A8-F50E-4493-81E0-8AE64CC2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424</TotalTime>
  <Pages>20</Pages>
  <Words>8336</Words>
  <Characters>49185</Characters>
  <Application>Microsoft Office Word</Application>
  <DocSecurity>0</DocSecurity>
  <Lines>409</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Jitka Wichová</cp:lastModifiedBy>
  <cp:revision>33</cp:revision>
  <cp:lastPrinted>2018-06-06T04:58:00Z</cp:lastPrinted>
  <dcterms:created xsi:type="dcterms:W3CDTF">2019-02-11T15:12:00Z</dcterms:created>
  <dcterms:modified xsi:type="dcterms:W3CDTF">2019-02-12T13:31:00Z</dcterms:modified>
</cp:coreProperties>
</file>