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Default="00576A3E" w:rsidP="0060487F">
      <w:pPr>
        <w:pStyle w:val="Styl1"/>
        <w:rPr>
          <w:rFonts w:cs="Arial"/>
          <w:sz w:val="20"/>
        </w:rPr>
      </w:pPr>
    </w:p>
    <w:p w:rsidR="00576A3E" w:rsidRDefault="00C20B1C">
      <w:pPr>
        <w:spacing w:line="240" w:lineRule="auto"/>
        <w:rPr>
          <w:rFonts w:cs="Arial"/>
          <w:lang w:eastAsia="ar-SA"/>
        </w:rPr>
      </w:pPr>
      <w:r w:rsidRPr="00C20B1C">
        <w:rPr>
          <w:noProof/>
        </w:rPr>
        <w:pict>
          <v:shapetype id="_x0000_t202" coordsize="21600,21600" o:spt="202" path="m,l,21600r21600,l21600,xe">
            <v:stroke joinstyle="miter"/>
            <v:path gradientshapeok="t" o:connecttype="rect"/>
          </v:shapetype>
          <v:shape id="Textové pole 2" o:spid="_x0000_s1026" type="#_x0000_t202" style="position:absolute;margin-left:134.65pt;margin-top:759.8pt;width:403.95pt;height:14.15pt;z-index: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fJ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g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HnK18m3&#10;AgAArwUAAA4AAAAAAAAAAAAAAAAALgIAAGRycy9lMm9Eb2MueG1sUEsBAi0AFAAGAAgAAAAhAAdl&#10;cHfhAAAADgEAAA8AAAAAAAAAAAAAAAAAEQUAAGRycy9kb3ducmV2LnhtbFBLBQYAAAAABAAEAPMA&#10;AAAfBgAAAAA=&#10;" filled="f" stroked="f">
            <v:textbox inset="0,0,0,0">
              <w:txbxContent>
                <w:p w:rsidR="00DD7435" w:rsidRPr="005251DD" w:rsidRDefault="00DD7435" w:rsidP="004F191F">
                  <w:r w:rsidRPr="005251DD">
                    <w:t xml:space="preserve">Český statistický úřad, </w:t>
                  </w:r>
                  <w:r>
                    <w:t>Praha, 2016</w:t>
                  </w:r>
                </w:p>
              </w:txbxContent>
            </v:textbox>
            <w10:wrap anchorx="page" anchory="page"/>
            <w10:anchorlock/>
          </v:shape>
        </w:pict>
      </w:r>
      <w:r w:rsidRPr="00C20B1C">
        <w:rPr>
          <w:noProof/>
        </w:rPr>
        <w:pict>
          <v:shape id="_x0000_s1027" type="#_x0000_t202" style="position:absolute;margin-left:134.65pt;margin-top:612.45pt;width:394.65pt;height:112.45pt;z-index: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" filled="f" stroked="f">
            <v:textbox inset="0,0,0,0">
              <w:txbxContent>
                <w:p w:rsidR="00DD7435" w:rsidRPr="006C5577" w:rsidRDefault="00DD7435" w:rsidP="004F2A73">
                  <w:pPr>
                    <w:pStyle w:val="TL-Identifikace-dole"/>
                  </w:pPr>
                  <w:r>
                    <w:t>Z</w:t>
                  </w:r>
                  <w:r w:rsidRPr="006C5577">
                    <w:t>pracoval: Odbor</w:t>
                  </w:r>
                  <w:r>
                    <w:t xml:space="preserve"> Kancelář předsedkyně, Oddělení svodných analýz</w:t>
                  </w:r>
                </w:p>
                <w:p w:rsidR="00DD7435" w:rsidRPr="006C5577" w:rsidRDefault="00DD7435" w:rsidP="004F191F">
                  <w:pPr>
                    <w:pStyle w:val="TL-Identifikace-dole"/>
                  </w:pPr>
                  <w:r w:rsidRPr="006C5577">
                    <w:t xml:space="preserve">Ředitel odboru: </w:t>
                  </w:r>
                  <w:r>
                    <w:tab/>
                  </w:r>
                  <w:proofErr w:type="spellStart"/>
                  <w:r>
                    <w:t>Egor</w:t>
                  </w:r>
                  <w:proofErr w:type="spellEnd"/>
                  <w:r>
                    <w:t xml:space="preserve"> </w:t>
                  </w:r>
                  <w:proofErr w:type="spellStart"/>
                  <w:r>
                    <w:t>Sidorov</w:t>
                  </w:r>
                  <w:proofErr w:type="spellEnd"/>
                  <w:r>
                    <w:t xml:space="preserve">, </w:t>
                  </w:r>
                  <w:proofErr w:type="spellStart"/>
                  <w:r>
                    <w:t>Ph.D</w:t>
                  </w:r>
                  <w:proofErr w:type="spellEnd"/>
                  <w:r>
                    <w:t>.</w:t>
                  </w:r>
                </w:p>
                <w:p w:rsidR="00DD7435" w:rsidRPr="009F63D2" w:rsidRDefault="00DD7435" w:rsidP="004F191F">
                  <w:pPr>
                    <w:pStyle w:val="TL-Identifikace-dole"/>
                    <w:rPr>
                      <w:rFonts w:cs="Arial"/>
                    </w:rPr>
                  </w:pPr>
                  <w:r>
                    <w:t xml:space="preserve">Autorský tým: Bc. Jiří </w:t>
                  </w:r>
                  <w:proofErr w:type="gramStart"/>
                  <w:r>
                    <w:t>Kamenický,  Ing.</w:t>
                  </w:r>
                  <w:proofErr w:type="gramEnd"/>
                  <w:r>
                    <w:t xml:space="preserve"> </w:t>
                  </w:r>
                  <w:r w:rsidRPr="007F19B2">
                    <w:rPr>
                      <w:rFonts w:cs="Arial"/>
                    </w:rPr>
                    <w:t xml:space="preserve">Tereza </w:t>
                  </w:r>
                  <w:proofErr w:type="spellStart"/>
                  <w:r w:rsidRPr="007F19B2">
                    <w:rPr>
                      <w:rFonts w:cs="Arial"/>
                    </w:rPr>
                    <w:t>Košťáková</w:t>
                  </w:r>
                  <w:proofErr w:type="spellEnd"/>
                  <w:r>
                    <w:rPr>
                      <w:rFonts w:cs="Arial"/>
                    </w:rPr>
                    <w:t xml:space="preserve">,  RNDr. </w:t>
                  </w:r>
                  <w:r w:rsidRPr="007F19B2">
                    <w:rPr>
                      <w:rFonts w:cs="Arial"/>
                    </w:rPr>
                    <w:t>Jiří Mrázek</w:t>
                  </w:r>
                  <w:r>
                    <w:rPr>
                      <w:rFonts w:cs="Arial"/>
                    </w:rPr>
                    <w:t xml:space="preserve">,                 </w:t>
                  </w:r>
                  <w:r>
                    <w:rPr>
                      <w:rFonts w:cs="Arial"/>
                    </w:rPr>
                    <w:tab/>
                    <w:t xml:space="preserve">          Ing. </w:t>
                  </w:r>
                  <w:r w:rsidRPr="007F19B2">
                    <w:rPr>
                      <w:rFonts w:cs="Arial"/>
                    </w:rPr>
                    <w:t xml:space="preserve">Václav </w:t>
                  </w:r>
                  <w:proofErr w:type="spellStart"/>
                  <w:r w:rsidRPr="007F19B2">
                    <w:rPr>
                      <w:rFonts w:cs="Arial"/>
                    </w:rPr>
                    <w:t>Rybáček</w:t>
                  </w:r>
                  <w:proofErr w:type="spellEnd"/>
                  <w:r>
                    <w:rPr>
                      <w:rFonts w:cs="Arial"/>
                    </w:rPr>
                    <w:t xml:space="preserve">, </w:t>
                  </w:r>
                  <w:proofErr w:type="spellStart"/>
                  <w:r>
                    <w:rPr>
                      <w:rFonts w:cs="Arial"/>
                    </w:rPr>
                    <w:t>Ph.D</w:t>
                  </w:r>
                  <w:proofErr w:type="spellEnd"/>
                  <w:r>
                    <w:rPr>
                      <w:rFonts w:cs="Arial"/>
                    </w:rPr>
                    <w:t>.,  doc. Ing. Jaroslav Sixta,</w:t>
                  </w:r>
                  <w:r w:rsidRPr="009F63D2">
                    <w:rPr>
                      <w:rFonts w:cs="Arial"/>
                    </w:rPr>
                    <w:t xml:space="preserve"> </w:t>
                  </w:r>
                  <w:proofErr w:type="spellStart"/>
                  <w:r>
                    <w:rPr>
                      <w:rFonts w:cs="Arial"/>
                    </w:rPr>
                    <w:t>Ph.D</w:t>
                  </w:r>
                  <w:proofErr w:type="spellEnd"/>
                  <w:r>
                    <w:rPr>
                      <w:rFonts w:cs="Arial"/>
                    </w:rPr>
                    <w:t xml:space="preserve">.,                                </w:t>
                  </w:r>
                  <w:r>
                    <w:rPr>
                      <w:rFonts w:cs="Arial"/>
                    </w:rPr>
                    <w:tab/>
                    <w:t xml:space="preserve">          doc. Ing</w:t>
                  </w:r>
                  <w:r w:rsidR="005D25B4">
                    <w:rPr>
                      <w:rFonts w:cs="Arial"/>
                    </w:rPr>
                    <w:t>.</w:t>
                  </w:r>
                  <w:r>
                    <w:rPr>
                      <w:rFonts w:cs="Arial"/>
                    </w:rPr>
                    <w:t xml:space="preserve"> Ludmila Vebrová, CSc.</w:t>
                  </w:r>
                </w:p>
                <w:p w:rsidR="00DD7435" w:rsidRDefault="00DD7435" w:rsidP="004F191F">
                  <w:pPr>
                    <w:pStyle w:val="TL-Identifikace-dole"/>
                  </w:pPr>
                  <w:r w:rsidRPr="006C5577">
                    <w:t xml:space="preserve">Kontaktní osoba: </w:t>
                  </w:r>
                  <w:r>
                    <w:t xml:space="preserve">Bc. Jiří Kamenický, e-mail: </w:t>
                  </w:r>
                  <w:hyperlink r:id="rId8" w:history="1">
                    <w:r w:rsidRPr="00F34FB3">
                      <w:rPr>
                        <w:rStyle w:val="Hypertextovodkaz"/>
                      </w:rPr>
                      <w:t>jiri.kamenicky@czso.</w:t>
                    </w:r>
                    <w:proofErr w:type="gramStart"/>
                    <w:r w:rsidRPr="00F34FB3">
                      <w:rPr>
                        <w:rStyle w:val="Hypertextovodkaz"/>
                      </w:rPr>
                      <w:t>cz</w:t>
                    </w:r>
                  </w:hyperlink>
                  <w:r>
                    <w:t>,  tel.</w:t>
                  </w:r>
                  <w:proofErr w:type="gramEnd"/>
                  <w:r>
                    <w:t xml:space="preserve"> 274 052 741</w:t>
                  </w:r>
                </w:p>
                <w:p w:rsidR="00DD7435" w:rsidRDefault="00DD7435" w:rsidP="004F191F">
                  <w:pPr>
                    <w:pStyle w:val="TL-Identifikace-dole"/>
                  </w:pPr>
                  <w:r>
                    <w:t xml:space="preserve"> </w:t>
                  </w:r>
                </w:p>
                <w:p w:rsidR="00DD7435" w:rsidRDefault="00DD7435" w:rsidP="004F191F">
                  <w:pPr>
                    <w:pStyle w:val="TL-Identifikace-dole"/>
                  </w:pPr>
                  <w:r>
                    <w:t xml:space="preserve">                            e-mail</w:t>
                  </w:r>
                  <w:r w:rsidRPr="006C5577">
                    <w:t>:</w:t>
                  </w:r>
                  <w:r>
                    <w:t xml:space="preserve"> </w:t>
                  </w:r>
                  <w:hyperlink r:id="rId9" w:history="1">
                    <w:r w:rsidRPr="004640D1">
                      <w:rPr>
                        <w:rStyle w:val="Hypertextovodkaz"/>
                      </w:rPr>
                      <w:t>jiri.kamenicky@czso.cz</w:t>
                    </w:r>
                  </w:hyperlink>
                  <w:r>
                    <w:t>, tel: 274 052 741</w:t>
                  </w:r>
                </w:p>
              </w:txbxContent>
            </v:textbox>
            <w10:wrap anchorx="page" anchory="page"/>
            <w10:anchorlock/>
          </v:shape>
        </w:pict>
      </w:r>
      <w:r w:rsidRPr="00C20B1C">
        <w:rPr>
          <w:noProof/>
        </w:rPr>
        <w:pict>
          <v:shape id="Text Box 25" o:spid="_x0000_s1028" type="#_x0000_t202" style="position:absolute;margin-left:134.65pt;margin-top:358.2pt;width:394.6pt;height:155.55pt;z-index:7;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" filled="f" stroked="f">
            <v:textbox inset="0,0,0,0">
              <w:txbxContent>
                <w:p w:rsidR="00DD7435" w:rsidRPr="00D31445" w:rsidRDefault="00DD7435" w:rsidP="004F191F">
                  <w:pPr>
                    <w:pStyle w:val="TL-identifikace-sted"/>
                  </w:pPr>
                  <w:r>
                    <w:t>Souhrnná data o České republice</w:t>
                  </w:r>
                </w:p>
                <w:p w:rsidR="00DD7435" w:rsidRPr="00473E94" w:rsidRDefault="00DD7435" w:rsidP="004F191F">
                  <w:pPr>
                    <w:pStyle w:val="TL-identifikace-sted"/>
                    <w:rPr>
                      <w:color w:val="000000"/>
                    </w:rPr>
                  </w:pPr>
                  <w:bookmarkStart w:id="0" w:name="_GoBack"/>
                  <w:r>
                    <w:rPr>
                      <w:color w:val="000000"/>
                    </w:rPr>
                    <w:t>Praha, 23. 9. 2016</w:t>
                  </w:r>
                </w:p>
                <w:bookmarkEnd w:id="0"/>
                <w:p w:rsidR="00DD7435" w:rsidRPr="002E73F2" w:rsidRDefault="00DD7435" w:rsidP="004F191F">
                  <w:pPr>
                    <w:pStyle w:val="TL-identifikace-sted"/>
                  </w:pPr>
                  <w:r w:rsidRPr="00D31445">
                    <w:t xml:space="preserve">Kód </w:t>
                  </w:r>
                  <w:r>
                    <w:t>publikace: 320193-16</w:t>
                  </w:r>
                </w:p>
                <w:p w:rsidR="00DD7435" w:rsidRPr="004117CE" w:rsidRDefault="00DD7435" w:rsidP="004F191F">
                  <w:pPr>
                    <w:spacing w:after="200"/>
                    <w:rPr>
                      <w:color w:val="0D0D0D"/>
                      <w:sz w:val="24"/>
                    </w:rPr>
                  </w:pPr>
                  <w:r w:rsidRPr="004117CE">
                    <w:rPr>
                      <w:color w:val="0D0D0D"/>
                      <w:sz w:val="24"/>
                    </w:rPr>
                    <w:t xml:space="preserve">Č. </w:t>
                  </w:r>
                  <w:proofErr w:type="spellStart"/>
                  <w:r w:rsidRPr="004117CE">
                    <w:rPr>
                      <w:color w:val="0D0D0D"/>
                      <w:sz w:val="24"/>
                    </w:rPr>
                    <w:t>j</w:t>
                  </w:r>
                  <w:proofErr w:type="spellEnd"/>
                  <w:r w:rsidRPr="004117CE">
                    <w:rPr>
                      <w:color w:val="0D0D0D"/>
                      <w:sz w:val="24"/>
                    </w:rPr>
                    <w:t>.: 2190/2016</w:t>
                  </w:r>
                </w:p>
                <w:p w:rsidR="00DD7435" w:rsidRPr="00D31445" w:rsidRDefault="00DD7435" w:rsidP="004F191F">
                  <w:pPr>
                    <w:spacing w:after="200"/>
                    <w:rPr>
                      <w:sz w:val="24"/>
                    </w:rPr>
                  </w:pPr>
                  <w:r>
                    <w:rPr>
                      <w:sz w:val="24"/>
                    </w:rPr>
                    <w:t>Pořadové číslo v roce: 2</w:t>
                  </w:r>
                </w:p>
              </w:txbxContent>
            </v:textbox>
            <w10:wrap anchorx="page" anchory="page"/>
            <w10:anchorlock/>
          </v:shape>
        </w:pict>
      </w:r>
      <w:r w:rsidRPr="00C20B1C">
        <w:rPr>
          <w:noProof/>
        </w:rPr>
        <w:pict>
          <v:shape id="_x0000_s1029" type="#_x0000_t202" style="position:absolute;margin-left:134.65pt;margin-top:116.25pt;width:371.15pt;height:135.25pt;z-index: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4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iDHipIUePdBBi/3PH6gTDUWBqVHfqQRc7ztw1sOtGKDXlq/q7kTxWSEuVjXhW3ojpehr&#10;SkrI0Tc33bOrI44yIJv+nSghFtlpYYGGSramgFASBOjQq8djfyAfVMBmOPcvI2+GUQ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" filled="f" stroked="f">
            <v:textbox style="mso-fit-shape-to-text:t" inset="0,0,0,0">
              <w:txbxContent>
                <w:p w:rsidR="00DD7435" w:rsidRPr="001C357A" w:rsidRDefault="00DD7435" w:rsidP="001C357A">
                  <w:pPr>
                    <w:pStyle w:val="Podtitul"/>
                    <w:rPr>
                      <w:sz w:val="56"/>
                      <w:szCs w:val="56"/>
                    </w:rPr>
                  </w:pPr>
                  <w:r>
                    <w:rPr>
                      <w:sz w:val="56"/>
                      <w:szCs w:val="56"/>
                    </w:rPr>
                    <w:t>VÝVOJ EKONOMIKY Č</w:t>
                  </w:r>
                  <w:r w:rsidRPr="001C357A">
                    <w:rPr>
                      <w:sz w:val="56"/>
                      <w:szCs w:val="56"/>
                    </w:rPr>
                    <w:t>E</w:t>
                  </w:r>
                  <w:r>
                    <w:rPr>
                      <w:sz w:val="56"/>
                      <w:szCs w:val="56"/>
                    </w:rPr>
                    <w:t>SKÉ REPUBLIKY V 1. POLOLETÍ 2016</w:t>
                  </w:r>
                </w:p>
                <w:p w:rsidR="00DD7435" w:rsidRPr="009B04D0" w:rsidRDefault="00DD7435" w:rsidP="004F191F">
                  <w:pPr>
                    <w:pStyle w:val="Podtitul"/>
                  </w:pPr>
                </w:p>
              </w:txbxContent>
            </v:textbox>
            <w10:wrap anchorx="page" anchory="page"/>
            <w10:anchorlock/>
          </v:shape>
        </w:pict>
      </w:r>
      <w:r w:rsidRPr="00C20B1C">
        <w:rPr>
          <w:noProof/>
        </w:rPr>
        <w:pict>
          <v:group id="Group 24" o:spid="_x0000_s1030" style="position:absolute;margin-left:45.1pt;margin-top:36.85pt;width:177.15pt;height:43.65pt;z-index:5;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xJoicAAIv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">
            <o:lock v:ext="edit" aspectratio="t"/>
            <v:rect id="Rectangle 9" o:spid="_x0000_s1031"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dfb4A&#10;AADaAAAADwAAAGRycy9kb3ducmV2LnhtbERPTYvCMBC9L/gfwgje1lQPrlTTIooguB62Cl7HZmyD&#10;zaQ00Xb/vTks7PHxvtf5YBvxos4bxwpm0wQEcem04UrB5bz/XILwAVlj45gU/JKHPBt9rDHVrucf&#10;ehWhEjGEfYoK6hDaVEpf1mTRT11LHLm76yyGCLtK6g77GG4bOU+ShbRoODbU2NK2pvJRPK0CI797&#10;W5yuO5c827O5ft2WPhyVmoyHzQpEoCH8i//cB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BHX2+AAAA2gAAAA8AAAAAAAAAAAAAAAAAmAIAAGRycy9kb3ducmV2&#10;LnhtbFBLBQYAAAAABAAEAPUAAACDAwAAAAA=&#10;" fillcolor="#0071bc" stroked="f">
              <o:lock v:ext="edit" aspectratio="t"/>
            </v:rect>
            <v:rect id="Rectangle 10" o:spid="_x0000_s1032"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45sIA&#10;AADaAAAADwAAAGRycy9kb3ducmV2LnhtbESPT4vCMBTE74LfITzBm6Z68E/XKIuysLB6sApen83b&#10;NmzzUppou9/eCILHYWZ+w6w2na3EnRpvHCuYjBMQxLnThgsF59PXaAHCB2SNlWNS8E8eNut+b4Wp&#10;di0f6Z6FQkQI+xQVlCHUqZQ+L8miH7uaOHq/rrEYomwKqRtsI9xWcpokM2nRcFwosaZtSflfdrMK&#10;jNy3Njtcdi651SdzmV8XPvwoNRx0nx8gAnXhHX61v7WCJ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bjmwgAAANoAAAAPAAAAAAAAAAAAAAAAAJgCAABkcnMvZG93&#10;bnJldi54bWxQSwUGAAAAAAQABAD1AAAAhwMAAAAA&#10;" fillcolor="#0071bc" stroked="f">
              <o:lock v:ext="edit" aspectratio="t"/>
            </v:rect>
            <v:rect id="Rectangle 11" o:spid="_x0000_s1033"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mR8QA&#10;AADbAAAADwAAAGRycy9kb3ducmV2LnhtbESPQWvCQBSE7wX/w/KE3pqNUtoQXUUshULbQxMh12f2&#10;mSxm34bsauK/dwuFHoeZ+YZZbyfbiSsN3jhWsEhSEMS104YbBYfy/SkD4QOyxs4xKbiRh+1m9rDG&#10;XLuRf+hahEZECPscFbQh9LmUvm7Jok9cTxy9kxsshiiHRuoBxwi3nVym6Yu0aDgutNjTvqX6XFys&#10;AiO/Rlt8V28uvfSlqV6PmQ+fSj3Op90KRKAp/If/2h9awfIZ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pkfEAAAA2wAAAA8AAAAAAAAAAAAAAAAAmAIAAGRycy9k&#10;b3ducmV2LnhtbFBLBQYAAAAABAAEAPUAAACJAwAAAAA=&#10;" fillcolor="#0071bc" stroked="f">
              <o:lock v:ext="edit" aspectratio="t"/>
            </v:rect>
            <v:shape id="Freeform 12" o:spid="_x0000_s1034"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cN8EA&#10;AADbAAAADwAAAGRycy9kb3ducmV2LnhtbESPQYvCMBSE78L+h/AEb5paUJauUYqs7IqnrfX+aN42&#10;xealNFHrvzeC4HGYmW+Y1WawrbhS7xvHCuazBARx5XTDtYLyuJt+gvABWWPrmBTcycNm/TFaYabd&#10;jf/oWoRaRAj7DBWYELpMSl8ZsuhnriOO3r/rLYYo+1rqHm8RbluZJslSWmw4LhjsaGuoOhcXq+A7&#10;J0N52W0L3renn9P5kDb7g1KT8ZB/gQg0hHf41f7VCtIF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HDf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aAMYA&#10;AADbAAAADwAAAGRycy9kb3ducmV2LnhtbESPQWvCQBSE7wX/w/KEXqRuVBBJ3YSiFKQqqGkPvT2y&#10;r0lo9m3Y3Zr033cFocdhZr5h1vlgWnEl5xvLCmbTBARxaXXDlYL34vVpBcIHZI2tZVLwSx7ybPSw&#10;xlTbns90vYRKRAj7FBXUIXSplL6syaCf2o44el/WGQxRukpqh32Em1bOk2QpDTYcF2rsaFNT+X35&#10;MQo2RfvhFod+f3aT7e7t81jJ4nhS6nE8vDyDCDSE//C9vdMK5ku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haAM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GsMA&#10;AADbAAAADwAAAGRycy9kb3ducmV2LnhtbESPQWvCQBSE74L/YXmCF6mbetCSukpVot5KVXp+zT6T&#10;0OzbdHc18d+7BcHjMPPNMPNlZ2pxJecrywpexwkI4tzqigsFp2P28gbCB2SNtWVScCMPy0W/N8dU&#10;25a/6HoIhYgl7FNUUIbQpFL6vCSDfmwb4uidrTMYonSF1A7bWG5qOUmSqTRYcVwosaF1Sfnv4WIU&#10;TKbfP7tsX6w+6+3fyOnzJhu1G6WGg+7jHUSgLjzDD3qvIzeD/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gzGsMAAADbAAAADwAAAAAAAAAAAAAAAACYAgAAZHJzL2Rv&#10;d25yZXYueG1sUEsFBgAAAAAEAAQA9QAAAIgD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D31932">
      <w:pPr>
        <w:autoSpaceDE w:val="0"/>
        <w:autoSpaceDN w:val="0"/>
        <w:adjustRightInd w:val="0"/>
        <w:spacing w:line="240" w:lineRule="auto"/>
        <w:jc w:val="both"/>
        <w:rPr>
          <w:rFonts w:cs="Arial"/>
        </w:rPr>
      </w:pPr>
    </w:p>
    <w:p w:rsidR="00576A3E" w:rsidRDefault="00C20B1C" w:rsidP="00D31932">
      <w:pPr>
        <w:autoSpaceDE w:val="0"/>
        <w:autoSpaceDN w:val="0"/>
        <w:adjustRightInd w:val="0"/>
        <w:spacing w:line="240" w:lineRule="auto"/>
        <w:jc w:val="both"/>
        <w:rPr>
          <w:rFonts w:cs="Arial"/>
          <w:lang w:eastAsia="ar-SA"/>
        </w:rPr>
      </w:pPr>
      <w:r w:rsidRPr="00C20B1C">
        <w:rPr>
          <w:noProof/>
        </w:rPr>
        <w:pict>
          <v:line id="Přímá spojnice 33" o:spid="_x0000_s1037" style="position:absolute;left:0;text-align:left;z-index:4;visibility:visible;mso-wrap-distance-top:-3e-5mm;mso-wrap-distance-bottom:-3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Pr>
          <w:rFonts w:cs="Arial"/>
        </w:rPr>
        <w:br w:type="page"/>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pPr>
        <w:spacing w:line="240" w:lineRule="auto"/>
        <w:rPr>
          <w:rFonts w:cs="Arial"/>
          <w:lang w:eastAsia="ar-SA"/>
        </w:rPr>
      </w:pPr>
    </w:p>
    <w:p w:rsidR="00576A3E" w:rsidRDefault="00576A3E" w:rsidP="0060487F">
      <w:pPr>
        <w:pStyle w:val="Styl1"/>
        <w:rPr>
          <w:rFonts w:cs="Arial"/>
          <w:sz w:val="20"/>
        </w:rPr>
      </w:pPr>
    </w:p>
    <w:p w:rsidR="00576A3E" w:rsidRPr="006404A7" w:rsidRDefault="00C20B1C" w:rsidP="0060487F">
      <w:pPr>
        <w:pStyle w:val="Styl1"/>
        <w:rPr>
          <w:rFonts w:cs="Arial"/>
          <w:color w:val="7DB41E"/>
          <w:sz w:val="20"/>
          <w:szCs w:val="20"/>
        </w:rPr>
      </w:pPr>
      <w:r w:rsidRPr="00C20B1C">
        <w:rPr>
          <w:noProof/>
          <w:lang w:eastAsia="cs-CZ"/>
        </w:rPr>
        <w:pict>
          <v:shape id="_x0000_s1038" type="#_x0000_t202" style="position:absolute;margin-left:56.7pt;margin-top:116.25pt;width:481.9pt;height:595.3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RRh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JJ4GYSPrB6CwkkAwICNsPxBaqb5hNMAmybH+uiOKYsTfCRgDu3YmQU3CZhKIqOBpjg1Go7gy&#10;43ra9YptW0AeB03IaxiVhjkS25kaozgOGGwHl8txk9n18/jfWZ337fI3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KbQ3ii9AgAAtwUAAA4AAAAAAAAAAAAAAAAALgIAAGRycy9lMm9Eb2MueG1sUEsBAi0AFAAGAAgA&#10;AAAhADy8ZjjhAAAADQEAAA8AAAAAAAAAAAAAAAAAFwUAAGRycy9kb3ducmV2LnhtbFBLBQYAAAAA&#10;BAAEAPMAAAAlBgAAAAA=&#10;" filled="f" stroked="f">
            <v:textbox inset="0,0,0,0">
              <w:txbxContent>
                <w:p w:rsidR="00DD7435" w:rsidRPr="00D766EF" w:rsidRDefault="00DD7435" w:rsidP="00437C76">
                  <w:pPr>
                    <w:pStyle w:val="TL-Kontakty"/>
                  </w:pPr>
                  <w:r w:rsidRPr="00D766EF">
                    <w:rPr>
                      <w:caps w:val="0"/>
                    </w:rPr>
                    <w:t>KONTAKTY V</w:t>
                  </w:r>
                  <w:r w:rsidRPr="00D766EF">
                    <w:t> ÚSTŘEDÍ</w:t>
                  </w:r>
                </w:p>
                <w:p w:rsidR="00DD7435" w:rsidRPr="00EA4153" w:rsidRDefault="00DD7435"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DD7435" w:rsidRPr="00B27293" w:rsidRDefault="00DD7435" w:rsidP="00BD366B">
                  <w:pPr>
                    <w:spacing w:after="80" w:line="240" w:lineRule="auto"/>
                  </w:pPr>
                  <w:r w:rsidRPr="00100014">
                    <w:rPr>
                      <w:b/>
                    </w:rPr>
                    <w:t>Oddělení informačních služeb</w:t>
                  </w:r>
                  <w:r w:rsidRPr="00EA4153">
                    <w:t xml:space="preserve"> |</w:t>
                  </w:r>
                  <w:r>
                    <w:rPr>
                      <w:b/>
                    </w:rPr>
                    <w:t xml:space="preserve"> </w:t>
                  </w:r>
                  <w:r>
                    <w:t>tel.: 274 052 304, 274 052 451 | e-mail: infoservis@czso.cz</w:t>
                  </w:r>
                </w:p>
                <w:p w:rsidR="00DD7435" w:rsidRPr="00EA4153" w:rsidRDefault="00DD7435" w:rsidP="00BD366B">
                  <w:pPr>
                    <w:spacing w:after="80" w:line="240" w:lineRule="auto"/>
                    <w:rPr>
                      <w:b/>
                    </w:rPr>
                  </w:pPr>
                  <w:r w:rsidRPr="00100014">
                    <w:rPr>
                      <w:b/>
                    </w:rPr>
                    <w:t>Prodejna publikací ČSÚ</w:t>
                  </w:r>
                  <w:r>
                    <w:t xml:space="preserve"> | tel.: 274 052 361 | e-mail: prodejna@czso.cz</w:t>
                  </w:r>
                </w:p>
                <w:p w:rsidR="00DD7435" w:rsidRPr="00EA4153" w:rsidRDefault="00DD7435"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DD7435" w:rsidRPr="00EA4153" w:rsidRDefault="00DD7435" w:rsidP="00BD366B">
                  <w:pPr>
                    <w:spacing w:after="80" w:line="240" w:lineRule="auto"/>
                    <w:rPr>
                      <w:b/>
                    </w:rPr>
                  </w:pPr>
                  <w:r w:rsidRPr="00100014">
                    <w:rPr>
                      <w:b/>
                    </w:rPr>
                    <w:t>Ústřední statistická knihovna</w:t>
                  </w:r>
                  <w:r>
                    <w:t xml:space="preserve"> | tel.: 274 052 361 | e-mail: knihovna@czso.cz</w:t>
                  </w:r>
                </w:p>
                <w:p w:rsidR="00DD7435" w:rsidRDefault="00DD7435" w:rsidP="00BD366B">
                  <w:pPr>
                    <w:spacing w:line="240" w:lineRule="auto"/>
                  </w:pPr>
                </w:p>
                <w:p w:rsidR="00DD7435" w:rsidRPr="0071229A" w:rsidRDefault="00DD7435" w:rsidP="004F06F5">
                  <w:pPr>
                    <w:pStyle w:val="TL-Kontakty"/>
                  </w:pPr>
                  <w:r w:rsidRPr="0071229A">
                    <w:t>INFORMAČNÍ SLUŽBY V REGIONECH</w:t>
                  </w:r>
                </w:p>
                <w:p w:rsidR="00DD7435" w:rsidRDefault="00DD7435" w:rsidP="00BD366B">
                  <w:pPr>
                    <w:spacing w:line="240" w:lineRule="auto"/>
                  </w:pPr>
                  <w:r w:rsidRPr="00100014">
                    <w:rPr>
                      <w:b/>
                      <w:color w:val="0071BC"/>
                    </w:rPr>
                    <w:t>Hl. m. Praha</w:t>
                  </w:r>
                  <w:r>
                    <w:t xml:space="preserve"> | Na padesátém 81, 100 82 Praha 10 | tel.: 274 052 673, 274 054 223</w:t>
                  </w:r>
                </w:p>
                <w:p w:rsidR="00DD7435" w:rsidRPr="00100014" w:rsidRDefault="00DD7435" w:rsidP="00BD366B">
                  <w:pPr>
                    <w:spacing w:line="240" w:lineRule="auto"/>
                    <w:rPr>
                      <w:b/>
                    </w:rPr>
                  </w:pPr>
                  <w:r>
                    <w:t xml:space="preserve">e-mail: infoservispraha@czso.cz | </w:t>
                  </w:r>
                  <w:r w:rsidRPr="00100014">
                    <w:rPr>
                      <w:b/>
                    </w:rPr>
                    <w:t>www.praha.czso.cz</w:t>
                  </w:r>
                </w:p>
                <w:p w:rsidR="00DD7435" w:rsidRDefault="00DD7435" w:rsidP="00BD366B">
                  <w:pPr>
                    <w:spacing w:line="240" w:lineRule="auto"/>
                  </w:pPr>
                </w:p>
                <w:p w:rsidR="00DD7435" w:rsidRPr="00B27293" w:rsidRDefault="00DD7435"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DD7435" w:rsidRPr="00B27293" w:rsidRDefault="00DD7435" w:rsidP="00BD366B">
                  <w:pPr>
                    <w:spacing w:line="240" w:lineRule="auto"/>
                  </w:pPr>
                  <w:r>
                    <w:t xml:space="preserve">e-mail: infoservisstc@czso.cz | </w:t>
                  </w:r>
                  <w:r w:rsidRPr="00100014">
                    <w:rPr>
                      <w:b/>
                    </w:rPr>
                    <w:t>www.stredocesky.czso.cz</w:t>
                  </w:r>
                </w:p>
                <w:p w:rsidR="00DD7435" w:rsidRDefault="00DD7435" w:rsidP="00BD366B">
                  <w:pPr>
                    <w:spacing w:line="240" w:lineRule="auto"/>
                  </w:pPr>
                </w:p>
                <w:p w:rsidR="00DD7435" w:rsidRPr="00B27293" w:rsidRDefault="00DD7435" w:rsidP="00BD366B">
                  <w:pPr>
                    <w:spacing w:line="240" w:lineRule="auto"/>
                    <w:rPr>
                      <w:b/>
                      <w:color w:val="0071BC"/>
                    </w:rPr>
                  </w:pPr>
                  <w:r w:rsidRPr="00100014">
                    <w:rPr>
                      <w:b/>
                      <w:color w:val="0071BC"/>
                    </w:rPr>
                    <w:t>České Budějovice</w:t>
                  </w:r>
                  <w:r>
                    <w:t xml:space="preserve"> | Žižkova 1, 370 77 České Budějovice | tel.: 386 718 440</w:t>
                  </w:r>
                </w:p>
                <w:p w:rsidR="00DD7435" w:rsidRPr="00B27293" w:rsidRDefault="00DD7435" w:rsidP="00BD366B">
                  <w:pPr>
                    <w:spacing w:line="240" w:lineRule="auto"/>
                  </w:pPr>
                  <w:r>
                    <w:t xml:space="preserve">e-mail: infoserviscb@czso.cz | </w:t>
                  </w:r>
                  <w:r w:rsidRPr="00100014">
                    <w:rPr>
                      <w:b/>
                    </w:rPr>
                    <w:t>www.cbudejovice.czso.cz</w:t>
                  </w:r>
                </w:p>
                <w:p w:rsidR="00DD7435" w:rsidRDefault="00DD7435" w:rsidP="00BD366B">
                  <w:pPr>
                    <w:spacing w:line="240" w:lineRule="auto"/>
                  </w:pPr>
                </w:p>
                <w:p w:rsidR="00DD7435" w:rsidRPr="00B27293" w:rsidRDefault="00DD7435" w:rsidP="00BD366B">
                  <w:pPr>
                    <w:spacing w:line="240" w:lineRule="auto"/>
                    <w:rPr>
                      <w:b/>
                      <w:color w:val="0071BC"/>
                    </w:rPr>
                  </w:pPr>
                  <w:r w:rsidRPr="0071229A">
                    <w:rPr>
                      <w:b/>
                      <w:color w:val="0071BC"/>
                    </w:rPr>
                    <w:t>Plzeň</w:t>
                  </w:r>
                  <w:r>
                    <w:t xml:space="preserve"> | Slovanská alej 36, 326 64 Plzeň | tel.: 377 612 108, 377 612 249</w:t>
                  </w:r>
                </w:p>
                <w:p w:rsidR="00DD7435" w:rsidRPr="00B27293" w:rsidRDefault="00DD7435" w:rsidP="00BD366B">
                  <w:pPr>
                    <w:spacing w:line="240" w:lineRule="auto"/>
                  </w:pPr>
                  <w:r>
                    <w:t xml:space="preserve">e-mail: infoservisplzen@czso.cz | </w:t>
                  </w:r>
                  <w:r w:rsidRPr="0071229A">
                    <w:rPr>
                      <w:b/>
                    </w:rPr>
                    <w:t>www.plzen.czso.cz</w:t>
                  </w:r>
                </w:p>
                <w:p w:rsidR="00DD7435" w:rsidRDefault="00DD7435" w:rsidP="00BD366B">
                  <w:pPr>
                    <w:spacing w:line="240" w:lineRule="auto"/>
                  </w:pPr>
                </w:p>
                <w:p w:rsidR="00DD7435" w:rsidRPr="00B27293" w:rsidRDefault="00DD7435" w:rsidP="00BD366B">
                  <w:pPr>
                    <w:spacing w:line="240" w:lineRule="auto"/>
                    <w:rPr>
                      <w:b/>
                      <w:color w:val="0071BC"/>
                    </w:rPr>
                  </w:pPr>
                  <w:r w:rsidRPr="0071229A">
                    <w:rPr>
                      <w:b/>
                      <w:color w:val="0071BC"/>
                    </w:rPr>
                    <w:t>Karlovy Vary</w:t>
                  </w:r>
                  <w:r>
                    <w:t xml:space="preserve"> | Sportovní 28, 360 01 Karlovy Vary | tel.: 353 114 529, 353 114 525</w:t>
                  </w:r>
                </w:p>
                <w:p w:rsidR="00DD7435" w:rsidRDefault="00DD7435" w:rsidP="00BD366B">
                  <w:pPr>
                    <w:spacing w:line="240" w:lineRule="auto"/>
                    <w:rPr>
                      <w:b/>
                    </w:rPr>
                  </w:pPr>
                  <w:r>
                    <w:t xml:space="preserve">e-mail: infoserviskv@czso.cz | </w:t>
                  </w:r>
                  <w:r>
                    <w:rPr>
                      <w:b/>
                    </w:rPr>
                    <w:t>www.kvary.czso.cz</w:t>
                  </w:r>
                </w:p>
                <w:p w:rsidR="00DD7435" w:rsidRDefault="00DD7435" w:rsidP="00BD366B">
                  <w:pPr>
                    <w:spacing w:line="240" w:lineRule="auto"/>
                  </w:pPr>
                </w:p>
                <w:p w:rsidR="00DD7435" w:rsidRPr="00B27293" w:rsidRDefault="00DD7435" w:rsidP="00BD366B">
                  <w:pPr>
                    <w:spacing w:line="240" w:lineRule="auto"/>
                    <w:rPr>
                      <w:b/>
                      <w:bCs/>
                      <w:color w:val="0071BC"/>
                    </w:rPr>
                  </w:pPr>
                  <w:r w:rsidRPr="0071229A">
                    <w:rPr>
                      <w:b/>
                      <w:bCs/>
                      <w:color w:val="0071BC"/>
                    </w:rPr>
                    <w:t>Ústí nad Labem</w:t>
                  </w:r>
                  <w:r>
                    <w:t xml:space="preserve"> | </w:t>
                  </w:r>
                  <w:proofErr w:type="spellStart"/>
                  <w:r w:rsidRPr="0071229A">
                    <w:rPr>
                      <w:bCs/>
                    </w:rPr>
                    <w:t>Špálova</w:t>
                  </w:r>
                  <w:proofErr w:type="spellEnd"/>
                  <w:r w:rsidRPr="0071229A">
                    <w:rPr>
                      <w:bCs/>
                    </w:rPr>
                    <w:t xml:space="preserve"> 2684, 400 11 Ústí nad Labem</w:t>
                  </w:r>
                  <w:r>
                    <w:t xml:space="preserve"> | </w:t>
                  </w:r>
                  <w:r w:rsidRPr="0071229A">
                    <w:rPr>
                      <w:bCs/>
                    </w:rPr>
                    <w:t>tel.: 472 706 176, 472 706 121</w:t>
                  </w:r>
                </w:p>
                <w:p w:rsidR="00DD7435" w:rsidRPr="00B27293" w:rsidRDefault="00DD7435" w:rsidP="00BD366B">
                  <w:pPr>
                    <w:spacing w:line="240" w:lineRule="auto"/>
                    <w:rPr>
                      <w:bCs/>
                    </w:rPr>
                  </w:pPr>
                  <w:r w:rsidRPr="0071229A">
                    <w:rPr>
                      <w:bCs/>
                    </w:rPr>
                    <w:t>e-mail: infoservisul@czso.cz</w:t>
                  </w:r>
                  <w:r>
                    <w:t xml:space="preserve"> | </w:t>
                  </w:r>
                  <w:r w:rsidRPr="0071229A">
                    <w:rPr>
                      <w:b/>
                      <w:bCs/>
                    </w:rPr>
                    <w:t>www.ustinadlabem.czso.cz</w:t>
                  </w:r>
                </w:p>
                <w:p w:rsidR="00DD7435" w:rsidRPr="0071229A" w:rsidRDefault="00DD7435" w:rsidP="00BD366B">
                  <w:pPr>
                    <w:spacing w:line="240" w:lineRule="auto"/>
                    <w:rPr>
                      <w:bCs/>
                    </w:rPr>
                  </w:pPr>
                </w:p>
                <w:p w:rsidR="00DD7435" w:rsidRPr="00B27293" w:rsidRDefault="00DD7435"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DD7435" w:rsidRPr="00B27293" w:rsidRDefault="00DD7435" w:rsidP="00BD366B">
                  <w:pPr>
                    <w:spacing w:line="240" w:lineRule="auto"/>
                    <w:rPr>
                      <w:bCs/>
                    </w:rPr>
                  </w:pPr>
                  <w:r w:rsidRPr="0071229A">
                    <w:rPr>
                      <w:bCs/>
                    </w:rPr>
                    <w:t>e-mail: infoservislbc@czso.cz</w:t>
                  </w:r>
                  <w:r>
                    <w:t xml:space="preserve"> | </w:t>
                  </w:r>
                  <w:r w:rsidRPr="0071229A">
                    <w:rPr>
                      <w:b/>
                      <w:bCs/>
                    </w:rPr>
                    <w:t>www.liberec.czso.cz</w:t>
                  </w:r>
                </w:p>
                <w:p w:rsidR="00DD7435" w:rsidRPr="0071229A" w:rsidRDefault="00DD7435" w:rsidP="00BD366B">
                  <w:pPr>
                    <w:spacing w:line="240" w:lineRule="auto"/>
                    <w:rPr>
                      <w:bCs/>
                    </w:rPr>
                  </w:pPr>
                </w:p>
                <w:p w:rsidR="00DD7435" w:rsidRPr="00B27293" w:rsidRDefault="00DD7435"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DD7435" w:rsidRPr="00B27293" w:rsidRDefault="00DD7435" w:rsidP="00BD366B">
                  <w:pPr>
                    <w:spacing w:line="240" w:lineRule="auto"/>
                    <w:rPr>
                      <w:bCs/>
                    </w:rPr>
                  </w:pPr>
                  <w:r w:rsidRPr="0071229A">
                    <w:rPr>
                      <w:bCs/>
                    </w:rPr>
                    <w:t>e-mail: infoservishk@czso.cz</w:t>
                  </w:r>
                  <w:r>
                    <w:t xml:space="preserve"> | </w:t>
                  </w:r>
                  <w:r w:rsidRPr="0071229A">
                    <w:rPr>
                      <w:b/>
                      <w:bCs/>
                    </w:rPr>
                    <w:t>www.hradeckralove.czso.cz</w:t>
                  </w:r>
                </w:p>
                <w:p w:rsidR="00DD7435" w:rsidRPr="0071229A" w:rsidRDefault="00DD7435" w:rsidP="00BD366B">
                  <w:pPr>
                    <w:spacing w:line="240" w:lineRule="auto"/>
                    <w:rPr>
                      <w:bCs/>
                    </w:rPr>
                  </w:pPr>
                </w:p>
                <w:p w:rsidR="00DD7435" w:rsidRPr="00B27293" w:rsidRDefault="00DD7435"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DD7435" w:rsidRPr="00B27293" w:rsidRDefault="00DD7435" w:rsidP="00BD366B">
                  <w:pPr>
                    <w:spacing w:line="240" w:lineRule="auto"/>
                    <w:rPr>
                      <w:bCs/>
                    </w:rPr>
                  </w:pPr>
                  <w:r w:rsidRPr="0071229A">
                    <w:rPr>
                      <w:bCs/>
                    </w:rPr>
                    <w:t>e-mail: infoservispa@czso.cz</w:t>
                  </w:r>
                  <w:r>
                    <w:t xml:space="preserve"> | </w:t>
                  </w:r>
                  <w:r w:rsidRPr="0071229A">
                    <w:rPr>
                      <w:b/>
                      <w:bCs/>
                    </w:rPr>
                    <w:t>www.pardubice.czso.cz</w:t>
                  </w:r>
                </w:p>
                <w:p w:rsidR="00DD7435" w:rsidRPr="0071229A" w:rsidRDefault="00DD7435" w:rsidP="00BD366B">
                  <w:pPr>
                    <w:spacing w:line="240" w:lineRule="auto"/>
                    <w:rPr>
                      <w:bCs/>
                    </w:rPr>
                  </w:pPr>
                </w:p>
                <w:p w:rsidR="00DD7435" w:rsidRPr="00B27293" w:rsidRDefault="00DD7435"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DD7435" w:rsidRPr="00B27293" w:rsidRDefault="00DD7435" w:rsidP="00BD366B">
                  <w:pPr>
                    <w:spacing w:line="240" w:lineRule="auto"/>
                    <w:rPr>
                      <w:bCs/>
                    </w:rPr>
                  </w:pPr>
                  <w:r w:rsidRPr="0071229A">
                    <w:rPr>
                      <w:bCs/>
                    </w:rPr>
                    <w:t>e-mail: infoservisvys@czso.cz</w:t>
                  </w:r>
                  <w:r>
                    <w:t xml:space="preserve"> | </w:t>
                  </w:r>
                  <w:r w:rsidRPr="0071229A">
                    <w:rPr>
                      <w:b/>
                      <w:bCs/>
                    </w:rPr>
                    <w:t>www.jihlava.czso.cz</w:t>
                  </w:r>
                </w:p>
                <w:p w:rsidR="00DD7435" w:rsidRPr="0071229A" w:rsidRDefault="00DD7435" w:rsidP="00BD366B">
                  <w:pPr>
                    <w:spacing w:line="240" w:lineRule="auto"/>
                    <w:rPr>
                      <w:bCs/>
                    </w:rPr>
                  </w:pPr>
                </w:p>
                <w:p w:rsidR="00DD7435" w:rsidRPr="00B27293" w:rsidRDefault="00DD7435"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DD7435" w:rsidRPr="00B27293" w:rsidRDefault="00DD7435" w:rsidP="00BD366B">
                  <w:pPr>
                    <w:spacing w:line="240" w:lineRule="auto"/>
                    <w:rPr>
                      <w:bCs/>
                    </w:rPr>
                  </w:pPr>
                  <w:r w:rsidRPr="0071229A">
                    <w:rPr>
                      <w:bCs/>
                    </w:rPr>
                    <w:t>e-mail: infoservisbrno@czso.cz</w:t>
                  </w:r>
                  <w:r>
                    <w:t xml:space="preserve"> | </w:t>
                  </w:r>
                  <w:r w:rsidRPr="0071229A">
                    <w:rPr>
                      <w:b/>
                      <w:bCs/>
                    </w:rPr>
                    <w:t>www.brno.czso.cz</w:t>
                  </w:r>
                </w:p>
                <w:p w:rsidR="00DD7435" w:rsidRPr="0071229A" w:rsidRDefault="00DD7435" w:rsidP="00BD366B">
                  <w:pPr>
                    <w:spacing w:line="240" w:lineRule="auto"/>
                    <w:rPr>
                      <w:bCs/>
                    </w:rPr>
                  </w:pPr>
                </w:p>
                <w:p w:rsidR="00DD7435" w:rsidRPr="00B27293" w:rsidRDefault="00DD7435" w:rsidP="00BD366B">
                  <w:pPr>
                    <w:spacing w:line="240" w:lineRule="auto"/>
                    <w:rPr>
                      <w:b/>
                      <w:bCs/>
                    </w:rPr>
                  </w:pPr>
                  <w:r w:rsidRPr="0071229A">
                    <w:rPr>
                      <w:b/>
                      <w:bCs/>
                      <w:color w:val="0071BC"/>
                    </w:rPr>
                    <w:t>Olomouc</w:t>
                  </w:r>
                  <w:r>
                    <w:t xml:space="preserve"> | </w:t>
                  </w:r>
                  <w:proofErr w:type="spellStart"/>
                  <w:r w:rsidRPr="0071229A">
                    <w:rPr>
                      <w:bCs/>
                    </w:rPr>
                    <w:t>Jeremenkova</w:t>
                  </w:r>
                  <w:proofErr w:type="spellEnd"/>
                  <w:r w:rsidRPr="0071229A">
                    <w:rPr>
                      <w:bCs/>
                    </w:rPr>
                    <w:t xml:space="preserve"> 1142/42, 772 11 Olomouc</w:t>
                  </w:r>
                  <w:r>
                    <w:t xml:space="preserve"> | </w:t>
                  </w:r>
                  <w:r w:rsidRPr="0071229A">
                    <w:rPr>
                      <w:bCs/>
                    </w:rPr>
                    <w:t>tel.: 585 731 516, 585 731 509</w:t>
                  </w:r>
                </w:p>
                <w:p w:rsidR="00DD7435" w:rsidRPr="00B27293" w:rsidRDefault="00DD7435" w:rsidP="00BD366B">
                  <w:pPr>
                    <w:spacing w:line="240" w:lineRule="auto"/>
                    <w:rPr>
                      <w:bCs/>
                    </w:rPr>
                  </w:pPr>
                  <w:r w:rsidRPr="0071229A">
                    <w:rPr>
                      <w:bCs/>
                    </w:rPr>
                    <w:t>e-mail: infoservisolom@czso.cz</w:t>
                  </w:r>
                  <w:r>
                    <w:t xml:space="preserve"> | </w:t>
                  </w:r>
                  <w:r w:rsidRPr="0071229A">
                    <w:rPr>
                      <w:b/>
                      <w:bCs/>
                    </w:rPr>
                    <w:t>www.olomouc.czso.cz</w:t>
                  </w:r>
                </w:p>
                <w:p w:rsidR="00DD7435" w:rsidRPr="0071229A" w:rsidRDefault="00DD7435" w:rsidP="00BD366B">
                  <w:pPr>
                    <w:spacing w:line="240" w:lineRule="auto"/>
                    <w:rPr>
                      <w:bCs/>
                    </w:rPr>
                  </w:pPr>
                </w:p>
                <w:p w:rsidR="00DD7435" w:rsidRPr="00B27293" w:rsidRDefault="00DD7435" w:rsidP="00BD366B">
                  <w:pPr>
                    <w:spacing w:line="240" w:lineRule="auto"/>
                    <w:rPr>
                      <w:b/>
                      <w:bCs/>
                    </w:rPr>
                  </w:pPr>
                  <w:r w:rsidRPr="0071229A">
                    <w:rPr>
                      <w:b/>
                      <w:bCs/>
                      <w:color w:val="0071BC"/>
                    </w:rPr>
                    <w:t>Ostrava</w:t>
                  </w:r>
                  <w:r>
                    <w:t xml:space="preserve"> | </w:t>
                  </w:r>
                  <w:proofErr w:type="spellStart"/>
                  <w:r w:rsidRPr="0071229A">
                    <w:rPr>
                      <w:bCs/>
                    </w:rPr>
                    <w:t>Repinova</w:t>
                  </w:r>
                  <w:proofErr w:type="spellEnd"/>
                  <w:r w:rsidRPr="0071229A">
                    <w:rPr>
                      <w:bCs/>
                    </w:rPr>
                    <w:t xml:space="preserve"> 17, 702 03 Ostrava</w:t>
                  </w:r>
                  <w:r>
                    <w:t xml:space="preserve"> | </w:t>
                  </w:r>
                  <w:r w:rsidRPr="0071229A">
                    <w:rPr>
                      <w:bCs/>
                    </w:rPr>
                    <w:t>tel.: 595 131 230, 595 131 232</w:t>
                  </w:r>
                </w:p>
                <w:p w:rsidR="00DD7435" w:rsidRPr="00B27293" w:rsidRDefault="00DD7435" w:rsidP="00BD366B">
                  <w:pPr>
                    <w:spacing w:line="240" w:lineRule="auto"/>
                    <w:rPr>
                      <w:bCs/>
                    </w:rPr>
                  </w:pPr>
                  <w:r w:rsidRPr="0071229A">
                    <w:rPr>
                      <w:bCs/>
                    </w:rPr>
                    <w:t>e-mail: infoservis_ov@czso.cz</w:t>
                  </w:r>
                  <w:r>
                    <w:t xml:space="preserve"> | </w:t>
                  </w:r>
                  <w:r w:rsidRPr="0071229A">
                    <w:rPr>
                      <w:b/>
                      <w:bCs/>
                    </w:rPr>
                    <w:t>www.ostrava.czso.cz</w:t>
                  </w:r>
                </w:p>
                <w:p w:rsidR="00DD7435" w:rsidRPr="0071229A" w:rsidRDefault="00DD7435" w:rsidP="00BD366B">
                  <w:pPr>
                    <w:spacing w:line="240" w:lineRule="auto"/>
                    <w:rPr>
                      <w:bCs/>
                    </w:rPr>
                  </w:pPr>
                </w:p>
                <w:p w:rsidR="00DD7435" w:rsidRPr="0071229A" w:rsidRDefault="00DD7435"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DD7435" w:rsidRPr="00B27293" w:rsidRDefault="00DD7435" w:rsidP="00BD366B">
                  <w:pPr>
                    <w:spacing w:line="240" w:lineRule="auto"/>
                    <w:rPr>
                      <w:bCs/>
                    </w:rPr>
                  </w:pPr>
                  <w:r w:rsidRPr="0071229A">
                    <w:rPr>
                      <w:bCs/>
                    </w:rPr>
                    <w:t>e-mail: infoservis-zl@czso.cz</w:t>
                  </w:r>
                  <w:r>
                    <w:t xml:space="preserve"> | </w:t>
                  </w:r>
                  <w:r w:rsidRPr="0071229A">
                    <w:rPr>
                      <w:b/>
                      <w:bCs/>
                    </w:rPr>
                    <w:t>www.zlin.czso.cz</w:t>
                  </w:r>
                </w:p>
                <w:p w:rsidR="00DD7435" w:rsidRPr="00B27293" w:rsidRDefault="00DD7435" w:rsidP="00BD366B">
                  <w:pPr>
                    <w:spacing w:line="240" w:lineRule="auto"/>
                  </w:pPr>
                </w:p>
              </w:txbxContent>
            </v:textbox>
            <w10:wrap anchorx="page" anchory="page"/>
            <w10:anchorlock/>
          </v:shape>
        </w:pict>
      </w:r>
      <w:r w:rsidRPr="00C20B1C">
        <w:rPr>
          <w:noProof/>
          <w:lang w:eastAsia="cs-CZ"/>
        </w:rPr>
        <w:pict>
          <v:shape id="_x0000_s1039" type="#_x0000_t202" style="position:absolute;margin-left:56.7pt;margin-top:56.7pt;width:481.85pt;height:33.1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" filled="f" stroked="f">
            <v:textbox style="mso-fit-shape-to-text:t" inset="0,0,0,0">
              <w:txbxContent>
                <w:p w:rsidR="00DD7435" w:rsidRPr="004F4353" w:rsidRDefault="00DD7435" w:rsidP="0060487F">
                  <w:pPr>
                    <w:rPr>
                      <w:b/>
                      <w:bCs/>
                      <w:sz w:val="24"/>
                    </w:rPr>
                  </w:pPr>
                  <w:r w:rsidRPr="004F4353">
                    <w:rPr>
                      <w:b/>
                      <w:color w:val="0071BC"/>
                      <w:sz w:val="24"/>
                    </w:rPr>
                    <w:t xml:space="preserve">Zajímají Vás nejnovější údaje o inflaci, HDP, obyvatelstvu, průměrných mzdách </w:t>
                  </w:r>
                  <w:r w:rsidRPr="004F4353">
                    <w:rPr>
                      <w:b/>
                      <w:color w:val="0071BC"/>
                      <w:sz w:val="24"/>
                    </w:rPr>
                    <w:br/>
                    <w:t xml:space="preserve">a mnohé další? Najdete je na stránkách ČSÚ na internetu: </w:t>
                  </w:r>
                  <w:r w:rsidRPr="004F4353">
                    <w:rPr>
                      <w:b/>
                      <w:bCs/>
                      <w:sz w:val="24"/>
                    </w:rPr>
                    <w:t>www.czso.cz</w:t>
                  </w:r>
                  <w:r w:rsidR="005D25B4">
                    <w:rPr>
                      <w:b/>
                      <w:bCs/>
                      <w:sz w:val="24"/>
                    </w:rPr>
                    <w:t>.</w:t>
                  </w:r>
                </w:p>
              </w:txbxContent>
            </v:textbox>
            <w10:wrap anchorx="page" anchory="page"/>
            <w10:anchorlock/>
          </v:shape>
        </w:pict>
      </w:r>
      <w:r w:rsidRPr="00C20B1C">
        <w:rPr>
          <w:noProof/>
          <w:lang w:eastAsia="cs-CZ"/>
        </w:rPr>
        <w:pict>
          <v:shape id="_x0000_s1040" type="#_x0000_t202" style="position:absolute;margin-left:56.35pt;margin-top:747pt;width:481.9pt;height:28.3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MkC&#10;oRS6AgAAtgUAAA4AAAAAAAAAAAAAAAAALgIAAGRycy9lMm9Eb2MueG1sUEsBAi0AFAAGAAgAAAAh&#10;AOVfJPrhAAAADgEAAA8AAAAAAAAAAAAAAAAAFAUAAGRycy9kb3ducmV2LnhtbFBLBQYAAAAABAAE&#10;APMAAAAiBgAAAAA=&#10;" filled="f" stroked="f">
            <v:textbox inset="0,0,0,0">
              <w:txbxContent>
                <w:p w:rsidR="00DD7435" w:rsidRPr="00841D9F" w:rsidRDefault="00DD7435" w:rsidP="004F06F5"/>
                <w:p w:rsidR="00DD7435" w:rsidRPr="00AF2852" w:rsidRDefault="00DD7435" w:rsidP="004F06F5">
                  <w:r w:rsidRPr="00841D9F">
                    <w:t>© Český sta</w:t>
                  </w:r>
                  <w:r>
                    <w:t>tistický úřad, Praha, 2016</w:t>
                  </w:r>
                </w:p>
              </w:txbxContent>
            </v:textbox>
            <w10:wrap anchorx="page" anchory="page"/>
            <w10:anchorlock/>
          </v:shape>
        </w:pict>
      </w:r>
    </w:p>
    <w:p w:rsidR="00576A3E" w:rsidRDefault="00576A3E" w:rsidP="00F04811">
      <w:pPr>
        <w:pStyle w:val="Zkladnodstavec"/>
        <w:spacing w:after="240"/>
        <w:rPr>
          <w:rFonts w:ascii="Arial" w:hAnsi="Arial" w:cs="Arial"/>
          <w:b/>
          <w:color w:val="A5007B"/>
          <w:sz w:val="32"/>
          <w:szCs w:val="32"/>
        </w:rPr>
      </w:pPr>
    </w:p>
    <w:p w:rsidR="00576A3E" w:rsidRPr="0060487F" w:rsidRDefault="00576A3E">
      <w:pPr>
        <w:rPr>
          <w:rFonts w:cs="Arial"/>
          <w:b/>
          <w:color w:val="A5007B"/>
          <w:sz w:val="32"/>
          <w:szCs w:val="32"/>
        </w:rPr>
        <w:sectPr w:rsidR="00576A3E" w:rsidRPr="0060487F" w:rsidSect="00D5626D">
          <w:pgSz w:w="11906" w:h="16838" w:code="9"/>
          <w:pgMar w:top="1134" w:right="1134" w:bottom="1418" w:left="1134" w:header="709" w:footer="709" w:gutter="0"/>
          <w:cols w:space="708"/>
          <w:titlePg/>
          <w:docGrid w:linePitch="360"/>
        </w:sectPr>
      </w:pPr>
    </w:p>
    <w:p w:rsidR="00576A3E" w:rsidRPr="001C357A" w:rsidRDefault="00576A3E" w:rsidP="008C6CB8">
      <w:pPr>
        <w:pStyle w:val="Nadpis1"/>
        <w:rPr>
          <w:rFonts w:cs="Arial"/>
          <w:color w:val="808080"/>
        </w:rPr>
      </w:pPr>
      <w:bookmarkStart w:id="1" w:name="_Toc412459447"/>
      <w:bookmarkStart w:id="2" w:name="_Toc454185147"/>
      <w:r w:rsidRPr="001C357A">
        <w:lastRenderedPageBreak/>
        <w:t>Obsah</w:t>
      </w:r>
      <w:bookmarkEnd w:id="1"/>
      <w:bookmarkEnd w:id="2"/>
    </w:p>
    <w:p w:rsidR="009E6F65" w:rsidRDefault="00C20B1C">
      <w:pPr>
        <w:pStyle w:val="Obsah1"/>
        <w:rPr>
          <w:rFonts w:asciiTheme="minorHAnsi" w:eastAsiaTheme="minorEastAsia" w:hAnsiTheme="minorHAnsi" w:cstheme="minorBidi"/>
          <w:b w:val="0"/>
          <w:sz w:val="22"/>
          <w:szCs w:val="22"/>
          <w:lang w:eastAsia="cs-CZ"/>
        </w:rPr>
      </w:pPr>
      <w:r w:rsidRPr="00C20B1C">
        <w:fldChar w:fldCharType="begin"/>
      </w:r>
      <w:r w:rsidR="00576A3E" w:rsidRPr="00E921C7">
        <w:instrText xml:space="preserve"> TOC \o "1-3" \h \z \u </w:instrText>
      </w:r>
      <w:r w:rsidRPr="00C20B1C">
        <w:fldChar w:fldCharType="separate"/>
      </w:r>
      <w:hyperlink w:anchor="_Toc454185147" w:history="1">
        <w:r w:rsidR="009E6F65" w:rsidRPr="000D19E1">
          <w:rPr>
            <w:rStyle w:val="Hypertextovodkaz"/>
          </w:rPr>
          <w:t>Obsah</w:t>
        </w:r>
        <w:r w:rsidR="009E6F65">
          <w:rPr>
            <w:rStyle w:val="Hypertextovodkaz"/>
          </w:rPr>
          <w:tab/>
        </w:r>
        <w:r w:rsidR="009E6F65">
          <w:rPr>
            <w:webHidden/>
          </w:rPr>
          <w:tab/>
        </w:r>
        <w:r>
          <w:rPr>
            <w:webHidden/>
          </w:rPr>
          <w:fldChar w:fldCharType="begin"/>
        </w:r>
        <w:r w:rsidR="009E6F65">
          <w:rPr>
            <w:webHidden/>
          </w:rPr>
          <w:instrText xml:space="preserve"> PAGEREF _Toc454185147 \h </w:instrText>
        </w:r>
        <w:r>
          <w:rPr>
            <w:webHidden/>
          </w:rPr>
        </w:r>
        <w:r>
          <w:rPr>
            <w:webHidden/>
          </w:rPr>
          <w:fldChar w:fldCharType="separate"/>
        </w:r>
        <w:r w:rsidR="009E6F65">
          <w:rPr>
            <w:webHidden/>
          </w:rPr>
          <w:t>3</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48" w:history="1">
        <w:r w:rsidR="009E6F65" w:rsidRPr="000D19E1">
          <w:rPr>
            <w:rStyle w:val="Hypertextovodkaz"/>
          </w:rPr>
          <w:t>1.</w:t>
        </w:r>
        <w:r w:rsidR="009E6F65">
          <w:rPr>
            <w:rFonts w:asciiTheme="minorHAnsi" w:eastAsiaTheme="minorEastAsia" w:hAnsiTheme="minorHAnsi" w:cstheme="minorBidi"/>
            <w:b w:val="0"/>
            <w:sz w:val="22"/>
            <w:szCs w:val="22"/>
            <w:lang w:eastAsia="cs-CZ"/>
          </w:rPr>
          <w:tab/>
        </w:r>
        <w:r w:rsidR="009E6F65" w:rsidRPr="000D19E1">
          <w:rPr>
            <w:rStyle w:val="Hypertextovodkaz"/>
          </w:rPr>
          <w:t>Shrnutí</w:t>
        </w:r>
        <w:r w:rsidR="009E6F65">
          <w:rPr>
            <w:webHidden/>
          </w:rPr>
          <w:tab/>
        </w:r>
        <w:r>
          <w:rPr>
            <w:webHidden/>
          </w:rPr>
          <w:fldChar w:fldCharType="begin"/>
        </w:r>
        <w:r w:rsidR="009E6F65">
          <w:rPr>
            <w:webHidden/>
          </w:rPr>
          <w:instrText xml:space="preserve"> PAGEREF _Toc454185148 \h </w:instrText>
        </w:r>
        <w:r>
          <w:rPr>
            <w:webHidden/>
          </w:rPr>
        </w:r>
        <w:r>
          <w:rPr>
            <w:webHidden/>
          </w:rPr>
          <w:fldChar w:fldCharType="separate"/>
        </w:r>
        <w:r w:rsidR="009E6F65">
          <w:rPr>
            <w:webHidden/>
          </w:rPr>
          <w:t>4</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49" w:history="1">
        <w:r w:rsidR="009E6F65" w:rsidRPr="000D19E1">
          <w:rPr>
            <w:rStyle w:val="Hypertextovodkaz"/>
          </w:rPr>
          <w:t>2.</w:t>
        </w:r>
        <w:r w:rsidR="009E6F65">
          <w:rPr>
            <w:rFonts w:asciiTheme="minorHAnsi" w:eastAsiaTheme="minorEastAsia" w:hAnsiTheme="minorHAnsi" w:cstheme="minorBidi"/>
            <w:b w:val="0"/>
            <w:sz w:val="22"/>
            <w:szCs w:val="22"/>
            <w:lang w:eastAsia="cs-CZ"/>
          </w:rPr>
          <w:tab/>
        </w:r>
        <w:r w:rsidR="009E6F65" w:rsidRPr="000D19E1">
          <w:rPr>
            <w:rStyle w:val="Hypertextovodkaz"/>
          </w:rPr>
          <w:t>Souhrnná výkonnost</w:t>
        </w:r>
        <w:r w:rsidR="009E6F65">
          <w:rPr>
            <w:webHidden/>
          </w:rPr>
          <w:tab/>
        </w:r>
        <w:r>
          <w:rPr>
            <w:webHidden/>
          </w:rPr>
          <w:fldChar w:fldCharType="begin"/>
        </w:r>
        <w:r w:rsidR="009E6F65">
          <w:rPr>
            <w:webHidden/>
          </w:rPr>
          <w:instrText xml:space="preserve"> PAGEREF _Toc454185149 \h </w:instrText>
        </w:r>
        <w:r>
          <w:rPr>
            <w:webHidden/>
          </w:rPr>
        </w:r>
        <w:r>
          <w:rPr>
            <w:webHidden/>
          </w:rPr>
          <w:fldChar w:fldCharType="separate"/>
        </w:r>
        <w:r w:rsidR="009E6F65">
          <w:rPr>
            <w:webHidden/>
          </w:rPr>
          <w:t>5</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50" w:history="1">
        <w:r w:rsidR="009E6F65" w:rsidRPr="000D19E1">
          <w:rPr>
            <w:rStyle w:val="Hypertextovodkaz"/>
          </w:rPr>
          <w:t>3.</w:t>
        </w:r>
        <w:r w:rsidR="009E6F65">
          <w:rPr>
            <w:rFonts w:asciiTheme="minorHAnsi" w:eastAsiaTheme="minorEastAsia" w:hAnsiTheme="minorHAnsi" w:cstheme="minorBidi"/>
            <w:b w:val="0"/>
            <w:sz w:val="22"/>
            <w:szCs w:val="22"/>
            <w:lang w:eastAsia="cs-CZ"/>
          </w:rPr>
          <w:tab/>
        </w:r>
        <w:r w:rsidR="009E6F65" w:rsidRPr="000D19E1">
          <w:rPr>
            <w:rStyle w:val="Hypertextovodkaz"/>
          </w:rPr>
          <w:t>Výkonnost odvětví</w:t>
        </w:r>
        <w:r w:rsidR="009E6F65">
          <w:rPr>
            <w:webHidden/>
          </w:rPr>
          <w:tab/>
        </w:r>
        <w:r>
          <w:rPr>
            <w:webHidden/>
          </w:rPr>
          <w:fldChar w:fldCharType="begin"/>
        </w:r>
        <w:r w:rsidR="009E6F65">
          <w:rPr>
            <w:webHidden/>
          </w:rPr>
          <w:instrText xml:space="preserve"> PAGEREF _Toc454185150 \h </w:instrText>
        </w:r>
        <w:r>
          <w:rPr>
            <w:webHidden/>
          </w:rPr>
        </w:r>
        <w:r>
          <w:rPr>
            <w:webHidden/>
          </w:rPr>
          <w:fldChar w:fldCharType="separate"/>
        </w:r>
        <w:r w:rsidR="009E6F65">
          <w:rPr>
            <w:webHidden/>
          </w:rPr>
          <w:t>8</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51" w:history="1">
        <w:r w:rsidR="009E6F65" w:rsidRPr="000D19E1">
          <w:rPr>
            <w:rStyle w:val="Hypertextovodkaz"/>
          </w:rPr>
          <w:t>4.</w:t>
        </w:r>
        <w:r w:rsidR="009E6F65">
          <w:rPr>
            <w:rFonts w:asciiTheme="minorHAnsi" w:eastAsiaTheme="minorEastAsia" w:hAnsiTheme="minorHAnsi" w:cstheme="minorBidi"/>
            <w:b w:val="0"/>
            <w:sz w:val="22"/>
            <w:szCs w:val="22"/>
            <w:lang w:eastAsia="cs-CZ"/>
          </w:rPr>
          <w:tab/>
        </w:r>
        <w:r w:rsidR="009E6F65" w:rsidRPr="000D19E1">
          <w:rPr>
            <w:rStyle w:val="Hypertextovodkaz"/>
          </w:rPr>
          <w:t>Vnější ekonomické vztahy</w:t>
        </w:r>
        <w:r w:rsidR="009E6F65">
          <w:rPr>
            <w:webHidden/>
          </w:rPr>
          <w:tab/>
        </w:r>
        <w:r>
          <w:rPr>
            <w:webHidden/>
          </w:rPr>
          <w:fldChar w:fldCharType="begin"/>
        </w:r>
        <w:r w:rsidR="009E6F65">
          <w:rPr>
            <w:webHidden/>
          </w:rPr>
          <w:instrText xml:space="preserve"> PAGEREF _Toc454185151 \h </w:instrText>
        </w:r>
        <w:r>
          <w:rPr>
            <w:webHidden/>
          </w:rPr>
        </w:r>
        <w:r>
          <w:rPr>
            <w:webHidden/>
          </w:rPr>
          <w:fldChar w:fldCharType="separate"/>
        </w:r>
        <w:r w:rsidR="009E6F65">
          <w:rPr>
            <w:webHidden/>
          </w:rPr>
          <w:t>12</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52" w:history="1">
        <w:r w:rsidR="009E6F65" w:rsidRPr="000D19E1">
          <w:rPr>
            <w:rStyle w:val="Hypertextovodkaz"/>
          </w:rPr>
          <w:t>5.</w:t>
        </w:r>
        <w:r w:rsidR="009E6F65">
          <w:rPr>
            <w:rFonts w:asciiTheme="minorHAnsi" w:eastAsiaTheme="minorEastAsia" w:hAnsiTheme="minorHAnsi" w:cstheme="minorBidi"/>
            <w:b w:val="0"/>
            <w:sz w:val="22"/>
            <w:szCs w:val="22"/>
            <w:lang w:eastAsia="cs-CZ"/>
          </w:rPr>
          <w:tab/>
        </w:r>
        <w:r w:rsidR="009E6F65" w:rsidRPr="000D19E1">
          <w:rPr>
            <w:rStyle w:val="Hypertextovodkaz"/>
          </w:rPr>
          <w:t>Ceny</w:t>
        </w:r>
        <w:r w:rsidR="009E6F65">
          <w:rPr>
            <w:webHidden/>
          </w:rPr>
          <w:tab/>
        </w:r>
        <w:r>
          <w:rPr>
            <w:webHidden/>
          </w:rPr>
          <w:fldChar w:fldCharType="begin"/>
        </w:r>
        <w:r w:rsidR="009E6F65">
          <w:rPr>
            <w:webHidden/>
          </w:rPr>
          <w:instrText xml:space="preserve"> PAGEREF _Toc454185152 \h </w:instrText>
        </w:r>
        <w:r>
          <w:rPr>
            <w:webHidden/>
          </w:rPr>
        </w:r>
        <w:r>
          <w:rPr>
            <w:webHidden/>
          </w:rPr>
          <w:fldChar w:fldCharType="separate"/>
        </w:r>
        <w:r w:rsidR="009E6F65">
          <w:rPr>
            <w:webHidden/>
          </w:rPr>
          <w:t>14</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53" w:history="1">
        <w:r w:rsidR="009E6F65" w:rsidRPr="000D19E1">
          <w:rPr>
            <w:rStyle w:val="Hypertextovodkaz"/>
          </w:rPr>
          <w:t>6.</w:t>
        </w:r>
        <w:r w:rsidR="009E6F65">
          <w:rPr>
            <w:rFonts w:asciiTheme="minorHAnsi" w:eastAsiaTheme="minorEastAsia" w:hAnsiTheme="minorHAnsi" w:cstheme="minorBidi"/>
            <w:b w:val="0"/>
            <w:sz w:val="22"/>
            <w:szCs w:val="22"/>
            <w:lang w:eastAsia="cs-CZ"/>
          </w:rPr>
          <w:tab/>
        </w:r>
        <w:r w:rsidR="009E6F65" w:rsidRPr="000D19E1">
          <w:rPr>
            <w:rStyle w:val="Hypertextovodkaz"/>
          </w:rPr>
          <w:t>Trh práce</w:t>
        </w:r>
        <w:r w:rsidR="009E6F65">
          <w:rPr>
            <w:webHidden/>
          </w:rPr>
          <w:tab/>
        </w:r>
        <w:r>
          <w:rPr>
            <w:webHidden/>
          </w:rPr>
          <w:fldChar w:fldCharType="begin"/>
        </w:r>
        <w:r w:rsidR="009E6F65">
          <w:rPr>
            <w:webHidden/>
          </w:rPr>
          <w:instrText xml:space="preserve"> PAGEREF _Toc454185153 \h </w:instrText>
        </w:r>
        <w:r>
          <w:rPr>
            <w:webHidden/>
          </w:rPr>
        </w:r>
        <w:r>
          <w:rPr>
            <w:webHidden/>
          </w:rPr>
          <w:fldChar w:fldCharType="separate"/>
        </w:r>
        <w:r w:rsidR="009E6F65">
          <w:rPr>
            <w:webHidden/>
          </w:rPr>
          <w:t>17</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54" w:history="1">
        <w:r w:rsidR="009E6F65" w:rsidRPr="000D19E1">
          <w:rPr>
            <w:rStyle w:val="Hypertextovodkaz"/>
          </w:rPr>
          <w:t>7.</w:t>
        </w:r>
        <w:r w:rsidR="009E6F65">
          <w:rPr>
            <w:rFonts w:asciiTheme="minorHAnsi" w:eastAsiaTheme="minorEastAsia" w:hAnsiTheme="minorHAnsi" w:cstheme="minorBidi"/>
            <w:b w:val="0"/>
            <w:sz w:val="22"/>
            <w:szCs w:val="22"/>
            <w:lang w:eastAsia="cs-CZ"/>
          </w:rPr>
          <w:tab/>
        </w:r>
        <w:r w:rsidR="009E6F65" w:rsidRPr="000D19E1">
          <w:rPr>
            <w:rStyle w:val="Hypertextovodkaz"/>
          </w:rPr>
          <w:t>Měnové podmínky</w:t>
        </w:r>
        <w:r w:rsidR="009E6F65">
          <w:rPr>
            <w:webHidden/>
          </w:rPr>
          <w:tab/>
        </w:r>
        <w:r>
          <w:rPr>
            <w:webHidden/>
          </w:rPr>
          <w:fldChar w:fldCharType="begin"/>
        </w:r>
        <w:r w:rsidR="009E6F65">
          <w:rPr>
            <w:webHidden/>
          </w:rPr>
          <w:instrText xml:space="preserve"> PAGEREF _Toc454185154 \h </w:instrText>
        </w:r>
        <w:r>
          <w:rPr>
            <w:webHidden/>
          </w:rPr>
        </w:r>
        <w:r>
          <w:rPr>
            <w:webHidden/>
          </w:rPr>
          <w:fldChar w:fldCharType="separate"/>
        </w:r>
        <w:r w:rsidR="009E6F65">
          <w:rPr>
            <w:webHidden/>
          </w:rPr>
          <w:t>19</w:t>
        </w:r>
        <w:r>
          <w:rPr>
            <w:webHidden/>
          </w:rPr>
          <w:fldChar w:fldCharType="end"/>
        </w:r>
      </w:hyperlink>
    </w:p>
    <w:p w:rsidR="009E6F65" w:rsidRDefault="00C20B1C">
      <w:pPr>
        <w:pStyle w:val="Obsah1"/>
        <w:rPr>
          <w:rFonts w:asciiTheme="minorHAnsi" w:eastAsiaTheme="minorEastAsia" w:hAnsiTheme="minorHAnsi" w:cstheme="minorBidi"/>
          <w:b w:val="0"/>
          <w:sz w:val="22"/>
          <w:szCs w:val="22"/>
          <w:lang w:eastAsia="cs-CZ"/>
        </w:rPr>
      </w:pPr>
      <w:hyperlink w:anchor="_Toc454185155" w:history="1">
        <w:r w:rsidR="009E6F65" w:rsidRPr="000D19E1">
          <w:rPr>
            <w:rStyle w:val="Hypertextovodkaz"/>
          </w:rPr>
          <w:t>8.</w:t>
        </w:r>
        <w:r w:rsidR="009E6F65">
          <w:rPr>
            <w:rFonts w:asciiTheme="minorHAnsi" w:eastAsiaTheme="minorEastAsia" w:hAnsiTheme="minorHAnsi" w:cstheme="minorBidi"/>
            <w:b w:val="0"/>
            <w:sz w:val="22"/>
            <w:szCs w:val="22"/>
            <w:lang w:eastAsia="cs-CZ"/>
          </w:rPr>
          <w:tab/>
        </w:r>
        <w:r w:rsidR="009E6F65" w:rsidRPr="000D19E1">
          <w:rPr>
            <w:rStyle w:val="Hypertextovodkaz"/>
          </w:rPr>
          <w:t>Státní rozpočet</w:t>
        </w:r>
        <w:r w:rsidR="009E6F65">
          <w:rPr>
            <w:webHidden/>
          </w:rPr>
          <w:tab/>
        </w:r>
        <w:r>
          <w:rPr>
            <w:webHidden/>
          </w:rPr>
          <w:fldChar w:fldCharType="begin"/>
        </w:r>
        <w:r w:rsidR="009E6F65">
          <w:rPr>
            <w:webHidden/>
          </w:rPr>
          <w:instrText xml:space="preserve"> PAGEREF _Toc454185155 \h </w:instrText>
        </w:r>
        <w:r>
          <w:rPr>
            <w:webHidden/>
          </w:rPr>
        </w:r>
        <w:r>
          <w:rPr>
            <w:webHidden/>
          </w:rPr>
          <w:fldChar w:fldCharType="separate"/>
        </w:r>
        <w:r w:rsidR="009E6F65">
          <w:rPr>
            <w:webHidden/>
          </w:rPr>
          <w:t>21</w:t>
        </w:r>
        <w:r>
          <w:rPr>
            <w:webHidden/>
          </w:rPr>
          <w:fldChar w:fldCharType="end"/>
        </w:r>
      </w:hyperlink>
    </w:p>
    <w:p w:rsidR="00576A3E" w:rsidRDefault="00C20B1C" w:rsidP="00E921C7">
      <w:pPr>
        <w:pStyle w:val="Nadpis1"/>
        <w:spacing w:before="200"/>
        <w:rPr>
          <w:rFonts w:cs="Arial"/>
          <w:sz w:val="20"/>
          <w:szCs w:val="20"/>
        </w:rPr>
      </w:pPr>
      <w:r w:rsidRPr="00E921C7">
        <w:fldChar w:fldCharType="end"/>
      </w:r>
    </w:p>
    <w:p w:rsidR="00576A3E" w:rsidRPr="008E6113" w:rsidRDefault="00576A3E" w:rsidP="003406BD">
      <w:pPr>
        <w:rPr>
          <w:rFonts w:cs="Arial"/>
          <w:b/>
        </w:rPr>
      </w:pPr>
      <w:r w:rsidRPr="008E6113">
        <w:rPr>
          <w:rFonts w:cs="Arial"/>
          <w:b/>
        </w:rPr>
        <w:t>Kapitoly zpracovali:</w:t>
      </w:r>
    </w:p>
    <w:p w:rsidR="00576A3E" w:rsidRDefault="00576A3E" w:rsidP="003406BD">
      <w:pPr>
        <w:rPr>
          <w:rFonts w:cs="Arial"/>
        </w:rPr>
      </w:pPr>
    </w:p>
    <w:p w:rsidR="00466AAE" w:rsidRDefault="00466AAE" w:rsidP="00466AAE">
      <w:pPr>
        <w:spacing w:after="120" w:line="276" w:lineRule="auto"/>
        <w:rPr>
          <w:rFonts w:cs="Arial"/>
        </w:rPr>
      </w:pPr>
      <w:r>
        <w:rPr>
          <w:rFonts w:cs="Arial"/>
        </w:rPr>
        <w:t>Jiří Kamenický</w:t>
      </w:r>
      <w:r>
        <w:rPr>
          <w:rFonts w:cs="Arial"/>
        </w:rPr>
        <w:tab/>
      </w:r>
      <w:r>
        <w:rPr>
          <w:rFonts w:cs="Arial"/>
        </w:rPr>
        <w:tab/>
        <w:t xml:space="preserve">Shrnutí (kap. 1), </w:t>
      </w:r>
      <w:r w:rsidRPr="00606B93">
        <w:rPr>
          <w:rFonts w:cs="Arial"/>
          <w:color w:val="000000"/>
        </w:rPr>
        <w:t>kap. 3,</w:t>
      </w:r>
      <w:r>
        <w:rPr>
          <w:rFonts w:cs="Arial"/>
        </w:rPr>
        <w:t xml:space="preserve"> kap. 6, kap. 8</w:t>
      </w:r>
    </w:p>
    <w:p w:rsidR="00466AAE" w:rsidRDefault="00466AAE" w:rsidP="00466AAE">
      <w:pPr>
        <w:spacing w:after="120" w:line="276" w:lineRule="auto"/>
        <w:rPr>
          <w:rFonts w:cs="Arial"/>
        </w:rPr>
      </w:pPr>
      <w:r w:rsidRPr="007F19B2">
        <w:rPr>
          <w:rFonts w:cs="Arial"/>
        </w:rPr>
        <w:t xml:space="preserve">Tereza </w:t>
      </w:r>
      <w:proofErr w:type="spellStart"/>
      <w:r w:rsidRPr="007F19B2">
        <w:rPr>
          <w:rFonts w:cs="Arial"/>
        </w:rPr>
        <w:t>Košťáková</w:t>
      </w:r>
      <w:proofErr w:type="spellEnd"/>
      <w:r>
        <w:rPr>
          <w:rFonts w:cs="Arial"/>
        </w:rPr>
        <w:tab/>
        <w:t>Shrnutí (kap. 1), kap. 2</w:t>
      </w:r>
    </w:p>
    <w:p w:rsidR="00466AAE" w:rsidRDefault="00466AAE" w:rsidP="00466AAE">
      <w:pPr>
        <w:spacing w:after="120" w:line="276" w:lineRule="auto"/>
        <w:rPr>
          <w:rFonts w:cs="Arial"/>
        </w:rPr>
      </w:pPr>
      <w:r w:rsidRPr="007F19B2">
        <w:rPr>
          <w:rFonts w:cs="Arial"/>
        </w:rPr>
        <w:t>Jiří Mrázek</w:t>
      </w:r>
      <w:r>
        <w:rPr>
          <w:rFonts w:cs="Arial"/>
        </w:rPr>
        <w:tab/>
      </w:r>
      <w:r>
        <w:rPr>
          <w:rFonts w:cs="Arial"/>
        </w:rPr>
        <w:tab/>
        <w:t>Shrnutí (kap. 1), kap. 5</w:t>
      </w:r>
    </w:p>
    <w:p w:rsidR="00466AAE" w:rsidRDefault="00466AAE" w:rsidP="00466AAE">
      <w:pPr>
        <w:spacing w:after="120" w:line="276" w:lineRule="auto"/>
        <w:rPr>
          <w:rFonts w:cs="Arial"/>
        </w:rPr>
      </w:pPr>
      <w:r w:rsidRPr="007F19B2">
        <w:rPr>
          <w:rFonts w:cs="Arial"/>
        </w:rPr>
        <w:t xml:space="preserve">Václav </w:t>
      </w:r>
      <w:proofErr w:type="spellStart"/>
      <w:r w:rsidRPr="007F19B2">
        <w:rPr>
          <w:rFonts w:cs="Arial"/>
        </w:rPr>
        <w:t>Rybáček</w:t>
      </w:r>
      <w:proofErr w:type="spellEnd"/>
      <w:r>
        <w:rPr>
          <w:rFonts w:cs="Arial"/>
        </w:rPr>
        <w:tab/>
        <w:t>Shrnutí (kap. 1), kap. 4</w:t>
      </w:r>
    </w:p>
    <w:p w:rsidR="00466AAE" w:rsidRDefault="00466AAE" w:rsidP="00466AAE">
      <w:pPr>
        <w:spacing w:after="120" w:line="276" w:lineRule="auto"/>
        <w:rPr>
          <w:rFonts w:cs="Arial"/>
        </w:rPr>
      </w:pPr>
      <w:r>
        <w:rPr>
          <w:rFonts w:cs="Arial"/>
        </w:rPr>
        <w:t>Jaroslav Sixta</w:t>
      </w:r>
      <w:r>
        <w:rPr>
          <w:rFonts w:cs="Arial"/>
        </w:rPr>
        <w:tab/>
      </w:r>
      <w:r>
        <w:rPr>
          <w:rFonts w:cs="Arial"/>
        </w:rPr>
        <w:tab/>
        <w:t>Shrnutí (kap. 1), kap. 4, kap. 7</w:t>
      </w:r>
    </w:p>
    <w:p w:rsidR="00466AAE" w:rsidRDefault="00466AAE" w:rsidP="00466AAE">
      <w:pPr>
        <w:spacing w:after="120" w:line="276" w:lineRule="auto"/>
        <w:rPr>
          <w:rFonts w:cs="Arial"/>
        </w:rPr>
      </w:pPr>
      <w:r>
        <w:rPr>
          <w:rFonts w:cs="Arial"/>
        </w:rPr>
        <w:t>Ludmila Vebrová</w:t>
      </w:r>
      <w:r>
        <w:rPr>
          <w:rFonts w:cs="Arial"/>
        </w:rPr>
        <w:tab/>
        <w:t>Shrnutí (kap. 1), kap. 7</w:t>
      </w:r>
    </w:p>
    <w:p w:rsidR="00576A3E" w:rsidRDefault="00576A3E" w:rsidP="001E3DA4"/>
    <w:p w:rsidR="00576A3E" w:rsidRDefault="00576A3E" w:rsidP="001E3DA4">
      <w:pPr>
        <w:sectPr w:rsidR="00576A3E" w:rsidSect="00357449">
          <w:headerReference w:type="even" r:id="rId10"/>
          <w:headerReference w:type="default" r:id="rId11"/>
          <w:footerReference w:type="default" r:id="rId12"/>
          <w:pgSz w:w="11906" w:h="16838" w:code="9"/>
          <w:pgMar w:top="1134" w:right="1134" w:bottom="1418" w:left="1134" w:header="680" w:footer="680" w:gutter="0"/>
          <w:cols w:space="708"/>
          <w:docGrid w:linePitch="360"/>
        </w:sectPr>
      </w:pPr>
    </w:p>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BB0274" w:rsidRDefault="00BB0274" w:rsidP="001E3DA4"/>
    <w:p w:rsidR="00576A3E" w:rsidRDefault="00576A3E" w:rsidP="001E3DA4"/>
    <w:p w:rsidR="00576A3E" w:rsidRDefault="00576A3E" w:rsidP="001E3DA4"/>
    <w:p w:rsidR="00576A3E" w:rsidRDefault="00576A3E" w:rsidP="001E3DA4"/>
    <w:p w:rsidR="00960769" w:rsidRDefault="00960769" w:rsidP="00960769">
      <w:pPr>
        <w:pStyle w:val="Nadpis1"/>
        <w:numPr>
          <w:ilvl w:val="0"/>
          <w:numId w:val="1"/>
        </w:numPr>
      </w:pPr>
      <w:bookmarkStart w:id="3" w:name="_Toc454185148"/>
      <w:r>
        <w:lastRenderedPageBreak/>
        <w:t>Shrnutí</w:t>
      </w:r>
      <w:bookmarkEnd w:id="3"/>
    </w:p>
    <w:p w:rsidR="00DD2A62" w:rsidRDefault="00DD2A62" w:rsidP="00DD2A62">
      <w:pPr>
        <w:pStyle w:val="Odstavecseseznamem"/>
        <w:rPr>
          <w:sz w:val="2"/>
          <w:szCs w:val="2"/>
        </w:rPr>
      </w:pPr>
    </w:p>
    <w:p w:rsidR="00DD2A62" w:rsidRPr="00BB1495" w:rsidRDefault="00DD2A62" w:rsidP="00DD2A62">
      <w:pPr>
        <w:pStyle w:val="Textpoznpodarou"/>
        <w:numPr>
          <w:ilvl w:val="0"/>
          <w:numId w:val="2"/>
        </w:numPr>
        <w:jc w:val="both"/>
        <w:rPr>
          <w:spacing w:val="-4"/>
          <w:lang w:eastAsia="ar-SA"/>
        </w:rPr>
      </w:pPr>
      <w:r w:rsidRPr="00BB1495">
        <w:rPr>
          <w:spacing w:val="-4"/>
          <w:lang w:eastAsia="ar-SA"/>
        </w:rPr>
        <w:t>Ekonomika ČR pokračovala ve 2. čtvrtletí 2016 v úspěšném vývoji posledních čtvrtletí. Hrubý domácí produkt (dále také „HDP“</w:t>
      </w:r>
      <w:r w:rsidRPr="00BB1495">
        <w:rPr>
          <w:rStyle w:val="Znakapoznpodarou"/>
          <w:spacing w:val="-4"/>
          <w:lang w:eastAsia="ar-SA"/>
        </w:rPr>
        <w:footnoteReference w:id="1"/>
      </w:r>
      <w:r w:rsidRPr="00BB1495">
        <w:rPr>
          <w:spacing w:val="-4"/>
          <w:lang w:eastAsia="ar-SA"/>
        </w:rPr>
        <w:t>) i hrubá přidaná hodnota (dále také „HPH“) vzrost</w:t>
      </w:r>
      <w:r w:rsidR="006764ED">
        <w:rPr>
          <w:spacing w:val="-4"/>
          <w:lang w:eastAsia="ar-SA"/>
        </w:rPr>
        <w:t>ly v </w:t>
      </w:r>
      <w:proofErr w:type="spellStart"/>
      <w:r w:rsidR="006764ED">
        <w:rPr>
          <w:spacing w:val="-4"/>
          <w:lang w:eastAsia="ar-SA"/>
        </w:rPr>
        <w:t>mezičtvrtletním</w:t>
      </w:r>
      <w:proofErr w:type="spellEnd"/>
      <w:r w:rsidR="006764ED">
        <w:rPr>
          <w:spacing w:val="-4"/>
          <w:lang w:eastAsia="ar-SA"/>
        </w:rPr>
        <w:t xml:space="preserve"> srovnání o</w:t>
      </w:r>
      <w:r w:rsidR="006764ED" w:rsidRPr="00BB1495">
        <w:rPr>
          <w:spacing w:val="-4"/>
          <w:lang w:eastAsia="ar-SA"/>
        </w:rPr>
        <w:t> </w:t>
      </w:r>
      <w:r w:rsidRPr="00BB1495">
        <w:rPr>
          <w:spacing w:val="-4"/>
          <w:lang w:eastAsia="ar-SA"/>
        </w:rPr>
        <w:t xml:space="preserve">0,9 %, což oproti 1. čtvrtletí představuje u obou ukazatelů zrychlení o 0,4 </w:t>
      </w:r>
      <w:proofErr w:type="spellStart"/>
      <w:proofErr w:type="gramStart"/>
      <w:r w:rsidRPr="00BB1495">
        <w:rPr>
          <w:spacing w:val="-4"/>
          <w:lang w:eastAsia="ar-SA"/>
        </w:rPr>
        <w:t>p.b</w:t>
      </w:r>
      <w:proofErr w:type="spellEnd"/>
      <w:r w:rsidRPr="00BB1495">
        <w:rPr>
          <w:spacing w:val="-4"/>
          <w:lang w:eastAsia="ar-SA"/>
        </w:rPr>
        <w:t>. (z +0,4</w:t>
      </w:r>
      <w:proofErr w:type="gramEnd"/>
      <w:r w:rsidRPr="00BB1495">
        <w:rPr>
          <w:spacing w:val="-4"/>
          <w:lang w:eastAsia="ar-SA"/>
        </w:rPr>
        <w:t xml:space="preserve"> %). Z pohledu celého 1. pololetí 2016 vzrostl HDP meziročně o 2,8 %.</w:t>
      </w:r>
    </w:p>
    <w:p w:rsidR="00DD2A62" w:rsidRPr="005F4C83" w:rsidRDefault="00DD2A62" w:rsidP="00DD2A62">
      <w:pPr>
        <w:pStyle w:val="Textpoznpodarou"/>
        <w:ind w:left="425"/>
        <w:jc w:val="both"/>
        <w:rPr>
          <w:spacing w:val="-4"/>
          <w:sz w:val="15"/>
          <w:szCs w:val="15"/>
          <w:lang w:eastAsia="ar-SA"/>
        </w:rPr>
      </w:pPr>
    </w:p>
    <w:p w:rsidR="00DD2A62" w:rsidRDefault="00DD2A62" w:rsidP="00DD2A62">
      <w:pPr>
        <w:pStyle w:val="Textpoznpodarou"/>
        <w:numPr>
          <w:ilvl w:val="0"/>
          <w:numId w:val="2"/>
        </w:numPr>
        <w:jc w:val="both"/>
        <w:rPr>
          <w:spacing w:val="-4"/>
          <w:lang w:eastAsia="ar-SA"/>
        </w:rPr>
      </w:pPr>
      <w:r w:rsidRPr="00BB1495">
        <w:rPr>
          <w:spacing w:val="-4"/>
          <w:lang w:eastAsia="ar-SA"/>
        </w:rPr>
        <w:t>V případě meziročního tempa růstu se tak jako v 1. čtvrtletí projevovala vysoká srovnávací základna roku 2015. Meziroční růst HDP činil 2,6 % a HPH 2,7 %. Ekonomiku táhly mimořádně úspěšný zahraniční obchod a stabilní spotřeba domácností. Naopak investice, které výrazně podpořily rů</w:t>
      </w:r>
      <w:r w:rsidR="005D25B4">
        <w:rPr>
          <w:spacing w:val="-4"/>
          <w:lang w:eastAsia="ar-SA"/>
        </w:rPr>
        <w:t>st v roce 2015, působily na zvyšování</w:t>
      </w:r>
      <w:r w:rsidRPr="00BB1495">
        <w:rPr>
          <w:spacing w:val="-4"/>
          <w:lang w:eastAsia="ar-SA"/>
        </w:rPr>
        <w:t xml:space="preserve"> HDP negativně. </w:t>
      </w:r>
      <w:r>
        <w:rPr>
          <w:spacing w:val="-4"/>
          <w:lang w:eastAsia="ar-SA"/>
        </w:rPr>
        <w:t>Česká e</w:t>
      </w:r>
      <w:r w:rsidRPr="00BB1495">
        <w:rPr>
          <w:spacing w:val="-4"/>
          <w:lang w:eastAsia="ar-SA"/>
        </w:rPr>
        <w:t>konomika ve 2. čtvrtletí rostla</w:t>
      </w:r>
      <w:r>
        <w:rPr>
          <w:spacing w:val="-4"/>
          <w:lang w:eastAsia="ar-SA"/>
        </w:rPr>
        <w:t xml:space="preserve"> viditelně rychleji než EU28 –</w:t>
      </w:r>
      <w:r w:rsidRPr="00BB1495">
        <w:rPr>
          <w:spacing w:val="-4"/>
          <w:lang w:eastAsia="ar-SA"/>
        </w:rPr>
        <w:t xml:space="preserve"> </w:t>
      </w:r>
      <w:r w:rsidRPr="00D40A93">
        <w:rPr>
          <w:lang w:eastAsia="ar-SA"/>
        </w:rPr>
        <w:t xml:space="preserve">meziročně o 0,8 </w:t>
      </w:r>
      <w:proofErr w:type="spellStart"/>
      <w:r w:rsidRPr="00D40A93">
        <w:rPr>
          <w:lang w:eastAsia="ar-SA"/>
        </w:rPr>
        <w:t>p.b</w:t>
      </w:r>
      <w:proofErr w:type="spellEnd"/>
      <w:r w:rsidRPr="00D40A93">
        <w:rPr>
          <w:lang w:eastAsia="ar-SA"/>
        </w:rPr>
        <w:t xml:space="preserve">. a </w:t>
      </w:r>
      <w:proofErr w:type="spellStart"/>
      <w:r w:rsidRPr="00D40A93">
        <w:rPr>
          <w:lang w:eastAsia="ar-SA"/>
        </w:rPr>
        <w:t>mezičtvrtletně</w:t>
      </w:r>
      <w:proofErr w:type="spellEnd"/>
      <w:r w:rsidRPr="00D40A93">
        <w:rPr>
          <w:lang w:eastAsia="ar-SA"/>
        </w:rPr>
        <w:t xml:space="preserve"> o 0,5 </w:t>
      </w:r>
      <w:proofErr w:type="spellStart"/>
      <w:proofErr w:type="gramStart"/>
      <w:r w:rsidRPr="00D40A93">
        <w:rPr>
          <w:lang w:eastAsia="ar-SA"/>
        </w:rPr>
        <w:t>p.b</w:t>
      </w:r>
      <w:proofErr w:type="spellEnd"/>
      <w:r w:rsidRPr="00D40A93">
        <w:rPr>
          <w:lang w:eastAsia="ar-SA"/>
        </w:rPr>
        <w:t>.</w:t>
      </w:r>
      <w:proofErr w:type="gramEnd"/>
      <w:r w:rsidRPr="00D40A93">
        <w:rPr>
          <w:lang w:eastAsia="ar-SA"/>
        </w:rPr>
        <w:t xml:space="preserve"> </w:t>
      </w:r>
      <w:r>
        <w:rPr>
          <w:lang w:eastAsia="ar-SA"/>
        </w:rPr>
        <w:t>R</w:t>
      </w:r>
      <w:r w:rsidRPr="00D40A93">
        <w:rPr>
          <w:lang w:eastAsia="ar-SA"/>
        </w:rPr>
        <w:t>ůst EU byl meziročně 1,8 % a</w:t>
      </w:r>
      <w:r>
        <w:rPr>
          <w:lang w:eastAsia="ar-SA"/>
        </w:rPr>
        <w:t> </w:t>
      </w:r>
      <w:proofErr w:type="spellStart"/>
      <w:r w:rsidRPr="00D40A93">
        <w:rPr>
          <w:lang w:eastAsia="ar-SA"/>
        </w:rPr>
        <w:t>mezičtvrtletně</w:t>
      </w:r>
      <w:proofErr w:type="spellEnd"/>
      <w:r w:rsidRPr="00D40A93">
        <w:rPr>
          <w:lang w:eastAsia="ar-SA"/>
        </w:rPr>
        <w:t xml:space="preserve"> 0,4</w:t>
      </w:r>
      <w:r>
        <w:rPr>
          <w:lang w:eastAsia="ar-SA"/>
        </w:rPr>
        <w:t xml:space="preserve"> %.</w:t>
      </w:r>
    </w:p>
    <w:p w:rsidR="00DD2A62" w:rsidRPr="005F4C83" w:rsidRDefault="00DD2A62" w:rsidP="00DD2A62">
      <w:pPr>
        <w:pStyle w:val="Textpoznpodarou"/>
        <w:jc w:val="both"/>
        <w:rPr>
          <w:spacing w:val="-4"/>
          <w:sz w:val="15"/>
          <w:szCs w:val="15"/>
          <w:lang w:eastAsia="ar-SA"/>
        </w:rPr>
      </w:pPr>
    </w:p>
    <w:p w:rsidR="00DD2A62" w:rsidRPr="00A518E0" w:rsidRDefault="00DD2A62" w:rsidP="00DD2A62">
      <w:pPr>
        <w:pStyle w:val="Textpoznpodarou"/>
        <w:numPr>
          <w:ilvl w:val="0"/>
          <w:numId w:val="2"/>
        </w:numPr>
        <w:jc w:val="both"/>
        <w:rPr>
          <w:spacing w:val="-2"/>
          <w:szCs w:val="2"/>
        </w:rPr>
      </w:pPr>
      <w:r w:rsidRPr="00A518E0">
        <w:rPr>
          <w:spacing w:val="-2"/>
          <w:lang w:eastAsia="ar-SA"/>
        </w:rPr>
        <w:t xml:space="preserve">Pokračující meziroční růst spotřeby domácností, který ve 2. čtvrtletí dosáhl 2,2 %, byl podpořen rostoucí průměrnou mzdou, rekordní zaměstnaností a samozřejmě i přetrvávající vysokou spotřebitelskou důvěrou. Z pohledu </w:t>
      </w:r>
      <w:proofErr w:type="spellStart"/>
      <w:r w:rsidRPr="00A518E0">
        <w:rPr>
          <w:spacing w:val="-2"/>
          <w:lang w:eastAsia="ar-SA"/>
        </w:rPr>
        <w:t>mezičtvrtletního</w:t>
      </w:r>
      <w:proofErr w:type="spellEnd"/>
      <w:r w:rsidRPr="00A518E0">
        <w:rPr>
          <w:spacing w:val="-2"/>
          <w:lang w:eastAsia="ar-SA"/>
        </w:rPr>
        <w:t xml:space="preserve"> vývoje se spotřeba domácností držela stabilně na úrovni 1. čtvrtletí (oproti němu vzrostla o 0,1 </w:t>
      </w:r>
      <w:proofErr w:type="spellStart"/>
      <w:proofErr w:type="gramStart"/>
      <w:r w:rsidRPr="00A518E0">
        <w:rPr>
          <w:spacing w:val="-2"/>
          <w:lang w:eastAsia="ar-SA"/>
        </w:rPr>
        <w:t>p.b</w:t>
      </w:r>
      <w:proofErr w:type="spellEnd"/>
      <w:r w:rsidRPr="00A518E0">
        <w:rPr>
          <w:spacing w:val="-2"/>
          <w:lang w:eastAsia="ar-SA"/>
        </w:rPr>
        <w:t>.).</w:t>
      </w:r>
      <w:proofErr w:type="gramEnd"/>
      <w:r w:rsidRPr="00A518E0">
        <w:rPr>
          <w:spacing w:val="-2"/>
          <w:lang w:eastAsia="ar-SA"/>
        </w:rPr>
        <w:t xml:space="preserve"> V případě investic se na rozdíl od 1. čtvrtletí již naplno projevil pokles investičních dotací, což vedlo zejména k poklesu investic do ostatních budov a staveb (v porovnání s mimořádně vysokým rokem 2015, kdy se dočerpávaly prostředky z evropských fondů programového období 2007–2014). Investice meziročně poklesly o 4,4 % a </w:t>
      </w:r>
      <w:proofErr w:type="spellStart"/>
      <w:r w:rsidRPr="00A518E0">
        <w:rPr>
          <w:spacing w:val="-2"/>
          <w:lang w:eastAsia="ar-SA"/>
        </w:rPr>
        <w:t>mezičtvrtletně</w:t>
      </w:r>
      <w:proofErr w:type="spellEnd"/>
      <w:r w:rsidRPr="00A518E0">
        <w:rPr>
          <w:spacing w:val="-2"/>
          <w:lang w:eastAsia="ar-SA"/>
        </w:rPr>
        <w:t xml:space="preserve"> o 4,1 %. Saldo zahraničního obchodu bylo ve 2. čtvrtletí, stejně jako za celé 1. pololetí 2016, rekordní (+94,2 mld. korun).</w:t>
      </w:r>
    </w:p>
    <w:p w:rsidR="00DD2A62" w:rsidRPr="005F4C83" w:rsidRDefault="00DD2A62" w:rsidP="00DD2A62">
      <w:pPr>
        <w:pStyle w:val="Textpoznpodarou"/>
        <w:ind w:left="425"/>
        <w:jc w:val="both"/>
        <w:rPr>
          <w:spacing w:val="-4"/>
          <w:sz w:val="15"/>
          <w:szCs w:val="15"/>
        </w:rPr>
      </w:pPr>
    </w:p>
    <w:p w:rsidR="00DD2A62" w:rsidRPr="002B1DC1" w:rsidRDefault="00DD2A62" w:rsidP="002B1DC1">
      <w:pPr>
        <w:pStyle w:val="Textpoznpodarou"/>
        <w:numPr>
          <w:ilvl w:val="0"/>
          <w:numId w:val="2"/>
        </w:numPr>
        <w:jc w:val="both"/>
        <w:rPr>
          <w:spacing w:val="-4"/>
          <w:szCs w:val="2"/>
        </w:rPr>
      </w:pPr>
      <w:r w:rsidRPr="00BB1495">
        <w:rPr>
          <w:spacing w:val="-4"/>
          <w:lang w:eastAsia="ar-SA"/>
        </w:rPr>
        <w:t>Na straně nabídky se  v růstu ekonomiky nadále projevovala zejména velmi dobrá kondice zpracovatelského průmyslu (+4,8 %). Dařilo se i službám. Stavebnictví se naopak potýkalo s klesající poptávkou zejména po investicích do ostatních budov a staveb a pokleslo meziročně o 5,5 %.</w:t>
      </w:r>
    </w:p>
    <w:p w:rsidR="00DD2A62" w:rsidRPr="005F4C83" w:rsidRDefault="00DD2A62" w:rsidP="00DD2A62">
      <w:pPr>
        <w:pStyle w:val="Odstavecseseznamem"/>
        <w:rPr>
          <w:spacing w:val="-4"/>
          <w:sz w:val="15"/>
          <w:szCs w:val="15"/>
        </w:rPr>
      </w:pPr>
    </w:p>
    <w:p w:rsidR="00DD2A62" w:rsidRPr="00BB1495" w:rsidRDefault="00DD2A62" w:rsidP="00DD2A62">
      <w:pPr>
        <w:pStyle w:val="Textpoznpodarou"/>
        <w:numPr>
          <w:ilvl w:val="0"/>
          <w:numId w:val="2"/>
        </w:numPr>
        <w:jc w:val="both"/>
        <w:rPr>
          <w:spacing w:val="-4"/>
          <w:lang w:eastAsia="ar-SA"/>
        </w:rPr>
      </w:pPr>
      <w:r w:rsidRPr="00BB1495">
        <w:rPr>
          <w:spacing w:val="-4"/>
          <w:lang w:eastAsia="ar-SA"/>
        </w:rPr>
        <w:t>Přebytek běžného účtu platební bilance se v 1. pololetí 2016 zvýšil meziročně o 44,7 mld. korun a dosáhl úrovně  107 mld. korun. Za zlepšením stojí zejména rostoucí přebytek výkonové bilance a slabší odliv prvotních důchodů zejména ve formě dividend, jenž meziročně klesl o 20 mld. korun. Meziročně výrazně narostl zájem zahraničních investorů o české vládní dluhopisy. Z loňských 39 mld. korun se nákupy zahraničních investorů zvýšily na současných 114,2 mld. korun.</w:t>
      </w:r>
    </w:p>
    <w:p w:rsidR="00DD2A62" w:rsidRPr="005F4C83" w:rsidRDefault="00DD2A62" w:rsidP="00DD2A62">
      <w:pPr>
        <w:pStyle w:val="Odstavecseseznamem"/>
        <w:rPr>
          <w:spacing w:val="-4"/>
          <w:sz w:val="15"/>
          <w:szCs w:val="15"/>
          <w:lang w:eastAsia="ar-SA"/>
        </w:rPr>
      </w:pPr>
    </w:p>
    <w:p w:rsidR="00DD2A62" w:rsidRPr="00BB1495" w:rsidRDefault="00DD2A62" w:rsidP="00DD2A62">
      <w:pPr>
        <w:pStyle w:val="Textpoznpodarou"/>
        <w:numPr>
          <w:ilvl w:val="0"/>
          <w:numId w:val="2"/>
        </w:numPr>
        <w:jc w:val="both"/>
        <w:rPr>
          <w:spacing w:val="-4"/>
          <w:lang w:eastAsia="ar-SA"/>
        </w:rPr>
      </w:pPr>
      <w:r w:rsidRPr="00BB1495">
        <w:rPr>
          <w:spacing w:val="-4"/>
          <w:lang w:eastAsia="ar-SA"/>
        </w:rPr>
        <w:t xml:space="preserve">Cenová hladina </w:t>
      </w:r>
      <w:r w:rsidRPr="00BB1495">
        <w:rPr>
          <w:spacing w:val="-4"/>
        </w:rPr>
        <w:t>měřená implicitním deflátorem HDP</w:t>
      </w:r>
      <w:r w:rsidRPr="00BB1495">
        <w:rPr>
          <w:spacing w:val="-4"/>
          <w:lang w:eastAsia="ar-SA"/>
        </w:rPr>
        <w:t xml:space="preserve"> narostla ve 2. čtvrtletí o 0,8 % meziročně, a to především díky kladným směnným relacím. Růst spotřebitelských cen se přiblížil stagnaci (+0,2 %). Deflační vývoj v průmyslu a v zemědělství se dále prohloubil. V tržních službách pro podnikovou sféru přetrvávala cenová stagnace a ceny ve stavebnictví zpomalovaly svůj slabý růst. Přes ceny zahraničního obchodu pronikaly do české ekonomiky deflační tlaky. V prostředí rekordně nízkých úrokových sazeb z úvěrů na bydlení však zrychlovaly svou dynamiku růstu ceny bytových nemovitostí, což se týkalo zejména stávajících bytů prodávaných mezi domácnostmi.</w:t>
      </w:r>
    </w:p>
    <w:p w:rsidR="00DD2A62" w:rsidRPr="005F4C83" w:rsidRDefault="00DD2A62" w:rsidP="00DD2A62">
      <w:pPr>
        <w:pStyle w:val="Odstavecseseznamem"/>
        <w:rPr>
          <w:spacing w:val="-4"/>
          <w:sz w:val="15"/>
          <w:szCs w:val="15"/>
          <w:lang w:eastAsia="ar-SA"/>
        </w:rPr>
      </w:pPr>
    </w:p>
    <w:p w:rsidR="00DD2A62" w:rsidRPr="005F4C83" w:rsidRDefault="00DD2A62" w:rsidP="00DD2A62">
      <w:pPr>
        <w:pStyle w:val="Textpoznpodarou"/>
        <w:numPr>
          <w:ilvl w:val="0"/>
          <w:numId w:val="2"/>
        </w:numPr>
        <w:jc w:val="both"/>
        <w:rPr>
          <w:lang w:eastAsia="ar-SA"/>
        </w:rPr>
      </w:pPr>
      <w:r w:rsidRPr="005F4C83">
        <w:rPr>
          <w:lang w:eastAsia="ar-SA"/>
        </w:rPr>
        <w:t>Měnové podmínky zůstaly i červnu 2016 uvolněné. Docházelo k rychlému růstu harmonizovaného měnového agregátu M3 (o 9,7 % meziročně). Objem jednodenních v</w:t>
      </w:r>
      <w:r w:rsidR="005F4C83">
        <w:rPr>
          <w:lang w:eastAsia="ar-SA"/>
        </w:rPr>
        <w:t>kladů se meziročně zvýšil o 340</w:t>
      </w:r>
      <w:r w:rsidR="005F4C83" w:rsidRPr="005F4C83">
        <w:rPr>
          <w:lang w:eastAsia="ar-SA"/>
        </w:rPr>
        <w:t> </w:t>
      </w:r>
      <w:r w:rsidRPr="005F4C83">
        <w:rPr>
          <w:lang w:eastAsia="ar-SA"/>
        </w:rPr>
        <w:t>mld. korun a oběživa o 41 mld. Tzv. quasi peníze ve 2. čtvrtletí klesly o 80 mld. korun a</w:t>
      </w:r>
      <w:r w:rsidR="005F4C83" w:rsidRPr="005F4C83">
        <w:rPr>
          <w:lang w:eastAsia="ar-SA"/>
        </w:rPr>
        <w:t> </w:t>
      </w:r>
      <w:r w:rsidR="00A23EF0" w:rsidRPr="005F4C83">
        <w:rPr>
          <w:lang w:eastAsia="ar-SA"/>
        </w:rPr>
        <w:t>v</w:t>
      </w:r>
      <w:r w:rsidRPr="005F4C83">
        <w:rPr>
          <w:lang w:eastAsia="ar-SA"/>
        </w:rPr>
        <w:t> 1. čtvrtletí o 52 mld. korun. Úvěry domácnostem rostly ve 2. čtvrtletí o 6,4 % (82 mld. korun) a úvěry podnikům o 11 % (112 mld. korun).</w:t>
      </w:r>
    </w:p>
    <w:p w:rsidR="00DD2A62" w:rsidRPr="005F4C83" w:rsidRDefault="00DD2A62" w:rsidP="00DD2A62">
      <w:pPr>
        <w:pStyle w:val="Odstavecseseznamem"/>
        <w:rPr>
          <w:spacing w:val="-2"/>
          <w:sz w:val="15"/>
          <w:szCs w:val="15"/>
          <w:lang w:eastAsia="ar-SA"/>
        </w:rPr>
      </w:pPr>
    </w:p>
    <w:p w:rsidR="00DD2A62" w:rsidRPr="002B1DC1" w:rsidRDefault="002B1DC1" w:rsidP="002B1DC1">
      <w:pPr>
        <w:pStyle w:val="Textpoznpodarou"/>
        <w:numPr>
          <w:ilvl w:val="0"/>
          <w:numId w:val="2"/>
        </w:numPr>
        <w:jc w:val="both"/>
        <w:rPr>
          <w:spacing w:val="-2"/>
          <w:lang w:eastAsia="ar-SA"/>
        </w:rPr>
      </w:pPr>
      <w:r w:rsidRPr="002B1DC1">
        <w:rPr>
          <w:rFonts w:cs="Arial"/>
          <w:color w:val="0D0D0D" w:themeColor="text1" w:themeTint="F2"/>
          <w:spacing w:val="-4"/>
        </w:rPr>
        <w:t>Příznivý</w:t>
      </w:r>
      <w:r w:rsidR="00594B91">
        <w:rPr>
          <w:rFonts w:cs="Arial"/>
          <w:color w:val="0D0D0D" w:themeColor="text1" w:themeTint="F2"/>
          <w:spacing w:val="-4"/>
        </w:rPr>
        <w:t xml:space="preserve"> vývoj na trhu práce přetrvával</w:t>
      </w:r>
      <w:r w:rsidRPr="002B1DC1">
        <w:rPr>
          <w:rFonts w:cs="Arial"/>
          <w:color w:val="0D0D0D" w:themeColor="text1" w:themeTint="F2"/>
          <w:spacing w:val="-4"/>
        </w:rPr>
        <w:t xml:space="preserve">. </w:t>
      </w:r>
      <w:r w:rsidRPr="002B1DC1">
        <w:rPr>
          <w:spacing w:val="-4"/>
        </w:rPr>
        <w:t xml:space="preserve">Tempo růstu </w:t>
      </w:r>
      <w:r w:rsidRPr="002B1DC1">
        <w:rPr>
          <w:rFonts w:cs="Arial"/>
          <w:color w:val="0D0D0D" w:themeColor="text1" w:themeTint="F2"/>
          <w:spacing w:val="-4"/>
        </w:rPr>
        <w:t xml:space="preserve">zaměstnanosti </w:t>
      </w:r>
      <w:r w:rsidR="00A23EF0">
        <w:rPr>
          <w:rFonts w:cs="Arial"/>
          <w:color w:val="0D0D0D" w:themeColor="text1" w:themeTint="F2"/>
          <w:spacing w:val="-4"/>
        </w:rPr>
        <w:t xml:space="preserve">v 1. pololetí </w:t>
      </w:r>
      <w:r w:rsidRPr="002B1DC1">
        <w:rPr>
          <w:rFonts w:cs="Arial"/>
          <w:color w:val="0D0D0D" w:themeColor="text1" w:themeTint="F2"/>
          <w:spacing w:val="-4"/>
        </w:rPr>
        <w:t>výrazně zrychlilo</w:t>
      </w:r>
      <w:r w:rsidR="00863702">
        <w:rPr>
          <w:rFonts w:cs="Arial"/>
          <w:color w:val="0D0D0D" w:themeColor="text1" w:themeTint="F2"/>
          <w:spacing w:val="-4"/>
        </w:rPr>
        <w:t xml:space="preserve"> (na 1,7</w:t>
      </w:r>
      <w:r w:rsidR="00863702" w:rsidRPr="00BB1495">
        <w:rPr>
          <w:spacing w:val="-4"/>
          <w:lang w:eastAsia="ar-SA"/>
        </w:rPr>
        <w:t> </w:t>
      </w:r>
      <w:r w:rsidR="00863702">
        <w:rPr>
          <w:rFonts w:cs="Arial"/>
          <w:color w:val="0D0D0D" w:themeColor="text1" w:themeTint="F2"/>
          <w:spacing w:val="-4"/>
        </w:rPr>
        <w:t xml:space="preserve">% meziročně), </w:t>
      </w:r>
      <w:r w:rsidR="00863702" w:rsidRPr="002B1DC1">
        <w:rPr>
          <w:rFonts w:cs="Arial"/>
          <w:color w:val="0D0D0D" w:themeColor="text1" w:themeTint="F2"/>
          <w:spacing w:val="-4"/>
        </w:rPr>
        <w:t>zejména díky zpracovatelskému průmyslu</w:t>
      </w:r>
      <w:r w:rsidR="00594B91">
        <w:rPr>
          <w:rFonts w:cs="Arial"/>
          <w:color w:val="0D0D0D" w:themeColor="text1" w:themeTint="F2"/>
          <w:spacing w:val="-4"/>
        </w:rPr>
        <w:t>.</w:t>
      </w:r>
      <w:r w:rsidR="00863702">
        <w:rPr>
          <w:rFonts w:cs="Arial"/>
          <w:color w:val="0D0D0D" w:themeColor="text1" w:themeTint="F2"/>
          <w:spacing w:val="-4"/>
        </w:rPr>
        <w:t xml:space="preserve"> </w:t>
      </w:r>
      <w:r w:rsidR="00594B91">
        <w:rPr>
          <w:rFonts w:cs="Arial"/>
          <w:color w:val="0D0D0D" w:themeColor="text1" w:themeTint="F2"/>
          <w:spacing w:val="-4"/>
        </w:rPr>
        <w:t>Počet zaměstnaných</w:t>
      </w:r>
      <w:r w:rsidR="00863702">
        <w:rPr>
          <w:rFonts w:cs="Arial"/>
          <w:color w:val="0D0D0D" w:themeColor="text1" w:themeTint="F2"/>
          <w:spacing w:val="-4"/>
        </w:rPr>
        <w:t xml:space="preserve"> dosáhl historického maxima (5,26 mil. osob). </w:t>
      </w:r>
      <w:r w:rsidRPr="002B1DC1">
        <w:rPr>
          <w:rFonts w:cs="Arial"/>
          <w:color w:val="0D0D0D" w:themeColor="text1" w:themeTint="F2"/>
          <w:spacing w:val="-4"/>
        </w:rPr>
        <w:t>Nezaměstnanost se nadál</w:t>
      </w:r>
      <w:r w:rsidR="00A23EF0">
        <w:rPr>
          <w:rFonts w:cs="Arial"/>
          <w:color w:val="0D0D0D" w:themeColor="text1" w:themeTint="F2"/>
          <w:spacing w:val="-4"/>
        </w:rPr>
        <w:t>e redukovala, byť již mírnějším tempem</w:t>
      </w:r>
      <w:r w:rsidR="00863702" w:rsidRPr="00594B91">
        <w:rPr>
          <w:rFonts w:cs="Arial"/>
          <w:color w:val="0D0D0D" w:themeColor="text1" w:themeTint="F2"/>
          <w:spacing w:val="-4"/>
        </w:rPr>
        <w:t>.</w:t>
      </w:r>
      <w:r w:rsidRPr="00594B91">
        <w:rPr>
          <w:rFonts w:cs="Arial"/>
          <w:color w:val="0D0D0D" w:themeColor="text1" w:themeTint="F2"/>
          <w:spacing w:val="-4"/>
        </w:rPr>
        <w:t xml:space="preserve"> </w:t>
      </w:r>
      <w:r w:rsidR="00594B91" w:rsidRPr="00594B91">
        <w:rPr>
          <w:rFonts w:cs="Arial"/>
          <w:color w:val="0D0D0D" w:themeColor="text1" w:themeTint="F2"/>
          <w:spacing w:val="-4"/>
        </w:rPr>
        <w:t>Vyhlídky n</w:t>
      </w:r>
      <w:r w:rsidRPr="00594B91">
        <w:rPr>
          <w:rFonts w:cs="Arial"/>
          <w:color w:val="0D0D0D" w:themeColor="text1" w:themeTint="F2"/>
          <w:spacing w:val="-4"/>
        </w:rPr>
        <w:t>a</w:t>
      </w:r>
      <w:r w:rsidR="00D11CBB">
        <w:rPr>
          <w:rFonts w:cs="Arial"/>
          <w:color w:val="0D0D0D" w:themeColor="text1" w:themeTint="F2"/>
          <w:spacing w:val="-4"/>
        </w:rPr>
        <w:t xml:space="preserve"> dobré uplatnění se zvýšily</w:t>
      </w:r>
      <w:r w:rsidRPr="002B1DC1">
        <w:rPr>
          <w:rFonts w:cs="Arial"/>
          <w:color w:val="0D0D0D" w:themeColor="text1" w:themeTint="F2"/>
          <w:spacing w:val="-4"/>
        </w:rPr>
        <w:t xml:space="preserve"> zejména kvalifikovaným manuálním pracovníkům. Problémem na trhu práce zůstává kvalifikační nesoulad mezi nezaměstnanými osobami a volnými pracovními místy a s tím související dlouhodobá nezaměstnanost. Nízká míra nezaměstnanosti doprovázená rostoucí</w:t>
      </w:r>
      <w:r w:rsidR="00863702">
        <w:rPr>
          <w:rFonts w:cs="Arial"/>
          <w:color w:val="0D0D0D" w:themeColor="text1" w:themeTint="F2"/>
          <w:spacing w:val="-4"/>
        </w:rPr>
        <w:t>m nedostatkem pracovní síly tlačí na růst mezd</w:t>
      </w:r>
      <w:r w:rsidRPr="002B1DC1">
        <w:rPr>
          <w:rFonts w:cs="Arial"/>
          <w:color w:val="0D0D0D" w:themeColor="text1" w:themeTint="F2"/>
          <w:spacing w:val="-4"/>
        </w:rPr>
        <w:t xml:space="preserve">. Průměrné mzdy rostly </w:t>
      </w:r>
      <w:r w:rsidR="00863702">
        <w:rPr>
          <w:rFonts w:cs="Arial"/>
          <w:color w:val="0D0D0D" w:themeColor="text1" w:themeTint="F2"/>
          <w:spacing w:val="-4"/>
        </w:rPr>
        <w:t>v 1. pololetí v reálném vyjádření o</w:t>
      </w:r>
      <w:r w:rsidR="00863702" w:rsidRPr="00BB1495">
        <w:rPr>
          <w:spacing w:val="-4"/>
          <w:lang w:eastAsia="ar-SA"/>
        </w:rPr>
        <w:t> </w:t>
      </w:r>
      <w:r w:rsidR="00863702">
        <w:rPr>
          <w:rFonts w:cs="Arial"/>
          <w:color w:val="0D0D0D" w:themeColor="text1" w:themeTint="F2"/>
          <w:spacing w:val="-4"/>
        </w:rPr>
        <w:t>3,8</w:t>
      </w:r>
      <w:r w:rsidR="00863702" w:rsidRPr="00BB1495">
        <w:rPr>
          <w:spacing w:val="-4"/>
          <w:lang w:eastAsia="ar-SA"/>
        </w:rPr>
        <w:t> </w:t>
      </w:r>
      <w:r w:rsidR="00863702">
        <w:rPr>
          <w:rFonts w:cs="Arial"/>
          <w:color w:val="0D0D0D" w:themeColor="text1" w:themeTint="F2"/>
          <w:spacing w:val="-4"/>
        </w:rPr>
        <w:t>%</w:t>
      </w:r>
      <w:r w:rsidR="00A13993">
        <w:rPr>
          <w:rFonts w:cs="Arial"/>
          <w:color w:val="0D0D0D" w:themeColor="text1" w:themeTint="F2"/>
          <w:spacing w:val="-4"/>
        </w:rPr>
        <w:t>, jednalo</w:t>
      </w:r>
      <w:r w:rsidR="00863702">
        <w:rPr>
          <w:rFonts w:cs="Arial"/>
          <w:color w:val="0D0D0D" w:themeColor="text1" w:themeTint="F2"/>
          <w:spacing w:val="-4"/>
        </w:rPr>
        <w:t xml:space="preserve"> </w:t>
      </w:r>
      <w:r w:rsidR="00A13993">
        <w:rPr>
          <w:rFonts w:cs="Arial"/>
          <w:color w:val="0D0D0D" w:themeColor="text1" w:themeTint="F2"/>
          <w:spacing w:val="-4"/>
        </w:rPr>
        <w:t xml:space="preserve">se </w:t>
      </w:r>
      <w:r w:rsidR="00863702">
        <w:rPr>
          <w:rFonts w:cs="Arial"/>
          <w:color w:val="0D0D0D" w:themeColor="text1" w:themeTint="F2"/>
          <w:spacing w:val="-4"/>
        </w:rPr>
        <w:t>o nejvyšší růst</w:t>
      </w:r>
      <w:r w:rsidRPr="002B1DC1">
        <w:rPr>
          <w:rFonts w:cs="Arial"/>
          <w:color w:val="0D0D0D" w:themeColor="text1" w:themeTint="F2"/>
          <w:spacing w:val="-4"/>
        </w:rPr>
        <w:t xml:space="preserve"> od konce roku 2009.</w:t>
      </w:r>
    </w:p>
    <w:p w:rsidR="002B1DC1" w:rsidRPr="005F4C83" w:rsidRDefault="002B1DC1" w:rsidP="002B1DC1">
      <w:pPr>
        <w:pStyle w:val="Textpoznpodarou"/>
        <w:jc w:val="both"/>
        <w:rPr>
          <w:spacing w:val="-2"/>
          <w:sz w:val="15"/>
          <w:szCs w:val="15"/>
          <w:lang w:eastAsia="ar-SA"/>
        </w:rPr>
      </w:pPr>
    </w:p>
    <w:p w:rsidR="00DD2A62" w:rsidRPr="00026F12" w:rsidRDefault="005F4C83" w:rsidP="00DD2A62">
      <w:pPr>
        <w:pStyle w:val="Textpoznpodarou"/>
        <w:numPr>
          <w:ilvl w:val="0"/>
          <w:numId w:val="2"/>
        </w:numPr>
        <w:jc w:val="both"/>
        <w:rPr>
          <w:lang w:eastAsia="ar-SA"/>
        </w:rPr>
      </w:pPr>
      <w:r>
        <w:t>Státní rozpočet</w:t>
      </w:r>
      <w:r w:rsidR="00C63B1A">
        <w:t xml:space="preserve"> </w:t>
      </w:r>
      <w:r w:rsidR="00CE797F">
        <w:t>skončil v 1. pololetí</w:t>
      </w:r>
      <w:r w:rsidR="001711F2">
        <w:t xml:space="preserve"> přebytkem (40,6 mld. korun), </w:t>
      </w:r>
      <w:r w:rsidR="006764ED">
        <w:t xml:space="preserve">který byl </w:t>
      </w:r>
      <w:r w:rsidR="00CE797F">
        <w:t>nejvyšší v historii samostatné ČR</w:t>
      </w:r>
      <w:r w:rsidR="001711F2">
        <w:t xml:space="preserve">. </w:t>
      </w:r>
      <w:r w:rsidR="00611363">
        <w:rPr>
          <w:rFonts w:cs="Arial"/>
          <w:color w:val="0D0D0D" w:themeColor="text1" w:themeTint="F2"/>
          <w:spacing w:val="-4"/>
        </w:rPr>
        <w:t>Do výsledku</w:t>
      </w:r>
      <w:r>
        <w:rPr>
          <w:rFonts w:cs="Arial"/>
          <w:color w:val="0D0D0D" w:themeColor="text1" w:themeTint="F2"/>
          <w:spacing w:val="-4"/>
        </w:rPr>
        <w:t xml:space="preserve"> hospodaření státu</w:t>
      </w:r>
      <w:r w:rsidR="00C63B1A" w:rsidRPr="00952517">
        <w:rPr>
          <w:rFonts w:cs="Arial"/>
          <w:color w:val="0D0D0D" w:themeColor="text1" w:themeTint="F2"/>
          <w:spacing w:val="-4"/>
        </w:rPr>
        <w:t xml:space="preserve"> se podstatně promítly nepravidelnosti v čerpání prostředků z rozpočtu EU</w:t>
      </w:r>
      <w:r w:rsidR="00C63B1A">
        <w:rPr>
          <w:rFonts w:cs="Arial"/>
          <w:color w:val="0D0D0D" w:themeColor="text1" w:themeTint="F2"/>
          <w:spacing w:val="-4"/>
        </w:rPr>
        <w:t xml:space="preserve">, ale i posilování výběru zejména </w:t>
      </w:r>
      <w:r w:rsidR="00D020FC">
        <w:rPr>
          <w:rFonts w:cs="Arial"/>
          <w:color w:val="0D0D0D" w:themeColor="text1" w:themeTint="F2"/>
          <w:spacing w:val="-4"/>
        </w:rPr>
        <w:t>přímých daní reflektující svižný</w:t>
      </w:r>
      <w:r w:rsidR="00C63B1A">
        <w:rPr>
          <w:rFonts w:cs="Arial"/>
          <w:color w:val="0D0D0D" w:themeColor="text1" w:themeTint="F2"/>
          <w:spacing w:val="-4"/>
        </w:rPr>
        <w:t xml:space="preserve"> růst ekonomiky.</w:t>
      </w:r>
    </w:p>
    <w:p w:rsidR="00DD2A62" w:rsidRPr="00DD2A62" w:rsidRDefault="00DD2A62" w:rsidP="00DD2A62">
      <w:pPr>
        <w:pStyle w:val="Textpoznpodarou"/>
        <w:numPr>
          <w:ilvl w:val="0"/>
          <w:numId w:val="2"/>
        </w:numPr>
        <w:ind w:left="425" w:hanging="357"/>
        <w:jc w:val="both"/>
        <w:rPr>
          <w:sz w:val="2"/>
          <w:szCs w:val="2"/>
        </w:rPr>
      </w:pPr>
    </w:p>
    <w:p w:rsidR="00DD2A62" w:rsidRDefault="00DD2A62" w:rsidP="00DD2A62">
      <w:pPr>
        <w:pStyle w:val="Odstavecseseznamem"/>
        <w:rPr>
          <w:sz w:val="2"/>
          <w:szCs w:val="2"/>
        </w:rPr>
      </w:pPr>
    </w:p>
    <w:p w:rsidR="00DD2A62" w:rsidRPr="00D27D34" w:rsidRDefault="00DD2A62" w:rsidP="00DD2A62">
      <w:pPr>
        <w:pStyle w:val="Textpoznpodarou"/>
        <w:numPr>
          <w:ilvl w:val="0"/>
          <w:numId w:val="2"/>
        </w:numPr>
        <w:ind w:left="425" w:hanging="357"/>
        <w:jc w:val="both"/>
        <w:rPr>
          <w:sz w:val="2"/>
          <w:szCs w:val="2"/>
        </w:rPr>
      </w:pPr>
    </w:p>
    <w:p w:rsidR="00960769" w:rsidRPr="00F4591F" w:rsidRDefault="00CD7E35" w:rsidP="00960769">
      <w:pPr>
        <w:pStyle w:val="Nadpis1"/>
        <w:numPr>
          <w:ilvl w:val="0"/>
          <w:numId w:val="3"/>
        </w:numPr>
        <w:jc w:val="both"/>
      </w:pPr>
      <w:bookmarkStart w:id="4" w:name="_Toc454185149"/>
      <w:r>
        <w:lastRenderedPageBreak/>
        <w:t>Souhrnná výkonnost</w:t>
      </w:r>
      <w:bookmarkEnd w:id="4"/>
    </w:p>
    <w:tbl>
      <w:tblPr>
        <w:tblW w:w="5000" w:type="pct"/>
        <w:tblLayout w:type="fixed"/>
        <w:tblLook w:val="00A0"/>
      </w:tblPr>
      <w:tblGrid>
        <w:gridCol w:w="2077"/>
        <w:gridCol w:w="282"/>
        <w:gridCol w:w="7495"/>
      </w:tblGrid>
      <w:tr w:rsidR="001550F3" w:rsidRPr="002A7D6D" w:rsidTr="00AF5D62">
        <w:tc>
          <w:tcPr>
            <w:tcW w:w="1054" w:type="pct"/>
          </w:tcPr>
          <w:p w:rsidR="001550F3" w:rsidRPr="003F492F" w:rsidRDefault="001550F3" w:rsidP="00AF5D62">
            <w:pPr>
              <w:spacing w:line="240" w:lineRule="auto"/>
              <w:rPr>
                <w:sz w:val="16"/>
                <w:szCs w:val="16"/>
                <w:highlight w:val="yellow"/>
              </w:rPr>
            </w:pPr>
            <w:r w:rsidRPr="00DC7D5A">
              <w:rPr>
                <w:sz w:val="16"/>
                <w:szCs w:val="16"/>
              </w:rPr>
              <w:t xml:space="preserve">Růst ekonomiky České republiky pokračoval i ve 2. čtvrtletí 2016, </w:t>
            </w:r>
            <w:r>
              <w:rPr>
                <w:sz w:val="16"/>
                <w:szCs w:val="16"/>
              </w:rPr>
              <w:br/>
            </w:r>
            <w:r w:rsidRPr="00DC7D5A">
              <w:rPr>
                <w:sz w:val="16"/>
                <w:szCs w:val="16"/>
              </w:rPr>
              <w:t xml:space="preserve">a dokonce mírně akceleroval oproti 1. čtvrtletí. HDP </w:t>
            </w:r>
            <w:r>
              <w:rPr>
                <w:sz w:val="16"/>
                <w:szCs w:val="16"/>
              </w:rPr>
              <w:t xml:space="preserve">i HPH </w:t>
            </w:r>
            <w:proofErr w:type="spellStart"/>
            <w:r>
              <w:rPr>
                <w:sz w:val="16"/>
                <w:szCs w:val="16"/>
              </w:rPr>
              <w:t>mezičtvrtletně</w:t>
            </w:r>
            <w:proofErr w:type="spellEnd"/>
            <w:r>
              <w:rPr>
                <w:sz w:val="16"/>
                <w:szCs w:val="16"/>
              </w:rPr>
              <w:t xml:space="preserve"> vzrostly o </w:t>
            </w:r>
            <w:r w:rsidRPr="00DC7D5A">
              <w:rPr>
                <w:sz w:val="16"/>
                <w:szCs w:val="16"/>
              </w:rPr>
              <w:t>0,9 %…</w:t>
            </w:r>
          </w:p>
        </w:tc>
        <w:tc>
          <w:tcPr>
            <w:tcW w:w="143" w:type="pct"/>
          </w:tcPr>
          <w:p w:rsidR="001550F3" w:rsidRPr="005E01FF" w:rsidRDefault="001550F3" w:rsidP="00AF5D62">
            <w:pPr>
              <w:pStyle w:val="Textpoznpodarou"/>
              <w:jc w:val="both"/>
            </w:pPr>
          </w:p>
        </w:tc>
        <w:tc>
          <w:tcPr>
            <w:tcW w:w="3803" w:type="pct"/>
          </w:tcPr>
          <w:p w:rsidR="001550F3" w:rsidRDefault="001550F3" w:rsidP="00AF5D62">
            <w:pPr>
              <w:pStyle w:val="Textpoznpodarou"/>
              <w:jc w:val="both"/>
            </w:pPr>
            <w:r>
              <w:t>Stabilní ekonomický růst české ekonomiky z posledních období pokračoval</w:t>
            </w:r>
            <w:r w:rsidRPr="00CD1606">
              <w:t xml:space="preserve"> </w:t>
            </w:r>
            <w:r>
              <w:br/>
              <w:t>i ve 2. </w:t>
            </w:r>
            <w:r w:rsidRPr="00CD1606">
              <w:t>čtvrtletí 201</w:t>
            </w:r>
            <w:r>
              <w:t>6.</w:t>
            </w:r>
            <w:r w:rsidRPr="00CD1606">
              <w:rPr>
                <w:rStyle w:val="Znakapoznpodarou"/>
              </w:rPr>
              <w:footnoteReference w:id="2"/>
            </w:r>
            <w:r w:rsidRPr="00CD1606">
              <w:t xml:space="preserve"> </w:t>
            </w:r>
            <w:r>
              <w:t xml:space="preserve">To dokládá jak vývoj hrubého domácího produktu (HDP), tak hrubé přidané hodnoty (HPH). Oproti 1. čtvrtletí se HDP i HPH zvýšily o 0,9 %. Tento vývoj naznačuje mírnou akceleraci růstu, neboť v 1. čtvrtletí se </w:t>
            </w:r>
            <w:proofErr w:type="spellStart"/>
            <w:r>
              <w:t>mezičtvrtletní</w:t>
            </w:r>
            <w:proofErr w:type="spellEnd"/>
            <w:r>
              <w:t xml:space="preserve"> růst HDP a HPH pohyboval okolo 0,4 %. Ukazuje se, že </w:t>
            </w:r>
            <w:r>
              <w:br/>
              <w:t xml:space="preserve">i po odeznění mimořádných faktorů podporujících hospodářský růst v loňském roce (dočerpávání peněz z evropských fondů či výrazný pokles cen ropy) zůstává ekonomická situace příznivá a </w:t>
            </w:r>
            <w:r w:rsidRPr="00CD1606">
              <w:t>v kontextu vývoje posledních let nadprůměrn</w:t>
            </w:r>
            <w:r>
              <w:t>á</w:t>
            </w:r>
            <w:r w:rsidRPr="00CD1606">
              <w:t>.</w:t>
            </w:r>
          </w:p>
          <w:p w:rsidR="001550F3" w:rsidRPr="00DD7C6D" w:rsidRDefault="001550F3" w:rsidP="00AF5D62">
            <w:pPr>
              <w:pStyle w:val="Textpoznpodarou"/>
              <w:jc w:val="both"/>
              <w:rPr>
                <w:sz w:val="16"/>
                <w:szCs w:val="16"/>
                <w:highlight w:val="yellow"/>
              </w:rPr>
            </w:pPr>
          </w:p>
        </w:tc>
      </w:tr>
      <w:tr w:rsidR="001550F3" w:rsidRPr="002A7D6D" w:rsidTr="00AF5D62">
        <w:tc>
          <w:tcPr>
            <w:tcW w:w="1054" w:type="pct"/>
          </w:tcPr>
          <w:p w:rsidR="001550F3" w:rsidRPr="00DC7D5A" w:rsidRDefault="001550F3" w:rsidP="00AF5D62">
            <w:pPr>
              <w:spacing w:line="240" w:lineRule="auto"/>
              <w:rPr>
                <w:sz w:val="16"/>
                <w:szCs w:val="16"/>
              </w:rPr>
            </w:pPr>
            <w:r w:rsidRPr="00DC7D5A">
              <w:rPr>
                <w:sz w:val="16"/>
                <w:szCs w:val="16"/>
              </w:rPr>
              <w:t>…</w:t>
            </w:r>
            <w:r>
              <w:rPr>
                <w:sz w:val="16"/>
                <w:szCs w:val="16"/>
              </w:rPr>
              <w:t xml:space="preserve"> </w:t>
            </w:r>
            <w:r w:rsidRPr="00DC7D5A">
              <w:rPr>
                <w:sz w:val="16"/>
                <w:szCs w:val="16"/>
              </w:rPr>
              <w:t>a oproti stejnému čtvrtletí roku 2015 se výkon ekonomiky podle těchto ukazatelů zvýšil o 2,6 % a 2,7 %</w:t>
            </w:r>
          </w:p>
        </w:tc>
        <w:tc>
          <w:tcPr>
            <w:tcW w:w="143" w:type="pct"/>
          </w:tcPr>
          <w:p w:rsidR="001550F3" w:rsidRPr="005E01FF" w:rsidRDefault="001550F3" w:rsidP="00AF5D62">
            <w:pPr>
              <w:pStyle w:val="Textpoznpodarou"/>
              <w:jc w:val="both"/>
            </w:pPr>
          </w:p>
        </w:tc>
        <w:tc>
          <w:tcPr>
            <w:tcW w:w="3803" w:type="pct"/>
          </w:tcPr>
          <w:p w:rsidR="001550F3" w:rsidRPr="00CD1606" w:rsidRDefault="001550F3" w:rsidP="00AF5D62">
            <w:pPr>
              <w:pStyle w:val="Textpoznpodarou"/>
              <w:jc w:val="both"/>
              <w:rPr>
                <w:highlight w:val="yellow"/>
              </w:rPr>
            </w:pPr>
            <w:r>
              <w:t>Ve srovnání se stejným čtvrtletím předchozího roku byl HDP vyšší o 2,6 % a HPH o 2,7 %. Z pohledu meziročního porovnání se dynamika růstu HDP ve 2. čtvrtletí mírně snížila oproti 1. čtvrtletí (HDP rostl o 3,0 %), což však bylo způsobeno zejména vyšší srovnávací základnou 2. čtvrtletí 2015. Loňský výrazný hospodářský růst vrcholil právě ve 2. čtvrtletí, a proto i meziroční srovnání roku 2016 je tímto vývojem poznamenáno.</w:t>
            </w:r>
          </w:p>
          <w:p w:rsidR="001550F3" w:rsidRPr="00DD7C6D" w:rsidRDefault="001550F3" w:rsidP="00AF5D62">
            <w:pPr>
              <w:pStyle w:val="Textpoznpodarou"/>
              <w:jc w:val="both"/>
              <w:rPr>
                <w:sz w:val="16"/>
                <w:szCs w:val="16"/>
                <w:highlight w:val="yellow"/>
              </w:rPr>
            </w:pPr>
          </w:p>
        </w:tc>
      </w:tr>
      <w:tr w:rsidR="001550F3" w:rsidRPr="00AA32D0" w:rsidTr="00AF5D62">
        <w:tc>
          <w:tcPr>
            <w:tcW w:w="1054" w:type="pct"/>
          </w:tcPr>
          <w:p w:rsidR="001550F3" w:rsidRPr="002610C6" w:rsidRDefault="001550F3" w:rsidP="00AF5D62">
            <w:pPr>
              <w:spacing w:line="240" w:lineRule="auto"/>
              <w:rPr>
                <w:sz w:val="16"/>
                <w:szCs w:val="16"/>
              </w:rPr>
            </w:pPr>
            <w:r w:rsidRPr="002610C6">
              <w:rPr>
                <w:sz w:val="16"/>
                <w:szCs w:val="16"/>
              </w:rPr>
              <w:t>V úhrnu za celé 1. pololetí se HDP zvýšil meziročně o 2,8 %</w:t>
            </w:r>
          </w:p>
        </w:tc>
        <w:tc>
          <w:tcPr>
            <w:tcW w:w="143" w:type="pct"/>
          </w:tcPr>
          <w:p w:rsidR="001550F3" w:rsidRPr="002610C6" w:rsidRDefault="001550F3" w:rsidP="00AF5D62">
            <w:pPr>
              <w:pStyle w:val="Textpoznpodarou"/>
              <w:jc w:val="both"/>
            </w:pPr>
          </w:p>
        </w:tc>
        <w:tc>
          <w:tcPr>
            <w:tcW w:w="3803" w:type="pct"/>
          </w:tcPr>
          <w:p w:rsidR="001550F3" w:rsidRPr="002610C6" w:rsidRDefault="001550F3" w:rsidP="00AF5D62">
            <w:pPr>
              <w:pStyle w:val="Textpoznpodarou"/>
              <w:jc w:val="both"/>
            </w:pPr>
            <w:r w:rsidRPr="002610C6">
              <w:t xml:space="preserve">I pohled na celé 1. pololetí 2016 potvrzuje, že se české ekonomice dařilo. Oproti 2. pololetí 2015 se výkonnost ekonomiky měřená HDP zvýšila o 1,0 % a v porovnání s prvními </w:t>
            </w:r>
            <w:r>
              <w:t>šesti</w:t>
            </w:r>
            <w:r w:rsidRPr="002610C6">
              <w:t xml:space="preserve"> měsíci roku 2015 o 2,8 %. Pokud pomineme mimořádný loňský rok, stále se jednalo o nejvyšší tempo růstu od roku 2008. </w:t>
            </w:r>
          </w:p>
          <w:p w:rsidR="001550F3" w:rsidRPr="00DD7C6D" w:rsidRDefault="001550F3" w:rsidP="00AF5D62">
            <w:pPr>
              <w:pStyle w:val="Textpoznpodarou"/>
              <w:jc w:val="both"/>
              <w:rPr>
                <w:sz w:val="16"/>
                <w:szCs w:val="16"/>
              </w:rPr>
            </w:pPr>
          </w:p>
        </w:tc>
      </w:tr>
      <w:tr w:rsidR="001550F3" w:rsidRPr="002A7D6D" w:rsidTr="00AF5D62">
        <w:tc>
          <w:tcPr>
            <w:tcW w:w="1054" w:type="pct"/>
          </w:tcPr>
          <w:p w:rsidR="001550F3" w:rsidRPr="009A6AE6" w:rsidRDefault="003839C9" w:rsidP="00AF5D62">
            <w:pPr>
              <w:spacing w:line="240" w:lineRule="auto"/>
              <w:rPr>
                <w:sz w:val="16"/>
                <w:szCs w:val="16"/>
              </w:rPr>
            </w:pPr>
            <w:r>
              <w:rPr>
                <w:sz w:val="16"/>
                <w:szCs w:val="16"/>
              </w:rPr>
              <w:t>V meziročním i</w:t>
            </w:r>
            <w:r w:rsidRPr="00DE0D2E">
              <w:rPr>
                <w:sz w:val="16"/>
                <w:szCs w:val="16"/>
              </w:rPr>
              <w:t> </w:t>
            </w:r>
            <w:proofErr w:type="spellStart"/>
            <w:r w:rsidR="001550F3" w:rsidRPr="009A6AE6">
              <w:rPr>
                <w:sz w:val="16"/>
                <w:szCs w:val="16"/>
              </w:rPr>
              <w:t>mezičtvrtletním</w:t>
            </w:r>
            <w:proofErr w:type="spellEnd"/>
            <w:r w:rsidR="001550F3" w:rsidRPr="009A6AE6">
              <w:rPr>
                <w:sz w:val="16"/>
                <w:szCs w:val="16"/>
              </w:rPr>
              <w:t xml:space="preserve"> srovnání roste ekonomika ČR stále rychleji než Evropská unie</w:t>
            </w:r>
          </w:p>
        </w:tc>
        <w:tc>
          <w:tcPr>
            <w:tcW w:w="143" w:type="pct"/>
          </w:tcPr>
          <w:p w:rsidR="001550F3" w:rsidRPr="00AA32D0" w:rsidRDefault="001550F3" w:rsidP="00AF5D62">
            <w:pPr>
              <w:pStyle w:val="Textpoznpodarou"/>
              <w:jc w:val="both"/>
              <w:rPr>
                <w:highlight w:val="green"/>
              </w:rPr>
            </w:pPr>
          </w:p>
        </w:tc>
        <w:tc>
          <w:tcPr>
            <w:tcW w:w="3803" w:type="pct"/>
          </w:tcPr>
          <w:p w:rsidR="001550F3" w:rsidRPr="003839C9" w:rsidRDefault="001550F3" w:rsidP="00AF5D62">
            <w:pPr>
              <w:pStyle w:val="Textpoznpodarou"/>
              <w:jc w:val="both"/>
              <w:rPr>
                <w:spacing w:val="-2"/>
                <w:highlight w:val="green"/>
              </w:rPr>
            </w:pPr>
            <w:r w:rsidRPr="003839C9">
              <w:rPr>
                <w:spacing w:val="-2"/>
              </w:rPr>
              <w:t>Meziroční růst HDP zůstává v ČR, navzdory svému zpomalení, stále silnější než v Evropské unii. Tuzemská ekonomika roste rychleji prakticky od výstupu z recese v roce 2013. Ve 2. čtvrtletí letošního roku byla její dynamika oproti EU28 vyšší o 0,8 </w:t>
            </w:r>
            <w:proofErr w:type="spellStart"/>
            <w:proofErr w:type="gramStart"/>
            <w:r w:rsidRPr="003839C9">
              <w:rPr>
                <w:spacing w:val="-2"/>
              </w:rPr>
              <w:t>p.b</w:t>
            </w:r>
            <w:proofErr w:type="spellEnd"/>
            <w:r w:rsidRPr="003839C9">
              <w:rPr>
                <w:spacing w:val="-2"/>
              </w:rPr>
              <w:t>., neboť</w:t>
            </w:r>
            <w:proofErr w:type="gramEnd"/>
            <w:r w:rsidRPr="003839C9">
              <w:rPr>
                <w:spacing w:val="-2"/>
              </w:rPr>
              <w:t xml:space="preserve"> růst EU28 byl 1,8 %. I z pohledu </w:t>
            </w:r>
            <w:proofErr w:type="spellStart"/>
            <w:r w:rsidRPr="003839C9">
              <w:rPr>
                <w:spacing w:val="-2"/>
              </w:rPr>
              <w:t>mezičtvrtletního</w:t>
            </w:r>
            <w:proofErr w:type="spellEnd"/>
            <w:r w:rsidRPr="003839C9">
              <w:rPr>
                <w:spacing w:val="-2"/>
              </w:rPr>
              <w:t xml:space="preserve"> tempa byla česká ekonomika rychlejší, a to o 0,5 </w:t>
            </w:r>
            <w:proofErr w:type="spellStart"/>
            <w:proofErr w:type="gramStart"/>
            <w:r w:rsidRPr="003839C9">
              <w:rPr>
                <w:spacing w:val="-2"/>
              </w:rPr>
              <w:t>p.b</w:t>
            </w:r>
            <w:proofErr w:type="spellEnd"/>
            <w:r w:rsidRPr="003839C9">
              <w:rPr>
                <w:spacing w:val="-2"/>
              </w:rPr>
              <w:t>. (při</w:t>
            </w:r>
            <w:proofErr w:type="gramEnd"/>
            <w:r w:rsidRPr="003839C9">
              <w:rPr>
                <w:spacing w:val="-2"/>
              </w:rPr>
              <w:t xml:space="preserve"> růstu ekonomiky EU28 o 0,4 </w:t>
            </w:r>
            <w:proofErr w:type="spellStart"/>
            <w:r w:rsidRPr="003839C9">
              <w:rPr>
                <w:spacing w:val="-2"/>
              </w:rPr>
              <w:t>p.b</w:t>
            </w:r>
            <w:proofErr w:type="spellEnd"/>
            <w:r w:rsidRPr="003839C9">
              <w:rPr>
                <w:spacing w:val="-2"/>
              </w:rPr>
              <w:t xml:space="preserve">.). </w:t>
            </w:r>
          </w:p>
          <w:p w:rsidR="001550F3" w:rsidRPr="00DD7C6D" w:rsidRDefault="001550F3" w:rsidP="00AF5D62">
            <w:pPr>
              <w:pStyle w:val="Textpoznpodarou"/>
              <w:jc w:val="both"/>
              <w:rPr>
                <w:sz w:val="16"/>
                <w:szCs w:val="16"/>
                <w:highlight w:val="green"/>
              </w:rPr>
            </w:pPr>
          </w:p>
        </w:tc>
      </w:tr>
      <w:tr w:rsidR="001550F3" w:rsidRPr="002A7D6D" w:rsidTr="00AF5D62">
        <w:tc>
          <w:tcPr>
            <w:tcW w:w="1054" w:type="pct"/>
          </w:tcPr>
          <w:p w:rsidR="001550F3" w:rsidRDefault="001550F3" w:rsidP="00AF5D62">
            <w:pPr>
              <w:spacing w:line="240" w:lineRule="auto"/>
              <w:rPr>
                <w:sz w:val="16"/>
                <w:szCs w:val="16"/>
                <w:highlight w:val="green"/>
              </w:rPr>
            </w:pPr>
            <w:r w:rsidRPr="00BE4D27">
              <w:rPr>
                <w:sz w:val="16"/>
                <w:szCs w:val="16"/>
              </w:rPr>
              <w:t xml:space="preserve">Ze tří největších ekonomik EU </w:t>
            </w:r>
            <w:r>
              <w:rPr>
                <w:sz w:val="16"/>
                <w:szCs w:val="16"/>
              </w:rPr>
              <w:t xml:space="preserve">dál </w:t>
            </w:r>
            <w:r w:rsidRPr="00BE4D27">
              <w:rPr>
                <w:sz w:val="16"/>
                <w:szCs w:val="16"/>
              </w:rPr>
              <w:t>roste nadprůměrným tempem jen Velká Británie</w:t>
            </w:r>
          </w:p>
        </w:tc>
        <w:tc>
          <w:tcPr>
            <w:tcW w:w="143" w:type="pct"/>
          </w:tcPr>
          <w:p w:rsidR="001550F3" w:rsidRPr="00AA32D0" w:rsidRDefault="001550F3" w:rsidP="00AF5D62">
            <w:pPr>
              <w:pStyle w:val="Textpoznpodarou"/>
              <w:jc w:val="both"/>
              <w:rPr>
                <w:highlight w:val="green"/>
              </w:rPr>
            </w:pPr>
          </w:p>
        </w:tc>
        <w:tc>
          <w:tcPr>
            <w:tcW w:w="3803" w:type="pct"/>
          </w:tcPr>
          <w:p w:rsidR="001550F3" w:rsidRPr="00BE4D27" w:rsidRDefault="001550F3" w:rsidP="00AF5D62">
            <w:pPr>
              <w:pStyle w:val="Textpoznpodarou"/>
              <w:jc w:val="both"/>
            </w:pPr>
            <w:r w:rsidRPr="00480DDA">
              <w:t xml:space="preserve">Podle dostupných údajů za jednotlivé země EU </w:t>
            </w:r>
            <w:r>
              <w:t>rostl</w:t>
            </w:r>
            <w:r w:rsidRPr="00480DDA">
              <w:t xml:space="preserve"> HDP ve 2. čtvrtletí 2016 meziročně nejrychleji </w:t>
            </w:r>
            <w:r w:rsidRPr="00BE4D27">
              <w:t>v Rumunsku, na Slovensku</w:t>
            </w:r>
            <w:r w:rsidRPr="00BE4D27">
              <w:rPr>
                <w:vertAlign w:val="superscript"/>
              </w:rPr>
              <w:footnoteReference w:id="3"/>
            </w:r>
            <w:r w:rsidRPr="00BE4D27">
              <w:t xml:space="preserve"> a ve Španělsku. České republice patřila osmá příčka. Ze tří největších ekonomik EU28 rostla nejrychleji Velká Británie (+2,2 %). </w:t>
            </w:r>
            <w:proofErr w:type="spellStart"/>
            <w:r w:rsidRPr="00BE4D27">
              <w:t>Mezičtvrtletně</w:t>
            </w:r>
            <w:proofErr w:type="spellEnd"/>
            <w:r w:rsidRPr="00BE4D27">
              <w:t xml:space="preserve"> rostly nejrychleji Rumunsko</w:t>
            </w:r>
            <w:r>
              <w:t xml:space="preserve"> a</w:t>
            </w:r>
            <w:r w:rsidRPr="00BE4D27">
              <w:t xml:space="preserve"> Maďarsko</w:t>
            </w:r>
            <w:r>
              <w:t xml:space="preserve">, </w:t>
            </w:r>
            <w:r w:rsidRPr="00BE4D27">
              <w:t>ČR se spolu s Polskem a Slovenskem dělila o 3. místo.</w:t>
            </w:r>
          </w:p>
          <w:p w:rsidR="001550F3" w:rsidRPr="00DD7C6D" w:rsidRDefault="001550F3" w:rsidP="00AF5D62">
            <w:pPr>
              <w:pStyle w:val="Textpoznpodarou"/>
              <w:jc w:val="both"/>
              <w:rPr>
                <w:sz w:val="16"/>
                <w:szCs w:val="16"/>
                <w:highlight w:val="green"/>
              </w:rPr>
            </w:pPr>
          </w:p>
        </w:tc>
      </w:tr>
      <w:tr w:rsidR="001550F3" w:rsidRPr="002A7D6D" w:rsidTr="00AF5D62">
        <w:tc>
          <w:tcPr>
            <w:tcW w:w="1054" w:type="pct"/>
          </w:tcPr>
          <w:p w:rsidR="001550F3" w:rsidRPr="00DE0D2E" w:rsidRDefault="001550F3" w:rsidP="00AF5D62">
            <w:pPr>
              <w:spacing w:line="240" w:lineRule="auto"/>
              <w:rPr>
                <w:sz w:val="16"/>
                <w:szCs w:val="16"/>
              </w:rPr>
            </w:pPr>
            <w:r w:rsidRPr="00DE0D2E">
              <w:rPr>
                <w:sz w:val="16"/>
                <w:szCs w:val="16"/>
              </w:rPr>
              <w:t>Hlavním zdrojem meziročního růstu českého hospodářství byl ve 2. čtvrtletí 2016 zahraniční obchod</w:t>
            </w:r>
          </w:p>
        </w:tc>
        <w:tc>
          <w:tcPr>
            <w:tcW w:w="143" w:type="pct"/>
          </w:tcPr>
          <w:p w:rsidR="001550F3" w:rsidRPr="005E01FF" w:rsidRDefault="001550F3" w:rsidP="00AF5D62">
            <w:pPr>
              <w:pStyle w:val="Textpoznpodarou"/>
              <w:jc w:val="both"/>
            </w:pPr>
          </w:p>
        </w:tc>
        <w:tc>
          <w:tcPr>
            <w:tcW w:w="3803" w:type="pct"/>
          </w:tcPr>
          <w:p w:rsidR="001550F3" w:rsidRPr="00DE0D2E" w:rsidRDefault="001550F3" w:rsidP="00AF5D62">
            <w:pPr>
              <w:pStyle w:val="Textpoznpodarou"/>
              <w:jc w:val="both"/>
            </w:pPr>
            <w:r w:rsidRPr="00DE0D2E">
              <w:t>Stejně jako v 1. čtvrtletí se na meziročním růstu ekonomiky ČR již podílely pouze dva pilíře ze tří, které v loňském roce nejvíce podporovaly růst: spotřeba domácností a zahraniční poptávka. Ve 2. čtvrtletí 2016 domácí poptávku táhly už pouze výdaje na konečnou spotřebu domácností, podpořené dobrou situací na trhu práce, a výdaje vlády. Rostoucí zahraniční poptávka, resp. přebytek zahraničního obchodu byl</w:t>
            </w:r>
            <w:r>
              <w:t>y</w:t>
            </w:r>
            <w:r w:rsidRPr="00DE0D2E">
              <w:t xml:space="preserve"> ve 2. čtvrtletí nejvýznamnějším faktorem růstu ekonomiky.</w:t>
            </w:r>
            <w:r w:rsidRPr="00DE0D2E">
              <w:rPr>
                <w:vertAlign w:val="superscript"/>
              </w:rPr>
              <w:footnoteReference w:id="4"/>
            </w:r>
            <w:r w:rsidRPr="00DE0D2E">
              <w:t xml:space="preserve"> K růstu HDP o 2,6 % přispěla váhově významnější spotřeba domácností </w:t>
            </w:r>
            <w:r>
              <w:t>(</w:t>
            </w:r>
            <w:r w:rsidRPr="00DE0D2E">
              <w:t xml:space="preserve">0,8 </w:t>
            </w:r>
            <w:proofErr w:type="spellStart"/>
            <w:proofErr w:type="gramStart"/>
            <w:r w:rsidRPr="00DE0D2E">
              <w:t>p.b</w:t>
            </w:r>
            <w:proofErr w:type="spellEnd"/>
            <w:r w:rsidRPr="00DE0D2E">
              <w:t>.</w:t>
            </w:r>
            <w:r>
              <w:t>)</w:t>
            </w:r>
            <w:r w:rsidRPr="00DE0D2E">
              <w:t>, spotřeba</w:t>
            </w:r>
            <w:proofErr w:type="gramEnd"/>
            <w:r w:rsidRPr="00DE0D2E">
              <w:t xml:space="preserve"> vládních institucí přidala 0,5 </w:t>
            </w:r>
            <w:proofErr w:type="spellStart"/>
            <w:r w:rsidRPr="00DE0D2E">
              <w:t>p.b</w:t>
            </w:r>
            <w:proofErr w:type="spellEnd"/>
            <w:r w:rsidRPr="00DE0D2E">
              <w:t>. a zahraniční obchod 2,5 </w:t>
            </w:r>
            <w:proofErr w:type="spellStart"/>
            <w:r w:rsidRPr="00DE0D2E">
              <w:t>p.b</w:t>
            </w:r>
            <w:proofErr w:type="spellEnd"/>
            <w:r w:rsidRPr="00DE0D2E">
              <w:t xml:space="preserve">. </w:t>
            </w:r>
            <w:r>
              <w:t>Naopak</w:t>
            </w:r>
            <w:r w:rsidRPr="00DE0D2E">
              <w:t xml:space="preserve"> </w:t>
            </w:r>
            <w:r>
              <w:t>o</w:t>
            </w:r>
            <w:r w:rsidRPr="00DE0D2E">
              <w:t xml:space="preserve">chlazení celkové investiční aktivity (tvorby hrubého fixního kapitálu) vyvolané zejména poklesem investic sektoru vládních institucí se odrazilo v negativním vlivu této složky poptávky na HDP (-1,1 </w:t>
            </w:r>
            <w:proofErr w:type="spellStart"/>
            <w:proofErr w:type="gramStart"/>
            <w:r w:rsidRPr="00DE0D2E">
              <w:t>p.b</w:t>
            </w:r>
            <w:proofErr w:type="spellEnd"/>
            <w:r w:rsidRPr="00DE0D2E">
              <w:t>.)</w:t>
            </w:r>
            <w:r>
              <w:t>.</w:t>
            </w:r>
            <w:proofErr w:type="gramEnd"/>
            <w:r>
              <w:t xml:space="preserve"> Rostoucí spotřeba domácností byla zčásti uspokojována rostoucím dovozem, nicméně z větší části stimulovala domácí produkci než dovoz. </w:t>
            </w:r>
          </w:p>
          <w:p w:rsidR="001550F3" w:rsidRPr="00DD7C6D" w:rsidRDefault="001550F3" w:rsidP="00AF5D62">
            <w:pPr>
              <w:pStyle w:val="Textpoznpodarou"/>
              <w:jc w:val="both"/>
              <w:rPr>
                <w:sz w:val="16"/>
                <w:szCs w:val="16"/>
              </w:rPr>
            </w:pPr>
          </w:p>
        </w:tc>
      </w:tr>
      <w:tr w:rsidR="001550F3" w:rsidRPr="002A7D6D" w:rsidTr="00AF5D62">
        <w:tc>
          <w:tcPr>
            <w:tcW w:w="1054" w:type="pct"/>
          </w:tcPr>
          <w:p w:rsidR="001550F3" w:rsidRPr="001D5B78" w:rsidRDefault="001550F3" w:rsidP="00AF5D62">
            <w:pPr>
              <w:spacing w:line="240" w:lineRule="auto"/>
              <w:rPr>
                <w:sz w:val="16"/>
                <w:szCs w:val="16"/>
                <w:vertAlign w:val="superscript"/>
              </w:rPr>
            </w:pPr>
            <w:r w:rsidRPr="001D5B78">
              <w:rPr>
                <w:sz w:val="16"/>
                <w:szCs w:val="16"/>
              </w:rPr>
              <w:t>Meziroční růst spotřeby domácností byl i po silném minulém roce stále výz</w:t>
            </w:r>
            <w:r>
              <w:rPr>
                <w:sz w:val="16"/>
                <w:szCs w:val="16"/>
              </w:rPr>
              <w:t>n</w:t>
            </w:r>
            <w:r w:rsidRPr="001D5B78">
              <w:rPr>
                <w:sz w:val="16"/>
                <w:szCs w:val="16"/>
              </w:rPr>
              <w:t>a</w:t>
            </w:r>
            <w:r>
              <w:rPr>
                <w:sz w:val="16"/>
                <w:szCs w:val="16"/>
              </w:rPr>
              <w:t>m</w:t>
            </w:r>
            <w:r w:rsidRPr="001D5B78">
              <w:rPr>
                <w:sz w:val="16"/>
                <w:szCs w:val="16"/>
              </w:rPr>
              <w:t>ný</w:t>
            </w:r>
          </w:p>
        </w:tc>
        <w:tc>
          <w:tcPr>
            <w:tcW w:w="143" w:type="pct"/>
          </w:tcPr>
          <w:p w:rsidR="001550F3" w:rsidRPr="005E01FF" w:rsidRDefault="001550F3" w:rsidP="00AF5D62">
            <w:pPr>
              <w:pStyle w:val="Textpoznpodarou"/>
              <w:jc w:val="both"/>
            </w:pPr>
          </w:p>
        </w:tc>
        <w:tc>
          <w:tcPr>
            <w:tcW w:w="3803" w:type="pct"/>
          </w:tcPr>
          <w:p w:rsidR="001550F3" w:rsidRPr="001D5B78" w:rsidRDefault="001550F3" w:rsidP="00AF5D62">
            <w:pPr>
              <w:pStyle w:val="Textpoznpodarou"/>
              <w:jc w:val="both"/>
            </w:pPr>
            <w:r w:rsidRPr="001D5B78">
              <w:t>Pokračující meziroční růst spotřeby domácností, který v</w:t>
            </w:r>
            <w:r w:rsidR="00DD7435">
              <w:t xml:space="preserve">e </w:t>
            </w:r>
            <w:r w:rsidRPr="001D5B78">
              <w:t xml:space="preserve">2. čtvrtletí dosáhl 2,2 %, byl podpořen rostoucí průměrnou mzdou, rekordní zaměstnaností a samozřejmě i přetrvávající vysokou spotřebitelskou důvěrou. </w:t>
            </w:r>
            <w:r>
              <w:t xml:space="preserve">Z pohledu </w:t>
            </w:r>
            <w:proofErr w:type="spellStart"/>
            <w:r>
              <w:t>mezičtvrtletního</w:t>
            </w:r>
            <w:proofErr w:type="spellEnd"/>
            <w:r>
              <w:t xml:space="preserve"> vývoje lze konstatovat, že spotřeba domácností se drží stabilně na relativně vysoké úrovni 1. čtvrtletí. Oproti němu totiž sice vzrostla, ale pouze o 0,1 </w:t>
            </w:r>
            <w:proofErr w:type="spellStart"/>
            <w:proofErr w:type="gramStart"/>
            <w:r>
              <w:t>p.b</w:t>
            </w:r>
            <w:proofErr w:type="spellEnd"/>
            <w:r>
              <w:t>.</w:t>
            </w:r>
            <w:proofErr w:type="gramEnd"/>
            <w:r>
              <w:t xml:space="preserve"> </w:t>
            </w:r>
            <w:r>
              <w:rPr>
                <w:spacing w:val="-2"/>
              </w:rPr>
              <w:t>V úhrnu za celé 1. </w:t>
            </w:r>
            <w:r w:rsidRPr="001D5B78">
              <w:rPr>
                <w:spacing w:val="-2"/>
              </w:rPr>
              <w:t>pololetí 2016 byly výdaje na konečnou spotřebu domácností meziročně o</w:t>
            </w:r>
            <w:r>
              <w:rPr>
                <w:spacing w:val="-2"/>
              </w:rPr>
              <w:t> </w:t>
            </w:r>
            <w:r w:rsidRPr="001D5B78">
              <w:rPr>
                <w:spacing w:val="-2"/>
              </w:rPr>
              <w:t>2,4</w:t>
            </w:r>
            <w:r>
              <w:rPr>
                <w:spacing w:val="-2"/>
              </w:rPr>
              <w:t> </w:t>
            </w:r>
            <w:r w:rsidRPr="001D5B78">
              <w:rPr>
                <w:spacing w:val="-2"/>
              </w:rPr>
              <w:t>%</w:t>
            </w:r>
            <w:r>
              <w:rPr>
                <w:spacing w:val="-2"/>
              </w:rPr>
              <w:t xml:space="preserve"> vyšší</w:t>
            </w:r>
            <w:r w:rsidRPr="001D5B78">
              <w:rPr>
                <w:spacing w:val="-2"/>
              </w:rPr>
              <w:t>. V</w:t>
            </w:r>
            <w:r>
              <w:rPr>
                <w:spacing w:val="-2"/>
              </w:rPr>
              <w:t>ětší</w:t>
            </w:r>
            <w:r w:rsidRPr="001D5B78">
              <w:rPr>
                <w:spacing w:val="-2"/>
              </w:rPr>
              <w:t xml:space="preserve"> měrou se na tomto výsledku po</w:t>
            </w:r>
            <w:r>
              <w:rPr>
                <w:spacing w:val="-2"/>
              </w:rPr>
              <w:t xml:space="preserve">dílel vývoj v 1. čtvrtletí, </w:t>
            </w:r>
            <w:r>
              <w:rPr>
                <w:spacing w:val="-2"/>
              </w:rPr>
              <w:lastRenderedPageBreak/>
              <w:t>ve </w:t>
            </w:r>
            <w:r w:rsidRPr="001D5B78">
              <w:rPr>
                <w:spacing w:val="-2"/>
              </w:rPr>
              <w:t xml:space="preserve">kterém výdaje domácností stouply v meziročním srovnání o 2,7 %. Ochota domácností utrácet byla v 1. polovině roku příznivě ovlivněna reálně stoupající průměrnou mzdou a zvyšující se zaměstnaností. </w:t>
            </w:r>
            <w:r w:rsidRPr="001D5B78">
              <w:t>Celkový objem vyplacených mezd a platů</w:t>
            </w:r>
            <w:r w:rsidRPr="001D5B78">
              <w:rPr>
                <w:rStyle w:val="Znakapoznpodarou"/>
              </w:rPr>
              <w:footnoteReference w:id="5"/>
            </w:r>
            <w:r w:rsidRPr="001D5B78">
              <w:t xml:space="preserve"> byl vyšší v nominálním vyjádření ve 2. čtvrtletí o 5,4 %, reálně</w:t>
            </w:r>
            <w:r w:rsidRPr="001D5B78">
              <w:rPr>
                <w:vertAlign w:val="superscript"/>
              </w:rPr>
              <w:footnoteReference w:id="6"/>
            </w:r>
            <w:r w:rsidRPr="001D5B78">
              <w:t xml:space="preserve"> pak byl o 5,3 </w:t>
            </w:r>
            <w:r>
              <w:t xml:space="preserve">% </w:t>
            </w:r>
            <w:r w:rsidRPr="001D5B78">
              <w:t>vyšší. Potvrzuje se tak trend z</w:t>
            </w:r>
            <w:r>
              <w:t> </w:t>
            </w:r>
            <w:r w:rsidRPr="001D5B78">
              <w:t>1</w:t>
            </w:r>
            <w:r>
              <w:t>.</w:t>
            </w:r>
            <w:r w:rsidRPr="001D5B78">
              <w:t xml:space="preserve"> čtvrtletí, že začátek roku 2016 znamená nejsilnější navýšení mzdových prostředků od 3. čtvrtletí 2008, reálně dokonce od začátku roku 2007. Meziroční nárůst mzdových prostředků za celé 1.</w:t>
            </w:r>
            <w:r>
              <w:t> </w:t>
            </w:r>
            <w:r w:rsidRPr="001D5B78">
              <w:t>pololetí</w:t>
            </w:r>
            <w:r>
              <w:t xml:space="preserve"> se pohyboval kolem 5,7 %.</w:t>
            </w:r>
          </w:p>
          <w:p w:rsidR="001550F3" w:rsidRPr="00DD7C6D" w:rsidRDefault="001550F3" w:rsidP="00AF5D62">
            <w:pPr>
              <w:pStyle w:val="Textpoznpodarou"/>
              <w:jc w:val="both"/>
              <w:rPr>
                <w:sz w:val="16"/>
                <w:szCs w:val="16"/>
              </w:rPr>
            </w:pPr>
          </w:p>
        </w:tc>
      </w:tr>
      <w:tr w:rsidR="001550F3" w:rsidRPr="002A7D6D" w:rsidTr="00AF5D62">
        <w:tc>
          <w:tcPr>
            <w:tcW w:w="1054" w:type="pct"/>
          </w:tcPr>
          <w:p w:rsidR="001550F3" w:rsidRPr="008C78A9" w:rsidRDefault="001550F3" w:rsidP="00AF5D62">
            <w:pPr>
              <w:spacing w:line="240" w:lineRule="auto"/>
              <w:rPr>
                <w:sz w:val="16"/>
                <w:szCs w:val="16"/>
              </w:rPr>
            </w:pPr>
            <w:r w:rsidRPr="008C78A9">
              <w:rPr>
                <w:sz w:val="16"/>
                <w:szCs w:val="16"/>
              </w:rPr>
              <w:lastRenderedPageBreak/>
              <w:t>Meziroční dynamika výdajů na konečnou spotřebu vládních institucí zhruba na úrovni loňského roku</w:t>
            </w:r>
            <w:r>
              <w:rPr>
                <w:sz w:val="16"/>
                <w:szCs w:val="16"/>
              </w:rPr>
              <w:t>, stejně jako v 1. čtvrtletí</w:t>
            </w:r>
          </w:p>
        </w:tc>
        <w:tc>
          <w:tcPr>
            <w:tcW w:w="143" w:type="pct"/>
          </w:tcPr>
          <w:p w:rsidR="001550F3" w:rsidRPr="005E01FF" w:rsidRDefault="001550F3" w:rsidP="00AF5D62">
            <w:pPr>
              <w:pStyle w:val="Textpoznpodarou"/>
              <w:jc w:val="both"/>
            </w:pPr>
          </w:p>
        </w:tc>
        <w:tc>
          <w:tcPr>
            <w:tcW w:w="3803" w:type="pct"/>
          </w:tcPr>
          <w:p w:rsidR="001550F3" w:rsidRPr="00912949" w:rsidRDefault="001550F3" w:rsidP="00AF5D62">
            <w:pPr>
              <w:pStyle w:val="Textpoznpodarou"/>
              <w:jc w:val="both"/>
            </w:pPr>
            <w:r w:rsidRPr="00912949">
              <w:t>Výdaje na konečnou spotřebu vládních institucí zahrnující výdaje na individuální spotřebu (ze kterých mají užitek výhradně domácnosti) a kolektivní spotřebu (ze kterých mají prospěch všechny sektory) vzrostly ve 2. čtvrtletí letošního roku meziročně o 2,5 %</w:t>
            </w:r>
            <w:r>
              <w:t xml:space="preserve"> </w:t>
            </w:r>
            <w:r>
              <w:rPr>
                <w:lang w:eastAsia="ar-SA"/>
              </w:rPr>
              <w:t>–</w:t>
            </w:r>
            <w:r>
              <w:t xml:space="preserve"> </w:t>
            </w:r>
            <w:r w:rsidRPr="00912949">
              <w:t xml:space="preserve">stejně jako v předchozím čtvrtletí. </w:t>
            </w:r>
            <w:proofErr w:type="spellStart"/>
            <w:r>
              <w:t>Mezičtvrtletní</w:t>
            </w:r>
            <w:proofErr w:type="spellEnd"/>
            <w:r>
              <w:t xml:space="preserve"> růst byl mírně rychlejší než v 1. čtvrtletí, a to 0,8 %. Velmi podobný je i obrázek vývoje za celé pololetí. Meziročně za prvních šest měsíců vzrostla spotřeba vlády o 2,5 % </w:t>
            </w:r>
            <w:r>
              <w:br/>
              <w:t>a oproti druhé polovině roku 2015 o 0,8 %.</w:t>
            </w:r>
          </w:p>
          <w:p w:rsidR="001550F3" w:rsidRPr="00DD7C6D" w:rsidRDefault="001550F3" w:rsidP="00AF5D62">
            <w:pPr>
              <w:pStyle w:val="Textpoznpodarou"/>
              <w:jc w:val="both"/>
              <w:rPr>
                <w:sz w:val="16"/>
                <w:szCs w:val="16"/>
              </w:rPr>
            </w:pPr>
          </w:p>
        </w:tc>
      </w:tr>
      <w:tr w:rsidR="001550F3" w:rsidRPr="002A7D6D" w:rsidTr="00AF5D62">
        <w:tc>
          <w:tcPr>
            <w:tcW w:w="1054" w:type="pct"/>
          </w:tcPr>
          <w:p w:rsidR="001550F3" w:rsidRPr="005E0CA6" w:rsidRDefault="001550F3" w:rsidP="00AF5D62">
            <w:pPr>
              <w:spacing w:line="240" w:lineRule="auto"/>
              <w:rPr>
                <w:sz w:val="16"/>
                <w:szCs w:val="16"/>
              </w:rPr>
            </w:pPr>
            <w:proofErr w:type="spellStart"/>
            <w:r w:rsidRPr="005E0CA6">
              <w:rPr>
                <w:sz w:val="16"/>
                <w:szCs w:val="16"/>
              </w:rPr>
              <w:t>Mezičtvrtletní</w:t>
            </w:r>
            <w:proofErr w:type="spellEnd"/>
            <w:r w:rsidRPr="005E0CA6">
              <w:rPr>
                <w:sz w:val="16"/>
                <w:szCs w:val="16"/>
              </w:rPr>
              <w:t xml:space="preserve"> pokles investic podstatně zesílil. Investice klesaly nejen meziročně, ale i</w:t>
            </w:r>
            <w:r>
              <w:rPr>
                <w:sz w:val="16"/>
                <w:szCs w:val="16"/>
              </w:rPr>
              <w:t> </w:t>
            </w:r>
            <w:proofErr w:type="spellStart"/>
            <w:r w:rsidRPr="005E0CA6">
              <w:rPr>
                <w:sz w:val="16"/>
                <w:szCs w:val="16"/>
              </w:rPr>
              <w:t>mezičtvrtletně</w:t>
            </w:r>
            <w:proofErr w:type="spellEnd"/>
          </w:p>
        </w:tc>
        <w:tc>
          <w:tcPr>
            <w:tcW w:w="143" w:type="pct"/>
          </w:tcPr>
          <w:p w:rsidR="001550F3" w:rsidRPr="005E0CA6" w:rsidRDefault="001550F3" w:rsidP="00AF5D62">
            <w:pPr>
              <w:pStyle w:val="Textpoznpodarou"/>
              <w:jc w:val="both"/>
            </w:pPr>
          </w:p>
        </w:tc>
        <w:tc>
          <w:tcPr>
            <w:tcW w:w="3803" w:type="pct"/>
          </w:tcPr>
          <w:p w:rsidR="001550F3" w:rsidRPr="005E0CA6" w:rsidRDefault="001550F3" w:rsidP="00AF5D62">
            <w:pPr>
              <w:pStyle w:val="Textpoznpodarou"/>
              <w:jc w:val="both"/>
            </w:pPr>
            <w:r w:rsidRPr="005E0CA6">
              <w:t xml:space="preserve">V průběhu celého loňského roku se stimul v podobě dočerpávání </w:t>
            </w:r>
            <w:r>
              <w:t>evropských fondů</w:t>
            </w:r>
            <w:r w:rsidRPr="005E0CA6">
              <w:t xml:space="preserve"> z programového období 2007</w:t>
            </w:r>
            <w:r>
              <w:rPr>
                <w:lang w:eastAsia="ar-SA"/>
              </w:rPr>
              <w:t>–</w:t>
            </w:r>
            <w:r w:rsidRPr="005E0CA6">
              <w:t>2014 promítal v rostoucí meziroční dynamice investic, k</w:t>
            </w:r>
            <w:r>
              <w:t>terá</w:t>
            </w:r>
            <w:r w:rsidRPr="005E0CA6">
              <w:t xml:space="preserve"> dosáhla </w:t>
            </w:r>
            <w:r>
              <w:t>hodnoty</w:t>
            </w:r>
            <w:r w:rsidRPr="005E0CA6">
              <w:t xml:space="preserve"> 9,1 %. Investice </w:t>
            </w:r>
            <w:r>
              <w:t xml:space="preserve">v roce 2015 </w:t>
            </w:r>
            <w:r w:rsidRPr="005E0CA6">
              <w:t xml:space="preserve">rostly i </w:t>
            </w:r>
            <w:proofErr w:type="spellStart"/>
            <w:r w:rsidRPr="005E0CA6">
              <w:t>mezičtvrtletně</w:t>
            </w:r>
            <w:proofErr w:type="spellEnd"/>
            <w:r w:rsidRPr="005E0CA6">
              <w:t xml:space="preserve"> ve všech obdobích</w:t>
            </w:r>
            <w:r>
              <w:t xml:space="preserve">, byť </w:t>
            </w:r>
            <w:r w:rsidRPr="005E0CA6">
              <w:t xml:space="preserve">se </w:t>
            </w:r>
            <w:r>
              <w:t xml:space="preserve">růst postupně </w:t>
            </w:r>
            <w:r w:rsidRPr="005E0CA6">
              <w:t>vyčerpával</w:t>
            </w:r>
            <w:r>
              <w:t>.</w:t>
            </w:r>
            <w:r w:rsidRPr="005E0CA6">
              <w:t xml:space="preserve"> </w:t>
            </w:r>
            <w:r>
              <w:t xml:space="preserve">Lze tak konstatovat, že </w:t>
            </w:r>
            <w:r w:rsidRPr="005E0CA6">
              <w:t xml:space="preserve">vysoká investiční aktivita přetrvala v průběhu celého roku. </w:t>
            </w:r>
            <w:proofErr w:type="spellStart"/>
            <w:r w:rsidRPr="005E0CA6">
              <w:t>Mezičtvrtletní</w:t>
            </w:r>
            <w:proofErr w:type="spellEnd"/>
            <w:r w:rsidRPr="005E0CA6">
              <w:t xml:space="preserve"> pokles přišel až s 1. čtvrtletím 2016, </w:t>
            </w:r>
            <w:r>
              <w:t xml:space="preserve">byť </w:t>
            </w:r>
            <w:r w:rsidRPr="005E0CA6">
              <w:t xml:space="preserve">v porovnání se začátkem roku 2015 byla tvorba investic </w:t>
            </w:r>
            <w:r>
              <w:t xml:space="preserve">stále </w:t>
            </w:r>
            <w:r w:rsidRPr="005E0CA6">
              <w:t xml:space="preserve">vyšší (o 2,6 %). </w:t>
            </w:r>
            <w:r>
              <w:t>Ve</w:t>
            </w:r>
            <w:r w:rsidRPr="005E0CA6">
              <w:t xml:space="preserve"> 2. čtvrtletí se však již pokles investičních aktivit projevil jak </w:t>
            </w:r>
            <w:proofErr w:type="spellStart"/>
            <w:r w:rsidRPr="005E0CA6">
              <w:t>mezičtvrtletně</w:t>
            </w:r>
            <w:proofErr w:type="spellEnd"/>
            <w:r w:rsidRPr="005E0CA6">
              <w:t>, tak meziročně. Celkový vývoj byl do značné míry ovlivněn poklesem investic do ostatních budov a staveb, resp. vysokou srovnávací základnou roku 2015. Tvorba fixního kapitálu byla meziročně nižší o</w:t>
            </w:r>
            <w:r>
              <w:t> </w:t>
            </w:r>
            <w:r w:rsidRPr="005E0CA6">
              <w:t xml:space="preserve">4,4 %, </w:t>
            </w:r>
            <w:proofErr w:type="spellStart"/>
            <w:r w:rsidRPr="005E0CA6">
              <w:t>mezičtvrtletně</w:t>
            </w:r>
            <w:proofErr w:type="spellEnd"/>
            <w:r w:rsidRPr="005E0CA6">
              <w:t xml:space="preserve"> poklesla o 4,1 %. Rostoucí zásoby byly spojené zejména s</w:t>
            </w:r>
            <w:r>
              <w:t> </w:t>
            </w:r>
            <w:r w:rsidRPr="005E0CA6">
              <w:t>produkčními aktivitami, tj. se zásobami materiálu a</w:t>
            </w:r>
            <w:r>
              <w:t> </w:t>
            </w:r>
            <w:r w:rsidRPr="005E0CA6">
              <w:t xml:space="preserve">nedokončené výroby. </w:t>
            </w:r>
          </w:p>
          <w:p w:rsidR="001550F3" w:rsidRPr="00DD7C6D" w:rsidRDefault="001550F3" w:rsidP="00AF5D62">
            <w:pPr>
              <w:pStyle w:val="Textpoznpodarou"/>
              <w:jc w:val="both"/>
              <w:rPr>
                <w:sz w:val="16"/>
                <w:szCs w:val="16"/>
              </w:rPr>
            </w:pPr>
          </w:p>
        </w:tc>
      </w:tr>
      <w:tr w:rsidR="001550F3" w:rsidRPr="002A7D6D" w:rsidTr="00AF5D62">
        <w:tc>
          <w:tcPr>
            <w:tcW w:w="1054" w:type="pct"/>
          </w:tcPr>
          <w:p w:rsidR="001550F3" w:rsidRDefault="001550F3" w:rsidP="00AF5D62">
            <w:pPr>
              <w:spacing w:line="240" w:lineRule="auto"/>
              <w:rPr>
                <w:sz w:val="16"/>
                <w:szCs w:val="16"/>
              </w:rPr>
            </w:pPr>
            <w:r w:rsidRPr="008B77CC">
              <w:rPr>
                <w:sz w:val="16"/>
                <w:szCs w:val="16"/>
              </w:rPr>
              <w:t>Hlavním důvodem poklesu celkového objemu investic byly nízké investice do ostatních budov a staveb, jejichž růst byl v minulém roce podpořen prostředky z</w:t>
            </w:r>
            <w:r>
              <w:rPr>
                <w:sz w:val="16"/>
                <w:szCs w:val="16"/>
              </w:rPr>
              <w:t> </w:t>
            </w:r>
            <w:r w:rsidRPr="008B77CC">
              <w:rPr>
                <w:sz w:val="16"/>
                <w:szCs w:val="16"/>
              </w:rPr>
              <w:t>programov</w:t>
            </w:r>
            <w:r>
              <w:rPr>
                <w:sz w:val="16"/>
                <w:szCs w:val="16"/>
              </w:rPr>
              <w:t xml:space="preserve">ého </w:t>
            </w:r>
            <w:r w:rsidRPr="008B77CC">
              <w:rPr>
                <w:sz w:val="16"/>
                <w:szCs w:val="16"/>
              </w:rPr>
              <w:t>období 2007</w:t>
            </w:r>
            <w:r>
              <w:rPr>
                <w:lang w:eastAsia="ar-SA"/>
              </w:rPr>
              <w:t>–</w:t>
            </w:r>
            <w:r w:rsidRPr="008B77CC">
              <w:rPr>
                <w:sz w:val="16"/>
                <w:szCs w:val="16"/>
              </w:rPr>
              <w:t>2014</w:t>
            </w:r>
          </w:p>
        </w:tc>
        <w:tc>
          <w:tcPr>
            <w:tcW w:w="143" w:type="pct"/>
          </w:tcPr>
          <w:p w:rsidR="001550F3" w:rsidRPr="005E01FF" w:rsidRDefault="001550F3" w:rsidP="00AF5D62">
            <w:pPr>
              <w:pStyle w:val="Textpoznpodarou"/>
              <w:jc w:val="both"/>
            </w:pPr>
          </w:p>
        </w:tc>
        <w:tc>
          <w:tcPr>
            <w:tcW w:w="3803" w:type="pct"/>
          </w:tcPr>
          <w:p w:rsidR="001550F3" w:rsidRPr="008B29A0" w:rsidRDefault="001550F3" w:rsidP="00AF5D62">
            <w:pPr>
              <w:pStyle w:val="Textpoznpodarou"/>
              <w:jc w:val="both"/>
            </w:pPr>
            <w:r w:rsidRPr="008B29A0">
              <w:t>Podle věcného členění tvorby hrubého fixního kapitálu (bez očištění o sezónní a kalendářní vlivy) stouply ve 2. čtvrtletí letošního roku v meziročním srovnání pouze investice do obydlí (o 2,5 %)</w:t>
            </w:r>
            <w:r>
              <w:t>,</w:t>
            </w:r>
            <w:r w:rsidRPr="008B29A0">
              <w:t xml:space="preserve"> reflektující nízké náklady financování rezidentských nemovitostí úvěry</w:t>
            </w:r>
            <w:r>
              <w:t>,</w:t>
            </w:r>
            <w:r w:rsidRPr="008B29A0">
              <w:t xml:space="preserve"> a investice do dopravních prostředků a zařízení (6,6 %)</w:t>
            </w:r>
            <w:r>
              <w:t>,</w:t>
            </w:r>
            <w:r w:rsidRPr="008B29A0">
              <w:t xml:space="preserve"> související s obnovou a rozšiřováním firemního vozového parku. Nákupy váhově nejvýznamnějších ICT, ostatních strojů a zařízení mírně klesaly, což může být částečně spojeno s tím, že nejen ostatní budovy a stavby, ale i jiná aktiva byla v loňském roce navázána na </w:t>
            </w:r>
            <w:r>
              <w:t xml:space="preserve">konec </w:t>
            </w:r>
            <w:r w:rsidRPr="008B29A0">
              <w:t>programov</w:t>
            </w:r>
            <w:r>
              <w:t>ého</w:t>
            </w:r>
            <w:r w:rsidRPr="008B29A0">
              <w:t xml:space="preserve"> období. Investice do ostatních budov a staveb, které byly v loňském roce významně podpořeny investičními dotacemi z fondů EU, v meziročním srovnání poklesly o 18,4 %.</w:t>
            </w:r>
          </w:p>
          <w:p w:rsidR="001550F3" w:rsidRPr="00DD7C6D" w:rsidRDefault="001550F3" w:rsidP="00AF5D62">
            <w:pPr>
              <w:pStyle w:val="Textpoznpodarou"/>
              <w:jc w:val="both"/>
              <w:rPr>
                <w:spacing w:val="-2"/>
                <w:sz w:val="16"/>
                <w:szCs w:val="16"/>
              </w:rPr>
            </w:pPr>
          </w:p>
        </w:tc>
      </w:tr>
      <w:tr w:rsidR="001550F3" w:rsidRPr="002A7D6D" w:rsidTr="00AF5D62">
        <w:tc>
          <w:tcPr>
            <w:tcW w:w="1054" w:type="pct"/>
          </w:tcPr>
          <w:p w:rsidR="001550F3" w:rsidRPr="008F40C7" w:rsidRDefault="001550F3" w:rsidP="00AF5D62">
            <w:pPr>
              <w:spacing w:line="240" w:lineRule="auto"/>
              <w:rPr>
                <w:spacing w:val="-4"/>
                <w:sz w:val="16"/>
                <w:szCs w:val="16"/>
              </w:rPr>
            </w:pPr>
            <w:r w:rsidRPr="008F40C7">
              <w:rPr>
                <w:sz w:val="16"/>
                <w:szCs w:val="16"/>
              </w:rPr>
              <w:t>Vyšší meziroční růst vývozu (5,7 %) oproti dovozu (3,1 %) ve spojení s kladnými směnnými</w:t>
            </w:r>
            <w:r w:rsidRPr="008F40C7">
              <w:rPr>
                <w:spacing w:val="-4"/>
                <w:sz w:val="16"/>
                <w:szCs w:val="16"/>
              </w:rPr>
              <w:t xml:space="preserve"> relacemi vedly k vysokému přebytku </w:t>
            </w:r>
            <w:r w:rsidRPr="008F40C7">
              <w:rPr>
                <w:sz w:val="16"/>
                <w:szCs w:val="16"/>
              </w:rPr>
              <w:t>zahraničního obchodu</w:t>
            </w:r>
          </w:p>
        </w:tc>
        <w:tc>
          <w:tcPr>
            <w:tcW w:w="143" w:type="pct"/>
          </w:tcPr>
          <w:p w:rsidR="001550F3" w:rsidRPr="005E01FF" w:rsidRDefault="001550F3" w:rsidP="00AF5D62">
            <w:pPr>
              <w:pStyle w:val="Textpoznpodarou"/>
              <w:jc w:val="both"/>
            </w:pPr>
          </w:p>
        </w:tc>
        <w:tc>
          <w:tcPr>
            <w:tcW w:w="3803" w:type="pct"/>
          </w:tcPr>
          <w:p w:rsidR="001550F3" w:rsidRPr="00622E07" w:rsidRDefault="001550F3" w:rsidP="00AF5D62">
            <w:pPr>
              <w:pStyle w:val="Textpoznpodarou"/>
              <w:jc w:val="both"/>
            </w:pPr>
            <w:r w:rsidRPr="00622E07">
              <w:t xml:space="preserve">Z pohledu zahraničního obchodu byla česká ekonomika ve 2. čtvrtletí velmi úspěšná. Saldo zahraničního obchodu v běžných cenách (94,2 mld. </w:t>
            </w:r>
            <w:r>
              <w:t>Kč</w:t>
            </w:r>
            <w:r w:rsidRPr="00622E07">
              <w:t xml:space="preserve">) bylo ve 2. čtvrtletí meziročně vyšší o 34,2 mld. </w:t>
            </w:r>
            <w:r>
              <w:t>Kč</w:t>
            </w:r>
            <w:r w:rsidRPr="00622E07">
              <w:t>. Na rekordním saldu zahraničního obchodu se podílel jak obchod se zbožím, tak se službami. V obou případech růst vývozu značně předbíhal růst dovozu. Vývoz, který vzrostl meziročně reálně o 5,7 %, byl tažen ve zboží zejména obchodem s dopravními prostředky a ve službách např. poz</w:t>
            </w:r>
            <w:r>
              <w:t>emní dopravou či informačními a </w:t>
            </w:r>
            <w:r w:rsidRPr="00622E07">
              <w:t xml:space="preserve">komunikačními činnostmi. Na růstu dovozu o 3,1 % se významně podílely subdodávky pro automobilový průmysl a výrobu elektrických přístrojů a zařízení. Z pohledu celého 1. pololetí je přebytek zahraničního obchodu rovněž rekordní. Nikdy v historii ČR zatím nebyl přínos zahraničního obchodu pro českou ekonomiku </w:t>
            </w:r>
            <w:r>
              <w:t xml:space="preserve">v podobě kladného salda </w:t>
            </w:r>
            <w:r w:rsidRPr="00622E07">
              <w:t xml:space="preserve">tak velký, jako na začátku letošního roku. Pozitivní vliv na zahraniční obchod </w:t>
            </w:r>
            <w:r>
              <w:t>měly</w:t>
            </w:r>
            <w:r w:rsidRPr="00622E07">
              <w:t xml:space="preserve"> také kladné směnné relace, neboť ceny dovozu meziročně stále klesa</w:t>
            </w:r>
            <w:r>
              <w:t>ly</w:t>
            </w:r>
            <w:r w:rsidRPr="00622E07">
              <w:t xml:space="preserve"> rychleji než ceny vývozu. </w:t>
            </w:r>
            <w:proofErr w:type="spellStart"/>
            <w:r w:rsidRPr="00622E07">
              <w:t>Mezi</w:t>
            </w:r>
            <w:r>
              <w:t>čtvrt</w:t>
            </w:r>
            <w:r w:rsidRPr="00622E07">
              <w:t>letně</w:t>
            </w:r>
            <w:proofErr w:type="spellEnd"/>
            <w:r w:rsidRPr="00622E07">
              <w:t xml:space="preserve"> se však tento jev již začal obracet a</w:t>
            </w:r>
            <w:r>
              <w:t> </w:t>
            </w:r>
            <w:r w:rsidRPr="00622E07">
              <w:t xml:space="preserve">zejména z důvodu </w:t>
            </w:r>
            <w:proofErr w:type="spellStart"/>
            <w:r w:rsidRPr="00622E07">
              <w:t>mezičtvrtletního</w:t>
            </w:r>
            <w:proofErr w:type="spellEnd"/>
            <w:r w:rsidRPr="00622E07">
              <w:t xml:space="preserve"> růstu cen ropy klesaly ceny dovozu pomaleji než ceny vývozu. </w:t>
            </w:r>
          </w:p>
          <w:p w:rsidR="001550F3" w:rsidRPr="00DD7C6D" w:rsidRDefault="001550F3" w:rsidP="00AF5D62">
            <w:pPr>
              <w:pStyle w:val="Textpoznpodarou"/>
              <w:jc w:val="both"/>
              <w:rPr>
                <w:sz w:val="16"/>
                <w:szCs w:val="16"/>
              </w:rPr>
            </w:pPr>
          </w:p>
        </w:tc>
      </w:tr>
      <w:tr w:rsidR="001550F3" w:rsidRPr="002A7D6D" w:rsidTr="00AF5D62">
        <w:tc>
          <w:tcPr>
            <w:tcW w:w="1054" w:type="pct"/>
          </w:tcPr>
          <w:p w:rsidR="001550F3" w:rsidRPr="000D7357" w:rsidRDefault="001550F3" w:rsidP="00AF5D62">
            <w:pPr>
              <w:spacing w:line="240" w:lineRule="auto"/>
              <w:rPr>
                <w:sz w:val="16"/>
                <w:szCs w:val="16"/>
              </w:rPr>
            </w:pPr>
            <w:r w:rsidRPr="00000557">
              <w:rPr>
                <w:sz w:val="16"/>
                <w:szCs w:val="16"/>
              </w:rPr>
              <w:t>Reálný hrubý domácí důchod</w:t>
            </w:r>
            <w:r w:rsidRPr="00000557" w:rsidDel="00000557">
              <w:rPr>
                <w:sz w:val="16"/>
                <w:szCs w:val="16"/>
              </w:rPr>
              <w:t xml:space="preserve"> </w:t>
            </w:r>
            <w:r w:rsidRPr="000D7357">
              <w:rPr>
                <w:sz w:val="16"/>
                <w:szCs w:val="16"/>
              </w:rPr>
              <w:t>vzrostl o 4,3 %</w:t>
            </w:r>
          </w:p>
        </w:tc>
        <w:tc>
          <w:tcPr>
            <w:tcW w:w="143" w:type="pct"/>
          </w:tcPr>
          <w:p w:rsidR="001550F3" w:rsidRPr="000D7357" w:rsidRDefault="001550F3" w:rsidP="00AF5D62">
            <w:pPr>
              <w:pStyle w:val="Textpoznpodarou"/>
              <w:jc w:val="both"/>
            </w:pPr>
          </w:p>
        </w:tc>
        <w:tc>
          <w:tcPr>
            <w:tcW w:w="3803" w:type="pct"/>
          </w:tcPr>
          <w:p w:rsidR="001550F3" w:rsidRPr="000D7357" w:rsidRDefault="001550F3" w:rsidP="00AF5D62">
            <w:pPr>
              <w:pStyle w:val="Textpoznpodarou"/>
              <w:jc w:val="both"/>
            </w:pPr>
            <w:r w:rsidRPr="000D7357">
              <w:t xml:space="preserve">Reálný hrubý domácí důchod (RHDD), který na rozdíl od HDP zohledňuje dodatečné zisky, nebo ztráty z vývoje cen v zahraničním obchodu, resp. zisky, </w:t>
            </w:r>
            <w:r w:rsidRPr="000D7357">
              <w:lastRenderedPageBreak/>
              <w:t xml:space="preserve">nebo ztráty ze směnných relací, vzrostl ve 2. čtvrtletí 2016 meziročně o 4,3 % (bez očištění o sezónní a kalendářní vlivy). </w:t>
            </w:r>
          </w:p>
          <w:p w:rsidR="001550F3" w:rsidRPr="00DD7C6D" w:rsidRDefault="001550F3" w:rsidP="00AF5D62">
            <w:pPr>
              <w:pStyle w:val="Textpoznpodarou"/>
              <w:jc w:val="both"/>
              <w:rPr>
                <w:sz w:val="16"/>
                <w:szCs w:val="16"/>
              </w:rPr>
            </w:pPr>
          </w:p>
        </w:tc>
      </w:tr>
      <w:tr w:rsidR="001550F3" w:rsidRPr="002A7D6D" w:rsidTr="00AF5D62">
        <w:tc>
          <w:tcPr>
            <w:tcW w:w="1054" w:type="pct"/>
          </w:tcPr>
          <w:p w:rsidR="001550F3" w:rsidRPr="002864C8" w:rsidRDefault="001550F3" w:rsidP="00AF5D62">
            <w:pPr>
              <w:spacing w:line="240" w:lineRule="auto"/>
              <w:rPr>
                <w:sz w:val="16"/>
                <w:szCs w:val="16"/>
              </w:rPr>
            </w:pPr>
            <w:r w:rsidRPr="002864C8">
              <w:rPr>
                <w:sz w:val="16"/>
                <w:szCs w:val="16"/>
              </w:rPr>
              <w:lastRenderedPageBreak/>
              <w:t>Z hlediska strany nabídky se na meziročním růstu ekonomiky ve 2. čtvrtletí 2016 podílel především zpracovatelský průmysl, výrazně</w:t>
            </w:r>
            <w:r>
              <w:rPr>
                <w:sz w:val="16"/>
                <w:szCs w:val="16"/>
              </w:rPr>
              <w:t xml:space="preserve"> na něm participovaly i služby,</w:t>
            </w:r>
            <w:r w:rsidRPr="002864C8">
              <w:rPr>
                <w:sz w:val="16"/>
                <w:szCs w:val="16"/>
              </w:rPr>
              <w:t>…</w:t>
            </w:r>
          </w:p>
        </w:tc>
        <w:tc>
          <w:tcPr>
            <w:tcW w:w="143" w:type="pct"/>
          </w:tcPr>
          <w:p w:rsidR="001550F3" w:rsidRPr="005E01FF" w:rsidRDefault="001550F3" w:rsidP="00AF5D62">
            <w:pPr>
              <w:pStyle w:val="Textpoznpodarou"/>
              <w:jc w:val="both"/>
            </w:pPr>
          </w:p>
        </w:tc>
        <w:tc>
          <w:tcPr>
            <w:tcW w:w="3803" w:type="pct"/>
          </w:tcPr>
          <w:p w:rsidR="001550F3" w:rsidRPr="002864C8" w:rsidRDefault="001550F3" w:rsidP="00AF5D62">
            <w:pPr>
              <w:pStyle w:val="Textpoznpodarou"/>
              <w:jc w:val="both"/>
            </w:pPr>
            <w:r w:rsidRPr="002864C8">
              <w:t>Na meziročním růstu ekonomiky se z hlediska strany nabídky podílela ve 2. čtvrtletí, stejně jako v 1. čtvrtletí, většina hlavních odvětví. Dominantní pozici si uchoval zpracovatelský průmysl, jehož hrubá přidaná hodnota narostla o 4,8 % a přispěla k celkovému růstu 1,3 </w:t>
            </w:r>
            <w:proofErr w:type="spellStart"/>
            <w:proofErr w:type="gramStart"/>
            <w:r w:rsidRPr="002864C8">
              <w:t>p.b</w:t>
            </w:r>
            <w:proofErr w:type="spellEnd"/>
            <w:r w:rsidRPr="002864C8">
              <w:t>.</w:t>
            </w:r>
            <w:proofErr w:type="gramEnd"/>
            <w:r w:rsidRPr="002864C8">
              <w:t xml:space="preserve"> V rámci odvětví služeb se z hlediska dynamiky dařilo v</w:t>
            </w:r>
            <w:r w:rsidR="00DD7435">
              <w:t>ětšině odvětví. Uskupení obchod, doprava</w:t>
            </w:r>
            <w:r w:rsidRPr="002864C8">
              <w:t>, ubytování a pohostinství vzrostlo o 2,5 %, peněžnictví a pojišťovn</w:t>
            </w:r>
            <w:r w:rsidR="00DD7435">
              <w:t xml:space="preserve">ictví o 3,8 %, profesní, </w:t>
            </w:r>
            <w:r w:rsidR="00DD7435" w:rsidRPr="00DD7435">
              <w:t>vědecké, technické a administrativní činnosti</w:t>
            </w:r>
            <w:r w:rsidRPr="002864C8">
              <w:t xml:space="preserve"> </w:t>
            </w:r>
            <w:r w:rsidR="00DD7435">
              <w:t xml:space="preserve">o </w:t>
            </w:r>
            <w:r w:rsidRPr="002864C8">
              <w:t xml:space="preserve">3,4 </w:t>
            </w:r>
            <w:r>
              <w:t xml:space="preserve">% </w:t>
            </w:r>
            <w:r w:rsidRPr="002864C8">
              <w:t xml:space="preserve">a činnosti v oblasti nemovitostí o 2,1 %. </w:t>
            </w:r>
            <w:r w:rsidRPr="00C23BE2">
              <w:t>Zemědělství, lesnictví a</w:t>
            </w:r>
            <w:r>
              <w:t> </w:t>
            </w:r>
            <w:r w:rsidRPr="00C23BE2">
              <w:t>rybářství vzrostlo o 5,6 %.</w:t>
            </w:r>
          </w:p>
          <w:p w:rsidR="001550F3" w:rsidRPr="00DD7C6D" w:rsidRDefault="001550F3" w:rsidP="00AF5D62">
            <w:pPr>
              <w:pStyle w:val="Textpoznpodarou"/>
              <w:jc w:val="both"/>
              <w:rPr>
                <w:spacing w:val="-4"/>
                <w:sz w:val="16"/>
                <w:szCs w:val="16"/>
              </w:rPr>
            </w:pPr>
          </w:p>
        </w:tc>
      </w:tr>
      <w:tr w:rsidR="001550F3" w:rsidRPr="002A7D6D" w:rsidTr="00AF5D62">
        <w:tc>
          <w:tcPr>
            <w:tcW w:w="1054" w:type="pct"/>
          </w:tcPr>
          <w:p w:rsidR="001550F3" w:rsidRDefault="001550F3" w:rsidP="00AF5D62">
            <w:pPr>
              <w:spacing w:line="240" w:lineRule="auto"/>
              <w:rPr>
                <w:sz w:val="16"/>
                <w:szCs w:val="16"/>
              </w:rPr>
            </w:pPr>
            <w:r w:rsidRPr="002864C8">
              <w:rPr>
                <w:sz w:val="16"/>
                <w:szCs w:val="16"/>
              </w:rPr>
              <w:t xml:space="preserve">… stavebnictví však </w:t>
            </w:r>
            <w:r>
              <w:rPr>
                <w:sz w:val="16"/>
                <w:szCs w:val="16"/>
              </w:rPr>
              <w:t>vykazovalo</w:t>
            </w:r>
            <w:r w:rsidR="00DD7435">
              <w:rPr>
                <w:sz w:val="16"/>
                <w:szCs w:val="16"/>
              </w:rPr>
              <w:t xml:space="preserve"> v porovnání s</w:t>
            </w:r>
            <w:r w:rsidR="00DD7435" w:rsidRPr="002864C8">
              <w:rPr>
                <w:sz w:val="16"/>
                <w:szCs w:val="16"/>
              </w:rPr>
              <w:t> </w:t>
            </w:r>
            <w:r w:rsidRPr="002864C8">
              <w:rPr>
                <w:sz w:val="16"/>
                <w:szCs w:val="16"/>
              </w:rPr>
              <w:t xml:space="preserve">mimořádným rokem 2015 </w:t>
            </w:r>
            <w:r>
              <w:rPr>
                <w:sz w:val="16"/>
                <w:szCs w:val="16"/>
              </w:rPr>
              <w:t>pokles</w:t>
            </w:r>
          </w:p>
        </w:tc>
        <w:tc>
          <w:tcPr>
            <w:tcW w:w="143" w:type="pct"/>
          </w:tcPr>
          <w:p w:rsidR="001550F3" w:rsidRPr="005E01FF" w:rsidRDefault="001550F3" w:rsidP="00AF5D62">
            <w:pPr>
              <w:pStyle w:val="Textpoznpodarou"/>
              <w:jc w:val="both"/>
            </w:pPr>
          </w:p>
        </w:tc>
        <w:tc>
          <w:tcPr>
            <w:tcW w:w="3803" w:type="pct"/>
          </w:tcPr>
          <w:p w:rsidR="001550F3" w:rsidRDefault="001550F3" w:rsidP="00AF5D62">
            <w:pPr>
              <w:pStyle w:val="Textpoznpodarou"/>
              <w:jc w:val="both"/>
            </w:pPr>
            <w:r w:rsidRPr="00C23BE2">
              <w:t>Nižší investice do ostatních budov a staveb oproti loňskému roku, který byl posílen mimořádným dočerpáváním prostředků z</w:t>
            </w:r>
            <w:r>
              <w:t> </w:t>
            </w:r>
            <w:r w:rsidRPr="00C23BE2">
              <w:t>programo</w:t>
            </w:r>
            <w:r>
              <w:t xml:space="preserve">vého </w:t>
            </w:r>
            <w:r w:rsidRPr="00C23BE2">
              <w:t>období 2007</w:t>
            </w:r>
            <w:r>
              <w:rPr>
                <w:lang w:eastAsia="ar-SA"/>
              </w:rPr>
              <w:t xml:space="preserve"> až </w:t>
            </w:r>
            <w:r w:rsidRPr="00C23BE2">
              <w:t>2014, se odrazil</w:t>
            </w:r>
            <w:r w:rsidR="00DD7435">
              <w:t>y</w:t>
            </w:r>
            <w:r w:rsidRPr="00C23BE2">
              <w:t xml:space="preserve"> ve výrazném meziročním i </w:t>
            </w:r>
            <w:proofErr w:type="spellStart"/>
            <w:r w:rsidRPr="00C23BE2">
              <w:t>mezičtvrtletním</w:t>
            </w:r>
            <w:proofErr w:type="spellEnd"/>
            <w:r w:rsidRPr="00C23BE2">
              <w:t xml:space="preserve"> poklesu hrubé přidané hodnoty stavebnictví (o -5,5 %</w:t>
            </w:r>
            <w:r>
              <w:t>, resp. 5,7 %</w:t>
            </w:r>
            <w:r w:rsidRPr="00C23BE2">
              <w:t xml:space="preserve"> ve 2. čtvrtletí). </w:t>
            </w:r>
          </w:p>
        </w:tc>
      </w:tr>
    </w:tbl>
    <w:p w:rsidR="001550F3" w:rsidRPr="007A4048" w:rsidRDefault="001550F3" w:rsidP="001550F3">
      <w:pPr>
        <w:pStyle w:val="Textpoznpodarou"/>
        <w:jc w:val="both"/>
        <w:rPr>
          <w:sz w:val="18"/>
          <w:szCs w:val="18"/>
        </w:rPr>
      </w:pPr>
    </w:p>
    <w:tbl>
      <w:tblPr>
        <w:tblW w:w="5000" w:type="pct"/>
        <w:tblLook w:val="04A0"/>
      </w:tblPr>
      <w:tblGrid>
        <w:gridCol w:w="1048"/>
        <w:gridCol w:w="3871"/>
        <w:gridCol w:w="623"/>
        <w:gridCol w:w="4312"/>
      </w:tblGrid>
      <w:tr w:rsidR="001550F3" w:rsidRPr="006133A2" w:rsidTr="00AF5D62">
        <w:tc>
          <w:tcPr>
            <w:tcW w:w="532" w:type="pct"/>
          </w:tcPr>
          <w:p w:rsidR="001550F3" w:rsidRPr="00E67C19" w:rsidRDefault="001550F3" w:rsidP="00AF5D62">
            <w:pPr>
              <w:pStyle w:val="Textpoznpodarou"/>
              <w:rPr>
                <w:lang w:eastAsia="en-US"/>
              </w:rPr>
            </w:pPr>
            <w:r w:rsidRPr="00E67C19">
              <w:rPr>
                <w:lang w:eastAsia="en-US"/>
              </w:rPr>
              <w:t>Graf č. 1</w:t>
            </w:r>
          </w:p>
        </w:tc>
        <w:tc>
          <w:tcPr>
            <w:tcW w:w="1964" w:type="pct"/>
          </w:tcPr>
          <w:p w:rsidR="001550F3" w:rsidRPr="00E67C19" w:rsidRDefault="001550F3" w:rsidP="00AF5D62">
            <w:pPr>
              <w:pStyle w:val="Textpoznpodarou"/>
              <w:rPr>
                <w:lang w:eastAsia="en-US"/>
              </w:rPr>
            </w:pPr>
            <w:r w:rsidRPr="00D40A93">
              <w:rPr>
                <w:b/>
                <w:lang w:eastAsia="en-US"/>
              </w:rPr>
              <w:t xml:space="preserve">HDP </w:t>
            </w:r>
            <w:r w:rsidRPr="00D40A93">
              <w:rPr>
                <w:lang w:eastAsia="en-US"/>
              </w:rPr>
              <w:t>(stálé ceny, očištěno o sezónní a kalendářní vlivy, v %)</w:t>
            </w:r>
          </w:p>
        </w:tc>
        <w:tc>
          <w:tcPr>
            <w:tcW w:w="316" w:type="pct"/>
          </w:tcPr>
          <w:p w:rsidR="001550F3" w:rsidRPr="005E01FF" w:rsidRDefault="001550F3" w:rsidP="00AF5D62">
            <w:pPr>
              <w:pStyle w:val="Textpoznpodarou"/>
              <w:rPr>
                <w:lang w:eastAsia="en-US"/>
              </w:rPr>
            </w:pPr>
            <w:r w:rsidRPr="005E01FF">
              <w:rPr>
                <w:lang w:eastAsia="en-US"/>
              </w:rPr>
              <w:t>Graf č. 2</w:t>
            </w:r>
          </w:p>
        </w:tc>
        <w:tc>
          <w:tcPr>
            <w:tcW w:w="2188" w:type="pct"/>
          </w:tcPr>
          <w:p w:rsidR="001550F3" w:rsidRPr="005E01FF" w:rsidRDefault="001550F3" w:rsidP="00AF5D62">
            <w:pPr>
              <w:pStyle w:val="Textpoznpodarou"/>
              <w:rPr>
                <w:spacing w:val="-2"/>
                <w:lang w:eastAsia="en-US"/>
              </w:rPr>
            </w:pPr>
            <w:r w:rsidRPr="005E01FF">
              <w:rPr>
                <w:b/>
                <w:spacing w:val="-2"/>
                <w:lang w:eastAsia="en-US"/>
              </w:rPr>
              <w:t xml:space="preserve">HDP </w:t>
            </w:r>
            <w:r w:rsidRPr="005E01FF">
              <w:rPr>
                <w:spacing w:val="-2"/>
                <w:lang w:eastAsia="en-US"/>
              </w:rPr>
              <w:t xml:space="preserve">(stálé ceny, očištěno o sezónní a kalendářní vlivy, y/y v %, pravá osa) </w:t>
            </w:r>
            <w:r w:rsidRPr="005E01FF">
              <w:rPr>
                <w:b/>
                <w:spacing w:val="-2"/>
                <w:lang w:eastAsia="en-US"/>
              </w:rPr>
              <w:t>a indikátory důvěry</w:t>
            </w:r>
            <w:r w:rsidRPr="005E01FF">
              <w:rPr>
                <w:spacing w:val="-2"/>
                <w:lang w:eastAsia="en-US"/>
              </w:rPr>
              <w:t xml:space="preserve"> (2005=100, levá osa)</w:t>
            </w:r>
          </w:p>
        </w:tc>
      </w:tr>
      <w:tr w:rsidR="001550F3" w:rsidRPr="006133A2" w:rsidTr="00AF5D62">
        <w:tblPrEx>
          <w:tblCellMar>
            <w:left w:w="70" w:type="dxa"/>
            <w:right w:w="70" w:type="dxa"/>
          </w:tblCellMar>
        </w:tblPrEx>
        <w:tc>
          <w:tcPr>
            <w:tcW w:w="2495" w:type="pct"/>
            <w:gridSpan w:val="2"/>
          </w:tcPr>
          <w:p w:rsidR="001550F3" w:rsidRPr="00960769" w:rsidRDefault="00CE797F" w:rsidP="00AF5D62">
            <w:pPr>
              <w:pStyle w:val="Textpoznpodarou"/>
              <w:jc w:val="both"/>
              <w:rPr>
                <w:color w:val="FF0000"/>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236.4pt;height:191.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">
                  <v:imagedata r:id="rId13" o:title=""/>
                  <o:lock v:ext="edit" aspectratio="f"/>
                </v:shape>
              </w:pict>
            </w:r>
          </w:p>
        </w:tc>
        <w:tc>
          <w:tcPr>
            <w:tcW w:w="2505" w:type="pct"/>
            <w:gridSpan w:val="2"/>
          </w:tcPr>
          <w:p w:rsidR="001550F3" w:rsidRPr="00960769" w:rsidRDefault="00CE797F" w:rsidP="00AF5D62">
            <w:pPr>
              <w:pStyle w:val="Textpoznpodarou"/>
              <w:jc w:val="both"/>
              <w:rPr>
                <w:color w:val="FF0000"/>
                <w:lang w:eastAsia="en-US"/>
              </w:rPr>
            </w:pPr>
            <w:r w:rsidRPr="00C20B1C">
              <w:rPr>
                <w:noProof/>
                <w:color w:val="FF0000"/>
              </w:rPr>
              <w:pict>
                <v:shape id="Graf 3" o:spid="_x0000_i1026" type="#_x0000_t75" style="width:236.4pt;height:191.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">
                  <v:imagedata r:id="rId14" o:title=""/>
                  <o:lock v:ext="edit" aspectratio="f"/>
                </v:shape>
              </w:pict>
            </w:r>
          </w:p>
        </w:tc>
      </w:tr>
      <w:tr w:rsidR="001550F3" w:rsidRPr="006133A2" w:rsidTr="00AF5D62">
        <w:tc>
          <w:tcPr>
            <w:tcW w:w="5000" w:type="pct"/>
            <w:gridSpan w:val="4"/>
          </w:tcPr>
          <w:p w:rsidR="001550F3" w:rsidRPr="005E01FF" w:rsidRDefault="001550F3" w:rsidP="00AF5D62">
            <w:pPr>
              <w:pStyle w:val="Textpoznpodarou"/>
              <w:jc w:val="right"/>
              <w:rPr>
                <w:sz w:val="18"/>
                <w:szCs w:val="18"/>
                <w:lang w:eastAsia="en-US"/>
              </w:rPr>
            </w:pPr>
            <w:r w:rsidRPr="005E01FF">
              <w:rPr>
                <w:sz w:val="18"/>
                <w:szCs w:val="18"/>
                <w:lang w:eastAsia="en-US"/>
              </w:rPr>
              <w:t xml:space="preserve">Zdroj: ČSÚ, </w:t>
            </w:r>
            <w:proofErr w:type="spellStart"/>
            <w:r w:rsidRPr="005E01FF">
              <w:rPr>
                <w:sz w:val="18"/>
                <w:szCs w:val="18"/>
                <w:lang w:eastAsia="en-US"/>
              </w:rPr>
              <w:t>Eurostat</w:t>
            </w:r>
            <w:proofErr w:type="spellEnd"/>
          </w:p>
        </w:tc>
      </w:tr>
    </w:tbl>
    <w:p w:rsidR="001550F3" w:rsidRPr="007A4048" w:rsidRDefault="001550F3" w:rsidP="001550F3">
      <w:pPr>
        <w:pStyle w:val="Textpoznpodarou"/>
        <w:jc w:val="both"/>
        <w:rPr>
          <w:sz w:val="18"/>
          <w:szCs w:val="18"/>
        </w:rPr>
      </w:pPr>
    </w:p>
    <w:tbl>
      <w:tblPr>
        <w:tblW w:w="5000" w:type="pct"/>
        <w:tblLook w:val="04A0"/>
      </w:tblPr>
      <w:tblGrid>
        <w:gridCol w:w="633"/>
        <w:gridCol w:w="4274"/>
        <w:gridCol w:w="1009"/>
        <w:gridCol w:w="1399"/>
        <w:gridCol w:w="2539"/>
      </w:tblGrid>
      <w:tr w:rsidR="001550F3" w:rsidRPr="006133A2" w:rsidTr="00AF5D62">
        <w:tc>
          <w:tcPr>
            <w:tcW w:w="321" w:type="pct"/>
          </w:tcPr>
          <w:p w:rsidR="001550F3" w:rsidRPr="005E01FF" w:rsidRDefault="001550F3" w:rsidP="00AF5D62">
            <w:pPr>
              <w:pStyle w:val="Textpoznpodarou"/>
              <w:rPr>
                <w:lang w:eastAsia="en-US"/>
              </w:rPr>
            </w:pPr>
            <w:r w:rsidRPr="005E01FF">
              <w:rPr>
                <w:lang w:eastAsia="en-US"/>
              </w:rPr>
              <w:t>Graf č. 3</w:t>
            </w:r>
          </w:p>
        </w:tc>
        <w:tc>
          <w:tcPr>
            <w:tcW w:w="2173" w:type="pct"/>
          </w:tcPr>
          <w:p w:rsidR="001550F3" w:rsidRPr="005E01FF" w:rsidRDefault="001550F3" w:rsidP="00AF5D62">
            <w:pPr>
              <w:pStyle w:val="Textpoznpodarou"/>
              <w:rPr>
                <w:spacing w:val="-6"/>
                <w:lang w:eastAsia="en-US"/>
              </w:rPr>
            </w:pPr>
            <w:r w:rsidRPr="005E01FF">
              <w:rPr>
                <w:b/>
                <w:spacing w:val="-6"/>
                <w:lang w:eastAsia="en-US"/>
              </w:rPr>
              <w:t>Příspěvky výdajových složek ke změně HDP*</w:t>
            </w:r>
            <w:r w:rsidRPr="005E01FF">
              <w:rPr>
                <w:spacing w:val="-6"/>
                <w:lang w:eastAsia="en-US"/>
              </w:rPr>
              <w:t xml:space="preserve"> (stálé ceny, y/y, příspěvky v </w:t>
            </w:r>
            <w:proofErr w:type="spellStart"/>
            <w:proofErr w:type="gramStart"/>
            <w:r w:rsidRPr="005E01FF">
              <w:rPr>
                <w:spacing w:val="-6"/>
                <w:lang w:eastAsia="en-US"/>
              </w:rPr>
              <w:t>p.b</w:t>
            </w:r>
            <w:proofErr w:type="spellEnd"/>
            <w:r w:rsidRPr="005E01FF">
              <w:rPr>
                <w:spacing w:val="-6"/>
                <w:lang w:eastAsia="en-US"/>
              </w:rPr>
              <w:t>., HDP</w:t>
            </w:r>
            <w:proofErr w:type="gramEnd"/>
            <w:r w:rsidRPr="005E01FF">
              <w:rPr>
                <w:spacing w:val="-6"/>
                <w:lang w:eastAsia="en-US"/>
              </w:rPr>
              <w:t xml:space="preserve"> v %)</w:t>
            </w:r>
          </w:p>
        </w:tc>
        <w:tc>
          <w:tcPr>
            <w:tcW w:w="511" w:type="pct"/>
          </w:tcPr>
          <w:p w:rsidR="001550F3" w:rsidRPr="005E01FF" w:rsidRDefault="001550F3" w:rsidP="00AF5D62">
            <w:pPr>
              <w:pStyle w:val="Textpoznpodarou"/>
              <w:rPr>
                <w:lang w:eastAsia="en-US"/>
              </w:rPr>
            </w:pPr>
            <w:r w:rsidRPr="005E01FF">
              <w:rPr>
                <w:lang w:eastAsia="en-US"/>
              </w:rPr>
              <w:t>Graf č. 4</w:t>
            </w:r>
          </w:p>
        </w:tc>
        <w:tc>
          <w:tcPr>
            <w:tcW w:w="1995" w:type="pct"/>
            <w:gridSpan w:val="2"/>
          </w:tcPr>
          <w:p w:rsidR="001550F3" w:rsidRPr="005E01FF" w:rsidRDefault="001550F3" w:rsidP="00AF5D62">
            <w:pPr>
              <w:pStyle w:val="Textpoznpodarou"/>
              <w:rPr>
                <w:lang w:eastAsia="en-US"/>
              </w:rPr>
            </w:pPr>
            <w:r w:rsidRPr="005E01FF">
              <w:rPr>
                <w:b/>
                <w:lang w:eastAsia="en-US"/>
              </w:rPr>
              <w:t>Příspěvky odvětví ke změně HPH</w:t>
            </w:r>
            <w:r w:rsidRPr="005E01FF">
              <w:rPr>
                <w:lang w:eastAsia="en-US"/>
              </w:rPr>
              <w:t xml:space="preserve"> (stálé ceny, y/y, příspěvky v </w:t>
            </w:r>
            <w:proofErr w:type="spellStart"/>
            <w:proofErr w:type="gramStart"/>
            <w:r w:rsidRPr="005E01FF">
              <w:rPr>
                <w:lang w:eastAsia="en-US"/>
              </w:rPr>
              <w:t>p.b</w:t>
            </w:r>
            <w:proofErr w:type="spellEnd"/>
            <w:r w:rsidRPr="005E01FF">
              <w:rPr>
                <w:lang w:eastAsia="en-US"/>
              </w:rPr>
              <w:t>., HPH</w:t>
            </w:r>
            <w:proofErr w:type="gramEnd"/>
            <w:r w:rsidRPr="005E01FF">
              <w:rPr>
                <w:lang w:eastAsia="en-US"/>
              </w:rPr>
              <w:t xml:space="preserve"> v %)</w:t>
            </w:r>
          </w:p>
        </w:tc>
      </w:tr>
      <w:tr w:rsidR="001550F3" w:rsidRPr="00875AFD" w:rsidTr="00AF5D62">
        <w:tc>
          <w:tcPr>
            <w:tcW w:w="2493" w:type="pct"/>
            <w:gridSpan w:val="2"/>
          </w:tcPr>
          <w:p w:rsidR="001550F3" w:rsidRPr="00875AFD" w:rsidRDefault="00CE797F" w:rsidP="00AF5D62">
            <w:pPr>
              <w:pStyle w:val="Textpoznpodarou"/>
              <w:jc w:val="both"/>
              <w:rPr>
                <w:sz w:val="22"/>
                <w:lang w:eastAsia="en-US"/>
              </w:rPr>
            </w:pPr>
            <w:r w:rsidRPr="00C20B1C">
              <w:rPr>
                <w:noProof/>
                <w:sz w:val="22"/>
              </w:rPr>
              <w:pict>
                <v:shape id="Graf 6" o:spid="_x0000_i1027" type="#_x0000_t75" style="width:236.4pt;height:190.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">
                  <v:imagedata r:id="rId15" o:title=""/>
                  <o:lock v:ext="edit" aspectratio="f"/>
                </v:shape>
              </w:pict>
            </w:r>
          </w:p>
        </w:tc>
        <w:tc>
          <w:tcPr>
            <w:tcW w:w="2507" w:type="pct"/>
            <w:gridSpan w:val="3"/>
          </w:tcPr>
          <w:p w:rsidR="001550F3" w:rsidRPr="00875AFD" w:rsidRDefault="00CE797F" w:rsidP="00AF5D62">
            <w:pPr>
              <w:pStyle w:val="Textpoznpodarou"/>
              <w:jc w:val="both"/>
              <w:rPr>
                <w:sz w:val="22"/>
                <w:lang w:eastAsia="en-US"/>
              </w:rPr>
            </w:pPr>
            <w:r w:rsidRPr="00C20B1C">
              <w:rPr>
                <w:noProof/>
                <w:sz w:val="22"/>
              </w:rPr>
              <w:pict>
                <v:shape id="Graf 5" o:spid="_x0000_i1028" type="#_x0000_t75" style="width:238.05pt;height:190.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">
                  <v:imagedata r:id="rId16" o:title=""/>
                  <o:lock v:ext="edit" aspectratio="f"/>
                </v:shape>
              </w:pict>
            </w:r>
          </w:p>
        </w:tc>
      </w:tr>
      <w:tr w:rsidR="001550F3" w:rsidRPr="00875AFD" w:rsidTr="00AF5D62">
        <w:tc>
          <w:tcPr>
            <w:tcW w:w="3714" w:type="pct"/>
            <w:gridSpan w:val="4"/>
          </w:tcPr>
          <w:p w:rsidR="001550F3" w:rsidRPr="00875AFD" w:rsidRDefault="001550F3" w:rsidP="00AF5D62">
            <w:pPr>
              <w:pStyle w:val="Textpoznpodarou"/>
              <w:rPr>
                <w:sz w:val="18"/>
                <w:szCs w:val="18"/>
                <w:lang w:eastAsia="en-US"/>
              </w:rPr>
            </w:pPr>
            <w:r w:rsidRPr="00875AFD">
              <w:rPr>
                <w:sz w:val="18"/>
                <w:szCs w:val="18"/>
                <w:lang w:eastAsia="en-US"/>
              </w:rPr>
              <w:t>*</w:t>
            </w:r>
            <w:r>
              <w:rPr>
                <w:sz w:val="18"/>
                <w:szCs w:val="18"/>
                <w:lang w:eastAsia="en-US"/>
              </w:rPr>
              <w:t>P</w:t>
            </w:r>
            <w:r w:rsidRPr="00875AFD">
              <w:rPr>
                <w:sz w:val="18"/>
                <w:szCs w:val="18"/>
                <w:lang w:eastAsia="en-US"/>
              </w:rPr>
              <w:t>říspěvky ke změně HDP po vyloučení dovozu pro konečné užití</w:t>
            </w:r>
            <w:r>
              <w:rPr>
                <w:sz w:val="18"/>
                <w:szCs w:val="18"/>
                <w:lang w:eastAsia="en-US"/>
              </w:rPr>
              <w:t>.</w:t>
            </w:r>
          </w:p>
        </w:tc>
        <w:tc>
          <w:tcPr>
            <w:tcW w:w="1286" w:type="pct"/>
          </w:tcPr>
          <w:p w:rsidR="001550F3" w:rsidRPr="00875AFD" w:rsidRDefault="001550F3" w:rsidP="00AF5D62">
            <w:pPr>
              <w:pStyle w:val="Textpoznpodarou"/>
              <w:jc w:val="right"/>
              <w:rPr>
                <w:sz w:val="18"/>
                <w:szCs w:val="18"/>
                <w:lang w:eastAsia="en-US"/>
              </w:rPr>
            </w:pPr>
            <w:r w:rsidRPr="00875AFD">
              <w:rPr>
                <w:sz w:val="18"/>
                <w:szCs w:val="18"/>
                <w:lang w:eastAsia="en-US"/>
              </w:rPr>
              <w:t>Zdroj: ČSÚ</w:t>
            </w:r>
          </w:p>
        </w:tc>
      </w:tr>
    </w:tbl>
    <w:p w:rsidR="001550F3" w:rsidRPr="007A4048" w:rsidRDefault="001550F3" w:rsidP="00960769">
      <w:pPr>
        <w:pStyle w:val="Textpoznpodarou"/>
        <w:jc w:val="both"/>
        <w:rPr>
          <w:sz w:val="18"/>
          <w:szCs w:val="18"/>
        </w:rPr>
      </w:pPr>
    </w:p>
    <w:p w:rsidR="00ED3A94" w:rsidRPr="007A4048" w:rsidRDefault="00ED3A94" w:rsidP="00960769">
      <w:pPr>
        <w:pStyle w:val="Textpoznpodarou"/>
        <w:jc w:val="both"/>
        <w:rPr>
          <w:sz w:val="2"/>
          <w:szCs w:val="2"/>
        </w:rPr>
      </w:pPr>
    </w:p>
    <w:p w:rsidR="00576A3E" w:rsidRPr="00F4591F" w:rsidRDefault="00576A3E" w:rsidP="00FC3C84">
      <w:pPr>
        <w:pStyle w:val="Nadpis1"/>
        <w:numPr>
          <w:ilvl w:val="0"/>
          <w:numId w:val="3"/>
        </w:numPr>
        <w:jc w:val="both"/>
      </w:pPr>
      <w:bookmarkStart w:id="5" w:name="_Toc454185150"/>
      <w:r>
        <w:lastRenderedPageBreak/>
        <w:t>Výkonnost odvětví</w:t>
      </w:r>
      <w:bookmarkEnd w:id="5"/>
    </w:p>
    <w:tbl>
      <w:tblPr>
        <w:tblW w:w="4999" w:type="pct"/>
        <w:tblCellMar>
          <w:left w:w="28" w:type="dxa"/>
          <w:right w:w="28" w:type="dxa"/>
        </w:tblCellMar>
        <w:tblLook w:val="04A0"/>
      </w:tblPr>
      <w:tblGrid>
        <w:gridCol w:w="2113"/>
        <w:gridCol w:w="281"/>
        <w:gridCol w:w="7298"/>
      </w:tblGrid>
      <w:tr w:rsidR="00080AA8" w:rsidRPr="007E61CB" w:rsidTr="00AF5D62">
        <w:tc>
          <w:tcPr>
            <w:tcW w:w="1090" w:type="pct"/>
          </w:tcPr>
          <w:p w:rsidR="00080AA8" w:rsidRPr="00EF20EA" w:rsidRDefault="00080AA8" w:rsidP="00AF5D62">
            <w:pPr>
              <w:spacing w:line="240" w:lineRule="auto"/>
              <w:rPr>
                <w:color w:val="0D0D0D" w:themeColor="text1" w:themeTint="F2"/>
                <w:sz w:val="16"/>
                <w:szCs w:val="16"/>
              </w:rPr>
            </w:pPr>
            <w:r w:rsidRPr="00EF20EA">
              <w:rPr>
                <w:color w:val="0D0D0D" w:themeColor="text1" w:themeTint="F2"/>
                <w:sz w:val="16"/>
                <w:szCs w:val="16"/>
              </w:rPr>
              <w:t>Meziroč</w:t>
            </w:r>
            <w:r>
              <w:rPr>
                <w:color w:val="0D0D0D" w:themeColor="text1" w:themeTint="F2"/>
                <w:sz w:val="16"/>
                <w:szCs w:val="16"/>
              </w:rPr>
              <w:t xml:space="preserve">ní tempo růstu hrubé přidané hodnoty (HPH) ve srovnání s mimořádným rokem 2015 zvolnilo, </w:t>
            </w:r>
            <w:proofErr w:type="spellStart"/>
            <w:r>
              <w:rPr>
                <w:color w:val="0D0D0D" w:themeColor="text1" w:themeTint="F2"/>
                <w:sz w:val="16"/>
                <w:szCs w:val="16"/>
              </w:rPr>
              <w:t>mezikvartální</w:t>
            </w:r>
            <w:proofErr w:type="spellEnd"/>
            <w:r>
              <w:rPr>
                <w:color w:val="0D0D0D" w:themeColor="text1" w:themeTint="F2"/>
                <w:sz w:val="16"/>
                <w:szCs w:val="16"/>
              </w:rPr>
              <w:t xml:space="preserve"> růst však nadále pokračoval, v samotném 2. čtvrtletí byl ještě zvýrazněn  </w:t>
            </w:r>
          </w:p>
        </w:tc>
        <w:tc>
          <w:tcPr>
            <w:tcW w:w="145" w:type="pct"/>
          </w:tcPr>
          <w:p w:rsidR="00080AA8" w:rsidRDefault="00080AA8" w:rsidP="00AF5D62">
            <w:pPr>
              <w:pStyle w:val="Textpoznpodarou"/>
              <w:jc w:val="both"/>
            </w:pPr>
          </w:p>
        </w:tc>
        <w:tc>
          <w:tcPr>
            <w:tcW w:w="3765" w:type="pct"/>
          </w:tcPr>
          <w:p w:rsidR="00080AA8" w:rsidRDefault="00080AA8" w:rsidP="00AF5D62">
            <w:pPr>
              <w:pStyle w:val="Textpoznpodarou"/>
              <w:jc w:val="both"/>
              <w:rPr>
                <w:spacing w:val="-4"/>
              </w:rPr>
            </w:pPr>
            <w:r w:rsidRPr="00B50A6B">
              <w:rPr>
                <w:spacing w:val="-4"/>
              </w:rPr>
              <w:t xml:space="preserve">Výkon všech odvětví ekonomiky, zachycený </w:t>
            </w:r>
            <w:r>
              <w:rPr>
                <w:spacing w:val="-4"/>
              </w:rPr>
              <w:t>v nich vytvořenou hrubou přidanou hodnotou</w:t>
            </w:r>
            <w:r w:rsidRPr="00B50A6B">
              <w:rPr>
                <w:spacing w:val="-4"/>
              </w:rPr>
              <w:t xml:space="preserve"> (HPH)</w:t>
            </w:r>
            <w:r>
              <w:rPr>
                <w:rStyle w:val="Znakapoznpodarou"/>
                <w:spacing w:val="-4"/>
              </w:rPr>
              <w:footnoteReference w:id="7"/>
            </w:r>
            <w:r w:rsidRPr="00B50A6B">
              <w:rPr>
                <w:spacing w:val="-4"/>
              </w:rPr>
              <w:t>,</w:t>
            </w:r>
            <w:r>
              <w:rPr>
                <w:spacing w:val="-4"/>
              </w:rPr>
              <w:t xml:space="preserve"> se meziročně zvýšil o 2,7 % – shodně v 1. i 2. letošním čtvrtletí. Ve srovnání se silným loňským růstem (v prvních třech čtvrtletích vždy převyšujícím 4 %) šlo o mírnější tempa související s postupným vyprcháváním mimořádných růstových faktorů. V </w:t>
            </w:r>
            <w:proofErr w:type="spellStart"/>
            <w:r>
              <w:rPr>
                <w:spacing w:val="-4"/>
              </w:rPr>
              <w:t>mezičtvrletním</w:t>
            </w:r>
            <w:proofErr w:type="spellEnd"/>
            <w:r>
              <w:rPr>
                <w:spacing w:val="-4"/>
              </w:rPr>
              <w:t xml:space="preserve"> vyjádření růst HPH viditelně zpomalil již na sklonku minulého roku (na 0,3 %). Vývoj během 1. pololetí 2016 však postupně přinesl náznak pozitivního obratu, neboť ve 2. čtvrtletí rostla HPH o významných 0,9 %. </w:t>
            </w:r>
            <w:proofErr w:type="spellStart"/>
            <w:r>
              <w:rPr>
                <w:spacing w:val="-4"/>
              </w:rPr>
              <w:t>Mezikvartální</w:t>
            </w:r>
            <w:proofErr w:type="spellEnd"/>
            <w:r>
              <w:rPr>
                <w:spacing w:val="-4"/>
              </w:rPr>
              <w:t xml:space="preserve"> růst HPH přetrvával již třinácté čtvrtletí v řadě. </w:t>
            </w:r>
          </w:p>
          <w:p w:rsidR="00080AA8" w:rsidRPr="00074761" w:rsidRDefault="00080AA8" w:rsidP="00AF5D62">
            <w:pPr>
              <w:pStyle w:val="Textpoznpodarou"/>
              <w:jc w:val="both"/>
              <w:rPr>
                <w:spacing w:val="-4"/>
                <w:sz w:val="14"/>
                <w:szCs w:val="14"/>
              </w:rPr>
            </w:pPr>
          </w:p>
        </w:tc>
      </w:tr>
      <w:tr w:rsidR="00080AA8" w:rsidRPr="00A51B62" w:rsidTr="00AF5D62">
        <w:tc>
          <w:tcPr>
            <w:tcW w:w="1090" w:type="pct"/>
          </w:tcPr>
          <w:p w:rsidR="00080AA8" w:rsidRPr="000A4ACC" w:rsidRDefault="00080AA8" w:rsidP="00AF5D62">
            <w:pPr>
              <w:spacing w:line="240" w:lineRule="auto"/>
              <w:rPr>
                <w:spacing w:val="-2"/>
                <w:sz w:val="16"/>
                <w:szCs w:val="16"/>
              </w:rPr>
            </w:pPr>
            <w:r>
              <w:rPr>
                <w:spacing w:val="-2"/>
                <w:sz w:val="16"/>
                <w:szCs w:val="16"/>
              </w:rPr>
              <w:t>Díky silné zahraniční poptávce udržel zpracovatelský průmysl dominantní pozici, bez něj by HPH v celé ekonomce rostla pouze polovičním tempem</w:t>
            </w:r>
          </w:p>
        </w:tc>
        <w:tc>
          <w:tcPr>
            <w:tcW w:w="145" w:type="pct"/>
          </w:tcPr>
          <w:p w:rsidR="00080AA8" w:rsidRDefault="00080AA8" w:rsidP="00AF5D62">
            <w:pPr>
              <w:pStyle w:val="Textpoznpodarou"/>
              <w:jc w:val="both"/>
            </w:pPr>
          </w:p>
        </w:tc>
        <w:tc>
          <w:tcPr>
            <w:tcW w:w="3765" w:type="pct"/>
          </w:tcPr>
          <w:p w:rsidR="00080AA8" w:rsidRPr="00386C92" w:rsidRDefault="00080AA8" w:rsidP="00AF5D62">
            <w:pPr>
              <w:pStyle w:val="Textpoznpodarou"/>
              <w:jc w:val="both"/>
              <w:rPr>
                <w:spacing w:val="-4"/>
              </w:rPr>
            </w:pPr>
            <w:r w:rsidRPr="00386C92">
              <w:rPr>
                <w:spacing w:val="-4"/>
              </w:rPr>
              <w:t>K růstu celkové přidané hodnoty tradičně nejvíce přispěl zpracovatelský průmysl. Ten se letos na meziročně příznivějším výsledku všech odvětví podílel z poloviny (obdobn</w:t>
            </w:r>
            <w:r>
              <w:rPr>
                <w:spacing w:val="-4"/>
              </w:rPr>
              <w:t>ě dominantní roli si udržuje</w:t>
            </w:r>
            <w:r w:rsidRPr="00386C92">
              <w:rPr>
                <w:spacing w:val="-4"/>
              </w:rPr>
              <w:t xml:space="preserve"> od poloviny roku 2014). HPH ve zpracovatelském průmyslu byla proti nebývale vysoké loňské základně v obou letoš</w:t>
            </w:r>
            <w:r>
              <w:rPr>
                <w:spacing w:val="-4"/>
              </w:rPr>
              <w:t>ních čtvrtletích o</w:t>
            </w:r>
            <w:r w:rsidRPr="00386C92">
              <w:rPr>
                <w:spacing w:val="-4"/>
              </w:rPr>
              <w:t> 4,8 % vyšší, čímž výrazně předčila dynamiku většiny ostatních odvětví.</w:t>
            </w:r>
            <w:r>
              <w:rPr>
                <w:spacing w:val="-4"/>
              </w:rPr>
              <w:t xml:space="preserve"> Silná poptávka (</w:t>
            </w:r>
            <w:r w:rsidRPr="00386C92">
              <w:rPr>
                <w:spacing w:val="-4"/>
              </w:rPr>
              <w:t>v tradičních exportních odvětvích) se odrazila ve vyšší zaměstnanosti</w:t>
            </w:r>
            <w:r w:rsidRPr="00386C92">
              <w:rPr>
                <w:rStyle w:val="Znakapoznpodarou"/>
                <w:spacing w:val="-4"/>
              </w:rPr>
              <w:footnoteReference w:id="8"/>
            </w:r>
            <w:r w:rsidRPr="00386C92">
              <w:rPr>
                <w:spacing w:val="-4"/>
              </w:rPr>
              <w:t xml:space="preserve"> </w:t>
            </w:r>
            <w:r>
              <w:rPr>
                <w:spacing w:val="-4"/>
              </w:rPr>
              <w:t>(ta</w:t>
            </w:r>
            <w:r w:rsidRPr="00386C92">
              <w:rPr>
                <w:spacing w:val="-4"/>
              </w:rPr>
              <w:t xml:space="preserve"> </w:t>
            </w:r>
            <w:r>
              <w:rPr>
                <w:spacing w:val="-4"/>
              </w:rPr>
              <w:t xml:space="preserve">letos </w:t>
            </w:r>
            <w:r w:rsidRPr="00386C92">
              <w:rPr>
                <w:spacing w:val="-4"/>
              </w:rPr>
              <w:t>podobně jako v loňském 1. pololetí rostla mírně nad 3 %, v obou případe</w:t>
            </w:r>
            <w:r>
              <w:rPr>
                <w:spacing w:val="-4"/>
              </w:rPr>
              <w:t>ch dvojnásobným tempem ve srovnání s celou ekonomikou</w:t>
            </w:r>
            <w:r w:rsidRPr="00386C92">
              <w:rPr>
                <w:spacing w:val="-4"/>
              </w:rPr>
              <w:t xml:space="preserve">). Podniky se snažily </w:t>
            </w:r>
            <w:r w:rsidR="00DC2A9F">
              <w:rPr>
                <w:spacing w:val="-4"/>
              </w:rPr>
              <w:t>pokrýt růst zakázek</w:t>
            </w:r>
            <w:r w:rsidRPr="00386C92">
              <w:rPr>
                <w:spacing w:val="-4"/>
              </w:rPr>
              <w:t xml:space="preserve"> i intenzivnějším v</w:t>
            </w:r>
            <w:r>
              <w:rPr>
                <w:spacing w:val="-4"/>
              </w:rPr>
              <w:t>yužitím stávající pracovní síly. P</w:t>
            </w:r>
            <w:r w:rsidRPr="00386C92">
              <w:rPr>
                <w:spacing w:val="-4"/>
              </w:rPr>
              <w:t xml:space="preserve">očet odpracovaných hodin vzrostl </w:t>
            </w:r>
            <w:r w:rsidR="00B47AC6">
              <w:rPr>
                <w:spacing w:val="-4"/>
              </w:rPr>
              <w:t xml:space="preserve">(po sezónním očištění) </w:t>
            </w:r>
            <w:r w:rsidRPr="00386C92">
              <w:rPr>
                <w:spacing w:val="-4"/>
              </w:rPr>
              <w:t xml:space="preserve">v 1. pololetí proti loňské úrovni o </w:t>
            </w:r>
            <w:r w:rsidR="00AA34FE">
              <w:rPr>
                <w:spacing w:val="-4"/>
              </w:rPr>
              <w:t>nebývalých</w:t>
            </w:r>
            <w:r w:rsidR="00B47AC6">
              <w:rPr>
                <w:spacing w:val="-4"/>
              </w:rPr>
              <w:t xml:space="preserve"> </w:t>
            </w:r>
            <w:r w:rsidR="00DC2A9F">
              <w:rPr>
                <w:spacing w:val="-4"/>
              </w:rPr>
              <w:t>6,1</w:t>
            </w:r>
            <w:r w:rsidR="00DC2A9F" w:rsidRPr="00386C92">
              <w:rPr>
                <w:spacing w:val="-4"/>
              </w:rPr>
              <w:t> </w:t>
            </w:r>
            <w:r w:rsidRPr="00386C92">
              <w:rPr>
                <w:spacing w:val="-4"/>
              </w:rPr>
              <w:t>%.</w:t>
            </w:r>
          </w:p>
          <w:p w:rsidR="00080AA8" w:rsidRPr="00074761" w:rsidRDefault="00080AA8" w:rsidP="00AF5D62">
            <w:pPr>
              <w:pStyle w:val="Textpoznpodarou"/>
              <w:jc w:val="both"/>
              <w:rPr>
                <w:spacing w:val="-4"/>
                <w:sz w:val="14"/>
                <w:szCs w:val="14"/>
              </w:rPr>
            </w:pPr>
          </w:p>
        </w:tc>
      </w:tr>
      <w:tr w:rsidR="00080AA8" w:rsidTr="00AF5D62">
        <w:tc>
          <w:tcPr>
            <w:tcW w:w="1090" w:type="pct"/>
          </w:tcPr>
          <w:p w:rsidR="00080AA8" w:rsidRPr="00DA1318" w:rsidRDefault="00080AA8" w:rsidP="00AF5D62">
            <w:pPr>
              <w:spacing w:line="240" w:lineRule="auto"/>
              <w:rPr>
                <w:sz w:val="16"/>
                <w:szCs w:val="16"/>
              </w:rPr>
            </w:pPr>
            <w:r>
              <w:rPr>
                <w:sz w:val="16"/>
                <w:szCs w:val="16"/>
              </w:rPr>
              <w:t xml:space="preserve">K vyšší přidané hodnotě v zemědělství letos přispěla také dobrá úroda základních obilovin i olejnin </w:t>
            </w:r>
          </w:p>
        </w:tc>
        <w:tc>
          <w:tcPr>
            <w:tcW w:w="145" w:type="pct"/>
          </w:tcPr>
          <w:p w:rsidR="00080AA8" w:rsidRPr="009E7B1B" w:rsidRDefault="00080AA8" w:rsidP="00AF5D62">
            <w:pPr>
              <w:pStyle w:val="Textpoznpodarou"/>
              <w:jc w:val="both"/>
              <w:rPr>
                <w:spacing w:val="-2"/>
              </w:rPr>
            </w:pPr>
          </w:p>
        </w:tc>
        <w:tc>
          <w:tcPr>
            <w:tcW w:w="3765" w:type="pct"/>
          </w:tcPr>
          <w:p w:rsidR="00080AA8" w:rsidRPr="003C445A" w:rsidRDefault="00080AA8" w:rsidP="00AF5D62">
            <w:pPr>
              <w:pStyle w:val="Textpoznpodarou"/>
              <w:jc w:val="both"/>
              <w:rPr>
                <w:spacing w:val="-4"/>
              </w:rPr>
            </w:pPr>
            <w:r>
              <w:rPr>
                <w:spacing w:val="-4"/>
              </w:rPr>
              <w:t xml:space="preserve">Dařilo se i odvětví zemědělství, lesnictví a rybářství, které táhla především rostlinná produkce. </w:t>
            </w:r>
            <w:r w:rsidR="00AA34FE">
              <w:rPr>
                <w:spacing w:val="-4"/>
              </w:rPr>
              <w:t>Projevil se zde vliv dobré letošní úrody základních obilovin i olejnin.</w:t>
            </w:r>
            <w:r>
              <w:rPr>
                <w:spacing w:val="-4"/>
              </w:rPr>
              <w:t xml:space="preserve"> HPH v celém odvětví meziročně posílila o 5,1 % a zaznamenala růst již třetí rok po sobě. </w:t>
            </w:r>
          </w:p>
          <w:p w:rsidR="00080AA8" w:rsidRPr="00074761" w:rsidRDefault="00080AA8" w:rsidP="00AF5D62">
            <w:pPr>
              <w:pStyle w:val="Textpoznpodarou"/>
              <w:jc w:val="both"/>
              <w:rPr>
                <w:spacing w:val="-4"/>
                <w:sz w:val="14"/>
                <w:szCs w:val="14"/>
              </w:rPr>
            </w:pPr>
          </w:p>
        </w:tc>
      </w:tr>
      <w:tr w:rsidR="00080AA8" w:rsidTr="00AF5D62">
        <w:tc>
          <w:tcPr>
            <w:tcW w:w="1090" w:type="pct"/>
          </w:tcPr>
          <w:p w:rsidR="00080AA8" w:rsidRPr="008130D1" w:rsidRDefault="00080AA8" w:rsidP="00AF5D62">
            <w:pPr>
              <w:spacing w:line="240" w:lineRule="auto"/>
              <w:rPr>
                <w:spacing w:val="-4"/>
                <w:sz w:val="16"/>
                <w:szCs w:val="16"/>
              </w:rPr>
            </w:pPr>
            <w:r w:rsidRPr="008130D1">
              <w:rPr>
                <w:spacing w:val="-4"/>
                <w:sz w:val="16"/>
                <w:szCs w:val="16"/>
              </w:rPr>
              <w:t xml:space="preserve">Přidaná hodnota ve stavebnictví </w:t>
            </w:r>
            <w:proofErr w:type="spellStart"/>
            <w:r w:rsidRPr="008130D1">
              <w:rPr>
                <w:spacing w:val="-4"/>
                <w:sz w:val="16"/>
                <w:szCs w:val="16"/>
              </w:rPr>
              <w:t>mezičtvrtletně</w:t>
            </w:r>
            <w:proofErr w:type="spellEnd"/>
            <w:r w:rsidRPr="008130D1">
              <w:rPr>
                <w:spacing w:val="-4"/>
                <w:sz w:val="16"/>
                <w:szCs w:val="16"/>
              </w:rPr>
              <w:t xml:space="preserve"> klesala již potřetí v řadě, po odeznění „dopingového efektu“ evropských dotací se odvětví letos potýkalo s nedostatkem významnějších veřejných zakázek</w:t>
            </w:r>
          </w:p>
        </w:tc>
        <w:tc>
          <w:tcPr>
            <w:tcW w:w="145" w:type="pct"/>
          </w:tcPr>
          <w:p w:rsidR="00080AA8" w:rsidRPr="005A16AE" w:rsidRDefault="00080AA8" w:rsidP="00AF5D62">
            <w:pPr>
              <w:rPr>
                <w:color w:val="000000" w:themeColor="text1"/>
                <w:szCs w:val="16"/>
              </w:rPr>
            </w:pPr>
          </w:p>
        </w:tc>
        <w:tc>
          <w:tcPr>
            <w:tcW w:w="3765" w:type="pct"/>
          </w:tcPr>
          <w:p w:rsidR="00080AA8" w:rsidRPr="00397CE1" w:rsidRDefault="00080AA8" w:rsidP="00AF5D62">
            <w:pPr>
              <w:pStyle w:val="Textpoznpodarou"/>
              <w:jc w:val="both"/>
              <w:rPr>
                <w:color w:val="000000" w:themeColor="text1"/>
                <w:spacing w:val="-4"/>
              </w:rPr>
            </w:pPr>
            <w:r w:rsidRPr="00397CE1">
              <w:rPr>
                <w:color w:val="000000" w:themeColor="text1"/>
                <w:spacing w:val="-4"/>
              </w:rPr>
              <w:t xml:space="preserve">Jediným významnějším </w:t>
            </w:r>
            <w:r>
              <w:rPr>
                <w:color w:val="000000" w:themeColor="text1"/>
                <w:spacing w:val="-4"/>
              </w:rPr>
              <w:t>odvětvím, které letos nepřispívalo k růstu přidané hodnoty, bylo stavebnictví. V </w:t>
            </w:r>
            <w:proofErr w:type="spellStart"/>
            <w:r>
              <w:rPr>
                <w:color w:val="000000" w:themeColor="text1"/>
                <w:spacing w:val="-4"/>
              </w:rPr>
              <w:t>mezičtvrtletním</w:t>
            </w:r>
            <w:proofErr w:type="spellEnd"/>
            <w:r>
              <w:rPr>
                <w:color w:val="000000" w:themeColor="text1"/>
                <w:spacing w:val="-4"/>
              </w:rPr>
              <w:t xml:space="preserve"> srovnání se HPH snížila již na konci loňského roku, od té doby se poklesy prohlubovaly – až na -4,7 % ve 2. čtvrtletí (což se promítlo i v meziročním srovnání, když HPH poklesla poprvé po dvanácti čtvrtletích). Ještě slabšímu výsledku zabránil relativně příznivější vývoj v </w:t>
            </w:r>
            <w:proofErr w:type="spellStart"/>
            <w:r>
              <w:rPr>
                <w:color w:val="000000" w:themeColor="text1"/>
                <w:spacing w:val="-4"/>
              </w:rPr>
              <w:t>mezispotřebě</w:t>
            </w:r>
            <w:proofErr w:type="spellEnd"/>
            <w:r>
              <w:rPr>
                <w:color w:val="000000" w:themeColor="text1"/>
                <w:spacing w:val="-4"/>
              </w:rPr>
              <w:t>, neboť samotná produkce ve stavebnictví doznala letos v porovnání s HPH hlubších poklesů. Výkony stavebnictví se negativně projevily v oblasti zaměstnanosti.</w:t>
            </w:r>
          </w:p>
          <w:p w:rsidR="00080AA8" w:rsidRPr="00074761" w:rsidRDefault="00080AA8" w:rsidP="00AF5D62">
            <w:pPr>
              <w:pStyle w:val="Textpoznpodarou"/>
              <w:jc w:val="both"/>
              <w:rPr>
                <w:color w:val="000000" w:themeColor="text1"/>
                <w:spacing w:val="-4"/>
                <w:sz w:val="14"/>
                <w:szCs w:val="14"/>
              </w:rPr>
            </w:pPr>
          </w:p>
        </w:tc>
      </w:tr>
      <w:tr w:rsidR="00080AA8" w:rsidTr="00AF5D62">
        <w:tc>
          <w:tcPr>
            <w:tcW w:w="1090" w:type="pct"/>
          </w:tcPr>
          <w:p w:rsidR="00080AA8" w:rsidRPr="00386D68" w:rsidRDefault="00080AA8" w:rsidP="00AF5D62">
            <w:pPr>
              <w:spacing w:line="240" w:lineRule="auto"/>
              <w:rPr>
                <w:color w:val="000000" w:themeColor="text1"/>
                <w:spacing w:val="-2"/>
                <w:sz w:val="16"/>
                <w:szCs w:val="16"/>
              </w:rPr>
            </w:pPr>
            <w:r w:rsidRPr="00386D68">
              <w:rPr>
                <w:spacing w:val="-2"/>
                <w:sz w:val="16"/>
                <w:szCs w:val="16"/>
              </w:rPr>
              <w:t>Terciární sektor přispěl letos k meziročně vyšší HPH 1,6 </w:t>
            </w:r>
            <w:proofErr w:type="spellStart"/>
            <w:proofErr w:type="gramStart"/>
            <w:r w:rsidRPr="00386D68">
              <w:rPr>
                <w:spacing w:val="-2"/>
                <w:sz w:val="16"/>
                <w:szCs w:val="16"/>
              </w:rPr>
              <w:t>p.b</w:t>
            </w:r>
            <w:proofErr w:type="spellEnd"/>
            <w:r w:rsidRPr="00386D68">
              <w:rPr>
                <w:spacing w:val="-2"/>
                <w:sz w:val="16"/>
                <w:szCs w:val="16"/>
              </w:rPr>
              <w:t>., o celou</w:t>
            </w:r>
            <w:proofErr w:type="gramEnd"/>
            <w:r w:rsidRPr="00386D68">
              <w:rPr>
                <w:spacing w:val="-2"/>
                <w:sz w:val="16"/>
                <w:szCs w:val="16"/>
              </w:rPr>
              <w:t xml:space="preserve"> třetinu z</w:t>
            </w:r>
            <w:r w:rsidR="00DC2A9F">
              <w:rPr>
                <w:spacing w:val="-2"/>
                <w:sz w:val="16"/>
                <w:szCs w:val="16"/>
              </w:rPr>
              <w:t> </w:t>
            </w:r>
            <w:r w:rsidRPr="00386D68">
              <w:rPr>
                <w:spacing w:val="-2"/>
                <w:sz w:val="16"/>
                <w:szCs w:val="16"/>
              </w:rPr>
              <w:t>toho</w:t>
            </w:r>
            <w:r w:rsidR="00DC2A9F">
              <w:rPr>
                <w:spacing w:val="-2"/>
                <w:sz w:val="16"/>
                <w:szCs w:val="16"/>
              </w:rPr>
              <w:t>to</w:t>
            </w:r>
            <w:r w:rsidRPr="00386D68">
              <w:rPr>
                <w:spacing w:val="-2"/>
                <w:sz w:val="16"/>
                <w:szCs w:val="16"/>
              </w:rPr>
              <w:t xml:space="preserve"> příspěvku se zasloužilo </w:t>
            </w:r>
            <w:r>
              <w:rPr>
                <w:spacing w:val="-2"/>
                <w:sz w:val="16"/>
                <w:szCs w:val="16"/>
              </w:rPr>
              <w:t xml:space="preserve">váhově významné </w:t>
            </w:r>
            <w:r w:rsidRPr="00386D68">
              <w:rPr>
                <w:spacing w:val="-2"/>
                <w:sz w:val="16"/>
                <w:szCs w:val="16"/>
              </w:rPr>
              <w:t xml:space="preserve">odvětví obchod, doprava, ubytování a pohostinství </w:t>
            </w:r>
          </w:p>
        </w:tc>
        <w:tc>
          <w:tcPr>
            <w:tcW w:w="145" w:type="pct"/>
          </w:tcPr>
          <w:p w:rsidR="00080AA8" w:rsidRPr="00F3262E" w:rsidRDefault="00080AA8" w:rsidP="00AF5D62">
            <w:pPr>
              <w:pStyle w:val="Textpoznpodarou"/>
              <w:jc w:val="both"/>
              <w:rPr>
                <w:color w:val="000000" w:themeColor="text1"/>
                <w:spacing w:val="-2"/>
              </w:rPr>
            </w:pPr>
          </w:p>
        </w:tc>
        <w:tc>
          <w:tcPr>
            <w:tcW w:w="3765" w:type="pct"/>
          </w:tcPr>
          <w:p w:rsidR="00080AA8" w:rsidRPr="006763DB" w:rsidRDefault="00080AA8" w:rsidP="00AF5D62">
            <w:pPr>
              <w:pStyle w:val="Textpoznpodarou"/>
              <w:jc w:val="both"/>
              <w:rPr>
                <w:color w:val="000000" w:themeColor="text1"/>
                <w:spacing w:val="-4"/>
              </w:rPr>
            </w:pPr>
            <w:r>
              <w:rPr>
                <w:color w:val="000000" w:themeColor="text1"/>
                <w:spacing w:val="-4"/>
              </w:rPr>
              <w:t>Přidaná hodnota v sektoru služeb vzrostla v 1.</w:t>
            </w:r>
            <w:r w:rsidR="00DC2A9F">
              <w:rPr>
                <w:color w:val="000000" w:themeColor="text1"/>
                <w:spacing w:val="-4"/>
              </w:rPr>
              <w:t xml:space="preserve"> pololetí o 2,6 % meziročně (ve </w:t>
            </w:r>
            <w:r>
              <w:rPr>
                <w:color w:val="000000" w:themeColor="text1"/>
                <w:spacing w:val="-4"/>
              </w:rPr>
              <w:t>stejném loňském období činil růst 3,6 %). V rámci hlavních odvětví služeb byla růstová tempa vcelku vyrovnaná. Jen mírně vybočovaly profesní</w:t>
            </w:r>
            <w:r>
              <w:rPr>
                <w:color w:val="0D0D0D" w:themeColor="text1" w:themeTint="F2"/>
                <w:spacing w:val="-4"/>
              </w:rPr>
              <w:t>, vědecké, technické</w:t>
            </w:r>
            <w:r w:rsidRPr="008D59A9">
              <w:rPr>
                <w:color w:val="0D0D0D" w:themeColor="text1" w:themeTint="F2"/>
                <w:spacing w:val="-4"/>
              </w:rPr>
              <w:t xml:space="preserve"> a administrati</w:t>
            </w:r>
            <w:r>
              <w:rPr>
                <w:color w:val="0D0D0D" w:themeColor="text1" w:themeTint="F2"/>
                <w:spacing w:val="-4"/>
              </w:rPr>
              <w:t>vní</w:t>
            </w:r>
            <w:r w:rsidRPr="008D59A9">
              <w:rPr>
                <w:color w:val="0D0D0D" w:themeColor="text1" w:themeTint="F2"/>
                <w:spacing w:val="-4"/>
              </w:rPr>
              <w:t xml:space="preserve"> činnost</w:t>
            </w:r>
            <w:r>
              <w:rPr>
                <w:color w:val="0D0D0D" w:themeColor="text1" w:themeTint="F2"/>
                <w:spacing w:val="-4"/>
              </w:rPr>
              <w:t>i, které docílily 3,5% růstu HPH i při meziročním poklesu produkce (</w:t>
            </w:r>
            <w:proofErr w:type="spellStart"/>
            <w:r>
              <w:rPr>
                <w:color w:val="0D0D0D" w:themeColor="text1" w:themeTint="F2"/>
                <w:spacing w:val="-4"/>
              </w:rPr>
              <w:t>mezispotřeba</w:t>
            </w:r>
            <w:proofErr w:type="spellEnd"/>
            <w:r>
              <w:rPr>
                <w:color w:val="0D0D0D" w:themeColor="text1" w:themeTint="F2"/>
                <w:spacing w:val="-4"/>
              </w:rPr>
              <w:t xml:space="preserve"> se totiž snižovala ještě vyšším tempem). Více než 3% zvýšení HPH dosáhlo i peněžnictví a pojišťovnictví a naznačilo tak, že loňský pokles HPH (doprovázený výraznější redukcí zaměstnanosti) byl jen přechodným výkyvem</w:t>
            </w:r>
            <w:r>
              <w:rPr>
                <w:rStyle w:val="Znakapoznpodarou"/>
                <w:color w:val="0D0D0D" w:themeColor="text1" w:themeTint="F2"/>
                <w:spacing w:val="-4"/>
              </w:rPr>
              <w:footnoteReference w:id="9"/>
            </w:r>
            <w:r>
              <w:rPr>
                <w:color w:val="0D0D0D" w:themeColor="text1" w:themeTint="F2"/>
                <w:spacing w:val="-4"/>
              </w:rPr>
              <w:t>.  Dlouhodobě se rozvíjí i informační a komunikační činnosti, což je v posledních čtyřech letech reflektováno i nadprůměrnou dynamikou tvorby nových pracovních míst (nejen zaměstnaneckého charakteru). Střídměji letos posilovala HPH ve váhově významných odvětvích s dominancí státu</w:t>
            </w:r>
            <w:r w:rsidRPr="008D59A9">
              <w:rPr>
                <w:rStyle w:val="Znakapoznpodarou"/>
                <w:color w:val="0D0D0D" w:themeColor="text1" w:themeTint="F2"/>
                <w:spacing w:val="-4"/>
              </w:rPr>
              <w:footnoteReference w:id="10"/>
            </w:r>
            <w:r>
              <w:rPr>
                <w:color w:val="0D0D0D" w:themeColor="text1" w:themeTint="F2"/>
                <w:spacing w:val="-4"/>
              </w:rPr>
              <w:t xml:space="preserve"> (+1,9 %), v pozad</w:t>
            </w:r>
            <w:r w:rsidRPr="008D59A9">
              <w:rPr>
                <w:color w:val="0D0D0D" w:themeColor="text1" w:themeTint="F2"/>
                <w:spacing w:val="-4"/>
              </w:rPr>
              <w:t>í</w:t>
            </w:r>
            <w:r>
              <w:rPr>
                <w:color w:val="0D0D0D" w:themeColor="text1" w:themeTint="F2"/>
                <w:spacing w:val="-4"/>
              </w:rPr>
              <w:t xml:space="preserve"> figuroval nízký růst</w:t>
            </w:r>
            <w:r w:rsidRPr="008D59A9">
              <w:rPr>
                <w:color w:val="0D0D0D" w:themeColor="text1" w:themeTint="F2"/>
                <w:spacing w:val="-4"/>
              </w:rPr>
              <w:t xml:space="preserve"> objemu </w:t>
            </w:r>
            <w:r>
              <w:rPr>
                <w:color w:val="0D0D0D" w:themeColor="text1" w:themeTint="F2"/>
                <w:spacing w:val="-4"/>
              </w:rPr>
              <w:t>vyplacených platů</w:t>
            </w:r>
            <w:r w:rsidRPr="008D59A9">
              <w:rPr>
                <w:color w:val="0D0D0D" w:themeColor="text1" w:themeTint="F2"/>
                <w:spacing w:val="-4"/>
              </w:rPr>
              <w:t xml:space="preserve"> ve školství.</w:t>
            </w:r>
            <w:r>
              <w:rPr>
                <w:color w:val="0D0D0D" w:themeColor="text1" w:themeTint="F2"/>
                <w:spacing w:val="-4"/>
              </w:rPr>
              <w:t xml:space="preserve"> </w:t>
            </w:r>
            <w:r w:rsidRPr="006B1E38">
              <w:rPr>
                <w:color w:val="000000" w:themeColor="text1"/>
                <w:spacing w:val="-4"/>
              </w:rPr>
              <w:t>Odvětví obchod, doprava, ubytování a pohostinství mohlo těžit z pozitivních nálad spotřebitelů (podpořených vysokým růstem zaměstnanosti i reálných mezd), z růstu poptávky po nákladní dopravě, jakož i četnějších příjezdů domácích i zahraničních hostů.</w:t>
            </w:r>
            <w:r>
              <w:rPr>
                <w:color w:val="000000" w:themeColor="text1"/>
                <w:spacing w:val="-4"/>
              </w:rPr>
              <w:t xml:space="preserve"> Jeho letošní výsledky kopírovaly růstová tempa přidané hodnoty i zaměstnanosti dosažená v celé ekonomice. </w:t>
            </w:r>
          </w:p>
          <w:p w:rsidR="00080AA8" w:rsidRPr="00074761" w:rsidRDefault="00080AA8" w:rsidP="00AF5D62">
            <w:pPr>
              <w:pStyle w:val="Textpoznpodarou"/>
              <w:jc w:val="both"/>
              <w:rPr>
                <w:color w:val="000000" w:themeColor="text1"/>
                <w:spacing w:val="-4"/>
                <w:sz w:val="14"/>
                <w:szCs w:val="14"/>
              </w:rPr>
            </w:pPr>
          </w:p>
        </w:tc>
      </w:tr>
      <w:tr w:rsidR="00080AA8" w:rsidTr="00AF5D62">
        <w:tc>
          <w:tcPr>
            <w:tcW w:w="1090" w:type="pct"/>
          </w:tcPr>
          <w:p w:rsidR="00080AA8" w:rsidRDefault="00080AA8" w:rsidP="00AF5D62">
            <w:pPr>
              <w:spacing w:line="240" w:lineRule="auto"/>
              <w:rPr>
                <w:sz w:val="16"/>
                <w:szCs w:val="16"/>
              </w:rPr>
            </w:pPr>
            <w:r>
              <w:rPr>
                <w:sz w:val="16"/>
                <w:szCs w:val="16"/>
              </w:rPr>
              <w:t xml:space="preserve">Meziroční dynamika průmyslové produkce byla ve 2. čtvrtletí významně ovlivněna vyšším počtem pracovních dní </w:t>
            </w:r>
          </w:p>
          <w:p w:rsidR="00080AA8" w:rsidRDefault="00080AA8" w:rsidP="00AF5D62">
            <w:pPr>
              <w:spacing w:line="240" w:lineRule="auto"/>
              <w:rPr>
                <w:sz w:val="16"/>
                <w:szCs w:val="16"/>
              </w:rPr>
            </w:pPr>
          </w:p>
          <w:p w:rsidR="00080AA8" w:rsidRDefault="00080AA8" w:rsidP="00AF5D62">
            <w:pPr>
              <w:spacing w:line="240" w:lineRule="auto"/>
              <w:rPr>
                <w:sz w:val="16"/>
                <w:szCs w:val="16"/>
              </w:rPr>
            </w:pPr>
          </w:p>
          <w:p w:rsidR="00080AA8" w:rsidRDefault="00080AA8" w:rsidP="00AF5D62">
            <w:pPr>
              <w:spacing w:line="240" w:lineRule="auto"/>
              <w:rPr>
                <w:sz w:val="16"/>
                <w:szCs w:val="16"/>
              </w:rPr>
            </w:pPr>
          </w:p>
          <w:p w:rsidR="00080AA8" w:rsidRDefault="00080AA8" w:rsidP="00AF5D62">
            <w:pPr>
              <w:spacing w:line="240" w:lineRule="auto"/>
              <w:rPr>
                <w:sz w:val="16"/>
                <w:szCs w:val="16"/>
              </w:rPr>
            </w:pPr>
          </w:p>
          <w:p w:rsidR="00080AA8" w:rsidRDefault="00080AA8" w:rsidP="00AF5D62">
            <w:pPr>
              <w:spacing w:line="240" w:lineRule="auto"/>
              <w:rPr>
                <w:sz w:val="16"/>
                <w:szCs w:val="16"/>
              </w:rPr>
            </w:pPr>
          </w:p>
          <w:p w:rsidR="00080AA8" w:rsidRPr="00DA1318" w:rsidRDefault="00080AA8" w:rsidP="00AF5D62">
            <w:pPr>
              <w:spacing w:line="240" w:lineRule="auto"/>
              <w:rPr>
                <w:sz w:val="16"/>
                <w:szCs w:val="16"/>
              </w:rPr>
            </w:pPr>
            <w:r>
              <w:rPr>
                <w:sz w:val="16"/>
                <w:szCs w:val="16"/>
              </w:rPr>
              <w:t>Stagnace produkce v energetice, jakož i dlouhodobý útlum v těžbě a dobývání v první polovině roku pokračovaly</w:t>
            </w:r>
          </w:p>
        </w:tc>
        <w:tc>
          <w:tcPr>
            <w:tcW w:w="145" w:type="pct"/>
          </w:tcPr>
          <w:p w:rsidR="00080AA8" w:rsidRDefault="00080AA8" w:rsidP="00AF5D62">
            <w:pPr>
              <w:pStyle w:val="Textpoznpodarou"/>
              <w:jc w:val="both"/>
              <w:rPr>
                <w:spacing w:val="-2"/>
              </w:rPr>
            </w:pPr>
          </w:p>
        </w:tc>
        <w:tc>
          <w:tcPr>
            <w:tcW w:w="3765" w:type="pct"/>
          </w:tcPr>
          <w:p w:rsidR="00080AA8" w:rsidRDefault="00080AA8" w:rsidP="00AF5D62">
            <w:pPr>
              <w:pStyle w:val="Textpoznpodarou"/>
              <w:jc w:val="both"/>
              <w:rPr>
                <w:spacing w:val="-4"/>
              </w:rPr>
            </w:pPr>
            <w:r>
              <w:rPr>
                <w:color w:val="000000" w:themeColor="text1"/>
                <w:spacing w:val="-4"/>
              </w:rPr>
              <w:t>Výkon průmyslu (měřený</w:t>
            </w:r>
            <w:r w:rsidRPr="008D59A9">
              <w:rPr>
                <w:color w:val="000000" w:themeColor="text1"/>
                <w:spacing w:val="-4"/>
              </w:rPr>
              <w:t xml:space="preserve"> indexem</w:t>
            </w:r>
            <w:r>
              <w:rPr>
                <w:color w:val="000000" w:themeColor="text1"/>
                <w:spacing w:val="-4"/>
              </w:rPr>
              <w:t xml:space="preserve"> průmyslové</w:t>
            </w:r>
            <w:r w:rsidRPr="008D59A9">
              <w:rPr>
                <w:color w:val="000000" w:themeColor="text1"/>
                <w:spacing w:val="-4"/>
              </w:rPr>
              <w:t xml:space="preserve"> produkce)</w:t>
            </w:r>
            <w:r w:rsidRPr="008D59A9">
              <w:rPr>
                <w:color w:val="000000" w:themeColor="text1"/>
                <w:spacing w:val="-4"/>
                <w:vertAlign w:val="superscript"/>
              </w:rPr>
              <w:footnoteReference w:id="11"/>
            </w:r>
            <w:r>
              <w:rPr>
                <w:color w:val="000000" w:themeColor="text1"/>
                <w:spacing w:val="-4"/>
              </w:rPr>
              <w:t xml:space="preserve"> v 1. pololetí</w:t>
            </w:r>
            <w:r w:rsidRPr="008D59A9">
              <w:rPr>
                <w:color w:val="000000" w:themeColor="text1"/>
                <w:spacing w:val="-4"/>
              </w:rPr>
              <w:t xml:space="preserve"> meziročně posílil </w:t>
            </w:r>
            <w:r>
              <w:rPr>
                <w:color w:val="000000" w:themeColor="text1"/>
                <w:spacing w:val="-4"/>
              </w:rPr>
              <w:t>o 4</w:t>
            </w:r>
            <w:r w:rsidRPr="008D59A9">
              <w:rPr>
                <w:color w:val="000000" w:themeColor="text1"/>
                <w:spacing w:val="-4"/>
              </w:rPr>
              <w:t>,</w:t>
            </w:r>
            <w:r>
              <w:rPr>
                <w:color w:val="000000" w:themeColor="text1"/>
                <w:spacing w:val="-4"/>
              </w:rPr>
              <w:t>3</w:t>
            </w:r>
            <w:r w:rsidRPr="008D59A9">
              <w:rPr>
                <w:color w:val="0D0D0D" w:themeColor="text1" w:themeTint="F2"/>
                <w:spacing w:val="-4"/>
              </w:rPr>
              <w:t> </w:t>
            </w:r>
            <w:r>
              <w:rPr>
                <w:color w:val="000000" w:themeColor="text1"/>
                <w:spacing w:val="-4"/>
              </w:rPr>
              <w:t>% (resp. 2,9</w:t>
            </w:r>
            <w:r w:rsidRPr="008D59A9">
              <w:rPr>
                <w:color w:val="000000" w:themeColor="text1"/>
                <w:spacing w:val="-4"/>
              </w:rPr>
              <w:t xml:space="preserve"> % po očištění o kalendářní vlivy).</w:t>
            </w:r>
            <w:r>
              <w:rPr>
                <w:color w:val="000000" w:themeColor="text1"/>
                <w:spacing w:val="-4"/>
              </w:rPr>
              <w:t xml:space="preserve"> </w:t>
            </w:r>
            <w:r>
              <w:rPr>
                <w:spacing w:val="-4"/>
              </w:rPr>
              <w:t>Kalendářní vlivy ovlivnily zejména produkci ve 2. čtvrtletí, které mělo letos ve srovnání se stejným obdobím loňského roku o tři pracovní dny více. Rozdíl mezi očištěnou</w:t>
            </w:r>
            <w:r w:rsidR="00DC2A9F">
              <w:rPr>
                <w:spacing w:val="-4"/>
              </w:rPr>
              <w:t xml:space="preserve"> (+2,3 %) a neočištěnou </w:t>
            </w:r>
            <w:r w:rsidR="00DC2A9F">
              <w:rPr>
                <w:spacing w:val="-4"/>
              </w:rPr>
              <w:lastRenderedPageBreak/>
              <w:t>produkcí</w:t>
            </w:r>
            <w:r>
              <w:rPr>
                <w:spacing w:val="-4"/>
              </w:rPr>
              <w:t xml:space="preserve"> (+5,7 %) byl významný a v podobném rozsahu naposledy viditelný ve 3.</w:t>
            </w:r>
            <w:r w:rsidRPr="006B1E38">
              <w:rPr>
                <w:color w:val="000000" w:themeColor="text1"/>
                <w:spacing w:val="-4"/>
              </w:rPr>
              <w:t> </w:t>
            </w:r>
            <w:r>
              <w:rPr>
                <w:spacing w:val="-4"/>
              </w:rPr>
              <w:t xml:space="preserve">čtvrtletí 2008. Projevil se také vliv vyšší loňské základny, kdy výkon průmyslu úspěšně atakoval 5% tempa. Podstatné bylo, že </w:t>
            </w:r>
            <w:proofErr w:type="spellStart"/>
            <w:r>
              <w:rPr>
                <w:spacing w:val="-4"/>
              </w:rPr>
              <w:t>mezičtvrtletní</w:t>
            </w:r>
            <w:proofErr w:type="spellEnd"/>
            <w:r>
              <w:rPr>
                <w:spacing w:val="-4"/>
              </w:rPr>
              <w:t xml:space="preserve"> tempa významnější zpomalení růstu zatím neindikovala. K meziročně vyšší průmyslové produkci přispěl výhradně zpracovatelský průmysl (růst samotného odvětví dosáhl 5,4 %). Produkce energetiky, jež se stále potýkala s dopady dlouhodobých neplánovaných odstávek výrobních zařízení, fakticky stagnovala (podobně jako v 1. loňském pololetí). Řízený útlum v současnosti málo rentabilní těžby černého uhlí se odrazil v produkci celého těž</w:t>
            </w:r>
            <w:r w:rsidR="00DC2A9F">
              <w:rPr>
                <w:spacing w:val="-4"/>
              </w:rPr>
              <w:t>ebního průmyslu – v 2. čtvrtlet</w:t>
            </w:r>
            <w:r>
              <w:rPr>
                <w:spacing w:val="-4"/>
              </w:rPr>
              <w:t>í se proti úrovni z pr</w:t>
            </w:r>
            <w:r w:rsidR="00DC2A9F">
              <w:rPr>
                <w:spacing w:val="-4"/>
              </w:rPr>
              <w:t xml:space="preserve">vních třech měsíců roku 2016 </w:t>
            </w:r>
            <w:r>
              <w:rPr>
                <w:spacing w:val="-4"/>
              </w:rPr>
              <w:t xml:space="preserve">redukovala o téměř desetinu. Za posledních pět let (resp. proti 1. pololetí 2011) propadla produkce v těžbě uhlí o 31 </w:t>
            </w:r>
            <w:r w:rsidR="00DC2A9F">
              <w:rPr>
                <w:spacing w:val="-4"/>
              </w:rPr>
              <w:t>%, což korespondovalo s kontextem</w:t>
            </w:r>
            <w:r>
              <w:rPr>
                <w:spacing w:val="-4"/>
              </w:rPr>
              <w:t xml:space="preserve"> zemí EU</w:t>
            </w:r>
            <w:r>
              <w:rPr>
                <w:rStyle w:val="Znakapoznpodarou"/>
                <w:spacing w:val="-4"/>
              </w:rPr>
              <w:footnoteReference w:id="12"/>
            </w:r>
            <w:r>
              <w:rPr>
                <w:spacing w:val="-4"/>
              </w:rPr>
              <w:t xml:space="preserve">. </w:t>
            </w:r>
          </w:p>
          <w:p w:rsidR="00080AA8" w:rsidRPr="00074761" w:rsidRDefault="00080AA8" w:rsidP="00AF5D62">
            <w:pPr>
              <w:pStyle w:val="Textpoznpodarou"/>
              <w:jc w:val="both"/>
              <w:rPr>
                <w:spacing w:val="-4"/>
                <w:sz w:val="14"/>
                <w:szCs w:val="14"/>
              </w:rPr>
            </w:pPr>
          </w:p>
        </w:tc>
      </w:tr>
      <w:tr w:rsidR="00080AA8" w:rsidTr="00AF5D62">
        <w:trPr>
          <w:trHeight w:val="269"/>
        </w:trPr>
        <w:tc>
          <w:tcPr>
            <w:tcW w:w="1090" w:type="pct"/>
          </w:tcPr>
          <w:p w:rsidR="00080AA8" w:rsidRDefault="00080AA8" w:rsidP="00AF5D62">
            <w:pPr>
              <w:spacing w:line="240" w:lineRule="auto"/>
              <w:rPr>
                <w:sz w:val="16"/>
                <w:szCs w:val="16"/>
              </w:rPr>
            </w:pPr>
            <w:r>
              <w:rPr>
                <w:sz w:val="16"/>
                <w:szCs w:val="16"/>
              </w:rPr>
              <w:lastRenderedPageBreak/>
              <w:t>Meziroční růst produkce i tržeb ve výrobě motorových vozidel dosahoval dvouciferných hodnot…</w:t>
            </w:r>
          </w:p>
          <w:p w:rsidR="00080AA8" w:rsidRDefault="00080AA8" w:rsidP="00AF5D62">
            <w:pPr>
              <w:spacing w:line="240" w:lineRule="auto"/>
              <w:rPr>
                <w:sz w:val="16"/>
                <w:szCs w:val="16"/>
              </w:rPr>
            </w:pPr>
          </w:p>
          <w:p w:rsidR="00080AA8" w:rsidRDefault="00080AA8" w:rsidP="00AF5D62">
            <w:pPr>
              <w:spacing w:line="240" w:lineRule="auto"/>
              <w:rPr>
                <w:sz w:val="16"/>
                <w:szCs w:val="16"/>
              </w:rPr>
            </w:pPr>
          </w:p>
          <w:p w:rsidR="00080AA8" w:rsidRDefault="00080AA8" w:rsidP="00AF5D62">
            <w:pPr>
              <w:spacing w:line="240" w:lineRule="auto"/>
              <w:rPr>
                <w:sz w:val="16"/>
                <w:szCs w:val="16"/>
              </w:rPr>
            </w:pPr>
          </w:p>
          <w:p w:rsidR="00080AA8" w:rsidRDefault="00080AA8" w:rsidP="00AF5D62">
            <w:pPr>
              <w:spacing w:line="240" w:lineRule="auto"/>
              <w:rPr>
                <w:sz w:val="16"/>
                <w:szCs w:val="16"/>
              </w:rPr>
            </w:pPr>
            <w:r>
              <w:rPr>
                <w:sz w:val="16"/>
                <w:szCs w:val="16"/>
              </w:rPr>
              <w:t>…</w:t>
            </w:r>
            <w:r w:rsidRPr="008415CB">
              <w:rPr>
                <w:spacing w:val="-2"/>
                <w:sz w:val="16"/>
                <w:szCs w:val="16"/>
              </w:rPr>
              <w:t xml:space="preserve">dlouhodobě dominantní postavení tohoto odvětví v rámci průmyslu bylo letos ještě umocněno, bez něj by celková průmyslová produkce rostla o 3 </w:t>
            </w:r>
            <w:proofErr w:type="spellStart"/>
            <w:proofErr w:type="gramStart"/>
            <w:r w:rsidRPr="008415CB">
              <w:rPr>
                <w:spacing w:val="-2"/>
                <w:sz w:val="16"/>
                <w:szCs w:val="16"/>
              </w:rPr>
              <w:t>p.b</w:t>
            </w:r>
            <w:proofErr w:type="spellEnd"/>
            <w:r w:rsidRPr="008415CB">
              <w:rPr>
                <w:spacing w:val="-2"/>
                <w:sz w:val="16"/>
                <w:szCs w:val="16"/>
              </w:rPr>
              <w:t>.</w:t>
            </w:r>
            <w:r>
              <w:rPr>
                <w:spacing w:val="-2"/>
                <w:sz w:val="16"/>
                <w:szCs w:val="16"/>
              </w:rPr>
              <w:t xml:space="preserve"> méně</w:t>
            </w:r>
            <w:proofErr w:type="gramEnd"/>
          </w:p>
          <w:p w:rsidR="00080AA8" w:rsidRDefault="00080AA8" w:rsidP="00AF5D62">
            <w:pPr>
              <w:spacing w:line="240" w:lineRule="auto"/>
              <w:rPr>
                <w:sz w:val="16"/>
                <w:szCs w:val="16"/>
              </w:rPr>
            </w:pPr>
            <w:r>
              <w:rPr>
                <w:sz w:val="16"/>
                <w:szCs w:val="16"/>
              </w:rPr>
              <w:t xml:space="preserve"> </w:t>
            </w:r>
          </w:p>
        </w:tc>
        <w:tc>
          <w:tcPr>
            <w:tcW w:w="145" w:type="pct"/>
          </w:tcPr>
          <w:p w:rsidR="00080AA8" w:rsidRPr="00636F97" w:rsidRDefault="00080AA8" w:rsidP="00AF5D62">
            <w:pPr>
              <w:rPr>
                <w:spacing w:val="-4"/>
                <w:szCs w:val="20"/>
              </w:rPr>
            </w:pPr>
          </w:p>
        </w:tc>
        <w:tc>
          <w:tcPr>
            <w:tcW w:w="3765" w:type="pct"/>
          </w:tcPr>
          <w:p w:rsidR="00080AA8" w:rsidRPr="00E61A0D" w:rsidRDefault="00080AA8" w:rsidP="00AF5D62">
            <w:pPr>
              <w:pStyle w:val="Textpoznpodarou"/>
              <w:jc w:val="both"/>
              <w:rPr>
                <w:spacing w:val="-4"/>
              </w:rPr>
            </w:pPr>
            <w:r>
              <w:rPr>
                <w:spacing w:val="-4"/>
              </w:rPr>
              <w:t>Výroba motorových vozidel</w:t>
            </w:r>
            <w:r w:rsidRPr="00C00806">
              <w:rPr>
                <w:spacing w:val="-4"/>
              </w:rPr>
              <w:t xml:space="preserve"> (tvoří</w:t>
            </w:r>
            <w:r>
              <w:rPr>
                <w:spacing w:val="-4"/>
              </w:rPr>
              <w:t xml:space="preserve">cí téměř čtvrtinu </w:t>
            </w:r>
            <w:r w:rsidRPr="00C00806">
              <w:rPr>
                <w:spacing w:val="-4"/>
              </w:rPr>
              <w:t>produkce</w:t>
            </w:r>
            <w:r>
              <w:rPr>
                <w:spacing w:val="-4"/>
              </w:rPr>
              <w:t xml:space="preserve"> celého průmyslu</w:t>
            </w:r>
            <w:r w:rsidRPr="00C00806">
              <w:rPr>
                <w:spacing w:val="-4"/>
              </w:rPr>
              <w:t>)</w:t>
            </w:r>
            <w:r>
              <w:rPr>
                <w:spacing w:val="-4"/>
              </w:rPr>
              <w:t xml:space="preserve"> vzrostla v 1. pololetí o 16 % meziročně, od konce poslední recese (1. čtvrtletí 2013) se navýšila již o 53 %</w:t>
            </w:r>
            <w:r>
              <w:rPr>
                <w:rStyle w:val="Znakapoznpodarou"/>
                <w:spacing w:val="-4"/>
              </w:rPr>
              <w:footnoteReference w:id="13"/>
            </w:r>
            <w:r>
              <w:rPr>
                <w:spacing w:val="-4"/>
              </w:rPr>
              <w:t xml:space="preserve">. </w:t>
            </w:r>
            <w:proofErr w:type="gramStart"/>
            <w:r>
              <w:rPr>
                <w:spacing w:val="-4"/>
              </w:rPr>
              <w:t xml:space="preserve">Tržby (v </w:t>
            </w:r>
            <w:proofErr w:type="spellStart"/>
            <w:r>
              <w:rPr>
                <w:spacing w:val="-4"/>
              </w:rPr>
              <w:t>b.c</w:t>
            </w:r>
            <w:proofErr w:type="spellEnd"/>
            <w:r>
              <w:rPr>
                <w:spacing w:val="-4"/>
              </w:rPr>
              <w:t>.</w:t>
            </w:r>
            <w:proofErr w:type="gramEnd"/>
            <w:r>
              <w:rPr>
                <w:spacing w:val="-4"/>
              </w:rPr>
              <w:t xml:space="preserve">) </w:t>
            </w:r>
            <w:r w:rsidRPr="00C00806">
              <w:rPr>
                <w:spacing w:val="-4"/>
              </w:rPr>
              <w:t xml:space="preserve">byly vyšší </w:t>
            </w:r>
            <w:r>
              <w:rPr>
                <w:spacing w:val="-4"/>
              </w:rPr>
              <w:t xml:space="preserve">meziročně </w:t>
            </w:r>
            <w:r w:rsidRPr="00C00806">
              <w:rPr>
                <w:spacing w:val="-4"/>
              </w:rPr>
              <w:t xml:space="preserve">o </w:t>
            </w:r>
            <w:r>
              <w:rPr>
                <w:spacing w:val="-4"/>
              </w:rPr>
              <w:t>13 %, a to jak domácí, tak i </w:t>
            </w:r>
            <w:r w:rsidRPr="00C00806">
              <w:rPr>
                <w:spacing w:val="-4"/>
              </w:rPr>
              <w:t>z přímého vývozu. Rekordní hodnoty dosáhlo i fyzické množství vyrobených osobních automobilů</w:t>
            </w:r>
            <w:r w:rsidRPr="00C00806">
              <w:rPr>
                <w:rStyle w:val="Znakapoznpodarou"/>
                <w:spacing w:val="-4"/>
              </w:rPr>
              <w:footnoteReference w:id="14"/>
            </w:r>
            <w:r w:rsidRPr="00C00806">
              <w:rPr>
                <w:spacing w:val="-4"/>
              </w:rPr>
              <w:t xml:space="preserve">. </w:t>
            </w:r>
            <w:r>
              <w:rPr>
                <w:spacing w:val="-4"/>
              </w:rPr>
              <w:t xml:space="preserve">Nadprůměrné tempo produkce zaznamenaly i výrobci ostatních </w:t>
            </w:r>
            <w:r w:rsidRPr="00C00806">
              <w:rPr>
                <w:spacing w:val="-4"/>
              </w:rPr>
              <w:t>(především ko</w:t>
            </w:r>
            <w:r>
              <w:rPr>
                <w:spacing w:val="-4"/>
              </w:rPr>
              <w:t xml:space="preserve">lejových) dopravních vozidel (+5,4 %), zejména vlivem vyšší domácí poptávky. Hlavní subdodavatelské obory automobilového průmyslu na úspěšný loňský rok plně nenavázaly (např. ve výrobě elektrických zařízení meziroční růst zvolnil na 2,7 % a tržby z vývozu i na domácím trhu dokonce nepatrně poklesly). Stabilní byl naopak </w:t>
            </w:r>
            <w:r w:rsidRPr="00C00806">
              <w:rPr>
                <w:spacing w:val="-4"/>
              </w:rPr>
              <w:t>vývoj produkce ve váhově významných odvětví</w:t>
            </w:r>
            <w:r>
              <w:rPr>
                <w:spacing w:val="-4"/>
              </w:rPr>
              <w:t>ch kovovýroby (+7,2 %) a strojírenství (+2,3</w:t>
            </w:r>
            <w:r w:rsidRPr="00C00806">
              <w:rPr>
                <w:spacing w:val="-4"/>
              </w:rPr>
              <w:t xml:space="preserve"> %). Z men</w:t>
            </w:r>
            <w:r>
              <w:rPr>
                <w:spacing w:val="-4"/>
              </w:rPr>
              <w:t xml:space="preserve">ších odvětví se dařilo </w:t>
            </w:r>
            <w:r w:rsidRPr="00C00806">
              <w:rPr>
                <w:spacing w:val="-4"/>
              </w:rPr>
              <w:t>výrobcům nábytku (jejichž produk</w:t>
            </w:r>
            <w:r>
              <w:rPr>
                <w:spacing w:val="-4"/>
              </w:rPr>
              <w:t>ce za tři roky vzrostla o pětinu) či</w:t>
            </w:r>
            <w:r w:rsidRPr="00C00806">
              <w:rPr>
                <w:spacing w:val="-4"/>
              </w:rPr>
              <w:t xml:space="preserve"> </w:t>
            </w:r>
            <w:r>
              <w:rPr>
                <w:spacing w:val="-4"/>
              </w:rPr>
              <w:t>tiskárenství (těžící z vyšší tuzem</w:t>
            </w:r>
            <w:r w:rsidR="009010E3">
              <w:rPr>
                <w:spacing w:val="-4"/>
              </w:rPr>
              <w:t>ské poptávky). Pokračovalo mírné oživení dlouhodobě utlumeného</w:t>
            </w:r>
            <w:r>
              <w:rPr>
                <w:spacing w:val="-4"/>
              </w:rPr>
              <w:t xml:space="preserve"> oděvního průmyslu. Produkce v textilním průmyslu se již přiblížila úrovni 1. pololetí konjunkturního roku 2008 (této „mety“ stále polovina zpracovatelských oborů nedosáhla).</w:t>
            </w:r>
          </w:p>
          <w:p w:rsidR="00080AA8" w:rsidRPr="00074761" w:rsidRDefault="00080AA8" w:rsidP="00AF5D62">
            <w:pPr>
              <w:pStyle w:val="Textpoznpodarou"/>
              <w:jc w:val="both"/>
              <w:rPr>
                <w:spacing w:val="-4"/>
                <w:sz w:val="14"/>
                <w:szCs w:val="14"/>
              </w:rPr>
            </w:pPr>
          </w:p>
        </w:tc>
      </w:tr>
      <w:tr w:rsidR="00080AA8" w:rsidTr="00AF5D62">
        <w:tc>
          <w:tcPr>
            <w:tcW w:w="1090" w:type="pct"/>
          </w:tcPr>
          <w:p w:rsidR="00080AA8" w:rsidRDefault="00080AA8" w:rsidP="00AF5D62">
            <w:pPr>
              <w:spacing w:line="240" w:lineRule="auto"/>
              <w:rPr>
                <w:spacing w:val="-4"/>
                <w:sz w:val="16"/>
                <w:szCs w:val="16"/>
              </w:rPr>
            </w:pPr>
            <w:r w:rsidRPr="00B507F7">
              <w:rPr>
                <w:spacing w:val="-4"/>
                <w:sz w:val="16"/>
                <w:szCs w:val="16"/>
              </w:rPr>
              <w:t>Z významnějších zpr</w:t>
            </w:r>
            <w:r>
              <w:rPr>
                <w:spacing w:val="-4"/>
                <w:sz w:val="16"/>
                <w:szCs w:val="16"/>
              </w:rPr>
              <w:t>acovatelských oborů klesala produkce jen v hutnictví (vlivem přebytku oceli na evropských trzích), chemickém průmyslu (vlivem</w:t>
            </w:r>
            <w:r w:rsidRPr="00B507F7">
              <w:rPr>
                <w:spacing w:val="-4"/>
                <w:sz w:val="16"/>
                <w:szCs w:val="16"/>
              </w:rPr>
              <w:t xml:space="preserve"> havárií výrobních zařízení) </w:t>
            </w:r>
          </w:p>
          <w:p w:rsidR="00080AA8" w:rsidRPr="0036070D" w:rsidRDefault="00080AA8" w:rsidP="00AF5D62">
            <w:pPr>
              <w:spacing w:line="240" w:lineRule="auto"/>
              <w:rPr>
                <w:spacing w:val="-4"/>
                <w:sz w:val="16"/>
                <w:szCs w:val="16"/>
              </w:rPr>
            </w:pPr>
            <w:r>
              <w:rPr>
                <w:spacing w:val="-4"/>
                <w:sz w:val="16"/>
                <w:szCs w:val="16"/>
              </w:rPr>
              <w:t>a poprvé po osmi čtvrtletích i potravinářství</w:t>
            </w:r>
          </w:p>
          <w:p w:rsidR="00080AA8" w:rsidRPr="00CC67DF" w:rsidRDefault="00080AA8" w:rsidP="00AF5D62">
            <w:pPr>
              <w:spacing w:line="240" w:lineRule="auto"/>
              <w:rPr>
                <w:spacing w:val="-4"/>
                <w:sz w:val="16"/>
                <w:szCs w:val="16"/>
              </w:rPr>
            </w:pPr>
          </w:p>
        </w:tc>
        <w:tc>
          <w:tcPr>
            <w:tcW w:w="145" w:type="pct"/>
          </w:tcPr>
          <w:p w:rsidR="00080AA8" w:rsidRDefault="00080AA8" w:rsidP="00AF5D62">
            <w:pPr>
              <w:pStyle w:val="Textpoznpodarou"/>
              <w:jc w:val="both"/>
            </w:pPr>
          </w:p>
        </w:tc>
        <w:tc>
          <w:tcPr>
            <w:tcW w:w="3765" w:type="pct"/>
          </w:tcPr>
          <w:p w:rsidR="00080AA8" w:rsidRPr="003A7FF8" w:rsidRDefault="00080AA8" w:rsidP="00AF5D62">
            <w:pPr>
              <w:pStyle w:val="Textpoznpodarou"/>
              <w:jc w:val="both"/>
              <w:rPr>
                <w:color w:val="000000" w:themeColor="text1"/>
                <w:spacing w:val="-4"/>
              </w:rPr>
            </w:pPr>
            <w:r w:rsidRPr="003A7FF8">
              <w:rPr>
                <w:color w:val="000000" w:themeColor="text1"/>
                <w:spacing w:val="-4"/>
              </w:rPr>
              <w:t>Navzdory celkově příznivému vývoj</w:t>
            </w:r>
            <w:r>
              <w:rPr>
                <w:color w:val="000000" w:themeColor="text1"/>
                <w:spacing w:val="-4"/>
              </w:rPr>
              <w:t>i</w:t>
            </w:r>
            <w:r w:rsidRPr="003A7FF8">
              <w:rPr>
                <w:color w:val="000000" w:themeColor="text1"/>
                <w:spacing w:val="-4"/>
              </w:rPr>
              <w:t xml:space="preserve"> stále existovaly zpracovatelské obory, </w:t>
            </w:r>
            <w:r>
              <w:rPr>
                <w:color w:val="000000" w:themeColor="text1"/>
                <w:spacing w:val="-4"/>
              </w:rPr>
              <w:t xml:space="preserve">které se potýkaly s problémy. </w:t>
            </w:r>
            <w:r w:rsidR="00AA34FE">
              <w:rPr>
                <w:color w:val="000000" w:themeColor="text1"/>
                <w:spacing w:val="-4"/>
              </w:rPr>
              <w:t xml:space="preserve">Odstávky některých provozů </w:t>
            </w:r>
            <w:r>
              <w:rPr>
                <w:color w:val="000000" w:themeColor="text1"/>
                <w:spacing w:val="-4"/>
              </w:rPr>
              <w:t>již rok omezují výrobní kapacity v chemickém průmyslu, jeho letošní produkce meziročně propadla o sedminu. Šlo</w:t>
            </w:r>
            <w:r w:rsidRPr="00C00806">
              <w:rPr>
                <w:color w:val="000000" w:themeColor="text1"/>
                <w:spacing w:val="-4"/>
              </w:rPr>
              <w:t xml:space="preserve"> </w:t>
            </w:r>
            <w:r>
              <w:rPr>
                <w:color w:val="000000" w:themeColor="text1"/>
                <w:spacing w:val="-4"/>
              </w:rPr>
              <w:t xml:space="preserve">(společně s váhově </w:t>
            </w:r>
            <w:r w:rsidRPr="007A14BF">
              <w:rPr>
                <w:color w:val="000000" w:themeColor="text1"/>
                <w:spacing w:val="-4"/>
              </w:rPr>
              <w:t>slabým dřevozpracujícím</w:t>
            </w:r>
            <w:r>
              <w:rPr>
                <w:color w:val="000000" w:themeColor="text1"/>
                <w:spacing w:val="-4"/>
              </w:rPr>
              <w:t xml:space="preserve"> průmyslem) </w:t>
            </w:r>
            <w:r w:rsidRPr="00C00806">
              <w:rPr>
                <w:color w:val="000000" w:themeColor="text1"/>
                <w:spacing w:val="-4"/>
              </w:rPr>
              <w:t xml:space="preserve">o jediný zpracovatelský obor, jehož produkce svou úroveň z počátku roku 2013 (dno poslední recese ekonomiky) dosud nepřekonala. </w:t>
            </w:r>
            <w:r w:rsidR="009010E3">
              <w:rPr>
                <w:color w:val="000000" w:themeColor="text1"/>
                <w:spacing w:val="-4"/>
              </w:rPr>
              <w:t xml:space="preserve">Produkce letos klesla i v </w:t>
            </w:r>
            <w:r>
              <w:rPr>
                <w:color w:val="000000" w:themeColor="text1"/>
                <w:spacing w:val="-4"/>
              </w:rPr>
              <w:t>hutnictví a slévárenství. S </w:t>
            </w:r>
            <w:r w:rsidRPr="00C00806">
              <w:rPr>
                <w:color w:val="000000" w:themeColor="text1"/>
                <w:spacing w:val="-4"/>
              </w:rPr>
              <w:t>negativními důsledky přetlaku nabídky oceli na evrops</w:t>
            </w:r>
            <w:r>
              <w:rPr>
                <w:color w:val="000000" w:themeColor="text1"/>
                <w:spacing w:val="-4"/>
              </w:rPr>
              <w:t>kých trzích se v posledních měsících</w:t>
            </w:r>
            <w:r w:rsidRPr="00C00806">
              <w:rPr>
                <w:color w:val="000000" w:themeColor="text1"/>
                <w:spacing w:val="-4"/>
              </w:rPr>
              <w:t xml:space="preserve"> potýkala i většina </w:t>
            </w:r>
            <w:r>
              <w:rPr>
                <w:color w:val="000000" w:themeColor="text1"/>
                <w:spacing w:val="-4"/>
              </w:rPr>
              <w:t>evropských významných producentů.</w:t>
            </w:r>
            <w:r w:rsidRPr="00C00806">
              <w:rPr>
                <w:color w:val="000000"/>
                <w:spacing w:val="-4"/>
              </w:rPr>
              <w:t xml:space="preserve"> Poprvé po osmi čtvrtletích </w:t>
            </w:r>
            <w:r>
              <w:rPr>
                <w:color w:val="000000"/>
                <w:spacing w:val="-4"/>
              </w:rPr>
              <w:t xml:space="preserve">se </w:t>
            </w:r>
            <w:r w:rsidRPr="00C00806">
              <w:rPr>
                <w:color w:val="000000"/>
                <w:spacing w:val="-4"/>
              </w:rPr>
              <w:t xml:space="preserve">zastavil </w:t>
            </w:r>
            <w:r>
              <w:rPr>
                <w:color w:val="000000"/>
                <w:spacing w:val="-4"/>
              </w:rPr>
              <w:t xml:space="preserve">mírný </w:t>
            </w:r>
            <w:r w:rsidRPr="00C00806">
              <w:rPr>
                <w:color w:val="000000"/>
                <w:spacing w:val="-4"/>
              </w:rPr>
              <w:t>růst produkce v objemově významném a potravinářském průmysl</w:t>
            </w:r>
            <w:r>
              <w:rPr>
                <w:color w:val="000000"/>
                <w:spacing w:val="-4"/>
              </w:rPr>
              <w:t>u. I mělký meziroční pokles (o</w:t>
            </w:r>
            <w:r>
              <w:rPr>
                <w:color w:val="000000" w:themeColor="text1"/>
                <w:spacing w:val="-4"/>
              </w:rPr>
              <w:t> </w:t>
            </w:r>
            <w:r>
              <w:rPr>
                <w:color w:val="000000"/>
                <w:spacing w:val="-4"/>
              </w:rPr>
              <w:t>2,2</w:t>
            </w:r>
            <w:r>
              <w:rPr>
                <w:color w:val="000000" w:themeColor="text1"/>
                <w:spacing w:val="-4"/>
              </w:rPr>
              <w:t> </w:t>
            </w:r>
            <w:r w:rsidR="009010E3">
              <w:rPr>
                <w:color w:val="000000"/>
                <w:spacing w:val="-4"/>
              </w:rPr>
              <w:t>%) znamenal v tomto stabilním</w:t>
            </w:r>
            <w:r w:rsidRPr="00C00806">
              <w:rPr>
                <w:color w:val="000000"/>
                <w:spacing w:val="-4"/>
              </w:rPr>
              <w:t xml:space="preserve"> </w:t>
            </w:r>
            <w:r w:rsidR="009010E3">
              <w:rPr>
                <w:color w:val="000000"/>
                <w:spacing w:val="-4"/>
              </w:rPr>
              <w:t>(</w:t>
            </w:r>
            <w:r w:rsidRPr="00C00806">
              <w:rPr>
                <w:color w:val="000000"/>
                <w:spacing w:val="-4"/>
              </w:rPr>
              <w:t xml:space="preserve">především na </w:t>
            </w:r>
            <w:r w:rsidR="009010E3">
              <w:rPr>
                <w:color w:val="000000"/>
                <w:spacing w:val="-4"/>
              </w:rPr>
              <w:t>domácí trh orientovaném) odvětví</w:t>
            </w:r>
            <w:r w:rsidRPr="00C00806">
              <w:rPr>
                <w:color w:val="000000"/>
                <w:spacing w:val="-4"/>
              </w:rPr>
              <w:t xml:space="preserve"> nejhorší výsledek od konce roku 2011.</w:t>
            </w:r>
          </w:p>
          <w:p w:rsidR="00080AA8" w:rsidRPr="00074761" w:rsidRDefault="00080AA8" w:rsidP="00AF5D62">
            <w:pPr>
              <w:pStyle w:val="Textpoznpodarou"/>
              <w:jc w:val="both"/>
              <w:rPr>
                <w:color w:val="000000" w:themeColor="text1"/>
                <w:spacing w:val="-4"/>
                <w:sz w:val="14"/>
                <w:szCs w:val="14"/>
              </w:rPr>
            </w:pPr>
          </w:p>
        </w:tc>
      </w:tr>
      <w:tr w:rsidR="00080AA8" w:rsidTr="00AF5D62">
        <w:tc>
          <w:tcPr>
            <w:tcW w:w="1090" w:type="pct"/>
          </w:tcPr>
          <w:p w:rsidR="00080AA8" w:rsidRDefault="00080AA8" w:rsidP="00AF5D62">
            <w:pPr>
              <w:spacing w:line="240" w:lineRule="auto"/>
              <w:rPr>
                <w:spacing w:val="-2"/>
                <w:sz w:val="16"/>
                <w:szCs w:val="16"/>
              </w:rPr>
            </w:pPr>
            <w:r w:rsidRPr="007964B6">
              <w:rPr>
                <w:spacing w:val="-2"/>
                <w:sz w:val="16"/>
                <w:szCs w:val="16"/>
              </w:rPr>
              <w:t xml:space="preserve">Výrazné zrychlení tempa růstu nových zakázek </w:t>
            </w:r>
            <w:proofErr w:type="gramStart"/>
            <w:r>
              <w:rPr>
                <w:spacing w:val="-2"/>
                <w:sz w:val="16"/>
                <w:szCs w:val="16"/>
              </w:rPr>
              <w:t>ve</w:t>
            </w:r>
            <w:proofErr w:type="gramEnd"/>
            <w:r>
              <w:rPr>
                <w:spacing w:val="-2"/>
                <w:sz w:val="16"/>
                <w:szCs w:val="16"/>
              </w:rPr>
              <w:t xml:space="preserve"> </w:t>
            </w:r>
          </w:p>
          <w:p w:rsidR="00080AA8" w:rsidRDefault="00080AA8" w:rsidP="00AF5D62">
            <w:pPr>
              <w:spacing w:line="240" w:lineRule="auto"/>
              <w:rPr>
                <w:spacing w:val="-2"/>
                <w:sz w:val="16"/>
                <w:szCs w:val="16"/>
              </w:rPr>
            </w:pPr>
            <w:r>
              <w:rPr>
                <w:spacing w:val="-2"/>
                <w:sz w:val="16"/>
                <w:szCs w:val="16"/>
              </w:rPr>
              <w:t xml:space="preserve">2. čtvrtletí </w:t>
            </w:r>
            <w:r w:rsidRPr="007964B6">
              <w:rPr>
                <w:spacing w:val="-2"/>
                <w:sz w:val="16"/>
                <w:szCs w:val="16"/>
              </w:rPr>
              <w:t>ve výrobě motorových vozidel, v ostatních odvětvích však byla dynamika slabá (strojírenství), či hodnota zakázek dokonce klesala (chemický průmysl, hutnictví)</w:t>
            </w:r>
          </w:p>
          <w:p w:rsidR="00080AA8" w:rsidRDefault="00080AA8" w:rsidP="00AF5D62">
            <w:pPr>
              <w:spacing w:line="240" w:lineRule="auto"/>
              <w:rPr>
                <w:spacing w:val="-2"/>
                <w:sz w:val="16"/>
                <w:szCs w:val="16"/>
              </w:rPr>
            </w:pPr>
          </w:p>
          <w:p w:rsidR="00080AA8" w:rsidRDefault="00080AA8" w:rsidP="00AF5D62">
            <w:pPr>
              <w:spacing w:line="240" w:lineRule="auto"/>
              <w:rPr>
                <w:spacing w:val="-2"/>
                <w:sz w:val="16"/>
                <w:szCs w:val="16"/>
              </w:rPr>
            </w:pPr>
          </w:p>
          <w:p w:rsidR="00080AA8" w:rsidRDefault="00080AA8" w:rsidP="00AF5D62">
            <w:pPr>
              <w:spacing w:line="240" w:lineRule="auto"/>
              <w:rPr>
                <w:spacing w:val="-2"/>
                <w:sz w:val="16"/>
                <w:szCs w:val="16"/>
              </w:rPr>
            </w:pPr>
          </w:p>
          <w:p w:rsidR="00080AA8" w:rsidRDefault="00080AA8" w:rsidP="00AF5D62">
            <w:pPr>
              <w:spacing w:line="240" w:lineRule="auto"/>
              <w:rPr>
                <w:spacing w:val="-2"/>
                <w:sz w:val="16"/>
                <w:szCs w:val="16"/>
              </w:rPr>
            </w:pPr>
          </w:p>
          <w:p w:rsidR="00080AA8" w:rsidRPr="00BC5795" w:rsidRDefault="00080AA8" w:rsidP="00AF5D62">
            <w:pPr>
              <w:spacing w:line="240" w:lineRule="auto"/>
              <w:rPr>
                <w:spacing w:val="-2"/>
                <w:sz w:val="16"/>
                <w:szCs w:val="16"/>
              </w:rPr>
            </w:pPr>
            <w:r w:rsidRPr="00BC5795">
              <w:rPr>
                <w:spacing w:val="-2"/>
                <w:sz w:val="16"/>
                <w:szCs w:val="16"/>
              </w:rPr>
              <w:t>Od poloviny roku 2015 pociťují průmyslové podniky nedostatek pracovní síly jako barieru růstu stále častěji</w:t>
            </w:r>
          </w:p>
        </w:tc>
        <w:tc>
          <w:tcPr>
            <w:tcW w:w="145" w:type="pct"/>
          </w:tcPr>
          <w:p w:rsidR="00080AA8" w:rsidRDefault="00080AA8" w:rsidP="00AF5D62">
            <w:pPr>
              <w:pStyle w:val="Textpoznpodarou"/>
              <w:jc w:val="both"/>
              <w:rPr>
                <w:spacing w:val="-2"/>
              </w:rPr>
            </w:pPr>
          </w:p>
        </w:tc>
        <w:tc>
          <w:tcPr>
            <w:tcW w:w="3765" w:type="pct"/>
          </w:tcPr>
          <w:p w:rsidR="00080AA8" w:rsidRPr="00A13ED4" w:rsidRDefault="00080AA8" w:rsidP="00AF5D62">
            <w:pPr>
              <w:pStyle w:val="Textpoznpodarou"/>
              <w:jc w:val="both"/>
              <w:rPr>
                <w:color w:val="000000" w:themeColor="text1"/>
                <w:spacing w:val="-5"/>
              </w:rPr>
            </w:pPr>
            <w:r>
              <w:rPr>
                <w:spacing w:val="-4"/>
              </w:rPr>
              <w:t xml:space="preserve">Slušné krátkodobé vyhlídky průmyslu indukuje vývoj nových zakázek. Tempo růstu jejich hodnoty na počátku roku sice citelně zpomalilo (na 0,9 % meziročně, tj. nejnižší tempo od konce recese), ve 2. čtvrtletí ale těsně prolomilo 10% hranici. Přispěla k tomu rozhodující měrou výroba motorových vozidel (v 1. čtvrtletí činil růst 11 %, ve 2. čtvrtletí 30 %). Během 1. pololetí přetrvávala mírně pozitivní nálada podnikatelů v průmyslu. </w:t>
            </w:r>
            <w:r>
              <w:rPr>
                <w:color w:val="000000" w:themeColor="text1"/>
                <w:spacing w:val="-4"/>
              </w:rPr>
              <w:t xml:space="preserve">Sezónně očištěná salda indikátorů důvěry dosahují stabilních hodnot již dva a půl roku. </w:t>
            </w:r>
            <w:r w:rsidR="00241446">
              <w:rPr>
                <w:color w:val="000000" w:themeColor="text1"/>
                <w:spacing w:val="-4"/>
              </w:rPr>
              <w:t>V srpnu očekávalo r</w:t>
            </w:r>
            <w:r>
              <w:rPr>
                <w:color w:val="000000" w:themeColor="text1"/>
                <w:spacing w:val="-4"/>
              </w:rPr>
              <w:t>ůst u výrobní činn</w:t>
            </w:r>
            <w:r w:rsidR="00241446">
              <w:rPr>
                <w:color w:val="000000" w:themeColor="text1"/>
                <w:spacing w:val="-4"/>
              </w:rPr>
              <w:t xml:space="preserve">osti v příštích třech měsících </w:t>
            </w:r>
            <w:r>
              <w:rPr>
                <w:color w:val="000000" w:themeColor="text1"/>
                <w:spacing w:val="-4"/>
              </w:rPr>
              <w:t>22</w:t>
            </w:r>
            <w:r>
              <w:rPr>
                <w:spacing w:val="-4"/>
              </w:rPr>
              <w:t> </w:t>
            </w:r>
            <w:r>
              <w:rPr>
                <w:color w:val="000000" w:themeColor="text1"/>
                <w:spacing w:val="-4"/>
              </w:rPr>
              <w:t xml:space="preserve">% průmyslových podniků, u zaměstnanosti 16 %, v obou případech byly hodnoty proti srpnu 2015 mírně vyšší. Výrazně naopak zrychlil podíl podniků, které považují nedostatek pracovní síly za bariéru </w:t>
            </w:r>
            <w:r w:rsidRPr="001805D6">
              <w:rPr>
                <w:color w:val="000000" w:themeColor="text1"/>
                <w:spacing w:val="-4"/>
              </w:rPr>
              <w:t>růstu. Na počátku 3. čtvrtletí 2016 šlo již o 19 % firem, o rok dříve jen 8 %. Dynamika zaměstnanosti i mezd mírně sílila. Na počátku roku vzrostl dle podnikových statistik průměrný evidenční počet zaměstnanců (v průmyslových</w:t>
            </w:r>
            <w:r w:rsidRPr="001805D6">
              <w:rPr>
                <w:color w:val="0D0D0D" w:themeColor="text1" w:themeTint="F2"/>
                <w:spacing w:val="-4"/>
              </w:rPr>
              <w:t xml:space="preserve"> </w:t>
            </w:r>
            <w:r w:rsidRPr="001805D6">
              <w:rPr>
                <w:color w:val="000000" w:themeColor="text1"/>
                <w:spacing w:val="-4"/>
              </w:rPr>
              <w:t>podnicích v</w:t>
            </w:r>
            <w:r w:rsidRPr="001805D6">
              <w:rPr>
                <w:spacing w:val="-4"/>
              </w:rPr>
              <w:t> </w:t>
            </w:r>
            <w:r w:rsidRPr="001805D6">
              <w:rPr>
                <w:color w:val="000000" w:themeColor="text1"/>
                <w:spacing w:val="-4"/>
              </w:rPr>
              <w:t xml:space="preserve">ČR) meziročně o 2,7 %, z toho ve výrobě motorových vozidel více o 6,5 %. Zaměstnanecká místa redukovalo hutnictví, těžba a energetika. Průměrné mzdy se </w:t>
            </w:r>
            <w:r>
              <w:rPr>
                <w:color w:val="000000" w:themeColor="text1"/>
                <w:spacing w:val="-4"/>
              </w:rPr>
              <w:t xml:space="preserve">(ve vazbě na posun hranice minimální mzdy) </w:t>
            </w:r>
            <w:r w:rsidRPr="001805D6">
              <w:rPr>
                <w:color w:val="000000" w:themeColor="text1"/>
                <w:spacing w:val="-4"/>
              </w:rPr>
              <w:t xml:space="preserve">relativně nejvíce zvýšily v oborech </w:t>
            </w:r>
            <w:r>
              <w:rPr>
                <w:color w:val="000000" w:themeColor="text1"/>
                <w:spacing w:val="-4"/>
              </w:rPr>
              <w:t>s nízkou úrovní výdělků (oděvní, kožedělný, dřevozpracující, nábytkářský průmysl), navzdory výpadku kapacit ale i v chemickém průmyslu.</w:t>
            </w:r>
          </w:p>
          <w:p w:rsidR="00080AA8" w:rsidRPr="00A918F2" w:rsidRDefault="00080AA8" w:rsidP="00AF5D62">
            <w:pPr>
              <w:pStyle w:val="Textpoznpodarou"/>
              <w:jc w:val="both"/>
              <w:rPr>
                <w:spacing w:val="-4"/>
                <w:sz w:val="6"/>
                <w:szCs w:val="6"/>
              </w:rPr>
            </w:pPr>
          </w:p>
        </w:tc>
      </w:tr>
      <w:tr w:rsidR="00080AA8" w:rsidTr="00AF5D62">
        <w:tc>
          <w:tcPr>
            <w:tcW w:w="1090" w:type="pct"/>
          </w:tcPr>
          <w:p w:rsidR="00080AA8" w:rsidRDefault="00080AA8" w:rsidP="00AF5D62">
            <w:pPr>
              <w:spacing w:line="240" w:lineRule="auto"/>
              <w:rPr>
                <w:sz w:val="16"/>
                <w:szCs w:val="16"/>
              </w:rPr>
            </w:pPr>
            <w:r>
              <w:rPr>
                <w:sz w:val="16"/>
                <w:szCs w:val="16"/>
              </w:rPr>
              <w:lastRenderedPageBreak/>
              <w:t>Na stavební produkci negativně působil pokles veřejných výdajů na dopravní stavby, ale i pomalý rozvoj v oblasti bytové výstavby</w:t>
            </w:r>
          </w:p>
          <w:p w:rsidR="00080AA8" w:rsidRDefault="00080AA8" w:rsidP="00AF5D62">
            <w:pPr>
              <w:spacing w:line="240" w:lineRule="auto"/>
              <w:rPr>
                <w:sz w:val="16"/>
                <w:szCs w:val="16"/>
              </w:rPr>
            </w:pPr>
          </w:p>
          <w:p w:rsidR="00080AA8" w:rsidRPr="000B1183" w:rsidRDefault="00080AA8" w:rsidP="00AF5D62">
            <w:pPr>
              <w:spacing w:line="240" w:lineRule="auto"/>
              <w:rPr>
                <w:sz w:val="16"/>
                <w:szCs w:val="16"/>
              </w:rPr>
            </w:pPr>
            <w:r>
              <w:rPr>
                <w:color w:val="000000" w:themeColor="text1"/>
                <w:sz w:val="16"/>
                <w:szCs w:val="16"/>
              </w:rPr>
              <w:t>Výkon stavebnictví se nacházel na předloňské úrovni, proti 1. polovině roku 2008 byl však o čtvrtinu nižší</w:t>
            </w:r>
          </w:p>
        </w:tc>
        <w:tc>
          <w:tcPr>
            <w:tcW w:w="145" w:type="pct"/>
          </w:tcPr>
          <w:p w:rsidR="00080AA8" w:rsidRDefault="00080AA8" w:rsidP="00AF5D62">
            <w:pPr>
              <w:pStyle w:val="Textpoznpodarou"/>
              <w:jc w:val="both"/>
              <w:rPr>
                <w:spacing w:val="-2"/>
              </w:rPr>
            </w:pPr>
          </w:p>
        </w:tc>
        <w:tc>
          <w:tcPr>
            <w:tcW w:w="3765" w:type="pct"/>
          </w:tcPr>
          <w:p w:rsidR="00080AA8" w:rsidRPr="00AA34FE" w:rsidRDefault="00080AA8" w:rsidP="00AF5D62">
            <w:pPr>
              <w:pStyle w:val="Textpoznpodarou"/>
              <w:jc w:val="both"/>
              <w:rPr>
                <w:spacing w:val="-4"/>
              </w:rPr>
            </w:pPr>
            <w:r>
              <w:rPr>
                <w:spacing w:val="-4"/>
              </w:rPr>
              <w:t>P</w:t>
            </w:r>
            <w:r w:rsidRPr="002259EC">
              <w:rPr>
                <w:spacing w:val="-4"/>
              </w:rPr>
              <w:t xml:space="preserve">rodukce </w:t>
            </w:r>
            <w:r>
              <w:rPr>
                <w:spacing w:val="-4"/>
              </w:rPr>
              <w:t xml:space="preserve">ve stavebnictví </w:t>
            </w:r>
            <w:r w:rsidRPr="002259EC">
              <w:rPr>
                <w:spacing w:val="-4"/>
              </w:rPr>
              <w:t>se</w:t>
            </w:r>
            <w:r>
              <w:rPr>
                <w:spacing w:val="-4"/>
              </w:rPr>
              <w:t xml:space="preserve"> po silném růstu z předchozích dvou let letos opět vrátila k hlubším meziročním poklesům</w:t>
            </w:r>
            <w:r>
              <w:rPr>
                <w:rStyle w:val="Znakapoznpodarou"/>
                <w:spacing w:val="-4"/>
              </w:rPr>
              <w:footnoteReference w:id="15"/>
            </w:r>
            <w:r>
              <w:rPr>
                <w:spacing w:val="-4"/>
              </w:rPr>
              <w:t>. V prvních třec</w:t>
            </w:r>
            <w:r w:rsidR="00791804">
              <w:rPr>
                <w:spacing w:val="-4"/>
              </w:rPr>
              <w:t>h měsících roku se snížila o 7,7</w:t>
            </w:r>
            <w:r>
              <w:rPr>
                <w:spacing w:val="-4"/>
              </w:rPr>
              <w:t xml:space="preserve"> %, ve 2. čtvrtletí se pokles ještě prohloubil na 12,2 %. V </w:t>
            </w:r>
            <w:proofErr w:type="spellStart"/>
            <w:r>
              <w:rPr>
                <w:spacing w:val="-4"/>
              </w:rPr>
              <w:t>mezikvartálním</w:t>
            </w:r>
            <w:proofErr w:type="spellEnd"/>
            <w:r>
              <w:rPr>
                <w:spacing w:val="-4"/>
              </w:rPr>
              <w:t xml:space="preserve"> vyjádření se výkon stavebnictví snižuje nepřetržitě již čtyři čtvrtletí v řadě. Za loňskou úrovní v letošním 1. pololetí výrazně zaostaly </w:t>
            </w:r>
            <w:r w:rsidR="00791804">
              <w:rPr>
                <w:spacing w:val="-4"/>
              </w:rPr>
              <w:t>jak inženýrské stavitelství (-13,2</w:t>
            </w:r>
            <w:r>
              <w:rPr>
                <w:spacing w:val="-4"/>
              </w:rPr>
              <w:t xml:space="preserve"> %), tak i váhově význam</w:t>
            </w:r>
            <w:r w:rsidR="00791804">
              <w:rPr>
                <w:spacing w:val="-4"/>
              </w:rPr>
              <w:t>nější pozemní stavitelství (-9,4</w:t>
            </w:r>
            <w:r>
              <w:rPr>
                <w:spacing w:val="-4"/>
              </w:rPr>
              <w:t xml:space="preserve"> %). Zatímco výsledek inženýrského stavitelství byl s ohledem na intenzivní realizaci dopravních staveb vázaných na loni končící </w:t>
            </w:r>
            <w:r>
              <w:rPr>
                <w:color w:val="000000" w:themeColor="text1"/>
                <w:spacing w:val="-4"/>
              </w:rPr>
              <w:t>programovací období EU do značné míry očekávaný, hluboký pokles pozemního stavitelství přinesl překvapivé zjištění.</w:t>
            </w:r>
          </w:p>
          <w:p w:rsidR="00080AA8" w:rsidRPr="00A13ED4" w:rsidRDefault="00080AA8" w:rsidP="00AF5D62">
            <w:pPr>
              <w:pStyle w:val="Textpoznpodarou"/>
              <w:jc w:val="both"/>
              <w:rPr>
                <w:spacing w:val="-4"/>
                <w:sz w:val="14"/>
                <w:szCs w:val="14"/>
              </w:rPr>
            </w:pPr>
          </w:p>
        </w:tc>
      </w:tr>
      <w:tr w:rsidR="00080AA8" w:rsidTr="00AF5D62">
        <w:tc>
          <w:tcPr>
            <w:tcW w:w="1090" w:type="pct"/>
          </w:tcPr>
          <w:p w:rsidR="00080AA8" w:rsidRDefault="00080AA8" w:rsidP="00AF5D62">
            <w:pPr>
              <w:spacing w:line="240" w:lineRule="auto"/>
              <w:rPr>
                <w:color w:val="000000" w:themeColor="text1"/>
                <w:sz w:val="16"/>
                <w:szCs w:val="16"/>
              </w:rPr>
            </w:pPr>
            <w:r>
              <w:rPr>
                <w:color w:val="000000" w:themeColor="text1"/>
                <w:sz w:val="16"/>
                <w:szCs w:val="16"/>
              </w:rPr>
              <w:t>Hodnota nových zakázek se meziročně snižovala již čtyři čtvrtletí v řadě</w:t>
            </w:r>
          </w:p>
          <w:p w:rsidR="00080AA8" w:rsidRDefault="00080AA8" w:rsidP="00AF5D62">
            <w:pPr>
              <w:spacing w:line="240" w:lineRule="auto"/>
              <w:rPr>
                <w:color w:val="000000" w:themeColor="text1"/>
                <w:sz w:val="16"/>
                <w:szCs w:val="16"/>
              </w:rPr>
            </w:pPr>
          </w:p>
          <w:p w:rsidR="00080AA8" w:rsidRDefault="00080AA8" w:rsidP="00AF5D62">
            <w:pPr>
              <w:spacing w:line="240" w:lineRule="auto"/>
              <w:rPr>
                <w:color w:val="000000" w:themeColor="text1"/>
                <w:sz w:val="16"/>
                <w:szCs w:val="16"/>
              </w:rPr>
            </w:pPr>
          </w:p>
          <w:p w:rsidR="00080AA8" w:rsidRDefault="00080AA8" w:rsidP="00AF5D62">
            <w:pPr>
              <w:spacing w:line="240" w:lineRule="auto"/>
              <w:rPr>
                <w:color w:val="000000" w:themeColor="text1"/>
                <w:sz w:val="16"/>
                <w:szCs w:val="16"/>
              </w:rPr>
            </w:pPr>
          </w:p>
          <w:p w:rsidR="00080AA8" w:rsidRDefault="00080AA8" w:rsidP="00AF5D62">
            <w:pPr>
              <w:spacing w:line="240" w:lineRule="auto"/>
              <w:rPr>
                <w:color w:val="000000" w:themeColor="text1"/>
                <w:sz w:val="16"/>
                <w:szCs w:val="16"/>
              </w:rPr>
            </w:pPr>
            <w:r>
              <w:rPr>
                <w:color w:val="000000" w:themeColor="text1"/>
                <w:sz w:val="16"/>
                <w:szCs w:val="16"/>
              </w:rPr>
              <w:t>Stavebnictví letos zatím chyběly větší stavby, průměrná hodnota nově uzavřené zakázky klesla pod 3 mil. korun – na nejnižší úroveň za posledních dvanáct čtvrtletí</w:t>
            </w:r>
          </w:p>
          <w:p w:rsidR="00080AA8" w:rsidRDefault="00080AA8" w:rsidP="00AF5D62">
            <w:pPr>
              <w:spacing w:line="240" w:lineRule="auto"/>
              <w:rPr>
                <w:color w:val="000000" w:themeColor="text1"/>
                <w:sz w:val="16"/>
                <w:szCs w:val="16"/>
              </w:rPr>
            </w:pPr>
          </w:p>
          <w:p w:rsidR="00080AA8" w:rsidRDefault="00080AA8" w:rsidP="00AF5D62">
            <w:pPr>
              <w:spacing w:line="240" w:lineRule="auto"/>
              <w:rPr>
                <w:color w:val="000000" w:themeColor="text1"/>
                <w:sz w:val="16"/>
                <w:szCs w:val="16"/>
              </w:rPr>
            </w:pPr>
          </w:p>
          <w:p w:rsidR="00080AA8" w:rsidRPr="0032604E" w:rsidRDefault="00080AA8" w:rsidP="00AF5D62">
            <w:pPr>
              <w:spacing w:line="240" w:lineRule="auto"/>
              <w:rPr>
                <w:color w:val="000000" w:themeColor="text1"/>
                <w:sz w:val="16"/>
                <w:szCs w:val="16"/>
              </w:rPr>
            </w:pPr>
          </w:p>
        </w:tc>
        <w:tc>
          <w:tcPr>
            <w:tcW w:w="145" w:type="pct"/>
          </w:tcPr>
          <w:p w:rsidR="00080AA8" w:rsidRDefault="00080AA8" w:rsidP="00AF5D62">
            <w:pPr>
              <w:pStyle w:val="Textpoznpodarou"/>
              <w:jc w:val="both"/>
              <w:rPr>
                <w:spacing w:val="-2"/>
              </w:rPr>
            </w:pPr>
          </w:p>
        </w:tc>
        <w:tc>
          <w:tcPr>
            <w:tcW w:w="3765" w:type="pct"/>
          </w:tcPr>
          <w:p w:rsidR="00080AA8" w:rsidRDefault="00080AA8" w:rsidP="00AF5D62">
            <w:pPr>
              <w:pStyle w:val="Textpoznpodarou"/>
              <w:jc w:val="both"/>
              <w:rPr>
                <w:spacing w:val="-4"/>
              </w:rPr>
            </w:pPr>
            <w:r>
              <w:rPr>
                <w:spacing w:val="-4"/>
              </w:rPr>
              <w:t>Celková zásoba práce (na konci 2. čtvrtletí) ve formě všech dosud nerealizovaných stavebních zakázek se meziročně zredukovala o desetinu (na 147 mld. korun), výhradně vlivem tuzemských veřejných zakázek (-18,4 %). Hodnota nových zakázek (stavebních podniků s 50 a více zaměstnanci) v 1. pololetí meziročně poklesla o 4 %, o což se přičinily o šestinu nižší objednávky na inženýrské stavby. Pozitivním signálem byl vyšší příliv nových zakázek u pozemního stavitelství ve 2. čtvrtletí (+28 %). Jejich hodnota za celé 1. pololetí byla v rámci tohoto období roku nejvyšší za posledních pět let. Celému odvětví však letos chybí větší stavby. Průměrná hodnota nově uzavřené zakázky klesla v 1. pololetí po</w:t>
            </w:r>
            <w:r w:rsidR="00AA34FE">
              <w:rPr>
                <w:spacing w:val="-4"/>
              </w:rPr>
              <w:t>d 3 mil. korun (v letech 2014 a </w:t>
            </w:r>
            <w:r>
              <w:rPr>
                <w:spacing w:val="-4"/>
              </w:rPr>
              <w:t>2015 oscilovala kolem 4 mil. korun). Dle jiného předstihového ukazatele – stavebních povolení – byly vyhlídky stavebnictví o něco příznivější. Průměrná orientační hodnota na 1 povolení ve 2. čtvrtletí vzrostla na 3,7 mil. korun (z 3,2 mil. z předchozího čtvrtletí) a byla zároveň nejvyšší od 3. čtvrtletí 2012.</w:t>
            </w:r>
          </w:p>
          <w:p w:rsidR="00080AA8" w:rsidRPr="0078776B" w:rsidRDefault="00080AA8" w:rsidP="00AF5D62">
            <w:pPr>
              <w:pStyle w:val="Textpoznpodarou"/>
              <w:jc w:val="both"/>
              <w:rPr>
                <w:spacing w:val="-4"/>
                <w:sz w:val="14"/>
                <w:szCs w:val="14"/>
              </w:rPr>
            </w:pPr>
          </w:p>
        </w:tc>
      </w:tr>
      <w:tr w:rsidR="00080AA8" w:rsidTr="00AF5D62">
        <w:tc>
          <w:tcPr>
            <w:tcW w:w="1090" w:type="pct"/>
          </w:tcPr>
          <w:p w:rsidR="00080AA8" w:rsidRPr="0032604E" w:rsidRDefault="00080AA8" w:rsidP="00AF5D62">
            <w:pPr>
              <w:spacing w:line="240" w:lineRule="auto"/>
              <w:rPr>
                <w:color w:val="000000" w:themeColor="text1"/>
                <w:sz w:val="16"/>
                <w:szCs w:val="16"/>
              </w:rPr>
            </w:pPr>
            <w:r>
              <w:rPr>
                <w:color w:val="000000" w:themeColor="text1"/>
                <w:sz w:val="16"/>
                <w:szCs w:val="16"/>
              </w:rPr>
              <w:t>Nízká četnost výstavby bytových domů v Praze srazila letos počet všech zahájených bytů v ČR na třetí nejnižší hodnotu po roce 2000</w:t>
            </w:r>
          </w:p>
        </w:tc>
        <w:tc>
          <w:tcPr>
            <w:tcW w:w="145" w:type="pct"/>
          </w:tcPr>
          <w:p w:rsidR="00080AA8" w:rsidRDefault="00080AA8" w:rsidP="00AF5D62">
            <w:pPr>
              <w:pStyle w:val="Textpoznpodarou"/>
              <w:jc w:val="both"/>
              <w:rPr>
                <w:spacing w:val="-2"/>
              </w:rPr>
            </w:pPr>
          </w:p>
        </w:tc>
        <w:tc>
          <w:tcPr>
            <w:tcW w:w="3765" w:type="pct"/>
          </w:tcPr>
          <w:p w:rsidR="00080AA8" w:rsidRDefault="00080AA8" w:rsidP="00AF5D62">
            <w:pPr>
              <w:pStyle w:val="Textpoznpodarou"/>
              <w:jc w:val="both"/>
              <w:rPr>
                <w:spacing w:val="-4"/>
              </w:rPr>
            </w:pPr>
            <w:r>
              <w:rPr>
                <w:spacing w:val="-4"/>
              </w:rPr>
              <w:t xml:space="preserve">Počet zahájených bytů v 1. pololetí meziročně klesl o 3,4 %, společně s roky 2013 a 2014 patřil v tomto miléniu k nejnižším. Citelně propadla výstavba </w:t>
            </w:r>
            <w:r w:rsidR="00806088">
              <w:rPr>
                <w:spacing w:val="-4"/>
              </w:rPr>
              <w:t>bytů v bytových domech</w:t>
            </w:r>
            <w:r>
              <w:rPr>
                <w:spacing w:val="-4"/>
              </w:rPr>
              <w:t xml:space="preserve"> – vlivem situace v Praze, kde bylo takto zahájeno pouze 522 bytů. Zčásti to může b</w:t>
            </w:r>
            <w:r w:rsidR="00873B2E">
              <w:rPr>
                <w:spacing w:val="-4"/>
              </w:rPr>
              <w:t>ýt vlivem</w:t>
            </w:r>
            <w:r>
              <w:rPr>
                <w:spacing w:val="-4"/>
              </w:rPr>
              <w:t xml:space="preserve"> zvýšené aktivity v 1. loňském pololetí, kdy tento počet (2614) naopak patřil v dlouhodobém kontextu v metropoli k nejvyšším. Počet dokončených bytů v ČR rostl o 4,1 %, především vlivem vyšší výstavby rodinných domů.</w:t>
            </w:r>
          </w:p>
          <w:p w:rsidR="00080AA8" w:rsidRPr="007C54D4" w:rsidRDefault="00080AA8" w:rsidP="00AF5D62">
            <w:pPr>
              <w:pStyle w:val="Textpoznpodarou"/>
              <w:jc w:val="both"/>
              <w:rPr>
                <w:spacing w:val="-4"/>
                <w:sz w:val="14"/>
                <w:szCs w:val="14"/>
              </w:rPr>
            </w:pPr>
          </w:p>
        </w:tc>
      </w:tr>
      <w:tr w:rsidR="00080AA8" w:rsidTr="00AF5D62">
        <w:trPr>
          <w:cantSplit/>
          <w:trHeight w:val="203"/>
        </w:trPr>
        <w:tc>
          <w:tcPr>
            <w:tcW w:w="1090" w:type="pct"/>
          </w:tcPr>
          <w:p w:rsidR="00080AA8" w:rsidRPr="001013B5" w:rsidRDefault="00080AA8" w:rsidP="00AF5D62">
            <w:pPr>
              <w:spacing w:line="240" w:lineRule="auto"/>
              <w:rPr>
                <w:spacing w:val="-4"/>
                <w:sz w:val="16"/>
                <w:szCs w:val="16"/>
              </w:rPr>
            </w:pPr>
            <w:r w:rsidRPr="001013B5">
              <w:rPr>
                <w:spacing w:val="-4"/>
                <w:sz w:val="16"/>
                <w:szCs w:val="16"/>
              </w:rPr>
              <w:t>Záporné saldo důvěry podnikatelů ve stavebnictví se v průběhu roku prohlubovalo</w:t>
            </w:r>
          </w:p>
          <w:p w:rsidR="00080AA8" w:rsidRPr="001013B5" w:rsidRDefault="00080AA8" w:rsidP="00AF5D62">
            <w:pPr>
              <w:spacing w:line="240" w:lineRule="auto"/>
              <w:rPr>
                <w:spacing w:val="-4"/>
                <w:sz w:val="16"/>
                <w:szCs w:val="16"/>
              </w:rPr>
            </w:pPr>
          </w:p>
          <w:p w:rsidR="00080AA8" w:rsidRPr="001013B5" w:rsidRDefault="00080AA8" w:rsidP="00AF5D62">
            <w:pPr>
              <w:pStyle w:val="Textpoznpodarou"/>
              <w:jc w:val="both"/>
              <w:rPr>
                <w:spacing w:val="-4"/>
                <w:sz w:val="16"/>
                <w:szCs w:val="16"/>
              </w:rPr>
            </w:pPr>
            <w:r w:rsidRPr="001013B5">
              <w:rPr>
                <w:color w:val="000000" w:themeColor="text1"/>
                <w:spacing w:val="-4"/>
                <w:sz w:val="16"/>
                <w:szCs w:val="16"/>
              </w:rPr>
              <w:t xml:space="preserve">Evidenční počet zaměstnanců ve stavebnictví nadále klesal, za posledních osm let přišlo stavebnictví o více než 60 tis. zaměstnaneckých </w:t>
            </w:r>
            <w:proofErr w:type="spellStart"/>
            <w:r w:rsidRPr="001013B5">
              <w:rPr>
                <w:color w:val="000000" w:themeColor="text1"/>
                <w:spacing w:val="-4"/>
                <w:sz w:val="16"/>
                <w:szCs w:val="16"/>
              </w:rPr>
              <w:t>prac</w:t>
            </w:r>
            <w:proofErr w:type="spellEnd"/>
            <w:r w:rsidRPr="001013B5">
              <w:rPr>
                <w:color w:val="000000" w:themeColor="text1"/>
                <w:spacing w:val="-4"/>
                <w:sz w:val="16"/>
                <w:szCs w:val="16"/>
              </w:rPr>
              <w:t xml:space="preserve">. </w:t>
            </w:r>
            <w:proofErr w:type="gramStart"/>
            <w:r w:rsidRPr="001013B5">
              <w:rPr>
                <w:color w:val="000000" w:themeColor="text1"/>
                <w:spacing w:val="-4"/>
                <w:sz w:val="16"/>
                <w:szCs w:val="16"/>
              </w:rPr>
              <w:t>míst</w:t>
            </w:r>
            <w:proofErr w:type="gramEnd"/>
            <w:r w:rsidRPr="001013B5">
              <w:rPr>
                <w:color w:val="000000" w:themeColor="text1"/>
                <w:spacing w:val="-4"/>
                <w:sz w:val="16"/>
                <w:szCs w:val="16"/>
              </w:rPr>
              <w:t>.</w:t>
            </w:r>
          </w:p>
        </w:tc>
        <w:tc>
          <w:tcPr>
            <w:tcW w:w="145" w:type="pct"/>
          </w:tcPr>
          <w:p w:rsidR="00080AA8" w:rsidRDefault="00080AA8" w:rsidP="00AF5D62">
            <w:pPr>
              <w:pStyle w:val="Textpoznpodarou"/>
              <w:jc w:val="both"/>
              <w:rPr>
                <w:spacing w:val="-2"/>
              </w:rPr>
            </w:pPr>
          </w:p>
        </w:tc>
        <w:tc>
          <w:tcPr>
            <w:tcW w:w="3765" w:type="pct"/>
          </w:tcPr>
          <w:p w:rsidR="00080AA8" w:rsidRPr="00CB7A15" w:rsidRDefault="00080AA8" w:rsidP="00AF5D62">
            <w:pPr>
              <w:pStyle w:val="Textpoznpodarou"/>
              <w:jc w:val="both"/>
              <w:rPr>
                <w:color w:val="000000" w:themeColor="text1"/>
                <w:spacing w:val="-4"/>
              </w:rPr>
            </w:pPr>
            <w:r w:rsidRPr="00CB7A15">
              <w:rPr>
                <w:spacing w:val="-4"/>
              </w:rPr>
              <w:t>Nálady podnikatelů ve stavebnictví se v průběhu 1. pololetí zhoršily.</w:t>
            </w:r>
            <w:r w:rsidRPr="00CB7A15">
              <w:rPr>
                <w:color w:val="000000" w:themeColor="text1"/>
                <w:spacing w:val="-4"/>
              </w:rPr>
              <w:t xml:space="preserve"> Sezónně očištěné saldo důvěry podnikatelů ve stavebnictví, setrvávající dlouhodobě v negativním pásmu, se v průběhu letošního roku snížilo a jeho červencová hodnota byla nejnižší za posledních 21 měsíců.</w:t>
            </w:r>
            <w:r w:rsidRPr="00CB7A15">
              <w:rPr>
                <w:spacing w:val="-4"/>
              </w:rPr>
              <w:t xml:space="preserve"> Mezi bariérami růstu udávají stavební podniky stále častěji nedostatečnou poptávku (dle sezónně očištěných dat</w:t>
            </w:r>
            <w:r>
              <w:rPr>
                <w:spacing w:val="-4"/>
              </w:rPr>
              <w:t xml:space="preserve"> -</w:t>
            </w:r>
            <w:r w:rsidRPr="00CB7A15">
              <w:rPr>
                <w:spacing w:val="-4"/>
              </w:rPr>
              <w:t xml:space="preserve"> v lednu 53 %, v</w:t>
            </w:r>
            <w:r w:rsidRPr="00CB7A15">
              <w:rPr>
                <w:color w:val="000000" w:themeColor="text1"/>
                <w:spacing w:val="-4"/>
              </w:rPr>
              <w:t> </w:t>
            </w:r>
            <w:r w:rsidRPr="00CB7A15">
              <w:rPr>
                <w:spacing w:val="-4"/>
              </w:rPr>
              <w:t>květnu 61</w:t>
            </w:r>
            <w:r w:rsidRPr="00CB7A15">
              <w:rPr>
                <w:color w:val="000000" w:themeColor="text1"/>
                <w:spacing w:val="-4"/>
              </w:rPr>
              <w:t xml:space="preserve"> </w:t>
            </w:r>
            <w:r w:rsidRPr="00CB7A15">
              <w:rPr>
                <w:spacing w:val="-4"/>
              </w:rPr>
              <w:t xml:space="preserve">%). </w:t>
            </w:r>
            <w:r w:rsidRPr="00CB7A15">
              <w:rPr>
                <w:color w:val="000000" w:themeColor="text1"/>
                <w:spacing w:val="-4"/>
              </w:rPr>
              <w:t>Růst u výrobní činnosti v příštích třech měsících v srpnu očekávalo 17</w:t>
            </w:r>
            <w:r w:rsidRPr="00CB7A15">
              <w:rPr>
                <w:spacing w:val="-4"/>
              </w:rPr>
              <w:t> </w:t>
            </w:r>
            <w:r w:rsidRPr="00CB7A15">
              <w:rPr>
                <w:color w:val="000000" w:themeColor="text1"/>
                <w:spacing w:val="-4"/>
              </w:rPr>
              <w:t>% stavebních podniků (o rok dříve 23 %), u zaměstnanosti 11 % (resp. 16 %).</w:t>
            </w:r>
          </w:p>
          <w:p w:rsidR="00080AA8" w:rsidRPr="001013B5" w:rsidRDefault="00080AA8" w:rsidP="00AF5D62">
            <w:pPr>
              <w:pStyle w:val="Textpoznpodarou"/>
              <w:jc w:val="both"/>
              <w:rPr>
                <w:spacing w:val="-4"/>
                <w:sz w:val="14"/>
                <w:szCs w:val="14"/>
              </w:rPr>
            </w:pPr>
          </w:p>
        </w:tc>
      </w:tr>
      <w:tr w:rsidR="00080AA8" w:rsidRPr="00A51B62" w:rsidTr="00AF5D62">
        <w:trPr>
          <w:cantSplit/>
          <w:trHeight w:val="250"/>
        </w:trPr>
        <w:tc>
          <w:tcPr>
            <w:tcW w:w="1090" w:type="pct"/>
          </w:tcPr>
          <w:p w:rsidR="00080AA8" w:rsidRDefault="00080AA8" w:rsidP="00AF5D62">
            <w:pPr>
              <w:spacing w:line="240" w:lineRule="auto"/>
              <w:rPr>
                <w:sz w:val="16"/>
                <w:szCs w:val="16"/>
              </w:rPr>
            </w:pPr>
            <w:r>
              <w:rPr>
                <w:sz w:val="16"/>
                <w:szCs w:val="16"/>
              </w:rPr>
              <w:t>Růst tržeb ve službách oproti loňskému tempu citelně zpomalil</w:t>
            </w:r>
          </w:p>
          <w:p w:rsidR="00080AA8" w:rsidRDefault="00080AA8" w:rsidP="00AF5D62">
            <w:pPr>
              <w:spacing w:line="240" w:lineRule="auto"/>
              <w:rPr>
                <w:sz w:val="16"/>
                <w:szCs w:val="16"/>
              </w:rPr>
            </w:pPr>
          </w:p>
          <w:p w:rsidR="00080AA8" w:rsidRDefault="00080AA8" w:rsidP="00AF5D62">
            <w:pPr>
              <w:spacing w:line="240" w:lineRule="auto"/>
              <w:rPr>
                <w:sz w:val="16"/>
                <w:szCs w:val="16"/>
              </w:rPr>
            </w:pPr>
            <w:r>
              <w:rPr>
                <w:sz w:val="16"/>
                <w:szCs w:val="16"/>
              </w:rPr>
              <w:t xml:space="preserve">V pozemní a potrubní dopravě na počátku roku poprvé po dvanácti čtvrtletích tržby meziročně poklesly </w:t>
            </w:r>
          </w:p>
          <w:p w:rsidR="00080AA8" w:rsidRDefault="00080AA8" w:rsidP="00AF5D62">
            <w:pPr>
              <w:spacing w:line="240" w:lineRule="auto"/>
              <w:rPr>
                <w:sz w:val="16"/>
                <w:szCs w:val="16"/>
              </w:rPr>
            </w:pPr>
          </w:p>
          <w:p w:rsidR="00080AA8" w:rsidRDefault="00080AA8" w:rsidP="00AF5D62">
            <w:pPr>
              <w:spacing w:line="240" w:lineRule="auto"/>
              <w:rPr>
                <w:sz w:val="16"/>
                <w:szCs w:val="16"/>
              </w:rPr>
            </w:pPr>
            <w:r>
              <w:rPr>
                <w:sz w:val="16"/>
                <w:szCs w:val="16"/>
              </w:rPr>
              <w:t>Tržby cestovních kanceláří a</w:t>
            </w:r>
            <w:r w:rsidRPr="001013B5">
              <w:rPr>
                <w:spacing w:val="-4"/>
                <w:sz w:val="16"/>
                <w:szCs w:val="16"/>
              </w:rPr>
              <w:t> </w:t>
            </w:r>
            <w:r>
              <w:rPr>
                <w:sz w:val="16"/>
                <w:szCs w:val="16"/>
              </w:rPr>
              <w:t>agentur za poslední čtyři roky propadly o 23 %, pracovním agenturám naopak o 60 % posílily</w:t>
            </w:r>
          </w:p>
          <w:p w:rsidR="00080AA8" w:rsidRDefault="00080AA8" w:rsidP="00AF5D62">
            <w:pPr>
              <w:spacing w:line="240" w:lineRule="auto"/>
              <w:rPr>
                <w:sz w:val="16"/>
                <w:szCs w:val="16"/>
              </w:rPr>
            </w:pPr>
          </w:p>
          <w:p w:rsidR="00080AA8" w:rsidRPr="002A1E4A" w:rsidRDefault="00080AA8" w:rsidP="00AF5D62">
            <w:pPr>
              <w:spacing w:line="240" w:lineRule="auto"/>
              <w:rPr>
                <w:sz w:val="16"/>
                <w:szCs w:val="16"/>
              </w:rPr>
            </w:pPr>
            <w:r w:rsidRPr="002A1E4A">
              <w:rPr>
                <w:color w:val="000000" w:themeColor="text1"/>
                <w:spacing w:val="-4"/>
                <w:sz w:val="16"/>
                <w:szCs w:val="16"/>
              </w:rPr>
              <w:t>Tržby v sektoru služeb v úhrnu zatím nepřekonaly úroveň vrcholu konjunktury, proti 1. pololetí 2008 byly stále o 7,1 % nižší</w:t>
            </w:r>
          </w:p>
        </w:tc>
        <w:tc>
          <w:tcPr>
            <w:tcW w:w="145" w:type="pct"/>
          </w:tcPr>
          <w:p w:rsidR="00080AA8" w:rsidRDefault="00080AA8" w:rsidP="00AF5D62">
            <w:pPr>
              <w:pStyle w:val="Textpoznpodarou"/>
              <w:jc w:val="both"/>
              <w:rPr>
                <w:spacing w:val="-2"/>
              </w:rPr>
            </w:pPr>
          </w:p>
        </w:tc>
        <w:tc>
          <w:tcPr>
            <w:tcW w:w="3765" w:type="pct"/>
          </w:tcPr>
          <w:p w:rsidR="00080AA8" w:rsidRDefault="00080AA8" w:rsidP="00AF5D62">
            <w:pPr>
              <w:pStyle w:val="Textpoznpodarou"/>
              <w:jc w:val="both"/>
              <w:rPr>
                <w:color w:val="000000" w:themeColor="text1"/>
                <w:spacing w:val="-4"/>
              </w:rPr>
            </w:pPr>
            <w:r w:rsidRPr="006046C4">
              <w:rPr>
                <w:color w:val="000000" w:themeColor="text1"/>
                <w:spacing w:val="-4"/>
              </w:rPr>
              <w:t xml:space="preserve">Tržby </w:t>
            </w:r>
            <w:r w:rsidRPr="007E5DD0">
              <w:rPr>
                <w:color w:val="000000" w:themeColor="text1"/>
                <w:spacing w:val="-4"/>
              </w:rPr>
              <w:t>ve vybraných službách</w:t>
            </w:r>
            <w:r w:rsidRPr="007E5DD0">
              <w:rPr>
                <w:color w:val="000000" w:themeColor="text1"/>
                <w:spacing w:val="-4"/>
                <w:vertAlign w:val="superscript"/>
              </w:rPr>
              <w:footnoteReference w:id="16"/>
            </w:r>
            <w:r w:rsidRPr="007E5DD0">
              <w:rPr>
                <w:color w:val="000000" w:themeColor="text1"/>
                <w:spacing w:val="-4"/>
              </w:rPr>
              <w:t xml:space="preserve"> se </w:t>
            </w:r>
            <w:r>
              <w:rPr>
                <w:color w:val="000000" w:themeColor="text1"/>
                <w:spacing w:val="-4"/>
              </w:rPr>
              <w:t xml:space="preserve">v 1. pololetí </w:t>
            </w:r>
            <w:r w:rsidRPr="007E5DD0">
              <w:rPr>
                <w:color w:val="000000" w:themeColor="text1"/>
                <w:spacing w:val="-4"/>
              </w:rPr>
              <w:t>zvýšily o 1</w:t>
            </w:r>
            <w:r>
              <w:rPr>
                <w:color w:val="000000" w:themeColor="text1"/>
                <w:spacing w:val="-4"/>
              </w:rPr>
              <w:t>,1 % (po očištění o vliv počtu</w:t>
            </w:r>
            <w:r w:rsidR="00791804">
              <w:rPr>
                <w:color w:val="000000" w:themeColor="text1"/>
                <w:spacing w:val="-4"/>
              </w:rPr>
              <w:t xml:space="preserve"> pracovních dní rostly jen o 0,1</w:t>
            </w:r>
            <w:r>
              <w:rPr>
                <w:color w:val="000000" w:themeColor="text1"/>
                <w:spacing w:val="-4"/>
              </w:rPr>
              <w:t xml:space="preserve"> %).</w:t>
            </w:r>
            <w:r w:rsidRPr="007E5DD0">
              <w:rPr>
                <w:color w:val="000000" w:themeColor="text1"/>
                <w:spacing w:val="-4"/>
              </w:rPr>
              <w:t xml:space="preserve"> </w:t>
            </w:r>
            <w:r w:rsidR="00873B2E">
              <w:rPr>
                <w:color w:val="000000" w:themeColor="text1"/>
                <w:spacing w:val="-4"/>
              </w:rPr>
              <w:t>Z</w:t>
            </w:r>
            <w:r>
              <w:rPr>
                <w:color w:val="000000" w:themeColor="text1"/>
                <w:spacing w:val="-4"/>
              </w:rPr>
              <w:t xml:space="preserve">pomalení růstu služeb </w:t>
            </w:r>
            <w:r w:rsidRPr="007E5DD0">
              <w:rPr>
                <w:color w:val="000000" w:themeColor="text1"/>
                <w:spacing w:val="-4"/>
              </w:rPr>
              <w:t xml:space="preserve">proti celému roku </w:t>
            </w:r>
            <w:r w:rsidR="00873B2E">
              <w:rPr>
                <w:color w:val="000000" w:themeColor="text1"/>
                <w:spacing w:val="-4"/>
              </w:rPr>
              <w:t>2015 (+3 %) vyplývalo zejména z</w:t>
            </w:r>
            <w:r>
              <w:rPr>
                <w:color w:val="000000" w:themeColor="text1"/>
                <w:spacing w:val="-4"/>
              </w:rPr>
              <w:t xml:space="preserve"> p</w:t>
            </w:r>
            <w:r w:rsidRPr="006E73E1">
              <w:rPr>
                <w:color w:val="000000" w:themeColor="text1"/>
                <w:spacing w:val="-4"/>
              </w:rPr>
              <w:t>rofesní</w:t>
            </w:r>
            <w:r w:rsidR="00873B2E">
              <w:rPr>
                <w:color w:val="000000" w:themeColor="text1"/>
                <w:spacing w:val="-4"/>
              </w:rPr>
              <w:t>ch, vědeckých a technických</w:t>
            </w:r>
            <w:r w:rsidRPr="006E73E1">
              <w:rPr>
                <w:color w:val="000000" w:themeColor="text1"/>
                <w:spacing w:val="-4"/>
              </w:rPr>
              <w:t xml:space="preserve"> činnosti</w:t>
            </w:r>
            <w:r>
              <w:rPr>
                <w:color w:val="000000" w:themeColor="text1"/>
                <w:spacing w:val="-4"/>
              </w:rPr>
              <w:t>, jejichž loňský rovněž 3% celoroční růst představoval v celém období od konjunktury jen ojedinělé vybočení. V 1. letošním polo</w:t>
            </w:r>
            <w:r w:rsidR="00873B2E">
              <w:rPr>
                <w:color w:val="000000" w:themeColor="text1"/>
                <w:spacing w:val="-4"/>
              </w:rPr>
              <w:t>letí meziročně o 4,1 % poklesly, především vlivem architektonických a inženýrských činností (v důsledku</w:t>
            </w:r>
            <w:r>
              <w:rPr>
                <w:color w:val="000000" w:themeColor="text1"/>
                <w:spacing w:val="-4"/>
              </w:rPr>
              <w:t xml:space="preserve"> vyššího počtu rozpracovaných dosud nefakturovaných zakázek). Tržby v</w:t>
            </w:r>
            <w:r w:rsidR="00791804">
              <w:rPr>
                <w:color w:val="000000" w:themeColor="text1"/>
                <w:spacing w:val="-4"/>
              </w:rPr>
              <w:t>šak klesaly napříč celou sekcí, vyjma právních a</w:t>
            </w:r>
            <w:r w:rsidR="00791804" w:rsidRPr="00CB7A15">
              <w:rPr>
                <w:color w:val="000000" w:themeColor="text1"/>
                <w:spacing w:val="-4"/>
              </w:rPr>
              <w:t> </w:t>
            </w:r>
            <w:r>
              <w:rPr>
                <w:color w:val="000000" w:themeColor="text1"/>
                <w:spacing w:val="-4"/>
              </w:rPr>
              <w:t>účetnických činností. Mírný růst zaznamenala i doprava a skladování (+1,3 %), hlavně zásluhou skladování, neboť ve váhově dominantní pozemní a  potrubní dopravě se tržby (při vysoké loňské základně) mírně snižovaly. Na úspěšný loňský rok letos navázaly i administrativní a </w:t>
            </w:r>
            <w:r w:rsidRPr="008C6029">
              <w:rPr>
                <w:color w:val="000000" w:themeColor="text1"/>
                <w:spacing w:val="-4"/>
              </w:rPr>
              <w:t>podpůrné činnosti</w:t>
            </w:r>
            <w:r>
              <w:rPr>
                <w:color w:val="000000" w:themeColor="text1"/>
                <w:spacing w:val="-4"/>
              </w:rPr>
              <w:t xml:space="preserve"> (4,9 %), tažené rychle se rozvíjejícími pracovními agenturami. Dařilo se v</w:t>
            </w:r>
            <w:r w:rsidR="00791804">
              <w:rPr>
                <w:color w:val="000000" w:themeColor="text1"/>
                <w:spacing w:val="-4"/>
              </w:rPr>
              <w:t>šak oborům napříč celou sekcí</w:t>
            </w:r>
            <w:r>
              <w:rPr>
                <w:color w:val="000000" w:themeColor="text1"/>
                <w:spacing w:val="-4"/>
              </w:rPr>
              <w:t xml:space="preserve">, vyjma činností cestovních agentur a kanceláří. Podobně jako loni rostly v 1. pololetí rychle tržby ve stravování a pohostinství (+4,6 %). Tržby v ubytování se ve 2. čtvrtletí meziročně mírně snížily (poprvé po 2. čtvrtletí 2010). Vysoká návštěvnost ČR loni na jaře byla ovlivněna pořádáním významné sportovní akce. </w:t>
            </w:r>
          </w:p>
          <w:p w:rsidR="00080AA8" w:rsidRPr="00344C28" w:rsidRDefault="00080AA8" w:rsidP="00AF5D62">
            <w:pPr>
              <w:pStyle w:val="Textpoznpodarou"/>
              <w:jc w:val="both"/>
              <w:rPr>
                <w:color w:val="000000" w:themeColor="text1"/>
                <w:spacing w:val="-4"/>
                <w:sz w:val="14"/>
                <w:szCs w:val="14"/>
              </w:rPr>
            </w:pPr>
          </w:p>
        </w:tc>
      </w:tr>
      <w:tr w:rsidR="00080AA8" w:rsidRPr="00BE4405" w:rsidTr="00AF5D62">
        <w:trPr>
          <w:trHeight w:val="250"/>
        </w:trPr>
        <w:tc>
          <w:tcPr>
            <w:tcW w:w="1090" w:type="pct"/>
          </w:tcPr>
          <w:p w:rsidR="00080AA8" w:rsidRDefault="00080AA8" w:rsidP="00AF5D62">
            <w:pPr>
              <w:spacing w:line="240" w:lineRule="auto"/>
              <w:rPr>
                <w:color w:val="000000" w:themeColor="text1"/>
                <w:spacing w:val="-4"/>
                <w:sz w:val="16"/>
                <w:szCs w:val="16"/>
              </w:rPr>
            </w:pPr>
          </w:p>
          <w:p w:rsidR="00080AA8" w:rsidRDefault="00080AA8" w:rsidP="00AF5D62">
            <w:pPr>
              <w:spacing w:line="240" w:lineRule="auto"/>
              <w:rPr>
                <w:color w:val="000000" w:themeColor="text1"/>
                <w:spacing w:val="-4"/>
                <w:sz w:val="16"/>
                <w:szCs w:val="16"/>
              </w:rPr>
            </w:pPr>
          </w:p>
          <w:p w:rsidR="00080AA8" w:rsidRDefault="00080AA8" w:rsidP="00AF5D62">
            <w:pPr>
              <w:spacing w:line="240" w:lineRule="auto"/>
              <w:rPr>
                <w:color w:val="000000" w:themeColor="text1"/>
                <w:spacing w:val="-4"/>
                <w:sz w:val="16"/>
                <w:szCs w:val="16"/>
              </w:rPr>
            </w:pPr>
          </w:p>
          <w:p w:rsidR="00080AA8" w:rsidRDefault="00080AA8" w:rsidP="00AF5D62">
            <w:pPr>
              <w:spacing w:line="240" w:lineRule="auto"/>
              <w:rPr>
                <w:color w:val="000000" w:themeColor="text1"/>
                <w:spacing w:val="-4"/>
                <w:sz w:val="16"/>
                <w:szCs w:val="16"/>
              </w:rPr>
            </w:pPr>
          </w:p>
          <w:p w:rsidR="00080AA8" w:rsidRDefault="00080AA8" w:rsidP="00AF5D62">
            <w:pPr>
              <w:spacing w:line="240" w:lineRule="auto"/>
              <w:rPr>
                <w:color w:val="000000" w:themeColor="text1"/>
                <w:spacing w:val="-4"/>
                <w:sz w:val="16"/>
                <w:szCs w:val="16"/>
              </w:rPr>
            </w:pPr>
          </w:p>
          <w:p w:rsidR="00080AA8" w:rsidRDefault="00080AA8" w:rsidP="00AF5D62">
            <w:pPr>
              <w:spacing w:line="240" w:lineRule="auto"/>
              <w:rPr>
                <w:color w:val="000000" w:themeColor="text1"/>
                <w:spacing w:val="-4"/>
                <w:sz w:val="16"/>
                <w:szCs w:val="16"/>
              </w:rPr>
            </w:pPr>
            <w:r>
              <w:rPr>
                <w:color w:val="000000" w:themeColor="text1"/>
                <w:spacing w:val="-4"/>
                <w:sz w:val="16"/>
                <w:szCs w:val="16"/>
              </w:rPr>
              <w:lastRenderedPageBreak/>
              <w:t>Meziroční růst maloobchodních tržeb (očištěných o kalendářní vlivy) osciloval okolo 6 % již šest čtvrtletí v řadě</w:t>
            </w:r>
          </w:p>
          <w:p w:rsidR="00080AA8" w:rsidRPr="006E73E1" w:rsidRDefault="00080AA8" w:rsidP="00AF5D62">
            <w:pPr>
              <w:pStyle w:val="Textpoznpodarou"/>
              <w:rPr>
                <w:color w:val="000000" w:themeColor="text1"/>
                <w:spacing w:val="-4"/>
                <w:sz w:val="16"/>
                <w:szCs w:val="16"/>
              </w:rPr>
            </w:pPr>
          </w:p>
        </w:tc>
        <w:tc>
          <w:tcPr>
            <w:tcW w:w="145" w:type="pct"/>
          </w:tcPr>
          <w:p w:rsidR="00080AA8" w:rsidRPr="00F3262E" w:rsidRDefault="00080AA8" w:rsidP="00AF5D62">
            <w:pPr>
              <w:pStyle w:val="Textpoznpodarou"/>
              <w:jc w:val="both"/>
              <w:rPr>
                <w:color w:val="000000" w:themeColor="text1"/>
                <w:spacing w:val="-2"/>
              </w:rPr>
            </w:pPr>
          </w:p>
        </w:tc>
        <w:tc>
          <w:tcPr>
            <w:tcW w:w="3765" w:type="pct"/>
          </w:tcPr>
          <w:p w:rsidR="00080AA8" w:rsidRPr="0098465C" w:rsidRDefault="00080AA8" w:rsidP="00AF5D62">
            <w:pPr>
              <w:spacing w:line="240" w:lineRule="auto"/>
              <w:jc w:val="both"/>
              <w:rPr>
                <w:color w:val="000000" w:themeColor="text1"/>
                <w:spacing w:val="-4"/>
              </w:rPr>
            </w:pPr>
            <w:r w:rsidRPr="0098465C">
              <w:rPr>
                <w:color w:val="000000" w:themeColor="text1"/>
                <w:spacing w:val="-4"/>
              </w:rPr>
              <w:t>Maloobchodní tržby (bez motoristického segmentu) rostly v 1. pololetí o 6,7 % (po očišt</w:t>
            </w:r>
            <w:r w:rsidR="00791804">
              <w:rPr>
                <w:color w:val="000000" w:themeColor="text1"/>
                <w:spacing w:val="-4"/>
              </w:rPr>
              <w:t>ění o kalendářní vlivy o 5,6 %), o</w:t>
            </w:r>
            <w:r w:rsidRPr="0098465C">
              <w:rPr>
                <w:color w:val="000000" w:themeColor="text1"/>
                <w:spacing w:val="-4"/>
              </w:rPr>
              <w:t xml:space="preserve">drážely </w:t>
            </w:r>
            <w:r w:rsidR="00791804">
              <w:rPr>
                <w:color w:val="000000" w:themeColor="text1"/>
                <w:spacing w:val="-4"/>
              </w:rPr>
              <w:t xml:space="preserve">tak </w:t>
            </w:r>
            <w:r w:rsidRPr="0098465C">
              <w:rPr>
                <w:color w:val="000000" w:themeColor="text1"/>
                <w:spacing w:val="-4"/>
              </w:rPr>
              <w:t>rostoucí</w:t>
            </w:r>
            <w:r w:rsidR="00D439C2">
              <w:rPr>
                <w:color w:val="000000" w:themeColor="text1"/>
                <w:spacing w:val="-4"/>
              </w:rPr>
              <w:t xml:space="preserve"> příjmy domácností související</w:t>
            </w:r>
            <w:r w:rsidRPr="0098465C">
              <w:rPr>
                <w:color w:val="000000" w:themeColor="text1"/>
                <w:spacing w:val="-4"/>
              </w:rPr>
              <w:t xml:space="preserve"> s jejich stále se lepšícím postavením na trhu práce. Souběžně s tím se posilovaly optimistické nálady spotřebitelů. Sezóně očištěné saldo důvěry dosáhlo na </w:t>
            </w:r>
            <w:r w:rsidRPr="0098465C">
              <w:rPr>
                <w:color w:val="000000" w:themeColor="text1"/>
                <w:spacing w:val="-4"/>
              </w:rPr>
              <w:lastRenderedPageBreak/>
              <w:t xml:space="preserve">počátku roku nejvyšší hodnoty v historii sledování (+7,5 bodu), i v následujících měsících zůstávalo v kladném pásmu. K růstu maloobchodu tradičně nejvíce přispěl prodej </w:t>
            </w:r>
            <w:proofErr w:type="spellStart"/>
            <w:r w:rsidRPr="0098465C">
              <w:rPr>
                <w:color w:val="000000" w:themeColor="text1"/>
                <w:spacing w:val="-4"/>
              </w:rPr>
              <w:t>nepotravinářského</w:t>
            </w:r>
            <w:proofErr w:type="spellEnd"/>
            <w:r w:rsidRPr="0098465C">
              <w:rPr>
                <w:color w:val="000000" w:themeColor="text1"/>
                <w:spacing w:val="-4"/>
              </w:rPr>
              <w:t xml:space="preserve"> zboží (s růstem tržeb o 7 %, resp. o 5,8 % po očištění). Silným tempem posilovaly i tržby prode</w:t>
            </w:r>
            <w:r w:rsidR="00791804">
              <w:rPr>
                <w:color w:val="000000" w:themeColor="text1"/>
                <w:spacing w:val="-4"/>
              </w:rPr>
              <w:t>jců potravin (o 5,4 %, resp. 4,2</w:t>
            </w:r>
            <w:r w:rsidRPr="0098465C">
              <w:rPr>
                <w:color w:val="000000" w:themeColor="text1"/>
                <w:spacing w:val="-4"/>
              </w:rPr>
              <w:t xml:space="preserve"> %). Ze specializovaných prodejen </w:t>
            </w:r>
            <w:proofErr w:type="spellStart"/>
            <w:r w:rsidR="00791804" w:rsidRPr="0098465C">
              <w:rPr>
                <w:color w:val="000000" w:themeColor="text1"/>
                <w:spacing w:val="-4"/>
              </w:rPr>
              <w:t>nepotravinářského</w:t>
            </w:r>
            <w:proofErr w:type="spellEnd"/>
            <w:r w:rsidR="00791804" w:rsidRPr="0098465C">
              <w:rPr>
                <w:color w:val="000000" w:themeColor="text1"/>
                <w:spacing w:val="-4"/>
              </w:rPr>
              <w:t xml:space="preserve"> zboží </w:t>
            </w:r>
            <w:r w:rsidRPr="0098465C">
              <w:rPr>
                <w:color w:val="000000" w:themeColor="text1"/>
                <w:spacing w:val="-4"/>
              </w:rPr>
              <w:t xml:space="preserve">se v 1. </w:t>
            </w:r>
            <w:r>
              <w:rPr>
                <w:color w:val="000000" w:themeColor="text1"/>
                <w:spacing w:val="-4"/>
              </w:rPr>
              <w:t>pololetí tržby nejvíce zvýšily za výrobky</w:t>
            </w:r>
            <w:r w:rsidRPr="0098465C">
              <w:rPr>
                <w:color w:val="000000" w:themeColor="text1"/>
                <w:spacing w:val="-4"/>
              </w:rPr>
              <w:t xml:space="preserve"> pro kulturu a rekreaci (o 7,7 % me</w:t>
            </w:r>
            <w:r w:rsidR="00A600D2">
              <w:rPr>
                <w:color w:val="000000" w:themeColor="text1"/>
                <w:spacing w:val="-4"/>
              </w:rPr>
              <w:t xml:space="preserve">ziročně), shodným tempem pak i </w:t>
            </w:r>
            <w:r>
              <w:rPr>
                <w:color w:val="000000" w:themeColor="text1"/>
                <w:spacing w:val="-4"/>
              </w:rPr>
              <w:t>za výrobky</w:t>
            </w:r>
            <w:r w:rsidRPr="0098465C">
              <w:rPr>
                <w:color w:val="000000" w:themeColor="text1"/>
                <w:spacing w:val="-4"/>
              </w:rPr>
              <w:t xml:space="preserve"> převážně pro domácnost (zahr</w:t>
            </w:r>
            <w:r w:rsidR="00791804">
              <w:rPr>
                <w:color w:val="000000" w:themeColor="text1"/>
                <w:spacing w:val="-4"/>
              </w:rPr>
              <w:t>nující např. elektrospotřebiče,</w:t>
            </w:r>
            <w:r w:rsidRPr="0098465C">
              <w:rPr>
                <w:color w:val="000000" w:themeColor="text1"/>
                <w:spacing w:val="-4"/>
              </w:rPr>
              <w:t xml:space="preserve"> e</w:t>
            </w:r>
            <w:r w:rsidR="00D439C2">
              <w:rPr>
                <w:color w:val="000000" w:themeColor="text1"/>
                <w:spacing w:val="-4"/>
              </w:rPr>
              <w:t>lektronik</w:t>
            </w:r>
            <w:r w:rsidR="00DE08F8">
              <w:rPr>
                <w:color w:val="000000" w:themeColor="text1"/>
                <w:spacing w:val="-4"/>
              </w:rPr>
              <w:t>u, nábytek, koberce,</w:t>
            </w:r>
            <w:r w:rsidRPr="0098465C">
              <w:rPr>
                <w:color w:val="000000" w:themeColor="text1"/>
                <w:spacing w:val="-4"/>
              </w:rPr>
              <w:t xml:space="preserve"> textil</w:t>
            </w:r>
            <w:r w:rsidR="00791804">
              <w:rPr>
                <w:color w:val="000000" w:themeColor="text1"/>
                <w:spacing w:val="-4"/>
              </w:rPr>
              <w:t>). Z vyšších tržeb mohly</w:t>
            </w:r>
            <w:r w:rsidRPr="0098465C">
              <w:rPr>
                <w:color w:val="000000" w:themeColor="text1"/>
                <w:spacing w:val="-4"/>
              </w:rPr>
              <w:t xml:space="preserve"> profitovat i všechny ostatní segmenty specializovaných prodejů, včetně prodejen s počítačovým a komunikačním zařízením (1,4 %), které přitom v předchozích letech tradičně patřily k nejdynamičtějším.</w:t>
            </w:r>
            <w:r>
              <w:rPr>
                <w:color w:val="000000" w:themeColor="text1"/>
                <w:spacing w:val="-4"/>
              </w:rPr>
              <w:t xml:space="preserve"> Tržby </w:t>
            </w:r>
            <w:r w:rsidRPr="0098465C">
              <w:rPr>
                <w:color w:val="000000" w:themeColor="text1"/>
                <w:spacing w:val="-4"/>
              </w:rPr>
              <w:t>čerpacích stanic posílily o téměř desetinu. Poptávku stimulovaly nízké ceny PHM (</w:t>
            </w:r>
            <w:r>
              <w:rPr>
                <w:color w:val="000000" w:themeColor="text1"/>
                <w:spacing w:val="-4"/>
              </w:rPr>
              <w:t xml:space="preserve">příznivé </w:t>
            </w:r>
            <w:r w:rsidRPr="0098465C">
              <w:rPr>
                <w:color w:val="000000" w:themeColor="text1"/>
                <w:spacing w:val="-4"/>
              </w:rPr>
              <w:t>i ve srovnání se sousedními státy), zčásti i</w:t>
            </w:r>
            <w:r w:rsidRPr="0098465C">
              <w:rPr>
                <w:color w:val="0D0D0D" w:themeColor="text1" w:themeTint="F2"/>
                <w:spacing w:val="-4"/>
              </w:rPr>
              <w:t> </w:t>
            </w:r>
            <w:r w:rsidRPr="0098465C">
              <w:rPr>
                <w:color w:val="000000" w:themeColor="text1"/>
                <w:spacing w:val="-4"/>
              </w:rPr>
              <w:t>vyšší přepravní nároky v souvislosti s</w:t>
            </w:r>
            <w:r>
              <w:rPr>
                <w:color w:val="000000" w:themeColor="text1"/>
                <w:spacing w:val="-4"/>
              </w:rPr>
              <w:t xml:space="preserve"> růstem ekonomiky a sílícím zahraničním obchodem</w:t>
            </w:r>
            <w:r w:rsidRPr="0098465C">
              <w:rPr>
                <w:color w:val="000000" w:themeColor="text1"/>
                <w:spacing w:val="-4"/>
              </w:rPr>
              <w:t xml:space="preserve">. </w:t>
            </w:r>
          </w:p>
          <w:p w:rsidR="00080AA8" w:rsidRPr="00CD4481" w:rsidRDefault="00080AA8" w:rsidP="00AF5D62">
            <w:pPr>
              <w:pStyle w:val="Textpoznpodarou"/>
              <w:jc w:val="both"/>
              <w:rPr>
                <w:color w:val="000000" w:themeColor="text1"/>
                <w:spacing w:val="-2"/>
                <w:sz w:val="14"/>
                <w:szCs w:val="14"/>
              </w:rPr>
            </w:pPr>
          </w:p>
        </w:tc>
      </w:tr>
      <w:tr w:rsidR="00080AA8" w:rsidRPr="00BE4405" w:rsidTr="00AF5D62">
        <w:trPr>
          <w:cantSplit/>
          <w:trHeight w:val="250"/>
        </w:trPr>
        <w:tc>
          <w:tcPr>
            <w:tcW w:w="1090" w:type="pct"/>
          </w:tcPr>
          <w:p w:rsidR="00080AA8" w:rsidRPr="00FD73C6" w:rsidRDefault="00080AA8" w:rsidP="00AF5D62">
            <w:pPr>
              <w:spacing w:line="240" w:lineRule="auto"/>
              <w:rPr>
                <w:sz w:val="16"/>
                <w:szCs w:val="16"/>
              </w:rPr>
            </w:pPr>
            <w:r>
              <w:rPr>
                <w:color w:val="000000" w:themeColor="text1"/>
                <w:spacing w:val="-4"/>
                <w:sz w:val="16"/>
                <w:szCs w:val="16"/>
              </w:rPr>
              <w:lastRenderedPageBreak/>
              <w:t xml:space="preserve">Meziroční růst maloobchodních tržeb Česku byl v 1. pololetí nejvyšší ze středoevropských zemí  </w:t>
            </w:r>
          </w:p>
        </w:tc>
        <w:tc>
          <w:tcPr>
            <w:tcW w:w="145" w:type="pct"/>
          </w:tcPr>
          <w:p w:rsidR="00080AA8" w:rsidRDefault="00080AA8" w:rsidP="00AF5D62">
            <w:pPr>
              <w:pStyle w:val="Textpoznpodarou"/>
              <w:jc w:val="both"/>
              <w:rPr>
                <w:spacing w:val="-2"/>
              </w:rPr>
            </w:pPr>
          </w:p>
        </w:tc>
        <w:tc>
          <w:tcPr>
            <w:tcW w:w="3765" w:type="pct"/>
          </w:tcPr>
          <w:p w:rsidR="00080AA8" w:rsidRPr="007A14BF" w:rsidRDefault="00080AA8" w:rsidP="00AF5D62">
            <w:pPr>
              <w:pStyle w:val="Textpoznpodarou"/>
              <w:jc w:val="both"/>
              <w:rPr>
                <w:spacing w:val="-4"/>
              </w:rPr>
            </w:pPr>
            <w:r w:rsidRPr="007A14BF">
              <w:rPr>
                <w:color w:val="000000" w:themeColor="text1"/>
                <w:spacing w:val="-4"/>
              </w:rPr>
              <w:t>Maloobchodní tržby</w:t>
            </w:r>
            <w:r w:rsidRPr="007A14BF">
              <w:rPr>
                <w:rStyle w:val="Znakapoznpodarou"/>
                <w:color w:val="000000" w:themeColor="text1"/>
                <w:spacing w:val="-4"/>
              </w:rPr>
              <w:footnoteReference w:id="17"/>
            </w:r>
            <w:r>
              <w:rPr>
                <w:color w:val="000000" w:themeColor="text1"/>
                <w:spacing w:val="-4"/>
              </w:rPr>
              <w:t xml:space="preserve"> v ČR se oproti EU (+2,7</w:t>
            </w:r>
            <w:r w:rsidRPr="007A14BF">
              <w:rPr>
                <w:color w:val="000000" w:themeColor="text1"/>
                <w:spacing w:val="-4"/>
              </w:rPr>
              <w:t xml:space="preserve"> %) zvyšovaly dvojnásobným tempem</w:t>
            </w:r>
            <w:r>
              <w:rPr>
                <w:color w:val="000000" w:themeColor="text1"/>
                <w:spacing w:val="-4"/>
              </w:rPr>
              <w:t>, nejrychleji ze zemí střední Evropy. Dvouciferný růst vykázalo</w:t>
            </w:r>
            <w:r w:rsidRPr="007A14BF">
              <w:rPr>
                <w:color w:val="000000" w:themeColor="text1"/>
                <w:spacing w:val="-4"/>
              </w:rPr>
              <w:t xml:space="preserve"> Rumunsko</w:t>
            </w:r>
            <w:r>
              <w:rPr>
                <w:color w:val="000000" w:themeColor="text1"/>
                <w:spacing w:val="-4"/>
              </w:rPr>
              <w:t xml:space="preserve">, meziroční pokles jen Belgie (-2,4 %) a Řecko (-3,7 %). Růstová tempa tržeb z prodeje </w:t>
            </w:r>
            <w:r w:rsidR="00D439C2">
              <w:rPr>
                <w:color w:val="000000" w:themeColor="text1"/>
                <w:spacing w:val="-4"/>
              </w:rPr>
              <w:t>potravin a pohonných hmot řadila</w:t>
            </w:r>
            <w:r>
              <w:rPr>
                <w:color w:val="000000" w:themeColor="text1"/>
                <w:spacing w:val="-4"/>
              </w:rPr>
              <w:t xml:space="preserve"> Česko shodně na šesté nejlepší pořadí, v případě </w:t>
            </w:r>
            <w:proofErr w:type="spellStart"/>
            <w:r>
              <w:rPr>
                <w:color w:val="000000" w:themeColor="text1"/>
                <w:spacing w:val="-4"/>
              </w:rPr>
              <w:t>nepotravinářského</w:t>
            </w:r>
            <w:proofErr w:type="spellEnd"/>
            <w:r>
              <w:rPr>
                <w:color w:val="000000" w:themeColor="text1"/>
                <w:spacing w:val="-4"/>
              </w:rPr>
              <w:t xml:space="preserve"> zboží již mimo první desítku (silnějšího růstu docílila především většina novějších č</w:t>
            </w:r>
            <w:r w:rsidR="00791804">
              <w:rPr>
                <w:color w:val="000000" w:themeColor="text1"/>
                <w:spacing w:val="-4"/>
              </w:rPr>
              <w:t>lenských států EU – včetně Slovi</w:t>
            </w:r>
            <w:r>
              <w:rPr>
                <w:color w:val="000000" w:themeColor="text1"/>
                <w:spacing w:val="-4"/>
              </w:rPr>
              <w:t xml:space="preserve">nska, Polska či Maďarska).  </w:t>
            </w:r>
          </w:p>
        </w:tc>
      </w:tr>
    </w:tbl>
    <w:p w:rsidR="00080AA8" w:rsidRPr="009C671A" w:rsidRDefault="00080AA8" w:rsidP="00080AA8">
      <w:pPr>
        <w:pStyle w:val="Textpoznpodarou"/>
        <w:jc w:val="both"/>
        <w:rPr>
          <w:sz w:val="16"/>
          <w:szCs w:val="16"/>
        </w:rPr>
      </w:pPr>
    </w:p>
    <w:tbl>
      <w:tblPr>
        <w:tblW w:w="5059" w:type="pct"/>
        <w:tblLayout w:type="fixed"/>
        <w:tblCellMar>
          <w:left w:w="28" w:type="dxa"/>
          <w:right w:w="28" w:type="dxa"/>
        </w:tblCellMar>
        <w:tblLook w:val="04A0"/>
      </w:tblPr>
      <w:tblGrid>
        <w:gridCol w:w="735"/>
        <w:gridCol w:w="4180"/>
        <w:gridCol w:w="783"/>
        <w:gridCol w:w="4110"/>
      </w:tblGrid>
      <w:tr w:rsidR="00080AA8" w:rsidTr="00AF5D62">
        <w:tc>
          <w:tcPr>
            <w:tcW w:w="375" w:type="pct"/>
          </w:tcPr>
          <w:p w:rsidR="00080AA8" w:rsidRDefault="00080AA8" w:rsidP="00AF5D62">
            <w:pPr>
              <w:spacing w:line="240" w:lineRule="auto"/>
            </w:pPr>
            <w:r>
              <w:t>Graf č. 5</w:t>
            </w:r>
          </w:p>
        </w:tc>
        <w:tc>
          <w:tcPr>
            <w:tcW w:w="2131" w:type="pct"/>
          </w:tcPr>
          <w:p w:rsidR="00080AA8" w:rsidRPr="001D04BA" w:rsidRDefault="00080AA8" w:rsidP="00AF5D62">
            <w:pPr>
              <w:pStyle w:val="Textpoznpodarou"/>
              <w:rPr>
                <w:b/>
              </w:rPr>
            </w:pPr>
            <w:r w:rsidRPr="001D04BA">
              <w:rPr>
                <w:b/>
              </w:rPr>
              <w:t>Produkce v průmyslu a</w:t>
            </w:r>
            <w:r>
              <w:rPr>
                <w:b/>
              </w:rPr>
              <w:t xml:space="preserve"> ve</w:t>
            </w:r>
            <w:r w:rsidRPr="001D04BA">
              <w:rPr>
                <w:b/>
              </w:rPr>
              <w:t xml:space="preserve"> vyb</w:t>
            </w:r>
            <w:r>
              <w:rPr>
                <w:b/>
              </w:rPr>
              <w:t>raných zpracovatelských odvětvích</w:t>
            </w:r>
          </w:p>
          <w:p w:rsidR="00080AA8" w:rsidRDefault="00080AA8" w:rsidP="00AF5D62">
            <w:pPr>
              <w:pStyle w:val="Textpoznpodarou"/>
              <w:rPr>
                <w:b/>
              </w:rPr>
            </w:pPr>
            <w:r>
              <w:t>(reálně, y/y, očištěno o kalendářní vlivy,</w:t>
            </w:r>
            <w:r w:rsidRPr="001D04BA">
              <w:t xml:space="preserve"> v %)</w:t>
            </w:r>
          </w:p>
        </w:tc>
        <w:tc>
          <w:tcPr>
            <w:tcW w:w="399" w:type="pct"/>
          </w:tcPr>
          <w:p w:rsidR="00080AA8" w:rsidRDefault="00080AA8" w:rsidP="00AF5D62">
            <w:pPr>
              <w:spacing w:line="240" w:lineRule="auto"/>
            </w:pPr>
            <w:r>
              <w:t>Graf č. 6</w:t>
            </w:r>
          </w:p>
        </w:tc>
        <w:tc>
          <w:tcPr>
            <w:tcW w:w="2095" w:type="pct"/>
          </w:tcPr>
          <w:p w:rsidR="00080AA8" w:rsidRDefault="00080AA8" w:rsidP="00AF5D62">
            <w:pPr>
              <w:spacing w:line="240" w:lineRule="auto"/>
              <w:rPr>
                <w:b/>
              </w:rPr>
            </w:pPr>
            <w:r w:rsidRPr="004B22DA">
              <w:rPr>
                <w:b/>
                <w:spacing w:val="-2"/>
              </w:rPr>
              <w:t>Nové zakázky v automobilovém průmyslu</w:t>
            </w:r>
            <w:r>
              <w:rPr>
                <w:b/>
              </w:rPr>
              <w:t xml:space="preserve">, v průmyslu </w:t>
            </w:r>
            <w:proofErr w:type="gramStart"/>
            <w:r>
              <w:rPr>
                <w:b/>
              </w:rPr>
              <w:t xml:space="preserve">celkem </w:t>
            </w:r>
            <w:r>
              <w:rPr>
                <w:bCs/>
              </w:rPr>
              <w:t>(</w:t>
            </w:r>
            <w:proofErr w:type="spellStart"/>
            <w:r>
              <w:rPr>
                <w:bCs/>
              </w:rPr>
              <w:t>b.c</w:t>
            </w:r>
            <w:proofErr w:type="spellEnd"/>
            <w:r>
              <w:rPr>
                <w:bCs/>
              </w:rPr>
              <w:t>.</w:t>
            </w:r>
            <w:proofErr w:type="gramEnd"/>
            <w:r>
              <w:rPr>
                <w:bCs/>
              </w:rPr>
              <w:t xml:space="preserve">, y/y v %) </w:t>
            </w:r>
            <w:r w:rsidRPr="006B4FFB">
              <w:rPr>
                <w:b/>
              </w:rPr>
              <w:t>a</w:t>
            </w:r>
            <w:r>
              <w:rPr>
                <w:b/>
              </w:rPr>
              <w:t xml:space="preserve"> saldo indikátoru důvěry v průmyslu </w:t>
            </w:r>
            <w:r w:rsidRPr="00C1711F">
              <w:t>(pravá osa)</w:t>
            </w:r>
          </w:p>
        </w:tc>
      </w:tr>
      <w:tr w:rsidR="00080AA8" w:rsidTr="00AF5D62">
        <w:tc>
          <w:tcPr>
            <w:tcW w:w="2506" w:type="pct"/>
            <w:gridSpan w:val="2"/>
          </w:tcPr>
          <w:p w:rsidR="00080AA8" w:rsidRPr="00D07B05" w:rsidRDefault="00CE797F" w:rsidP="00AF5D62">
            <w:pPr>
              <w:pStyle w:val="Textpoznpodarou"/>
              <w:jc w:val="both"/>
              <w:rPr>
                <w:sz w:val="6"/>
                <w:szCs w:val="6"/>
              </w:rPr>
            </w:pPr>
            <w:r w:rsidRPr="00C20B1C">
              <w:rPr>
                <w:sz w:val="6"/>
                <w:szCs w:val="6"/>
              </w:rPr>
              <w:pict>
                <v:shape id="_x0000_i1029" type="#_x0000_t75" style="width:242.65pt;height:180.6pt">
                  <v:imagedata r:id="rId17" o:title=""/>
                </v:shape>
              </w:pict>
            </w:r>
          </w:p>
        </w:tc>
        <w:tc>
          <w:tcPr>
            <w:tcW w:w="2494" w:type="pct"/>
            <w:gridSpan w:val="2"/>
          </w:tcPr>
          <w:p w:rsidR="00080AA8" w:rsidRDefault="00CE797F" w:rsidP="00AF5D62">
            <w:pPr>
              <w:pStyle w:val="Textpoznpodarou"/>
              <w:jc w:val="both"/>
            </w:pPr>
            <w:r>
              <w:pict>
                <v:shape id="_x0000_i1030" type="#_x0000_t75" style="width:240.15pt;height:180.6pt">
                  <v:imagedata r:id="rId18" o:title=""/>
                </v:shape>
              </w:pict>
            </w:r>
          </w:p>
        </w:tc>
      </w:tr>
    </w:tbl>
    <w:p w:rsidR="00080AA8" w:rsidRPr="00080AA8" w:rsidRDefault="00080AA8" w:rsidP="00080AA8">
      <w:pPr>
        <w:pStyle w:val="Textpoznpodarou"/>
        <w:jc w:val="both"/>
        <w:rPr>
          <w:sz w:val="10"/>
          <w:szCs w:val="10"/>
        </w:rPr>
      </w:pPr>
    </w:p>
    <w:tbl>
      <w:tblPr>
        <w:tblW w:w="5059" w:type="pct"/>
        <w:tblLayout w:type="fixed"/>
        <w:tblCellMar>
          <w:left w:w="28" w:type="dxa"/>
          <w:right w:w="28" w:type="dxa"/>
        </w:tblCellMar>
        <w:tblLook w:val="04A0"/>
      </w:tblPr>
      <w:tblGrid>
        <w:gridCol w:w="735"/>
        <w:gridCol w:w="4180"/>
        <w:gridCol w:w="783"/>
        <w:gridCol w:w="4110"/>
      </w:tblGrid>
      <w:tr w:rsidR="00080AA8" w:rsidTr="00AF5D62">
        <w:tc>
          <w:tcPr>
            <w:tcW w:w="375" w:type="pct"/>
          </w:tcPr>
          <w:p w:rsidR="00080AA8" w:rsidRDefault="00080AA8" w:rsidP="00AF5D62">
            <w:pPr>
              <w:spacing w:line="240" w:lineRule="auto"/>
            </w:pPr>
            <w:r>
              <w:t>Graf č. 7</w:t>
            </w:r>
          </w:p>
        </w:tc>
        <w:tc>
          <w:tcPr>
            <w:tcW w:w="2131" w:type="pct"/>
          </w:tcPr>
          <w:p w:rsidR="00080AA8" w:rsidRDefault="00080AA8" w:rsidP="00AF5D62">
            <w:pPr>
              <w:spacing w:line="240" w:lineRule="auto"/>
              <w:rPr>
                <w:b/>
              </w:rPr>
            </w:pPr>
            <w:r>
              <w:rPr>
                <w:b/>
              </w:rPr>
              <w:t xml:space="preserve">Stavební produkce*, hodnota nových zakázek </w:t>
            </w:r>
            <w:r>
              <w:rPr>
                <w:bCs/>
              </w:rPr>
              <w:t xml:space="preserve">(y/y v %) </w:t>
            </w:r>
            <w:r w:rsidRPr="006B4FFB">
              <w:rPr>
                <w:b/>
              </w:rPr>
              <w:t>a</w:t>
            </w:r>
            <w:r>
              <w:rPr>
                <w:b/>
              </w:rPr>
              <w:t xml:space="preserve"> saldo indikátoru </w:t>
            </w:r>
          </w:p>
          <w:p w:rsidR="00080AA8" w:rsidRDefault="00080AA8" w:rsidP="00AF5D62">
            <w:pPr>
              <w:spacing w:line="240" w:lineRule="auto"/>
              <w:rPr>
                <w:b/>
              </w:rPr>
            </w:pPr>
            <w:r>
              <w:rPr>
                <w:b/>
              </w:rPr>
              <w:t xml:space="preserve">důvěry ve stavebnictví </w:t>
            </w:r>
            <w:r w:rsidRPr="00C1711F">
              <w:t>(pravá osa)</w:t>
            </w:r>
          </w:p>
        </w:tc>
        <w:tc>
          <w:tcPr>
            <w:tcW w:w="399" w:type="pct"/>
          </w:tcPr>
          <w:p w:rsidR="00080AA8" w:rsidRDefault="00080AA8" w:rsidP="00AF5D62">
            <w:pPr>
              <w:spacing w:line="240" w:lineRule="auto"/>
            </w:pPr>
            <w:r>
              <w:t>Graf č. 8</w:t>
            </w:r>
          </w:p>
        </w:tc>
        <w:tc>
          <w:tcPr>
            <w:tcW w:w="2095" w:type="pct"/>
          </w:tcPr>
          <w:p w:rsidR="00080AA8" w:rsidRPr="0036011F" w:rsidRDefault="00080AA8" w:rsidP="00AF5D62">
            <w:pPr>
              <w:spacing w:line="240" w:lineRule="auto"/>
              <w:rPr>
                <w:b/>
                <w:spacing w:val="-2"/>
              </w:rPr>
            </w:pPr>
            <w:r w:rsidRPr="0036011F">
              <w:rPr>
                <w:b/>
                <w:spacing w:val="-2"/>
              </w:rPr>
              <w:t xml:space="preserve">Tržby v maloobchodě vč. motoristického segmentu* </w:t>
            </w:r>
            <w:r w:rsidRPr="0036011F">
              <w:rPr>
                <w:bCs/>
                <w:spacing w:val="-2"/>
              </w:rPr>
              <w:t xml:space="preserve">(reálně, y/y v %) </w:t>
            </w:r>
            <w:r w:rsidRPr="0036011F">
              <w:rPr>
                <w:b/>
                <w:spacing w:val="-2"/>
              </w:rPr>
              <w:t xml:space="preserve">saldo indikátoru důvěry spotřebitelů </w:t>
            </w:r>
            <w:r w:rsidRPr="0036011F">
              <w:rPr>
                <w:spacing w:val="-2"/>
              </w:rPr>
              <w:t>(pravá osa)</w:t>
            </w:r>
          </w:p>
        </w:tc>
      </w:tr>
      <w:tr w:rsidR="00080AA8" w:rsidTr="00AF5D62">
        <w:tc>
          <w:tcPr>
            <w:tcW w:w="2506" w:type="pct"/>
            <w:gridSpan w:val="2"/>
          </w:tcPr>
          <w:p w:rsidR="00080AA8" w:rsidRPr="00B00F42" w:rsidRDefault="00CE797F" w:rsidP="00AF5D62">
            <w:pPr>
              <w:pStyle w:val="Textpoznpodarou"/>
              <w:jc w:val="both"/>
              <w:rPr>
                <w:sz w:val="6"/>
                <w:szCs w:val="6"/>
              </w:rPr>
            </w:pPr>
            <w:r w:rsidRPr="00C20B1C">
              <w:rPr>
                <w:sz w:val="6"/>
                <w:szCs w:val="6"/>
              </w:rPr>
              <w:pict>
                <v:shape id="_x0000_i1031" type="#_x0000_t75" style="width:241.8pt;height:183.1pt">
                  <v:imagedata r:id="rId19" o:title=""/>
                </v:shape>
              </w:pict>
            </w:r>
          </w:p>
        </w:tc>
        <w:tc>
          <w:tcPr>
            <w:tcW w:w="2494" w:type="pct"/>
            <w:gridSpan w:val="2"/>
          </w:tcPr>
          <w:p w:rsidR="00080AA8" w:rsidRDefault="00CE797F" w:rsidP="00AF5D62">
            <w:pPr>
              <w:pStyle w:val="Textpoznpodarou"/>
              <w:jc w:val="both"/>
            </w:pPr>
            <w:r>
              <w:pict>
                <v:shape id="_x0000_i1032" type="#_x0000_t75" style="width:240.95pt;height:183.1pt">
                  <v:imagedata r:id="rId20" o:title=""/>
                </v:shape>
              </w:pict>
            </w:r>
          </w:p>
        </w:tc>
      </w:tr>
      <w:tr w:rsidR="00080AA8" w:rsidTr="00AF5D62">
        <w:trPr>
          <w:trHeight w:val="58"/>
        </w:trPr>
        <w:tc>
          <w:tcPr>
            <w:tcW w:w="5000" w:type="pct"/>
            <w:gridSpan w:val="4"/>
          </w:tcPr>
          <w:p w:rsidR="00080AA8" w:rsidRDefault="00080AA8" w:rsidP="00AF5D62">
            <w:pPr>
              <w:pStyle w:val="Zhlav"/>
              <w:spacing w:line="240" w:lineRule="auto"/>
              <w:rPr>
                <w:rFonts w:ascii="Arial" w:eastAsia="Times New Roman" w:hAnsi="Arial" w:cs="Arial"/>
                <w:sz w:val="18"/>
                <w:szCs w:val="18"/>
              </w:rPr>
            </w:pPr>
            <w:r>
              <w:rPr>
                <w:rFonts w:ascii="Arial" w:hAnsi="Arial" w:cs="Arial"/>
                <w:sz w:val="18"/>
                <w:szCs w:val="18"/>
                <w:lang w:eastAsia="cs-CZ"/>
              </w:rPr>
              <w:t xml:space="preserve">*očištěno o kalendářní </w:t>
            </w:r>
            <w:proofErr w:type="gramStart"/>
            <w:r>
              <w:rPr>
                <w:rFonts w:ascii="Arial" w:hAnsi="Arial" w:cs="Arial"/>
                <w:sz w:val="18"/>
                <w:szCs w:val="18"/>
                <w:lang w:eastAsia="cs-CZ"/>
              </w:rPr>
              <w:t xml:space="preserve">vlivy                                                                                                                                     </w:t>
            </w:r>
            <w:r w:rsidRPr="000F401E">
              <w:rPr>
                <w:rFonts w:ascii="Arial" w:hAnsi="Arial" w:cs="Arial"/>
                <w:sz w:val="18"/>
                <w:szCs w:val="18"/>
                <w:lang w:eastAsia="cs-CZ"/>
              </w:rPr>
              <w:t>Zdroj</w:t>
            </w:r>
            <w:proofErr w:type="gramEnd"/>
            <w:r w:rsidRPr="000F401E">
              <w:rPr>
                <w:rFonts w:ascii="Arial" w:hAnsi="Arial" w:cs="Arial"/>
                <w:sz w:val="18"/>
                <w:szCs w:val="18"/>
                <w:lang w:eastAsia="cs-CZ"/>
              </w:rPr>
              <w:t>: ČSÚ</w:t>
            </w:r>
          </w:p>
        </w:tc>
      </w:tr>
    </w:tbl>
    <w:p w:rsidR="00080AA8" w:rsidRPr="000E1EEA" w:rsidRDefault="00080AA8" w:rsidP="00080AA8">
      <w:pPr>
        <w:pStyle w:val="Textpoznpodarou"/>
        <w:jc w:val="both"/>
        <w:rPr>
          <w:sz w:val="2"/>
          <w:szCs w:val="2"/>
        </w:rPr>
      </w:pPr>
    </w:p>
    <w:p w:rsidR="00ED3A94" w:rsidRPr="00080AA8" w:rsidRDefault="00ED3A94" w:rsidP="00FE16E6">
      <w:pPr>
        <w:pStyle w:val="Textpoznpodarou"/>
        <w:jc w:val="both"/>
        <w:rPr>
          <w:sz w:val="6"/>
          <w:szCs w:val="6"/>
        </w:rPr>
      </w:pPr>
    </w:p>
    <w:p w:rsidR="00ED3A94" w:rsidRPr="000E1EEA" w:rsidRDefault="00ED3A94" w:rsidP="00FE16E6">
      <w:pPr>
        <w:pStyle w:val="Textpoznpodarou"/>
        <w:jc w:val="both"/>
        <w:rPr>
          <w:sz w:val="2"/>
          <w:szCs w:val="2"/>
        </w:rPr>
      </w:pPr>
    </w:p>
    <w:p w:rsidR="00576A3E" w:rsidRDefault="00576A3E" w:rsidP="00FC3C84">
      <w:pPr>
        <w:pStyle w:val="Nadpis1"/>
        <w:numPr>
          <w:ilvl w:val="0"/>
          <w:numId w:val="3"/>
        </w:numPr>
        <w:jc w:val="both"/>
      </w:pPr>
      <w:bookmarkStart w:id="6" w:name="_Toc454185151"/>
      <w:r>
        <w:lastRenderedPageBreak/>
        <w:t>Vnější ekonomické vztahy</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
        <w:gridCol w:w="918"/>
        <w:gridCol w:w="1137"/>
        <w:gridCol w:w="284"/>
        <w:gridCol w:w="2564"/>
        <w:gridCol w:w="822"/>
        <w:gridCol w:w="4066"/>
        <w:gridCol w:w="37"/>
      </w:tblGrid>
      <w:tr w:rsidR="00F66243" w:rsidRPr="00026F12" w:rsidTr="00AF5D62">
        <w:tc>
          <w:tcPr>
            <w:tcW w:w="1056" w:type="pct"/>
            <w:gridSpan w:val="3"/>
            <w:tcBorders>
              <w:top w:val="nil"/>
              <w:left w:val="nil"/>
              <w:bottom w:val="nil"/>
              <w:right w:val="nil"/>
            </w:tcBorders>
          </w:tcPr>
          <w:p w:rsidR="00F66243" w:rsidRPr="00026F12" w:rsidRDefault="00F66243" w:rsidP="00AF5D62">
            <w:pPr>
              <w:spacing w:line="240" w:lineRule="auto"/>
              <w:rPr>
                <w:sz w:val="16"/>
                <w:szCs w:val="16"/>
              </w:rPr>
            </w:pPr>
            <w:r w:rsidRPr="00026F12">
              <w:rPr>
                <w:sz w:val="16"/>
                <w:szCs w:val="16"/>
              </w:rPr>
              <w:t>Přebytek běžného účtu platební bilance dosáhl v 1. pololetí 2016 107</w:t>
            </w:r>
            <w:r>
              <w:rPr>
                <w:sz w:val="16"/>
                <w:szCs w:val="16"/>
              </w:rPr>
              <w:t> </w:t>
            </w:r>
            <w:r w:rsidRPr="00026F12">
              <w:rPr>
                <w:sz w:val="16"/>
                <w:szCs w:val="16"/>
              </w:rPr>
              <w:t xml:space="preserve">mld. korun… </w:t>
            </w:r>
          </w:p>
        </w:tc>
        <w:tc>
          <w:tcPr>
            <w:tcW w:w="144" w:type="pct"/>
            <w:tcBorders>
              <w:top w:val="nil"/>
              <w:left w:val="nil"/>
              <w:bottom w:val="nil"/>
              <w:right w:val="nil"/>
            </w:tcBorders>
          </w:tcPr>
          <w:p w:rsidR="00F66243" w:rsidRPr="00081D58" w:rsidRDefault="00F66243" w:rsidP="00AF5D62">
            <w:pPr>
              <w:pStyle w:val="Textpoznpodarou"/>
              <w:jc w:val="both"/>
              <w:rPr>
                <w:color w:val="FF0000"/>
              </w:rPr>
            </w:pPr>
          </w:p>
        </w:tc>
        <w:tc>
          <w:tcPr>
            <w:tcW w:w="3800" w:type="pct"/>
            <w:gridSpan w:val="4"/>
            <w:tcBorders>
              <w:top w:val="nil"/>
              <w:left w:val="nil"/>
              <w:bottom w:val="nil"/>
              <w:right w:val="nil"/>
            </w:tcBorders>
          </w:tcPr>
          <w:p w:rsidR="00F66243" w:rsidRPr="00081D58" w:rsidRDefault="00F66243" w:rsidP="00AF5D62">
            <w:pPr>
              <w:pStyle w:val="Textpoznpodarou"/>
              <w:jc w:val="both"/>
              <w:rPr>
                <w:spacing w:val="-2"/>
              </w:rPr>
            </w:pPr>
            <w:r w:rsidRPr="003455BC">
              <w:rPr>
                <w:spacing w:val="-2"/>
              </w:rPr>
              <w:t>Saldo běžného účtu platební bilance dosahuje přebytku v 1. čtvrtletí pravidelně od roku 2005 a nejinak tomu bylo i v lednu až červnu 2016. Za první pololetí dosáhl přebytek 107 mld.</w:t>
            </w:r>
            <w:r w:rsidRPr="000A2779">
              <w:rPr>
                <w:spacing w:val="-2"/>
              </w:rPr>
              <w:t xml:space="preserve"> korun</w:t>
            </w:r>
            <w:r w:rsidRPr="003455BC">
              <w:rPr>
                <w:spacing w:val="-2"/>
              </w:rPr>
              <w:t xml:space="preserve">. </w:t>
            </w:r>
            <w:r w:rsidRPr="003455BC">
              <w:rPr>
                <w:spacing w:val="-4"/>
              </w:rPr>
              <w:t>Přebytek kapitálového účtu poklesl na konci prvního pololetí meziročně o 44 mld.</w:t>
            </w:r>
            <w:r w:rsidRPr="000A2779">
              <w:rPr>
                <w:spacing w:val="-4"/>
              </w:rPr>
              <w:t xml:space="preserve"> </w:t>
            </w:r>
            <w:r w:rsidRPr="003455BC">
              <w:rPr>
                <w:spacing w:val="-4"/>
              </w:rPr>
              <w:t>na 39 mld.</w:t>
            </w:r>
            <w:r w:rsidRPr="0028292F">
              <w:rPr>
                <w:spacing w:val="-4"/>
              </w:rPr>
              <w:t xml:space="preserve"> korun</w:t>
            </w:r>
            <w:r w:rsidRPr="003455BC">
              <w:rPr>
                <w:spacing w:val="-4"/>
              </w:rPr>
              <w:t>, a to vlivem klesajícího objemu prostředků čerpaných z fondů EU. Finanční účet ve druhém čtvrtletí zaznamenal příliv finančních prostředků ve výši 32,8 mld.</w:t>
            </w:r>
            <w:r w:rsidRPr="000A2779">
              <w:rPr>
                <w:spacing w:val="-4"/>
              </w:rPr>
              <w:t xml:space="preserve"> korun</w:t>
            </w:r>
            <w:r w:rsidRPr="003455BC">
              <w:rPr>
                <w:spacing w:val="-4"/>
              </w:rPr>
              <w:t xml:space="preserve">, čímž zredukoval odliv v prvním čtvrtletí </w:t>
            </w:r>
            <w:r>
              <w:rPr>
                <w:spacing w:val="-4"/>
              </w:rPr>
              <w:br/>
            </w:r>
            <w:r w:rsidRPr="003455BC">
              <w:rPr>
                <w:spacing w:val="-4"/>
              </w:rPr>
              <w:t>(109,1 mld.</w:t>
            </w:r>
            <w:r w:rsidRPr="000A2779">
              <w:rPr>
                <w:spacing w:val="-4"/>
              </w:rPr>
              <w:t xml:space="preserve"> korun</w:t>
            </w:r>
            <w:r w:rsidRPr="003455BC">
              <w:rPr>
                <w:spacing w:val="-4"/>
              </w:rPr>
              <w:t xml:space="preserve">) na 76,3 mld. </w:t>
            </w:r>
            <w:r w:rsidRPr="000A2779">
              <w:rPr>
                <w:spacing w:val="-4"/>
              </w:rPr>
              <w:t xml:space="preserve">korun </w:t>
            </w:r>
            <w:r w:rsidRPr="003455BC">
              <w:rPr>
                <w:spacing w:val="-4"/>
              </w:rPr>
              <w:t xml:space="preserve">na konci prvního pololetí. V pozadí jsou zejména investice zahraničních investorů do tuzemských vládních dluhopisů. </w:t>
            </w:r>
          </w:p>
          <w:p w:rsidR="00F66243" w:rsidRPr="00081D58" w:rsidRDefault="00F66243" w:rsidP="00AF5D62">
            <w:pPr>
              <w:pStyle w:val="Textpoznpodarou"/>
              <w:jc w:val="both"/>
              <w:rPr>
                <w:color w:val="FF0000"/>
                <w:sz w:val="14"/>
                <w:szCs w:val="14"/>
              </w:rPr>
            </w:pPr>
          </w:p>
        </w:tc>
      </w:tr>
      <w:tr w:rsidR="00F66243" w:rsidRPr="00026F12" w:rsidTr="00AF5D62">
        <w:tc>
          <w:tcPr>
            <w:tcW w:w="1056" w:type="pct"/>
            <w:gridSpan w:val="3"/>
            <w:tcBorders>
              <w:top w:val="nil"/>
              <w:left w:val="nil"/>
              <w:bottom w:val="nil"/>
              <w:right w:val="nil"/>
            </w:tcBorders>
          </w:tcPr>
          <w:p w:rsidR="00F66243" w:rsidRPr="00026F12" w:rsidRDefault="00F66243" w:rsidP="00AF5D62">
            <w:pPr>
              <w:spacing w:line="240" w:lineRule="auto"/>
              <w:rPr>
                <w:sz w:val="16"/>
                <w:szCs w:val="16"/>
              </w:rPr>
            </w:pPr>
            <w:r w:rsidRPr="00026F12">
              <w:rPr>
                <w:sz w:val="16"/>
                <w:szCs w:val="16"/>
              </w:rPr>
              <w:t xml:space="preserve">… díky </w:t>
            </w:r>
            <w:r>
              <w:rPr>
                <w:sz w:val="16"/>
                <w:szCs w:val="16"/>
              </w:rPr>
              <w:t>mezir</w:t>
            </w:r>
            <w:r w:rsidR="00DD7435">
              <w:rPr>
                <w:sz w:val="16"/>
                <w:szCs w:val="16"/>
              </w:rPr>
              <w:t>očnímu růstu výkonové bilance a</w:t>
            </w:r>
            <w:r w:rsidR="00DD7435" w:rsidRPr="00026F12">
              <w:rPr>
                <w:sz w:val="16"/>
                <w:szCs w:val="16"/>
              </w:rPr>
              <w:t> </w:t>
            </w:r>
            <w:r>
              <w:rPr>
                <w:sz w:val="16"/>
                <w:szCs w:val="16"/>
              </w:rPr>
              <w:t xml:space="preserve">snížení deficitů prvotních </w:t>
            </w:r>
            <w:r w:rsidRPr="00026F12">
              <w:rPr>
                <w:sz w:val="16"/>
                <w:szCs w:val="16"/>
              </w:rPr>
              <w:t>důchodů</w:t>
            </w:r>
          </w:p>
        </w:tc>
        <w:tc>
          <w:tcPr>
            <w:tcW w:w="144" w:type="pct"/>
            <w:tcBorders>
              <w:top w:val="nil"/>
              <w:left w:val="nil"/>
              <w:bottom w:val="nil"/>
              <w:right w:val="nil"/>
            </w:tcBorders>
          </w:tcPr>
          <w:p w:rsidR="00F66243" w:rsidRPr="00081D58" w:rsidRDefault="00F66243" w:rsidP="00AF5D62">
            <w:pPr>
              <w:pStyle w:val="Textpoznpodarou"/>
              <w:jc w:val="both"/>
              <w:rPr>
                <w:color w:val="FF0000"/>
              </w:rPr>
            </w:pPr>
          </w:p>
        </w:tc>
        <w:tc>
          <w:tcPr>
            <w:tcW w:w="3800" w:type="pct"/>
            <w:gridSpan w:val="4"/>
            <w:tcBorders>
              <w:top w:val="nil"/>
              <w:left w:val="nil"/>
              <w:bottom w:val="nil"/>
              <w:right w:val="nil"/>
            </w:tcBorders>
          </w:tcPr>
          <w:p w:rsidR="00F66243" w:rsidRPr="00081D58" w:rsidRDefault="00F66243" w:rsidP="00AF5D62">
            <w:pPr>
              <w:pStyle w:val="Textpoznpodarou"/>
              <w:jc w:val="both"/>
              <w:rPr>
                <w:color w:val="FF0000"/>
                <w:spacing w:val="-4"/>
              </w:rPr>
            </w:pPr>
            <w:r w:rsidRPr="003455BC">
              <w:rPr>
                <w:spacing w:val="-4"/>
              </w:rPr>
              <w:t>Přebytek běžného účtu se v 1. pololetí letošního roku zvýšil v meziročním srovnání o 44,7 mld. korun. Na jeho zlepšení se v největší míře podílel přebytek výkonové bilance meziročně o téměř 40 mld.</w:t>
            </w:r>
            <w:r w:rsidRPr="000A2779">
              <w:rPr>
                <w:spacing w:val="-4"/>
              </w:rPr>
              <w:t xml:space="preserve"> korun.</w:t>
            </w:r>
            <w:r w:rsidRPr="003455BC">
              <w:rPr>
                <w:spacing w:val="-4"/>
              </w:rPr>
              <w:t xml:space="preserve"> Slabší odliv důchodů z přímých investic zapříčinil pokles záporného salda v položce prvotních důchodů na -99 mld. z loňských -120 mld. Naopak na účtu druhotných důchodů došlo ke zhoršení salda (-4,7 mld.) oproti polovině roku 2015 o 16 mld. </w:t>
            </w:r>
            <w:r w:rsidRPr="000A2779">
              <w:rPr>
                <w:spacing w:val="-4"/>
              </w:rPr>
              <w:t>korun.</w:t>
            </w:r>
          </w:p>
          <w:p w:rsidR="00F66243" w:rsidRPr="00F66243" w:rsidRDefault="00F66243" w:rsidP="00AF5D62">
            <w:pPr>
              <w:pStyle w:val="Textpoznpodarou"/>
              <w:jc w:val="both"/>
              <w:rPr>
                <w:color w:val="FF0000"/>
                <w:sz w:val="14"/>
                <w:szCs w:val="14"/>
              </w:rPr>
            </w:pPr>
          </w:p>
        </w:tc>
      </w:tr>
      <w:tr w:rsidR="00F66243" w:rsidRPr="00026F12" w:rsidTr="00AF5D62">
        <w:tc>
          <w:tcPr>
            <w:tcW w:w="1056" w:type="pct"/>
            <w:gridSpan w:val="3"/>
            <w:tcBorders>
              <w:top w:val="nil"/>
              <w:left w:val="nil"/>
              <w:bottom w:val="nil"/>
              <w:right w:val="nil"/>
            </w:tcBorders>
          </w:tcPr>
          <w:p w:rsidR="00F66243" w:rsidRPr="00026F12" w:rsidRDefault="00F66243" w:rsidP="00AF5D62">
            <w:pPr>
              <w:spacing w:line="240" w:lineRule="auto"/>
              <w:rPr>
                <w:sz w:val="16"/>
                <w:szCs w:val="16"/>
              </w:rPr>
            </w:pPr>
            <w:r w:rsidRPr="00026F12">
              <w:rPr>
                <w:sz w:val="16"/>
                <w:szCs w:val="16"/>
              </w:rPr>
              <w:t xml:space="preserve">Zdrojem deficitu finančního účtu byla především rostoucí rezervní aktiva související s intervenčním režimem </w:t>
            </w:r>
            <w:r>
              <w:rPr>
                <w:sz w:val="16"/>
                <w:szCs w:val="16"/>
              </w:rPr>
              <w:t>ČNB</w:t>
            </w:r>
          </w:p>
        </w:tc>
        <w:tc>
          <w:tcPr>
            <w:tcW w:w="144" w:type="pct"/>
            <w:tcBorders>
              <w:top w:val="nil"/>
              <w:left w:val="nil"/>
              <w:bottom w:val="nil"/>
              <w:right w:val="nil"/>
            </w:tcBorders>
          </w:tcPr>
          <w:p w:rsidR="00F66243" w:rsidRPr="00081D58" w:rsidRDefault="00F66243" w:rsidP="00AF5D62">
            <w:pPr>
              <w:pStyle w:val="Textpoznpodarou"/>
              <w:jc w:val="both"/>
              <w:rPr>
                <w:color w:val="FF0000"/>
              </w:rPr>
            </w:pPr>
          </w:p>
        </w:tc>
        <w:tc>
          <w:tcPr>
            <w:tcW w:w="3800" w:type="pct"/>
            <w:gridSpan w:val="4"/>
            <w:tcBorders>
              <w:top w:val="nil"/>
              <w:left w:val="nil"/>
              <w:bottom w:val="nil"/>
              <w:right w:val="nil"/>
            </w:tcBorders>
          </w:tcPr>
          <w:p w:rsidR="00F66243" w:rsidRPr="00081D58" w:rsidRDefault="00F66243" w:rsidP="00AF5D62">
            <w:pPr>
              <w:pStyle w:val="Textpoznpodarou"/>
              <w:jc w:val="both"/>
              <w:rPr>
                <w:color w:val="FF0000"/>
              </w:rPr>
            </w:pPr>
            <w:r w:rsidRPr="003455BC">
              <w:rPr>
                <w:spacing w:val="-2"/>
              </w:rPr>
              <w:t>Příliv přímých investic do české ekonomiky se v 1. pololetí roku 2016 meziročně zrychlil z 9,7</w:t>
            </w:r>
            <w:r w:rsidRPr="000A2779">
              <w:rPr>
                <w:spacing w:val="-2"/>
              </w:rPr>
              <w:t xml:space="preserve"> mld.</w:t>
            </w:r>
            <w:r w:rsidRPr="003455BC">
              <w:rPr>
                <w:spacing w:val="-2"/>
              </w:rPr>
              <w:t xml:space="preserve"> na 67 m</w:t>
            </w:r>
            <w:r w:rsidRPr="000A2779">
              <w:rPr>
                <w:spacing w:val="-2"/>
              </w:rPr>
              <w:t>l</w:t>
            </w:r>
            <w:r w:rsidRPr="003455BC">
              <w:rPr>
                <w:spacing w:val="-2"/>
              </w:rPr>
              <w:t>d</w:t>
            </w:r>
            <w:r w:rsidRPr="000A2779">
              <w:rPr>
                <w:spacing w:val="-2"/>
              </w:rPr>
              <w:t>. korun.</w:t>
            </w:r>
            <w:r w:rsidRPr="003455BC">
              <w:rPr>
                <w:spacing w:val="-2"/>
              </w:rPr>
              <w:t xml:space="preserve"> Zatímco t</w:t>
            </w:r>
            <w:r w:rsidR="00DD7435">
              <w:rPr>
                <w:spacing w:val="-2"/>
              </w:rPr>
              <w:t>uzemští investoři snížili</w:t>
            </w:r>
            <w:r w:rsidRPr="003455BC">
              <w:rPr>
                <w:spacing w:val="-2"/>
              </w:rPr>
              <w:t xml:space="preserve"> hodnotu svých </w:t>
            </w:r>
            <w:r w:rsidRPr="0028292F">
              <w:rPr>
                <w:spacing w:val="-2"/>
              </w:rPr>
              <w:t>přímých zahraničních investic (dále také „</w:t>
            </w:r>
            <w:r w:rsidRPr="003455BC">
              <w:rPr>
                <w:spacing w:val="-2"/>
              </w:rPr>
              <w:t>PZI</w:t>
            </w:r>
            <w:r w:rsidRPr="0028292F">
              <w:rPr>
                <w:spacing w:val="-2"/>
              </w:rPr>
              <w:t>“)</w:t>
            </w:r>
            <w:r w:rsidRPr="003455BC">
              <w:rPr>
                <w:spacing w:val="-2"/>
              </w:rPr>
              <w:t xml:space="preserve"> o 1 mld., ze zahraničí při</w:t>
            </w:r>
            <w:r w:rsidRPr="000A2779">
              <w:rPr>
                <w:spacing w:val="-2"/>
              </w:rPr>
              <w:t>šlo</w:t>
            </w:r>
            <w:r w:rsidRPr="003455BC">
              <w:rPr>
                <w:spacing w:val="-2"/>
              </w:rPr>
              <w:t xml:space="preserve"> do české ekonomiky v podobě PZI 66 mld. </w:t>
            </w:r>
            <w:r w:rsidRPr="000A2779">
              <w:rPr>
                <w:spacing w:val="-2"/>
              </w:rPr>
              <w:t>korun</w:t>
            </w:r>
            <w:r w:rsidRPr="003455BC">
              <w:rPr>
                <w:spacing w:val="-2"/>
              </w:rPr>
              <w:t xml:space="preserve">. Významný meziroční nárůst je také </w:t>
            </w:r>
            <w:r w:rsidRPr="000A2779">
              <w:rPr>
                <w:spacing w:val="-2"/>
              </w:rPr>
              <w:t>u</w:t>
            </w:r>
            <w:r w:rsidRPr="003455BC">
              <w:rPr>
                <w:spacing w:val="-2"/>
              </w:rPr>
              <w:t xml:space="preserve"> dluhových cenných papír</w:t>
            </w:r>
            <w:r w:rsidRPr="0028292F">
              <w:rPr>
                <w:spacing w:val="-2"/>
              </w:rPr>
              <w:t>ů</w:t>
            </w:r>
            <w:r w:rsidRPr="000A2779">
              <w:rPr>
                <w:spacing w:val="-2"/>
              </w:rPr>
              <w:t xml:space="preserve"> (</w:t>
            </w:r>
            <w:r w:rsidRPr="003455BC">
              <w:rPr>
                <w:spacing w:val="-2"/>
              </w:rPr>
              <w:t xml:space="preserve">meziroční nárůst ze 17 </w:t>
            </w:r>
            <w:r w:rsidRPr="000A2779">
              <w:rPr>
                <w:spacing w:val="-2"/>
              </w:rPr>
              <w:t xml:space="preserve">mld. </w:t>
            </w:r>
            <w:r w:rsidRPr="003455BC">
              <w:rPr>
                <w:spacing w:val="-2"/>
              </w:rPr>
              <w:t>na 133,6 mld</w:t>
            </w:r>
            <w:r w:rsidRPr="000A2779">
              <w:rPr>
                <w:spacing w:val="-2"/>
              </w:rPr>
              <w:t>. korun)</w:t>
            </w:r>
            <w:r w:rsidRPr="003455BC">
              <w:rPr>
                <w:spacing w:val="-2"/>
              </w:rPr>
              <w:t>. Hlavním zdrojem deficitu finančního účtu, tj. odlivu peněz do zahraničí, byl vývoj v položce rezervních aktiv zejména díky pokračujícím intervencím ČNB. Čisté transakce s rezervními aktivy činily v </w:t>
            </w:r>
            <w:r w:rsidRPr="000A2779">
              <w:rPr>
                <w:spacing w:val="-2"/>
              </w:rPr>
              <w:t>1.</w:t>
            </w:r>
            <w:r w:rsidRPr="003455BC">
              <w:rPr>
                <w:spacing w:val="-2"/>
              </w:rPr>
              <w:t xml:space="preserve"> pololetí 220 mld.</w:t>
            </w:r>
            <w:r w:rsidRPr="000A2779">
              <w:rPr>
                <w:spacing w:val="-2"/>
              </w:rPr>
              <w:t xml:space="preserve"> korun</w:t>
            </w:r>
            <w:r w:rsidRPr="003455BC">
              <w:rPr>
                <w:spacing w:val="-2"/>
              </w:rPr>
              <w:t>, což činí meziroční nárůst o téměř 100 mld.</w:t>
            </w:r>
            <w:r w:rsidRPr="000A2779">
              <w:rPr>
                <w:spacing w:val="-2"/>
              </w:rPr>
              <w:t xml:space="preserve"> korun.</w:t>
            </w:r>
          </w:p>
          <w:p w:rsidR="00F66243" w:rsidRPr="00081D58" w:rsidRDefault="00F66243" w:rsidP="00AF5D62">
            <w:pPr>
              <w:pStyle w:val="Textpoznpodarou"/>
              <w:jc w:val="both"/>
              <w:rPr>
                <w:color w:val="FF0000"/>
                <w:sz w:val="14"/>
                <w:szCs w:val="14"/>
              </w:rPr>
            </w:pPr>
          </w:p>
        </w:tc>
      </w:tr>
      <w:tr w:rsidR="00F66243" w:rsidRPr="00D279F9" w:rsidTr="00AF5D62">
        <w:tc>
          <w:tcPr>
            <w:tcW w:w="1056" w:type="pct"/>
            <w:gridSpan w:val="3"/>
            <w:tcBorders>
              <w:top w:val="nil"/>
              <w:left w:val="nil"/>
              <w:bottom w:val="nil"/>
              <w:right w:val="nil"/>
            </w:tcBorders>
          </w:tcPr>
          <w:p w:rsidR="00F66243" w:rsidRPr="00026F12" w:rsidRDefault="00F66243" w:rsidP="00AF5D62">
            <w:pPr>
              <w:spacing w:line="240" w:lineRule="auto"/>
              <w:rPr>
                <w:sz w:val="16"/>
                <w:szCs w:val="16"/>
              </w:rPr>
            </w:pPr>
            <w:r w:rsidRPr="00026F12">
              <w:rPr>
                <w:sz w:val="16"/>
                <w:szCs w:val="16"/>
              </w:rPr>
              <w:t xml:space="preserve">Zájem zahraničních investorů o tuzemské vládní dluhopisy </w:t>
            </w:r>
            <w:r>
              <w:rPr>
                <w:sz w:val="16"/>
                <w:szCs w:val="16"/>
              </w:rPr>
              <w:t>roste</w:t>
            </w:r>
            <w:r w:rsidRPr="00026F12">
              <w:rPr>
                <w:sz w:val="16"/>
                <w:szCs w:val="16"/>
              </w:rPr>
              <w:t xml:space="preserve"> – během prvních tří měsíců letošního roku jich nakoupily za </w:t>
            </w:r>
            <w:r>
              <w:rPr>
                <w:sz w:val="16"/>
                <w:szCs w:val="16"/>
              </w:rPr>
              <w:t>114</w:t>
            </w:r>
            <w:r w:rsidRPr="00026F12">
              <w:rPr>
                <w:sz w:val="16"/>
                <w:szCs w:val="16"/>
              </w:rPr>
              <w:t>,</w:t>
            </w:r>
            <w:r>
              <w:rPr>
                <w:sz w:val="16"/>
                <w:szCs w:val="16"/>
              </w:rPr>
              <w:t>2</w:t>
            </w:r>
            <w:r w:rsidRPr="00026F12">
              <w:rPr>
                <w:sz w:val="16"/>
                <w:szCs w:val="16"/>
              </w:rPr>
              <w:t> mld. korun</w:t>
            </w:r>
          </w:p>
        </w:tc>
        <w:tc>
          <w:tcPr>
            <w:tcW w:w="144" w:type="pct"/>
            <w:tcBorders>
              <w:top w:val="nil"/>
              <w:left w:val="nil"/>
              <w:bottom w:val="nil"/>
              <w:right w:val="nil"/>
            </w:tcBorders>
          </w:tcPr>
          <w:p w:rsidR="00F66243" w:rsidRPr="00081D58" w:rsidRDefault="00F66243" w:rsidP="00AF5D62">
            <w:pPr>
              <w:pStyle w:val="Textpoznpodarou"/>
              <w:jc w:val="both"/>
              <w:rPr>
                <w:color w:val="FF0000"/>
              </w:rPr>
            </w:pPr>
          </w:p>
        </w:tc>
        <w:tc>
          <w:tcPr>
            <w:tcW w:w="3800" w:type="pct"/>
            <w:gridSpan w:val="4"/>
            <w:tcBorders>
              <w:top w:val="nil"/>
              <w:left w:val="nil"/>
              <w:bottom w:val="nil"/>
              <w:right w:val="nil"/>
            </w:tcBorders>
          </w:tcPr>
          <w:p w:rsidR="00F66243" w:rsidRPr="00081D58" w:rsidRDefault="00F66243" w:rsidP="00AF5D62">
            <w:pPr>
              <w:pStyle w:val="Textpoznpodarou"/>
              <w:jc w:val="both"/>
              <w:rPr>
                <w:color w:val="FF0000"/>
                <w:spacing w:val="-2"/>
              </w:rPr>
            </w:pPr>
            <w:r w:rsidRPr="003455BC">
              <w:rPr>
                <w:spacing w:val="-2"/>
              </w:rPr>
              <w:t>Během 1. pololetí 2016 se uskutečnil příliv portfoliových investic v rozsahu 140,9</w:t>
            </w:r>
            <w:r w:rsidRPr="0028292F">
              <w:rPr>
                <w:spacing w:val="-2"/>
              </w:rPr>
              <w:t> </w:t>
            </w:r>
            <w:r w:rsidRPr="003455BC">
              <w:rPr>
                <w:spacing w:val="-2"/>
              </w:rPr>
              <w:t xml:space="preserve">mld. </w:t>
            </w:r>
            <w:r w:rsidRPr="000A2779">
              <w:rPr>
                <w:spacing w:val="-4"/>
              </w:rPr>
              <w:t>korun.</w:t>
            </w:r>
            <w:r w:rsidRPr="003455BC">
              <w:rPr>
                <w:spacing w:val="-4"/>
              </w:rPr>
              <w:t> </w:t>
            </w:r>
            <w:r w:rsidRPr="000A2779">
              <w:rPr>
                <w:spacing w:val="-4"/>
              </w:rPr>
              <w:t xml:space="preserve">Výrazně </w:t>
            </w:r>
            <w:r w:rsidRPr="003455BC">
              <w:rPr>
                <w:spacing w:val="-4"/>
              </w:rPr>
              <w:t>kontrastoval s portfoliovými investicemi rezidentů v zahraničí (19,5</w:t>
            </w:r>
            <w:r w:rsidRPr="003455BC">
              <w:rPr>
                <w:spacing w:val="-2"/>
              </w:rPr>
              <w:t xml:space="preserve"> mld.</w:t>
            </w:r>
            <w:r w:rsidRPr="000A2779">
              <w:rPr>
                <w:spacing w:val="-2"/>
              </w:rPr>
              <w:t xml:space="preserve"> korun</w:t>
            </w:r>
            <w:r w:rsidRPr="003455BC">
              <w:rPr>
                <w:spacing w:val="-2"/>
              </w:rPr>
              <w:t>). Nadále docházelo k masivním nákupům vládních dluhopisů, do nichž zahraniční instituce investovaly 114,2 mld.</w:t>
            </w:r>
            <w:r w:rsidRPr="000A2779">
              <w:rPr>
                <w:spacing w:val="-2"/>
              </w:rPr>
              <w:t xml:space="preserve"> korun</w:t>
            </w:r>
            <w:r w:rsidRPr="003455BC">
              <w:rPr>
                <w:spacing w:val="-2"/>
              </w:rPr>
              <w:t xml:space="preserve">, tedy výrazně více než ve stejném období </w:t>
            </w:r>
            <w:r w:rsidRPr="00081D58">
              <w:rPr>
                <w:spacing w:val="-2"/>
              </w:rPr>
              <w:t>2015</w:t>
            </w:r>
            <w:r w:rsidRPr="003455BC">
              <w:rPr>
                <w:spacing w:val="-2"/>
              </w:rPr>
              <w:t xml:space="preserve"> (39,4 mld.</w:t>
            </w:r>
            <w:r w:rsidRPr="000A2779">
              <w:rPr>
                <w:spacing w:val="-2"/>
              </w:rPr>
              <w:t xml:space="preserve"> korun</w:t>
            </w:r>
            <w:r w:rsidRPr="003455BC">
              <w:rPr>
                <w:spacing w:val="-2"/>
              </w:rPr>
              <w:t>). Poptávka zahraničních investorů vyplývá jednak z dobré pozice českých vládních dluhopisů</w:t>
            </w:r>
            <w:r w:rsidRPr="000A2779">
              <w:rPr>
                <w:spacing w:val="-2"/>
              </w:rPr>
              <w:t xml:space="preserve"> (</w:t>
            </w:r>
            <w:r w:rsidR="00DD7435">
              <w:rPr>
                <w:spacing w:val="-2"/>
              </w:rPr>
              <w:t>tj. relativně nižší úrovně</w:t>
            </w:r>
            <w:r w:rsidRPr="003455BC">
              <w:rPr>
                <w:spacing w:val="-2"/>
              </w:rPr>
              <w:t xml:space="preserve"> zadlužení vlády, nižšího kreditního rizika </w:t>
            </w:r>
            <w:r w:rsidRPr="000A2779">
              <w:rPr>
                <w:spacing w:val="-2"/>
              </w:rPr>
              <w:t>ČR)</w:t>
            </w:r>
            <w:r w:rsidRPr="003455BC">
              <w:rPr>
                <w:spacing w:val="-2"/>
              </w:rPr>
              <w:t xml:space="preserve">, ale také očekávaného budoucího posílení koruny po ukončení kurzových intervencí ČNB. Vysoká poptávka a očekávání investorů se současně projevily ve vývoji výnosů státních dluhopisů, kdy investoři zejména u </w:t>
            </w:r>
            <w:r w:rsidRPr="00081D58">
              <w:rPr>
                <w:spacing w:val="-2"/>
              </w:rPr>
              <w:t>dluhopisů</w:t>
            </w:r>
            <w:r w:rsidRPr="003455BC">
              <w:rPr>
                <w:spacing w:val="-2"/>
              </w:rPr>
              <w:t xml:space="preserve"> se splatností do </w:t>
            </w:r>
            <w:r w:rsidRPr="0028292F">
              <w:rPr>
                <w:spacing w:val="-2"/>
              </w:rPr>
              <w:t>dvou</w:t>
            </w:r>
            <w:r w:rsidRPr="003455BC">
              <w:rPr>
                <w:spacing w:val="-2"/>
              </w:rPr>
              <w:t xml:space="preserve"> let akceptovali záporný výnos (-0,05</w:t>
            </w:r>
            <w:r w:rsidRPr="000A2779">
              <w:rPr>
                <w:spacing w:val="-2"/>
              </w:rPr>
              <w:t xml:space="preserve"> %</w:t>
            </w:r>
            <w:r w:rsidRPr="003455BC">
              <w:rPr>
                <w:spacing w:val="-2"/>
              </w:rPr>
              <w:t>). Nízké výnosy ovšem přetrvávaly i u dluhopisů se zbytkovou splatností do 5 let (0,05</w:t>
            </w:r>
            <w:r w:rsidRPr="000A2779">
              <w:rPr>
                <w:spacing w:val="-2"/>
              </w:rPr>
              <w:t xml:space="preserve"> %</w:t>
            </w:r>
            <w:r w:rsidRPr="003455BC">
              <w:rPr>
                <w:spacing w:val="-2"/>
              </w:rPr>
              <w:t>) a 10 let (</w:t>
            </w:r>
            <w:r w:rsidRPr="00081D58">
              <w:rPr>
                <w:spacing w:val="-2"/>
              </w:rPr>
              <w:t>0,45</w:t>
            </w:r>
            <w:r w:rsidRPr="000A2779">
              <w:rPr>
                <w:spacing w:val="-2"/>
              </w:rPr>
              <w:t xml:space="preserve"> %</w:t>
            </w:r>
            <w:r w:rsidRPr="003455BC">
              <w:rPr>
                <w:spacing w:val="-2"/>
              </w:rPr>
              <w:t xml:space="preserve">). Vlivem tohoto vývoje </w:t>
            </w:r>
            <w:r>
              <w:rPr>
                <w:spacing w:val="-2"/>
              </w:rPr>
              <w:br/>
            </w:r>
            <w:r w:rsidRPr="003455BC">
              <w:rPr>
                <w:spacing w:val="-2"/>
              </w:rPr>
              <w:t xml:space="preserve">o téměř 9 </w:t>
            </w:r>
            <w:proofErr w:type="spellStart"/>
            <w:proofErr w:type="gramStart"/>
            <w:r w:rsidRPr="000A2779">
              <w:rPr>
                <w:spacing w:val="-2"/>
              </w:rPr>
              <w:t>p.b</w:t>
            </w:r>
            <w:proofErr w:type="spellEnd"/>
            <w:r w:rsidRPr="000A2779">
              <w:rPr>
                <w:spacing w:val="-2"/>
              </w:rPr>
              <w:t>.</w:t>
            </w:r>
            <w:r w:rsidRPr="003455BC">
              <w:rPr>
                <w:spacing w:val="-2"/>
              </w:rPr>
              <w:t xml:space="preserve"> narostl</w:t>
            </w:r>
            <w:proofErr w:type="gramEnd"/>
            <w:r w:rsidRPr="003455BC">
              <w:rPr>
                <w:spacing w:val="-2"/>
              </w:rPr>
              <w:t xml:space="preserve"> podíl držby státních dluhopisů nerezident</w:t>
            </w:r>
            <w:r w:rsidRPr="000A2779">
              <w:rPr>
                <w:spacing w:val="-2"/>
              </w:rPr>
              <w:t>y (</w:t>
            </w:r>
            <w:r w:rsidRPr="003455BC">
              <w:rPr>
                <w:spacing w:val="-2"/>
              </w:rPr>
              <w:t>na 26,12 %</w:t>
            </w:r>
            <w:r w:rsidRPr="000A2779">
              <w:rPr>
                <w:spacing w:val="-2"/>
              </w:rPr>
              <w:t>)</w:t>
            </w:r>
            <w:r w:rsidRPr="003455BC">
              <w:rPr>
                <w:spacing w:val="-2"/>
              </w:rPr>
              <w:t>.</w:t>
            </w:r>
          </w:p>
          <w:p w:rsidR="00F66243" w:rsidRPr="00F66243" w:rsidRDefault="00F66243" w:rsidP="00AF5D62">
            <w:pPr>
              <w:pStyle w:val="Textpoznpodarou"/>
              <w:jc w:val="both"/>
              <w:rPr>
                <w:color w:val="FF0000"/>
                <w:sz w:val="14"/>
                <w:szCs w:val="14"/>
              </w:rPr>
            </w:pPr>
          </w:p>
        </w:tc>
      </w:tr>
      <w:tr w:rsidR="00F66243" w:rsidRPr="00E055D9" w:rsidTr="00AF5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3" w:type="pct"/>
          <w:wAfter w:w="19" w:type="pct"/>
        </w:trPr>
        <w:tc>
          <w:tcPr>
            <w:tcW w:w="1043" w:type="pct"/>
            <w:gridSpan w:val="2"/>
          </w:tcPr>
          <w:p w:rsidR="00F66243" w:rsidRDefault="00F66243" w:rsidP="00AF5D62">
            <w:pPr>
              <w:spacing w:line="240" w:lineRule="auto"/>
              <w:rPr>
                <w:color w:val="000000"/>
                <w:sz w:val="16"/>
                <w:szCs w:val="16"/>
              </w:rPr>
            </w:pPr>
            <w:r w:rsidRPr="008322CC">
              <w:rPr>
                <w:sz w:val="16"/>
                <w:szCs w:val="16"/>
              </w:rPr>
              <w:t xml:space="preserve">Meziroční tempo růstu vývozu </w:t>
            </w:r>
            <w:r>
              <w:rPr>
                <w:sz w:val="16"/>
                <w:szCs w:val="16"/>
              </w:rPr>
              <w:t xml:space="preserve">se </w:t>
            </w:r>
            <w:r w:rsidRPr="008322CC">
              <w:rPr>
                <w:sz w:val="16"/>
                <w:szCs w:val="16"/>
              </w:rPr>
              <w:t>snížilo</w:t>
            </w:r>
            <w:r>
              <w:rPr>
                <w:sz w:val="16"/>
                <w:szCs w:val="16"/>
              </w:rPr>
              <w:t xml:space="preserve"> </w:t>
            </w:r>
            <w:r w:rsidRPr="008322CC">
              <w:rPr>
                <w:sz w:val="16"/>
                <w:szCs w:val="16"/>
              </w:rPr>
              <w:t>v </w:t>
            </w:r>
            <w:r>
              <w:rPr>
                <w:sz w:val="16"/>
                <w:szCs w:val="16"/>
              </w:rPr>
              <w:t> </w:t>
            </w:r>
            <w:r w:rsidRPr="008322CC">
              <w:rPr>
                <w:sz w:val="16"/>
                <w:szCs w:val="16"/>
              </w:rPr>
              <w:t>1.</w:t>
            </w:r>
            <w:r>
              <w:rPr>
                <w:sz w:val="16"/>
                <w:szCs w:val="16"/>
              </w:rPr>
              <w:t> pololetí</w:t>
            </w:r>
            <w:r w:rsidRPr="008322CC">
              <w:rPr>
                <w:sz w:val="16"/>
                <w:szCs w:val="16"/>
              </w:rPr>
              <w:t xml:space="preserve"> 2016 na </w:t>
            </w:r>
            <w:r>
              <w:rPr>
                <w:sz w:val="16"/>
                <w:szCs w:val="16"/>
              </w:rPr>
              <w:t>3,1</w:t>
            </w:r>
            <w:r w:rsidRPr="008322CC">
              <w:rPr>
                <w:sz w:val="16"/>
                <w:szCs w:val="16"/>
              </w:rPr>
              <w:t> %</w:t>
            </w:r>
            <w:r>
              <w:rPr>
                <w:sz w:val="16"/>
                <w:szCs w:val="16"/>
              </w:rPr>
              <w:t xml:space="preserve"> ze 4,9 % ve stejném období 2015</w:t>
            </w:r>
          </w:p>
        </w:tc>
        <w:tc>
          <w:tcPr>
            <w:tcW w:w="144" w:type="pct"/>
          </w:tcPr>
          <w:p w:rsidR="00F66243" w:rsidRPr="00081D58" w:rsidRDefault="00F66243" w:rsidP="00AF5D62">
            <w:pPr>
              <w:pStyle w:val="Textpoznpodarou"/>
              <w:jc w:val="both"/>
            </w:pPr>
          </w:p>
        </w:tc>
        <w:tc>
          <w:tcPr>
            <w:tcW w:w="3781" w:type="pct"/>
            <w:gridSpan w:val="3"/>
          </w:tcPr>
          <w:p w:rsidR="00F66243" w:rsidRPr="00081D58" w:rsidRDefault="00F66243" w:rsidP="00AF5D62">
            <w:pPr>
              <w:pStyle w:val="Textpoznpodarou"/>
              <w:ind w:left="67"/>
              <w:jc w:val="both"/>
              <w:rPr>
                <w:spacing w:val="-2"/>
              </w:rPr>
            </w:pPr>
            <w:r w:rsidRPr="00E055D9">
              <w:t>Podle</w:t>
            </w:r>
            <w:r w:rsidRPr="00E055D9">
              <w:rPr>
                <w:spacing w:val="-2"/>
              </w:rPr>
              <w:t xml:space="preserve"> údajů </w:t>
            </w:r>
            <w:r w:rsidRPr="000A2779">
              <w:rPr>
                <w:spacing w:val="-2"/>
              </w:rPr>
              <w:t>o zahraničním</w:t>
            </w:r>
            <w:r w:rsidRPr="00E055D9">
              <w:rPr>
                <w:spacing w:val="-2"/>
              </w:rPr>
              <w:t xml:space="preserve"> obchodu se zbožím v národním pojetí došlo ve 2. čtvrtletí 2016 k mírnému oživení růstu vývozu na 4,3 % po nižším přírůstku v 1. čtvrtletí, který ve srovnání se stejným obdobím předchozího roku stoupl o 1,8 %. V důsledku tohoto vývoje tak tempo růstu vývozu české ekonomiky v 1. pololetí 2016 meziročně zpomalilo na 3,1 % ze 4,9 % v 1. pololetí 2015</w:t>
            </w:r>
            <w:r w:rsidRPr="000A2779">
              <w:rPr>
                <w:spacing w:val="-2"/>
              </w:rPr>
              <w:t>.</w:t>
            </w:r>
            <w:r w:rsidRPr="00E055D9">
              <w:rPr>
                <w:spacing w:val="-2"/>
              </w:rPr>
              <w:t xml:space="preserve"> </w:t>
            </w:r>
            <w:r w:rsidRPr="000A2779">
              <w:rPr>
                <w:spacing w:val="-2"/>
              </w:rPr>
              <w:t xml:space="preserve">V </w:t>
            </w:r>
            <w:r w:rsidRPr="00E055D9">
              <w:rPr>
                <w:spacing w:val="-2"/>
              </w:rPr>
              <w:t xml:space="preserve">1. pololetí roku 2014 rostl vývoz </w:t>
            </w:r>
            <w:r w:rsidRPr="000A2779">
              <w:rPr>
                <w:spacing w:val="-2"/>
              </w:rPr>
              <w:br/>
            </w:r>
            <w:r w:rsidRPr="00E055D9">
              <w:rPr>
                <w:spacing w:val="-2"/>
              </w:rPr>
              <w:t xml:space="preserve">o 15,4 %. </w:t>
            </w:r>
            <w:r w:rsidRPr="000A2779">
              <w:rPr>
                <w:spacing w:val="-2"/>
              </w:rPr>
              <w:t xml:space="preserve">V </w:t>
            </w:r>
            <w:r w:rsidRPr="00E055D9">
              <w:rPr>
                <w:spacing w:val="-2"/>
              </w:rPr>
              <w:t xml:space="preserve">1. pololetí 2016 </w:t>
            </w:r>
            <w:r w:rsidRPr="000A2779">
              <w:rPr>
                <w:spacing w:val="-2"/>
              </w:rPr>
              <w:t>v </w:t>
            </w:r>
            <w:r w:rsidRPr="00E055D9">
              <w:rPr>
                <w:spacing w:val="-2"/>
              </w:rPr>
              <w:t>nominálním vyjádření vzrostl vývoz meziročně o</w:t>
            </w:r>
            <w:r w:rsidRPr="0028292F">
              <w:rPr>
                <w:spacing w:val="-2"/>
              </w:rPr>
              <w:t> </w:t>
            </w:r>
            <w:r w:rsidRPr="00E055D9">
              <w:rPr>
                <w:spacing w:val="-2"/>
              </w:rPr>
              <w:t>50,5</w:t>
            </w:r>
            <w:r w:rsidRPr="0028292F">
              <w:rPr>
                <w:spacing w:val="-2"/>
              </w:rPr>
              <w:t> </w:t>
            </w:r>
            <w:r w:rsidRPr="00E055D9">
              <w:rPr>
                <w:spacing w:val="-2"/>
              </w:rPr>
              <w:t xml:space="preserve">mld. </w:t>
            </w:r>
            <w:r w:rsidRPr="000A2779">
              <w:rPr>
                <w:spacing w:val="-2"/>
              </w:rPr>
              <w:t xml:space="preserve">korun </w:t>
            </w:r>
            <w:r w:rsidRPr="00E055D9">
              <w:rPr>
                <w:spacing w:val="-2"/>
              </w:rPr>
              <w:t xml:space="preserve">(o 14,8 </w:t>
            </w:r>
            <w:r w:rsidRPr="0028292F">
              <w:rPr>
                <w:spacing w:val="-2"/>
              </w:rPr>
              <w:t xml:space="preserve">mld. </w:t>
            </w:r>
            <w:r w:rsidRPr="00E055D9">
              <w:rPr>
                <w:spacing w:val="-2"/>
              </w:rPr>
              <w:t xml:space="preserve">v 1. čtvrtletí a o 35,7 mld. </w:t>
            </w:r>
            <w:r w:rsidRPr="000A2779">
              <w:rPr>
                <w:spacing w:val="-2"/>
              </w:rPr>
              <w:t xml:space="preserve">korun </w:t>
            </w:r>
            <w:r w:rsidRPr="00E055D9">
              <w:rPr>
                <w:spacing w:val="-2"/>
              </w:rPr>
              <w:t>v</w:t>
            </w:r>
            <w:r w:rsidRPr="000A2779">
              <w:rPr>
                <w:spacing w:val="-2"/>
              </w:rPr>
              <w:t>e</w:t>
            </w:r>
            <w:r w:rsidRPr="00E055D9">
              <w:rPr>
                <w:spacing w:val="-2"/>
              </w:rPr>
              <w:t> 2. čtvrtletí), což bylo o</w:t>
            </w:r>
            <w:r w:rsidRPr="0028292F">
              <w:rPr>
                <w:spacing w:val="-2"/>
              </w:rPr>
              <w:t> </w:t>
            </w:r>
            <w:r w:rsidRPr="00E055D9">
              <w:rPr>
                <w:spacing w:val="-2"/>
              </w:rPr>
              <w:t xml:space="preserve">26,1 mld. </w:t>
            </w:r>
            <w:r w:rsidRPr="000A2779">
              <w:rPr>
                <w:spacing w:val="-2"/>
              </w:rPr>
              <w:t xml:space="preserve">korun </w:t>
            </w:r>
            <w:r w:rsidRPr="00E055D9">
              <w:rPr>
                <w:spacing w:val="-2"/>
              </w:rPr>
              <w:t>méně než ve srovnatelném období předchozího roku.</w:t>
            </w:r>
          </w:p>
          <w:p w:rsidR="00F66243" w:rsidRPr="00F66243" w:rsidRDefault="00F66243" w:rsidP="00AF5D62">
            <w:pPr>
              <w:pStyle w:val="Textpoznpodarou"/>
              <w:ind w:left="67"/>
              <w:jc w:val="both"/>
              <w:rPr>
                <w:spacing w:val="-2"/>
                <w:sz w:val="14"/>
                <w:szCs w:val="14"/>
              </w:rPr>
            </w:pPr>
          </w:p>
        </w:tc>
      </w:tr>
      <w:tr w:rsidR="00F66243" w:rsidRPr="00E055D9" w:rsidTr="00AF5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3" w:type="pct"/>
          <w:wAfter w:w="19" w:type="pct"/>
        </w:trPr>
        <w:tc>
          <w:tcPr>
            <w:tcW w:w="1043" w:type="pct"/>
            <w:gridSpan w:val="2"/>
          </w:tcPr>
          <w:p w:rsidR="00F66243" w:rsidRDefault="00F66243" w:rsidP="00AF5D62">
            <w:pPr>
              <w:spacing w:line="240" w:lineRule="auto"/>
              <w:rPr>
                <w:color w:val="000000"/>
                <w:sz w:val="16"/>
                <w:szCs w:val="16"/>
              </w:rPr>
            </w:pPr>
            <w:r>
              <w:rPr>
                <w:sz w:val="16"/>
                <w:szCs w:val="16"/>
              </w:rPr>
              <w:t xml:space="preserve">Nejvyšší </w:t>
            </w:r>
            <w:r w:rsidRPr="008322CC">
              <w:rPr>
                <w:sz w:val="16"/>
                <w:szCs w:val="16"/>
              </w:rPr>
              <w:t xml:space="preserve">meziroční </w:t>
            </w:r>
            <w:r>
              <w:rPr>
                <w:sz w:val="16"/>
                <w:szCs w:val="16"/>
              </w:rPr>
              <w:t>přírůstky</w:t>
            </w:r>
            <w:r w:rsidRPr="008322CC">
              <w:rPr>
                <w:sz w:val="16"/>
                <w:szCs w:val="16"/>
              </w:rPr>
              <w:t xml:space="preserve"> vývozu </w:t>
            </w:r>
            <w:r>
              <w:rPr>
                <w:sz w:val="16"/>
                <w:szCs w:val="16"/>
              </w:rPr>
              <w:t>zaznamenaly</w:t>
            </w:r>
            <w:r w:rsidRPr="008322CC">
              <w:rPr>
                <w:sz w:val="16"/>
                <w:szCs w:val="16"/>
              </w:rPr>
              <w:t xml:space="preserve"> </w:t>
            </w:r>
            <w:r>
              <w:rPr>
                <w:sz w:val="16"/>
                <w:szCs w:val="16"/>
              </w:rPr>
              <w:t>motorová vozidla a kovodělné výrobky</w:t>
            </w:r>
          </w:p>
        </w:tc>
        <w:tc>
          <w:tcPr>
            <w:tcW w:w="144" w:type="pct"/>
          </w:tcPr>
          <w:p w:rsidR="00F66243" w:rsidRPr="00081D58" w:rsidRDefault="00F66243" w:rsidP="00AF5D62">
            <w:pPr>
              <w:pStyle w:val="Textpoznpodarou"/>
              <w:jc w:val="both"/>
            </w:pPr>
          </w:p>
        </w:tc>
        <w:tc>
          <w:tcPr>
            <w:tcW w:w="3781" w:type="pct"/>
            <w:gridSpan w:val="3"/>
          </w:tcPr>
          <w:p w:rsidR="00F66243" w:rsidRDefault="00F66243" w:rsidP="00AF5D62">
            <w:pPr>
              <w:pStyle w:val="Textpoznpodarou"/>
              <w:ind w:left="67"/>
              <w:jc w:val="both"/>
              <w:rPr>
                <w:spacing w:val="-2"/>
              </w:rPr>
            </w:pPr>
            <w:r w:rsidRPr="00E055D9">
              <w:rPr>
                <w:spacing w:val="-2"/>
              </w:rPr>
              <w:t xml:space="preserve">Největší meziroční přírůstek vývozu (o 53,8 mld. </w:t>
            </w:r>
            <w:r w:rsidRPr="000A2779">
              <w:rPr>
                <w:spacing w:val="-2"/>
              </w:rPr>
              <w:t>korun</w:t>
            </w:r>
            <w:r w:rsidRPr="00E055D9">
              <w:rPr>
                <w:spacing w:val="-2"/>
              </w:rPr>
              <w:t xml:space="preserve">) byl v prvních dvou čtvrtletích zaznamenán u motorových vozidel, která mají dlouhodobě dominantní zastoupení v komoditní struktuře českého vývozu. V 1. pololetí vzrostl jejich podíl na celkovém českém vývozu meziročně o 2,4 </w:t>
            </w:r>
            <w:proofErr w:type="spellStart"/>
            <w:proofErr w:type="gramStart"/>
            <w:r w:rsidRPr="00E055D9">
              <w:rPr>
                <w:spacing w:val="-2"/>
              </w:rPr>
              <w:t>p.</w:t>
            </w:r>
            <w:r w:rsidRPr="000A2779">
              <w:rPr>
                <w:spacing w:val="-2"/>
              </w:rPr>
              <w:t>b</w:t>
            </w:r>
            <w:proofErr w:type="spellEnd"/>
            <w:r w:rsidRPr="00E055D9">
              <w:rPr>
                <w:spacing w:val="-2"/>
              </w:rPr>
              <w:t>. na</w:t>
            </w:r>
            <w:proofErr w:type="gramEnd"/>
            <w:r w:rsidRPr="00E055D9">
              <w:rPr>
                <w:spacing w:val="-2"/>
              </w:rPr>
              <w:t xml:space="preserve"> 27,3 %. Vývoz motorových vozidel v uvedeném období vzrostl nadprůměrně o 13,2 %, stejně jako v 1. pololetí 2015. Z dalších komodit se silným zastoupením na českém vývozu byly nejvyšší meziroční přírůstky zaznamenány u kovodělných výrobků (o 14,3 mld. </w:t>
            </w:r>
            <w:r w:rsidRPr="000A2779">
              <w:rPr>
                <w:spacing w:val="-2"/>
              </w:rPr>
              <w:t>korun</w:t>
            </w:r>
            <w:r w:rsidRPr="00E055D9">
              <w:rPr>
                <w:spacing w:val="-2"/>
              </w:rPr>
              <w:t xml:space="preserve">) a strojů </w:t>
            </w:r>
            <w:r w:rsidRPr="000A2779">
              <w:rPr>
                <w:spacing w:val="-2"/>
              </w:rPr>
              <w:br/>
            </w:r>
            <w:r w:rsidRPr="00E055D9">
              <w:rPr>
                <w:spacing w:val="-2"/>
              </w:rPr>
              <w:t xml:space="preserve">a zařízení (o 8,2 mld. </w:t>
            </w:r>
            <w:r w:rsidRPr="000A2779">
              <w:rPr>
                <w:spacing w:val="-2"/>
              </w:rPr>
              <w:t>korun</w:t>
            </w:r>
            <w:r w:rsidRPr="00E055D9">
              <w:rPr>
                <w:spacing w:val="-2"/>
              </w:rPr>
              <w:t xml:space="preserve">). Naopak největší pokles byl patrný u exportu základních kovů (o 14,3 mld. </w:t>
            </w:r>
            <w:r w:rsidRPr="000A2779">
              <w:rPr>
                <w:spacing w:val="-2"/>
              </w:rPr>
              <w:t>korun</w:t>
            </w:r>
            <w:r w:rsidRPr="00E055D9">
              <w:rPr>
                <w:spacing w:val="-2"/>
              </w:rPr>
              <w:t xml:space="preserve">), ropy a zemního plynu (o 9,9 mld. </w:t>
            </w:r>
            <w:r w:rsidRPr="000A2779">
              <w:rPr>
                <w:spacing w:val="-2"/>
              </w:rPr>
              <w:t>korun</w:t>
            </w:r>
            <w:r w:rsidRPr="00E055D9">
              <w:rPr>
                <w:spacing w:val="-2"/>
              </w:rPr>
              <w:t xml:space="preserve">) </w:t>
            </w:r>
            <w:r w:rsidRPr="00081D58">
              <w:rPr>
                <w:spacing w:val="-2"/>
              </w:rPr>
              <w:br/>
            </w:r>
            <w:r w:rsidRPr="00E055D9">
              <w:rPr>
                <w:spacing w:val="-2"/>
              </w:rPr>
              <w:t xml:space="preserve">a chemických látek a chemických přípravků (o 8,0 mld. </w:t>
            </w:r>
            <w:r w:rsidRPr="000A2779">
              <w:rPr>
                <w:spacing w:val="-2"/>
              </w:rPr>
              <w:t>korun</w:t>
            </w:r>
            <w:r w:rsidRPr="00E055D9">
              <w:rPr>
                <w:spacing w:val="-2"/>
              </w:rPr>
              <w:t>).</w:t>
            </w:r>
          </w:p>
          <w:p w:rsidR="00F66243" w:rsidRPr="00F66243" w:rsidRDefault="00F66243" w:rsidP="00AF5D62">
            <w:pPr>
              <w:pStyle w:val="Textpoznpodarou"/>
              <w:ind w:left="67"/>
              <w:jc w:val="both"/>
              <w:rPr>
                <w:spacing w:val="-2"/>
              </w:rPr>
            </w:pPr>
          </w:p>
        </w:tc>
      </w:tr>
      <w:tr w:rsidR="00F66243" w:rsidRPr="00E055D9" w:rsidTr="00AF5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3" w:type="pct"/>
          <w:wAfter w:w="19" w:type="pct"/>
        </w:trPr>
        <w:tc>
          <w:tcPr>
            <w:tcW w:w="1043" w:type="pct"/>
            <w:gridSpan w:val="2"/>
          </w:tcPr>
          <w:p w:rsidR="00F66243" w:rsidRDefault="00F66243" w:rsidP="00AF5D62">
            <w:pPr>
              <w:spacing w:line="240" w:lineRule="auto"/>
              <w:rPr>
                <w:color w:val="000000"/>
                <w:sz w:val="16"/>
                <w:szCs w:val="16"/>
              </w:rPr>
            </w:pPr>
            <w:r w:rsidRPr="008F1E9E">
              <w:rPr>
                <w:sz w:val="16"/>
                <w:szCs w:val="16"/>
              </w:rPr>
              <w:lastRenderedPageBreak/>
              <w:t xml:space="preserve">Tempo růstu vývozu do států </w:t>
            </w:r>
            <w:r>
              <w:rPr>
                <w:sz w:val="16"/>
                <w:szCs w:val="16"/>
              </w:rPr>
              <w:t>EU</w:t>
            </w:r>
            <w:r w:rsidRPr="008F1E9E">
              <w:rPr>
                <w:sz w:val="16"/>
                <w:szCs w:val="16"/>
              </w:rPr>
              <w:t> zpomalilo</w:t>
            </w:r>
          </w:p>
        </w:tc>
        <w:tc>
          <w:tcPr>
            <w:tcW w:w="144" w:type="pct"/>
          </w:tcPr>
          <w:p w:rsidR="00F66243" w:rsidRPr="00081D58" w:rsidRDefault="00F66243" w:rsidP="00AF5D62">
            <w:pPr>
              <w:pStyle w:val="Textpoznpodarou"/>
              <w:jc w:val="both"/>
            </w:pPr>
          </w:p>
        </w:tc>
        <w:tc>
          <w:tcPr>
            <w:tcW w:w="3781" w:type="pct"/>
            <w:gridSpan w:val="3"/>
          </w:tcPr>
          <w:p w:rsidR="00F66243" w:rsidRPr="00081D58" w:rsidRDefault="00F66243" w:rsidP="00AF5D62">
            <w:pPr>
              <w:pStyle w:val="Textpoznpodarou"/>
              <w:ind w:left="67"/>
              <w:jc w:val="both"/>
              <w:rPr>
                <w:spacing w:val="-2"/>
              </w:rPr>
            </w:pPr>
            <w:r w:rsidRPr="00E055D9">
              <w:rPr>
                <w:spacing w:val="-2"/>
              </w:rPr>
              <w:t xml:space="preserve">Tempo růstu vývozu do států </w:t>
            </w:r>
            <w:r w:rsidRPr="000A2779">
              <w:rPr>
                <w:spacing w:val="-2"/>
              </w:rPr>
              <w:t>EU</w:t>
            </w:r>
            <w:r w:rsidRPr="00E055D9">
              <w:rPr>
                <w:spacing w:val="-2"/>
              </w:rPr>
              <w:t> za prvních šest měsíců roku 2016 zpomalilo na </w:t>
            </w:r>
            <w:r>
              <w:rPr>
                <w:spacing w:val="-2"/>
              </w:rPr>
              <w:br/>
            </w:r>
            <w:r w:rsidRPr="00E055D9">
              <w:rPr>
                <w:spacing w:val="-2"/>
              </w:rPr>
              <w:t>4,2 % z 5,6 % ve stejném období předchozího roku. Příčinou je pomaleji rostoucí vývoz do Německa (růst o 2,6 % oproti 4,9 %), Francie, Velké Británie či na Slovensko, ale rovněž prohlubující se pokles vývozu do Polska. Vývoz do tří nejdůležitějších exportních destinací České republiky</w:t>
            </w:r>
            <w:r w:rsidRPr="0028292F">
              <w:rPr>
                <w:spacing w:val="-2"/>
              </w:rPr>
              <w:t>,</w:t>
            </w:r>
            <w:r w:rsidRPr="00E055D9">
              <w:rPr>
                <w:spacing w:val="-2"/>
              </w:rPr>
              <w:t xml:space="preserve"> zahrnující Německo, Slovensko a Polsko</w:t>
            </w:r>
            <w:r w:rsidRPr="0028292F">
              <w:rPr>
                <w:spacing w:val="-2"/>
              </w:rPr>
              <w:t>,</w:t>
            </w:r>
            <w:r w:rsidRPr="00E055D9">
              <w:rPr>
                <w:spacing w:val="-2"/>
              </w:rPr>
              <w:t xml:space="preserve"> dosáhl v 1. pololetí letošního roku 827,6 mld. </w:t>
            </w:r>
            <w:r w:rsidRPr="000A2779">
              <w:rPr>
                <w:spacing w:val="-2"/>
              </w:rPr>
              <w:t>korun</w:t>
            </w:r>
            <w:r w:rsidRPr="00E055D9">
              <w:rPr>
                <w:spacing w:val="-2"/>
              </w:rPr>
              <w:t>. V meziročním srovnání stou</w:t>
            </w:r>
            <w:r w:rsidR="00AE7B2B">
              <w:rPr>
                <w:spacing w:val="-2"/>
              </w:rPr>
              <w:t>pl vývoz do těchto zemí o 2,8 %</w:t>
            </w:r>
            <w:r w:rsidRPr="00E055D9">
              <w:rPr>
                <w:spacing w:val="-2"/>
              </w:rPr>
              <w:t xml:space="preserve">. Podíl vývozu zboží do Německa, Slovenska </w:t>
            </w:r>
            <w:r w:rsidRPr="003455BC">
              <w:rPr>
                <w:spacing w:val="-2"/>
              </w:rPr>
              <w:t>a Polska na celkovém vývozu se v 1. pololetí 2016 snížil na 48,1 % ze 48,2 %</w:t>
            </w:r>
            <w:r w:rsidRPr="00E055D9">
              <w:rPr>
                <w:spacing w:val="-2"/>
              </w:rPr>
              <w:t xml:space="preserve"> v 1. pololetí 2015.</w:t>
            </w:r>
            <w:r w:rsidRPr="000A2779">
              <w:rPr>
                <w:spacing w:val="-2"/>
              </w:rPr>
              <w:t xml:space="preserve"> </w:t>
            </w:r>
            <w:r w:rsidRPr="00E055D9">
              <w:rPr>
                <w:spacing w:val="-2"/>
              </w:rPr>
              <w:t xml:space="preserve">Hodnota zboží směřujícího do zemí mimo evropskou osmadvacítku meziročně klesla o 2,4 % (6,4 mld. </w:t>
            </w:r>
            <w:r w:rsidRPr="000A2779">
              <w:rPr>
                <w:spacing w:val="-2"/>
              </w:rPr>
              <w:t>korun).</w:t>
            </w:r>
            <w:r w:rsidRPr="00E055D9">
              <w:rPr>
                <w:spacing w:val="-2"/>
              </w:rPr>
              <w:t xml:space="preserve"> </w:t>
            </w:r>
            <w:r w:rsidRPr="000A2779">
              <w:rPr>
                <w:spacing w:val="-2"/>
              </w:rPr>
              <w:t>Z </w:t>
            </w:r>
            <w:r w:rsidRPr="00E055D9">
              <w:rPr>
                <w:spacing w:val="-2"/>
              </w:rPr>
              <w:t>toho vývoz do Rusk</w:t>
            </w:r>
            <w:r w:rsidRPr="000A2779">
              <w:rPr>
                <w:spacing w:val="-2"/>
              </w:rPr>
              <w:t>a</w:t>
            </w:r>
            <w:r w:rsidR="00AE7B2B">
              <w:rPr>
                <w:spacing w:val="-2"/>
              </w:rPr>
              <w:t>,</w:t>
            </w:r>
            <w:r w:rsidRPr="00E055D9">
              <w:rPr>
                <w:spacing w:val="-2"/>
              </w:rPr>
              <w:t xml:space="preserve"> postižený restrikcemi a recesí tamější</w:t>
            </w:r>
            <w:r w:rsidRPr="000A2779">
              <w:rPr>
                <w:spacing w:val="-2"/>
              </w:rPr>
              <w:t xml:space="preserve"> ekonomiky</w:t>
            </w:r>
            <w:r w:rsidR="00AE7B2B">
              <w:rPr>
                <w:spacing w:val="-2"/>
              </w:rPr>
              <w:t>,</w:t>
            </w:r>
            <w:r w:rsidRPr="000A2779">
              <w:rPr>
                <w:spacing w:val="-2"/>
              </w:rPr>
              <w:t xml:space="preserve"> se propadl o 14,6 %.</w:t>
            </w:r>
            <w:r w:rsidRPr="00E055D9">
              <w:rPr>
                <w:spacing w:val="-2"/>
              </w:rPr>
              <w:t xml:space="preserve"> </w:t>
            </w:r>
            <w:r w:rsidRPr="000A2779">
              <w:rPr>
                <w:spacing w:val="-2"/>
              </w:rPr>
              <w:t xml:space="preserve">Vývoz </w:t>
            </w:r>
            <w:r w:rsidRPr="00E055D9">
              <w:rPr>
                <w:spacing w:val="-2"/>
              </w:rPr>
              <w:t xml:space="preserve">do Číny </w:t>
            </w:r>
            <w:r w:rsidRPr="000A2779">
              <w:rPr>
                <w:spacing w:val="-2"/>
              </w:rPr>
              <w:t xml:space="preserve">poklesl </w:t>
            </w:r>
            <w:r w:rsidRPr="00E055D9">
              <w:rPr>
                <w:spacing w:val="-2"/>
              </w:rPr>
              <w:t xml:space="preserve">o 5,1 %. </w:t>
            </w:r>
          </w:p>
          <w:p w:rsidR="00F66243" w:rsidRPr="00F66243" w:rsidRDefault="00F66243" w:rsidP="00AF5D62">
            <w:pPr>
              <w:pStyle w:val="Textpoznpodarou"/>
              <w:ind w:left="67"/>
              <w:jc w:val="both"/>
              <w:rPr>
                <w:spacing w:val="-2"/>
                <w:sz w:val="14"/>
                <w:szCs w:val="14"/>
              </w:rPr>
            </w:pPr>
          </w:p>
        </w:tc>
      </w:tr>
      <w:tr w:rsidR="00F66243" w:rsidRPr="00E055D9" w:rsidTr="00AF5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3" w:type="pct"/>
          <w:wAfter w:w="19" w:type="pct"/>
        </w:trPr>
        <w:tc>
          <w:tcPr>
            <w:tcW w:w="1043" w:type="pct"/>
            <w:gridSpan w:val="2"/>
          </w:tcPr>
          <w:p w:rsidR="00F66243" w:rsidRDefault="00F66243" w:rsidP="00AF5D62">
            <w:pPr>
              <w:spacing w:line="240" w:lineRule="auto"/>
              <w:rPr>
                <w:color w:val="000000"/>
                <w:sz w:val="16"/>
                <w:szCs w:val="16"/>
              </w:rPr>
            </w:pPr>
            <w:r>
              <w:rPr>
                <w:rFonts w:cs="Arial"/>
                <w:sz w:val="16"/>
                <w:szCs w:val="16"/>
              </w:rPr>
              <w:t>V 1. pololetí 2016 růst dovozu do ČR výrazně zpomalil</w:t>
            </w:r>
          </w:p>
        </w:tc>
        <w:tc>
          <w:tcPr>
            <w:tcW w:w="144" w:type="pct"/>
          </w:tcPr>
          <w:p w:rsidR="00F66243" w:rsidRPr="00081D58" w:rsidRDefault="00F66243" w:rsidP="00AF5D62">
            <w:pPr>
              <w:pStyle w:val="Textpoznpodarou"/>
              <w:jc w:val="both"/>
            </w:pPr>
          </w:p>
        </w:tc>
        <w:tc>
          <w:tcPr>
            <w:tcW w:w="3781" w:type="pct"/>
            <w:gridSpan w:val="3"/>
          </w:tcPr>
          <w:p w:rsidR="00F66243" w:rsidRPr="00081D58" w:rsidRDefault="00F66243" w:rsidP="00AF5D62">
            <w:pPr>
              <w:pStyle w:val="Textpoznpodarou"/>
              <w:ind w:left="67"/>
              <w:jc w:val="both"/>
              <w:rPr>
                <w:spacing w:val="-2"/>
              </w:rPr>
            </w:pPr>
            <w:r w:rsidRPr="00E055D9">
              <w:rPr>
                <w:spacing w:val="-2"/>
              </w:rPr>
              <w:t xml:space="preserve">Vyšší meziroční růst dovozu </w:t>
            </w:r>
            <w:r w:rsidRPr="00081D58">
              <w:rPr>
                <w:spacing w:val="-2"/>
              </w:rPr>
              <w:t>oproti</w:t>
            </w:r>
            <w:r w:rsidRPr="00E055D9">
              <w:rPr>
                <w:spacing w:val="-2"/>
              </w:rPr>
              <w:t> vývoz</w:t>
            </w:r>
            <w:r w:rsidRPr="00081D58">
              <w:rPr>
                <w:spacing w:val="-2"/>
              </w:rPr>
              <w:t>u</w:t>
            </w:r>
            <w:r w:rsidRPr="00E055D9">
              <w:rPr>
                <w:spacing w:val="-2"/>
              </w:rPr>
              <w:t xml:space="preserve"> charakteristický pro 1. pololetí roku 2015 (o 5,9 % proti 4,9 %) vystřídalo v 1. pololetí 2016 výrazné zpomalení tempa, kdy dovoz rostl pouze o 0,4 %. Vyšší byl zejména dovoz motorových vozidel (meziročně o 26,3 mld. </w:t>
            </w:r>
            <w:r w:rsidRPr="000A2779">
              <w:rPr>
                <w:spacing w:val="-2"/>
              </w:rPr>
              <w:t>korun</w:t>
            </w:r>
            <w:r w:rsidRPr="00E055D9">
              <w:rPr>
                <w:spacing w:val="-2"/>
              </w:rPr>
              <w:t xml:space="preserve">) a kovodělných výrobků (o 12,2 mld. </w:t>
            </w:r>
            <w:r w:rsidRPr="000A2779">
              <w:rPr>
                <w:spacing w:val="-2"/>
              </w:rPr>
              <w:t>korun</w:t>
            </w:r>
            <w:r w:rsidRPr="00E055D9">
              <w:rPr>
                <w:spacing w:val="-2"/>
              </w:rPr>
              <w:t xml:space="preserve">). Snížil se dovoz ropy a zemního plynu (o 33,9 mld. </w:t>
            </w:r>
            <w:r w:rsidRPr="000A2779">
              <w:rPr>
                <w:spacing w:val="-2"/>
              </w:rPr>
              <w:t>korun</w:t>
            </w:r>
            <w:r w:rsidRPr="00E055D9">
              <w:rPr>
                <w:spacing w:val="-2"/>
              </w:rPr>
              <w:t>), počítačů, elektronických</w:t>
            </w:r>
            <w:r w:rsidRPr="00081D58">
              <w:rPr>
                <w:spacing w:val="-2"/>
              </w:rPr>
              <w:t xml:space="preserve"> </w:t>
            </w:r>
            <w:r w:rsidRPr="00E055D9">
              <w:rPr>
                <w:spacing w:val="-2"/>
              </w:rPr>
              <w:t xml:space="preserve">a optických přístrojů </w:t>
            </w:r>
            <w:r w:rsidRPr="00081D58">
              <w:rPr>
                <w:spacing w:val="-2"/>
              </w:rPr>
              <w:br/>
            </w:r>
            <w:r w:rsidRPr="00E055D9">
              <w:rPr>
                <w:spacing w:val="-2"/>
              </w:rPr>
              <w:t xml:space="preserve">a zařízení (o 15,9 mld. </w:t>
            </w:r>
            <w:r w:rsidRPr="000A2779">
              <w:rPr>
                <w:spacing w:val="-2"/>
              </w:rPr>
              <w:t>korun</w:t>
            </w:r>
            <w:r w:rsidRPr="00E055D9">
              <w:rPr>
                <w:spacing w:val="-2"/>
              </w:rPr>
              <w:t>) a základních kovů (o</w:t>
            </w:r>
            <w:r w:rsidRPr="0028292F">
              <w:rPr>
                <w:spacing w:val="-2"/>
              </w:rPr>
              <w:t> </w:t>
            </w:r>
            <w:r w:rsidRPr="00E055D9">
              <w:rPr>
                <w:spacing w:val="-2"/>
              </w:rPr>
              <w:t>15,5</w:t>
            </w:r>
            <w:r w:rsidRPr="0028292F">
              <w:rPr>
                <w:spacing w:val="-2"/>
              </w:rPr>
              <w:t> </w:t>
            </w:r>
            <w:r w:rsidRPr="00E055D9">
              <w:rPr>
                <w:spacing w:val="-2"/>
              </w:rPr>
              <w:t>mld.</w:t>
            </w:r>
            <w:r w:rsidRPr="0028292F">
              <w:rPr>
                <w:spacing w:val="-2"/>
              </w:rPr>
              <w:t> </w:t>
            </w:r>
            <w:r w:rsidRPr="000A2779">
              <w:rPr>
                <w:spacing w:val="-2"/>
              </w:rPr>
              <w:t>korun</w:t>
            </w:r>
            <w:r w:rsidRPr="00E055D9">
              <w:rPr>
                <w:spacing w:val="-2"/>
              </w:rPr>
              <w:t>).</w:t>
            </w:r>
            <w:r w:rsidRPr="000A2779">
              <w:rPr>
                <w:spacing w:val="-2"/>
              </w:rPr>
              <w:t xml:space="preserve"> </w:t>
            </w:r>
            <w:r w:rsidRPr="00E055D9">
              <w:rPr>
                <w:spacing w:val="-2"/>
              </w:rPr>
              <w:t xml:space="preserve">Dovoz z EU meziročně vzrostl o 2,5 % (26,9 mld. </w:t>
            </w:r>
            <w:r w:rsidRPr="000A2779">
              <w:rPr>
                <w:spacing w:val="-2"/>
              </w:rPr>
              <w:t>korun</w:t>
            </w:r>
            <w:r w:rsidRPr="00E055D9">
              <w:rPr>
                <w:spacing w:val="-2"/>
              </w:rPr>
              <w:t xml:space="preserve">). Zpomalil se relativní </w:t>
            </w:r>
            <w:r w:rsidR="00AA34FE">
              <w:rPr>
                <w:spacing w:val="-2"/>
              </w:rPr>
              <w:t>přírůstek dovozu z</w:t>
            </w:r>
            <w:r w:rsidR="00AA34FE" w:rsidRPr="00E055D9">
              <w:rPr>
                <w:spacing w:val="-2"/>
              </w:rPr>
              <w:t> </w:t>
            </w:r>
            <w:r w:rsidRPr="00E055D9">
              <w:rPr>
                <w:spacing w:val="-2"/>
              </w:rPr>
              <w:t>Německa a Polska, dovoz ze Slovenska a</w:t>
            </w:r>
            <w:r w:rsidRPr="0028292F">
              <w:rPr>
                <w:spacing w:val="-2"/>
              </w:rPr>
              <w:t> </w:t>
            </w:r>
            <w:r w:rsidRPr="00E055D9">
              <w:rPr>
                <w:spacing w:val="-2"/>
              </w:rPr>
              <w:t>Rakouska pokles</w:t>
            </w:r>
            <w:r w:rsidRPr="000A2779">
              <w:rPr>
                <w:spacing w:val="-2"/>
              </w:rPr>
              <w:t>l</w:t>
            </w:r>
            <w:r w:rsidRPr="00E055D9">
              <w:rPr>
                <w:spacing w:val="-2"/>
              </w:rPr>
              <w:t xml:space="preserve">. Dovoz ze států mimo EU byl nižší o 4,7 % (22,7 mld. </w:t>
            </w:r>
            <w:r w:rsidRPr="0028292F">
              <w:rPr>
                <w:spacing w:val="-2"/>
              </w:rPr>
              <w:t>k</w:t>
            </w:r>
            <w:r w:rsidRPr="000A2779">
              <w:rPr>
                <w:spacing w:val="-2"/>
              </w:rPr>
              <w:t>orun</w:t>
            </w:r>
            <w:r w:rsidRPr="00E055D9">
              <w:rPr>
                <w:spacing w:val="-2"/>
              </w:rPr>
              <w:t>), na</w:t>
            </w:r>
            <w:r w:rsidRPr="0028292F">
              <w:rPr>
                <w:spacing w:val="-2"/>
              </w:rPr>
              <w:t> </w:t>
            </w:r>
            <w:r w:rsidRPr="00E055D9">
              <w:rPr>
                <w:spacing w:val="-2"/>
              </w:rPr>
              <w:t>čemž se nejvíce podílel propad dovozu z </w:t>
            </w:r>
            <w:r w:rsidRPr="000A2779">
              <w:rPr>
                <w:spacing w:val="-2"/>
              </w:rPr>
              <w:t>Ruska</w:t>
            </w:r>
            <w:r w:rsidRPr="00E055D9">
              <w:rPr>
                <w:spacing w:val="-2"/>
              </w:rPr>
              <w:t xml:space="preserve"> (meziročně o více než 20</w:t>
            </w:r>
            <w:r w:rsidRPr="0028292F">
              <w:rPr>
                <w:spacing w:val="-2"/>
              </w:rPr>
              <w:t> </w:t>
            </w:r>
            <w:r w:rsidRPr="00E055D9">
              <w:rPr>
                <w:spacing w:val="-2"/>
              </w:rPr>
              <w:t>mld.</w:t>
            </w:r>
            <w:r w:rsidRPr="0028292F">
              <w:rPr>
                <w:spacing w:val="-2"/>
              </w:rPr>
              <w:t> </w:t>
            </w:r>
            <w:r w:rsidRPr="000A2779">
              <w:rPr>
                <w:spacing w:val="-2"/>
              </w:rPr>
              <w:t>korun</w:t>
            </w:r>
            <w:r w:rsidRPr="00E055D9">
              <w:rPr>
                <w:spacing w:val="-2"/>
              </w:rPr>
              <w:t>).</w:t>
            </w:r>
          </w:p>
          <w:p w:rsidR="00F66243" w:rsidRPr="00F66243" w:rsidRDefault="00F66243" w:rsidP="00AF5D62">
            <w:pPr>
              <w:pStyle w:val="Textpoznpodarou"/>
              <w:ind w:left="67"/>
              <w:jc w:val="both"/>
              <w:rPr>
                <w:spacing w:val="-2"/>
                <w:sz w:val="14"/>
                <w:szCs w:val="14"/>
              </w:rPr>
            </w:pPr>
          </w:p>
        </w:tc>
      </w:tr>
      <w:tr w:rsidR="00F66243" w:rsidRPr="00E055D9" w:rsidTr="00AF5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3" w:type="pct"/>
          <w:wAfter w:w="19" w:type="pct"/>
        </w:trPr>
        <w:tc>
          <w:tcPr>
            <w:tcW w:w="1043" w:type="pct"/>
            <w:gridSpan w:val="2"/>
          </w:tcPr>
          <w:p w:rsidR="00F66243" w:rsidRDefault="00F66243" w:rsidP="00AF5D62">
            <w:pPr>
              <w:spacing w:line="240" w:lineRule="auto"/>
              <w:rPr>
                <w:color w:val="000000"/>
                <w:sz w:val="16"/>
                <w:szCs w:val="16"/>
              </w:rPr>
            </w:pPr>
            <w:r>
              <w:rPr>
                <w:color w:val="000000"/>
                <w:sz w:val="16"/>
                <w:szCs w:val="16"/>
              </w:rPr>
              <w:t xml:space="preserve">Téměř shodný přebytek obchodní bilance </w:t>
            </w:r>
            <w:r>
              <w:rPr>
                <w:color w:val="000000"/>
                <w:sz w:val="16"/>
                <w:szCs w:val="16"/>
              </w:rPr>
              <w:br/>
              <w:t>1. a 2. čtvrtletí 2016</w:t>
            </w:r>
          </w:p>
          <w:p w:rsidR="00F66243" w:rsidRDefault="00F66243" w:rsidP="00AF5D62">
            <w:pPr>
              <w:spacing w:line="240" w:lineRule="auto"/>
              <w:rPr>
                <w:color w:val="000000"/>
                <w:sz w:val="16"/>
                <w:szCs w:val="16"/>
              </w:rPr>
            </w:pPr>
          </w:p>
          <w:p w:rsidR="00F66243" w:rsidRDefault="00F66243" w:rsidP="00AF5D62">
            <w:pPr>
              <w:spacing w:line="240" w:lineRule="auto"/>
              <w:rPr>
                <w:color w:val="000000"/>
                <w:sz w:val="16"/>
                <w:szCs w:val="16"/>
              </w:rPr>
            </w:pPr>
          </w:p>
          <w:p w:rsidR="00F66243" w:rsidRDefault="00F66243" w:rsidP="00AF5D62">
            <w:pPr>
              <w:spacing w:line="240" w:lineRule="auto"/>
              <w:rPr>
                <w:color w:val="000000"/>
                <w:sz w:val="16"/>
                <w:szCs w:val="16"/>
              </w:rPr>
            </w:pPr>
          </w:p>
        </w:tc>
        <w:tc>
          <w:tcPr>
            <w:tcW w:w="144" w:type="pct"/>
          </w:tcPr>
          <w:p w:rsidR="00F66243" w:rsidRPr="00081D58" w:rsidRDefault="00F66243" w:rsidP="00AF5D62">
            <w:pPr>
              <w:pStyle w:val="Textpoznpodarou"/>
              <w:jc w:val="both"/>
            </w:pPr>
          </w:p>
        </w:tc>
        <w:tc>
          <w:tcPr>
            <w:tcW w:w="3781" w:type="pct"/>
            <w:gridSpan w:val="3"/>
          </w:tcPr>
          <w:p w:rsidR="00F66243" w:rsidRPr="00F66243" w:rsidRDefault="00F66243" w:rsidP="0092519D">
            <w:pPr>
              <w:pStyle w:val="Textpoznpodarou"/>
              <w:ind w:left="67"/>
              <w:jc w:val="both"/>
              <w:rPr>
                <w:spacing w:val="-2"/>
                <w:sz w:val="14"/>
                <w:szCs w:val="14"/>
              </w:rPr>
            </w:pPr>
            <w:r w:rsidRPr="00E055D9">
              <w:rPr>
                <w:spacing w:val="-2"/>
              </w:rPr>
              <w:t>Obchodní bilance zahraničního obchodu se zbožím v národním pojetí za</w:t>
            </w:r>
            <w:r w:rsidRPr="0028292F">
              <w:rPr>
                <w:spacing w:val="-2"/>
              </w:rPr>
              <w:t> </w:t>
            </w:r>
            <w:r w:rsidRPr="00E055D9">
              <w:rPr>
                <w:spacing w:val="-2"/>
              </w:rPr>
              <w:t>1. pololetí</w:t>
            </w:r>
            <w:r w:rsidRPr="0028292F">
              <w:rPr>
                <w:spacing w:val="-2"/>
              </w:rPr>
              <w:t> </w:t>
            </w:r>
            <w:r w:rsidRPr="00E055D9">
              <w:rPr>
                <w:spacing w:val="-2"/>
              </w:rPr>
              <w:t xml:space="preserve">2016 skončila přebytkem 133,5 mld. </w:t>
            </w:r>
            <w:r w:rsidRPr="000A2779">
              <w:rPr>
                <w:spacing w:val="-2"/>
              </w:rPr>
              <w:t>korun</w:t>
            </w:r>
            <w:r w:rsidRPr="00E055D9">
              <w:rPr>
                <w:spacing w:val="-2"/>
              </w:rPr>
              <w:t xml:space="preserve">, který byl meziročně </w:t>
            </w:r>
            <w:r>
              <w:rPr>
                <w:spacing w:val="-2"/>
              </w:rPr>
              <w:br/>
            </w:r>
            <w:r w:rsidRPr="00E055D9">
              <w:rPr>
                <w:spacing w:val="-2"/>
              </w:rPr>
              <w:t xml:space="preserve">o 44,8 mld. </w:t>
            </w:r>
            <w:r w:rsidRPr="000A2779">
              <w:rPr>
                <w:spacing w:val="-2"/>
              </w:rPr>
              <w:t xml:space="preserve">korun </w:t>
            </w:r>
            <w:r w:rsidRPr="00E055D9">
              <w:rPr>
                <w:spacing w:val="-2"/>
              </w:rPr>
              <w:t xml:space="preserve">vyšší. </w:t>
            </w:r>
            <w:r w:rsidR="00AA34FE">
              <w:rPr>
                <w:spacing w:val="-2"/>
              </w:rPr>
              <w:t>K výsledné kladné hodnotě téměř shodným</w:t>
            </w:r>
            <w:r w:rsidRPr="00E055D9">
              <w:rPr>
                <w:spacing w:val="-2"/>
              </w:rPr>
              <w:t xml:space="preserve"> </w:t>
            </w:r>
            <w:r>
              <w:rPr>
                <w:spacing w:val="-2"/>
              </w:rPr>
              <w:br/>
            </w:r>
            <w:r w:rsidR="00AA34FE">
              <w:rPr>
                <w:spacing w:val="-2"/>
              </w:rPr>
              <w:t>dílem přispěla bilance</w:t>
            </w:r>
            <w:r w:rsidRPr="00E055D9">
              <w:rPr>
                <w:spacing w:val="-2"/>
              </w:rPr>
              <w:t xml:space="preserve"> </w:t>
            </w:r>
            <w:r w:rsidR="00AA34FE">
              <w:rPr>
                <w:spacing w:val="-2"/>
              </w:rPr>
              <w:t xml:space="preserve">v </w:t>
            </w:r>
            <w:r w:rsidRPr="00E055D9">
              <w:rPr>
                <w:spacing w:val="-2"/>
              </w:rPr>
              <w:t>1.</w:t>
            </w:r>
            <w:r w:rsidRPr="0028292F">
              <w:rPr>
                <w:spacing w:val="-2"/>
              </w:rPr>
              <w:t> </w:t>
            </w:r>
            <w:r w:rsidRPr="00E055D9">
              <w:rPr>
                <w:spacing w:val="-2"/>
              </w:rPr>
              <w:t>a 2. čtvrtletí 2016</w:t>
            </w:r>
            <w:r w:rsidR="00AA34FE">
              <w:rPr>
                <w:spacing w:val="-2"/>
              </w:rPr>
              <w:t>.</w:t>
            </w:r>
          </w:p>
        </w:tc>
      </w:tr>
      <w:tr w:rsidR="00F66243" w:rsidRPr="00E055D9" w:rsidTr="00AF5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3" w:type="pct"/>
          <w:wAfter w:w="19" w:type="pct"/>
        </w:trPr>
        <w:tc>
          <w:tcPr>
            <w:tcW w:w="1043" w:type="pct"/>
            <w:gridSpan w:val="2"/>
          </w:tcPr>
          <w:p w:rsidR="00F66243" w:rsidRDefault="00F66243" w:rsidP="00AF5D62">
            <w:pPr>
              <w:spacing w:line="240" w:lineRule="auto"/>
              <w:rPr>
                <w:color w:val="000000"/>
                <w:sz w:val="16"/>
                <w:szCs w:val="16"/>
              </w:rPr>
            </w:pPr>
            <w:r>
              <w:rPr>
                <w:color w:val="000000"/>
                <w:sz w:val="16"/>
                <w:szCs w:val="16"/>
              </w:rPr>
              <w:t xml:space="preserve">Nižší záporná bilance </w:t>
            </w:r>
            <w:r w:rsidRPr="00485190">
              <w:rPr>
                <w:color w:val="000000"/>
                <w:sz w:val="16"/>
                <w:szCs w:val="16"/>
              </w:rPr>
              <w:t xml:space="preserve">obchodu </w:t>
            </w:r>
            <w:r>
              <w:rPr>
                <w:color w:val="000000"/>
                <w:sz w:val="16"/>
                <w:szCs w:val="16"/>
              </w:rPr>
              <w:t>s ropou a zemním plynem</w:t>
            </w:r>
          </w:p>
        </w:tc>
        <w:tc>
          <w:tcPr>
            <w:tcW w:w="144" w:type="pct"/>
          </w:tcPr>
          <w:p w:rsidR="00F66243" w:rsidRPr="00081D58" w:rsidRDefault="00F66243" w:rsidP="00AF5D62">
            <w:pPr>
              <w:pStyle w:val="Textpoznpodarou"/>
              <w:jc w:val="both"/>
            </w:pPr>
          </w:p>
        </w:tc>
        <w:tc>
          <w:tcPr>
            <w:tcW w:w="3781" w:type="pct"/>
            <w:gridSpan w:val="3"/>
          </w:tcPr>
          <w:p w:rsidR="00F66243" w:rsidRPr="00081D58" w:rsidRDefault="00F66243" w:rsidP="00AF5D62">
            <w:pPr>
              <w:pStyle w:val="Textpoznpodarou"/>
              <w:ind w:left="67"/>
              <w:jc w:val="both"/>
              <w:rPr>
                <w:spacing w:val="-2"/>
              </w:rPr>
            </w:pPr>
            <w:r w:rsidRPr="00E055D9">
              <w:rPr>
                <w:spacing w:val="-2"/>
              </w:rPr>
              <w:t xml:space="preserve">Z pohledu Klasifikace produkce (CZ-CPA) příznivě působil na celkovou bilanci pokles schodku obchodu s ropou a zemním plynem (o 24,0 mld. </w:t>
            </w:r>
            <w:r w:rsidRPr="000A2779">
              <w:rPr>
                <w:spacing w:val="-2"/>
              </w:rPr>
              <w:t>korun</w:t>
            </w:r>
            <w:r w:rsidRPr="00E055D9">
              <w:rPr>
                <w:spacing w:val="-2"/>
              </w:rPr>
              <w:t xml:space="preserve">) a již tradičně růst přebytku obchodu s motorovými vozidly (o 27,5 mld. </w:t>
            </w:r>
            <w:r w:rsidRPr="000A2779">
              <w:rPr>
                <w:spacing w:val="-2"/>
              </w:rPr>
              <w:t>korun</w:t>
            </w:r>
            <w:r w:rsidRPr="00E055D9">
              <w:rPr>
                <w:spacing w:val="-2"/>
              </w:rPr>
              <w:t xml:space="preserve">). Deficit </w:t>
            </w:r>
            <w:r w:rsidRPr="000A2779">
              <w:rPr>
                <w:spacing w:val="-2"/>
              </w:rPr>
              <w:t xml:space="preserve">obchodu </w:t>
            </w:r>
            <w:r w:rsidRPr="00E055D9">
              <w:rPr>
                <w:spacing w:val="-2"/>
              </w:rPr>
              <w:t>s chemickými látkami a chemickými přípravky se oproti loňskému roku prohloubil o</w:t>
            </w:r>
            <w:r w:rsidRPr="0028292F">
              <w:rPr>
                <w:spacing w:val="-2"/>
              </w:rPr>
              <w:t> </w:t>
            </w:r>
            <w:r w:rsidRPr="00E055D9">
              <w:rPr>
                <w:spacing w:val="-2"/>
              </w:rPr>
              <w:t xml:space="preserve">16,1 mld. </w:t>
            </w:r>
            <w:r w:rsidRPr="000A2779">
              <w:rPr>
                <w:spacing w:val="-2"/>
              </w:rPr>
              <w:t>korun</w:t>
            </w:r>
            <w:r w:rsidRPr="00E055D9">
              <w:rPr>
                <w:spacing w:val="-2"/>
              </w:rPr>
              <w:t>, naopak vzrostl přebytek bilance obchodu se stroji a zařízeními o</w:t>
            </w:r>
            <w:r w:rsidRPr="0028292F">
              <w:rPr>
                <w:spacing w:val="-2"/>
              </w:rPr>
              <w:t> </w:t>
            </w:r>
            <w:r w:rsidRPr="00E055D9">
              <w:rPr>
                <w:spacing w:val="-2"/>
              </w:rPr>
              <w:t xml:space="preserve">14,9 mld. </w:t>
            </w:r>
            <w:r w:rsidRPr="000A2779">
              <w:rPr>
                <w:spacing w:val="-2"/>
              </w:rPr>
              <w:t xml:space="preserve">korun </w:t>
            </w:r>
            <w:r w:rsidRPr="00E055D9">
              <w:rPr>
                <w:spacing w:val="-2"/>
              </w:rPr>
              <w:t xml:space="preserve">a nepatrně i s kovodělnými výrobky o 2,1 mld. </w:t>
            </w:r>
            <w:r w:rsidRPr="000A2779">
              <w:rPr>
                <w:spacing w:val="-2"/>
              </w:rPr>
              <w:t>korun</w:t>
            </w:r>
            <w:r w:rsidRPr="00E055D9">
              <w:rPr>
                <w:spacing w:val="-2"/>
              </w:rPr>
              <w:t xml:space="preserve">. </w:t>
            </w:r>
          </w:p>
          <w:p w:rsidR="00F66243" w:rsidRPr="00F66243" w:rsidRDefault="00F66243" w:rsidP="00AF5D62">
            <w:pPr>
              <w:pStyle w:val="Textpoznpodarou"/>
              <w:ind w:left="67"/>
              <w:jc w:val="both"/>
              <w:rPr>
                <w:spacing w:val="-2"/>
                <w:sz w:val="14"/>
                <w:szCs w:val="14"/>
              </w:rPr>
            </w:pPr>
          </w:p>
        </w:tc>
      </w:tr>
      <w:tr w:rsidR="00F66243" w:rsidRPr="00E055D9" w:rsidTr="00AF5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3" w:type="pct"/>
          <w:wAfter w:w="19" w:type="pct"/>
        </w:trPr>
        <w:tc>
          <w:tcPr>
            <w:tcW w:w="1043" w:type="pct"/>
            <w:gridSpan w:val="2"/>
          </w:tcPr>
          <w:p w:rsidR="00F66243" w:rsidRPr="00AA066E" w:rsidRDefault="00F66243" w:rsidP="00AF5D62">
            <w:pPr>
              <w:spacing w:line="240" w:lineRule="auto"/>
              <w:rPr>
                <w:sz w:val="16"/>
                <w:szCs w:val="16"/>
              </w:rPr>
            </w:pPr>
            <w:r w:rsidRPr="00AA066E">
              <w:rPr>
                <w:sz w:val="16"/>
                <w:szCs w:val="16"/>
              </w:rPr>
              <w:t>Obchodní bilance se meziročně zlepšila vlivem snížení deficitu se státy mimo EU</w:t>
            </w:r>
          </w:p>
        </w:tc>
        <w:tc>
          <w:tcPr>
            <w:tcW w:w="144" w:type="pct"/>
          </w:tcPr>
          <w:p w:rsidR="00F66243" w:rsidRPr="00081D58" w:rsidRDefault="00F66243" w:rsidP="00AF5D62">
            <w:pPr>
              <w:pStyle w:val="Textpoznpodarou"/>
              <w:jc w:val="both"/>
              <w:rPr>
                <w:i/>
                <w:color w:val="FF0000"/>
              </w:rPr>
            </w:pPr>
          </w:p>
        </w:tc>
        <w:tc>
          <w:tcPr>
            <w:tcW w:w="3781" w:type="pct"/>
            <w:gridSpan w:val="3"/>
          </w:tcPr>
          <w:p w:rsidR="00F66243" w:rsidRPr="00081D58" w:rsidRDefault="00F66243" w:rsidP="00AF5D62">
            <w:pPr>
              <w:pStyle w:val="Textpoznpodarou"/>
              <w:ind w:left="67"/>
              <w:jc w:val="both"/>
              <w:rPr>
                <w:spacing w:val="-2"/>
              </w:rPr>
            </w:pPr>
            <w:r w:rsidRPr="00E055D9">
              <w:rPr>
                <w:spacing w:val="-2"/>
              </w:rPr>
              <w:t>Vyšší kladné saldo zahraničního obchodu ve srovnání s </w:t>
            </w:r>
            <w:r w:rsidRPr="000A2779">
              <w:rPr>
                <w:spacing w:val="-2"/>
              </w:rPr>
              <w:t>loňským</w:t>
            </w:r>
            <w:r w:rsidRPr="00E055D9">
              <w:rPr>
                <w:spacing w:val="-2"/>
              </w:rPr>
              <w:t xml:space="preserve"> rokem ovlivnilo především snížení deficitu </w:t>
            </w:r>
            <w:r w:rsidRPr="0028292F">
              <w:rPr>
                <w:spacing w:val="-2"/>
              </w:rPr>
              <w:t xml:space="preserve">zahraničního </w:t>
            </w:r>
            <w:r w:rsidRPr="00E055D9">
              <w:rPr>
                <w:spacing w:val="-2"/>
              </w:rPr>
              <w:t>obchodu se státy mimo EU o</w:t>
            </w:r>
            <w:r w:rsidRPr="0028292F">
              <w:rPr>
                <w:spacing w:val="-2"/>
              </w:rPr>
              <w:t> </w:t>
            </w:r>
            <w:r w:rsidRPr="00E055D9">
              <w:rPr>
                <w:spacing w:val="-2"/>
              </w:rPr>
              <w:t>16,3</w:t>
            </w:r>
            <w:r w:rsidRPr="0028292F">
              <w:rPr>
                <w:spacing w:val="-2"/>
              </w:rPr>
              <w:t> </w:t>
            </w:r>
            <w:r w:rsidRPr="00E055D9">
              <w:rPr>
                <w:spacing w:val="-2"/>
              </w:rPr>
              <w:t>mld.</w:t>
            </w:r>
            <w:r w:rsidRPr="0028292F">
              <w:rPr>
                <w:spacing w:val="-2"/>
              </w:rPr>
              <w:t> </w:t>
            </w:r>
            <w:r w:rsidRPr="000A2779">
              <w:rPr>
                <w:spacing w:val="-2"/>
              </w:rPr>
              <w:t xml:space="preserve">korun </w:t>
            </w:r>
            <w:r w:rsidRPr="00E055D9">
              <w:rPr>
                <w:spacing w:val="-2"/>
              </w:rPr>
              <w:t xml:space="preserve">na 199,7 mld. </w:t>
            </w:r>
            <w:r w:rsidRPr="000A2779">
              <w:rPr>
                <w:spacing w:val="-2"/>
              </w:rPr>
              <w:t xml:space="preserve">korun. Přičemž </w:t>
            </w:r>
            <w:r w:rsidRPr="00E055D9">
              <w:rPr>
                <w:spacing w:val="-2"/>
              </w:rPr>
              <w:t xml:space="preserve">se téměř o 15 mld. </w:t>
            </w:r>
            <w:r w:rsidRPr="000A2779">
              <w:rPr>
                <w:spacing w:val="-2"/>
              </w:rPr>
              <w:t xml:space="preserve">korun </w:t>
            </w:r>
            <w:r w:rsidRPr="00E055D9">
              <w:rPr>
                <w:spacing w:val="-2"/>
              </w:rPr>
              <w:t xml:space="preserve">snížil schodek </w:t>
            </w:r>
            <w:r w:rsidRPr="000A2779">
              <w:rPr>
                <w:spacing w:val="-2"/>
              </w:rPr>
              <w:t xml:space="preserve">obchodu </w:t>
            </w:r>
            <w:r w:rsidRPr="00E055D9">
              <w:rPr>
                <w:spacing w:val="-2"/>
              </w:rPr>
              <w:t>s Rusk</w:t>
            </w:r>
            <w:r w:rsidRPr="000A2779">
              <w:rPr>
                <w:spacing w:val="-2"/>
              </w:rPr>
              <w:t>em</w:t>
            </w:r>
            <w:r w:rsidRPr="00E055D9">
              <w:rPr>
                <w:spacing w:val="-2"/>
              </w:rPr>
              <w:t>, dále pak s</w:t>
            </w:r>
            <w:r w:rsidRPr="000A2779">
              <w:rPr>
                <w:spacing w:val="-2"/>
              </w:rPr>
              <w:t xml:space="preserve"> </w:t>
            </w:r>
            <w:r w:rsidRPr="00E055D9">
              <w:rPr>
                <w:spacing w:val="-2"/>
              </w:rPr>
              <w:t>Ázerbájdžánem a Kazachstánem (o</w:t>
            </w:r>
            <w:r w:rsidRPr="0028292F">
              <w:rPr>
                <w:spacing w:val="-2"/>
              </w:rPr>
              <w:t> </w:t>
            </w:r>
            <w:r w:rsidRPr="00E055D9">
              <w:rPr>
                <w:spacing w:val="-2"/>
              </w:rPr>
              <w:t>4,5</w:t>
            </w:r>
            <w:r w:rsidRPr="0028292F">
              <w:rPr>
                <w:spacing w:val="-2"/>
              </w:rPr>
              <w:t> </w:t>
            </w:r>
            <w:r w:rsidRPr="00E055D9">
              <w:rPr>
                <w:spacing w:val="-2"/>
              </w:rPr>
              <w:t xml:space="preserve">mld. a 4,8 mld. </w:t>
            </w:r>
            <w:r w:rsidRPr="000A2779">
              <w:rPr>
                <w:spacing w:val="-2"/>
              </w:rPr>
              <w:t>korun</w:t>
            </w:r>
            <w:r w:rsidRPr="00E055D9">
              <w:rPr>
                <w:spacing w:val="-2"/>
              </w:rPr>
              <w:t xml:space="preserve">). Pololetní přebytek obchodu ČR s unijními státy zaznamenal navýšení o 30,6 mld. </w:t>
            </w:r>
            <w:r w:rsidRPr="000A2779">
              <w:rPr>
                <w:spacing w:val="-2"/>
              </w:rPr>
              <w:t xml:space="preserve">korun </w:t>
            </w:r>
            <w:r w:rsidRPr="00E055D9">
              <w:rPr>
                <w:spacing w:val="-2"/>
              </w:rPr>
              <w:t xml:space="preserve">na 344,1 mld. </w:t>
            </w:r>
            <w:r w:rsidRPr="000A2779">
              <w:rPr>
                <w:spacing w:val="-2"/>
              </w:rPr>
              <w:t xml:space="preserve">korun </w:t>
            </w:r>
            <w:r w:rsidRPr="00E055D9">
              <w:rPr>
                <w:spacing w:val="-2"/>
              </w:rPr>
              <w:t xml:space="preserve">i přes současné zlepšení aktivní bilance se sousedním Slovenskem o 11,2 mld. </w:t>
            </w:r>
            <w:r w:rsidRPr="000A2779">
              <w:rPr>
                <w:spacing w:val="-2"/>
              </w:rPr>
              <w:t xml:space="preserve">korun </w:t>
            </w:r>
            <w:r w:rsidRPr="00E055D9">
              <w:rPr>
                <w:spacing w:val="-2"/>
              </w:rPr>
              <w:t xml:space="preserve">a zhruba stejným nárůstem pasivního salda s Polskem o 11,9 mld. </w:t>
            </w:r>
            <w:r w:rsidRPr="000A2779">
              <w:rPr>
                <w:spacing w:val="-2"/>
              </w:rPr>
              <w:t>korun</w:t>
            </w:r>
            <w:r w:rsidRPr="00E055D9">
              <w:rPr>
                <w:spacing w:val="-2"/>
              </w:rPr>
              <w:t xml:space="preserve">. Stálá kladná bilance s Německem stoupla o 10,9 mld. </w:t>
            </w:r>
            <w:r w:rsidRPr="000A2779">
              <w:rPr>
                <w:spacing w:val="-2"/>
              </w:rPr>
              <w:t xml:space="preserve">korun a </w:t>
            </w:r>
            <w:r w:rsidRPr="00E055D9">
              <w:rPr>
                <w:spacing w:val="-2"/>
              </w:rPr>
              <w:t>dosáhla hodnoty 115,2 mld.</w:t>
            </w:r>
            <w:r w:rsidRPr="000A2779">
              <w:rPr>
                <w:spacing w:val="-2"/>
              </w:rPr>
              <w:t xml:space="preserve"> korun</w:t>
            </w:r>
            <w:r w:rsidRPr="00E055D9">
              <w:rPr>
                <w:spacing w:val="-2"/>
              </w:rPr>
              <w:t xml:space="preserve">. </w:t>
            </w:r>
          </w:p>
          <w:p w:rsidR="00F66243" w:rsidRPr="00F66243" w:rsidRDefault="00F66243" w:rsidP="00AF5D62">
            <w:pPr>
              <w:pStyle w:val="Textpoznpodarou"/>
              <w:ind w:left="67"/>
              <w:jc w:val="both"/>
              <w:rPr>
                <w:spacing w:val="-2"/>
                <w:sz w:val="14"/>
                <w:szCs w:val="14"/>
              </w:rPr>
            </w:pPr>
          </w:p>
        </w:tc>
      </w:tr>
      <w:tr w:rsidR="00F66243" w:rsidRPr="00261749" w:rsidTr="00AF5D62">
        <w:tblPrEx>
          <w:tblCellMar>
            <w:left w:w="70" w:type="dxa"/>
            <w:right w:w="70" w:type="dxa"/>
          </w:tblCellMar>
          <w:tblLook w:val="0000"/>
        </w:tblPrEx>
        <w:tc>
          <w:tcPr>
            <w:tcW w:w="479" w:type="pct"/>
            <w:gridSpan w:val="2"/>
            <w:tcBorders>
              <w:top w:val="nil"/>
              <w:left w:val="nil"/>
              <w:bottom w:val="nil"/>
              <w:right w:val="nil"/>
            </w:tcBorders>
          </w:tcPr>
          <w:p w:rsidR="00F66243" w:rsidRPr="00666F4B" w:rsidRDefault="00F66243" w:rsidP="00AF5D62">
            <w:pPr>
              <w:spacing w:line="240" w:lineRule="auto"/>
              <w:rPr>
                <w:color w:val="000000"/>
                <w:sz w:val="19"/>
                <w:szCs w:val="19"/>
              </w:rPr>
            </w:pPr>
            <w:r w:rsidRPr="00666F4B">
              <w:rPr>
                <w:color w:val="000000"/>
                <w:sz w:val="19"/>
                <w:szCs w:val="19"/>
              </w:rPr>
              <w:t>Graf č. 9</w:t>
            </w:r>
          </w:p>
        </w:tc>
        <w:tc>
          <w:tcPr>
            <w:tcW w:w="2022" w:type="pct"/>
            <w:gridSpan w:val="3"/>
            <w:tcBorders>
              <w:top w:val="nil"/>
              <w:left w:val="nil"/>
              <w:bottom w:val="nil"/>
              <w:right w:val="nil"/>
            </w:tcBorders>
          </w:tcPr>
          <w:p w:rsidR="00F66243" w:rsidRPr="00081D58" w:rsidRDefault="00F66243" w:rsidP="00AF5D62">
            <w:pPr>
              <w:pStyle w:val="Textpoznpodarou"/>
              <w:rPr>
                <w:b/>
              </w:rPr>
            </w:pPr>
            <w:r w:rsidRPr="003455BC">
              <w:rPr>
                <w:b/>
              </w:rPr>
              <w:t>Běžný účet platební bilance</w:t>
            </w:r>
          </w:p>
          <w:p w:rsidR="00F66243" w:rsidRPr="00444268" w:rsidRDefault="00F66243" w:rsidP="00AF5D62">
            <w:pPr>
              <w:spacing w:line="240" w:lineRule="auto"/>
              <w:rPr>
                <w:b/>
                <w:bCs/>
              </w:rPr>
            </w:pPr>
            <w:r w:rsidRPr="004F3F59">
              <w:t>(v mld. korun)</w:t>
            </w:r>
            <w:r>
              <w:rPr>
                <w:b/>
                <w:bCs/>
              </w:rPr>
              <w:t xml:space="preserve"> </w:t>
            </w:r>
          </w:p>
        </w:tc>
        <w:tc>
          <w:tcPr>
            <w:tcW w:w="417" w:type="pct"/>
            <w:tcBorders>
              <w:top w:val="nil"/>
              <w:left w:val="nil"/>
              <w:bottom w:val="nil"/>
              <w:right w:val="nil"/>
            </w:tcBorders>
          </w:tcPr>
          <w:p w:rsidR="00F66243" w:rsidRPr="00C3271C" w:rsidRDefault="00F66243" w:rsidP="00AF5D62">
            <w:pPr>
              <w:spacing w:line="240" w:lineRule="auto"/>
              <w:rPr>
                <w:color w:val="000000"/>
                <w:sz w:val="19"/>
                <w:szCs w:val="19"/>
              </w:rPr>
            </w:pPr>
            <w:r w:rsidRPr="00C3271C">
              <w:rPr>
                <w:color w:val="000000"/>
                <w:sz w:val="19"/>
                <w:szCs w:val="19"/>
              </w:rPr>
              <w:t>Graf č. 10</w:t>
            </w:r>
          </w:p>
        </w:tc>
        <w:tc>
          <w:tcPr>
            <w:tcW w:w="2082" w:type="pct"/>
            <w:gridSpan w:val="2"/>
            <w:tcBorders>
              <w:top w:val="nil"/>
              <w:left w:val="nil"/>
              <w:bottom w:val="nil"/>
              <w:right w:val="nil"/>
            </w:tcBorders>
          </w:tcPr>
          <w:p w:rsidR="00F66243" w:rsidRPr="00261749" w:rsidRDefault="00F66243" w:rsidP="00AF5D62">
            <w:pPr>
              <w:spacing w:line="240" w:lineRule="auto"/>
              <w:rPr>
                <w:bCs/>
              </w:rPr>
            </w:pPr>
            <w:r w:rsidRPr="003F62FC">
              <w:rPr>
                <w:b/>
                <w:spacing w:val="-2"/>
              </w:rPr>
              <w:t xml:space="preserve">Bilance zahraničního obchodu v národním pojetí v 1. čtvrtletí </w:t>
            </w:r>
            <w:proofErr w:type="gramStart"/>
            <w:r w:rsidRPr="003F62FC">
              <w:rPr>
                <w:b/>
                <w:spacing w:val="-2"/>
              </w:rPr>
              <w:t>2016</w:t>
            </w:r>
            <w:r w:rsidRPr="003F62FC">
              <w:rPr>
                <w:spacing w:val="-2"/>
              </w:rPr>
              <w:t xml:space="preserve"> (y–y v mld.</w:t>
            </w:r>
            <w:proofErr w:type="gramEnd"/>
            <w:r w:rsidRPr="003F62FC">
              <w:rPr>
                <w:spacing w:val="-2"/>
              </w:rPr>
              <w:t> korun)</w:t>
            </w:r>
          </w:p>
        </w:tc>
      </w:tr>
      <w:tr w:rsidR="00F66243" w:rsidRPr="00862A7A" w:rsidTr="00AF5D62">
        <w:tblPrEx>
          <w:tblCellMar>
            <w:left w:w="70" w:type="dxa"/>
            <w:right w:w="70" w:type="dxa"/>
          </w:tblCellMar>
          <w:tblLook w:val="0000"/>
        </w:tblPrEx>
        <w:trPr>
          <w:trHeight w:val="47"/>
        </w:trPr>
        <w:tc>
          <w:tcPr>
            <w:tcW w:w="2501" w:type="pct"/>
            <w:gridSpan w:val="5"/>
            <w:tcBorders>
              <w:top w:val="nil"/>
              <w:left w:val="nil"/>
              <w:bottom w:val="nil"/>
              <w:right w:val="nil"/>
            </w:tcBorders>
          </w:tcPr>
          <w:p w:rsidR="00F66243" w:rsidRPr="00081D58" w:rsidRDefault="00CE797F" w:rsidP="00AF5D62">
            <w:pPr>
              <w:pStyle w:val="Zhlav"/>
              <w:tabs>
                <w:tab w:val="clear" w:pos="4536"/>
                <w:tab w:val="clear" w:pos="9072"/>
              </w:tabs>
              <w:ind w:right="-275"/>
              <w:rPr>
                <w:rFonts w:ascii="Arial" w:hAnsi="Arial" w:cs="Arial"/>
              </w:rPr>
            </w:pPr>
            <w:r w:rsidRPr="00C20B1C">
              <w:rPr>
                <w:rFonts w:ascii="Arial" w:hAnsi="Arial" w:cs="Arial"/>
                <w:noProof/>
                <w:sz w:val="18"/>
                <w:szCs w:val="18"/>
                <w:lang w:eastAsia="cs-CZ"/>
              </w:rPr>
              <w:pict>
                <v:shape id="_x0000_i1033" type="#_x0000_t75" style="width:244.3pt;height:1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">
                  <v:imagedata r:id="rId21" o:title=""/>
                  <o:lock v:ext="edit" aspectratio="f"/>
                </v:shape>
              </w:pict>
            </w:r>
          </w:p>
          <w:p w:rsidR="00F66243" w:rsidRPr="00081D58" w:rsidRDefault="00F66243" w:rsidP="00AF5D62">
            <w:pPr>
              <w:pStyle w:val="Zhlav"/>
              <w:tabs>
                <w:tab w:val="clear" w:pos="4536"/>
                <w:tab w:val="clear" w:pos="9072"/>
              </w:tabs>
              <w:ind w:right="-275"/>
              <w:rPr>
                <w:rFonts w:ascii="Arial" w:hAnsi="Arial" w:cs="Arial"/>
              </w:rPr>
            </w:pPr>
          </w:p>
        </w:tc>
        <w:tc>
          <w:tcPr>
            <w:tcW w:w="2499" w:type="pct"/>
            <w:gridSpan w:val="3"/>
            <w:tcBorders>
              <w:top w:val="nil"/>
              <w:left w:val="nil"/>
              <w:bottom w:val="nil"/>
              <w:right w:val="nil"/>
            </w:tcBorders>
          </w:tcPr>
          <w:p w:rsidR="00F66243" w:rsidRPr="00081D58" w:rsidRDefault="00F66243" w:rsidP="00AF5D62">
            <w:pPr>
              <w:pStyle w:val="Zhlav"/>
              <w:tabs>
                <w:tab w:val="clear" w:pos="4536"/>
                <w:tab w:val="clear" w:pos="9072"/>
              </w:tabs>
              <w:spacing w:line="235" w:lineRule="auto"/>
              <w:jc w:val="both"/>
              <w:rPr>
                <w:rFonts w:ascii="Arial" w:hAnsi="Arial" w:cs="Arial"/>
                <w:noProof/>
                <w:sz w:val="18"/>
                <w:szCs w:val="18"/>
                <w:lang w:eastAsia="cs-CZ"/>
              </w:rPr>
            </w:pPr>
            <w:r w:rsidRPr="003455BC">
              <w:rPr>
                <w:rFonts w:ascii="Arial" w:hAnsi="Arial" w:cs="Arial"/>
                <w:noProof/>
                <w:lang w:eastAsia="cs-CZ"/>
              </w:rPr>
              <w:t xml:space="preserve"> </w:t>
            </w:r>
            <w:r w:rsidR="00CE797F" w:rsidRPr="00C20B1C">
              <w:rPr>
                <w:rFonts w:ascii="Arial" w:hAnsi="Arial" w:cs="Arial"/>
                <w:noProof/>
                <w:lang w:eastAsia="cs-CZ"/>
              </w:rPr>
              <w:pict>
                <v:shape id="Graf 7" o:spid="_x0000_i1034" type="#_x0000_t75" style="width:229.75pt;height:1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">
                  <v:imagedata r:id="rId22" o:title=""/>
                  <o:lock v:ext="edit" aspectratio="f"/>
                </v:shape>
              </w:pict>
            </w:r>
          </w:p>
          <w:p w:rsidR="00F66243" w:rsidRPr="00081D58" w:rsidRDefault="00F66243" w:rsidP="00AF5D62">
            <w:pPr>
              <w:pStyle w:val="Zhlav"/>
              <w:tabs>
                <w:tab w:val="clear" w:pos="4536"/>
                <w:tab w:val="clear" w:pos="9072"/>
              </w:tabs>
              <w:spacing w:line="235" w:lineRule="auto"/>
              <w:jc w:val="right"/>
              <w:rPr>
                <w:rFonts w:ascii="Arial" w:hAnsi="Arial" w:cs="Arial"/>
                <w:noProof/>
                <w:sz w:val="18"/>
                <w:szCs w:val="18"/>
                <w:lang w:eastAsia="cs-CZ"/>
              </w:rPr>
            </w:pPr>
            <w:r w:rsidRPr="003455BC">
              <w:rPr>
                <w:sz w:val="18"/>
                <w:szCs w:val="18"/>
              </w:rPr>
              <w:t>Zdroj: ČSÚ, ČNB</w:t>
            </w:r>
          </w:p>
        </w:tc>
      </w:tr>
    </w:tbl>
    <w:p w:rsidR="008D4376" w:rsidRPr="00F66243" w:rsidRDefault="008D4376" w:rsidP="002E0DB9">
      <w:pPr>
        <w:rPr>
          <w:sz w:val="10"/>
          <w:szCs w:val="10"/>
        </w:rPr>
      </w:pPr>
    </w:p>
    <w:p w:rsidR="00ED3A94" w:rsidRPr="00CE6E3C" w:rsidRDefault="00ED3A94" w:rsidP="002E0DB9">
      <w:pPr>
        <w:rPr>
          <w:sz w:val="2"/>
          <w:szCs w:val="2"/>
        </w:rPr>
      </w:pPr>
    </w:p>
    <w:p w:rsidR="007D4281" w:rsidRDefault="007D4281" w:rsidP="006D142E">
      <w:pPr>
        <w:pStyle w:val="Nadpis1"/>
        <w:numPr>
          <w:ilvl w:val="0"/>
          <w:numId w:val="3"/>
        </w:numPr>
        <w:jc w:val="both"/>
      </w:pPr>
      <w:bookmarkStart w:id="7" w:name="_Toc454185152"/>
      <w:r>
        <w:lastRenderedPageBreak/>
        <w:t>Ceny</w:t>
      </w:r>
      <w:bookmarkEnd w:id="7"/>
    </w:p>
    <w:tbl>
      <w:tblPr>
        <w:tblW w:w="5000" w:type="pct"/>
        <w:tblLayout w:type="fixed"/>
        <w:tblLook w:val="00A0"/>
      </w:tblPr>
      <w:tblGrid>
        <w:gridCol w:w="2077"/>
        <w:gridCol w:w="282"/>
        <w:gridCol w:w="7495"/>
      </w:tblGrid>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Cenová hladina </w:t>
            </w:r>
            <w:r>
              <w:rPr>
                <w:sz w:val="16"/>
                <w:szCs w:val="16"/>
              </w:rPr>
              <w:t>se</w:t>
            </w:r>
            <w:r w:rsidRPr="003F0327">
              <w:rPr>
                <w:sz w:val="16"/>
                <w:szCs w:val="16"/>
              </w:rPr>
              <w:t xml:space="preserve"> v meziročním srovnání </w:t>
            </w:r>
            <w:r>
              <w:rPr>
                <w:sz w:val="16"/>
                <w:szCs w:val="16"/>
              </w:rPr>
              <w:t>ve</w:t>
            </w:r>
            <w:r w:rsidRPr="003F0327">
              <w:rPr>
                <w:sz w:val="16"/>
                <w:szCs w:val="16"/>
              </w:rPr>
              <w:t> </w:t>
            </w:r>
            <w:r>
              <w:rPr>
                <w:sz w:val="16"/>
                <w:szCs w:val="16"/>
              </w:rPr>
              <w:t>2</w:t>
            </w:r>
            <w:r w:rsidRPr="003F0327">
              <w:rPr>
                <w:sz w:val="16"/>
                <w:szCs w:val="16"/>
              </w:rPr>
              <w:t>. čtvrtletí 201</w:t>
            </w:r>
            <w:r>
              <w:rPr>
                <w:sz w:val="16"/>
                <w:szCs w:val="16"/>
              </w:rPr>
              <w:t>6 zvýšila meziročně jen o 0,8%</w:t>
            </w:r>
          </w:p>
        </w:tc>
        <w:tc>
          <w:tcPr>
            <w:tcW w:w="143" w:type="pct"/>
          </w:tcPr>
          <w:p w:rsidR="000C1106" w:rsidRPr="00804D97" w:rsidRDefault="000C1106" w:rsidP="00AF5D62">
            <w:pPr>
              <w:pStyle w:val="Textpoznpodarou"/>
              <w:jc w:val="both"/>
            </w:pPr>
          </w:p>
        </w:tc>
        <w:tc>
          <w:tcPr>
            <w:tcW w:w="3803" w:type="pct"/>
          </w:tcPr>
          <w:p w:rsidR="000C1106" w:rsidRPr="00804D97" w:rsidRDefault="000C1106" w:rsidP="00AF5D62">
            <w:pPr>
              <w:pStyle w:val="Textpoznpodarou"/>
              <w:jc w:val="both"/>
            </w:pPr>
            <w:r w:rsidRPr="00804D97">
              <w:t xml:space="preserve">Cenová hladina podle implicitního deflátoru </w:t>
            </w:r>
            <w:r w:rsidRPr="00943853">
              <w:t>HDP</w:t>
            </w:r>
            <w:r w:rsidRPr="001B0207">
              <w:rPr>
                <w:vertAlign w:val="superscript"/>
              </w:rPr>
              <w:footnoteReference w:id="18"/>
            </w:r>
            <w:r>
              <w:t xml:space="preserve"> se zvýšila</w:t>
            </w:r>
            <w:r w:rsidRPr="00804D97">
              <w:t xml:space="preserve"> </w:t>
            </w:r>
            <w:r>
              <w:t> </w:t>
            </w:r>
            <w:r w:rsidRPr="00804D97">
              <w:t>v</w:t>
            </w:r>
            <w:r>
              <w:t>e 2</w:t>
            </w:r>
            <w:r w:rsidRPr="00804D97">
              <w:t xml:space="preserve">. čtvrtletí 2016 </w:t>
            </w:r>
            <w:r w:rsidRPr="00690AF1">
              <w:t>meziročně o 0,8</w:t>
            </w:r>
            <w:r w:rsidRPr="00804D97">
              <w:t xml:space="preserve"> %, </w:t>
            </w:r>
            <w:r>
              <w:t>což bylo méně než hodnota za předchozí čtvrtletí (+1,3 %)</w:t>
            </w:r>
            <w:r w:rsidRPr="00804D97">
              <w:t>.</w:t>
            </w:r>
            <w:r>
              <w:t xml:space="preserve"> C</w:t>
            </w:r>
            <w:r w:rsidRPr="00804D97">
              <w:t>en</w:t>
            </w:r>
            <w:r>
              <w:t>y</w:t>
            </w:r>
            <w:r w:rsidRPr="00804D97">
              <w:t xml:space="preserve"> zboží a služeb spotřebovávaných domácnostmi v obou</w:t>
            </w:r>
            <w:r>
              <w:t xml:space="preserve"> dosavadních čtvrtletích roku 2016 </w:t>
            </w:r>
            <w:r w:rsidRPr="00804D97">
              <w:t xml:space="preserve">meziročně </w:t>
            </w:r>
            <w:r>
              <w:t>prakticky stagnovaly (shodné hodnoty +0,1 %).</w:t>
            </w:r>
            <w:r w:rsidRPr="00804D97">
              <w:t xml:space="preserve"> </w:t>
            </w:r>
            <w:r>
              <w:t>M</w:t>
            </w:r>
            <w:r w:rsidRPr="00804D97">
              <w:t xml:space="preserve">írně vyšší </w:t>
            </w:r>
            <w:r>
              <w:t xml:space="preserve">byl ve 2. čtvrtletí 2016 meziroční </w:t>
            </w:r>
            <w:r w:rsidRPr="00804D97">
              <w:t>růst cen produktů nakupovaných vládními institucemi</w:t>
            </w:r>
            <w:r>
              <w:t xml:space="preserve"> (+1,6 %). Naopak c</w:t>
            </w:r>
            <w:r w:rsidRPr="00804D97">
              <w:t>eny investic (</w:t>
            </w:r>
            <w:r>
              <w:t xml:space="preserve">resp. </w:t>
            </w:r>
            <w:r w:rsidRPr="00804D97">
              <w:t xml:space="preserve">tvorby hrubého fixního </w:t>
            </w:r>
            <w:r w:rsidRPr="00943853">
              <w:t xml:space="preserve">kapitálu) ve stejném období meziročně stagnovaly. Jediným významným příspěvkem růstu implicitního deflátoru tak byly směnné relace v zahraničním obchodě, které </w:t>
            </w:r>
            <w:r w:rsidRPr="00804D97">
              <w:t>v obou</w:t>
            </w:r>
            <w:r>
              <w:t xml:space="preserve"> dosavadních čtvrtletích roku 2016 dosáhly shodné hodnoty 101,4 %, a to zejména díky směnným relacím ob</w:t>
            </w:r>
            <w:r w:rsidR="004C4B88">
              <w:t>chodu se zbožím, kde byla ve 2.</w:t>
            </w:r>
            <w:r w:rsidR="004C4B88">
              <w:rPr>
                <w:spacing w:val="-4"/>
              </w:rPr>
              <w:t> </w:t>
            </w:r>
            <w:r>
              <w:t>čtvrtletí 2016 dosažena hodnota 101,5 %.</w:t>
            </w:r>
          </w:p>
          <w:p w:rsidR="000C1106" w:rsidRPr="0033229B" w:rsidRDefault="000C1106" w:rsidP="00AF5D62">
            <w:pPr>
              <w:pStyle w:val="Textpoznpodarou"/>
              <w:jc w:val="both"/>
              <w:rPr>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Meziroční růst spotřebitelských cen zůstal slabý i v</w:t>
            </w:r>
            <w:r>
              <w:rPr>
                <w:sz w:val="16"/>
                <w:szCs w:val="16"/>
              </w:rPr>
              <w:t>e</w:t>
            </w:r>
            <w:r w:rsidRPr="003F0327">
              <w:rPr>
                <w:sz w:val="16"/>
                <w:szCs w:val="16"/>
              </w:rPr>
              <w:t> </w:t>
            </w:r>
            <w:r>
              <w:rPr>
                <w:sz w:val="16"/>
                <w:szCs w:val="16"/>
              </w:rPr>
              <w:t>2</w:t>
            </w:r>
            <w:r w:rsidRPr="003F0327">
              <w:rPr>
                <w:sz w:val="16"/>
                <w:szCs w:val="16"/>
              </w:rPr>
              <w:t>. čtvrtletí 2016, …</w:t>
            </w:r>
          </w:p>
        </w:tc>
        <w:tc>
          <w:tcPr>
            <w:tcW w:w="143" w:type="pct"/>
          </w:tcPr>
          <w:p w:rsidR="000C1106" w:rsidRPr="00103124" w:rsidRDefault="000C1106" w:rsidP="00AF5D62">
            <w:pPr>
              <w:pStyle w:val="Textpoznpodarou"/>
              <w:jc w:val="both"/>
            </w:pPr>
          </w:p>
        </w:tc>
        <w:tc>
          <w:tcPr>
            <w:tcW w:w="3803" w:type="pct"/>
          </w:tcPr>
          <w:p w:rsidR="000C1106" w:rsidRPr="00103124" w:rsidRDefault="000C1106" w:rsidP="00AF5D62">
            <w:pPr>
              <w:pStyle w:val="Textpoznpodarou"/>
              <w:jc w:val="both"/>
            </w:pPr>
            <w:r w:rsidRPr="00103124">
              <w:t>Spotřebitelské ceny se v</w:t>
            </w:r>
            <w:r>
              <w:t>e 2</w:t>
            </w:r>
            <w:r w:rsidRPr="00103124">
              <w:t xml:space="preserve">. čtvrtletí 2016 zvýšily v meziročním srovnání </w:t>
            </w:r>
            <w:r>
              <w:br/>
            </w:r>
            <w:r w:rsidRPr="00103124">
              <w:t xml:space="preserve">o </w:t>
            </w:r>
            <w:r>
              <w:t xml:space="preserve">pouhé </w:t>
            </w:r>
            <w:r w:rsidRPr="00103124">
              <w:t>0,</w:t>
            </w:r>
            <w:r>
              <w:t xml:space="preserve">2 </w:t>
            </w:r>
            <w:r w:rsidRPr="00103124">
              <w:t>%</w:t>
            </w:r>
            <w:r>
              <w:t>, což bylo ještě méně než 0,5 % v předchozím čtvrtletí</w:t>
            </w:r>
            <w:r w:rsidRPr="00103124">
              <w:t xml:space="preserve">. Jejich meziroční dynamika </w:t>
            </w:r>
            <w:r>
              <w:t xml:space="preserve">tak </w:t>
            </w:r>
            <w:r w:rsidRPr="00103124">
              <w:t xml:space="preserve">nepřekročila 1% hranici již </w:t>
            </w:r>
            <w:r>
              <w:t>dese</w:t>
            </w:r>
            <w:r w:rsidRPr="00103124">
              <w:t xml:space="preserve">t čtvrtletí a pod cílem ČNB stanoveném na úrovni 2 % setrvávala dokonce </w:t>
            </w:r>
            <w:r>
              <w:t>čtr</w:t>
            </w:r>
            <w:r w:rsidRPr="00103124">
              <w:t>náct</w:t>
            </w:r>
            <w:r>
              <w:t>ým</w:t>
            </w:r>
            <w:r w:rsidRPr="00103124">
              <w:t xml:space="preserve"> čtvrtletí</w:t>
            </w:r>
            <w:r>
              <w:t>m</w:t>
            </w:r>
            <w:r w:rsidRPr="00103124">
              <w:t xml:space="preserve">. </w:t>
            </w:r>
            <w:r w:rsidRPr="00425031">
              <w:t>Změny ve 2. čtvrtletí 2016 se promítly</w:t>
            </w:r>
            <w:r>
              <w:t xml:space="preserve"> </w:t>
            </w:r>
            <w:r w:rsidRPr="00425031">
              <w:t xml:space="preserve">v mírném zpomalení meziročního růstu tržních cen na 0,3 % </w:t>
            </w:r>
            <w:r>
              <w:t>(</w:t>
            </w:r>
            <w:r w:rsidRPr="00425031">
              <w:t>z 0,4 % v 1. čtvrtletí 2016</w:t>
            </w:r>
            <w:r>
              <w:t xml:space="preserve">) </w:t>
            </w:r>
            <w:r w:rsidRPr="00425031">
              <w:t xml:space="preserve">a regulovaných cen na </w:t>
            </w:r>
            <w:r>
              <w:br/>
            </w:r>
            <w:r w:rsidRPr="00425031">
              <w:t xml:space="preserve">0,2 % </w:t>
            </w:r>
            <w:r>
              <w:t>(</w:t>
            </w:r>
            <w:r w:rsidRPr="00425031">
              <w:t>z 0,7 % v 1. čtvrtletí 2016</w:t>
            </w:r>
            <w:r>
              <w:t>)</w:t>
            </w:r>
            <w:r w:rsidRPr="00425031">
              <w:t>.</w:t>
            </w:r>
            <w:r>
              <w:t xml:space="preserve"> </w:t>
            </w:r>
            <w:r w:rsidRPr="00103124">
              <w:t xml:space="preserve">Míra inflace vyjádřená přírůstkem průměrného indexu spotřebitelských cen za posledních dvanáct měsíců oproti průměru předchozích dvanácti měsíců se </w:t>
            </w:r>
            <w:r>
              <w:t>od</w:t>
            </w:r>
            <w:r w:rsidRPr="00103124">
              <w:t> ledn</w:t>
            </w:r>
            <w:r>
              <w:t>a po květen rovnala 0,4 %, od června po srpen se snížila na 0,3 %.</w:t>
            </w:r>
          </w:p>
          <w:p w:rsidR="000C1106" w:rsidRPr="0033229B" w:rsidRDefault="000C1106" w:rsidP="00AF5D62">
            <w:pPr>
              <w:pStyle w:val="Textpoznpodarou"/>
              <w:jc w:val="both"/>
              <w:rPr>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…když cena ropy na světovém trhu byla nejnižší od počátku roku 2004 a k utlumenému cenovému vývoji v ČR přispívaly nadále </w:t>
            </w:r>
            <w:r>
              <w:rPr>
                <w:sz w:val="16"/>
                <w:szCs w:val="16"/>
              </w:rPr>
              <w:br/>
            </w:r>
            <w:r w:rsidRPr="003F0327">
              <w:rPr>
                <w:sz w:val="16"/>
                <w:szCs w:val="16"/>
              </w:rPr>
              <w:t>i deflace zpracovatelů v </w:t>
            </w:r>
            <w:proofErr w:type="spellStart"/>
            <w:r w:rsidRPr="003F0327">
              <w:rPr>
                <w:sz w:val="16"/>
                <w:szCs w:val="16"/>
              </w:rPr>
              <w:t>eurozóně</w:t>
            </w:r>
            <w:proofErr w:type="spellEnd"/>
            <w:r w:rsidRPr="003F0327">
              <w:rPr>
                <w:sz w:val="16"/>
                <w:szCs w:val="16"/>
              </w:rPr>
              <w:t xml:space="preserve"> a klesající ceny zemědělských výrobců</w:t>
            </w:r>
          </w:p>
        </w:tc>
        <w:tc>
          <w:tcPr>
            <w:tcW w:w="143" w:type="pct"/>
          </w:tcPr>
          <w:p w:rsidR="000C1106" w:rsidRPr="00103124" w:rsidRDefault="000C1106" w:rsidP="00AF5D62">
            <w:pPr>
              <w:pStyle w:val="Textpoznpodarou"/>
              <w:jc w:val="both"/>
            </w:pPr>
          </w:p>
        </w:tc>
        <w:tc>
          <w:tcPr>
            <w:tcW w:w="3803" w:type="pct"/>
          </w:tcPr>
          <w:p w:rsidR="000C1106" w:rsidRPr="00103124" w:rsidRDefault="000C1106" w:rsidP="00AF5D62">
            <w:pPr>
              <w:pStyle w:val="Textpoznpodarou"/>
              <w:jc w:val="both"/>
              <w:rPr>
                <w:spacing w:val="-4"/>
              </w:rPr>
            </w:pPr>
            <w:r>
              <w:rPr>
                <w:spacing w:val="-4"/>
              </w:rPr>
              <w:t xml:space="preserve">Ke zdrojům </w:t>
            </w:r>
            <w:r w:rsidRPr="00103124">
              <w:rPr>
                <w:spacing w:val="-4"/>
              </w:rPr>
              <w:t xml:space="preserve">trvajícího nevýrazného růstu spotřebitelských cen v České republice </w:t>
            </w:r>
            <w:r>
              <w:rPr>
                <w:spacing w:val="-4"/>
              </w:rPr>
              <w:t xml:space="preserve">náleží </w:t>
            </w:r>
            <w:r w:rsidRPr="00103124">
              <w:rPr>
                <w:spacing w:val="-4"/>
              </w:rPr>
              <w:t>nízké ceny ropy. Barel ropy Brent se v</w:t>
            </w:r>
            <w:r>
              <w:rPr>
                <w:spacing w:val="-4"/>
              </w:rPr>
              <w:t>e</w:t>
            </w:r>
            <w:r w:rsidRPr="00103124">
              <w:rPr>
                <w:spacing w:val="-4"/>
              </w:rPr>
              <w:t> </w:t>
            </w:r>
            <w:r>
              <w:rPr>
                <w:spacing w:val="-4"/>
              </w:rPr>
              <w:t>2</w:t>
            </w:r>
            <w:r w:rsidRPr="00103124">
              <w:rPr>
                <w:spacing w:val="-4"/>
              </w:rPr>
              <w:t xml:space="preserve">. čtvrtletí 2016 obchodoval na světových trzích v průměru za </w:t>
            </w:r>
            <w:r>
              <w:rPr>
                <w:spacing w:val="-4"/>
              </w:rPr>
              <w:t>45</w:t>
            </w:r>
            <w:r w:rsidRPr="00103124">
              <w:rPr>
                <w:spacing w:val="-4"/>
              </w:rPr>
              <w:t>,</w:t>
            </w:r>
            <w:r>
              <w:rPr>
                <w:spacing w:val="-4"/>
              </w:rPr>
              <w:t>5</w:t>
            </w:r>
            <w:r w:rsidRPr="00103124">
              <w:rPr>
                <w:spacing w:val="-4"/>
              </w:rPr>
              <w:t xml:space="preserve"> amerických dolarů, což byl</w:t>
            </w:r>
            <w:r>
              <w:rPr>
                <w:spacing w:val="-4"/>
              </w:rPr>
              <w:t xml:space="preserve">o o 26,2 % </w:t>
            </w:r>
            <w:r w:rsidRPr="00D96BDF">
              <w:rPr>
                <w:spacing w:val="-4"/>
              </w:rPr>
              <w:t>méně</w:t>
            </w:r>
            <w:r>
              <w:rPr>
                <w:spacing w:val="-4"/>
              </w:rPr>
              <w:t xml:space="preserve"> než ve stejném čtvrtletí roku 2015. Cena ropy, kt</w:t>
            </w:r>
            <w:r w:rsidR="004C4B88">
              <w:rPr>
                <w:spacing w:val="-4"/>
              </w:rPr>
              <w:t>erá je sezónní, byla za každý z </w:t>
            </w:r>
            <w:r>
              <w:rPr>
                <w:spacing w:val="-4"/>
              </w:rPr>
              <w:t xml:space="preserve">prvních sedmi měsíců roku 2016 nižší, než byla její nejnižší hodnota dosažená v daném měsíci od roku 2004. </w:t>
            </w:r>
            <w:r w:rsidRPr="00103124">
              <w:rPr>
                <w:spacing w:val="-4"/>
              </w:rPr>
              <w:t>V korunové</w:t>
            </w:r>
            <w:r>
              <w:rPr>
                <w:spacing w:val="-4"/>
              </w:rPr>
              <w:t>m</w:t>
            </w:r>
            <w:r w:rsidRPr="00103124">
              <w:rPr>
                <w:spacing w:val="-4"/>
              </w:rPr>
              <w:t xml:space="preserve"> vyjádření při meziroční</w:t>
            </w:r>
            <w:r>
              <w:rPr>
                <w:spacing w:val="-4"/>
              </w:rPr>
              <w:t>m</w:t>
            </w:r>
            <w:r w:rsidRPr="00103124">
              <w:rPr>
                <w:spacing w:val="-4"/>
              </w:rPr>
              <w:t xml:space="preserve"> </w:t>
            </w:r>
            <w:r>
              <w:rPr>
                <w:spacing w:val="-4"/>
              </w:rPr>
              <w:t>mírném posílení</w:t>
            </w:r>
            <w:r w:rsidRPr="00103124">
              <w:rPr>
                <w:spacing w:val="-4"/>
              </w:rPr>
              <w:t xml:space="preserve"> kurzu koruny k dolaru v</w:t>
            </w:r>
            <w:r>
              <w:rPr>
                <w:spacing w:val="-4"/>
              </w:rPr>
              <w:t>e</w:t>
            </w:r>
            <w:r w:rsidRPr="00103124">
              <w:rPr>
                <w:spacing w:val="-4"/>
              </w:rPr>
              <w:t> </w:t>
            </w:r>
            <w:r>
              <w:rPr>
                <w:spacing w:val="-4"/>
              </w:rPr>
              <w:t>2</w:t>
            </w:r>
            <w:r w:rsidRPr="00103124">
              <w:rPr>
                <w:spacing w:val="-4"/>
              </w:rPr>
              <w:t xml:space="preserve">. čtvrtletí 2016 byly ceny ropy Brent nižší o </w:t>
            </w:r>
            <w:r>
              <w:rPr>
                <w:spacing w:val="-4"/>
              </w:rPr>
              <w:t xml:space="preserve">28,7 </w:t>
            </w:r>
            <w:r w:rsidRPr="00103124">
              <w:rPr>
                <w:spacing w:val="-4"/>
              </w:rPr>
              <w:t>%</w:t>
            </w:r>
            <w:r>
              <w:rPr>
                <w:spacing w:val="-4"/>
              </w:rPr>
              <w:t xml:space="preserve"> (v prvním čtvrtletí 2016 o 37,5 %)</w:t>
            </w:r>
            <w:r w:rsidRPr="00103124">
              <w:rPr>
                <w:spacing w:val="-4"/>
              </w:rPr>
              <w:t>. K utlumenému cenovému vývoji v tuzemské ekonomice přispíva</w:t>
            </w:r>
            <w:r>
              <w:rPr>
                <w:spacing w:val="-4"/>
              </w:rPr>
              <w:t>ly po celé 1. pololetí</w:t>
            </w:r>
            <w:r w:rsidRPr="00103124">
              <w:rPr>
                <w:spacing w:val="-4"/>
              </w:rPr>
              <w:t xml:space="preserve"> rovněž deflační tendence </w:t>
            </w:r>
            <w:r w:rsidR="004C4B88">
              <w:rPr>
                <w:spacing w:val="-4"/>
              </w:rPr>
              <w:t>související s </w:t>
            </w:r>
            <w:r w:rsidRPr="00103124">
              <w:rPr>
                <w:spacing w:val="-4"/>
              </w:rPr>
              <w:t>nízkými cenami ropy ve zpracovatelském průmyslu v </w:t>
            </w:r>
            <w:proofErr w:type="spellStart"/>
            <w:r w:rsidRPr="00103124">
              <w:rPr>
                <w:spacing w:val="-4"/>
              </w:rPr>
              <w:t>eurozóně</w:t>
            </w:r>
            <w:proofErr w:type="spellEnd"/>
            <w:r w:rsidRPr="00103124">
              <w:rPr>
                <w:spacing w:val="-4"/>
              </w:rPr>
              <w:t xml:space="preserve"> a</w:t>
            </w:r>
            <w:r>
              <w:rPr>
                <w:spacing w:val="-4"/>
              </w:rPr>
              <w:t xml:space="preserve"> </w:t>
            </w:r>
            <w:r w:rsidRPr="00103124">
              <w:rPr>
                <w:spacing w:val="-4"/>
              </w:rPr>
              <w:t>dlouhodobý pokles cen zemědělských výrobců pro</w:t>
            </w:r>
            <w:r>
              <w:rPr>
                <w:spacing w:val="-4"/>
              </w:rPr>
              <w:t xml:space="preserve">mítající se </w:t>
            </w:r>
            <w:r w:rsidRPr="00103124">
              <w:rPr>
                <w:spacing w:val="-4"/>
              </w:rPr>
              <w:t xml:space="preserve">prostřednictvím výrobního řetězce </w:t>
            </w:r>
            <w:r w:rsidR="004C4B88">
              <w:rPr>
                <w:spacing w:val="-4"/>
              </w:rPr>
              <w:t>i </w:t>
            </w:r>
            <w:r>
              <w:rPr>
                <w:spacing w:val="-4"/>
              </w:rPr>
              <w:t>do cen potravin.</w:t>
            </w:r>
          </w:p>
          <w:p w:rsidR="000C1106" w:rsidRPr="0033229B" w:rsidRDefault="000C1106" w:rsidP="00AF5D62">
            <w:pPr>
              <w:pStyle w:val="Textpoznpodarou"/>
              <w:jc w:val="both"/>
              <w:rPr>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Bez zahrnutí </w:t>
            </w:r>
            <w:r>
              <w:rPr>
                <w:sz w:val="16"/>
                <w:szCs w:val="16"/>
              </w:rPr>
              <w:t xml:space="preserve">potravin </w:t>
            </w:r>
            <w:r>
              <w:rPr>
                <w:sz w:val="16"/>
                <w:szCs w:val="16"/>
              </w:rPr>
              <w:br/>
              <w:t>a nealkoholických nápojů</w:t>
            </w:r>
            <w:r w:rsidRPr="003F0327">
              <w:rPr>
                <w:sz w:val="16"/>
                <w:szCs w:val="16"/>
              </w:rPr>
              <w:t xml:space="preserve"> </w:t>
            </w:r>
            <w:r>
              <w:rPr>
                <w:sz w:val="16"/>
                <w:szCs w:val="16"/>
              </w:rPr>
              <w:t xml:space="preserve">by </w:t>
            </w:r>
            <w:r w:rsidRPr="003F0327">
              <w:rPr>
                <w:sz w:val="16"/>
                <w:szCs w:val="16"/>
              </w:rPr>
              <w:t xml:space="preserve">byla meziroční dynamika spotřebitelských cen silnější o 0,4 </w:t>
            </w:r>
            <w:proofErr w:type="spellStart"/>
            <w:proofErr w:type="gramStart"/>
            <w:r w:rsidRPr="003F0327">
              <w:rPr>
                <w:sz w:val="16"/>
                <w:szCs w:val="16"/>
              </w:rPr>
              <w:t>p.b</w:t>
            </w:r>
            <w:proofErr w:type="spellEnd"/>
            <w:r w:rsidRPr="003F0327">
              <w:rPr>
                <w:sz w:val="16"/>
                <w:szCs w:val="16"/>
              </w:rPr>
              <w:t>.</w:t>
            </w:r>
            <w:proofErr w:type="gramEnd"/>
          </w:p>
        </w:tc>
        <w:tc>
          <w:tcPr>
            <w:tcW w:w="143" w:type="pct"/>
          </w:tcPr>
          <w:p w:rsidR="000C1106" w:rsidRPr="00103124" w:rsidRDefault="000C1106" w:rsidP="00AF5D62">
            <w:pPr>
              <w:pStyle w:val="Textpoznpodarou"/>
              <w:jc w:val="both"/>
            </w:pPr>
          </w:p>
        </w:tc>
        <w:tc>
          <w:tcPr>
            <w:tcW w:w="3803" w:type="pct"/>
          </w:tcPr>
          <w:p w:rsidR="000C1106" w:rsidRDefault="000C1106" w:rsidP="00AF5D62">
            <w:pPr>
              <w:pStyle w:val="Textpoznpodarou"/>
              <w:jc w:val="both"/>
              <w:rPr>
                <w:spacing w:val="-4"/>
              </w:rPr>
            </w:pPr>
            <w:r w:rsidRPr="007761A7">
              <w:rPr>
                <w:spacing w:val="-4"/>
              </w:rPr>
              <w:t>V 1. čtvrtletí 2016 měly ceny potravin a nealkoholických nápojů výrazn</w:t>
            </w:r>
            <w:r>
              <w:rPr>
                <w:spacing w:val="-4"/>
              </w:rPr>
              <w:t>ý vliv na snížení úhrnného</w:t>
            </w:r>
            <w:r w:rsidRPr="007761A7">
              <w:rPr>
                <w:spacing w:val="-4"/>
              </w:rPr>
              <w:t xml:space="preserve"> index</w:t>
            </w:r>
            <w:r>
              <w:rPr>
                <w:spacing w:val="-4"/>
              </w:rPr>
              <w:t>u</w:t>
            </w:r>
            <w:r w:rsidRPr="007761A7">
              <w:rPr>
                <w:spacing w:val="-4"/>
              </w:rPr>
              <w:t xml:space="preserve"> spotřebitelských cen v Česku (-0,2 </w:t>
            </w:r>
            <w:proofErr w:type="spellStart"/>
            <w:proofErr w:type="gramStart"/>
            <w:r w:rsidRPr="007761A7">
              <w:rPr>
                <w:spacing w:val="-4"/>
              </w:rPr>
              <w:t>p.b</w:t>
            </w:r>
            <w:proofErr w:type="spellEnd"/>
            <w:r w:rsidRPr="007761A7">
              <w:rPr>
                <w:spacing w:val="-4"/>
              </w:rPr>
              <w:t>.)</w:t>
            </w:r>
            <w:r>
              <w:rPr>
                <w:spacing w:val="-4"/>
              </w:rPr>
              <w:t>, který</w:t>
            </w:r>
            <w:proofErr w:type="gramEnd"/>
            <w:r>
              <w:rPr>
                <w:spacing w:val="-4"/>
              </w:rPr>
              <w:t xml:space="preserve"> se ve 2. </w:t>
            </w:r>
            <w:r w:rsidRPr="007761A7">
              <w:rPr>
                <w:spacing w:val="-4"/>
              </w:rPr>
              <w:t>čtvrtletí</w:t>
            </w:r>
            <w:r>
              <w:rPr>
                <w:spacing w:val="-4"/>
              </w:rPr>
              <w:t xml:space="preserve"> ještě prohloubil na -0,4 </w:t>
            </w:r>
            <w:proofErr w:type="spellStart"/>
            <w:r>
              <w:rPr>
                <w:spacing w:val="-4"/>
              </w:rPr>
              <w:t>p.b</w:t>
            </w:r>
            <w:proofErr w:type="spellEnd"/>
            <w:r>
              <w:rPr>
                <w:spacing w:val="-4"/>
              </w:rPr>
              <w:t xml:space="preserve">. </w:t>
            </w:r>
            <w:r w:rsidRPr="007761A7">
              <w:rPr>
                <w:spacing w:val="-4"/>
              </w:rPr>
              <w:t xml:space="preserve">Meziroční růst celkového indexu bez cen potravin a nealkoholických nápojů ve 2. čtvrtletí dosáhl 0,8 %. Nízké ceny ropy se promítly do indexu cen dopravy, který snižoval úhrnný index po obě čtvrtletí roku 2016 o 0,3 </w:t>
            </w:r>
            <w:proofErr w:type="spellStart"/>
            <w:proofErr w:type="gramStart"/>
            <w:r w:rsidRPr="007761A7">
              <w:rPr>
                <w:spacing w:val="-4"/>
              </w:rPr>
              <w:t>p.b</w:t>
            </w:r>
            <w:proofErr w:type="spellEnd"/>
            <w:r w:rsidRPr="007761A7">
              <w:rPr>
                <w:spacing w:val="-4"/>
              </w:rPr>
              <w:t>.</w:t>
            </w:r>
            <w:proofErr w:type="gramEnd"/>
            <w:r w:rsidRPr="007761A7">
              <w:rPr>
                <w:spacing w:val="-4"/>
              </w:rPr>
              <w:t xml:space="preserve"> Jediným oddílem, který měl významnější vliv na růst úhrnného indexu, byl oddíl alkoholické nápoje a tabák</w:t>
            </w:r>
            <w:r>
              <w:rPr>
                <w:spacing w:val="-4"/>
              </w:rPr>
              <w:t xml:space="preserve"> s kladným příspěvkem k </w:t>
            </w:r>
            <w:r w:rsidRPr="007761A7">
              <w:rPr>
                <w:spacing w:val="-4"/>
              </w:rPr>
              <w:t>úhrn</w:t>
            </w:r>
            <w:r>
              <w:rPr>
                <w:spacing w:val="-4"/>
              </w:rPr>
              <w:t>u</w:t>
            </w:r>
            <w:r w:rsidRPr="007761A7">
              <w:rPr>
                <w:spacing w:val="-4"/>
              </w:rPr>
              <w:t xml:space="preserve"> </w:t>
            </w:r>
            <w:r>
              <w:rPr>
                <w:spacing w:val="-4"/>
              </w:rPr>
              <w:t xml:space="preserve">ve výši </w:t>
            </w:r>
            <w:r w:rsidRPr="007761A7">
              <w:rPr>
                <w:spacing w:val="-4"/>
              </w:rPr>
              <w:t>0,</w:t>
            </w:r>
            <w:r>
              <w:rPr>
                <w:spacing w:val="-4"/>
              </w:rPr>
              <w:t>3</w:t>
            </w:r>
            <w:r w:rsidR="004C4B88">
              <w:rPr>
                <w:spacing w:val="-4"/>
              </w:rPr>
              <w:t xml:space="preserve"> </w:t>
            </w:r>
            <w:proofErr w:type="spellStart"/>
            <w:proofErr w:type="gramStart"/>
            <w:r w:rsidR="004C4B88">
              <w:rPr>
                <w:spacing w:val="-4"/>
              </w:rPr>
              <w:t>p.b</w:t>
            </w:r>
            <w:proofErr w:type="spellEnd"/>
            <w:r w:rsidR="004C4B88">
              <w:rPr>
                <w:spacing w:val="-4"/>
              </w:rPr>
              <w:t>. v 1. </w:t>
            </w:r>
            <w:r w:rsidRPr="007761A7">
              <w:rPr>
                <w:spacing w:val="-4"/>
              </w:rPr>
              <w:t>čtvrtletí</w:t>
            </w:r>
            <w:proofErr w:type="gramEnd"/>
            <w:r w:rsidRPr="007761A7">
              <w:rPr>
                <w:spacing w:val="-4"/>
              </w:rPr>
              <w:t xml:space="preserve"> a 0,</w:t>
            </w:r>
            <w:r>
              <w:rPr>
                <w:spacing w:val="-4"/>
              </w:rPr>
              <w:t>4</w:t>
            </w:r>
            <w:r w:rsidRPr="007761A7">
              <w:rPr>
                <w:spacing w:val="-4"/>
              </w:rPr>
              <w:t xml:space="preserve"> </w:t>
            </w:r>
            <w:proofErr w:type="spellStart"/>
            <w:r w:rsidRPr="007761A7">
              <w:rPr>
                <w:spacing w:val="-4"/>
              </w:rPr>
              <w:t>p.b</w:t>
            </w:r>
            <w:proofErr w:type="spellEnd"/>
            <w:r w:rsidRPr="007761A7">
              <w:rPr>
                <w:spacing w:val="-4"/>
              </w:rPr>
              <w:t>. v</w:t>
            </w:r>
            <w:r>
              <w:rPr>
                <w:spacing w:val="-4"/>
              </w:rPr>
              <w:t>e 2. čtvrtletí 2016.</w:t>
            </w:r>
          </w:p>
          <w:p w:rsidR="000C1106" w:rsidRPr="0033229B" w:rsidRDefault="000C1106" w:rsidP="00AF5D62">
            <w:pPr>
              <w:pStyle w:val="Textpoznpodarou"/>
              <w:jc w:val="both"/>
              <w:rPr>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D056E5">
              <w:rPr>
                <w:sz w:val="16"/>
                <w:szCs w:val="16"/>
              </w:rPr>
              <w:t xml:space="preserve">Na růstu spotřebitelských cen se významněji podílely </w:t>
            </w:r>
            <w:r w:rsidR="00AE7B2B">
              <w:rPr>
                <w:sz w:val="16"/>
                <w:szCs w:val="16"/>
              </w:rPr>
              <w:t>jen ceny alkoholických nápojů a</w:t>
            </w:r>
            <w:r w:rsidR="00AE7B2B" w:rsidRPr="003F0327">
              <w:rPr>
                <w:sz w:val="16"/>
                <w:szCs w:val="16"/>
              </w:rPr>
              <w:t> </w:t>
            </w:r>
            <w:r w:rsidRPr="00D056E5">
              <w:rPr>
                <w:sz w:val="16"/>
                <w:szCs w:val="16"/>
              </w:rPr>
              <w:t>tabáku</w:t>
            </w:r>
          </w:p>
        </w:tc>
        <w:tc>
          <w:tcPr>
            <w:tcW w:w="143" w:type="pct"/>
          </w:tcPr>
          <w:p w:rsidR="000C1106" w:rsidRPr="00103124" w:rsidRDefault="000C1106" w:rsidP="00AF5D62">
            <w:pPr>
              <w:pStyle w:val="Textpoznpodarou"/>
              <w:jc w:val="both"/>
            </w:pPr>
          </w:p>
        </w:tc>
        <w:tc>
          <w:tcPr>
            <w:tcW w:w="3803" w:type="pct"/>
          </w:tcPr>
          <w:p w:rsidR="000C1106" w:rsidRDefault="000C1106" w:rsidP="00AF5D62">
            <w:pPr>
              <w:pStyle w:val="Textpoznpodarou"/>
              <w:jc w:val="both"/>
              <w:rPr>
                <w:spacing w:val="-4"/>
              </w:rPr>
            </w:pPr>
            <w:r w:rsidRPr="00943853">
              <w:rPr>
                <w:spacing w:val="-4"/>
              </w:rPr>
              <w:t>Ceny v oddíle potraviny a nealkoholické nápoje klesaly meziročně ve všech čtvrtletích roku 2015 a tento vývoj pokračoval i v roce 2016. Nejvýznamnější by</w:t>
            </w:r>
            <w:r>
              <w:rPr>
                <w:spacing w:val="-4"/>
              </w:rPr>
              <w:t>l</w:t>
            </w:r>
            <w:r w:rsidRPr="00943853">
              <w:rPr>
                <w:spacing w:val="-4"/>
              </w:rPr>
              <w:t xml:space="preserve"> propad cen ve skupině mléko, sýry, vejce, který činil ve 2. čtvrtletí 10,4 %</w:t>
            </w:r>
            <w:r>
              <w:rPr>
                <w:spacing w:val="-4"/>
              </w:rPr>
              <w:t>.</w:t>
            </w:r>
            <w:r w:rsidR="00FA1992">
              <w:rPr>
                <w:spacing w:val="-4"/>
              </w:rPr>
              <w:t xml:space="preserve"> Z toho ceny mléka klesly o </w:t>
            </w:r>
            <w:r w:rsidRPr="00943853">
              <w:rPr>
                <w:spacing w:val="-4"/>
              </w:rPr>
              <w:t>14,0 % a sýrů o 10,3 %. Také u většiny dalších zákla</w:t>
            </w:r>
            <w:r w:rsidR="004C4B88">
              <w:rPr>
                <w:spacing w:val="-4"/>
              </w:rPr>
              <w:t>dních potravin pokračoval ve 2. </w:t>
            </w:r>
            <w:r w:rsidRPr="00943853">
              <w:rPr>
                <w:spacing w:val="-4"/>
              </w:rPr>
              <w:t xml:space="preserve">čtvrtletí meziroční pokles cen </w:t>
            </w:r>
            <w:r>
              <w:rPr>
                <w:spacing w:val="-4"/>
              </w:rPr>
              <w:t>(</w:t>
            </w:r>
            <w:r w:rsidRPr="00943853">
              <w:rPr>
                <w:spacing w:val="-4"/>
              </w:rPr>
              <w:t>např. chleba o 1,7 %, mouky o 16,6</w:t>
            </w:r>
            <w:r w:rsidR="004C4B88">
              <w:rPr>
                <w:spacing w:val="-4"/>
              </w:rPr>
              <w:t xml:space="preserve"> %, masa o 2,0 </w:t>
            </w:r>
            <w:r w:rsidRPr="00943853">
              <w:rPr>
                <w:spacing w:val="-4"/>
              </w:rPr>
              <w:t>%, másla o 9,8 % a cukru o 10,2 %</w:t>
            </w:r>
            <w:r>
              <w:rPr>
                <w:spacing w:val="-4"/>
              </w:rPr>
              <w:t>)</w:t>
            </w:r>
            <w:r w:rsidRPr="00943853">
              <w:rPr>
                <w:spacing w:val="-4"/>
              </w:rPr>
              <w:t xml:space="preserve">. Naopak růst zaznamenal index cen zeleniny, který však ve 2. čtvrtletí zpomalil na 4,9 % </w:t>
            </w:r>
            <w:proofErr w:type="gramStart"/>
            <w:r w:rsidRPr="00943853">
              <w:rPr>
                <w:spacing w:val="-4"/>
              </w:rPr>
              <w:t>ze</w:t>
            </w:r>
            <w:proofErr w:type="gramEnd"/>
            <w:r w:rsidRPr="00943853">
              <w:rPr>
                <w:spacing w:val="-4"/>
              </w:rPr>
              <w:t xml:space="preserve"> 16,9 % v 1. čtvrtletí. Ceny pohonných hmot soustavně meziročně klesaly od prosince 2014 a jejich pokles </w:t>
            </w:r>
            <w:r w:rsidRPr="00AE7B2B">
              <w:rPr>
                <w:spacing w:val="-2"/>
              </w:rPr>
              <w:t xml:space="preserve">dosáhl nejzazší hodnoty -17,6 % v listopadu 2015. V 1. čtvrtletí 2016 se </w:t>
            </w:r>
            <w:r w:rsidR="00AE7B2B" w:rsidRPr="00AE7B2B">
              <w:rPr>
                <w:spacing w:val="-2"/>
              </w:rPr>
              <w:t xml:space="preserve">již </w:t>
            </w:r>
            <w:r w:rsidRPr="00AE7B2B">
              <w:rPr>
                <w:spacing w:val="-2"/>
              </w:rPr>
              <w:t>zmírnil na -12,5 %</w:t>
            </w:r>
            <w:r w:rsidRPr="00943853">
              <w:rPr>
                <w:spacing w:val="-4"/>
              </w:rPr>
              <w:t xml:space="preserve"> a v</w:t>
            </w:r>
            <w:r>
              <w:rPr>
                <w:spacing w:val="-4"/>
              </w:rPr>
              <w:t>e</w:t>
            </w:r>
            <w:r w:rsidRPr="00943853">
              <w:rPr>
                <w:spacing w:val="-4"/>
              </w:rPr>
              <w:t xml:space="preserve"> 2. čtvrtletí na -12,3 %. Ceny alkoholických nápojů byly v</w:t>
            </w:r>
            <w:r>
              <w:rPr>
                <w:spacing w:val="-4"/>
              </w:rPr>
              <w:t>e</w:t>
            </w:r>
            <w:r w:rsidRPr="00943853">
              <w:rPr>
                <w:spacing w:val="-4"/>
              </w:rPr>
              <w:t xml:space="preserve"> 2. čtvrtletí vyšší o 4,3 % (v 1. čtvrtletí 2016 o 3,2 %) a ceny t</w:t>
            </w:r>
            <w:r w:rsidR="00AE7B2B">
              <w:rPr>
                <w:spacing w:val="-4"/>
              </w:rPr>
              <w:t>abákových výrobků o 4,4 % (v 1. </w:t>
            </w:r>
            <w:r w:rsidRPr="00943853">
              <w:rPr>
                <w:spacing w:val="-4"/>
              </w:rPr>
              <w:t xml:space="preserve">čtvrtletí o 3,8 %), přičemž na růstu cen cigaret se projevilo zvýšení spotřební daně od ledna 2016. V oddíle bydlení zpomalil cenový růst vlivem meziročního </w:t>
            </w:r>
            <w:r w:rsidRPr="00943853">
              <w:rPr>
                <w:spacing w:val="-4"/>
              </w:rPr>
              <w:lastRenderedPageBreak/>
              <w:t>pokle</w:t>
            </w:r>
            <w:r>
              <w:rPr>
                <w:spacing w:val="-4"/>
              </w:rPr>
              <w:t>su cen zemního plynu o 4,7 % (v </w:t>
            </w:r>
            <w:r w:rsidRPr="00943853">
              <w:rPr>
                <w:spacing w:val="-4"/>
              </w:rPr>
              <w:t>1. čtvrtletí pokles o 0,5 %). Ceny elektřiny byly v obou čtvrtl</w:t>
            </w:r>
            <w:r>
              <w:rPr>
                <w:spacing w:val="-4"/>
              </w:rPr>
              <w:t>etích vyšší shodně o </w:t>
            </w:r>
            <w:r w:rsidRPr="00943853">
              <w:rPr>
                <w:spacing w:val="-4"/>
              </w:rPr>
              <w:t>1,2 %</w:t>
            </w:r>
            <w:r>
              <w:rPr>
                <w:spacing w:val="-4"/>
              </w:rPr>
              <w:t xml:space="preserve">. </w:t>
            </w:r>
            <w:r w:rsidRPr="00943853">
              <w:rPr>
                <w:spacing w:val="-4"/>
              </w:rPr>
              <w:t xml:space="preserve">Ceny vodného a stočného vzrostly o 1,6 %, resp. 5,3 % </w:t>
            </w:r>
            <w:r w:rsidR="00FA1992">
              <w:rPr>
                <w:spacing w:val="-4"/>
              </w:rPr>
              <w:t>(v 1. </w:t>
            </w:r>
            <w:r>
              <w:rPr>
                <w:spacing w:val="-4"/>
              </w:rPr>
              <w:t>čtvrtletí o </w:t>
            </w:r>
            <w:r w:rsidRPr="00943853">
              <w:rPr>
                <w:spacing w:val="-4"/>
              </w:rPr>
              <w:t>0,5 %, resp. o 3,3 %)</w:t>
            </w:r>
            <w:r>
              <w:rPr>
                <w:spacing w:val="-4"/>
              </w:rPr>
              <w:t>.</w:t>
            </w:r>
            <w:r w:rsidRPr="00943853">
              <w:rPr>
                <w:spacing w:val="-4"/>
              </w:rPr>
              <w:t xml:space="preserve"> Ceny čis</w:t>
            </w:r>
            <w:r w:rsidR="00AE7B2B">
              <w:rPr>
                <w:spacing w:val="-4"/>
              </w:rPr>
              <w:t>tého nájemného vzrostly o </w:t>
            </w:r>
            <w:r>
              <w:rPr>
                <w:spacing w:val="-4"/>
              </w:rPr>
              <w:t>1,3 % a tepla o 1,0 </w:t>
            </w:r>
            <w:r w:rsidRPr="00943853">
              <w:rPr>
                <w:spacing w:val="-4"/>
              </w:rPr>
              <w:t>%. K významnějšímu meziročnímu růstu došlo v</w:t>
            </w:r>
            <w:r>
              <w:rPr>
                <w:spacing w:val="-4"/>
              </w:rPr>
              <w:t>e</w:t>
            </w:r>
            <w:r w:rsidRPr="00943853">
              <w:rPr>
                <w:spacing w:val="-4"/>
              </w:rPr>
              <w:t xml:space="preserve"> 2. čtvrtletí 2016 také u cen obuvi </w:t>
            </w:r>
            <w:r>
              <w:rPr>
                <w:spacing w:val="-4"/>
              </w:rPr>
              <w:t>(</w:t>
            </w:r>
            <w:r w:rsidRPr="00943853">
              <w:rPr>
                <w:spacing w:val="-4"/>
              </w:rPr>
              <w:t>o 5,4</w:t>
            </w:r>
            <w:r>
              <w:rPr>
                <w:spacing w:val="-4"/>
              </w:rPr>
              <w:t xml:space="preserve"> </w:t>
            </w:r>
            <w:r w:rsidRPr="00943853">
              <w:rPr>
                <w:spacing w:val="-4"/>
              </w:rPr>
              <w:t>%</w:t>
            </w:r>
            <w:r>
              <w:rPr>
                <w:spacing w:val="-4"/>
              </w:rPr>
              <w:t>)</w:t>
            </w:r>
            <w:r w:rsidRPr="00943853">
              <w:rPr>
                <w:spacing w:val="-4"/>
              </w:rPr>
              <w:t xml:space="preserve"> a cen dovolených s komplexními službami </w:t>
            </w:r>
            <w:r>
              <w:rPr>
                <w:spacing w:val="-4"/>
              </w:rPr>
              <w:t>(</w:t>
            </w:r>
            <w:r w:rsidRPr="00943853">
              <w:rPr>
                <w:spacing w:val="-4"/>
              </w:rPr>
              <w:t>o 3,2</w:t>
            </w:r>
            <w:r>
              <w:rPr>
                <w:spacing w:val="-4"/>
              </w:rPr>
              <w:t xml:space="preserve"> </w:t>
            </w:r>
            <w:r w:rsidRPr="00943853">
              <w:rPr>
                <w:spacing w:val="-4"/>
              </w:rPr>
              <w:t>%</w:t>
            </w:r>
            <w:r>
              <w:rPr>
                <w:spacing w:val="-4"/>
              </w:rPr>
              <w:t>)</w:t>
            </w:r>
            <w:r w:rsidRPr="00943853">
              <w:rPr>
                <w:spacing w:val="-4"/>
              </w:rPr>
              <w:t>.</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lastRenderedPageBreak/>
              <w:t xml:space="preserve">Meziroční vývoj nabídkových i realizovaných cen bytů je silný. Ukazuje, že </w:t>
            </w:r>
            <w:r>
              <w:rPr>
                <w:sz w:val="16"/>
                <w:szCs w:val="16"/>
              </w:rPr>
              <w:t xml:space="preserve">růst </w:t>
            </w:r>
            <w:r w:rsidRPr="003F0327">
              <w:rPr>
                <w:sz w:val="16"/>
                <w:szCs w:val="16"/>
              </w:rPr>
              <w:t xml:space="preserve">cen nemovitostí v ČR se </w:t>
            </w:r>
            <w:r>
              <w:rPr>
                <w:sz w:val="16"/>
                <w:szCs w:val="16"/>
              </w:rPr>
              <w:t>zrychluje</w:t>
            </w:r>
          </w:p>
        </w:tc>
        <w:tc>
          <w:tcPr>
            <w:tcW w:w="143" w:type="pct"/>
          </w:tcPr>
          <w:p w:rsidR="000C1106" w:rsidRPr="006046A7"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Trvající nízké úrokové sazby z úvěrů na bydlení, nízká míra nezaměstnanosti, pokračující růst průměrné mzdy a vysoká spotřebitelská důvěra jsou příčinou zrychlující</w:t>
            </w:r>
            <w:r>
              <w:rPr>
                <w:spacing w:val="-4"/>
              </w:rPr>
              <w:t>ho</w:t>
            </w:r>
            <w:r w:rsidRPr="00943853">
              <w:rPr>
                <w:spacing w:val="-4"/>
              </w:rPr>
              <w:t xml:space="preserve"> růst</w:t>
            </w:r>
            <w:r>
              <w:rPr>
                <w:spacing w:val="-4"/>
              </w:rPr>
              <w:t>u</w:t>
            </w:r>
            <w:r w:rsidRPr="00943853">
              <w:rPr>
                <w:spacing w:val="-4"/>
              </w:rPr>
              <w:t xml:space="preserve"> cen bytových nemovitostí. Indikativní nabídkové ceny bytů stouply meziročně v 1. čtvrtletí 2016 o 10,2 % a v</w:t>
            </w:r>
            <w:r>
              <w:rPr>
                <w:spacing w:val="-4"/>
              </w:rPr>
              <w:t>e</w:t>
            </w:r>
            <w:r w:rsidRPr="00943853">
              <w:rPr>
                <w:spacing w:val="-4"/>
              </w:rPr>
              <w:t> 2. čtvrtletí o 10,3 %</w:t>
            </w:r>
            <w:r>
              <w:rPr>
                <w:spacing w:val="-4"/>
              </w:rPr>
              <w:t>.</w:t>
            </w:r>
            <w:r w:rsidRPr="00943853">
              <w:rPr>
                <w:spacing w:val="-4"/>
              </w:rPr>
              <w:t xml:space="preserve"> Šlo tak </w:t>
            </w:r>
            <w:r>
              <w:rPr>
                <w:spacing w:val="-4"/>
              </w:rPr>
              <w:br/>
            </w:r>
            <w:r w:rsidRPr="00943853">
              <w:rPr>
                <w:spacing w:val="-4"/>
              </w:rPr>
              <w:t>o nejsilnější růst cen od konce roku 2008. Zhruba do poloviny roku 2015 se nabídkové ceny zvyšovaly výrazněji v Praze než v </w:t>
            </w:r>
            <w:r w:rsidR="00FA1992">
              <w:rPr>
                <w:spacing w:val="-4"/>
              </w:rPr>
              <w:t>regionech mimo metropoli, od 3. </w:t>
            </w:r>
            <w:r w:rsidRPr="00943853">
              <w:rPr>
                <w:spacing w:val="-4"/>
              </w:rPr>
              <w:t>čtvrtletí je cenový vývoj již obdobný. Také meziroční vývoj realizovaných cen bytů naznačuje dlouhodobou tendenci zrychlujícího se růstu. Ceny starších bytů v Praze stouply v 1. čtvrtletí o 5,</w:t>
            </w:r>
            <w:r>
              <w:rPr>
                <w:spacing w:val="-4"/>
              </w:rPr>
              <w:t>8</w:t>
            </w:r>
            <w:r w:rsidRPr="00943853">
              <w:rPr>
                <w:spacing w:val="-4"/>
              </w:rPr>
              <w:t xml:space="preserve"> %, v</w:t>
            </w:r>
            <w:r>
              <w:rPr>
                <w:spacing w:val="-4"/>
              </w:rPr>
              <w:t>e</w:t>
            </w:r>
            <w:r w:rsidRPr="00943853">
              <w:rPr>
                <w:spacing w:val="-4"/>
              </w:rPr>
              <w:t xml:space="preserve"> 2. čtvrtletí o 7,4 %, a v regionech mimo hlavní město dokonce o 10,0 %, resp. 9,</w:t>
            </w:r>
            <w:r>
              <w:rPr>
                <w:spacing w:val="-4"/>
              </w:rPr>
              <w:t xml:space="preserve">6 </w:t>
            </w:r>
            <w:r w:rsidRPr="00943853">
              <w:rPr>
                <w:spacing w:val="-4"/>
              </w:rPr>
              <w:t>%. Realizované ceny nových bytů, které jsou sledované pouze za Prahu, byly meziročně vyšší o 3,7 % v 1. čtvrtletí a o 3,8 % v</w:t>
            </w:r>
            <w:r>
              <w:rPr>
                <w:spacing w:val="-4"/>
              </w:rPr>
              <w:t>e</w:t>
            </w:r>
            <w:r w:rsidRPr="00943853">
              <w:rPr>
                <w:spacing w:val="-4"/>
              </w:rPr>
              <w:t> 2. čtvrtletí 2016.</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C857F7" w:rsidRDefault="000C1106" w:rsidP="00AF5D62">
            <w:pPr>
              <w:spacing w:line="240" w:lineRule="auto"/>
              <w:rPr>
                <w:sz w:val="16"/>
                <w:szCs w:val="16"/>
              </w:rPr>
            </w:pPr>
            <w:r w:rsidRPr="00C857F7">
              <w:rPr>
                <w:sz w:val="16"/>
                <w:szCs w:val="16"/>
              </w:rPr>
              <w:t>Ze zemí Evropské unie se ve výraznější deflaci v 1. pololetí nachá</w:t>
            </w:r>
            <w:r w:rsidR="00AE7B2B">
              <w:rPr>
                <w:sz w:val="16"/>
                <w:szCs w:val="16"/>
              </w:rPr>
              <w:t>zelo Rumunsko, Bulharsko a</w:t>
            </w:r>
            <w:r w:rsidR="00AE7B2B" w:rsidRPr="00C857F7">
              <w:rPr>
                <w:sz w:val="16"/>
                <w:szCs w:val="16"/>
              </w:rPr>
              <w:t> </w:t>
            </w:r>
            <w:r>
              <w:rPr>
                <w:sz w:val="16"/>
                <w:szCs w:val="16"/>
              </w:rPr>
              <w:t>Kypr</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Podle harmonizovaného indexu spotřebitelských cen se ceny v Česku zvýšily v</w:t>
            </w:r>
            <w:r>
              <w:rPr>
                <w:spacing w:val="-4"/>
              </w:rPr>
              <w:t>e</w:t>
            </w:r>
            <w:r w:rsidRPr="00943853">
              <w:rPr>
                <w:spacing w:val="-4"/>
              </w:rPr>
              <w:t xml:space="preserve"> 2. čtvrtletí 2016 proti stejnému období </w:t>
            </w:r>
            <w:r>
              <w:rPr>
                <w:spacing w:val="-4"/>
              </w:rPr>
              <w:t>loňského</w:t>
            </w:r>
            <w:r w:rsidRPr="00943853">
              <w:rPr>
                <w:spacing w:val="-4"/>
              </w:rPr>
              <w:t xml:space="preserve"> roku o 0,1 %</w:t>
            </w:r>
            <w:r>
              <w:rPr>
                <w:spacing w:val="-4"/>
              </w:rPr>
              <w:t xml:space="preserve"> (</w:t>
            </w:r>
            <w:r w:rsidRPr="00943853">
              <w:rPr>
                <w:spacing w:val="-4"/>
              </w:rPr>
              <w:t>v předchozím čtvrtletí o 0,4 %</w:t>
            </w:r>
            <w:r>
              <w:rPr>
                <w:spacing w:val="-4"/>
              </w:rPr>
              <w:t>)</w:t>
            </w:r>
            <w:r w:rsidRPr="00943853">
              <w:rPr>
                <w:spacing w:val="-4"/>
              </w:rPr>
              <w:t>. S deflací se v </w:t>
            </w:r>
            <w:r>
              <w:rPr>
                <w:spacing w:val="-4"/>
              </w:rPr>
              <w:t>1.</w:t>
            </w:r>
            <w:r w:rsidRPr="00943853">
              <w:rPr>
                <w:spacing w:val="-4"/>
              </w:rPr>
              <w:t xml:space="preserve"> čtvrtletí potýkalo </w:t>
            </w:r>
            <w:r>
              <w:rPr>
                <w:spacing w:val="-4"/>
              </w:rPr>
              <w:t>12</w:t>
            </w:r>
            <w:r w:rsidRPr="00943853">
              <w:rPr>
                <w:spacing w:val="-4"/>
              </w:rPr>
              <w:t xml:space="preserve"> </w:t>
            </w:r>
            <w:r>
              <w:rPr>
                <w:spacing w:val="-4"/>
              </w:rPr>
              <w:t>zemí osmadvacítky, ve 2. čtvrtletí</w:t>
            </w:r>
            <w:r w:rsidRPr="00943853">
              <w:rPr>
                <w:spacing w:val="-4"/>
              </w:rPr>
              <w:t xml:space="preserve"> dokonce </w:t>
            </w:r>
            <w:r>
              <w:rPr>
                <w:spacing w:val="-4"/>
              </w:rPr>
              <w:t>15</w:t>
            </w:r>
            <w:r w:rsidRPr="00943853">
              <w:rPr>
                <w:spacing w:val="-4"/>
              </w:rPr>
              <w:t>. Česká republika tak zůstala po obě čtvrtletí v </w:t>
            </w:r>
            <w:r>
              <w:rPr>
                <w:spacing w:val="-4"/>
              </w:rPr>
              <w:t>první</w:t>
            </w:r>
            <w:r w:rsidRPr="00943853">
              <w:rPr>
                <w:spacing w:val="-4"/>
              </w:rPr>
              <w:t xml:space="preserve"> třetině zemí dle </w:t>
            </w:r>
            <w:r>
              <w:rPr>
                <w:spacing w:val="-4"/>
              </w:rPr>
              <w:t xml:space="preserve">výše </w:t>
            </w:r>
            <w:r w:rsidRPr="00943853">
              <w:rPr>
                <w:spacing w:val="-4"/>
              </w:rPr>
              <w:t>roční míry inflace, přesto se v červnu 2016 také na jeden měsíc dostala do záporných čísel (-0,1%). Míra in</w:t>
            </w:r>
            <w:r>
              <w:rPr>
                <w:spacing w:val="-4"/>
              </w:rPr>
              <w:t>flace v </w:t>
            </w:r>
            <w:proofErr w:type="spellStart"/>
            <w:r>
              <w:rPr>
                <w:spacing w:val="-4"/>
              </w:rPr>
              <w:t>eurozóně</w:t>
            </w:r>
            <w:proofErr w:type="spellEnd"/>
            <w:r>
              <w:rPr>
                <w:spacing w:val="-4"/>
              </w:rPr>
              <w:t xml:space="preserve"> byla nižší než </w:t>
            </w:r>
            <w:r w:rsidRPr="00943853">
              <w:rPr>
                <w:spacing w:val="-4"/>
              </w:rPr>
              <w:t>v ČR (0,0</w:t>
            </w:r>
            <w:r>
              <w:rPr>
                <w:spacing w:val="-4"/>
              </w:rPr>
              <w:t xml:space="preserve"> </w:t>
            </w:r>
            <w:r w:rsidRPr="00943853">
              <w:rPr>
                <w:spacing w:val="-4"/>
              </w:rPr>
              <w:t>% v</w:t>
            </w:r>
            <w:r w:rsidR="00FA1992">
              <w:rPr>
                <w:spacing w:val="-4"/>
              </w:rPr>
              <w:t> 1. </w:t>
            </w:r>
            <w:r>
              <w:rPr>
                <w:spacing w:val="-4"/>
              </w:rPr>
              <w:t>čtvrtletí</w:t>
            </w:r>
            <w:r w:rsidRPr="00943853">
              <w:rPr>
                <w:spacing w:val="-4"/>
              </w:rPr>
              <w:t xml:space="preserve"> a -0,1</w:t>
            </w:r>
            <w:r>
              <w:rPr>
                <w:spacing w:val="-4"/>
              </w:rPr>
              <w:t xml:space="preserve"> </w:t>
            </w:r>
            <w:r w:rsidRPr="00943853">
              <w:rPr>
                <w:spacing w:val="-4"/>
              </w:rPr>
              <w:t>% v</w:t>
            </w:r>
            <w:r>
              <w:rPr>
                <w:spacing w:val="-4"/>
              </w:rPr>
              <w:t>e</w:t>
            </w:r>
            <w:r w:rsidRPr="00943853">
              <w:rPr>
                <w:spacing w:val="-4"/>
              </w:rPr>
              <w:t> </w:t>
            </w:r>
            <w:r>
              <w:rPr>
                <w:spacing w:val="-4"/>
              </w:rPr>
              <w:t>2.</w:t>
            </w:r>
            <w:r w:rsidRPr="00943853">
              <w:rPr>
                <w:spacing w:val="-4"/>
              </w:rPr>
              <w:t xml:space="preserve"> </w:t>
            </w:r>
            <w:r>
              <w:rPr>
                <w:spacing w:val="-4"/>
              </w:rPr>
              <w:t>čtvrtletí 2016).</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Ceny průmyslových výrobců se v Česku snižují v meziročním srovnání již </w:t>
            </w:r>
            <w:r>
              <w:rPr>
                <w:sz w:val="16"/>
                <w:szCs w:val="16"/>
              </w:rPr>
              <w:t>deset</w:t>
            </w:r>
            <w:r w:rsidRPr="003F0327">
              <w:rPr>
                <w:sz w:val="16"/>
                <w:szCs w:val="16"/>
              </w:rPr>
              <w:t xml:space="preserve"> čtvrtletí</w:t>
            </w:r>
            <w:r>
              <w:rPr>
                <w:sz w:val="16"/>
                <w:szCs w:val="16"/>
              </w:rPr>
              <w:t>.</w:t>
            </w:r>
            <w:r w:rsidRPr="003F0327">
              <w:rPr>
                <w:sz w:val="16"/>
                <w:szCs w:val="16"/>
              </w:rPr>
              <w:t xml:space="preserve"> Intenzita jejich poklesu se stále</w:t>
            </w:r>
            <w:r>
              <w:rPr>
                <w:sz w:val="16"/>
                <w:szCs w:val="16"/>
              </w:rPr>
              <w:t xml:space="preserve"> </w:t>
            </w:r>
            <w:r w:rsidRPr="003F0327">
              <w:rPr>
                <w:sz w:val="16"/>
                <w:szCs w:val="16"/>
              </w:rPr>
              <w:t>zvětš</w:t>
            </w:r>
            <w:r>
              <w:rPr>
                <w:sz w:val="16"/>
                <w:szCs w:val="16"/>
              </w:rPr>
              <w:t>ovala v první polovině roku 2016</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 xml:space="preserve">V cenách průmyslových výrobců se od počátku letošního roku kromě nízkých cen ropy začaly významně projevovat prohlubující se meziroční cenové poklesy v energetice a v těžbě a dobývání. </w:t>
            </w:r>
            <w:r w:rsidRPr="0037293F">
              <w:rPr>
                <w:spacing w:val="-4"/>
              </w:rPr>
              <w:t>Ceny ve zpracovatelském průmyslu poklesly v prvních dvou čtvrtletích o 4,0 %, resp. o 4,8 %.</w:t>
            </w:r>
            <w:r w:rsidR="00FA1992">
              <w:rPr>
                <w:spacing w:val="-4"/>
              </w:rPr>
              <w:t xml:space="preserve"> Kromě významného poklesu cen v </w:t>
            </w:r>
            <w:r w:rsidRPr="00943853">
              <w:rPr>
                <w:spacing w:val="-4"/>
              </w:rPr>
              <w:t xml:space="preserve">oddílu koksu a rafinovaných ropných produktů byly meziročně ve </w:t>
            </w:r>
            <w:r>
              <w:rPr>
                <w:spacing w:val="-4"/>
              </w:rPr>
              <w:t>2. </w:t>
            </w:r>
            <w:r w:rsidRPr="00943853">
              <w:rPr>
                <w:spacing w:val="-4"/>
              </w:rPr>
              <w:t xml:space="preserve">čtvrtletí nižší ceny chemických látek a výrobků </w:t>
            </w:r>
            <w:r>
              <w:rPr>
                <w:spacing w:val="-4"/>
              </w:rPr>
              <w:t>(</w:t>
            </w:r>
            <w:r w:rsidRPr="00943853">
              <w:rPr>
                <w:spacing w:val="-4"/>
              </w:rPr>
              <w:t>o 11,2 %</w:t>
            </w:r>
            <w:r>
              <w:rPr>
                <w:spacing w:val="-4"/>
              </w:rPr>
              <w:t>)</w:t>
            </w:r>
            <w:r w:rsidRPr="00943853">
              <w:rPr>
                <w:spacing w:val="-4"/>
              </w:rPr>
              <w:t xml:space="preserve">, obecných kovů </w:t>
            </w:r>
            <w:r>
              <w:rPr>
                <w:spacing w:val="-4"/>
              </w:rPr>
              <w:br/>
            </w:r>
            <w:r w:rsidRPr="00943853">
              <w:rPr>
                <w:spacing w:val="-4"/>
              </w:rPr>
              <w:t xml:space="preserve">a kovodělných výrobků </w:t>
            </w:r>
            <w:r>
              <w:rPr>
                <w:spacing w:val="-4"/>
              </w:rPr>
              <w:t>(</w:t>
            </w:r>
            <w:r w:rsidRPr="00943853">
              <w:rPr>
                <w:spacing w:val="-4"/>
              </w:rPr>
              <w:t>o 5,3 %</w:t>
            </w:r>
            <w:r>
              <w:rPr>
                <w:spacing w:val="-4"/>
              </w:rPr>
              <w:t>)</w:t>
            </w:r>
            <w:r w:rsidRPr="00943853">
              <w:rPr>
                <w:spacing w:val="-4"/>
              </w:rPr>
              <w:t xml:space="preserve"> a ceny potravinářských výrobků, nápojů </w:t>
            </w:r>
            <w:r>
              <w:rPr>
                <w:spacing w:val="-4"/>
              </w:rPr>
              <w:t>a tabáku (</w:t>
            </w:r>
            <w:r w:rsidR="00FA1992">
              <w:rPr>
                <w:spacing w:val="-4"/>
              </w:rPr>
              <w:t>o </w:t>
            </w:r>
            <w:r w:rsidRPr="00943853">
              <w:rPr>
                <w:spacing w:val="-4"/>
              </w:rPr>
              <w:t>3,1 %</w:t>
            </w:r>
            <w:r>
              <w:rPr>
                <w:spacing w:val="-4"/>
              </w:rPr>
              <w:t>)</w:t>
            </w:r>
            <w:r w:rsidRPr="00943853">
              <w:rPr>
                <w:spacing w:val="-4"/>
              </w:rPr>
              <w:t>. Dodávky elektřiny, plynu, páry a klimatizovaného vzduchu byly meziročně v obou čtvrtletích nižší o 4,1 % a ceny v těžbě a dobývání klesly v </w:t>
            </w:r>
            <w:r>
              <w:rPr>
                <w:spacing w:val="-4"/>
              </w:rPr>
              <w:t>1.</w:t>
            </w:r>
            <w:r w:rsidR="00FA1992">
              <w:rPr>
                <w:spacing w:val="-4"/>
              </w:rPr>
              <w:t> </w:t>
            </w:r>
            <w:r w:rsidRPr="00943853">
              <w:rPr>
                <w:spacing w:val="-4"/>
              </w:rPr>
              <w:t xml:space="preserve">čtvrtletí o 6,4 % a ve </w:t>
            </w:r>
            <w:r>
              <w:rPr>
                <w:spacing w:val="-4"/>
              </w:rPr>
              <w:t xml:space="preserve">2. čtvrtletí </w:t>
            </w:r>
            <w:r w:rsidRPr="00943853">
              <w:rPr>
                <w:spacing w:val="-4"/>
              </w:rPr>
              <w:t>o 7,1</w:t>
            </w:r>
            <w:r w:rsidR="00AE7B2B">
              <w:rPr>
                <w:spacing w:val="-4"/>
              </w:rPr>
              <w:t xml:space="preserve"> </w:t>
            </w:r>
            <w:r w:rsidRPr="00943853">
              <w:rPr>
                <w:spacing w:val="-4"/>
              </w:rPr>
              <w:t>%</w:t>
            </w:r>
            <w:r>
              <w:rPr>
                <w:spacing w:val="-4"/>
              </w:rPr>
              <w:t xml:space="preserve">. </w:t>
            </w:r>
            <w:r w:rsidRPr="00943853">
              <w:rPr>
                <w:spacing w:val="-4"/>
              </w:rPr>
              <w:t>V případě těžby a dobývání se jednalo o podobně hluboký propad cen jako v krizovém roce </w:t>
            </w:r>
            <w:r w:rsidR="00FA1992">
              <w:rPr>
                <w:spacing w:val="-4"/>
              </w:rPr>
              <w:t xml:space="preserve"> 2009. Ceny vody, její úpravy a </w:t>
            </w:r>
            <w:r w:rsidRPr="00943853">
              <w:rPr>
                <w:spacing w:val="-4"/>
              </w:rPr>
              <w:t>rozvodu, které rostou pravidelně a trvale, vzrostly meziročně v </w:t>
            </w:r>
            <w:r>
              <w:rPr>
                <w:spacing w:val="-4"/>
              </w:rPr>
              <w:t>1. </w:t>
            </w:r>
            <w:r w:rsidRPr="00943853">
              <w:rPr>
                <w:spacing w:val="-4"/>
              </w:rPr>
              <w:t>čtvrtletí o 0,5</w:t>
            </w:r>
            <w:r>
              <w:rPr>
                <w:spacing w:val="-4"/>
              </w:rPr>
              <w:t xml:space="preserve"> </w:t>
            </w:r>
            <w:r w:rsidR="00FA1992">
              <w:rPr>
                <w:spacing w:val="-4"/>
              </w:rPr>
              <w:t>% a </w:t>
            </w:r>
            <w:r w:rsidRPr="00943853">
              <w:rPr>
                <w:spacing w:val="-4"/>
              </w:rPr>
              <w:t>v</w:t>
            </w:r>
            <w:r>
              <w:rPr>
                <w:spacing w:val="-4"/>
              </w:rPr>
              <w:t>e</w:t>
            </w:r>
            <w:r w:rsidRPr="00943853">
              <w:rPr>
                <w:spacing w:val="-4"/>
              </w:rPr>
              <w:t> 2. čtvrtletí o 1,6 %.</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Pr>
                <w:sz w:val="16"/>
                <w:szCs w:val="16"/>
              </w:rPr>
              <w:t>C</w:t>
            </w:r>
            <w:r w:rsidRPr="003F0327">
              <w:rPr>
                <w:sz w:val="16"/>
                <w:szCs w:val="16"/>
              </w:rPr>
              <w:t>eny</w:t>
            </w:r>
            <w:r>
              <w:rPr>
                <w:sz w:val="16"/>
                <w:szCs w:val="16"/>
              </w:rPr>
              <w:t xml:space="preserve"> </w:t>
            </w:r>
            <w:r w:rsidRPr="003F0327">
              <w:rPr>
                <w:sz w:val="16"/>
                <w:szCs w:val="16"/>
              </w:rPr>
              <w:t xml:space="preserve">ve zpracovatelském průmyslu </w:t>
            </w:r>
            <w:r>
              <w:rPr>
                <w:sz w:val="16"/>
                <w:szCs w:val="16"/>
              </w:rPr>
              <w:t xml:space="preserve">se </w:t>
            </w:r>
            <w:r w:rsidRPr="003F0327">
              <w:rPr>
                <w:sz w:val="16"/>
                <w:szCs w:val="16"/>
              </w:rPr>
              <w:t xml:space="preserve">snižují v celé </w:t>
            </w:r>
            <w:r>
              <w:rPr>
                <w:sz w:val="16"/>
                <w:szCs w:val="16"/>
              </w:rPr>
              <w:t>EU28</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 xml:space="preserve">Klesající ceny zpracovatelů jsou charakteristickým jevem prakticky pro celou Evropskou unii. V průběhu let 2013 až 2015 se deflační vývoj v této části ekonomiky rozšířil do všech zemí evropského hospodářského celku a v první polovině roku 2016 se dále prohluboval. </w:t>
            </w:r>
            <w:r>
              <w:rPr>
                <w:spacing w:val="-4"/>
              </w:rPr>
              <w:t xml:space="preserve">Jak </w:t>
            </w:r>
            <w:r w:rsidRPr="00943853">
              <w:rPr>
                <w:spacing w:val="-4"/>
              </w:rPr>
              <w:t>v </w:t>
            </w:r>
            <w:proofErr w:type="spellStart"/>
            <w:proofErr w:type="gramStart"/>
            <w:r>
              <w:rPr>
                <w:spacing w:val="-4"/>
              </w:rPr>
              <w:t>eurozóně</w:t>
            </w:r>
            <w:proofErr w:type="spellEnd"/>
            <w:r>
              <w:rPr>
                <w:spacing w:val="-4"/>
              </w:rPr>
              <w:t xml:space="preserve">, </w:t>
            </w:r>
            <w:r w:rsidRPr="001E79DD">
              <w:rPr>
                <w:spacing w:val="-4"/>
              </w:rPr>
              <w:t xml:space="preserve"> </w:t>
            </w:r>
            <w:r>
              <w:rPr>
                <w:spacing w:val="-4"/>
              </w:rPr>
              <w:t>tak</w:t>
            </w:r>
            <w:proofErr w:type="gramEnd"/>
            <w:r>
              <w:rPr>
                <w:spacing w:val="-4"/>
              </w:rPr>
              <w:t xml:space="preserve"> </w:t>
            </w:r>
            <w:r w:rsidRPr="001E79DD">
              <w:rPr>
                <w:spacing w:val="-4"/>
              </w:rPr>
              <w:t xml:space="preserve">i </w:t>
            </w:r>
            <w:r>
              <w:rPr>
                <w:spacing w:val="-4"/>
              </w:rPr>
              <w:t>v EU28</w:t>
            </w:r>
            <w:r w:rsidRPr="00943853">
              <w:rPr>
                <w:spacing w:val="-4"/>
              </w:rPr>
              <w:t xml:space="preserve"> se ceny ve zpracovatelském průmyslu snížily v prvních třech měsících letošního</w:t>
            </w:r>
            <w:r w:rsidR="00FA1992">
              <w:rPr>
                <w:spacing w:val="-4"/>
              </w:rPr>
              <w:t xml:space="preserve"> roku meziročně v průměru o 3,7 </w:t>
            </w:r>
            <w:r w:rsidRPr="00943853">
              <w:rPr>
                <w:spacing w:val="-4"/>
              </w:rPr>
              <w:t>%</w:t>
            </w:r>
            <w:r>
              <w:rPr>
                <w:spacing w:val="-4"/>
              </w:rPr>
              <w:t>.</w:t>
            </w:r>
            <w:r w:rsidRPr="00943853">
              <w:rPr>
                <w:spacing w:val="-4"/>
              </w:rPr>
              <w:t xml:space="preserve"> V</w:t>
            </w:r>
            <w:r>
              <w:rPr>
                <w:spacing w:val="-4"/>
              </w:rPr>
              <w:t>e</w:t>
            </w:r>
            <w:r w:rsidRPr="00943853">
              <w:rPr>
                <w:spacing w:val="-4"/>
              </w:rPr>
              <w:t> </w:t>
            </w:r>
            <w:r>
              <w:rPr>
                <w:spacing w:val="-4"/>
              </w:rPr>
              <w:t xml:space="preserve">2. čtvrtletí </w:t>
            </w:r>
            <w:r w:rsidRPr="00943853">
              <w:rPr>
                <w:spacing w:val="-4"/>
              </w:rPr>
              <w:t>o 3,</w:t>
            </w:r>
            <w:r>
              <w:rPr>
                <w:spacing w:val="-4"/>
              </w:rPr>
              <w:t>6 % v Unii, z toho v </w:t>
            </w:r>
            <w:proofErr w:type="spellStart"/>
            <w:r>
              <w:rPr>
                <w:spacing w:val="-4"/>
              </w:rPr>
              <w:t>eurozóně</w:t>
            </w:r>
            <w:proofErr w:type="spellEnd"/>
            <w:r>
              <w:rPr>
                <w:spacing w:val="-4"/>
              </w:rPr>
              <w:t xml:space="preserve"> o </w:t>
            </w:r>
            <w:r w:rsidRPr="00943853">
              <w:rPr>
                <w:spacing w:val="-4"/>
              </w:rPr>
              <w:t>3,8 %.</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Nadbytek produkce prasat a mléka v Evropě stlačuje </w:t>
            </w:r>
            <w:r>
              <w:rPr>
                <w:sz w:val="16"/>
                <w:szCs w:val="16"/>
              </w:rPr>
              <w:t>dlouhodobě c</w:t>
            </w:r>
            <w:r w:rsidRPr="003F0327">
              <w:rPr>
                <w:sz w:val="16"/>
                <w:szCs w:val="16"/>
              </w:rPr>
              <w:t>eny</w:t>
            </w:r>
            <w:r>
              <w:rPr>
                <w:sz w:val="16"/>
                <w:szCs w:val="16"/>
              </w:rPr>
              <w:t xml:space="preserve"> těchto komodit</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 xml:space="preserve">Po mírném meziročním růstu cen zemědělských výrobců (včetně ryb) na sklonku loňského roku, ke kterému došlo poprvé po osmi čtvrtletích, se ceny v zemědělství začaly opět snižovat. V 1. čtvrtletí 2016 poklesly o 2,9 % </w:t>
            </w:r>
            <w:r>
              <w:rPr>
                <w:spacing w:val="-4"/>
              </w:rPr>
              <w:br/>
            </w:r>
            <w:r w:rsidRPr="00943853">
              <w:rPr>
                <w:spacing w:val="-4"/>
              </w:rPr>
              <w:t>a v následující</w:t>
            </w:r>
            <w:r>
              <w:rPr>
                <w:spacing w:val="-4"/>
              </w:rPr>
              <w:t>ch</w:t>
            </w:r>
            <w:r w:rsidRPr="00943853">
              <w:rPr>
                <w:spacing w:val="-4"/>
              </w:rPr>
              <w:t xml:space="preserve"> </w:t>
            </w:r>
            <w:r>
              <w:rPr>
                <w:spacing w:val="-4"/>
              </w:rPr>
              <w:t xml:space="preserve">třech měsících </w:t>
            </w:r>
            <w:r w:rsidRPr="00943853">
              <w:rPr>
                <w:spacing w:val="-4"/>
              </w:rPr>
              <w:t>již o 6,9 %. Ceny rostlinné výroby si zpočátku udržely pozitivní tempo meziročního růstu o 3,9 %, ve 2. čtvrtletí však pokles</w:t>
            </w:r>
            <w:r>
              <w:rPr>
                <w:spacing w:val="-4"/>
              </w:rPr>
              <w:t>ly</w:t>
            </w:r>
            <w:r w:rsidRPr="00943853">
              <w:rPr>
                <w:spacing w:val="-4"/>
              </w:rPr>
              <w:t xml:space="preserve"> </w:t>
            </w:r>
            <w:r>
              <w:rPr>
                <w:spacing w:val="-4"/>
              </w:rPr>
              <w:br/>
            </w:r>
            <w:r w:rsidRPr="00943853">
              <w:rPr>
                <w:spacing w:val="-4"/>
              </w:rPr>
              <w:t>o 3,</w:t>
            </w:r>
            <w:r>
              <w:rPr>
                <w:spacing w:val="-4"/>
              </w:rPr>
              <w:t>2</w:t>
            </w:r>
            <w:r w:rsidRPr="00943853">
              <w:rPr>
                <w:spacing w:val="-4"/>
              </w:rPr>
              <w:t xml:space="preserve"> %. Ceny živočišné výroby byly v porovnání se stejným obdobím předchozího roku nižší o 9,5 % v</w:t>
            </w:r>
            <w:r>
              <w:rPr>
                <w:spacing w:val="-4"/>
              </w:rPr>
              <w:t xml:space="preserve"> 1. čtvrtletí, </w:t>
            </w:r>
            <w:r w:rsidRPr="00943853">
              <w:rPr>
                <w:spacing w:val="-4"/>
              </w:rPr>
              <w:t>a dokonce o 11,3 % v</w:t>
            </w:r>
            <w:r>
              <w:rPr>
                <w:spacing w:val="-4"/>
              </w:rPr>
              <w:t>e</w:t>
            </w:r>
            <w:r w:rsidRPr="00943853">
              <w:rPr>
                <w:spacing w:val="-4"/>
              </w:rPr>
              <w:t xml:space="preserve"> 2. čtvrtletí. Na tom se podepsaly zejména nižší ceny mléka </w:t>
            </w:r>
            <w:r>
              <w:rPr>
                <w:spacing w:val="-4"/>
              </w:rPr>
              <w:t>(</w:t>
            </w:r>
            <w:r w:rsidRPr="00943853">
              <w:rPr>
                <w:spacing w:val="-4"/>
              </w:rPr>
              <w:t>o 19,4 %</w:t>
            </w:r>
            <w:r>
              <w:rPr>
                <w:spacing w:val="-4"/>
              </w:rPr>
              <w:t>)</w:t>
            </w:r>
            <w:r w:rsidRPr="00943853">
              <w:rPr>
                <w:spacing w:val="-4"/>
              </w:rPr>
              <w:t xml:space="preserve"> a jatečných prasat </w:t>
            </w:r>
            <w:r>
              <w:rPr>
                <w:spacing w:val="-4"/>
              </w:rPr>
              <w:br/>
              <w:t>(</w:t>
            </w:r>
            <w:r w:rsidRPr="00943853">
              <w:rPr>
                <w:spacing w:val="-4"/>
              </w:rPr>
              <w:t>o 8,5 %</w:t>
            </w:r>
            <w:r>
              <w:rPr>
                <w:spacing w:val="-4"/>
              </w:rPr>
              <w:t>)</w:t>
            </w:r>
            <w:r w:rsidRPr="00943853">
              <w:rPr>
                <w:spacing w:val="-4"/>
              </w:rPr>
              <w:t>.</w:t>
            </w:r>
            <w:r>
              <w:rPr>
                <w:spacing w:val="-4"/>
              </w:rPr>
              <w:t xml:space="preserve"> </w:t>
            </w:r>
            <w:r w:rsidRPr="00943853">
              <w:rPr>
                <w:spacing w:val="-4"/>
              </w:rPr>
              <w:t>Průměrná cena jednoho litru mléka spadla v 1. čtvrtletí na 7,30 korun a v</w:t>
            </w:r>
            <w:r>
              <w:rPr>
                <w:spacing w:val="-4"/>
              </w:rPr>
              <w:t>e</w:t>
            </w:r>
            <w:r w:rsidRPr="00943853">
              <w:rPr>
                <w:spacing w:val="-4"/>
              </w:rPr>
              <w:t> </w:t>
            </w:r>
            <w:r>
              <w:rPr>
                <w:spacing w:val="-4"/>
              </w:rPr>
              <w:t>2. čtvrtletí</w:t>
            </w:r>
            <w:r w:rsidRPr="00943853">
              <w:rPr>
                <w:spacing w:val="-4"/>
              </w:rPr>
              <w:t xml:space="preserve"> dokonce na 6,56 korun. V por</w:t>
            </w:r>
            <w:r>
              <w:rPr>
                <w:spacing w:val="-4"/>
              </w:rPr>
              <w:t>ovnání s průměrnou cenou v roce </w:t>
            </w:r>
            <w:r w:rsidRPr="00943853">
              <w:rPr>
                <w:spacing w:val="-4"/>
              </w:rPr>
              <w:t>2014 (9,50 korun) tak byla nižší o 30,9 %.</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Růst cen stavebních prací </w:t>
            </w:r>
            <w:r>
              <w:rPr>
                <w:sz w:val="16"/>
                <w:szCs w:val="16"/>
              </w:rPr>
              <w:t>zpomal</w:t>
            </w:r>
            <w:r w:rsidRPr="003F0327">
              <w:rPr>
                <w:sz w:val="16"/>
                <w:szCs w:val="16"/>
              </w:rPr>
              <w:t xml:space="preserve">uje </w:t>
            </w:r>
            <w:r>
              <w:rPr>
                <w:sz w:val="16"/>
                <w:szCs w:val="16"/>
              </w:rPr>
              <w:t xml:space="preserve">a spolu s ním se nadále snižují </w:t>
            </w:r>
            <w:r w:rsidRPr="003F0327">
              <w:rPr>
                <w:sz w:val="16"/>
                <w:szCs w:val="16"/>
              </w:rPr>
              <w:t>náklady stavební výroby</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Ceny stavebních prací v 1. čtvrtletí letošního roku ještě prodloužily meziroční růst z roku 2015 a zvýšily se o 1,</w:t>
            </w:r>
            <w:r>
              <w:rPr>
                <w:spacing w:val="-4"/>
              </w:rPr>
              <w:t>3</w:t>
            </w:r>
            <w:r w:rsidRPr="00943853">
              <w:rPr>
                <w:spacing w:val="-4"/>
              </w:rPr>
              <w:t xml:space="preserve"> %</w:t>
            </w:r>
            <w:r>
              <w:rPr>
                <w:spacing w:val="-4"/>
              </w:rPr>
              <w:t>.</w:t>
            </w:r>
            <w:r w:rsidRPr="00943853">
              <w:rPr>
                <w:spacing w:val="-4"/>
              </w:rPr>
              <w:t xml:space="preserve"> V</w:t>
            </w:r>
            <w:r>
              <w:rPr>
                <w:spacing w:val="-4"/>
              </w:rPr>
              <w:t>e</w:t>
            </w:r>
            <w:r w:rsidRPr="00943853">
              <w:rPr>
                <w:spacing w:val="-4"/>
              </w:rPr>
              <w:t> 2. čtvrtletí se ji</w:t>
            </w:r>
            <w:r w:rsidR="00FA1992">
              <w:rPr>
                <w:spacing w:val="-4"/>
              </w:rPr>
              <w:t>ž tempo začalo mírně snižovat a </w:t>
            </w:r>
            <w:r w:rsidRPr="00943853">
              <w:rPr>
                <w:spacing w:val="-4"/>
              </w:rPr>
              <w:t xml:space="preserve">meziroční růst dosáhl hodnoty 1,1 %. Ve 2. čtvrtletí stouply ceny bytových budov </w:t>
            </w:r>
            <w:r>
              <w:rPr>
                <w:spacing w:val="-4"/>
              </w:rPr>
              <w:lastRenderedPageBreak/>
              <w:t>(</w:t>
            </w:r>
            <w:r w:rsidRPr="00943853">
              <w:rPr>
                <w:spacing w:val="-4"/>
              </w:rPr>
              <w:t>o 1,0 %</w:t>
            </w:r>
            <w:r>
              <w:rPr>
                <w:spacing w:val="-4"/>
              </w:rPr>
              <w:t>)</w:t>
            </w:r>
            <w:r w:rsidRPr="00943853">
              <w:rPr>
                <w:spacing w:val="-4"/>
              </w:rPr>
              <w:t xml:space="preserve">, ceny nebytových budov </w:t>
            </w:r>
            <w:r>
              <w:rPr>
                <w:spacing w:val="-4"/>
              </w:rPr>
              <w:t>(</w:t>
            </w:r>
            <w:r w:rsidRPr="00943853">
              <w:rPr>
                <w:spacing w:val="-4"/>
              </w:rPr>
              <w:t>o 1,1 %</w:t>
            </w:r>
            <w:r>
              <w:rPr>
                <w:spacing w:val="-4"/>
              </w:rPr>
              <w:t>)</w:t>
            </w:r>
            <w:r w:rsidRPr="00943853">
              <w:rPr>
                <w:spacing w:val="-4"/>
              </w:rPr>
              <w:t xml:space="preserve"> a inženýrských děl </w:t>
            </w:r>
            <w:r>
              <w:rPr>
                <w:spacing w:val="-4"/>
              </w:rPr>
              <w:br/>
              <w:t>(</w:t>
            </w:r>
            <w:r w:rsidRPr="00943853">
              <w:rPr>
                <w:spacing w:val="-4"/>
              </w:rPr>
              <w:t>o 1,</w:t>
            </w:r>
            <w:r>
              <w:rPr>
                <w:spacing w:val="-4"/>
              </w:rPr>
              <w:t>1</w:t>
            </w:r>
            <w:r w:rsidRPr="00943853">
              <w:rPr>
                <w:spacing w:val="-4"/>
              </w:rPr>
              <w:t xml:space="preserve"> %</w:t>
            </w:r>
            <w:r>
              <w:rPr>
                <w:spacing w:val="-4"/>
              </w:rPr>
              <w:t>)</w:t>
            </w:r>
            <w:r w:rsidRPr="00943853">
              <w:rPr>
                <w:spacing w:val="-4"/>
              </w:rPr>
              <w:t>. Stejně jako v loňském roce docházelo při růstu cen stavebních prací ke snižování nákladů stavební výroby (v prvním čtvrtletí 2016 o 1,4 %, v</w:t>
            </w:r>
            <w:r>
              <w:rPr>
                <w:spacing w:val="-4"/>
              </w:rPr>
              <w:t>e</w:t>
            </w:r>
            <w:r w:rsidRPr="00943853">
              <w:rPr>
                <w:spacing w:val="-4"/>
              </w:rPr>
              <w:t> </w:t>
            </w:r>
            <w:r>
              <w:rPr>
                <w:spacing w:val="-4"/>
              </w:rPr>
              <w:t>2. čtvrtletí</w:t>
            </w:r>
            <w:r w:rsidR="00FA1992">
              <w:rPr>
                <w:spacing w:val="-4"/>
              </w:rPr>
              <w:t xml:space="preserve"> o 1,0 </w:t>
            </w:r>
            <w:r w:rsidRPr="00943853">
              <w:rPr>
                <w:spacing w:val="-4"/>
              </w:rPr>
              <w:t>%, z toho cen materiálových vstupů v 1. čtvrtletí 2016 o 1,4 % a v</w:t>
            </w:r>
            <w:r>
              <w:rPr>
                <w:spacing w:val="-4"/>
              </w:rPr>
              <w:t>e</w:t>
            </w:r>
            <w:r w:rsidRPr="00943853">
              <w:rPr>
                <w:spacing w:val="-4"/>
              </w:rPr>
              <w:t> </w:t>
            </w:r>
            <w:r>
              <w:rPr>
                <w:spacing w:val="-4"/>
              </w:rPr>
              <w:t>2. čtvrtletí</w:t>
            </w:r>
            <w:r w:rsidRPr="00943853">
              <w:rPr>
                <w:spacing w:val="-4"/>
              </w:rPr>
              <w:t xml:space="preserve"> dokonce o 2,0 %</w:t>
            </w:r>
            <w:r>
              <w:rPr>
                <w:spacing w:val="-4"/>
              </w:rPr>
              <w:t>)</w:t>
            </w:r>
            <w:r w:rsidRPr="00943853">
              <w:rPr>
                <w:spacing w:val="-4"/>
              </w:rPr>
              <w:t>.</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lastRenderedPageBreak/>
              <w:t xml:space="preserve">Ceny tržních služeb </w:t>
            </w:r>
            <w:r>
              <w:rPr>
                <w:sz w:val="16"/>
                <w:szCs w:val="16"/>
              </w:rPr>
              <w:t>pro podnikatelskou sféru dlouhodobě stagnují</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 xml:space="preserve">Ceny tržních služeb v podnikatelské sféře procházejí již od počátku roku 2015 stagnací. Meziročně se oproti stejnému období předchozího roku v 1. čtvrtletí 2016 snížily o 0,1 % a ve </w:t>
            </w:r>
            <w:r>
              <w:rPr>
                <w:spacing w:val="-4"/>
              </w:rPr>
              <w:t>2. čtvrtletí</w:t>
            </w:r>
            <w:r w:rsidRPr="00943853">
              <w:rPr>
                <w:spacing w:val="-4"/>
              </w:rPr>
              <w:t xml:space="preserve"> stagnovaly (bez zahrnutí silně sezónních cen reklamních služeb). Vyšší byly ve 2. čtvrtletí ceny za poštovní a kurýrní služby </w:t>
            </w:r>
            <w:r>
              <w:rPr>
                <w:spacing w:val="-4"/>
              </w:rPr>
              <w:t>(</w:t>
            </w:r>
            <w:r w:rsidR="00FA1992">
              <w:rPr>
                <w:spacing w:val="-4"/>
              </w:rPr>
              <w:t>o 3,7 </w:t>
            </w:r>
            <w:r w:rsidRPr="00943853">
              <w:rPr>
                <w:spacing w:val="-4"/>
              </w:rPr>
              <w:t>%</w:t>
            </w:r>
            <w:r>
              <w:rPr>
                <w:spacing w:val="-4"/>
              </w:rPr>
              <w:t>)</w:t>
            </w:r>
            <w:r w:rsidRPr="00943853">
              <w:rPr>
                <w:spacing w:val="-4"/>
              </w:rPr>
              <w:t xml:space="preserve">, za reklamní služby a průzkum trhu </w:t>
            </w:r>
            <w:r>
              <w:rPr>
                <w:spacing w:val="-4"/>
              </w:rPr>
              <w:t>(</w:t>
            </w:r>
            <w:r w:rsidRPr="00943853">
              <w:rPr>
                <w:spacing w:val="-4"/>
              </w:rPr>
              <w:t>o 2,0 %</w:t>
            </w:r>
            <w:r>
              <w:rPr>
                <w:spacing w:val="-4"/>
              </w:rPr>
              <w:t>) a za </w:t>
            </w:r>
            <w:r w:rsidRPr="00943853">
              <w:rPr>
                <w:spacing w:val="-4"/>
              </w:rPr>
              <w:t>a</w:t>
            </w:r>
            <w:r w:rsidR="00FA1992">
              <w:rPr>
                <w:spacing w:val="-4"/>
              </w:rPr>
              <w:t>rchitektonické a </w:t>
            </w:r>
            <w:r w:rsidRPr="00943853">
              <w:rPr>
                <w:spacing w:val="-4"/>
              </w:rPr>
              <w:t xml:space="preserve">inženýrské služby </w:t>
            </w:r>
            <w:r>
              <w:rPr>
                <w:spacing w:val="-4"/>
              </w:rPr>
              <w:t>(</w:t>
            </w:r>
            <w:r w:rsidRPr="00943853">
              <w:rPr>
                <w:spacing w:val="-4"/>
              </w:rPr>
              <w:t>o 1,7 %</w:t>
            </w:r>
            <w:r>
              <w:rPr>
                <w:spacing w:val="-4"/>
              </w:rPr>
              <w:t>,</w:t>
            </w:r>
            <w:r w:rsidRPr="00943853">
              <w:rPr>
                <w:spacing w:val="-4"/>
              </w:rPr>
              <w:t xml:space="preserve"> avšak v 1. čtvrtletí 3,3 %). Snížily se ceny za neživotní pojištění </w:t>
            </w:r>
            <w:r>
              <w:rPr>
                <w:spacing w:val="-4"/>
              </w:rPr>
              <w:t>(</w:t>
            </w:r>
            <w:r w:rsidRPr="00943853">
              <w:rPr>
                <w:spacing w:val="-4"/>
              </w:rPr>
              <w:t>o 4,4 %</w:t>
            </w:r>
            <w:r>
              <w:rPr>
                <w:spacing w:val="-4"/>
              </w:rPr>
              <w:t>)</w:t>
            </w:r>
            <w:r w:rsidRPr="00943853">
              <w:rPr>
                <w:spacing w:val="-4"/>
              </w:rPr>
              <w:t>,</w:t>
            </w:r>
            <w:r>
              <w:rPr>
                <w:spacing w:val="-4"/>
              </w:rPr>
              <w:t xml:space="preserve"> za služby v oblasti pronájmu a </w:t>
            </w:r>
            <w:r w:rsidRPr="00943853">
              <w:rPr>
                <w:spacing w:val="-4"/>
              </w:rPr>
              <w:t xml:space="preserve">operativního leasingu </w:t>
            </w:r>
            <w:r>
              <w:rPr>
                <w:spacing w:val="-4"/>
              </w:rPr>
              <w:t>(</w:t>
            </w:r>
            <w:r w:rsidRPr="00943853">
              <w:rPr>
                <w:spacing w:val="-4"/>
              </w:rPr>
              <w:t>o 2,0 %</w:t>
            </w:r>
            <w:r>
              <w:rPr>
                <w:spacing w:val="-4"/>
              </w:rPr>
              <w:t>)</w:t>
            </w:r>
            <w:r w:rsidR="00FA1992">
              <w:rPr>
                <w:spacing w:val="-4"/>
              </w:rPr>
              <w:t xml:space="preserve"> a </w:t>
            </w:r>
            <w:r w:rsidRPr="00943853">
              <w:rPr>
                <w:spacing w:val="-4"/>
              </w:rPr>
              <w:t>vlivem snížen</w:t>
            </w:r>
            <w:r>
              <w:rPr>
                <w:spacing w:val="-4"/>
              </w:rPr>
              <w:t>í železniční nákladní dopravy o </w:t>
            </w:r>
            <w:r w:rsidRPr="00943853">
              <w:rPr>
                <w:spacing w:val="-4"/>
              </w:rPr>
              <w:t>9,1</w:t>
            </w:r>
            <w:r w:rsidR="00AE7B2B">
              <w:rPr>
                <w:spacing w:val="-4"/>
              </w:rPr>
              <w:t xml:space="preserve"> </w:t>
            </w:r>
            <w:r w:rsidRPr="00943853">
              <w:rPr>
                <w:spacing w:val="-4"/>
              </w:rPr>
              <w:t>%</w:t>
            </w:r>
            <w:r>
              <w:rPr>
                <w:spacing w:val="-4"/>
              </w:rPr>
              <w:t xml:space="preserve"> </w:t>
            </w:r>
            <w:r w:rsidRPr="00943853">
              <w:rPr>
                <w:spacing w:val="-4"/>
              </w:rPr>
              <w:t xml:space="preserve">v pozemní dopravě </w:t>
            </w:r>
            <w:r>
              <w:rPr>
                <w:spacing w:val="-4"/>
              </w:rPr>
              <w:t>(</w:t>
            </w:r>
            <w:r w:rsidRPr="00943853">
              <w:rPr>
                <w:spacing w:val="-4"/>
              </w:rPr>
              <w:t>o 0,8 %</w:t>
            </w:r>
            <w:r>
              <w:rPr>
                <w:spacing w:val="-4"/>
              </w:rPr>
              <w:t>)</w:t>
            </w:r>
            <w:r w:rsidRPr="00943853">
              <w:rPr>
                <w:spacing w:val="-4"/>
              </w:rPr>
              <w:t>.</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Meziroční kurzový vývoj české koruny působil v 1. </w:t>
            </w:r>
            <w:r>
              <w:rPr>
                <w:sz w:val="16"/>
                <w:szCs w:val="16"/>
              </w:rPr>
              <w:t>polovině roku</w:t>
            </w:r>
            <w:r w:rsidRPr="003F0327">
              <w:rPr>
                <w:sz w:val="16"/>
                <w:szCs w:val="16"/>
              </w:rPr>
              <w:t xml:space="preserve"> 2016 ve směru poklesu cen </w:t>
            </w:r>
            <w:r>
              <w:rPr>
                <w:sz w:val="16"/>
                <w:szCs w:val="16"/>
              </w:rPr>
              <w:t>zahraničního obchodu</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Vůči euru posílila česká koruna meziročně v </w:t>
            </w:r>
            <w:r>
              <w:rPr>
                <w:spacing w:val="-4"/>
              </w:rPr>
              <w:t>1.</w:t>
            </w:r>
            <w:r w:rsidRPr="00943853">
              <w:rPr>
                <w:spacing w:val="-4"/>
              </w:rPr>
              <w:t xml:space="preserve"> čtvrtletí 2016 o 2,2 %, ve d</w:t>
            </w:r>
            <w:r w:rsidR="00AE7B2B">
              <w:rPr>
                <w:spacing w:val="-4"/>
              </w:rPr>
              <w:t>ruhém o 1,3 </w:t>
            </w:r>
            <w:r w:rsidRPr="00943853">
              <w:rPr>
                <w:spacing w:val="-4"/>
              </w:rPr>
              <w:t>%</w:t>
            </w:r>
            <w:r>
              <w:rPr>
                <w:spacing w:val="-4"/>
              </w:rPr>
              <w:t>.</w:t>
            </w:r>
            <w:r w:rsidRPr="00943853">
              <w:rPr>
                <w:spacing w:val="-4"/>
              </w:rPr>
              <w:t xml:space="preserve"> Vůči americkému dolaru zůstal</w:t>
            </w:r>
            <w:r>
              <w:rPr>
                <w:spacing w:val="-4"/>
              </w:rPr>
              <w:t>a</w:t>
            </w:r>
            <w:r w:rsidRPr="00943853">
              <w:rPr>
                <w:spacing w:val="-4"/>
              </w:rPr>
              <w:t xml:space="preserve"> v průměru za </w:t>
            </w:r>
            <w:r>
              <w:rPr>
                <w:spacing w:val="-4"/>
              </w:rPr>
              <w:t>1.</w:t>
            </w:r>
            <w:r w:rsidRPr="00943853">
              <w:rPr>
                <w:spacing w:val="-4"/>
              </w:rPr>
              <w:t xml:space="preserve"> čtvrtletí na stejné hladině jako před rokem, ve </w:t>
            </w:r>
            <w:r>
              <w:rPr>
                <w:spacing w:val="-4"/>
              </w:rPr>
              <w:t>2. čtvrtletí</w:t>
            </w:r>
            <w:r w:rsidRPr="00943853">
              <w:rPr>
                <w:spacing w:val="-4"/>
              </w:rPr>
              <w:t xml:space="preserve"> však koruna posílila o 3,6 %.</w:t>
            </w:r>
            <w:r>
              <w:rPr>
                <w:spacing w:val="-4"/>
              </w:rPr>
              <w:t xml:space="preserve"> </w:t>
            </w:r>
            <w:r w:rsidR="00FA1992">
              <w:rPr>
                <w:spacing w:val="-4"/>
              </w:rPr>
              <w:t>Kurzový vývoj tím přispíval k </w:t>
            </w:r>
            <w:r w:rsidRPr="00D96BDF">
              <w:rPr>
                <w:spacing w:val="-4"/>
              </w:rPr>
              <w:t xml:space="preserve">významnému </w:t>
            </w:r>
            <w:r w:rsidRPr="00943853">
              <w:rPr>
                <w:spacing w:val="-4"/>
              </w:rPr>
              <w:t>dovozu deflač</w:t>
            </w:r>
            <w:r>
              <w:rPr>
                <w:spacing w:val="-4"/>
              </w:rPr>
              <w:t>ních trendů do české ekonomiky.</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Ceny vývozu zboží </w:t>
            </w:r>
            <w:r>
              <w:rPr>
                <w:sz w:val="16"/>
                <w:szCs w:val="16"/>
              </w:rPr>
              <w:t xml:space="preserve">byly </w:t>
            </w:r>
            <w:r w:rsidRPr="003F0327">
              <w:rPr>
                <w:sz w:val="16"/>
                <w:szCs w:val="16"/>
              </w:rPr>
              <w:t>nižší o 4,</w:t>
            </w:r>
            <w:r>
              <w:rPr>
                <w:sz w:val="16"/>
                <w:szCs w:val="16"/>
              </w:rPr>
              <w:t>3</w:t>
            </w:r>
            <w:r w:rsidRPr="003F0327">
              <w:rPr>
                <w:sz w:val="16"/>
                <w:szCs w:val="16"/>
              </w:rPr>
              <w:t xml:space="preserve"> %, …</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Ceny vývozu zboží poklesly v 1. čtvrtletí 2016 o 4,2 % meziročně, v</w:t>
            </w:r>
            <w:r>
              <w:rPr>
                <w:spacing w:val="-4"/>
              </w:rPr>
              <w:t>e</w:t>
            </w:r>
            <w:r w:rsidRPr="00943853">
              <w:rPr>
                <w:spacing w:val="-4"/>
              </w:rPr>
              <w:t xml:space="preserve"> 2. čtvrtletí </w:t>
            </w:r>
            <w:r>
              <w:rPr>
                <w:spacing w:val="-4"/>
              </w:rPr>
              <w:br/>
            </w:r>
            <w:r w:rsidRPr="00943853">
              <w:rPr>
                <w:spacing w:val="-4"/>
              </w:rPr>
              <w:t>o 4,3 %, nejvýrazněji od prvních tří měsíců roku 201</w:t>
            </w:r>
            <w:r w:rsidR="00FA1992">
              <w:rPr>
                <w:spacing w:val="-4"/>
              </w:rPr>
              <w:t>0. Z významnějších skupin ve 2. </w:t>
            </w:r>
            <w:r w:rsidRPr="00943853">
              <w:rPr>
                <w:spacing w:val="-4"/>
              </w:rPr>
              <w:t xml:space="preserve">čtvrtletí nejvíce klesaly ceny minerálních paliv </w:t>
            </w:r>
            <w:r>
              <w:rPr>
                <w:spacing w:val="-4"/>
              </w:rPr>
              <w:t>(</w:t>
            </w:r>
            <w:r w:rsidRPr="00943853">
              <w:rPr>
                <w:spacing w:val="-4"/>
              </w:rPr>
              <w:t>o 17,3 %</w:t>
            </w:r>
            <w:r>
              <w:rPr>
                <w:spacing w:val="-4"/>
              </w:rPr>
              <w:t>,</w:t>
            </w:r>
            <w:r w:rsidR="00FA1992">
              <w:rPr>
                <w:spacing w:val="-4"/>
              </w:rPr>
              <w:t xml:space="preserve"> v prvním dokonce o 19 </w:t>
            </w:r>
            <w:r w:rsidRPr="00943853">
              <w:rPr>
                <w:spacing w:val="-4"/>
              </w:rPr>
              <w:t xml:space="preserve">%), ostatních surovin </w:t>
            </w:r>
            <w:r>
              <w:rPr>
                <w:spacing w:val="-4"/>
              </w:rPr>
              <w:t>(</w:t>
            </w:r>
            <w:r w:rsidRPr="00943853">
              <w:rPr>
                <w:spacing w:val="-4"/>
              </w:rPr>
              <w:t>o 12,2 %</w:t>
            </w:r>
            <w:r>
              <w:rPr>
                <w:spacing w:val="-4"/>
              </w:rPr>
              <w:t>)</w:t>
            </w:r>
            <w:r w:rsidRPr="00943853">
              <w:rPr>
                <w:spacing w:val="-4"/>
              </w:rPr>
              <w:t xml:space="preserve">, polotovarů </w:t>
            </w:r>
            <w:r>
              <w:rPr>
                <w:spacing w:val="-4"/>
              </w:rPr>
              <w:t>(</w:t>
            </w:r>
            <w:r w:rsidRPr="00943853">
              <w:rPr>
                <w:spacing w:val="-4"/>
              </w:rPr>
              <w:t>o 5,5 %</w:t>
            </w:r>
            <w:r>
              <w:rPr>
                <w:spacing w:val="-4"/>
              </w:rPr>
              <w:t>)</w:t>
            </w:r>
            <w:r w:rsidRPr="00943853">
              <w:rPr>
                <w:spacing w:val="-4"/>
              </w:rPr>
              <w:t xml:space="preserve"> a strojů a dopravních prostředků </w:t>
            </w:r>
            <w:r>
              <w:rPr>
                <w:spacing w:val="-4"/>
              </w:rPr>
              <w:t>(</w:t>
            </w:r>
            <w:r w:rsidRPr="00943853">
              <w:rPr>
                <w:spacing w:val="-4"/>
              </w:rPr>
              <w:t>o 2,5 %</w:t>
            </w:r>
            <w:r>
              <w:rPr>
                <w:spacing w:val="-4"/>
              </w:rPr>
              <w:t>)</w:t>
            </w:r>
            <w:r w:rsidRPr="00943853">
              <w:rPr>
                <w:spacing w:val="-4"/>
              </w:rPr>
              <w:t xml:space="preserve">. Rostly zejména ceny nápojů a tabáku </w:t>
            </w:r>
            <w:r>
              <w:rPr>
                <w:spacing w:val="-4"/>
              </w:rPr>
              <w:t>(</w:t>
            </w:r>
            <w:r w:rsidRPr="00943853">
              <w:rPr>
                <w:spacing w:val="-4"/>
              </w:rPr>
              <w:t>o 2,4 %</w:t>
            </w:r>
            <w:r>
              <w:rPr>
                <w:spacing w:val="-4"/>
              </w:rPr>
              <w:t>)</w:t>
            </w:r>
            <w:r w:rsidRPr="00943853">
              <w:rPr>
                <w:spacing w:val="-4"/>
              </w:rPr>
              <w:t>.</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…dovozní ceny se propadly dokonce o </w:t>
            </w:r>
            <w:r>
              <w:rPr>
                <w:sz w:val="16"/>
                <w:szCs w:val="16"/>
              </w:rPr>
              <w:t>6</w:t>
            </w:r>
            <w:r w:rsidRPr="003F0327">
              <w:rPr>
                <w:sz w:val="16"/>
                <w:szCs w:val="16"/>
              </w:rPr>
              <w:t>,</w:t>
            </w:r>
            <w:r>
              <w:rPr>
                <w:sz w:val="16"/>
                <w:szCs w:val="16"/>
              </w:rPr>
              <w:t>3</w:t>
            </w:r>
            <w:r w:rsidRPr="003F0327">
              <w:rPr>
                <w:sz w:val="16"/>
                <w:szCs w:val="16"/>
              </w:rPr>
              <w:t> %</w:t>
            </w:r>
            <w:r>
              <w:rPr>
                <w:sz w:val="16"/>
                <w:szCs w:val="16"/>
              </w:rPr>
              <w:t>. V prvním případě se jednalo o </w:t>
            </w:r>
            <w:r w:rsidRPr="003F0327">
              <w:rPr>
                <w:sz w:val="16"/>
                <w:szCs w:val="16"/>
              </w:rPr>
              <w:t xml:space="preserve">nejsilnější pokles cen za posledních šest </w:t>
            </w:r>
            <w:r>
              <w:rPr>
                <w:sz w:val="16"/>
                <w:szCs w:val="16"/>
              </w:rPr>
              <w:t>let, ve </w:t>
            </w:r>
            <w:r w:rsidRPr="003F0327">
              <w:rPr>
                <w:sz w:val="16"/>
                <w:szCs w:val="16"/>
              </w:rPr>
              <w:t xml:space="preserve">druhém za šest </w:t>
            </w:r>
            <w:r>
              <w:rPr>
                <w:sz w:val="16"/>
                <w:szCs w:val="16"/>
              </w:rPr>
              <w:t>a půl roku</w:t>
            </w:r>
          </w:p>
        </w:tc>
        <w:tc>
          <w:tcPr>
            <w:tcW w:w="143" w:type="pct"/>
          </w:tcPr>
          <w:p w:rsidR="000C1106" w:rsidRPr="00103124" w:rsidRDefault="000C1106" w:rsidP="00AF5D62">
            <w:pPr>
              <w:pStyle w:val="Textpoznpodarou"/>
              <w:jc w:val="both"/>
            </w:pPr>
          </w:p>
        </w:tc>
        <w:tc>
          <w:tcPr>
            <w:tcW w:w="3803" w:type="pct"/>
          </w:tcPr>
          <w:p w:rsidR="000C1106" w:rsidRPr="00943853" w:rsidRDefault="000C1106" w:rsidP="00AF5D62">
            <w:pPr>
              <w:pStyle w:val="Textpoznpodarou"/>
              <w:jc w:val="both"/>
              <w:rPr>
                <w:spacing w:val="-4"/>
              </w:rPr>
            </w:pPr>
            <w:r w:rsidRPr="00943853">
              <w:rPr>
                <w:spacing w:val="-4"/>
              </w:rPr>
              <w:t>Dovozní ceny zboží se propadly podle dat z prvních tří měsíců roku 2016 proti stejnému období loňského roku o 5,6 %, v následuj</w:t>
            </w:r>
            <w:r w:rsidR="00FA1992">
              <w:rPr>
                <w:spacing w:val="-4"/>
              </w:rPr>
              <w:t>ícím druhém čtvrtletí dokonce o </w:t>
            </w:r>
            <w:r w:rsidRPr="00943853">
              <w:rPr>
                <w:spacing w:val="-4"/>
              </w:rPr>
              <w:t>6,3 %. Šlo o nejhlubší pokles cen dovozu od </w:t>
            </w:r>
            <w:r>
              <w:rPr>
                <w:spacing w:val="-4"/>
              </w:rPr>
              <w:t>3.</w:t>
            </w:r>
            <w:r w:rsidRPr="00943853">
              <w:rPr>
                <w:spacing w:val="-4"/>
              </w:rPr>
              <w:t xml:space="preserve"> čtvrtletí 2009. Za nižší ceny se do České republiky dovážela minerální paliva (jejich ceny klesly meziročně v obou čtvrtletích téměř o třetinu) a rovněž všechny další komodity tříděné podle nomenklatury SITC (kromě živočišných a rostlinných olejů v</w:t>
            </w:r>
            <w:r>
              <w:rPr>
                <w:spacing w:val="-4"/>
              </w:rPr>
              <w:t> 1.</w:t>
            </w:r>
            <w:r w:rsidRPr="00943853">
              <w:rPr>
                <w:spacing w:val="-4"/>
              </w:rPr>
              <w:t xml:space="preserve"> čtvrtletí). </w:t>
            </w:r>
            <w:r>
              <w:rPr>
                <w:spacing w:val="-4"/>
              </w:rPr>
              <w:br/>
              <w:t xml:space="preserve">K </w:t>
            </w:r>
            <w:r w:rsidRPr="00943853">
              <w:rPr>
                <w:spacing w:val="-4"/>
              </w:rPr>
              <w:t>propadu meziročního indexu cen dovozu v</w:t>
            </w:r>
            <w:r>
              <w:rPr>
                <w:spacing w:val="-4"/>
              </w:rPr>
              <w:t>e 2.</w:t>
            </w:r>
            <w:r w:rsidRPr="00943853">
              <w:rPr>
                <w:spacing w:val="-4"/>
              </w:rPr>
              <w:t xml:space="preserve"> čtvrtletí </w:t>
            </w:r>
            <w:r>
              <w:rPr>
                <w:spacing w:val="-4"/>
              </w:rPr>
              <w:t>významně přispěl také</w:t>
            </w:r>
            <w:r w:rsidRPr="00943853">
              <w:rPr>
                <w:spacing w:val="-4"/>
              </w:rPr>
              <w:t xml:space="preserve"> pok</w:t>
            </w:r>
            <w:r>
              <w:rPr>
                <w:spacing w:val="-4"/>
              </w:rPr>
              <w:t>les</w:t>
            </w:r>
            <w:r w:rsidRPr="00943853">
              <w:rPr>
                <w:spacing w:val="-4"/>
              </w:rPr>
              <w:t xml:space="preserve"> meziročního indexu cen strojů </w:t>
            </w:r>
            <w:r w:rsidRPr="00103124">
              <w:rPr>
                <w:spacing w:val="-4"/>
              </w:rPr>
              <w:t>a dopravních prostředků</w:t>
            </w:r>
            <w:r>
              <w:rPr>
                <w:spacing w:val="-4"/>
              </w:rPr>
              <w:t>.</w:t>
            </w:r>
          </w:p>
          <w:p w:rsidR="000C1106" w:rsidRPr="0033229B" w:rsidRDefault="000C1106" w:rsidP="00AF5D62">
            <w:pPr>
              <w:pStyle w:val="Textpoznpodarou"/>
              <w:jc w:val="both"/>
              <w:rPr>
                <w:spacing w:val="-4"/>
                <w:sz w:val="14"/>
                <w:szCs w:val="14"/>
              </w:rPr>
            </w:pPr>
          </w:p>
        </w:tc>
      </w:tr>
      <w:tr w:rsidR="000C1106" w:rsidRPr="00103124" w:rsidTr="00AF5D62">
        <w:tc>
          <w:tcPr>
            <w:tcW w:w="1054" w:type="pct"/>
          </w:tcPr>
          <w:p w:rsidR="000C1106" w:rsidRPr="003F0327" w:rsidRDefault="000C1106" w:rsidP="00AF5D62">
            <w:pPr>
              <w:spacing w:line="240" w:lineRule="auto"/>
              <w:rPr>
                <w:sz w:val="16"/>
                <w:szCs w:val="16"/>
              </w:rPr>
            </w:pPr>
            <w:r w:rsidRPr="003F0327">
              <w:rPr>
                <w:sz w:val="16"/>
                <w:szCs w:val="16"/>
              </w:rPr>
              <w:t xml:space="preserve">Směnné relace v zahraničním obchodě se zbožím </w:t>
            </w:r>
            <w:r>
              <w:rPr>
                <w:sz w:val="16"/>
                <w:szCs w:val="16"/>
              </w:rPr>
              <w:t>zůst</w:t>
            </w:r>
            <w:r w:rsidRPr="003F0327">
              <w:rPr>
                <w:sz w:val="16"/>
                <w:szCs w:val="16"/>
              </w:rPr>
              <w:t xml:space="preserve">aly </w:t>
            </w:r>
            <w:r>
              <w:rPr>
                <w:sz w:val="16"/>
                <w:szCs w:val="16"/>
              </w:rPr>
              <w:t>v první polovině roku 2016</w:t>
            </w:r>
            <w:r w:rsidRPr="003F0327">
              <w:rPr>
                <w:sz w:val="16"/>
                <w:szCs w:val="16"/>
              </w:rPr>
              <w:t xml:space="preserve"> pozitivní</w:t>
            </w:r>
          </w:p>
        </w:tc>
        <w:tc>
          <w:tcPr>
            <w:tcW w:w="143" w:type="pct"/>
          </w:tcPr>
          <w:p w:rsidR="000C1106" w:rsidRPr="00103124" w:rsidRDefault="000C1106" w:rsidP="00AF5D62">
            <w:pPr>
              <w:pStyle w:val="Textpoznpodarou"/>
              <w:jc w:val="both"/>
            </w:pPr>
          </w:p>
        </w:tc>
        <w:tc>
          <w:tcPr>
            <w:tcW w:w="3803" w:type="pct"/>
          </w:tcPr>
          <w:p w:rsidR="000C1106" w:rsidRDefault="000C1106" w:rsidP="00AF5D62">
            <w:pPr>
              <w:pStyle w:val="Textpoznpodarou"/>
              <w:jc w:val="both"/>
              <w:rPr>
                <w:spacing w:val="-4"/>
              </w:rPr>
            </w:pPr>
            <w:r w:rsidRPr="00943853">
              <w:rPr>
                <w:spacing w:val="-4"/>
              </w:rPr>
              <w:t xml:space="preserve">Silnější meziroční snížení cen dovozu zboží v porovnání s poklesem cen vývozu se odrazilo v pozitivních směnných relacích. </w:t>
            </w:r>
            <w:r>
              <w:rPr>
                <w:spacing w:val="-4"/>
              </w:rPr>
              <w:t>V 1.</w:t>
            </w:r>
            <w:r w:rsidRPr="00943853">
              <w:rPr>
                <w:spacing w:val="-4"/>
              </w:rPr>
              <w:t xml:space="preserve"> čtvrtletí </w:t>
            </w:r>
            <w:r>
              <w:rPr>
                <w:spacing w:val="-4"/>
              </w:rPr>
              <w:t>dosáhly hodnoty 101,5 </w:t>
            </w:r>
            <w:r w:rsidRPr="00943853">
              <w:rPr>
                <w:spacing w:val="-4"/>
              </w:rPr>
              <w:t>%, ve druhém vzrostly na 102,1 %</w:t>
            </w:r>
            <w:r>
              <w:rPr>
                <w:spacing w:val="-4"/>
              </w:rPr>
              <w:t>,</w:t>
            </w:r>
            <w:r w:rsidRPr="00943853">
              <w:rPr>
                <w:spacing w:val="-4"/>
              </w:rPr>
              <w:t xml:space="preserve"> </w:t>
            </w:r>
            <w:r w:rsidRPr="006411D8">
              <w:rPr>
                <w:spacing w:val="-4"/>
              </w:rPr>
              <w:t xml:space="preserve">a v kladném pásmu se tak </w:t>
            </w:r>
            <w:proofErr w:type="gramStart"/>
            <w:r w:rsidRPr="006411D8">
              <w:rPr>
                <w:spacing w:val="-4"/>
              </w:rPr>
              <w:t>pohybovaly</w:t>
            </w:r>
            <w:proofErr w:type="gramEnd"/>
            <w:r w:rsidRPr="006411D8">
              <w:rPr>
                <w:spacing w:val="-4"/>
              </w:rPr>
              <w:t xml:space="preserve"> již třetí čtvrtletí</w:t>
            </w:r>
            <w:r>
              <w:rPr>
                <w:spacing w:val="-4"/>
              </w:rPr>
              <w:t xml:space="preserve"> za sebou</w:t>
            </w:r>
            <w:r w:rsidRPr="00943853">
              <w:rPr>
                <w:spacing w:val="-4"/>
              </w:rPr>
              <w:t xml:space="preserve">. Na kladné směnné relace měl vliv zejména obchod </w:t>
            </w:r>
            <w:r>
              <w:rPr>
                <w:spacing w:val="-4"/>
              </w:rPr>
              <w:t>s </w:t>
            </w:r>
            <w:r w:rsidRPr="00943853">
              <w:rPr>
                <w:spacing w:val="-4"/>
              </w:rPr>
              <w:t>minerálními palivy. Při meziročně stabilním kurzu koruny by směnné relace v</w:t>
            </w:r>
            <w:r>
              <w:rPr>
                <w:spacing w:val="-4"/>
              </w:rPr>
              <w:t> 1. </w:t>
            </w:r>
            <w:r w:rsidRPr="00943853">
              <w:rPr>
                <w:spacing w:val="-4"/>
              </w:rPr>
              <w:t xml:space="preserve">čtvrtletí byly mírně vyšší (101,8 %), ve </w:t>
            </w:r>
            <w:r>
              <w:rPr>
                <w:spacing w:val="-4"/>
              </w:rPr>
              <w:t>2. čtvrtletí</w:t>
            </w:r>
            <w:r w:rsidRPr="00943853">
              <w:rPr>
                <w:spacing w:val="-4"/>
              </w:rPr>
              <w:t xml:space="preserve"> meziroční kurzové změny neměly na velikost směnných relací vliv (102,1 %).</w:t>
            </w:r>
          </w:p>
          <w:p w:rsidR="000C1106" w:rsidRPr="0033229B" w:rsidRDefault="000C1106" w:rsidP="00AF5D62">
            <w:pPr>
              <w:pStyle w:val="Textpoznpodarou"/>
              <w:jc w:val="both"/>
              <w:rPr>
                <w:spacing w:val="-4"/>
                <w:sz w:val="14"/>
                <w:szCs w:val="14"/>
              </w:rPr>
            </w:pPr>
          </w:p>
        </w:tc>
      </w:tr>
    </w:tbl>
    <w:p w:rsidR="0033229B" w:rsidRPr="00C11DAF" w:rsidRDefault="0033229B" w:rsidP="0033229B">
      <w:pPr>
        <w:rPr>
          <w:sz w:val="18"/>
          <w:szCs w:val="18"/>
        </w:rPr>
      </w:pPr>
    </w:p>
    <w:tbl>
      <w:tblPr>
        <w:tblW w:w="5000" w:type="pct"/>
        <w:tblLook w:val="04A0"/>
      </w:tblPr>
      <w:tblGrid>
        <w:gridCol w:w="1104"/>
        <w:gridCol w:w="3823"/>
        <w:gridCol w:w="1135"/>
        <w:gridCol w:w="3792"/>
      </w:tblGrid>
      <w:tr w:rsidR="0033229B" w:rsidRPr="00103124" w:rsidTr="00AF5D62">
        <w:tc>
          <w:tcPr>
            <w:tcW w:w="560" w:type="pct"/>
          </w:tcPr>
          <w:p w:rsidR="0033229B" w:rsidRPr="00103124" w:rsidRDefault="0033229B" w:rsidP="00AF5D62">
            <w:pPr>
              <w:pStyle w:val="Textpoznpodarou"/>
            </w:pPr>
            <w:r w:rsidRPr="00103124">
              <w:t>Graf č. 11</w:t>
            </w:r>
          </w:p>
        </w:tc>
        <w:tc>
          <w:tcPr>
            <w:tcW w:w="1940" w:type="pct"/>
          </w:tcPr>
          <w:p w:rsidR="0033229B" w:rsidRPr="00103124" w:rsidRDefault="0033229B" w:rsidP="00AF5D62">
            <w:pPr>
              <w:pStyle w:val="Textpoznpodarou"/>
            </w:pPr>
            <w:r w:rsidRPr="00103124">
              <w:rPr>
                <w:b/>
              </w:rPr>
              <w:t>Spotřebitelské ceny jednotlivých typů domácností</w:t>
            </w:r>
            <w:r w:rsidRPr="00103124">
              <w:t xml:space="preserve"> (y/y v %)</w:t>
            </w:r>
          </w:p>
        </w:tc>
        <w:tc>
          <w:tcPr>
            <w:tcW w:w="576" w:type="pct"/>
          </w:tcPr>
          <w:p w:rsidR="0033229B" w:rsidRPr="00103124" w:rsidRDefault="0033229B" w:rsidP="00AF5D62">
            <w:pPr>
              <w:pStyle w:val="Textpoznpodarou"/>
            </w:pPr>
            <w:r w:rsidRPr="00103124">
              <w:t>Graf č. 12</w:t>
            </w:r>
          </w:p>
        </w:tc>
        <w:tc>
          <w:tcPr>
            <w:tcW w:w="1924" w:type="pct"/>
          </w:tcPr>
          <w:p w:rsidR="0033229B" w:rsidRPr="00103124" w:rsidRDefault="0033229B" w:rsidP="00AF5D62">
            <w:pPr>
              <w:pStyle w:val="Textpoznpodarou"/>
            </w:pPr>
            <w:r w:rsidRPr="00103124">
              <w:rPr>
                <w:b/>
              </w:rPr>
              <w:t>Ceny ve vybraných oddílech indexu spotřebitelských cen</w:t>
            </w:r>
            <w:r w:rsidRPr="00103124">
              <w:t xml:space="preserve"> (y/y </w:t>
            </w:r>
            <w:r>
              <w:br/>
            </w:r>
            <w:r w:rsidRPr="00103124">
              <w:t>v %)</w:t>
            </w:r>
          </w:p>
        </w:tc>
      </w:tr>
      <w:tr w:rsidR="0033229B" w:rsidRPr="00103124" w:rsidTr="00AF5D62">
        <w:tc>
          <w:tcPr>
            <w:tcW w:w="2499" w:type="pct"/>
            <w:gridSpan w:val="2"/>
          </w:tcPr>
          <w:p w:rsidR="0033229B" w:rsidRPr="00103124" w:rsidRDefault="00CE797F" w:rsidP="00AF5D62">
            <w:pPr>
              <w:pStyle w:val="Textpoznpodarou"/>
              <w:jc w:val="both"/>
            </w:pPr>
            <w:r>
              <w:rPr>
                <w:noProof/>
              </w:rPr>
              <w:pict>
                <v:shape id="_x0000_i1035" type="#_x0000_t75" style="width:228.05pt;height:172.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">
                  <v:imagedata r:id="rId23" o:title="" cropbottom="-35f"/>
                  <o:lock v:ext="edit" aspectratio="f"/>
                </v:shape>
              </w:pict>
            </w:r>
          </w:p>
        </w:tc>
        <w:tc>
          <w:tcPr>
            <w:tcW w:w="2501" w:type="pct"/>
            <w:gridSpan w:val="2"/>
          </w:tcPr>
          <w:p w:rsidR="0033229B" w:rsidRPr="00103124" w:rsidRDefault="00CE797F" w:rsidP="00AF5D62">
            <w:pPr>
              <w:pStyle w:val="Textpoznpodarou"/>
              <w:ind w:left="-108"/>
              <w:jc w:val="both"/>
            </w:pPr>
            <w:r>
              <w:rPr>
                <w:noProof/>
              </w:rPr>
              <w:pict>
                <v:shape id="Graf 2" o:spid="_x0000_i1036" type="#_x0000_t75" style="width:228.5pt;height:172.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">
                  <v:imagedata r:id="rId24" o:title=""/>
                  <o:lock v:ext="edit" aspectratio="f"/>
                </v:shape>
              </w:pict>
            </w:r>
          </w:p>
        </w:tc>
      </w:tr>
      <w:tr w:rsidR="0033229B" w:rsidRPr="00103124" w:rsidTr="00AF5D62">
        <w:tc>
          <w:tcPr>
            <w:tcW w:w="5000" w:type="pct"/>
            <w:gridSpan w:val="4"/>
          </w:tcPr>
          <w:p w:rsidR="0033229B" w:rsidRPr="00103124" w:rsidRDefault="0033229B" w:rsidP="00AF5D62">
            <w:pPr>
              <w:pStyle w:val="Textpoznpodarou"/>
              <w:jc w:val="right"/>
              <w:rPr>
                <w:noProof/>
              </w:rPr>
            </w:pPr>
            <w:r w:rsidRPr="00103124">
              <w:rPr>
                <w:sz w:val="18"/>
                <w:szCs w:val="18"/>
              </w:rPr>
              <w:t>Zdroj: ČSÚ</w:t>
            </w:r>
          </w:p>
        </w:tc>
      </w:tr>
    </w:tbl>
    <w:p w:rsidR="0033229B" w:rsidRPr="00C11DAF" w:rsidRDefault="0033229B" w:rsidP="0033229B">
      <w:pPr>
        <w:rPr>
          <w:sz w:val="16"/>
          <w:szCs w:val="16"/>
        </w:rPr>
      </w:pPr>
    </w:p>
    <w:tbl>
      <w:tblPr>
        <w:tblW w:w="5000" w:type="pct"/>
        <w:tblLook w:val="04A0"/>
      </w:tblPr>
      <w:tblGrid>
        <w:gridCol w:w="818"/>
        <w:gridCol w:w="4247"/>
        <w:gridCol w:w="713"/>
        <w:gridCol w:w="4076"/>
      </w:tblGrid>
      <w:tr w:rsidR="0033229B" w:rsidRPr="00103124" w:rsidTr="004F2A4D">
        <w:tc>
          <w:tcPr>
            <w:tcW w:w="415" w:type="pct"/>
          </w:tcPr>
          <w:p w:rsidR="0033229B" w:rsidRPr="001E73A5" w:rsidRDefault="0033229B" w:rsidP="00AF5D62">
            <w:pPr>
              <w:pStyle w:val="Textpoznpodarou"/>
              <w:rPr>
                <w:lang w:eastAsia="en-US"/>
              </w:rPr>
            </w:pPr>
            <w:r w:rsidRPr="001E73A5">
              <w:rPr>
                <w:lang w:eastAsia="en-US"/>
              </w:rPr>
              <w:lastRenderedPageBreak/>
              <w:t>Graf č. 13</w:t>
            </w:r>
          </w:p>
        </w:tc>
        <w:tc>
          <w:tcPr>
            <w:tcW w:w="2155" w:type="pct"/>
          </w:tcPr>
          <w:p w:rsidR="0033229B" w:rsidRPr="00103124" w:rsidRDefault="0033229B" w:rsidP="00AF5D62">
            <w:pPr>
              <w:pStyle w:val="Textpoznpodarou"/>
              <w:rPr>
                <w:color w:val="FF0000"/>
                <w:lang w:eastAsia="en-US"/>
              </w:rPr>
            </w:pPr>
            <w:r w:rsidRPr="001E73A5">
              <w:rPr>
                <w:b/>
                <w:lang w:eastAsia="en-US"/>
              </w:rPr>
              <w:t>Deflátory</w:t>
            </w:r>
            <w:r w:rsidRPr="001E73A5">
              <w:rPr>
                <w:lang w:eastAsia="en-US"/>
              </w:rPr>
              <w:t xml:space="preserve"> (bez očištění o sezónní a kalendářní vlivy, y/y v %)</w:t>
            </w:r>
          </w:p>
        </w:tc>
        <w:tc>
          <w:tcPr>
            <w:tcW w:w="362" w:type="pct"/>
          </w:tcPr>
          <w:p w:rsidR="0033229B" w:rsidRPr="00103124" w:rsidRDefault="0033229B" w:rsidP="00AF5D62">
            <w:pPr>
              <w:pStyle w:val="Textpoznpodarou"/>
              <w:rPr>
                <w:lang w:eastAsia="en-US"/>
              </w:rPr>
            </w:pPr>
            <w:r w:rsidRPr="00103124">
              <w:rPr>
                <w:lang w:eastAsia="en-US"/>
              </w:rPr>
              <w:t>Graf č. 14</w:t>
            </w:r>
          </w:p>
        </w:tc>
        <w:tc>
          <w:tcPr>
            <w:tcW w:w="2068" w:type="pct"/>
          </w:tcPr>
          <w:p w:rsidR="0033229B" w:rsidRPr="004F2A4D" w:rsidRDefault="0033229B" w:rsidP="00AF5D62">
            <w:pPr>
              <w:pStyle w:val="Textpoznpodarou"/>
              <w:rPr>
                <w:spacing w:val="-3"/>
                <w:lang w:eastAsia="en-US"/>
              </w:rPr>
            </w:pPr>
            <w:r w:rsidRPr="004F2A4D">
              <w:rPr>
                <w:b/>
                <w:spacing w:val="-3"/>
                <w:lang w:eastAsia="en-US"/>
              </w:rPr>
              <w:t>Ceny výrobců</w:t>
            </w:r>
            <w:r w:rsidR="004F2A4D" w:rsidRPr="004F2A4D">
              <w:rPr>
                <w:spacing w:val="-3"/>
                <w:lang w:eastAsia="en-US"/>
              </w:rPr>
              <w:t xml:space="preserve"> (y/y v %, ceny zemědělských </w:t>
            </w:r>
            <w:r w:rsidRPr="004F2A4D">
              <w:rPr>
                <w:spacing w:val="-3"/>
                <w:lang w:eastAsia="en-US"/>
              </w:rPr>
              <w:t>výrobců na pravé ose, ostatní na levé ose)</w:t>
            </w:r>
          </w:p>
        </w:tc>
      </w:tr>
      <w:tr w:rsidR="0033229B" w:rsidRPr="00103124" w:rsidTr="004F2A4D">
        <w:tc>
          <w:tcPr>
            <w:tcW w:w="2570" w:type="pct"/>
            <w:gridSpan w:val="2"/>
          </w:tcPr>
          <w:p w:rsidR="0033229B" w:rsidRPr="00103124" w:rsidRDefault="00CE797F" w:rsidP="00AF5D62">
            <w:pPr>
              <w:pStyle w:val="Textpoznpodarou"/>
              <w:jc w:val="both"/>
              <w:rPr>
                <w:lang w:eastAsia="en-US"/>
              </w:rPr>
            </w:pPr>
            <w:r>
              <w:rPr>
                <w:noProof/>
              </w:rPr>
              <w:pict>
                <v:shape id="_x0000_i1037" type="#_x0000_t75" style="width:238.9pt;height:177.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">
                  <v:imagedata r:id="rId25" o:title=""/>
                  <o:lock v:ext="edit" aspectratio="f"/>
                </v:shape>
              </w:pict>
            </w:r>
          </w:p>
        </w:tc>
        <w:tc>
          <w:tcPr>
            <w:tcW w:w="2430" w:type="pct"/>
            <w:gridSpan w:val="2"/>
          </w:tcPr>
          <w:p w:rsidR="0033229B" w:rsidRPr="00103124" w:rsidRDefault="00CE797F" w:rsidP="00AF5D62">
            <w:pPr>
              <w:pStyle w:val="Textpoznpodarou"/>
              <w:ind w:left="-137" w:hanging="67"/>
              <w:jc w:val="both"/>
              <w:rPr>
                <w:lang w:eastAsia="en-US"/>
              </w:rPr>
            </w:pPr>
            <w:r>
              <w:rPr>
                <w:noProof/>
              </w:rPr>
              <w:pict>
                <v:shape id="Graf 4" o:spid="_x0000_i1038" type="#_x0000_t75" style="width:233.9pt;height:177.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">
                  <v:imagedata r:id="rId26" o:title=""/>
                  <o:lock v:ext="edit" aspectratio="f"/>
                </v:shape>
              </w:pict>
            </w:r>
          </w:p>
        </w:tc>
      </w:tr>
      <w:tr w:rsidR="0033229B" w:rsidRPr="00103124" w:rsidTr="004F2A4D">
        <w:tc>
          <w:tcPr>
            <w:tcW w:w="5000" w:type="pct"/>
            <w:gridSpan w:val="4"/>
          </w:tcPr>
          <w:p w:rsidR="0033229B" w:rsidRPr="00103124" w:rsidRDefault="0033229B" w:rsidP="00AF5D62">
            <w:pPr>
              <w:pStyle w:val="Textpoznpodarou"/>
              <w:jc w:val="right"/>
              <w:rPr>
                <w:sz w:val="18"/>
                <w:szCs w:val="18"/>
                <w:lang w:eastAsia="en-US"/>
              </w:rPr>
            </w:pPr>
            <w:r w:rsidRPr="00103124">
              <w:rPr>
                <w:sz w:val="18"/>
                <w:szCs w:val="18"/>
                <w:lang w:eastAsia="en-US"/>
              </w:rPr>
              <w:t>Zdroj: ČSÚ</w:t>
            </w:r>
          </w:p>
        </w:tc>
      </w:tr>
    </w:tbl>
    <w:p w:rsidR="0033229B" w:rsidRPr="00F2389A" w:rsidRDefault="0033229B" w:rsidP="007C605B">
      <w:pPr>
        <w:rPr>
          <w:sz w:val="16"/>
          <w:szCs w:val="16"/>
        </w:rPr>
      </w:pPr>
    </w:p>
    <w:p w:rsidR="00ED3A94" w:rsidRPr="00C11DAF" w:rsidRDefault="00ED3A94" w:rsidP="007C605B">
      <w:pPr>
        <w:rPr>
          <w:sz w:val="2"/>
          <w:szCs w:val="2"/>
        </w:rPr>
      </w:pPr>
    </w:p>
    <w:p w:rsidR="007D4281" w:rsidRPr="000732DB" w:rsidRDefault="007D4281" w:rsidP="006D142E">
      <w:pPr>
        <w:pStyle w:val="Nadpis1"/>
        <w:numPr>
          <w:ilvl w:val="0"/>
          <w:numId w:val="3"/>
        </w:numPr>
        <w:jc w:val="both"/>
      </w:pPr>
      <w:bookmarkStart w:id="8" w:name="_Toc454185153"/>
      <w:r>
        <w:t>Trh práce</w:t>
      </w:r>
      <w:bookmarkEnd w:id="8"/>
    </w:p>
    <w:tbl>
      <w:tblPr>
        <w:tblW w:w="5000" w:type="pct"/>
        <w:tblCellMar>
          <w:left w:w="28" w:type="dxa"/>
          <w:right w:w="28" w:type="dxa"/>
        </w:tblCellMar>
        <w:tblLook w:val="04A0"/>
      </w:tblPr>
      <w:tblGrid>
        <w:gridCol w:w="2044"/>
        <w:gridCol w:w="275"/>
        <w:gridCol w:w="7375"/>
      </w:tblGrid>
      <w:tr w:rsidR="004F2A4D" w:rsidTr="00AF5D62">
        <w:tc>
          <w:tcPr>
            <w:tcW w:w="1054" w:type="pct"/>
          </w:tcPr>
          <w:p w:rsidR="004F2A4D" w:rsidRPr="00977C13"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Příznivé tendence na trhu práce v průběhu roku 2016 nadále přetrvávaly</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7952FE"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Příznivý vývoj na trhu práce přetrvával i v roce 2016. </w:t>
            </w:r>
            <w:r>
              <w:rPr>
                <w:spacing w:val="-4"/>
              </w:rPr>
              <w:t xml:space="preserve">Tempo růstu </w:t>
            </w:r>
            <w:r>
              <w:rPr>
                <w:rFonts w:cs="Arial"/>
                <w:color w:val="0D0D0D" w:themeColor="text1" w:themeTint="F2"/>
                <w:spacing w:val="-4"/>
              </w:rPr>
              <w:t>zaměstnanosti výrazně zrychlilo, práci mělo nejvíce lidí v historii, zejména díky zpracovatelskému průmyslu. Nezaměstnanost se nadále redukovala, byť již mírnějšími tempy, šance za dobré uplatnění se zvýšila zejména kvalifikovaným manuálním pracovníkům. Problémem na trhu práce zůstává kvalifikační nesoulad mezi nezaměstnanými osobami a volnými pracovními místy a s tím související dlouhodobá nezaměstnanost. Nízká míra nezaměstnanosti doprovázená rostoucím nedostatkem pracovní síly žene mzdy vzhůru. Průměrné mzdy rostly reálně nejvíce od konce roku 2009.</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D439C2" w:rsidRDefault="004F2A4D" w:rsidP="00AF5D62">
            <w:pPr>
              <w:spacing w:line="240" w:lineRule="auto"/>
              <w:rPr>
                <w:rFonts w:cs="Arial"/>
                <w:bCs/>
                <w:iCs/>
                <w:color w:val="0D0D0D" w:themeColor="text1" w:themeTint="F2"/>
                <w:spacing w:val="-4"/>
                <w:sz w:val="16"/>
                <w:szCs w:val="16"/>
              </w:rPr>
            </w:pPr>
            <w:r w:rsidRPr="00977C13">
              <w:rPr>
                <w:rFonts w:cs="Arial"/>
                <w:bCs/>
                <w:iCs/>
                <w:color w:val="0D0D0D" w:themeColor="text1" w:themeTint="F2"/>
                <w:spacing w:val="-4"/>
                <w:sz w:val="16"/>
                <w:szCs w:val="16"/>
              </w:rPr>
              <w:t xml:space="preserve">Zaměstnanost během 1. pololetí akcelerovala, </w:t>
            </w:r>
          </w:p>
          <w:p w:rsidR="004F2A4D" w:rsidRDefault="004F2A4D" w:rsidP="00AF5D62">
            <w:pPr>
              <w:spacing w:line="240" w:lineRule="auto"/>
              <w:rPr>
                <w:rFonts w:cs="Arial"/>
                <w:bCs/>
                <w:iCs/>
                <w:color w:val="0D0D0D" w:themeColor="text1" w:themeTint="F2"/>
                <w:spacing w:val="-4"/>
                <w:sz w:val="16"/>
                <w:szCs w:val="16"/>
              </w:rPr>
            </w:pPr>
            <w:r w:rsidRPr="00977C13">
              <w:rPr>
                <w:rFonts w:cs="Arial"/>
                <w:bCs/>
                <w:iCs/>
                <w:color w:val="0D0D0D" w:themeColor="text1" w:themeTint="F2"/>
                <w:spacing w:val="-4"/>
                <w:sz w:val="16"/>
                <w:szCs w:val="16"/>
              </w:rPr>
              <w:t>práci</w:t>
            </w:r>
            <w:r w:rsidR="00D439C2">
              <w:rPr>
                <w:rFonts w:cs="Arial"/>
                <w:bCs/>
                <w:iCs/>
                <w:color w:val="0D0D0D" w:themeColor="text1" w:themeTint="F2"/>
                <w:spacing w:val="-4"/>
                <w:sz w:val="16"/>
                <w:szCs w:val="16"/>
              </w:rPr>
              <w:t xml:space="preserve"> mělo ve 2. čtvrtletí 5,26</w:t>
            </w:r>
            <w:r w:rsidR="00D439C2" w:rsidRPr="00977C13">
              <w:rPr>
                <w:rFonts w:cs="Arial"/>
                <w:bCs/>
                <w:iCs/>
                <w:color w:val="0D0D0D" w:themeColor="text1" w:themeTint="F2"/>
                <w:spacing w:val="-4"/>
                <w:sz w:val="16"/>
                <w:szCs w:val="16"/>
              </w:rPr>
              <w:t> </w:t>
            </w:r>
            <w:r w:rsidR="00D439C2">
              <w:rPr>
                <w:rFonts w:cs="Arial"/>
                <w:bCs/>
                <w:iCs/>
                <w:color w:val="0D0D0D" w:themeColor="text1" w:themeTint="F2"/>
                <w:spacing w:val="-4"/>
                <w:sz w:val="16"/>
                <w:szCs w:val="16"/>
              </w:rPr>
              <w:t>mil.</w:t>
            </w:r>
            <w:r w:rsidR="00D439C2" w:rsidRPr="00977C13">
              <w:rPr>
                <w:rFonts w:cs="Arial"/>
                <w:bCs/>
                <w:iCs/>
                <w:color w:val="0D0D0D" w:themeColor="text1" w:themeTint="F2"/>
                <w:spacing w:val="-4"/>
                <w:sz w:val="16"/>
                <w:szCs w:val="16"/>
              </w:rPr>
              <w:t> </w:t>
            </w:r>
            <w:r w:rsidRPr="00977C13">
              <w:rPr>
                <w:rFonts w:cs="Arial"/>
                <w:bCs/>
                <w:iCs/>
                <w:color w:val="0D0D0D" w:themeColor="text1" w:themeTint="F2"/>
                <w:spacing w:val="-4"/>
                <w:sz w:val="16"/>
                <w:szCs w:val="16"/>
              </w:rPr>
              <w:t xml:space="preserve">osob, nejvíce v historii ČR  </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977C13"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Míra zaměstnanosti v ČR patří (zejména díky mužům) v EU k nejvyšším</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Default="004F2A4D" w:rsidP="00AF5D62">
            <w:pPr>
              <w:pStyle w:val="Textpoznpodarou"/>
              <w:jc w:val="both"/>
              <w:rPr>
                <w:rFonts w:cs="Arial"/>
                <w:color w:val="0D0D0D" w:themeColor="text1" w:themeTint="F2"/>
                <w:spacing w:val="-4"/>
              </w:rPr>
            </w:pPr>
            <w:r>
              <w:rPr>
                <w:spacing w:val="-4"/>
              </w:rPr>
              <w:t xml:space="preserve">Jedním z nejvýznamnějších rysů stabilně rostoucí ekonomiky byla tvorba nových pracovních míst. Tempo růstu </w:t>
            </w:r>
            <w:r>
              <w:rPr>
                <w:rFonts w:cs="Arial"/>
                <w:color w:val="0D0D0D" w:themeColor="text1" w:themeTint="F2"/>
                <w:spacing w:val="-4"/>
              </w:rPr>
              <w:t>zaměstnanosti</w:t>
            </w:r>
            <w:r>
              <w:rPr>
                <w:rStyle w:val="Znakapoznpodarou"/>
                <w:color w:val="0D0D0D" w:themeColor="text1" w:themeTint="F2"/>
                <w:spacing w:val="-4"/>
              </w:rPr>
              <w:footnoteReference w:id="19"/>
            </w:r>
            <w:r>
              <w:rPr>
                <w:rFonts w:cs="Arial"/>
                <w:color w:val="0D0D0D" w:themeColor="text1" w:themeTint="F2"/>
                <w:spacing w:val="-4"/>
              </w:rPr>
              <w:t xml:space="preserve"> na počátku roku výrazně zrychlilo, v úhrnu za celé pololetí na 1,7 % meziročně. Počet pracovníků ve 2. čtvrtletí 2016 byl nejvyšší v historii (5,26 mil.). Stavy zaměstnaných jsou ovlivňovány i</w:t>
            </w:r>
            <w:r>
              <w:rPr>
                <w:spacing w:val="-4"/>
              </w:rPr>
              <w:t> </w:t>
            </w:r>
            <w:r>
              <w:rPr>
                <w:rFonts w:cs="Arial"/>
                <w:color w:val="0D0D0D" w:themeColor="text1" w:themeTint="F2"/>
                <w:spacing w:val="-4"/>
              </w:rPr>
              <w:t>generačními posuny na trhu práce a zvyšováním důchodového věku. Zastoupení starších osob na pracovním trhu postupně narůstá. Míra zaměstnanosti osob ve věku 15</w:t>
            </w:r>
            <w:r w:rsidR="00D439C2">
              <w:rPr>
                <w:rFonts w:cs="Arial"/>
                <w:color w:val="0D0D0D" w:themeColor="text1" w:themeTint="F2"/>
                <w:spacing w:val="-4"/>
              </w:rPr>
              <w:t>–</w:t>
            </w:r>
            <w:r>
              <w:rPr>
                <w:rFonts w:cs="Arial"/>
                <w:color w:val="0D0D0D" w:themeColor="text1" w:themeTint="F2"/>
                <w:spacing w:val="-4"/>
              </w:rPr>
              <w:t>64 let přesáhla 71 %, vyšší byla jen v pěti státech EU (v rámci novějších členů Unie drželo Česko primát). Odvětvová specializace české ekonomiky se odráží i ve vysoké míře zaměstnanosti mužů (78,5 %), vyšších hodnot docílilo letos v Unii jen Nizozemsko.</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Polovinu růstu celkové zaměstnanosti měl v 1. pololetí na svědomí zpracovatelský průmysl, podobně tomu bylo i v předchozích dvou letech</w:t>
            </w:r>
          </w:p>
          <w:p w:rsidR="004F2A4D" w:rsidRDefault="004F2A4D" w:rsidP="00AF5D62">
            <w:pPr>
              <w:spacing w:line="240" w:lineRule="auto"/>
              <w:rPr>
                <w:rFonts w:cs="Arial"/>
                <w:bCs/>
                <w:iCs/>
                <w:color w:val="0D0D0D" w:themeColor="text1" w:themeTint="F2"/>
                <w:spacing w:val="-2"/>
                <w:sz w:val="16"/>
                <w:szCs w:val="16"/>
              </w:rPr>
            </w:pPr>
          </w:p>
          <w:p w:rsidR="004F2A4D" w:rsidRDefault="004F2A4D" w:rsidP="00AF5D62">
            <w:pPr>
              <w:spacing w:line="240" w:lineRule="auto"/>
              <w:rPr>
                <w:rFonts w:cs="Arial"/>
                <w:bCs/>
                <w:iCs/>
                <w:color w:val="0D0D0D" w:themeColor="text1" w:themeTint="F2"/>
                <w:spacing w:val="-2"/>
                <w:sz w:val="16"/>
                <w:szCs w:val="16"/>
              </w:rPr>
            </w:pPr>
          </w:p>
          <w:p w:rsidR="004F2A4D"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Zaměstnanost ve službách se navyšovala téměř celoplošně, dynamika v jednotlivých odvětvích však nadále zůstala rozdílná </w:t>
            </w:r>
          </w:p>
          <w:p w:rsidR="004F2A4D" w:rsidRPr="00372465"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 </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6D7094"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Za vyšší zaměstnanost vděčíme letos, podobně jako v celém období od konce recese, převážně zpracovatelskému průmyslu. Pracovalo v něm meziročně o 3,2 % osob více. Ve službách měl růst zaměstnanosti prakticky celoplošný charakter. Obdobně jako loni se dařilo váhově nejvýznamnějšímu seskupení odvětví – </w:t>
            </w:r>
            <w:r w:rsidRPr="001925A2">
              <w:rPr>
                <w:spacing w:val="-4"/>
              </w:rPr>
              <w:t>obchod, doprava, ubytování a</w:t>
            </w:r>
            <w:r>
              <w:rPr>
                <w:rFonts w:cs="Arial"/>
                <w:color w:val="0D0D0D" w:themeColor="text1" w:themeTint="F2"/>
                <w:spacing w:val="-4"/>
              </w:rPr>
              <w:t> </w:t>
            </w:r>
            <w:r w:rsidRPr="001925A2">
              <w:rPr>
                <w:spacing w:val="-4"/>
              </w:rPr>
              <w:t>pohostinství</w:t>
            </w:r>
            <w:r>
              <w:rPr>
                <w:spacing w:val="-4"/>
              </w:rPr>
              <w:t>, kde našlo uplatnění meziročně o 20 tis. osob více. Dynamika tvorby nových pracovních míst zrychlovala v</w:t>
            </w:r>
            <w:r w:rsidRPr="001925A2">
              <w:rPr>
                <w:spacing w:val="-4"/>
              </w:rPr>
              <w:t> </w:t>
            </w:r>
            <w:r w:rsidRPr="001925A2">
              <w:rPr>
                <w:color w:val="0D0D0D" w:themeColor="text1" w:themeTint="F2"/>
                <w:spacing w:val="-4"/>
              </w:rPr>
              <w:t>profe</w:t>
            </w:r>
            <w:r>
              <w:rPr>
                <w:color w:val="0D0D0D" w:themeColor="text1" w:themeTint="F2"/>
                <w:spacing w:val="-4"/>
              </w:rPr>
              <w:t>sních, vědeckých, technických a</w:t>
            </w:r>
            <w:r>
              <w:rPr>
                <w:rFonts w:cs="Arial"/>
                <w:color w:val="0D0D0D" w:themeColor="text1" w:themeTint="F2"/>
                <w:spacing w:val="-4"/>
              </w:rPr>
              <w:t> </w:t>
            </w:r>
            <w:r w:rsidRPr="001925A2">
              <w:rPr>
                <w:color w:val="0D0D0D" w:themeColor="text1" w:themeTint="F2"/>
                <w:spacing w:val="-4"/>
              </w:rPr>
              <w:t>administrativních činnostech</w:t>
            </w:r>
            <w:r>
              <w:rPr>
                <w:color w:val="0D0D0D" w:themeColor="text1" w:themeTint="F2"/>
                <w:spacing w:val="-4"/>
              </w:rPr>
              <w:t xml:space="preserve"> (na 4,4 %). Dařilo se i informačním a komunikačním činnostem, zároveň šlo o odvětví, kde celková zaměstnanost od konce recese (2.</w:t>
            </w:r>
            <w:r>
              <w:rPr>
                <w:rFonts w:cs="Arial"/>
                <w:color w:val="0D0D0D" w:themeColor="text1" w:themeTint="F2"/>
                <w:spacing w:val="-4"/>
              </w:rPr>
              <w:t> </w:t>
            </w:r>
            <w:r>
              <w:rPr>
                <w:color w:val="0D0D0D" w:themeColor="text1" w:themeTint="F2"/>
                <w:spacing w:val="-4"/>
              </w:rPr>
              <w:t xml:space="preserve">čtvrtletí 2013) posílila nejvíce. Nejnižším tempem za poslední čtyři roky se naopak navýšily stavy pracovníků </w:t>
            </w:r>
            <w:r>
              <w:rPr>
                <w:spacing w:val="-4"/>
              </w:rPr>
              <w:t>v úhrnu</w:t>
            </w:r>
            <w:r w:rsidRPr="001925A2">
              <w:rPr>
                <w:spacing w:val="-4"/>
              </w:rPr>
              <w:t xml:space="preserve"> </w:t>
            </w:r>
            <w:r>
              <w:rPr>
                <w:spacing w:val="-4"/>
              </w:rPr>
              <w:t>ve veřejné správě, obraně</w:t>
            </w:r>
            <w:r w:rsidRPr="001925A2">
              <w:rPr>
                <w:spacing w:val="-4"/>
              </w:rPr>
              <w:t>, vzdělávání, zdravotní a</w:t>
            </w:r>
            <w:r>
              <w:rPr>
                <w:rFonts w:cs="Arial"/>
                <w:color w:val="0D0D0D" w:themeColor="text1" w:themeTint="F2"/>
                <w:spacing w:val="-4"/>
              </w:rPr>
              <w:t> </w:t>
            </w:r>
            <w:r>
              <w:rPr>
                <w:spacing w:val="-4"/>
              </w:rPr>
              <w:t>sociální péči. Projevila se zde zejména stagnace zaměstnanosti ve vzdělávání.</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4F2A4D" w:rsidRPr="00A245E8"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Po vyprchání dočasných stimulů souvisejících s evropskými dotacemi se zaměstnanost ve stavebnictví opět navrátila k poklesům</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D84C0A" w:rsidRDefault="004F2A4D" w:rsidP="00AF5D62">
            <w:pPr>
              <w:pStyle w:val="Textpoznpodarou"/>
              <w:jc w:val="both"/>
              <w:rPr>
                <w:rFonts w:cs="Arial"/>
                <w:color w:val="0D0D0D" w:themeColor="text1" w:themeTint="F2"/>
                <w:spacing w:val="-4"/>
              </w:rPr>
            </w:pPr>
            <w:r>
              <w:rPr>
                <w:rFonts w:cs="Arial"/>
                <w:color w:val="0D0D0D" w:themeColor="text1" w:themeTint="F2"/>
                <w:spacing w:val="-4"/>
              </w:rPr>
              <w:t>Stavebnictví po loňské stagnaci začalo letos opět pracovníky ztrácet, proti 1. loňskému pololetí jich ubylo o 1,4 %.</w:t>
            </w:r>
            <w:r w:rsidRPr="001925A2">
              <w:rPr>
                <w:rFonts w:cs="Arial"/>
                <w:color w:val="0D0D0D" w:themeColor="text1" w:themeTint="F2"/>
                <w:spacing w:val="-4"/>
              </w:rPr>
              <w:t xml:space="preserve"> S citelnou redukcí pracovních míst se</w:t>
            </w:r>
            <w:r>
              <w:rPr>
                <w:rFonts w:cs="Arial"/>
                <w:color w:val="0D0D0D" w:themeColor="text1" w:themeTint="F2"/>
                <w:spacing w:val="-4"/>
              </w:rPr>
              <w:t xml:space="preserve"> </w:t>
            </w:r>
            <w:proofErr w:type="gramStart"/>
            <w:r>
              <w:rPr>
                <w:rFonts w:cs="Arial"/>
                <w:color w:val="0D0D0D" w:themeColor="text1" w:themeTint="F2"/>
                <w:spacing w:val="-4"/>
              </w:rPr>
              <w:t xml:space="preserve">stále </w:t>
            </w:r>
            <w:r w:rsidRPr="001925A2">
              <w:rPr>
                <w:rFonts w:cs="Arial"/>
                <w:color w:val="0D0D0D" w:themeColor="text1" w:themeTint="F2"/>
                <w:spacing w:val="-4"/>
              </w:rPr>
              <w:t xml:space="preserve"> </w:t>
            </w:r>
            <w:r>
              <w:rPr>
                <w:rFonts w:cs="Arial"/>
                <w:color w:val="0D0D0D" w:themeColor="text1" w:themeTint="F2"/>
                <w:spacing w:val="-4"/>
              </w:rPr>
              <w:t xml:space="preserve"> </w:t>
            </w:r>
            <w:r w:rsidRPr="00626E85">
              <w:rPr>
                <w:rFonts w:cs="Arial"/>
                <w:color w:val="0D0D0D" w:themeColor="text1" w:themeTint="F2"/>
                <w:spacing w:val="-4"/>
              </w:rPr>
              <w:t>potýkají</w:t>
            </w:r>
            <w:proofErr w:type="gramEnd"/>
            <w:r w:rsidRPr="00626E85">
              <w:rPr>
                <w:rFonts w:cs="Arial"/>
                <w:color w:val="0D0D0D" w:themeColor="text1" w:themeTint="F2"/>
                <w:spacing w:val="-4"/>
              </w:rPr>
              <w:t xml:space="preserve"> i těžební společnosti (mezi roky 2008 a 2015 o čtvrtinu), naopak jen mírně klesla zaměstnanost v ostatních odvětvích primárního sektoru a v energetice.</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RPr="003A21DC" w:rsidTr="00AF5D62">
        <w:tc>
          <w:tcPr>
            <w:tcW w:w="1054" w:type="pct"/>
          </w:tcPr>
          <w:p w:rsidR="004F2A4D" w:rsidRPr="00E23B96"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 xml:space="preserve">Meziroční pokles počtu </w:t>
            </w:r>
            <w:proofErr w:type="spellStart"/>
            <w:r>
              <w:rPr>
                <w:rFonts w:cs="Arial"/>
                <w:bCs/>
                <w:iCs/>
                <w:color w:val="0D0D0D" w:themeColor="text1" w:themeTint="F2"/>
                <w:spacing w:val="-4"/>
                <w:sz w:val="16"/>
                <w:szCs w:val="16"/>
              </w:rPr>
              <w:t>sebezaměstnaných</w:t>
            </w:r>
            <w:proofErr w:type="spellEnd"/>
            <w:r>
              <w:rPr>
                <w:rFonts w:cs="Arial"/>
                <w:bCs/>
                <w:iCs/>
                <w:color w:val="0D0D0D" w:themeColor="text1" w:themeTint="F2"/>
                <w:spacing w:val="-4"/>
                <w:sz w:val="16"/>
                <w:szCs w:val="16"/>
              </w:rPr>
              <w:t xml:space="preserve"> osob (především drobných živnostníků) se po osmi </w:t>
            </w:r>
            <w:r>
              <w:rPr>
                <w:rFonts w:cs="Arial"/>
                <w:bCs/>
                <w:iCs/>
                <w:color w:val="0D0D0D" w:themeColor="text1" w:themeTint="F2"/>
                <w:spacing w:val="-4"/>
                <w:sz w:val="16"/>
                <w:szCs w:val="16"/>
              </w:rPr>
              <w:lastRenderedPageBreak/>
              <w:t>čtvrtletích zastavil</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1056C1"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Strukturální změny na </w:t>
            </w:r>
            <w:r w:rsidRPr="001056C1">
              <w:rPr>
                <w:rFonts w:cs="Arial"/>
                <w:color w:val="0D0D0D" w:themeColor="text1" w:themeTint="F2"/>
                <w:spacing w:val="-4"/>
              </w:rPr>
              <w:t xml:space="preserve">trhu </w:t>
            </w:r>
            <w:r>
              <w:rPr>
                <w:rFonts w:cs="Arial"/>
                <w:color w:val="0D0D0D" w:themeColor="text1" w:themeTint="F2"/>
                <w:spacing w:val="-4"/>
              </w:rPr>
              <w:t xml:space="preserve">práce </w:t>
            </w:r>
            <w:r w:rsidRPr="001056C1">
              <w:rPr>
                <w:rFonts w:cs="Arial"/>
                <w:color w:val="0D0D0D" w:themeColor="text1" w:themeTint="F2"/>
                <w:spacing w:val="-4"/>
              </w:rPr>
              <w:t>vyjádřené odlišným vývojem počtu zaměstnanců</w:t>
            </w:r>
            <w:r>
              <w:rPr>
                <w:rFonts w:cs="Arial"/>
                <w:color w:val="0D0D0D" w:themeColor="text1" w:themeTint="F2"/>
                <w:spacing w:val="-4"/>
              </w:rPr>
              <w:t xml:space="preserve"> a </w:t>
            </w:r>
            <w:proofErr w:type="spellStart"/>
            <w:r w:rsidRPr="001056C1">
              <w:rPr>
                <w:rFonts w:cs="Arial"/>
                <w:color w:val="0D0D0D" w:themeColor="text1" w:themeTint="F2"/>
                <w:spacing w:val="-4"/>
              </w:rPr>
              <w:t>sebezaměstnaných</w:t>
            </w:r>
            <w:proofErr w:type="spellEnd"/>
            <w:r w:rsidRPr="001056C1">
              <w:rPr>
                <w:rFonts w:cs="Arial"/>
                <w:color w:val="0D0D0D" w:themeColor="text1" w:themeTint="F2"/>
                <w:spacing w:val="-4"/>
              </w:rPr>
              <w:t xml:space="preserve"> pokračovaly. Zatímco zaměstnaneckých míst bylo o 2,2 % více, </w:t>
            </w:r>
            <w:proofErr w:type="spellStart"/>
            <w:r w:rsidRPr="001056C1">
              <w:rPr>
                <w:rFonts w:cs="Arial"/>
                <w:color w:val="0D0D0D" w:themeColor="text1" w:themeTint="F2"/>
                <w:spacing w:val="-4"/>
              </w:rPr>
              <w:t>sebezaměstnaných</w:t>
            </w:r>
            <w:proofErr w:type="spellEnd"/>
            <w:r w:rsidRPr="001056C1">
              <w:rPr>
                <w:rFonts w:cs="Arial"/>
                <w:color w:val="0D0D0D" w:themeColor="text1" w:themeTint="F2"/>
                <w:spacing w:val="-4"/>
              </w:rPr>
              <w:t xml:space="preserve"> o 1 % ubylo (v samotném 2. čtvrtletí se jejich meziroční pokles </w:t>
            </w:r>
            <w:r w:rsidRPr="001056C1">
              <w:rPr>
                <w:rFonts w:cs="Arial"/>
                <w:color w:val="0D0D0D" w:themeColor="text1" w:themeTint="F2"/>
                <w:spacing w:val="-4"/>
              </w:rPr>
              <w:lastRenderedPageBreak/>
              <w:t>zastavil</w:t>
            </w:r>
            <w:r>
              <w:rPr>
                <w:rFonts w:cs="Arial"/>
                <w:color w:val="0D0D0D" w:themeColor="text1" w:themeTint="F2"/>
                <w:spacing w:val="-4"/>
              </w:rPr>
              <w:t xml:space="preserve">, do jaké míry jde o náznak dlouhodobějších </w:t>
            </w:r>
            <w:proofErr w:type="gramStart"/>
            <w:r>
              <w:rPr>
                <w:rFonts w:cs="Arial"/>
                <w:color w:val="0D0D0D" w:themeColor="text1" w:themeTint="F2"/>
                <w:spacing w:val="-4"/>
              </w:rPr>
              <w:t>tendencí ale</w:t>
            </w:r>
            <w:proofErr w:type="gramEnd"/>
            <w:r>
              <w:rPr>
                <w:rFonts w:cs="Arial"/>
                <w:color w:val="0D0D0D" w:themeColor="text1" w:themeTint="F2"/>
                <w:spacing w:val="-4"/>
              </w:rPr>
              <w:t xml:space="preserve"> ukážou až údaje v druhé polovině roku). Skutečností zůstává, že počty zaměstnanců vykazují oproti </w:t>
            </w:r>
            <w:proofErr w:type="spellStart"/>
            <w:r>
              <w:rPr>
                <w:rFonts w:cs="Arial"/>
                <w:color w:val="0D0D0D" w:themeColor="text1" w:themeTint="F2"/>
                <w:spacing w:val="-4"/>
              </w:rPr>
              <w:t>sebezaměstnaným</w:t>
            </w:r>
            <w:proofErr w:type="spellEnd"/>
            <w:r>
              <w:rPr>
                <w:rFonts w:cs="Arial"/>
                <w:color w:val="0D0D0D" w:themeColor="text1" w:themeTint="F2"/>
                <w:spacing w:val="-4"/>
              </w:rPr>
              <w:t xml:space="preserve"> příznivější růstová tempa nepřetržitě již od poloviny roku 2012.</w:t>
            </w:r>
          </w:p>
          <w:p w:rsidR="004F2A4D" w:rsidRPr="00F2389A" w:rsidRDefault="004F2A4D" w:rsidP="00AF5D62">
            <w:pPr>
              <w:pStyle w:val="Textpoznpodarou"/>
              <w:jc w:val="both"/>
              <w:rPr>
                <w:rFonts w:cs="Arial"/>
                <w:color w:val="0D0D0D" w:themeColor="text1" w:themeTint="F2"/>
                <w:spacing w:val="-2"/>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lastRenderedPageBreak/>
              <w:t>Počet odpracovaných hodin rostl meziročně oproti celkové zaměstnanosti více než dvojnásobným tempem…</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6828C5" w:rsidRDefault="004F2A4D" w:rsidP="00AF5D62">
            <w:pPr>
              <w:spacing w:line="240" w:lineRule="auto"/>
              <w:rPr>
                <w:rFonts w:cs="Arial"/>
                <w:bCs/>
                <w:iCs/>
                <w:color w:val="0D0D0D" w:themeColor="text1" w:themeTint="F2"/>
                <w:spacing w:val="-2"/>
                <w:sz w:val="16"/>
                <w:szCs w:val="16"/>
              </w:rPr>
            </w:pPr>
            <w:r w:rsidRPr="006828C5">
              <w:rPr>
                <w:rFonts w:cs="Arial"/>
                <w:bCs/>
                <w:iCs/>
                <w:color w:val="0D0D0D" w:themeColor="text1" w:themeTint="F2"/>
                <w:spacing w:val="-2"/>
                <w:sz w:val="16"/>
                <w:szCs w:val="16"/>
              </w:rPr>
              <w:t>… Hodinová produktivita práce v celé ekonomice poprvé po devíti čtvrtletích meziročně poklesla</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4642D4" w:rsidRDefault="004F2A4D" w:rsidP="00AF5D62">
            <w:pPr>
              <w:pStyle w:val="Textpoznpodarou"/>
              <w:jc w:val="both"/>
              <w:rPr>
                <w:spacing w:val="-4"/>
              </w:rPr>
            </w:pPr>
            <w:r w:rsidRPr="004642D4">
              <w:rPr>
                <w:rFonts w:cs="Arial"/>
                <w:color w:val="0D0D0D" w:themeColor="text1" w:themeTint="F2"/>
                <w:spacing w:val="-4"/>
              </w:rPr>
              <w:t xml:space="preserve">Navzdory vysoké dynamice zaměstnanosti produktivita práce i nadále rostla. Hrubá přidaná hodnota (HPH) na 1 pracovníka byla meziročně o 1 % vyšší (za celý rok 2015 o 2,6 %). HPH v relaci na odpracovanou hodinu se na počátku roku poprvé po devíti čtvrtletích snížila </w:t>
            </w:r>
            <w:r>
              <w:rPr>
                <w:rFonts w:cs="Arial"/>
                <w:color w:val="0D0D0D" w:themeColor="text1" w:themeTint="F2"/>
                <w:spacing w:val="-4"/>
              </w:rPr>
              <w:t>(</w:t>
            </w:r>
            <w:r w:rsidRPr="004642D4">
              <w:rPr>
                <w:rFonts w:cs="Arial"/>
                <w:color w:val="0D0D0D" w:themeColor="text1" w:themeTint="F2"/>
                <w:spacing w:val="-4"/>
              </w:rPr>
              <w:t>v 2. čtvrtletí až na -2,3 %), a to prakticky ve všech významných odvětvích. Promítl se zde nebývale vysoký růst počtu odpracovaných hodin (</w:t>
            </w:r>
            <w:r>
              <w:rPr>
                <w:rFonts w:cs="Arial"/>
                <w:color w:val="0D0D0D" w:themeColor="text1" w:themeTint="F2"/>
                <w:spacing w:val="-4"/>
              </w:rPr>
              <w:t>v</w:t>
            </w:r>
            <w:r w:rsidRPr="004642D4">
              <w:rPr>
                <w:rFonts w:cs="Arial"/>
                <w:color w:val="0D0D0D" w:themeColor="text1" w:themeTint="F2"/>
                <w:spacing w:val="-4"/>
              </w:rPr>
              <w:t> </w:t>
            </w:r>
            <w:r>
              <w:rPr>
                <w:rFonts w:cs="Arial"/>
                <w:color w:val="0D0D0D" w:themeColor="text1" w:themeTint="F2"/>
                <w:spacing w:val="-4"/>
              </w:rPr>
              <w:t>1.</w:t>
            </w:r>
            <w:r w:rsidRPr="004642D4">
              <w:rPr>
                <w:rFonts w:cs="Arial"/>
                <w:color w:val="0D0D0D" w:themeColor="text1" w:themeTint="F2"/>
                <w:spacing w:val="-4"/>
              </w:rPr>
              <w:t xml:space="preserve"> čtvrtletí o 3,1%, ve 2. čtvrtletí o 5,1 %), což může souviset se skutečností, že firmy reagují na aktuální nedostatek kvalifikovaných pracovníků intenzivnějším využitím stávající pracovní síly. </w:t>
            </w:r>
            <w:r w:rsidRPr="004642D4">
              <w:rPr>
                <w:spacing w:val="-4"/>
              </w:rPr>
              <w:t>Proti 1. pololetí konjunkturního roku 2008 byla letos hodinová produktivita v celé ekonomice o 5 % vyšší, ve zpracovatelském průmyslu o</w:t>
            </w:r>
            <w:r w:rsidRPr="004642D4">
              <w:rPr>
                <w:rFonts w:cs="Arial"/>
                <w:color w:val="0D0D0D" w:themeColor="text1" w:themeTint="F2"/>
                <w:spacing w:val="-4"/>
              </w:rPr>
              <w:t> </w:t>
            </w:r>
            <w:r w:rsidRPr="004642D4">
              <w:rPr>
                <w:spacing w:val="-4"/>
              </w:rPr>
              <w:t>pětinu, výrazně rostla také v agrárním a finančním sektoru.</w:t>
            </w:r>
          </w:p>
          <w:p w:rsidR="004F2A4D" w:rsidRPr="00F2389A" w:rsidRDefault="004F2A4D" w:rsidP="00AF5D62">
            <w:pPr>
              <w:pStyle w:val="Textpoznpodarou"/>
              <w:jc w:val="both"/>
              <w:rPr>
                <w:rFonts w:cs="Arial"/>
                <w:color w:val="0D0D0D" w:themeColor="text1" w:themeTint="F2"/>
                <w:spacing w:val="-2"/>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Nabídka</w:t>
            </w:r>
            <w:r w:rsidRPr="00FF497C">
              <w:rPr>
                <w:rFonts w:cs="Arial"/>
                <w:bCs/>
                <w:iCs/>
                <w:color w:val="0D0D0D" w:themeColor="text1" w:themeTint="F2"/>
                <w:spacing w:val="-4"/>
                <w:sz w:val="16"/>
                <w:szCs w:val="16"/>
              </w:rPr>
              <w:t xml:space="preserve"> volných pracovních míst p</w:t>
            </w:r>
            <w:r w:rsidR="00F835E1">
              <w:rPr>
                <w:rFonts w:cs="Arial"/>
                <w:bCs/>
                <w:iCs/>
                <w:color w:val="0D0D0D" w:themeColor="text1" w:themeTint="F2"/>
                <w:spacing w:val="-4"/>
                <w:sz w:val="16"/>
                <w:szCs w:val="16"/>
              </w:rPr>
              <w:t>lynule nar</w:t>
            </w:r>
            <w:r>
              <w:rPr>
                <w:rFonts w:cs="Arial"/>
                <w:bCs/>
                <w:iCs/>
                <w:color w:val="0D0D0D" w:themeColor="text1" w:themeTint="F2"/>
                <w:spacing w:val="-4"/>
                <w:sz w:val="16"/>
                <w:szCs w:val="16"/>
              </w:rPr>
              <w:t>ůstala, ÚP jich koncem června evidovaly 134 tis., nejvíce od září 2008</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FF497C"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Uchazeči o zaměstnání v kvalifikovaných manuálních profesích měli větší šanci na uplatnění (prostřednictvím ÚP) nežli zákonodárci a řídící pracovníci a s</w:t>
            </w:r>
            <w:r w:rsidRPr="00683634">
              <w:rPr>
                <w:rFonts w:cs="Arial"/>
                <w:bCs/>
                <w:iCs/>
                <w:color w:val="0D0D0D" w:themeColor="text1" w:themeTint="F2"/>
                <w:spacing w:val="-4"/>
                <w:sz w:val="16"/>
                <w:szCs w:val="16"/>
              </w:rPr>
              <w:t>pecialisté</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0163C9" w:rsidRDefault="004F2A4D" w:rsidP="00AF5D62">
            <w:pPr>
              <w:pStyle w:val="Textpoznpodarou"/>
              <w:jc w:val="both"/>
              <w:rPr>
                <w:rFonts w:cs="Arial"/>
                <w:color w:val="0D0D0D" w:themeColor="text1" w:themeTint="F2"/>
                <w:spacing w:val="-4"/>
              </w:rPr>
            </w:pPr>
            <w:r w:rsidRPr="00AA16F1">
              <w:rPr>
                <w:rFonts w:cs="Arial"/>
                <w:color w:val="0D0D0D" w:themeColor="text1" w:themeTint="F2"/>
                <w:spacing w:val="-4"/>
              </w:rPr>
              <w:t>Úřady práce (ÚP) nabízely na konci 2. čtvrtletí 134 tis. neobsazených míst (mezir</w:t>
            </w:r>
            <w:r w:rsidR="00D439C2">
              <w:rPr>
                <w:rFonts w:cs="Arial"/>
                <w:color w:val="0D0D0D" w:themeColor="text1" w:themeTint="F2"/>
                <w:spacing w:val="-4"/>
              </w:rPr>
              <w:t xml:space="preserve">očně o téměř 40 % více), </w:t>
            </w:r>
            <w:r w:rsidRPr="00AA16F1">
              <w:rPr>
                <w:rFonts w:cs="Arial"/>
                <w:color w:val="0D0D0D" w:themeColor="text1" w:themeTint="F2"/>
                <w:spacing w:val="-4"/>
              </w:rPr>
              <w:t xml:space="preserve">počet </w:t>
            </w:r>
            <w:r w:rsidR="00D439C2">
              <w:rPr>
                <w:rFonts w:cs="Arial"/>
                <w:color w:val="0D0D0D" w:themeColor="text1" w:themeTint="F2"/>
                <w:spacing w:val="-4"/>
              </w:rPr>
              <w:t xml:space="preserve">míst </w:t>
            </w:r>
            <w:r w:rsidRPr="00AA16F1">
              <w:rPr>
                <w:rFonts w:cs="Arial"/>
                <w:color w:val="0D0D0D" w:themeColor="text1" w:themeTint="F2"/>
                <w:spacing w:val="-4"/>
              </w:rPr>
              <w:t>se tak zvolna blíží historickému maximu z dubna 2008 (152 tis.). Proti počátku roku přibylo letos 31 tis. pozic, ve stejném období loňského roku byl však přírůstek mírně vyšší. Pozitivní bylo, že nová pracovní místa</w:t>
            </w:r>
            <w:r>
              <w:rPr>
                <w:rFonts w:cs="Arial"/>
                <w:color w:val="0D0D0D" w:themeColor="text1" w:themeTint="F2"/>
                <w:spacing w:val="-4"/>
              </w:rPr>
              <w:t xml:space="preserve"> vznikala v</w:t>
            </w:r>
            <w:r w:rsidR="00D439C2">
              <w:rPr>
                <w:rFonts w:cs="Arial"/>
                <w:color w:val="0D0D0D" w:themeColor="text1" w:themeTint="F2"/>
                <w:spacing w:val="-4"/>
              </w:rPr>
              <w:t>e větší míře i v hospodářsky</w:t>
            </w:r>
            <w:r w:rsidRPr="00AA16F1">
              <w:rPr>
                <w:rFonts w:cs="Arial"/>
                <w:color w:val="0D0D0D" w:themeColor="text1" w:themeTint="F2"/>
                <w:spacing w:val="-4"/>
              </w:rPr>
              <w:t xml:space="preserve"> méně vyspělých či strukturálně postižených regionech. </w:t>
            </w:r>
            <w:r w:rsidR="00D439C2">
              <w:rPr>
                <w:rFonts w:cs="Arial"/>
                <w:color w:val="0D0D0D" w:themeColor="text1" w:themeTint="F2"/>
                <w:spacing w:val="-4"/>
              </w:rPr>
              <w:t>Dokládá to mj.</w:t>
            </w:r>
            <w:r w:rsidRPr="00600121">
              <w:rPr>
                <w:rFonts w:cs="Arial"/>
                <w:color w:val="0D0D0D" w:themeColor="text1" w:themeTint="F2"/>
                <w:spacing w:val="-4"/>
              </w:rPr>
              <w:t xml:space="preserve"> výrazné zlepšení poměru mezi registrovanými uchazeči a volnými místy</w:t>
            </w:r>
            <w:r w:rsidRPr="00600121">
              <w:rPr>
                <w:rStyle w:val="Znakapoznpodarou"/>
                <w:color w:val="0D0D0D" w:themeColor="text1" w:themeTint="F2"/>
                <w:spacing w:val="-4"/>
              </w:rPr>
              <w:footnoteReference w:id="20"/>
            </w:r>
            <w:r w:rsidRPr="00600121">
              <w:rPr>
                <w:rFonts w:cs="Arial"/>
                <w:color w:val="0D0D0D" w:themeColor="text1" w:themeTint="F2"/>
                <w:spacing w:val="-4"/>
              </w:rPr>
              <w:t xml:space="preserve">. Přetrvává však stále významný kvalifikační </w:t>
            </w:r>
            <w:r w:rsidRPr="00600121">
              <w:rPr>
                <w:spacing w:val="-4"/>
              </w:rPr>
              <w:t>nesoulad mezi nabízenými volnými místy a</w:t>
            </w:r>
            <w:r w:rsidRPr="00600121">
              <w:rPr>
                <w:color w:val="0D0D0D" w:themeColor="text1" w:themeTint="F2"/>
                <w:spacing w:val="-4"/>
              </w:rPr>
              <w:t> </w:t>
            </w:r>
            <w:r w:rsidRPr="00600121">
              <w:rPr>
                <w:spacing w:val="-4"/>
              </w:rPr>
              <w:t>registrovanými uchazeči o zaměstnání. Nejsnáze mohli sehnat práci uchazeči ve skupině „obsluha strojů a zařízení, montéři“ (nepřetržitě od jara 2014), na jedno volné místo zde na konci června 2016 připadalo jen 1,2 uchazečů. Velmi dobré vyhlídky měli i řemeslníci a opraváři (1,6 uchazečů na m</w:t>
            </w:r>
            <w:r w:rsidRPr="00600121">
              <w:rPr>
                <w:color w:val="000000" w:themeColor="text1"/>
                <w:spacing w:val="-4"/>
              </w:rPr>
              <w:t>ísto), za poslední rok se také výrazně zlepšilo postavení nekvalifikovaných a pomocných pracovníků, kteří měli dvakrát větší šanci na uplatnění než úředníci (v rámci své kvalifikační třídy).</w:t>
            </w:r>
          </w:p>
          <w:p w:rsidR="004F2A4D" w:rsidRPr="00F2389A" w:rsidRDefault="004F2A4D" w:rsidP="00AF5D62">
            <w:pPr>
              <w:pStyle w:val="Textpoznpodarou"/>
              <w:jc w:val="both"/>
              <w:rPr>
                <w:spacing w:val="-4"/>
                <w:sz w:val="13"/>
                <w:szCs w:val="13"/>
              </w:rPr>
            </w:pPr>
          </w:p>
        </w:tc>
      </w:tr>
      <w:tr w:rsidR="004F2A4D" w:rsidTr="00AF5D62">
        <w:tc>
          <w:tcPr>
            <w:tcW w:w="1054" w:type="pct"/>
          </w:tcPr>
          <w:p w:rsidR="004F2A4D" w:rsidRPr="00976BD9" w:rsidRDefault="004F2A4D" w:rsidP="00AF5D62">
            <w:pPr>
              <w:spacing w:line="240" w:lineRule="auto"/>
              <w:rPr>
                <w:sz w:val="16"/>
                <w:szCs w:val="16"/>
              </w:rPr>
            </w:pPr>
            <w:r>
              <w:rPr>
                <w:sz w:val="16"/>
                <w:szCs w:val="16"/>
              </w:rPr>
              <w:t xml:space="preserve">Česko patřilo na konci 1. pololetí společně s Německem a Maltou k zemím EU s nejnižší mírou nezaměstnanosti, u mužů drží Česko nejlepší postavení již nepřetržitě od dubna 2014 </w:t>
            </w:r>
          </w:p>
        </w:tc>
        <w:tc>
          <w:tcPr>
            <w:tcW w:w="142" w:type="pct"/>
          </w:tcPr>
          <w:p w:rsidR="004F2A4D" w:rsidRPr="000A12D1" w:rsidRDefault="004F2A4D" w:rsidP="00AF5D62">
            <w:pPr>
              <w:pStyle w:val="Textpoznpodarou"/>
              <w:jc w:val="both"/>
            </w:pPr>
          </w:p>
        </w:tc>
        <w:tc>
          <w:tcPr>
            <w:tcW w:w="3804" w:type="pct"/>
          </w:tcPr>
          <w:p w:rsidR="004F2A4D" w:rsidRPr="00CB3BD4" w:rsidRDefault="004F2A4D" w:rsidP="00AF5D62">
            <w:pPr>
              <w:pStyle w:val="Textpoznpodarou"/>
              <w:jc w:val="both"/>
              <w:rPr>
                <w:rFonts w:cs="Arial"/>
                <w:color w:val="333333"/>
                <w:spacing w:val="-4"/>
              </w:rPr>
            </w:pPr>
            <w:r w:rsidRPr="00162B42">
              <w:rPr>
                <w:rFonts w:cs="Arial"/>
                <w:spacing w:val="-4"/>
              </w:rPr>
              <w:t xml:space="preserve">Míra nezaměstnanosti se nadále snižovala, postupně však zřejmě narážela na své limity. Svědčí o tom slábnoucí dynamika poklesu </w:t>
            </w:r>
            <w:r w:rsidRPr="00162B42">
              <w:rPr>
                <w:rFonts w:cs="Arial"/>
                <w:color w:val="0D0D0D" w:themeColor="text1" w:themeTint="F2"/>
                <w:spacing w:val="-4"/>
              </w:rPr>
              <w:t xml:space="preserve">obecné míry nezaměstnanosti </w:t>
            </w:r>
            <w:r w:rsidRPr="00162B42">
              <w:rPr>
                <w:rFonts w:cs="Arial"/>
                <w:spacing w:val="-4"/>
              </w:rPr>
              <w:t>(ve věku 15</w:t>
            </w:r>
            <w:r w:rsidRPr="00162B42">
              <w:rPr>
                <w:rFonts w:cs="Arial"/>
                <w:color w:val="0D0D0D" w:themeColor="text1" w:themeTint="F2"/>
                <w:spacing w:val="-4"/>
              </w:rPr>
              <w:t>–</w:t>
            </w:r>
            <w:r w:rsidRPr="00162B42">
              <w:rPr>
                <w:rFonts w:cs="Arial"/>
                <w:spacing w:val="-4"/>
              </w:rPr>
              <w:t xml:space="preserve">64 let, očištěné od </w:t>
            </w:r>
            <w:r w:rsidRPr="00F835E1">
              <w:rPr>
                <w:rFonts w:cs="Arial"/>
                <w:color w:val="0D0D0D" w:themeColor="text1" w:themeTint="F2"/>
                <w:spacing w:val="-4"/>
              </w:rPr>
              <w:t xml:space="preserve">sezónních vlivů) – ta se mezi lednem a červnem roku 2016 snížila jen o 0,2 </w:t>
            </w:r>
            <w:proofErr w:type="spellStart"/>
            <w:proofErr w:type="gramStart"/>
            <w:r w:rsidRPr="00F835E1">
              <w:rPr>
                <w:rFonts w:cs="Arial"/>
                <w:color w:val="0D0D0D" w:themeColor="text1" w:themeTint="F2"/>
                <w:spacing w:val="-4"/>
              </w:rPr>
              <w:t>p.b</w:t>
            </w:r>
            <w:proofErr w:type="spellEnd"/>
            <w:r w:rsidRPr="00F835E1">
              <w:rPr>
                <w:rFonts w:cs="Arial"/>
                <w:color w:val="0D0D0D" w:themeColor="text1" w:themeTint="F2"/>
                <w:spacing w:val="-4"/>
              </w:rPr>
              <w:t>. (na</w:t>
            </w:r>
            <w:proofErr w:type="gramEnd"/>
            <w:r w:rsidRPr="00F835E1">
              <w:rPr>
                <w:rFonts w:cs="Arial"/>
                <w:color w:val="0D0D0D" w:themeColor="text1" w:themeTint="F2"/>
                <w:spacing w:val="-4"/>
              </w:rPr>
              <w:t xml:space="preserve"> 4,2 %). Míra nezaměstnanosti poklesla ve všech vzdělanostních skupinách, nejvíce u osob se středním vzděláním bez maturity vč. vyučených (ve 2. čtvrtletí 4,2 %, o rok dříve 5,7 %), naopak vysoká (a to i v rámci všech zemí EU) přetrvává v relativně méně početné skupině osob se základním vzděláním (20,9 %, od konce recese se snížila jen o 5,2 </w:t>
            </w:r>
            <w:proofErr w:type="spellStart"/>
            <w:proofErr w:type="gramStart"/>
            <w:r w:rsidRPr="00F835E1">
              <w:rPr>
                <w:rFonts w:cs="Arial"/>
                <w:color w:val="0D0D0D" w:themeColor="text1" w:themeTint="F2"/>
                <w:spacing w:val="-4"/>
              </w:rPr>
              <w:t>p.b</w:t>
            </w:r>
            <w:proofErr w:type="spellEnd"/>
            <w:r w:rsidRPr="00F835E1">
              <w:rPr>
                <w:rFonts w:cs="Arial"/>
                <w:color w:val="0D0D0D" w:themeColor="text1" w:themeTint="F2"/>
                <w:spacing w:val="-4"/>
              </w:rPr>
              <w:t>.).</w:t>
            </w:r>
            <w:proofErr w:type="gramEnd"/>
          </w:p>
          <w:p w:rsidR="004F2A4D" w:rsidRPr="00F2389A" w:rsidRDefault="004F2A4D" w:rsidP="00AF5D62">
            <w:pPr>
              <w:pStyle w:val="Textpoznpodarou"/>
              <w:jc w:val="both"/>
              <w:rPr>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V 1. pololetí meziroční růst průměrných mezd zrychlil na 4,2 %, v rámci 1. pololetí šlo o nejvyšší tempo od roku 2008, kdy však byl silný nominální růst znehodnocen vysokou inflací</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Průměrné mzdy se nejvíce navyšovaly v Ústeckém kraji a na Vysočině (shodně o</w:t>
            </w:r>
            <w:r>
              <w:rPr>
                <w:sz w:val="16"/>
                <w:szCs w:val="16"/>
              </w:rPr>
              <w:t> </w:t>
            </w:r>
            <w:r>
              <w:rPr>
                <w:rFonts w:cs="Arial"/>
                <w:bCs/>
                <w:iCs/>
                <w:color w:val="0D0D0D" w:themeColor="text1" w:themeTint="F2"/>
                <w:spacing w:val="-4"/>
                <w:sz w:val="16"/>
                <w:szCs w:val="16"/>
              </w:rPr>
              <w:t>4,6 %), objem vyplacených mezd meziročně rostl nejvíce ve středních Čechách (i</w:t>
            </w:r>
            <w:r>
              <w:rPr>
                <w:sz w:val="16"/>
                <w:szCs w:val="16"/>
              </w:rPr>
              <w:t> </w:t>
            </w:r>
            <w:r>
              <w:rPr>
                <w:rFonts w:cs="Arial"/>
                <w:bCs/>
                <w:iCs/>
                <w:color w:val="0D0D0D" w:themeColor="text1" w:themeTint="F2"/>
                <w:spacing w:val="-4"/>
                <w:sz w:val="16"/>
                <w:szCs w:val="16"/>
              </w:rPr>
              <w:t>vlivem dynamickému růstu zaměstnanosti v průmyslu)</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976BD9" w:rsidRDefault="004F2A4D" w:rsidP="00AF5D62">
            <w:pPr>
              <w:spacing w:line="240" w:lineRule="auto"/>
              <w:rPr>
                <w:rFonts w:cs="Arial"/>
                <w:bCs/>
                <w:iCs/>
                <w:color w:val="0D0D0D" w:themeColor="text1" w:themeTint="F2"/>
                <w:spacing w:val="-4"/>
                <w:sz w:val="16"/>
                <w:szCs w:val="16"/>
              </w:rPr>
            </w:pP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581495"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Příznivý vývoj ekonomiky (odrážející se i v ziskovosti firem, ale i v pokračujícím růstu zakázek v klíčových odvětvích) společně </w:t>
            </w:r>
            <w:r w:rsidR="00F835E1">
              <w:rPr>
                <w:rFonts w:cs="Arial"/>
                <w:color w:val="0D0D0D" w:themeColor="text1" w:themeTint="F2"/>
                <w:spacing w:val="-4"/>
              </w:rPr>
              <w:t xml:space="preserve">s </w:t>
            </w:r>
            <w:r>
              <w:rPr>
                <w:rFonts w:cs="Arial"/>
                <w:color w:val="0D0D0D" w:themeColor="text1" w:themeTint="F2"/>
                <w:spacing w:val="-4"/>
              </w:rPr>
              <w:t xml:space="preserve">nízkou a dosud </w:t>
            </w:r>
            <w:r w:rsidR="00F835E1">
              <w:rPr>
                <w:rFonts w:cs="Arial"/>
                <w:color w:val="0D0D0D" w:themeColor="text1" w:themeTint="F2"/>
                <w:spacing w:val="-4"/>
              </w:rPr>
              <w:t xml:space="preserve">stále </w:t>
            </w:r>
            <w:r>
              <w:rPr>
                <w:rFonts w:cs="Arial"/>
                <w:color w:val="0D0D0D" w:themeColor="text1" w:themeTint="F2"/>
                <w:spacing w:val="-4"/>
              </w:rPr>
              <w:t xml:space="preserve">klesající mírou nezaměstnaností doprovázenou stále intenzivněji artikulovaným nedostatkem zaměstnanců (který zatím nebyl významně saturován ani zahraničními pracovníky) společně tlačí na růst mezd. Podnikovou sféru ovlivňuje i opakované navyšování platových tarifů ve veřejném sektoru, intenzivnější aktivita odborů při kolektivních vyjednáváních. V části mzdového spektra u podniků působí i vliv postupného navyšování minimální mzdy. Meziroční růst </w:t>
            </w:r>
            <w:r w:rsidRPr="003E7065">
              <w:rPr>
                <w:rFonts w:cs="Arial"/>
                <w:color w:val="0D0D0D" w:themeColor="text1" w:themeTint="F2"/>
                <w:spacing w:val="-4"/>
              </w:rPr>
              <w:t>průměrných mezd (</w:t>
            </w:r>
            <w:r w:rsidRPr="003E7065">
              <w:rPr>
                <w:spacing w:val="-4"/>
              </w:rPr>
              <w:t xml:space="preserve">na přepočtené počty zaměstnanců) </w:t>
            </w:r>
            <w:r>
              <w:rPr>
                <w:spacing w:val="-4"/>
              </w:rPr>
              <w:t>činil v 1.</w:t>
            </w:r>
            <w:r w:rsidRPr="003E7065">
              <w:rPr>
                <w:spacing w:val="-4"/>
              </w:rPr>
              <w:t> </w:t>
            </w:r>
            <w:r>
              <w:rPr>
                <w:spacing w:val="-4"/>
              </w:rPr>
              <w:t>pololetí 4,2 % a byl nejvyšší od konce roku 2009 (</w:t>
            </w:r>
            <w:r w:rsidRPr="003E7065">
              <w:rPr>
                <w:spacing w:val="-4"/>
              </w:rPr>
              <w:t>kdy však byl růst mezd doprovázen</w:t>
            </w:r>
            <w:r>
              <w:rPr>
                <w:spacing w:val="-4"/>
              </w:rPr>
              <w:t xml:space="preserve"> citelnou redukcí zejména </w:t>
            </w:r>
            <w:proofErr w:type="spellStart"/>
            <w:r>
              <w:rPr>
                <w:spacing w:val="-4"/>
              </w:rPr>
              <w:t>nízkokvalifikovaných</w:t>
            </w:r>
            <w:proofErr w:type="spellEnd"/>
            <w:r>
              <w:rPr>
                <w:spacing w:val="-4"/>
              </w:rPr>
              <w:t xml:space="preserve"> hůře placených pracovních míst). Relativně nejvíce si polepšili zaměstnanci v „</w:t>
            </w:r>
            <w:proofErr w:type="spellStart"/>
            <w:r>
              <w:rPr>
                <w:spacing w:val="-4"/>
              </w:rPr>
              <w:t>nízkopříjmových</w:t>
            </w:r>
            <w:proofErr w:type="spellEnd"/>
            <w:r>
              <w:rPr>
                <w:spacing w:val="-4"/>
              </w:rPr>
              <w:t>“ odvětvích – ubytování, stravování a pohostinství (+6,9 %), kulturních, zábavních a</w:t>
            </w:r>
            <w:r>
              <w:rPr>
                <w:rFonts w:cs="Arial"/>
                <w:color w:val="0D0D0D" w:themeColor="text1" w:themeTint="F2"/>
                <w:spacing w:val="-4"/>
              </w:rPr>
              <w:t> </w:t>
            </w:r>
            <w:r>
              <w:rPr>
                <w:spacing w:val="-4"/>
              </w:rPr>
              <w:t xml:space="preserve">rekreačních </w:t>
            </w:r>
            <w:proofErr w:type="gramStart"/>
            <w:r>
              <w:rPr>
                <w:spacing w:val="-4"/>
              </w:rPr>
              <w:t>činnostech</w:t>
            </w:r>
            <w:proofErr w:type="gramEnd"/>
            <w:r>
              <w:rPr>
                <w:spacing w:val="-4"/>
              </w:rPr>
              <w:t xml:space="preserve"> (+5,8 %) a</w:t>
            </w:r>
            <w:r>
              <w:rPr>
                <w:rFonts w:cs="Arial"/>
                <w:color w:val="0D0D0D" w:themeColor="text1" w:themeTint="F2"/>
                <w:spacing w:val="-4"/>
              </w:rPr>
              <w:t> </w:t>
            </w:r>
            <w:r>
              <w:rPr>
                <w:spacing w:val="-4"/>
              </w:rPr>
              <w:t>v administrativních a podpůrných činnostech (5,5</w:t>
            </w:r>
            <w:r>
              <w:rPr>
                <w:rFonts w:cs="Arial"/>
                <w:color w:val="0D0D0D" w:themeColor="text1" w:themeTint="F2"/>
                <w:spacing w:val="-4"/>
              </w:rPr>
              <w:t> </w:t>
            </w:r>
            <w:r>
              <w:rPr>
                <w:spacing w:val="-4"/>
              </w:rPr>
              <w:t>%). Z nejlépe placených odvětví si udrželo primát peněžnictví a pojišťovnictví, a to i díky výplatě vysokých mimořádných odměn ve 2. čtvrtletí. Ve zpracovat</w:t>
            </w:r>
            <w:r w:rsidR="00F835E1">
              <w:rPr>
                <w:spacing w:val="-4"/>
              </w:rPr>
              <w:t xml:space="preserve">elském průmyslu </w:t>
            </w:r>
            <w:r w:rsidR="00BD059A">
              <w:rPr>
                <w:spacing w:val="-4"/>
              </w:rPr>
              <w:t xml:space="preserve">kopíroval </w:t>
            </w:r>
            <w:r w:rsidR="00F835E1">
              <w:rPr>
                <w:spacing w:val="-4"/>
              </w:rPr>
              <w:t>růst mezd v 1. i</w:t>
            </w:r>
            <w:r>
              <w:rPr>
                <w:spacing w:val="-4"/>
              </w:rPr>
              <w:t xml:space="preserve"> 2. čtvrtletí tempa dosažená v celé ekonomice. </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4F2A4D" w:rsidRPr="00635065" w:rsidRDefault="004F2A4D" w:rsidP="00AF5D62">
            <w:pPr>
              <w:spacing w:line="240" w:lineRule="auto"/>
              <w:rPr>
                <w:rFonts w:cs="Arial"/>
                <w:bCs/>
                <w:iCs/>
                <w:color w:val="0D0D0D" w:themeColor="text1" w:themeTint="F2"/>
                <w:spacing w:val="-2"/>
                <w:sz w:val="16"/>
                <w:szCs w:val="16"/>
              </w:rPr>
            </w:pPr>
            <w:proofErr w:type="spellStart"/>
            <w:r w:rsidRPr="00635065">
              <w:rPr>
                <w:rFonts w:cs="Arial"/>
                <w:bCs/>
                <w:iCs/>
                <w:color w:val="0D0D0D" w:themeColor="text1" w:themeTint="F2"/>
                <w:spacing w:val="-2"/>
                <w:sz w:val="16"/>
                <w:szCs w:val="16"/>
              </w:rPr>
              <w:t>Nízkoi</w:t>
            </w:r>
            <w:r>
              <w:rPr>
                <w:rFonts w:cs="Arial"/>
                <w:bCs/>
                <w:iCs/>
                <w:color w:val="0D0D0D" w:themeColor="text1" w:themeTint="F2"/>
                <w:spacing w:val="-2"/>
                <w:sz w:val="16"/>
                <w:szCs w:val="16"/>
              </w:rPr>
              <w:t>nflační</w:t>
            </w:r>
            <w:proofErr w:type="spellEnd"/>
            <w:r>
              <w:rPr>
                <w:rFonts w:cs="Arial"/>
                <w:bCs/>
                <w:iCs/>
                <w:color w:val="0D0D0D" w:themeColor="text1" w:themeTint="F2"/>
                <w:spacing w:val="-2"/>
                <w:sz w:val="16"/>
                <w:szCs w:val="16"/>
              </w:rPr>
              <w:t xml:space="preserve"> prostředí zvýraznilo akcelerační efekt růstu mezd</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E27AA1" w:rsidRDefault="004F2A4D" w:rsidP="00AF5D62">
            <w:pPr>
              <w:pStyle w:val="Textpoznpodarou"/>
              <w:jc w:val="both"/>
              <w:rPr>
                <w:rFonts w:cs="Arial"/>
                <w:color w:val="0D0D0D" w:themeColor="text1" w:themeTint="F2"/>
                <w:spacing w:val="-4"/>
                <w:sz w:val="14"/>
                <w:szCs w:val="14"/>
              </w:rPr>
            </w:pPr>
            <w:r>
              <w:rPr>
                <w:spacing w:val="-4"/>
              </w:rPr>
              <w:t xml:space="preserve">Mzdová diferenciace se mírně snižovala. Růst mzdového mediánu viditelně převyšoval dynamiku průměrných mezd již čtyři čtvrtletí v řadě. </w:t>
            </w:r>
            <w:r w:rsidRPr="003E7065">
              <w:rPr>
                <w:spacing w:val="-4"/>
              </w:rPr>
              <w:t xml:space="preserve">Nízká míra inflace a zrychlující růst průměrné mzdy se příznivě odrazily ve vývoji kupní síly </w:t>
            </w:r>
            <w:r>
              <w:rPr>
                <w:spacing w:val="-4"/>
              </w:rPr>
              <w:t xml:space="preserve">zaměstnaneckých </w:t>
            </w:r>
            <w:r w:rsidRPr="003E7065">
              <w:rPr>
                <w:spacing w:val="-4"/>
              </w:rPr>
              <w:t>výdělků. Dynam</w:t>
            </w:r>
            <w:r>
              <w:rPr>
                <w:spacing w:val="-4"/>
              </w:rPr>
              <w:t>ika reálných mezd v 1. pololetí zrychlila na 3,8</w:t>
            </w:r>
            <w:r w:rsidRPr="003E7065">
              <w:rPr>
                <w:spacing w:val="-4"/>
              </w:rPr>
              <w:t xml:space="preserve"> %</w:t>
            </w:r>
            <w:r>
              <w:rPr>
                <w:spacing w:val="-4"/>
              </w:rPr>
              <w:t xml:space="preserve">, tedy nejvyšším meziročním tempem od </w:t>
            </w:r>
            <w:r w:rsidRPr="003E7065">
              <w:rPr>
                <w:spacing w:val="-4"/>
              </w:rPr>
              <w:t>konce roku 2009</w:t>
            </w:r>
            <w:r>
              <w:rPr>
                <w:spacing w:val="-4"/>
              </w:rPr>
              <w:t>.</w:t>
            </w:r>
            <w:r w:rsidRPr="00E27AA1">
              <w:rPr>
                <w:rFonts w:cs="Arial"/>
                <w:color w:val="0D0D0D" w:themeColor="text1" w:themeTint="F2"/>
                <w:spacing w:val="-4"/>
                <w:sz w:val="14"/>
                <w:szCs w:val="14"/>
              </w:rPr>
              <w:t xml:space="preserve"> </w:t>
            </w:r>
          </w:p>
        </w:tc>
      </w:tr>
    </w:tbl>
    <w:p w:rsidR="000C5D56" w:rsidRPr="00F2389A" w:rsidRDefault="000C5D56" w:rsidP="004762D8">
      <w:pPr>
        <w:rPr>
          <w:sz w:val="10"/>
          <w:szCs w:val="10"/>
          <w:lang w:eastAsia="ar-SA"/>
        </w:rPr>
      </w:pPr>
    </w:p>
    <w:tbl>
      <w:tblPr>
        <w:tblW w:w="4986" w:type="pct"/>
        <w:tblLayout w:type="fixed"/>
        <w:tblCellMar>
          <w:left w:w="28" w:type="dxa"/>
          <w:right w:w="28" w:type="dxa"/>
        </w:tblCellMar>
        <w:tblLook w:val="04A0"/>
      </w:tblPr>
      <w:tblGrid>
        <w:gridCol w:w="758"/>
        <w:gridCol w:w="4091"/>
        <w:gridCol w:w="829"/>
        <w:gridCol w:w="3989"/>
      </w:tblGrid>
      <w:tr w:rsidR="004F2A4D" w:rsidTr="00AF5D62">
        <w:tc>
          <w:tcPr>
            <w:tcW w:w="392" w:type="pct"/>
          </w:tcPr>
          <w:p w:rsidR="004F2A4D" w:rsidRPr="007E77FB" w:rsidRDefault="004F2A4D" w:rsidP="00AF5D62">
            <w:pPr>
              <w:pStyle w:val="Textpoznpodarou"/>
              <w:rPr>
                <w:lang w:eastAsia="en-US"/>
              </w:rPr>
            </w:pPr>
            <w:r w:rsidRPr="007E77FB">
              <w:rPr>
                <w:lang w:eastAsia="en-US"/>
              </w:rPr>
              <w:t>Graf č. 15</w:t>
            </w:r>
          </w:p>
        </w:tc>
        <w:tc>
          <w:tcPr>
            <w:tcW w:w="2116" w:type="pct"/>
          </w:tcPr>
          <w:p w:rsidR="004F2A4D" w:rsidRPr="007E77FB" w:rsidRDefault="004F2A4D" w:rsidP="00AF5D62">
            <w:pPr>
              <w:pStyle w:val="Textpoznpodarou"/>
              <w:rPr>
                <w:lang w:eastAsia="en-US"/>
              </w:rPr>
            </w:pPr>
            <w:r w:rsidRPr="00886A8F">
              <w:rPr>
                <w:b/>
                <w:lang w:eastAsia="en-US"/>
              </w:rPr>
              <w:t xml:space="preserve">Počty zaměstnaných osob a zaměstnanců </w:t>
            </w:r>
            <w:r w:rsidRPr="00582DA0">
              <w:rPr>
                <w:spacing w:val="-4"/>
                <w:lang w:eastAsia="en-US"/>
              </w:rPr>
              <w:t>(</w:t>
            </w:r>
            <w:r>
              <w:rPr>
                <w:spacing w:val="-4"/>
                <w:lang w:eastAsia="en-US"/>
              </w:rPr>
              <w:t>po</w:t>
            </w:r>
            <w:r w:rsidRPr="00582DA0">
              <w:rPr>
                <w:spacing w:val="-4"/>
                <w:lang w:eastAsia="en-US"/>
              </w:rPr>
              <w:t>dle</w:t>
            </w:r>
            <w:r>
              <w:rPr>
                <w:spacing w:val="-4"/>
                <w:lang w:eastAsia="en-US"/>
              </w:rPr>
              <w:t xml:space="preserve"> národních účtů</w:t>
            </w:r>
            <w:r w:rsidRPr="00582DA0">
              <w:rPr>
                <w:spacing w:val="-4"/>
                <w:lang w:eastAsia="en-US"/>
              </w:rPr>
              <w:t xml:space="preserve">, </w:t>
            </w:r>
            <w:r>
              <w:rPr>
                <w:spacing w:val="-4"/>
                <w:lang w:eastAsia="en-US"/>
              </w:rPr>
              <w:t xml:space="preserve">sezónně oč., </w:t>
            </w:r>
            <w:r w:rsidRPr="00582DA0">
              <w:rPr>
                <w:spacing w:val="-4"/>
                <w:lang w:eastAsia="en-US"/>
              </w:rPr>
              <w:t>y/y v %)</w:t>
            </w:r>
          </w:p>
        </w:tc>
        <w:tc>
          <w:tcPr>
            <w:tcW w:w="429" w:type="pct"/>
          </w:tcPr>
          <w:p w:rsidR="004F2A4D" w:rsidRPr="007E77FB" w:rsidRDefault="004F2A4D" w:rsidP="00AF5D62">
            <w:pPr>
              <w:pStyle w:val="Textpoznpodarou"/>
              <w:rPr>
                <w:lang w:eastAsia="en-US"/>
              </w:rPr>
            </w:pPr>
            <w:r w:rsidRPr="007E77FB">
              <w:rPr>
                <w:lang w:eastAsia="en-US"/>
              </w:rPr>
              <w:t>Graf č. 16</w:t>
            </w:r>
          </w:p>
        </w:tc>
        <w:tc>
          <w:tcPr>
            <w:tcW w:w="2063" w:type="pct"/>
          </w:tcPr>
          <w:p w:rsidR="004F2A4D" w:rsidRPr="00886A8F" w:rsidRDefault="004F2A4D" w:rsidP="00AF5D62">
            <w:pPr>
              <w:pStyle w:val="Textpoznpodarou"/>
              <w:rPr>
                <w:spacing w:val="-2"/>
                <w:lang w:eastAsia="en-US"/>
              </w:rPr>
            </w:pPr>
            <w:r>
              <w:rPr>
                <w:b/>
                <w:spacing w:val="-2"/>
                <w:lang w:eastAsia="en-US"/>
              </w:rPr>
              <w:t>H</w:t>
            </w:r>
            <w:r w:rsidRPr="00886A8F">
              <w:rPr>
                <w:b/>
                <w:spacing w:val="-2"/>
                <w:lang w:eastAsia="en-US"/>
              </w:rPr>
              <w:t xml:space="preserve">rubá měsíční mzda nominálně a reálně </w:t>
            </w:r>
            <w:r w:rsidRPr="00582DA0">
              <w:rPr>
                <w:spacing w:val="-6"/>
                <w:lang w:eastAsia="en-US"/>
              </w:rPr>
              <w:t>(přepočtené počty zaměstnanců, y/y v %)</w:t>
            </w:r>
          </w:p>
        </w:tc>
      </w:tr>
      <w:tr w:rsidR="004F2A4D" w:rsidTr="00AF5D62">
        <w:tc>
          <w:tcPr>
            <w:tcW w:w="2508" w:type="pct"/>
            <w:gridSpan w:val="2"/>
          </w:tcPr>
          <w:p w:rsidR="004F2A4D" w:rsidRDefault="00CE797F" w:rsidP="00AF5D62">
            <w:pPr>
              <w:pStyle w:val="Textpoznpodarou"/>
              <w:jc w:val="both"/>
            </w:pPr>
            <w:r>
              <w:pict>
                <v:shape id="_x0000_i1039" type="#_x0000_t75" style="width:239.7pt;height:177.7pt">
                  <v:imagedata r:id="rId27" o:title=""/>
                </v:shape>
              </w:pict>
            </w:r>
          </w:p>
        </w:tc>
        <w:tc>
          <w:tcPr>
            <w:tcW w:w="2492" w:type="pct"/>
            <w:gridSpan w:val="2"/>
          </w:tcPr>
          <w:p w:rsidR="004F2A4D" w:rsidRDefault="00CE797F" w:rsidP="00AF5D62">
            <w:pPr>
              <w:pStyle w:val="Textpoznpodarou"/>
              <w:jc w:val="both"/>
            </w:pPr>
            <w:r>
              <w:pict>
                <v:shape id="_x0000_i1040" type="#_x0000_t75" style="width:238.45pt;height:176.9pt">
                  <v:imagedata r:id="rId28" o:title=""/>
                </v:shape>
              </w:pict>
            </w:r>
          </w:p>
        </w:tc>
      </w:tr>
      <w:tr w:rsidR="004F2A4D" w:rsidTr="00AF5D62">
        <w:tc>
          <w:tcPr>
            <w:tcW w:w="5000" w:type="pct"/>
            <w:gridSpan w:val="4"/>
          </w:tcPr>
          <w:p w:rsidR="004F2A4D" w:rsidRPr="004C5813" w:rsidRDefault="004F2A4D" w:rsidP="00AF5D62">
            <w:pPr>
              <w:autoSpaceDE w:val="0"/>
              <w:autoSpaceDN w:val="0"/>
              <w:adjustRightInd w:val="0"/>
              <w:spacing w:line="240" w:lineRule="auto"/>
              <w:jc w:val="right"/>
              <w:rPr>
                <w:rFonts w:cs="Arial"/>
                <w:color w:val="000000" w:themeColor="text1"/>
                <w:spacing w:val="-2"/>
                <w:sz w:val="18"/>
                <w:szCs w:val="18"/>
              </w:rPr>
            </w:pPr>
            <w:r w:rsidRPr="00886A8F">
              <w:rPr>
                <w:sz w:val="18"/>
                <w:szCs w:val="18"/>
                <w:lang w:eastAsia="en-US"/>
              </w:rPr>
              <w:t>Zdroj: ČSÚ</w:t>
            </w:r>
          </w:p>
        </w:tc>
      </w:tr>
    </w:tbl>
    <w:p w:rsidR="0033229B" w:rsidRPr="00AA5F10" w:rsidRDefault="0033229B" w:rsidP="004762D8">
      <w:pPr>
        <w:rPr>
          <w:sz w:val="14"/>
          <w:szCs w:val="14"/>
          <w:lang w:eastAsia="ar-SA"/>
        </w:rPr>
      </w:pPr>
    </w:p>
    <w:p w:rsidR="00ED3A94" w:rsidRPr="007A4048" w:rsidRDefault="00ED3A94" w:rsidP="004762D8">
      <w:pPr>
        <w:rPr>
          <w:sz w:val="2"/>
          <w:szCs w:val="2"/>
          <w:lang w:eastAsia="ar-SA"/>
        </w:rPr>
      </w:pPr>
    </w:p>
    <w:p w:rsidR="00576A3E" w:rsidRDefault="00576A3E" w:rsidP="006D142E">
      <w:pPr>
        <w:pStyle w:val="Nadpis1"/>
        <w:numPr>
          <w:ilvl w:val="0"/>
          <w:numId w:val="3"/>
        </w:numPr>
        <w:jc w:val="both"/>
      </w:pPr>
      <w:bookmarkStart w:id="9" w:name="_Toc454185154"/>
      <w:r>
        <w:t>Měnové podmínky</w:t>
      </w:r>
      <w:bookmarkEnd w:id="9"/>
    </w:p>
    <w:tbl>
      <w:tblPr>
        <w:tblW w:w="5000" w:type="pct"/>
        <w:tblLayout w:type="fixed"/>
        <w:tblLook w:val="00A0"/>
      </w:tblPr>
      <w:tblGrid>
        <w:gridCol w:w="2077"/>
        <w:gridCol w:w="282"/>
        <w:gridCol w:w="7495"/>
      </w:tblGrid>
      <w:tr w:rsidR="00F90350" w:rsidRPr="00B444D2" w:rsidTr="00AF5D62">
        <w:tc>
          <w:tcPr>
            <w:tcW w:w="1054" w:type="pct"/>
          </w:tcPr>
          <w:p w:rsidR="00F90350" w:rsidRPr="00B960B3" w:rsidRDefault="00F90350" w:rsidP="00AF5D62">
            <w:pPr>
              <w:spacing w:line="240" w:lineRule="auto"/>
              <w:rPr>
                <w:color w:val="000000"/>
                <w:sz w:val="16"/>
                <w:szCs w:val="16"/>
              </w:rPr>
            </w:pPr>
            <w:r w:rsidRPr="00B960B3">
              <w:rPr>
                <w:color w:val="000000"/>
                <w:sz w:val="16"/>
                <w:szCs w:val="16"/>
              </w:rPr>
              <w:t xml:space="preserve">Měnová politika </w:t>
            </w:r>
            <w:r>
              <w:rPr>
                <w:color w:val="000000"/>
                <w:sz w:val="16"/>
                <w:szCs w:val="16"/>
              </w:rPr>
              <w:t xml:space="preserve">zůstávala v prvním pololetí </w:t>
            </w:r>
            <w:r w:rsidRPr="00B960B3">
              <w:rPr>
                <w:color w:val="000000"/>
                <w:sz w:val="16"/>
                <w:szCs w:val="16"/>
              </w:rPr>
              <w:t xml:space="preserve">stále uvolněná, </w:t>
            </w:r>
            <w:r>
              <w:rPr>
                <w:color w:val="000000"/>
                <w:sz w:val="16"/>
                <w:szCs w:val="16"/>
              </w:rPr>
              <w:t>kurz koruny k euru meziročně m</w:t>
            </w:r>
            <w:r w:rsidR="00AE7B2B">
              <w:rPr>
                <w:color w:val="000000"/>
                <w:sz w:val="16"/>
                <w:szCs w:val="16"/>
              </w:rPr>
              <w:t>írně posílil ve vztahu k euru i </w:t>
            </w:r>
            <w:r>
              <w:rPr>
                <w:color w:val="000000"/>
                <w:sz w:val="16"/>
                <w:szCs w:val="16"/>
              </w:rPr>
              <w:t>dolaru</w:t>
            </w:r>
          </w:p>
        </w:tc>
        <w:tc>
          <w:tcPr>
            <w:tcW w:w="143" w:type="pct"/>
          </w:tcPr>
          <w:p w:rsidR="00F90350" w:rsidRPr="00C05F70" w:rsidRDefault="00F90350" w:rsidP="00AF5D62">
            <w:pPr>
              <w:pStyle w:val="Textpoznpodarou"/>
              <w:jc w:val="both"/>
            </w:pPr>
          </w:p>
        </w:tc>
        <w:tc>
          <w:tcPr>
            <w:tcW w:w="3803" w:type="pct"/>
          </w:tcPr>
          <w:p w:rsidR="00F90350" w:rsidRPr="0003705E" w:rsidRDefault="00F90350" w:rsidP="00AF5D62">
            <w:pPr>
              <w:pStyle w:val="Textpoznpodarou"/>
              <w:jc w:val="both"/>
              <w:rPr>
                <w:spacing w:val="-4"/>
              </w:rPr>
            </w:pPr>
            <w:r w:rsidRPr="0003705E">
              <w:rPr>
                <w:spacing w:val="-4"/>
              </w:rPr>
              <w:t>V prvním pololetí stále přetrvávala uvolněná měnová politika ČR stimulující hospodářský růst</w:t>
            </w:r>
            <w:r w:rsidR="00E25999">
              <w:rPr>
                <w:spacing w:val="-4"/>
              </w:rPr>
              <w:t xml:space="preserve"> domácí ekonomiky i cenový růst</w:t>
            </w:r>
            <w:r w:rsidRPr="0003705E">
              <w:rPr>
                <w:spacing w:val="-4"/>
              </w:rPr>
              <w:t xml:space="preserve">. Beze změny zůstaly ve druhém čtvrtletí i 2T </w:t>
            </w:r>
            <w:proofErr w:type="spellStart"/>
            <w:r w:rsidRPr="0003705E">
              <w:rPr>
                <w:spacing w:val="-4"/>
              </w:rPr>
              <w:t>repo</w:t>
            </w:r>
            <w:proofErr w:type="spellEnd"/>
            <w:r w:rsidRPr="0003705E">
              <w:rPr>
                <w:spacing w:val="-4"/>
              </w:rPr>
              <w:t xml:space="preserve"> sazba a diskontní sazba (0,0</w:t>
            </w:r>
            <w:r w:rsidR="00FA1992">
              <w:rPr>
                <w:spacing w:val="-4"/>
              </w:rPr>
              <w:t>5 %) a nedošlo ke změně ani u </w:t>
            </w:r>
            <w:r w:rsidRPr="0003705E">
              <w:rPr>
                <w:spacing w:val="-4"/>
              </w:rPr>
              <w:t>lombardní sazby (0,25 %). Měnový kurz koruny k euru je od listopadu 2013 usměrňovaný závazkem ČNB. Kurz koruny k americkému dolaru kolísá od počátku loňského roku kolem 25 korun za dolar; ve 2. čtvrtletí 2016 klesl na 23,945 korun za dolar. Ve 2. čtvrtletí 2016 byla koruna k euru v meziroč</w:t>
            </w:r>
            <w:r w:rsidR="00FA1992">
              <w:rPr>
                <w:spacing w:val="-4"/>
              </w:rPr>
              <w:t>ním srovnání silnější o 1,2 % a </w:t>
            </w:r>
            <w:r w:rsidRPr="0003705E">
              <w:rPr>
                <w:spacing w:val="-4"/>
              </w:rPr>
              <w:t>udržela se ve stejné výši jako v 1. čtvrtletí 2016 (těsně u hranice 27 korun za euro). Peněžní zásoba vyjádřená harmonizovaným měnovým agregátem M3 narostla v červnu 2016 meziročně o 9,7 %.</w:t>
            </w:r>
          </w:p>
          <w:p w:rsidR="00F90350" w:rsidRPr="0003705E" w:rsidRDefault="00F90350" w:rsidP="00AF5D62">
            <w:pPr>
              <w:pStyle w:val="Textpoznpodarou"/>
              <w:jc w:val="both"/>
              <w:rPr>
                <w:spacing w:val="-4"/>
                <w:sz w:val="14"/>
                <w:szCs w:val="14"/>
              </w:rPr>
            </w:pPr>
          </w:p>
        </w:tc>
      </w:tr>
      <w:tr w:rsidR="00F90350" w:rsidRPr="00B444D2" w:rsidTr="00AF5D62">
        <w:tc>
          <w:tcPr>
            <w:tcW w:w="1054" w:type="pct"/>
            <w:shd w:val="clear" w:color="auto" w:fill="auto"/>
          </w:tcPr>
          <w:p w:rsidR="00F90350" w:rsidRPr="00B960B3" w:rsidRDefault="00F90350" w:rsidP="00AF5D62">
            <w:pPr>
              <w:spacing w:line="240" w:lineRule="auto"/>
              <w:rPr>
                <w:color w:val="000000"/>
                <w:sz w:val="16"/>
                <w:szCs w:val="16"/>
              </w:rPr>
            </w:pPr>
            <w:r w:rsidRPr="006D03D4">
              <w:rPr>
                <w:color w:val="000000"/>
                <w:sz w:val="16"/>
                <w:szCs w:val="16"/>
              </w:rPr>
              <w:t>Meziroční růst peněžní</w:t>
            </w:r>
            <w:r>
              <w:rPr>
                <w:color w:val="000000"/>
                <w:sz w:val="16"/>
                <w:szCs w:val="16"/>
              </w:rPr>
              <w:t>ch</w:t>
            </w:r>
            <w:r w:rsidRPr="006D03D4">
              <w:rPr>
                <w:color w:val="000000"/>
                <w:sz w:val="16"/>
                <w:szCs w:val="16"/>
              </w:rPr>
              <w:t xml:space="preserve"> zásob ovlivňovaly především jednodenní vklady</w:t>
            </w:r>
          </w:p>
        </w:tc>
        <w:tc>
          <w:tcPr>
            <w:tcW w:w="143" w:type="pct"/>
          </w:tcPr>
          <w:p w:rsidR="00F90350" w:rsidRPr="00C05F70" w:rsidRDefault="00F90350" w:rsidP="00AF5D62">
            <w:pPr>
              <w:pStyle w:val="Textpoznpodarou"/>
              <w:jc w:val="both"/>
            </w:pPr>
          </w:p>
        </w:tc>
        <w:tc>
          <w:tcPr>
            <w:tcW w:w="3803" w:type="pct"/>
          </w:tcPr>
          <w:p w:rsidR="00F90350" w:rsidRPr="0003705E" w:rsidRDefault="00F90350" w:rsidP="00AF5D62">
            <w:pPr>
              <w:pStyle w:val="Textpoznpodarou"/>
              <w:jc w:val="both"/>
              <w:rPr>
                <w:spacing w:val="-4"/>
              </w:rPr>
            </w:pPr>
            <w:r w:rsidRPr="0003705E">
              <w:rPr>
                <w:spacing w:val="-4"/>
              </w:rPr>
              <w:t>Peněžní zásoba (M3) dosáhla koncem 2. čtvrtletí 2016 výše 3 708 mld. korun. Na jejím meziročním růstu o 380,8 mld. korun se podílel zejména nárůst objemu nejlikvidnějších peněz – jednodenních vkladů (o  305 mld. korun) a oběživa (o 41 mld. korun). Odrazem je i jejich největší podíl na peněžní zásobě (M3), který ve 2. čtvrtletí 2016 činil 88,2 %. Naopak vklady se splatností do dvou let se v prostředí nízkých úrokových sazeb téměř bez přestání snižují od září 2012 (proti 2. čtvrtletí 2015 o 35,5 mld. korun), stejně jako vklady s výpovědní lhůtou do</w:t>
            </w:r>
            <w:r w:rsidR="00FA1992">
              <w:rPr>
                <w:spacing w:val="-4"/>
              </w:rPr>
              <w:t xml:space="preserve"> tří měsíců, které se snížily o </w:t>
            </w:r>
            <w:r w:rsidRPr="0003705E">
              <w:rPr>
                <w:spacing w:val="-4"/>
              </w:rPr>
              <w:t xml:space="preserve">32,6 mld. Nejméně likvidní peníze zahrnující </w:t>
            </w:r>
            <w:proofErr w:type="spellStart"/>
            <w:r w:rsidRPr="0003705E">
              <w:rPr>
                <w:spacing w:val="-4"/>
              </w:rPr>
              <w:t>repo</w:t>
            </w:r>
            <w:proofErr w:type="spellEnd"/>
            <w:r w:rsidRPr="0003705E">
              <w:rPr>
                <w:spacing w:val="-4"/>
              </w:rPr>
              <w:t xml:space="preserve"> operace, cenné papíry fondů peněžního trhu a dluhopisy se splatností do dvou let, které tvoří necelé 1 % peněžní zásoby, se zvýšily z 10 mld. korun v červnu 2015 na 17 mld. korun v červnu 2016.</w:t>
            </w:r>
          </w:p>
          <w:p w:rsidR="00F90350" w:rsidRPr="0003705E" w:rsidRDefault="00F90350" w:rsidP="00AF5D62">
            <w:pPr>
              <w:pStyle w:val="Textpoznpodarou"/>
              <w:jc w:val="both"/>
              <w:rPr>
                <w:spacing w:val="-4"/>
                <w:sz w:val="14"/>
                <w:szCs w:val="14"/>
              </w:rPr>
            </w:pPr>
          </w:p>
        </w:tc>
      </w:tr>
      <w:tr w:rsidR="00F90350" w:rsidRPr="00B444D2" w:rsidTr="00AF5D62">
        <w:tc>
          <w:tcPr>
            <w:tcW w:w="1054" w:type="pct"/>
            <w:shd w:val="clear" w:color="auto" w:fill="auto"/>
          </w:tcPr>
          <w:p w:rsidR="00F90350" w:rsidRPr="006A597E" w:rsidRDefault="00F90350" w:rsidP="00AF5D62">
            <w:pPr>
              <w:spacing w:line="240" w:lineRule="auto"/>
              <w:rPr>
                <w:color w:val="000000"/>
                <w:sz w:val="16"/>
                <w:szCs w:val="16"/>
              </w:rPr>
            </w:pPr>
            <w:r w:rsidRPr="006A597E">
              <w:rPr>
                <w:color w:val="000000"/>
                <w:sz w:val="16"/>
                <w:szCs w:val="16"/>
              </w:rPr>
              <w:t>Dlouhodobá preference likvidity přetrvává</w:t>
            </w:r>
          </w:p>
        </w:tc>
        <w:tc>
          <w:tcPr>
            <w:tcW w:w="143" w:type="pct"/>
          </w:tcPr>
          <w:p w:rsidR="00F90350" w:rsidRPr="00C05F70" w:rsidRDefault="00F90350" w:rsidP="00AF5D62">
            <w:pPr>
              <w:pStyle w:val="Textpoznpodarou"/>
              <w:jc w:val="both"/>
            </w:pPr>
          </w:p>
        </w:tc>
        <w:tc>
          <w:tcPr>
            <w:tcW w:w="3803" w:type="pct"/>
          </w:tcPr>
          <w:p w:rsidR="00F90350" w:rsidRPr="0003705E" w:rsidRDefault="00F90350" w:rsidP="00AF5D62">
            <w:pPr>
              <w:pStyle w:val="Textpoznpodarou"/>
              <w:jc w:val="both"/>
              <w:rPr>
                <w:spacing w:val="-4"/>
              </w:rPr>
            </w:pPr>
            <w:r w:rsidRPr="0003705E">
              <w:rPr>
                <w:spacing w:val="-4"/>
              </w:rPr>
              <w:t>Dlouhodobý nárůst preference likvidity ze strany vkladatelů (umocněný nízkými úrokovými sazbami na vkladech se splatností a vkladech s výpovědní lhůtou) se projevuje zejména u domá</w:t>
            </w:r>
            <w:r w:rsidR="00E25999">
              <w:rPr>
                <w:spacing w:val="-4"/>
              </w:rPr>
              <w:t>cností a nefinančních podniků (</w:t>
            </w:r>
            <w:r w:rsidRPr="0003705E">
              <w:rPr>
                <w:spacing w:val="-4"/>
              </w:rPr>
              <w:t xml:space="preserve">s tím, že vklady těchto sektorů tvořily ve 2. čtvrtletí 84 % rezidentských vkladů). Jednodenní vklady domácností se meziročně zvýšily o 13,3 % a nefinančních podniků o 9,6 %.  </w:t>
            </w:r>
          </w:p>
          <w:p w:rsidR="00F90350" w:rsidRPr="0003705E" w:rsidRDefault="00F90350" w:rsidP="00AF5D62">
            <w:pPr>
              <w:pStyle w:val="Textpoznpodarou"/>
              <w:jc w:val="both"/>
              <w:rPr>
                <w:spacing w:val="-4"/>
                <w:sz w:val="14"/>
                <w:szCs w:val="14"/>
              </w:rPr>
            </w:pPr>
          </w:p>
        </w:tc>
      </w:tr>
      <w:tr w:rsidR="00F90350" w:rsidRPr="00B444D2" w:rsidTr="00AF5D62">
        <w:tc>
          <w:tcPr>
            <w:tcW w:w="1054" w:type="pct"/>
            <w:shd w:val="clear" w:color="auto" w:fill="auto"/>
          </w:tcPr>
          <w:p w:rsidR="00F90350" w:rsidRPr="00434D5A" w:rsidRDefault="00F90350" w:rsidP="00AF5D62">
            <w:pPr>
              <w:spacing w:line="240" w:lineRule="auto"/>
              <w:rPr>
                <w:color w:val="000000"/>
                <w:sz w:val="16"/>
                <w:szCs w:val="16"/>
              </w:rPr>
            </w:pPr>
            <w:r w:rsidRPr="00434D5A">
              <w:rPr>
                <w:color w:val="000000"/>
                <w:sz w:val="16"/>
                <w:szCs w:val="16"/>
              </w:rPr>
              <w:t>Průměrné výnosy státních dluhopisů zůstávají rekordně</w:t>
            </w:r>
            <w:r w:rsidR="00AE7B2B">
              <w:rPr>
                <w:color w:val="000000"/>
                <w:sz w:val="16"/>
                <w:szCs w:val="16"/>
              </w:rPr>
              <w:t xml:space="preserve"> nízké, v některých případech i</w:t>
            </w:r>
            <w:r w:rsidR="00AE7B2B" w:rsidRPr="00434D5A">
              <w:rPr>
                <w:color w:val="000000"/>
                <w:sz w:val="16"/>
                <w:szCs w:val="16"/>
              </w:rPr>
              <w:t> </w:t>
            </w:r>
            <w:r w:rsidRPr="00434D5A">
              <w:rPr>
                <w:color w:val="000000"/>
                <w:sz w:val="16"/>
                <w:szCs w:val="16"/>
              </w:rPr>
              <w:t>záporné</w:t>
            </w:r>
          </w:p>
        </w:tc>
        <w:tc>
          <w:tcPr>
            <w:tcW w:w="143" w:type="pct"/>
          </w:tcPr>
          <w:p w:rsidR="00F90350" w:rsidRPr="00C05F70" w:rsidRDefault="00F90350" w:rsidP="00AF5D62">
            <w:pPr>
              <w:pStyle w:val="Textpoznpodarou"/>
              <w:jc w:val="both"/>
            </w:pPr>
          </w:p>
        </w:tc>
        <w:tc>
          <w:tcPr>
            <w:tcW w:w="3803" w:type="pct"/>
          </w:tcPr>
          <w:p w:rsidR="00F90350" w:rsidRPr="0003705E" w:rsidRDefault="00F90350" w:rsidP="00AF5D62">
            <w:pPr>
              <w:pStyle w:val="Textpoznpodarou"/>
              <w:jc w:val="both"/>
              <w:rPr>
                <w:spacing w:val="-4"/>
              </w:rPr>
            </w:pPr>
            <w:r w:rsidRPr="0003705E">
              <w:rPr>
                <w:spacing w:val="-4"/>
              </w:rPr>
              <w:t xml:space="preserve">Tržní úrokové sazby stále zůstávají v České republice na rekordně nízkých hodnotách. Sazby na mezibankovním trhu odrážejí téměř nulové základní měnově-politické sazby ČNB. Diskontní sazba, která se promítá v úročení depozit komerčních bank, zůstává od konce roku 2012 stále na 0,05 %, obdobně jako </w:t>
            </w:r>
            <w:proofErr w:type="spellStart"/>
            <w:r w:rsidRPr="0003705E">
              <w:rPr>
                <w:spacing w:val="-4"/>
              </w:rPr>
              <w:t>repo</w:t>
            </w:r>
            <w:proofErr w:type="spellEnd"/>
            <w:r w:rsidRPr="0003705E">
              <w:rPr>
                <w:spacing w:val="-4"/>
              </w:rPr>
              <w:t xml:space="preserve"> sazba. Na stejné úr</w:t>
            </w:r>
            <w:r w:rsidR="00E25999">
              <w:rPr>
                <w:spacing w:val="-4"/>
              </w:rPr>
              <w:t xml:space="preserve">ovni zůstává i lombardní sazba </w:t>
            </w:r>
            <w:r w:rsidRPr="0003705E">
              <w:rPr>
                <w:spacing w:val="-4"/>
              </w:rPr>
              <w:t>z poskytovaných půjček komerčním bankám (0,25 %). Průměrný výnos z desetiletých státních dluhopisů je od listopadu 2015 pod 0,50 %; v červnu 2016 činil 0,45 %. Pokud jde o státní dluhopisy se zbytkovou splatností 2 roky, jejich „výnosy“ jsou od července 2015 záporné (-0,05 % v červnu 2016 ve srovnání  s 0,11 % v červnu 2015). Ve druhém čtvrtletí 2016 zůstávají prakticky všechny úrokové sazby PRIBOR na stejné úrovni, a to od října 2015, s tím, že relativně nejnižší sazbu vykazuje j</w:t>
            </w:r>
            <w:r w:rsidR="00FA1992">
              <w:rPr>
                <w:spacing w:val="-4"/>
              </w:rPr>
              <w:t>ednodenní PRIBOR (0,13 %) a </w:t>
            </w:r>
            <w:r w:rsidRPr="0003705E">
              <w:rPr>
                <w:spacing w:val="-4"/>
              </w:rPr>
              <w:t>relativně nejvyšší sazbu (0,41 %) 9měsíční PRIBOR (od února 2016).</w:t>
            </w:r>
          </w:p>
          <w:p w:rsidR="00F90350" w:rsidRPr="00AF5D62" w:rsidRDefault="00F90350" w:rsidP="00AF5D62">
            <w:pPr>
              <w:pStyle w:val="Textpoznpodarou"/>
              <w:jc w:val="both"/>
              <w:rPr>
                <w:spacing w:val="-4"/>
                <w:sz w:val="6"/>
                <w:szCs w:val="6"/>
              </w:rPr>
            </w:pPr>
          </w:p>
        </w:tc>
      </w:tr>
      <w:tr w:rsidR="00F90350" w:rsidRPr="00B444D2" w:rsidTr="00AF5D62">
        <w:tc>
          <w:tcPr>
            <w:tcW w:w="1054" w:type="pct"/>
            <w:shd w:val="clear" w:color="auto" w:fill="auto"/>
          </w:tcPr>
          <w:p w:rsidR="00F90350" w:rsidRPr="00434D5A" w:rsidRDefault="00F90350" w:rsidP="00AF5D62">
            <w:pPr>
              <w:spacing w:line="240" w:lineRule="auto"/>
              <w:rPr>
                <w:color w:val="000000"/>
                <w:sz w:val="16"/>
                <w:szCs w:val="16"/>
              </w:rPr>
            </w:pPr>
            <w:r w:rsidRPr="00434D5A">
              <w:rPr>
                <w:color w:val="000000"/>
                <w:sz w:val="16"/>
                <w:szCs w:val="16"/>
              </w:rPr>
              <w:lastRenderedPageBreak/>
              <w:t>Střadatelé čelí historicky nejnižším úrokům ze svých vkladů</w:t>
            </w:r>
          </w:p>
        </w:tc>
        <w:tc>
          <w:tcPr>
            <w:tcW w:w="143" w:type="pct"/>
          </w:tcPr>
          <w:p w:rsidR="00F90350" w:rsidRPr="00C05F70" w:rsidRDefault="00F90350" w:rsidP="00AF5D62">
            <w:pPr>
              <w:pStyle w:val="Textpoznpodarou"/>
              <w:jc w:val="both"/>
            </w:pPr>
          </w:p>
        </w:tc>
        <w:tc>
          <w:tcPr>
            <w:tcW w:w="3803" w:type="pct"/>
          </w:tcPr>
          <w:p w:rsidR="00F90350" w:rsidRPr="0003705E" w:rsidRDefault="00F90350" w:rsidP="00AF5D62">
            <w:pPr>
              <w:pStyle w:val="Textpoznpodarou"/>
              <w:jc w:val="both"/>
              <w:rPr>
                <w:spacing w:val="-4"/>
              </w:rPr>
            </w:pPr>
            <w:r w:rsidRPr="0003705E">
              <w:rPr>
                <w:spacing w:val="-4"/>
              </w:rPr>
              <w:t>Vývoj na finančních trzích se přenáší i do nízké úrovně úrokových sazeb – depozitních sazeb a sazeb z úvěrů. Úrokové sazby na nově sjednávané jednodenní vklady domácností a neziskových organizací poskytujících služby domácnostem (NISD) dlouhodobě klesají a v červnu 2016 jako historicky nejnižší činily 0,15 % (ve srovnání s  0,19 % v červnu 2015). Rekordně nízké výnosy získávaly ze svých „nových“ jednodenních depozit i nefinanční podniky (0,06 %, proti 0,12 % v červnu 2015). Sazby na termínovaných vkladech (vkladech se splatností a výpovědní lhůtou) se celkově pohybují rovněž na nízkých úrovních. I když úrokové sazby z termínovaných vkladů domácností a NISD rovněž trvale klesají, jejich úroveň je ve srovnání se sazbami u nefinančních podniků vyšší. U domácností a NISD z vkladů s dohodnutou splatností činily ve druhém čtvrtletí letošního roku 1,27 % (proti 1,57 % ve stejném období 2015) a z vkladů s výpovědní lhůtou 1,11 % (proti 1,4 %); úrokové sazby z vkladů s dohodnutou splatností činily u nefinančních podniků 0,08 % (proti 0,24%) a z vkladů s výpovědní lhůtou 0,47 % (proti 0,7</w:t>
            </w:r>
            <w:r w:rsidR="00E25999">
              <w:rPr>
                <w:spacing w:val="-4"/>
              </w:rPr>
              <w:t xml:space="preserve"> </w:t>
            </w:r>
            <w:r w:rsidRPr="0003705E">
              <w:rPr>
                <w:spacing w:val="-4"/>
              </w:rPr>
              <w:t>%).</w:t>
            </w:r>
          </w:p>
          <w:p w:rsidR="00F90350" w:rsidRPr="0003705E" w:rsidRDefault="00F90350" w:rsidP="00AF5D62">
            <w:pPr>
              <w:pStyle w:val="Textpoznpodarou"/>
              <w:jc w:val="both"/>
              <w:rPr>
                <w:spacing w:val="-4"/>
                <w:sz w:val="14"/>
                <w:szCs w:val="14"/>
              </w:rPr>
            </w:pPr>
          </w:p>
        </w:tc>
      </w:tr>
      <w:tr w:rsidR="00F90350" w:rsidRPr="00B444D2" w:rsidTr="00AF5D62">
        <w:tc>
          <w:tcPr>
            <w:tcW w:w="1054" w:type="pct"/>
          </w:tcPr>
          <w:p w:rsidR="00F90350" w:rsidRPr="00B960B3" w:rsidRDefault="00F90350" w:rsidP="00AF5D62">
            <w:pPr>
              <w:spacing w:line="240" w:lineRule="auto"/>
              <w:rPr>
                <w:color w:val="000000"/>
                <w:sz w:val="16"/>
                <w:szCs w:val="16"/>
              </w:rPr>
            </w:pPr>
            <w:r>
              <w:rPr>
                <w:color w:val="000000"/>
                <w:sz w:val="16"/>
                <w:szCs w:val="16"/>
              </w:rPr>
              <w:t>Rekordně nízké úr</w:t>
            </w:r>
            <w:r w:rsidR="00AE7B2B">
              <w:rPr>
                <w:color w:val="000000"/>
                <w:sz w:val="16"/>
                <w:szCs w:val="16"/>
              </w:rPr>
              <w:t>okové sazby jsou i na bydlení a</w:t>
            </w:r>
            <w:r w:rsidR="00AE7B2B" w:rsidRPr="00434D5A">
              <w:rPr>
                <w:color w:val="000000"/>
                <w:sz w:val="16"/>
                <w:szCs w:val="16"/>
              </w:rPr>
              <w:t> </w:t>
            </w:r>
            <w:r>
              <w:rPr>
                <w:color w:val="000000"/>
                <w:sz w:val="16"/>
                <w:szCs w:val="16"/>
              </w:rPr>
              <w:t>spotřebu</w:t>
            </w:r>
          </w:p>
        </w:tc>
        <w:tc>
          <w:tcPr>
            <w:tcW w:w="143" w:type="pct"/>
          </w:tcPr>
          <w:p w:rsidR="00F90350" w:rsidRPr="00C05F70" w:rsidRDefault="00F90350" w:rsidP="00AF5D62">
            <w:pPr>
              <w:pStyle w:val="Textpoznpodarou"/>
              <w:jc w:val="both"/>
            </w:pPr>
          </w:p>
        </w:tc>
        <w:tc>
          <w:tcPr>
            <w:tcW w:w="3803" w:type="pct"/>
          </w:tcPr>
          <w:p w:rsidR="00F90350" w:rsidRPr="0003705E" w:rsidRDefault="00F90350" w:rsidP="00AF5D62">
            <w:pPr>
              <w:pStyle w:val="Textpoznpodarou"/>
              <w:jc w:val="both"/>
              <w:rPr>
                <w:spacing w:val="-4"/>
              </w:rPr>
            </w:pPr>
            <w:r w:rsidRPr="0003705E">
              <w:rPr>
                <w:spacing w:val="-4"/>
              </w:rPr>
              <w:t xml:space="preserve">Úrokové sazby z úvěrů poskytnutých domácnostem a NISD na spotřebu </w:t>
            </w:r>
            <w:r w:rsidRPr="0003705E">
              <w:rPr>
                <w:spacing w:val="-4"/>
              </w:rPr>
              <w:br/>
              <w:t>a nákup bytových nemovitostí vykazují (s určitým mírným kolísáním) od roku 2012 trvalý pokles. Úrokové sazby z úvěrů na spotřebu se v červnu 2016 ve srovnání s červnem 2015 (12,6 %) snížily na 10,7 % a na nákup bytových nemovitostí se ve stejném období snížily z 2,51 % na 2,25 %. Úrokové sazby z úvěrů poskytnutých nefinančním podnikům (bez kontokorentů, rev</w:t>
            </w:r>
            <w:r w:rsidR="00FA1992">
              <w:rPr>
                <w:spacing w:val="-4"/>
              </w:rPr>
              <w:t>olvingových úvěrů, pohledávek a </w:t>
            </w:r>
            <w:r w:rsidRPr="0003705E">
              <w:rPr>
                <w:spacing w:val="-4"/>
              </w:rPr>
              <w:t>kreditních karet) kolísají kolem 2 % a ve 2. čtvrtletí 2</w:t>
            </w:r>
            <w:r w:rsidR="00FA1992">
              <w:rPr>
                <w:spacing w:val="-4"/>
              </w:rPr>
              <w:t>016 se zvýšily na 2,12 % z 1,92 </w:t>
            </w:r>
            <w:r w:rsidRPr="0003705E">
              <w:rPr>
                <w:spacing w:val="-4"/>
              </w:rPr>
              <w:t>% ve 2. čtvrtletí 2015.</w:t>
            </w:r>
          </w:p>
          <w:p w:rsidR="00F90350" w:rsidRPr="0003705E" w:rsidRDefault="00F90350" w:rsidP="00AF5D62">
            <w:pPr>
              <w:pStyle w:val="Textpoznpodarou"/>
              <w:jc w:val="both"/>
              <w:rPr>
                <w:spacing w:val="-4"/>
                <w:sz w:val="14"/>
                <w:szCs w:val="14"/>
              </w:rPr>
            </w:pPr>
          </w:p>
        </w:tc>
      </w:tr>
      <w:tr w:rsidR="00F90350" w:rsidRPr="00B444D2" w:rsidTr="00AF5D62">
        <w:tc>
          <w:tcPr>
            <w:tcW w:w="1054" w:type="pct"/>
          </w:tcPr>
          <w:p w:rsidR="00F90350" w:rsidRPr="00503B1F" w:rsidRDefault="00F90350" w:rsidP="00AF5D62">
            <w:pPr>
              <w:spacing w:line="240" w:lineRule="auto"/>
              <w:rPr>
                <w:color w:val="000000"/>
                <w:sz w:val="16"/>
                <w:szCs w:val="16"/>
              </w:rPr>
            </w:pPr>
            <w:r w:rsidRPr="00503B1F">
              <w:rPr>
                <w:color w:val="000000"/>
                <w:sz w:val="16"/>
                <w:szCs w:val="16"/>
              </w:rPr>
              <w:t>Zájem domácností o</w:t>
            </w:r>
            <w:r>
              <w:rPr>
                <w:color w:val="000000"/>
                <w:sz w:val="16"/>
                <w:szCs w:val="16"/>
              </w:rPr>
              <w:t> </w:t>
            </w:r>
            <w:r w:rsidRPr="00503B1F">
              <w:rPr>
                <w:color w:val="000000"/>
                <w:sz w:val="16"/>
                <w:szCs w:val="16"/>
              </w:rPr>
              <w:t>úvěry na bydlení byl rekordní</w:t>
            </w:r>
          </w:p>
        </w:tc>
        <w:tc>
          <w:tcPr>
            <w:tcW w:w="143" w:type="pct"/>
          </w:tcPr>
          <w:p w:rsidR="00F90350" w:rsidRPr="00C05F70" w:rsidRDefault="00F90350" w:rsidP="00AF5D62">
            <w:pPr>
              <w:pStyle w:val="Textpoznpodarou"/>
              <w:jc w:val="both"/>
            </w:pPr>
          </w:p>
        </w:tc>
        <w:tc>
          <w:tcPr>
            <w:tcW w:w="3803" w:type="pct"/>
          </w:tcPr>
          <w:p w:rsidR="00F90350" w:rsidRPr="0003705E" w:rsidRDefault="00F90350" w:rsidP="00AF5D62">
            <w:pPr>
              <w:pStyle w:val="Textpoznpodarou"/>
              <w:jc w:val="both"/>
              <w:rPr>
                <w:spacing w:val="-4"/>
              </w:rPr>
            </w:pPr>
            <w:r w:rsidRPr="0003705E">
              <w:rPr>
                <w:spacing w:val="-4"/>
              </w:rPr>
              <w:t>I ve druhém čtvrtletí přetrvával zájem domácností o úvěrové financování. Projevovalo se to v růstu celkového stavu úvěrů, které koncem druhého čtvrtletí 2016 činily 1 358,6 mld. korun, včetně úvěrů v cizí měně. Mezi</w:t>
            </w:r>
            <w:r w:rsidR="00FA1992">
              <w:rPr>
                <w:spacing w:val="-4"/>
              </w:rPr>
              <w:t>ročně se tak zvýšily o 6,4 %. Z </w:t>
            </w:r>
            <w:r w:rsidRPr="0003705E">
              <w:rPr>
                <w:spacing w:val="-4"/>
              </w:rPr>
              <w:t>toho úvěry v národní měně dosáhly 1 356 mld. korun (meziročně se zvýšily rovněž o 6,4 %). Uvedené úvěrové zdroje věnuje obyvatelstvo především na bydlení, jejichž podíl tvoří téměř již tři čtvrtiny celkových úvěrů domácností (73,9 %). Současně se zde v určité míře projevuje zlepšené ekonomické postavení domácností z titulu rostoucí výkonnosti ekonomiky, a to ve vývoji úvěrů v selhání. Úvěry domácností na bydlení v selhání se meziročně snížily o 16,5 % na 22,9 mld. korun. K poklesu úvěrů v selhání došlo i u spotřebitelských úvěrů a úvěrů na nákup nemovitostí.</w:t>
            </w:r>
          </w:p>
          <w:p w:rsidR="00F90350" w:rsidRPr="0003705E" w:rsidRDefault="00F90350" w:rsidP="00AF5D62">
            <w:pPr>
              <w:pStyle w:val="Textpoznpodarou"/>
              <w:jc w:val="both"/>
              <w:rPr>
                <w:spacing w:val="-4"/>
                <w:sz w:val="14"/>
                <w:szCs w:val="14"/>
              </w:rPr>
            </w:pPr>
          </w:p>
        </w:tc>
      </w:tr>
      <w:tr w:rsidR="00F90350" w:rsidRPr="00B444D2" w:rsidTr="00AF5D62">
        <w:tc>
          <w:tcPr>
            <w:tcW w:w="1054" w:type="pct"/>
          </w:tcPr>
          <w:p w:rsidR="00F90350" w:rsidRPr="00B960B3" w:rsidRDefault="00F90350" w:rsidP="00AF5D62">
            <w:pPr>
              <w:spacing w:line="240" w:lineRule="auto"/>
              <w:rPr>
                <w:color w:val="000000"/>
                <w:sz w:val="16"/>
                <w:szCs w:val="16"/>
              </w:rPr>
            </w:pPr>
            <w:r>
              <w:rPr>
                <w:color w:val="000000"/>
                <w:sz w:val="16"/>
                <w:szCs w:val="16"/>
              </w:rPr>
              <w:t>Roste čerpání úvěrů u nefinančních podniků</w:t>
            </w:r>
          </w:p>
        </w:tc>
        <w:tc>
          <w:tcPr>
            <w:tcW w:w="143" w:type="pct"/>
          </w:tcPr>
          <w:p w:rsidR="00F90350" w:rsidRPr="00BF6BAD" w:rsidRDefault="00F90350" w:rsidP="00AF5D62">
            <w:pPr>
              <w:pStyle w:val="Textpoznpodarou"/>
              <w:jc w:val="both"/>
            </w:pPr>
          </w:p>
        </w:tc>
        <w:tc>
          <w:tcPr>
            <w:tcW w:w="3803" w:type="pct"/>
          </w:tcPr>
          <w:p w:rsidR="00F90350" w:rsidRPr="0003705E" w:rsidRDefault="00F90350" w:rsidP="00AF5D62">
            <w:pPr>
              <w:pStyle w:val="Textpoznpodarou"/>
              <w:jc w:val="both"/>
              <w:rPr>
                <w:spacing w:val="-5"/>
              </w:rPr>
            </w:pPr>
            <w:r w:rsidRPr="0003705E">
              <w:rPr>
                <w:spacing w:val="-5"/>
              </w:rPr>
              <w:t>Čerpání úvěrových prostředků se zvyšuje i u nefinančních podniků. V červnu 2016 přijaly úvěry ve výši 966,6 mld. korun (včetně úvěrů v cizí měně), tj. ve srovnání s  červnem 2015 o 6,6 %. V úvěrech poskytovaných veřejným nefinančním podnikům (které se na úvěrech pro nefinanční podniky podílejí 2,7 %) se projevuje určité kolísání.</w:t>
            </w:r>
          </w:p>
          <w:p w:rsidR="00F90350" w:rsidRPr="0003705E" w:rsidRDefault="00F90350" w:rsidP="00AF5D62">
            <w:pPr>
              <w:pStyle w:val="Textpoznpodarou"/>
              <w:jc w:val="both"/>
              <w:rPr>
                <w:spacing w:val="-4"/>
                <w:sz w:val="14"/>
                <w:szCs w:val="14"/>
              </w:rPr>
            </w:pPr>
          </w:p>
        </w:tc>
      </w:tr>
      <w:tr w:rsidR="00F90350" w:rsidRPr="00B444D2" w:rsidTr="00AF5D62">
        <w:tc>
          <w:tcPr>
            <w:tcW w:w="1054" w:type="pct"/>
          </w:tcPr>
          <w:p w:rsidR="00F90350" w:rsidRPr="00C27C9A" w:rsidRDefault="00F90350" w:rsidP="00AF5D62">
            <w:pPr>
              <w:spacing w:line="240" w:lineRule="auto"/>
              <w:rPr>
                <w:color w:val="000000"/>
                <w:sz w:val="16"/>
                <w:szCs w:val="16"/>
                <w:highlight w:val="yellow"/>
              </w:rPr>
            </w:pPr>
            <w:r w:rsidRPr="00346DD6">
              <w:rPr>
                <w:color w:val="000000"/>
                <w:sz w:val="16"/>
                <w:szCs w:val="16"/>
              </w:rPr>
              <w:t xml:space="preserve">Celková zadluženost domácností roste, meziročně o 82 mld. </w:t>
            </w:r>
            <w:r>
              <w:rPr>
                <w:color w:val="000000"/>
                <w:sz w:val="16"/>
                <w:szCs w:val="16"/>
              </w:rPr>
              <w:t>korun,</w:t>
            </w:r>
            <w:r w:rsidRPr="00346DD6">
              <w:rPr>
                <w:color w:val="000000"/>
                <w:sz w:val="16"/>
                <w:szCs w:val="16"/>
              </w:rPr>
              <w:t xml:space="preserve"> především díky úvěrům na bydlení</w:t>
            </w:r>
          </w:p>
        </w:tc>
        <w:tc>
          <w:tcPr>
            <w:tcW w:w="143" w:type="pct"/>
          </w:tcPr>
          <w:p w:rsidR="00F90350" w:rsidRPr="009210D0" w:rsidRDefault="00F90350" w:rsidP="00AF5D62">
            <w:pPr>
              <w:pStyle w:val="Textpoznpodarou"/>
              <w:jc w:val="both"/>
              <w:rPr>
                <w:color w:val="FF0000"/>
              </w:rPr>
            </w:pPr>
          </w:p>
        </w:tc>
        <w:tc>
          <w:tcPr>
            <w:tcW w:w="3803" w:type="pct"/>
          </w:tcPr>
          <w:p w:rsidR="00F90350" w:rsidRPr="0003705E" w:rsidRDefault="00F90350" w:rsidP="00AF5D62">
            <w:pPr>
              <w:pStyle w:val="Textpoznpodarou"/>
              <w:jc w:val="both"/>
              <w:rPr>
                <w:spacing w:val="-4"/>
              </w:rPr>
            </w:pPr>
            <w:r w:rsidRPr="0003705E">
              <w:rPr>
                <w:spacing w:val="-4"/>
              </w:rPr>
              <w:t>V červnu 2016 dosáhl celkový dluh domácností 1 369 mld. korun a proti stejnému měsíci předchozího roku narostl o 82 mld. Obdobně jako v 1. čtvrtletí se na nárůstu</w:t>
            </w:r>
            <w:r w:rsidR="0003705E">
              <w:rPr>
                <w:spacing w:val="-4"/>
              </w:rPr>
              <w:t xml:space="preserve"> zadluženosti podílely </w:t>
            </w:r>
            <w:r w:rsidR="00AF5D62">
              <w:rPr>
                <w:spacing w:val="-4"/>
              </w:rPr>
              <w:t>především</w:t>
            </w:r>
            <w:r w:rsidRPr="0003705E">
              <w:rPr>
                <w:spacing w:val="-4"/>
              </w:rPr>
              <w:t xml:space="preserve"> úvěry na bydlení, které meziročně vzrostly o 79 mld. korun.</w:t>
            </w:r>
          </w:p>
        </w:tc>
      </w:tr>
    </w:tbl>
    <w:p w:rsidR="00ED3A94" w:rsidRDefault="00ED3A94" w:rsidP="00960769">
      <w:pPr>
        <w:rPr>
          <w:sz w:val="14"/>
          <w:szCs w:val="14"/>
        </w:rPr>
      </w:pPr>
    </w:p>
    <w:tbl>
      <w:tblPr>
        <w:tblW w:w="5000" w:type="pct"/>
        <w:tblLook w:val="04A0"/>
      </w:tblPr>
      <w:tblGrid>
        <w:gridCol w:w="989"/>
        <w:gridCol w:w="3932"/>
        <w:gridCol w:w="1070"/>
        <w:gridCol w:w="3863"/>
      </w:tblGrid>
      <w:tr w:rsidR="000F74B6" w:rsidRPr="00B444D2" w:rsidTr="00AF5D62">
        <w:tc>
          <w:tcPr>
            <w:tcW w:w="502" w:type="pct"/>
          </w:tcPr>
          <w:p w:rsidR="000F74B6" w:rsidRPr="00073A62" w:rsidRDefault="000F74B6" w:rsidP="00AF5D62">
            <w:pPr>
              <w:pStyle w:val="Textpoznpodarou"/>
              <w:rPr>
                <w:color w:val="000000"/>
              </w:rPr>
            </w:pPr>
            <w:r w:rsidRPr="00073A62">
              <w:rPr>
                <w:color w:val="000000"/>
              </w:rPr>
              <w:t>Graf č. 17</w:t>
            </w:r>
          </w:p>
        </w:tc>
        <w:tc>
          <w:tcPr>
            <w:tcW w:w="1995" w:type="pct"/>
          </w:tcPr>
          <w:p w:rsidR="000F74B6" w:rsidRPr="000A445A" w:rsidRDefault="000F74B6" w:rsidP="00AF5D62">
            <w:pPr>
              <w:pStyle w:val="Textpoznpodarou"/>
              <w:rPr>
                <w:color w:val="FF0000"/>
              </w:rPr>
            </w:pPr>
            <w:r w:rsidRPr="00073A62">
              <w:rPr>
                <w:b/>
                <w:color w:val="000000"/>
              </w:rPr>
              <w:t>Měnové agregáty a hrubý domácí produkt</w:t>
            </w:r>
            <w:r w:rsidRPr="00073A62">
              <w:rPr>
                <w:color w:val="000000"/>
              </w:rPr>
              <w:t xml:space="preserve"> (y/y v %)</w:t>
            </w:r>
          </w:p>
        </w:tc>
        <w:tc>
          <w:tcPr>
            <w:tcW w:w="543" w:type="pct"/>
          </w:tcPr>
          <w:p w:rsidR="000F74B6" w:rsidRPr="00C05F70" w:rsidRDefault="000F74B6" w:rsidP="00AF5D62">
            <w:pPr>
              <w:pStyle w:val="Textpoznpodarou"/>
            </w:pPr>
            <w:r w:rsidRPr="00C05F70">
              <w:t>Graf č. 18</w:t>
            </w:r>
          </w:p>
        </w:tc>
        <w:tc>
          <w:tcPr>
            <w:tcW w:w="1961" w:type="pct"/>
          </w:tcPr>
          <w:p w:rsidR="000F74B6" w:rsidRPr="00C05F70" w:rsidRDefault="000F74B6" w:rsidP="00AF5D62">
            <w:pPr>
              <w:pStyle w:val="Textpoznpodarou"/>
            </w:pPr>
            <w:r w:rsidRPr="00C05F70">
              <w:rPr>
                <w:b/>
              </w:rPr>
              <w:t xml:space="preserve">Tržní úrokové sazby </w:t>
            </w:r>
            <w:r w:rsidRPr="00C05F70">
              <w:t>(v %)</w:t>
            </w:r>
          </w:p>
        </w:tc>
      </w:tr>
      <w:tr w:rsidR="000F74B6" w:rsidRPr="00B444D2" w:rsidTr="00AF5D62">
        <w:tblPrEx>
          <w:tblCellMar>
            <w:left w:w="70" w:type="dxa"/>
            <w:right w:w="70" w:type="dxa"/>
          </w:tblCellMar>
        </w:tblPrEx>
        <w:tc>
          <w:tcPr>
            <w:tcW w:w="2497" w:type="pct"/>
            <w:gridSpan w:val="2"/>
          </w:tcPr>
          <w:p w:rsidR="000F74B6" w:rsidRPr="00C05F70" w:rsidRDefault="00CE797F" w:rsidP="00AF5D62">
            <w:pPr>
              <w:pStyle w:val="Textpoznpodarou"/>
              <w:jc w:val="both"/>
            </w:pPr>
            <w:r>
              <w:rPr>
                <w:noProof/>
              </w:rPr>
              <w:pict>
                <v:shape id="_x0000_i1041" type="#_x0000_t75" style="width:238.9pt;height:178.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">
                  <v:imagedata r:id="rId29" o:title="" cropbottom="-71f"/>
                  <o:lock v:ext="edit" aspectratio="f"/>
                </v:shape>
              </w:pict>
            </w:r>
          </w:p>
        </w:tc>
        <w:tc>
          <w:tcPr>
            <w:tcW w:w="2503" w:type="pct"/>
            <w:gridSpan w:val="2"/>
          </w:tcPr>
          <w:p w:rsidR="000F74B6" w:rsidRPr="00C05F70" w:rsidRDefault="00CE797F" w:rsidP="00AF5D62">
            <w:pPr>
              <w:pStyle w:val="Textpoznpodarou"/>
              <w:jc w:val="both"/>
            </w:pPr>
            <w:r>
              <w:rPr>
                <w:noProof/>
              </w:rPr>
              <w:pict>
                <v:shape id="_x0000_i1042" type="#_x0000_t75" style="width:238.9pt;height:178.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NPvs3QAAAAUBAAAPAAAAZHJzL2Rvd25y&#10;ZXYueG1sTI9BS8NAEIXvgv9hGcGb3dSK0ZhNKQURRJHWHuptkx2TNNnZsLtp47939KKXgcd7vPdN&#10;vpxsL47oQ+tIwXyWgECqnGmpVrB7f7y6AxGiJqN7R6jgCwMsi/OzXGfGnWiDx22sBZdQyLSCJsYh&#10;kzJUDVodZm5AYu/TeasjS19L4/WJy20vr5PkVlrdEi80esB1g1W3Ha0C+bbxq+4wf37Cl3I9fhzM&#10;a7c3Sl1eTKsHEBGn+BeGH3xGh4KZSjeSCaJXwI/E38veTZregygVLNJkAbLI5X/64hs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">
                  <v:imagedata r:id="rId30" o:title="" cropbottom="-71f"/>
                  <o:lock v:ext="edit" aspectratio="f"/>
                </v:shape>
              </w:pict>
            </w:r>
          </w:p>
        </w:tc>
      </w:tr>
      <w:tr w:rsidR="000F74B6" w:rsidRPr="00B444D2" w:rsidTr="00AF5D62">
        <w:tc>
          <w:tcPr>
            <w:tcW w:w="2497" w:type="pct"/>
            <w:gridSpan w:val="2"/>
          </w:tcPr>
          <w:p w:rsidR="000F74B6" w:rsidRPr="00C05F70" w:rsidRDefault="000F74B6" w:rsidP="00AF5D62">
            <w:pPr>
              <w:pStyle w:val="Textpoznpodarou"/>
              <w:rPr>
                <w:noProof/>
                <w:sz w:val="18"/>
                <w:szCs w:val="18"/>
              </w:rPr>
            </w:pPr>
          </w:p>
        </w:tc>
        <w:tc>
          <w:tcPr>
            <w:tcW w:w="2503" w:type="pct"/>
            <w:gridSpan w:val="2"/>
          </w:tcPr>
          <w:p w:rsidR="000F74B6" w:rsidRPr="00C05F70" w:rsidRDefault="000F74B6" w:rsidP="00AF5D62">
            <w:pPr>
              <w:pStyle w:val="Textpoznpodarou"/>
              <w:jc w:val="right"/>
              <w:rPr>
                <w:noProof/>
              </w:rPr>
            </w:pPr>
            <w:r w:rsidRPr="00C05F70">
              <w:rPr>
                <w:sz w:val="18"/>
                <w:szCs w:val="18"/>
              </w:rPr>
              <w:t>Zdroj: ČSÚ, ČNB</w:t>
            </w:r>
          </w:p>
        </w:tc>
      </w:tr>
    </w:tbl>
    <w:p w:rsidR="004F2A4D" w:rsidRPr="00AF5D62" w:rsidRDefault="004F2A4D" w:rsidP="00960769">
      <w:pPr>
        <w:rPr>
          <w:sz w:val="6"/>
          <w:szCs w:val="6"/>
        </w:rPr>
      </w:pPr>
    </w:p>
    <w:p w:rsidR="00ED3A94" w:rsidRPr="007A4048" w:rsidRDefault="00ED3A94" w:rsidP="00960769">
      <w:pPr>
        <w:rPr>
          <w:sz w:val="2"/>
          <w:szCs w:val="2"/>
        </w:rPr>
      </w:pPr>
    </w:p>
    <w:p w:rsidR="002E435E" w:rsidRDefault="002E435E" w:rsidP="002E435E">
      <w:pPr>
        <w:pStyle w:val="Nadpis1"/>
        <w:numPr>
          <w:ilvl w:val="0"/>
          <w:numId w:val="3"/>
        </w:numPr>
        <w:jc w:val="both"/>
      </w:pPr>
      <w:bookmarkStart w:id="10" w:name="_Toc454185155"/>
      <w:r>
        <w:t>Státní rozpočet</w:t>
      </w:r>
      <w:bookmarkEnd w:id="10"/>
    </w:p>
    <w:tbl>
      <w:tblPr>
        <w:tblW w:w="5000" w:type="pct"/>
        <w:tblCellMar>
          <w:left w:w="28" w:type="dxa"/>
          <w:right w:w="28" w:type="dxa"/>
        </w:tblCellMar>
        <w:tblLook w:val="04A0"/>
      </w:tblPr>
      <w:tblGrid>
        <w:gridCol w:w="2044"/>
        <w:gridCol w:w="275"/>
        <w:gridCol w:w="7375"/>
      </w:tblGrid>
      <w:tr w:rsidR="000F74B6" w:rsidRPr="00A90EFD" w:rsidTr="00AF5D62">
        <w:tc>
          <w:tcPr>
            <w:tcW w:w="1054" w:type="pct"/>
          </w:tcPr>
          <w:p w:rsidR="000F74B6" w:rsidRPr="009E7272" w:rsidRDefault="000F74B6" w:rsidP="00AF5D62">
            <w:pPr>
              <w:spacing w:line="240" w:lineRule="auto"/>
              <w:rPr>
                <w:rFonts w:cs="Arial"/>
                <w:color w:val="0D0D0D" w:themeColor="text1" w:themeTint="F2"/>
                <w:spacing w:val="-4"/>
                <w:sz w:val="16"/>
                <w:szCs w:val="16"/>
              </w:rPr>
            </w:pPr>
            <w:r w:rsidRPr="009E7272">
              <w:rPr>
                <w:rFonts w:cs="Arial"/>
                <w:color w:val="0D0D0D" w:themeColor="text1" w:themeTint="F2"/>
                <w:spacing w:val="-4"/>
                <w:sz w:val="16"/>
                <w:szCs w:val="16"/>
              </w:rPr>
              <w:t>Pokračující svižn</w:t>
            </w:r>
            <w:r>
              <w:rPr>
                <w:rFonts w:cs="Arial"/>
                <w:color w:val="0D0D0D" w:themeColor="text1" w:themeTint="F2"/>
                <w:spacing w:val="-4"/>
                <w:sz w:val="16"/>
                <w:szCs w:val="16"/>
              </w:rPr>
              <w:t xml:space="preserve">ý růst ekonomiky v kombinaci s efekty nepravidelného čerpání </w:t>
            </w:r>
            <w:r w:rsidRPr="009E7272">
              <w:rPr>
                <w:rFonts w:cs="Arial"/>
                <w:color w:val="0D0D0D" w:themeColor="text1" w:themeTint="F2"/>
                <w:spacing w:val="-4"/>
                <w:sz w:val="16"/>
                <w:szCs w:val="16"/>
              </w:rPr>
              <w:t xml:space="preserve">evropských fondů vyústily </w:t>
            </w:r>
            <w:r>
              <w:rPr>
                <w:rFonts w:cs="Arial"/>
                <w:color w:val="0D0D0D" w:themeColor="text1" w:themeTint="F2"/>
                <w:spacing w:val="-4"/>
                <w:sz w:val="16"/>
                <w:szCs w:val="16"/>
              </w:rPr>
              <w:t>v dosud rekordní výši přebytku SR,…</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952517" w:rsidRDefault="000F74B6" w:rsidP="00AF5D62">
            <w:pPr>
              <w:pStyle w:val="Textpoznpodarou"/>
              <w:jc w:val="both"/>
              <w:rPr>
                <w:rFonts w:cs="Arial"/>
                <w:color w:val="0D0D0D" w:themeColor="text1" w:themeTint="F2"/>
                <w:spacing w:val="-4"/>
              </w:rPr>
            </w:pPr>
            <w:r w:rsidRPr="00952517">
              <w:rPr>
                <w:rFonts w:cs="Arial"/>
                <w:color w:val="0D0D0D" w:themeColor="text1" w:themeTint="F2"/>
                <w:spacing w:val="-4"/>
              </w:rPr>
              <w:t xml:space="preserve">Do výsledků hospodaření státního rozpočtu (SR) v průběhu roku 2016 se podstatně promítly nepravidelnosti v čerpání prostředků z rozpočtu EU. Zatímco příjmy (v pokladním plnění) byly stále ještě významně posilovány dobíhajícími finančními toky vázanými na nedávno ukončené </w:t>
            </w:r>
            <w:r w:rsidR="009B2C0E">
              <w:rPr>
                <w:rFonts w:cs="Arial"/>
                <w:color w:val="0D0D0D" w:themeColor="text1" w:themeTint="F2"/>
                <w:spacing w:val="-4"/>
              </w:rPr>
              <w:t>programové</w:t>
            </w:r>
            <w:r w:rsidRPr="00952517">
              <w:rPr>
                <w:rFonts w:cs="Arial"/>
                <w:color w:val="0D0D0D" w:themeColor="text1" w:themeTint="F2"/>
                <w:spacing w:val="-4"/>
              </w:rPr>
              <w:t xml:space="preserve"> období, kapitálové výdaje na společné projekty ČR a EU se letos vlivem nižší celkové připravenosti větších projektů</w:t>
            </w:r>
            <w:r w:rsidR="00867464">
              <w:rPr>
                <w:rFonts w:cs="Arial"/>
                <w:color w:val="0D0D0D" w:themeColor="text1" w:themeTint="F2"/>
                <w:spacing w:val="-4"/>
              </w:rPr>
              <w:t xml:space="preserve"> na startu nového programového</w:t>
            </w:r>
            <w:r w:rsidRPr="00952517">
              <w:rPr>
                <w:rFonts w:cs="Arial"/>
                <w:color w:val="0D0D0D" w:themeColor="text1" w:themeTint="F2"/>
                <w:spacing w:val="-4"/>
              </w:rPr>
              <w:t xml:space="preserve"> období citelně utlumily. Naopak již několik čtvrtletí v řadě se hlavně v příjmové stránce rozpočtu stále viditelněji odráží efekty hospodářského růstu, a to zejména prostřednictvím sílícího inkasa přímých daní.</w:t>
            </w:r>
          </w:p>
          <w:p w:rsidR="000F74B6" w:rsidRPr="00952517"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Pr="009E7272" w:rsidRDefault="000F74B6" w:rsidP="00AF5D62">
            <w:pPr>
              <w:spacing w:line="240" w:lineRule="auto"/>
              <w:rPr>
                <w:rFonts w:cs="Arial"/>
                <w:color w:val="0D0D0D" w:themeColor="text1" w:themeTint="F2"/>
                <w:spacing w:val="-4"/>
                <w:sz w:val="16"/>
                <w:szCs w:val="16"/>
              </w:rPr>
            </w:pPr>
            <w:r>
              <w:rPr>
                <w:rFonts w:cs="Arial"/>
                <w:color w:val="0D0D0D" w:themeColor="text1" w:themeTint="F2"/>
                <w:spacing w:val="-4"/>
                <w:sz w:val="16"/>
                <w:szCs w:val="16"/>
              </w:rPr>
              <w:t>…</w:t>
            </w:r>
            <w:r w:rsidRPr="00F81E47">
              <w:rPr>
                <w:rFonts w:cs="Arial"/>
                <w:color w:val="0D0D0D" w:themeColor="text1" w:themeTint="F2"/>
                <w:spacing w:val="-2"/>
                <w:sz w:val="16"/>
                <w:szCs w:val="16"/>
              </w:rPr>
              <w:t>ten v</w:t>
            </w:r>
            <w:r>
              <w:rPr>
                <w:rFonts w:cs="Arial"/>
                <w:color w:val="0D0D0D" w:themeColor="text1" w:themeTint="F2"/>
                <w:spacing w:val="-2"/>
                <w:sz w:val="16"/>
                <w:szCs w:val="16"/>
              </w:rPr>
              <w:t>e vztahu</w:t>
            </w:r>
            <w:r w:rsidRPr="00F81E47">
              <w:rPr>
                <w:rFonts w:cs="Arial"/>
                <w:color w:val="0D0D0D" w:themeColor="text1" w:themeTint="F2"/>
                <w:spacing w:val="-2"/>
                <w:sz w:val="16"/>
                <w:szCs w:val="16"/>
              </w:rPr>
              <w:t xml:space="preserve"> k HDP </w:t>
            </w:r>
            <w:r>
              <w:rPr>
                <w:rFonts w:cs="Arial"/>
                <w:color w:val="0D0D0D" w:themeColor="text1" w:themeTint="F2"/>
                <w:spacing w:val="-2"/>
                <w:sz w:val="16"/>
                <w:szCs w:val="16"/>
              </w:rPr>
              <w:t>činil 1,8</w:t>
            </w:r>
            <w:r w:rsidRPr="00F81E47">
              <w:rPr>
                <w:rFonts w:cs="Arial"/>
                <w:color w:val="0D0D0D" w:themeColor="text1" w:themeTint="F2"/>
                <w:spacing w:val="-2"/>
                <w:sz w:val="16"/>
                <w:szCs w:val="16"/>
              </w:rPr>
              <w:t> %</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744D2B" w:rsidRDefault="000F74B6" w:rsidP="00AF5D62">
            <w:pPr>
              <w:pStyle w:val="Textpoznpodarou"/>
              <w:jc w:val="both"/>
              <w:rPr>
                <w:rFonts w:cs="Arial"/>
                <w:color w:val="000000" w:themeColor="text1"/>
                <w:spacing w:val="-2"/>
              </w:rPr>
            </w:pPr>
            <w:r w:rsidRPr="00744D2B">
              <w:rPr>
                <w:rFonts w:cs="Arial"/>
                <w:color w:val="0D0D0D" w:themeColor="text1" w:themeTint="F2"/>
                <w:spacing w:val="-2"/>
              </w:rPr>
              <w:t>Přebytek hospodaření SR v 1. pololetí 2016 se meziročně téměř zdvojnásobil (na 40,6 mld. korun)</w:t>
            </w:r>
            <w:r w:rsidRPr="00744D2B">
              <w:rPr>
                <w:rStyle w:val="Znakapoznpodarou"/>
                <w:color w:val="0D0D0D" w:themeColor="text1" w:themeTint="F2"/>
                <w:spacing w:val="-2"/>
              </w:rPr>
              <w:footnoteReference w:id="21"/>
            </w:r>
            <w:r w:rsidRPr="00744D2B">
              <w:rPr>
                <w:rFonts w:cs="Arial"/>
                <w:color w:val="0D0D0D" w:themeColor="text1" w:themeTint="F2"/>
                <w:spacing w:val="-2"/>
              </w:rPr>
              <w:t xml:space="preserve">. Současně </w:t>
            </w:r>
            <w:r w:rsidRPr="00744D2B">
              <w:rPr>
                <w:rFonts w:cs="Arial"/>
                <w:color w:val="000000" w:themeColor="text1"/>
                <w:spacing w:val="-2"/>
              </w:rPr>
              <w:t xml:space="preserve">šlo v tomto období roku o nejlepší výsledek v historii samotné ČR. </w:t>
            </w:r>
            <w:r w:rsidRPr="00744D2B">
              <w:rPr>
                <w:rFonts w:cs="Arial"/>
                <w:color w:val="0D0D0D" w:themeColor="text1" w:themeTint="F2"/>
                <w:spacing w:val="-2"/>
              </w:rPr>
              <w:t>Rekordní bylo také saldo SR v relaci k</w:t>
            </w:r>
            <w:r w:rsidRPr="00744D2B">
              <w:rPr>
                <w:color w:val="0D0D0D" w:themeColor="text1" w:themeTint="F2"/>
                <w:spacing w:val="-2"/>
              </w:rPr>
              <w:t> </w:t>
            </w:r>
            <w:r w:rsidRPr="00744D2B">
              <w:rPr>
                <w:rFonts w:cs="Arial"/>
                <w:color w:val="000000" w:themeColor="text1"/>
                <w:spacing w:val="-2"/>
              </w:rPr>
              <w:t>nominálnímu HDP +1,8 % (o rok dříve +1,0 %). O růst celkových příjmů SR</w:t>
            </w:r>
            <w:r w:rsidRPr="00744D2B">
              <w:rPr>
                <w:rStyle w:val="Znakapoznpodarou"/>
                <w:color w:val="000000" w:themeColor="text1"/>
                <w:spacing w:val="-2"/>
              </w:rPr>
              <w:footnoteReference w:id="22"/>
            </w:r>
            <w:r w:rsidRPr="00744D2B">
              <w:rPr>
                <w:rFonts w:cs="Arial"/>
                <w:color w:val="000000" w:themeColor="text1"/>
                <w:spacing w:val="-2"/>
              </w:rPr>
              <w:t xml:space="preserve"> (+2,3 %) se v 1. pololetí zasloužily výhradně daňové příjmy vč. pojistného (v úhrnu vyšší o 35,9 mld. korun). </w:t>
            </w:r>
          </w:p>
          <w:p w:rsidR="000F74B6" w:rsidRPr="00952517"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Pr="00C30516" w:rsidRDefault="000F74B6" w:rsidP="00AF5D62">
            <w:pPr>
              <w:spacing w:line="240" w:lineRule="auto"/>
              <w:rPr>
                <w:rFonts w:cs="Arial"/>
                <w:bCs/>
                <w:iCs/>
                <w:color w:val="0D0D0D" w:themeColor="text1" w:themeTint="F2"/>
                <w:spacing w:val="-2"/>
                <w:sz w:val="16"/>
                <w:szCs w:val="16"/>
              </w:rPr>
            </w:pPr>
            <w:r w:rsidRPr="00AC3A9F">
              <w:rPr>
                <w:rFonts w:cs="Arial"/>
                <w:bCs/>
                <w:iCs/>
                <w:color w:val="0D0D0D" w:themeColor="text1" w:themeTint="F2"/>
                <w:spacing w:val="-2"/>
                <w:sz w:val="16"/>
                <w:szCs w:val="16"/>
              </w:rPr>
              <w:t xml:space="preserve">V inkasu </w:t>
            </w:r>
            <w:r>
              <w:rPr>
                <w:rFonts w:cs="Arial"/>
                <w:bCs/>
                <w:iCs/>
                <w:color w:val="0D0D0D" w:themeColor="text1" w:themeTint="F2"/>
                <w:spacing w:val="-2"/>
                <w:sz w:val="16"/>
                <w:szCs w:val="16"/>
              </w:rPr>
              <w:t>DPH se promítly vysoký meziroční růst</w:t>
            </w:r>
            <w:r w:rsidRPr="00AC3A9F">
              <w:rPr>
                <w:rFonts w:cs="Arial"/>
                <w:bCs/>
                <w:iCs/>
                <w:color w:val="0D0D0D" w:themeColor="text1" w:themeTint="F2"/>
                <w:spacing w:val="-2"/>
                <w:sz w:val="16"/>
                <w:szCs w:val="16"/>
              </w:rPr>
              <w:t xml:space="preserve"> výdajů na konečnou spotřebu</w:t>
            </w:r>
            <w:r>
              <w:rPr>
                <w:rFonts w:cs="Arial"/>
                <w:bCs/>
                <w:iCs/>
                <w:color w:val="0D0D0D" w:themeColor="text1" w:themeTint="F2"/>
                <w:spacing w:val="-2"/>
                <w:sz w:val="16"/>
                <w:szCs w:val="16"/>
              </w:rPr>
              <w:t xml:space="preserve"> v ekonomice i </w:t>
            </w:r>
            <w:r w:rsidRPr="00AC3A9F">
              <w:rPr>
                <w:rFonts w:cs="Arial"/>
                <w:bCs/>
                <w:iCs/>
                <w:color w:val="0D0D0D" w:themeColor="text1" w:themeTint="F2"/>
                <w:spacing w:val="-2"/>
                <w:sz w:val="16"/>
                <w:szCs w:val="16"/>
              </w:rPr>
              <w:t>zvýšení kontrolních opatření při výběru daně</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A9652F" w:rsidRDefault="000F74B6" w:rsidP="00AF5D62">
            <w:pPr>
              <w:pStyle w:val="Textpoznpodarou"/>
              <w:jc w:val="both"/>
              <w:rPr>
                <w:rFonts w:cs="Arial"/>
                <w:color w:val="0D0D0D" w:themeColor="text1" w:themeTint="F2"/>
                <w:spacing w:val="-4"/>
              </w:rPr>
            </w:pPr>
            <w:r w:rsidRPr="00A9652F">
              <w:rPr>
                <w:rFonts w:cs="Arial"/>
                <w:color w:val="0D0D0D" w:themeColor="text1" w:themeTint="F2"/>
                <w:spacing w:val="-4"/>
              </w:rPr>
              <w:t xml:space="preserve">Celostátní výběr váhově nejvýznamnější daně </w:t>
            </w:r>
            <w:r w:rsidRPr="00A9652F">
              <w:rPr>
                <w:rFonts w:cs="Arial"/>
                <w:color w:val="000000" w:themeColor="text1"/>
                <w:spacing w:val="-4"/>
              </w:rPr>
              <w:t>– DPH – vzrostl</w:t>
            </w:r>
            <w:r>
              <w:rPr>
                <w:rFonts w:cs="Arial"/>
                <w:color w:val="0D0D0D" w:themeColor="text1" w:themeTint="F2"/>
                <w:spacing w:val="-4"/>
              </w:rPr>
              <w:t xml:space="preserve"> o 6</w:t>
            </w:r>
            <w:r w:rsidR="00E25999">
              <w:rPr>
                <w:rFonts w:cs="Arial"/>
                <w:color w:val="0D0D0D" w:themeColor="text1" w:themeTint="F2"/>
                <w:spacing w:val="-4"/>
              </w:rPr>
              <w:t xml:space="preserve"> % (na úrovni SR o</w:t>
            </w:r>
            <w:r w:rsidR="00E25999" w:rsidRPr="00952517">
              <w:rPr>
                <w:rFonts w:cs="Arial"/>
                <w:color w:val="0D0D0D" w:themeColor="text1" w:themeTint="F2"/>
                <w:spacing w:val="-4"/>
              </w:rPr>
              <w:t> </w:t>
            </w:r>
            <w:r w:rsidRPr="00A9652F">
              <w:rPr>
                <w:rFonts w:cs="Arial"/>
                <w:color w:val="0D0D0D" w:themeColor="text1" w:themeTint="F2"/>
                <w:spacing w:val="-4"/>
              </w:rPr>
              <w:t>4,4 %). Odrážel stabilní vysoká růstová tempa výdajů na konečnou spotřebu, a to jak u domácností (nominálně v 1. pololetí 2,7 %), tak i vládních institucí (4,3 %). Na DPH působilo i zvýšení kontrolních opatření při výběru daně</w:t>
            </w:r>
            <w:r>
              <w:rPr>
                <w:spacing w:val="-4"/>
              </w:rPr>
              <w:t>, která</w:t>
            </w:r>
            <w:r w:rsidRPr="00A9652F">
              <w:rPr>
                <w:spacing w:val="-4"/>
              </w:rPr>
              <w:t xml:space="preserve"> jsou zacílena </w:t>
            </w:r>
            <w:r w:rsidR="00744D2B">
              <w:rPr>
                <w:spacing w:val="-4"/>
              </w:rPr>
              <w:t xml:space="preserve">zejména </w:t>
            </w:r>
            <w:r w:rsidRPr="00A9652F">
              <w:rPr>
                <w:spacing w:val="-4"/>
              </w:rPr>
              <w:t>na neoprávněné nároky a nadměrné odpočty DPH</w:t>
            </w:r>
            <w:r w:rsidRPr="00A9652F">
              <w:rPr>
                <w:rFonts w:cs="Arial"/>
                <w:color w:val="0D0D0D" w:themeColor="text1" w:themeTint="F2"/>
                <w:spacing w:val="-4"/>
              </w:rPr>
              <w:t>.</w:t>
            </w:r>
          </w:p>
          <w:p w:rsidR="000F74B6" w:rsidRPr="00952517"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Pr="00105ED0" w:rsidRDefault="000F74B6" w:rsidP="00AF5D62">
            <w:pPr>
              <w:spacing w:line="240" w:lineRule="auto"/>
              <w:rPr>
                <w:rFonts w:cs="Arial"/>
                <w:bCs/>
                <w:iCs/>
                <w:color w:val="0D0D0D" w:themeColor="text1" w:themeTint="F2"/>
                <w:sz w:val="16"/>
                <w:szCs w:val="16"/>
              </w:rPr>
            </w:pPr>
            <w:r w:rsidRPr="00105ED0">
              <w:rPr>
                <w:rFonts w:cs="Arial"/>
                <w:bCs/>
                <w:iCs/>
                <w:color w:val="0D0D0D" w:themeColor="text1" w:themeTint="F2"/>
                <w:sz w:val="16"/>
                <w:szCs w:val="16"/>
              </w:rPr>
              <w:t>V pozadí vyššího výběru spotřebních daní stálo především zvýšení sazeb daně z tabákových výrobků od počátku roku</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952517" w:rsidRDefault="000F74B6" w:rsidP="00AF5D62">
            <w:pPr>
              <w:pStyle w:val="Textpoznpodarou"/>
              <w:jc w:val="both"/>
              <w:rPr>
                <w:rFonts w:cs="Arial"/>
                <w:color w:val="0D0D0D" w:themeColor="text1" w:themeTint="F2"/>
                <w:spacing w:val="-4"/>
              </w:rPr>
            </w:pPr>
            <w:r w:rsidRPr="00952517">
              <w:rPr>
                <w:rFonts w:cs="Arial"/>
                <w:color w:val="0D0D0D" w:themeColor="text1" w:themeTint="F2"/>
                <w:spacing w:val="-5"/>
              </w:rPr>
              <w:t>Ze spotřebních daní získal SR o téměř 8 % více než v 1. loňském pololetí. K meziročně</w:t>
            </w:r>
            <w:r w:rsidRPr="00952517">
              <w:rPr>
                <w:rFonts w:cs="Arial"/>
                <w:color w:val="0D0D0D" w:themeColor="text1" w:themeTint="F2"/>
                <w:spacing w:val="-4"/>
              </w:rPr>
              <w:t xml:space="preserve"> vyššímu inkasu ze dvou třetin přispěl sílící výbě</w:t>
            </w:r>
            <w:r w:rsidR="00744D2B">
              <w:rPr>
                <w:rFonts w:cs="Arial"/>
                <w:color w:val="0D0D0D" w:themeColor="text1" w:themeTint="F2"/>
                <w:spacing w:val="-4"/>
              </w:rPr>
              <w:t>r daně z tabákových výrobků (+14,6</w:t>
            </w:r>
            <w:r w:rsidR="00744D2B" w:rsidRPr="00952517">
              <w:rPr>
                <w:rFonts w:cs="Arial"/>
                <w:color w:val="0D0D0D" w:themeColor="text1" w:themeTint="F2"/>
                <w:spacing w:val="-4"/>
              </w:rPr>
              <w:t> </w:t>
            </w:r>
            <w:r w:rsidRPr="00952517">
              <w:rPr>
                <w:rFonts w:cs="Arial"/>
                <w:color w:val="0D0D0D" w:themeColor="text1" w:themeTint="F2"/>
                <w:spacing w:val="-4"/>
              </w:rPr>
              <w:t>%) podpořený růstem sazeb daně. Tempo výběru této daně již nebylo na rozdíl od předchozích let ovlivněno výrazným předzásobení</w:t>
            </w:r>
            <w:r>
              <w:rPr>
                <w:rFonts w:cs="Arial"/>
                <w:color w:val="0D0D0D" w:themeColor="text1" w:themeTint="F2"/>
                <w:spacing w:val="-4"/>
              </w:rPr>
              <w:t xml:space="preserve">m. </w:t>
            </w:r>
            <w:r w:rsidRPr="00952517">
              <w:rPr>
                <w:rFonts w:cs="Arial"/>
                <w:color w:val="0D0D0D" w:themeColor="text1" w:themeTint="F2"/>
                <w:spacing w:val="-4"/>
              </w:rPr>
              <w:t>Výběr váhově dominantní daně z mi</w:t>
            </w:r>
            <w:r>
              <w:rPr>
                <w:rFonts w:cs="Arial"/>
                <w:color w:val="0D0D0D" w:themeColor="text1" w:themeTint="F2"/>
                <w:spacing w:val="-4"/>
              </w:rPr>
              <w:t>nerálních olejů posílil o 4,8 %.</w:t>
            </w:r>
            <w:r w:rsidRPr="00952517">
              <w:rPr>
                <w:rFonts w:cs="Arial"/>
                <w:color w:val="0D0D0D" w:themeColor="text1" w:themeTint="F2"/>
                <w:spacing w:val="-4"/>
              </w:rPr>
              <w:t xml:space="preserve"> </w:t>
            </w:r>
            <w:r w:rsidR="00744D2B">
              <w:rPr>
                <w:rFonts w:cs="Arial"/>
                <w:color w:val="0D0D0D" w:themeColor="text1" w:themeTint="F2"/>
                <w:spacing w:val="-4"/>
              </w:rPr>
              <w:t>K v</w:t>
            </w:r>
            <w:r w:rsidRPr="00952517">
              <w:rPr>
                <w:rFonts w:cs="Arial"/>
                <w:color w:val="0D0D0D" w:themeColor="text1" w:themeTint="F2"/>
                <w:spacing w:val="-4"/>
              </w:rPr>
              <w:t>yšší spotřeb</w:t>
            </w:r>
            <w:r w:rsidR="00744D2B">
              <w:rPr>
                <w:rFonts w:cs="Arial"/>
                <w:color w:val="0D0D0D" w:themeColor="text1" w:themeTint="F2"/>
                <w:spacing w:val="-4"/>
              </w:rPr>
              <w:t>ě přispí</w:t>
            </w:r>
            <w:r>
              <w:rPr>
                <w:rFonts w:cs="Arial"/>
                <w:color w:val="0D0D0D" w:themeColor="text1" w:themeTint="F2"/>
                <w:spacing w:val="-4"/>
              </w:rPr>
              <w:t>valy příznivé ceny PHM a</w:t>
            </w:r>
            <w:r w:rsidRPr="00952517">
              <w:rPr>
                <w:rFonts w:cs="Arial"/>
                <w:color w:val="0D0D0D" w:themeColor="text1" w:themeTint="F2"/>
                <w:spacing w:val="-4"/>
              </w:rPr>
              <w:t> dlouhodobější růst poptávky po dopravě stimulovaný hospodářským růstem.</w:t>
            </w:r>
          </w:p>
          <w:p w:rsidR="000F74B6" w:rsidRPr="00952517"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Default="000F74B6" w:rsidP="00AF5D62">
            <w:pPr>
              <w:spacing w:line="240" w:lineRule="auto"/>
              <w:rPr>
                <w:rFonts w:cs="Arial"/>
                <w:bCs/>
                <w:iCs/>
                <w:color w:val="0D0D0D" w:themeColor="text1" w:themeTint="F2"/>
                <w:spacing w:val="-2"/>
                <w:sz w:val="16"/>
                <w:szCs w:val="16"/>
              </w:rPr>
            </w:pPr>
            <w:r w:rsidRPr="002879E3">
              <w:rPr>
                <w:rFonts w:cs="Arial"/>
                <w:bCs/>
                <w:iCs/>
                <w:color w:val="0D0D0D" w:themeColor="text1" w:themeTint="F2"/>
                <w:spacing w:val="-2"/>
                <w:sz w:val="16"/>
                <w:szCs w:val="16"/>
              </w:rPr>
              <w:t xml:space="preserve">Meziroční tempo růstu inkasa </w:t>
            </w:r>
            <w:proofErr w:type="spellStart"/>
            <w:r w:rsidRPr="002879E3">
              <w:rPr>
                <w:rFonts w:cs="Arial"/>
                <w:bCs/>
                <w:iCs/>
                <w:color w:val="0D0D0D" w:themeColor="text1" w:themeTint="F2"/>
                <w:spacing w:val="-2"/>
                <w:sz w:val="16"/>
                <w:szCs w:val="16"/>
              </w:rPr>
              <w:t>korporátní</w:t>
            </w:r>
            <w:proofErr w:type="spellEnd"/>
            <w:r w:rsidRPr="002879E3">
              <w:rPr>
                <w:rFonts w:cs="Arial"/>
                <w:bCs/>
                <w:iCs/>
                <w:color w:val="0D0D0D" w:themeColor="text1" w:themeTint="F2"/>
                <w:spacing w:val="-2"/>
                <w:sz w:val="16"/>
                <w:szCs w:val="16"/>
              </w:rPr>
              <w:t xml:space="preserve"> daně atako</w:t>
            </w:r>
            <w:r>
              <w:rPr>
                <w:rFonts w:cs="Arial"/>
                <w:bCs/>
                <w:iCs/>
                <w:color w:val="0D0D0D" w:themeColor="text1" w:themeTint="F2"/>
                <w:spacing w:val="-2"/>
                <w:sz w:val="16"/>
                <w:szCs w:val="16"/>
              </w:rPr>
              <w:t>valo dvouciferné hodnoty již devět</w:t>
            </w:r>
            <w:r w:rsidRPr="002879E3">
              <w:rPr>
                <w:rFonts w:cs="Arial"/>
                <w:bCs/>
                <w:iCs/>
                <w:color w:val="0D0D0D" w:themeColor="text1" w:themeTint="F2"/>
                <w:spacing w:val="-2"/>
                <w:sz w:val="16"/>
                <w:szCs w:val="16"/>
              </w:rPr>
              <w:t xml:space="preserve"> čtvrtletí </w:t>
            </w:r>
          </w:p>
          <w:p w:rsidR="000F74B6" w:rsidRPr="002879E3" w:rsidRDefault="000F74B6" w:rsidP="00AF5D62">
            <w:pPr>
              <w:spacing w:line="240" w:lineRule="auto"/>
              <w:rPr>
                <w:rFonts w:cs="Arial"/>
                <w:bCs/>
                <w:iCs/>
                <w:color w:val="0D0D0D" w:themeColor="text1" w:themeTint="F2"/>
                <w:spacing w:val="-2"/>
                <w:sz w:val="16"/>
                <w:szCs w:val="16"/>
              </w:rPr>
            </w:pPr>
            <w:r w:rsidRPr="002879E3">
              <w:rPr>
                <w:rFonts w:cs="Arial"/>
                <w:bCs/>
                <w:iCs/>
                <w:color w:val="0D0D0D" w:themeColor="text1" w:themeTint="F2"/>
                <w:spacing w:val="-2"/>
                <w:sz w:val="16"/>
                <w:szCs w:val="16"/>
              </w:rPr>
              <w:t>v řadě</w:t>
            </w:r>
          </w:p>
          <w:p w:rsidR="000F74B6" w:rsidRPr="00F55C6A" w:rsidRDefault="000F74B6" w:rsidP="00AF5D62">
            <w:pPr>
              <w:spacing w:line="240" w:lineRule="auto"/>
              <w:rPr>
                <w:rFonts w:cs="Arial"/>
                <w:bCs/>
                <w:iCs/>
                <w:color w:val="0D0D0D" w:themeColor="text1" w:themeTint="F2"/>
                <w:sz w:val="16"/>
                <w:szCs w:val="16"/>
              </w:rPr>
            </w:pPr>
          </w:p>
        </w:tc>
        <w:tc>
          <w:tcPr>
            <w:tcW w:w="142" w:type="pct"/>
          </w:tcPr>
          <w:p w:rsidR="000F74B6" w:rsidRPr="00807B25" w:rsidRDefault="000F74B6" w:rsidP="00AF5D62">
            <w:pPr>
              <w:pStyle w:val="Textpoznpodarou"/>
              <w:jc w:val="both"/>
              <w:rPr>
                <w:rFonts w:cs="Arial"/>
                <w:color w:val="0D0D0D" w:themeColor="text1" w:themeTint="F2"/>
                <w:spacing w:val="-4"/>
              </w:rPr>
            </w:pPr>
          </w:p>
        </w:tc>
        <w:tc>
          <w:tcPr>
            <w:tcW w:w="3804" w:type="pct"/>
          </w:tcPr>
          <w:p w:rsidR="000F74B6" w:rsidRPr="00952517" w:rsidRDefault="000F74B6" w:rsidP="00AF5D62">
            <w:pPr>
              <w:pStyle w:val="Textpoznpodarou"/>
              <w:jc w:val="both"/>
              <w:rPr>
                <w:rFonts w:cs="Arial"/>
                <w:spacing w:val="-4"/>
              </w:rPr>
            </w:pPr>
            <w:r w:rsidRPr="00952517">
              <w:rPr>
                <w:rFonts w:cs="Arial"/>
                <w:spacing w:val="-4"/>
              </w:rPr>
              <w:t xml:space="preserve">V rámci přímých daní dosáhly letos v absolutním vyjádření nejvyššího celostátního výběru </w:t>
            </w:r>
            <w:proofErr w:type="spellStart"/>
            <w:r w:rsidRPr="00952517">
              <w:rPr>
                <w:rFonts w:cs="Arial"/>
                <w:spacing w:val="-4"/>
              </w:rPr>
              <w:t>korporátní</w:t>
            </w:r>
            <w:proofErr w:type="spellEnd"/>
            <w:r w:rsidRPr="00952517">
              <w:rPr>
                <w:rFonts w:cs="Arial"/>
                <w:spacing w:val="-4"/>
              </w:rPr>
              <w:t xml:space="preserve"> daně. Meziročně byly za první pololetí o bezmála osminu vyšší, když těžily hlavně z rychle sílících zisků podniků v předchozích dvou letech. Proti dosavadnímu vrcholu v konjunkturním roce 2008 však byl</w:t>
            </w:r>
            <w:r>
              <w:rPr>
                <w:rFonts w:cs="Arial"/>
                <w:spacing w:val="-4"/>
              </w:rPr>
              <w:t>o jejich letošní inkaso stále o</w:t>
            </w:r>
            <w:r w:rsidRPr="00952517">
              <w:rPr>
                <w:rFonts w:cs="Arial"/>
                <w:spacing w:val="-4"/>
              </w:rPr>
              <w:t> 7 % nižší (naopak výběr daní z příjmů fyzických osob ze závislé činnosti převýšil jejich předkrizový vrchol již o pětinu).</w:t>
            </w:r>
          </w:p>
          <w:p w:rsidR="000F74B6" w:rsidRPr="00952517" w:rsidRDefault="000F74B6" w:rsidP="00AF5D62">
            <w:pPr>
              <w:pStyle w:val="Textpoznpodarou"/>
              <w:jc w:val="both"/>
              <w:rPr>
                <w:rFonts w:cs="Arial"/>
                <w:spacing w:val="-4"/>
                <w:sz w:val="15"/>
                <w:szCs w:val="15"/>
              </w:rPr>
            </w:pPr>
          </w:p>
        </w:tc>
      </w:tr>
      <w:tr w:rsidR="000F74B6" w:rsidRPr="00A90EFD" w:rsidTr="00AF5D62">
        <w:tc>
          <w:tcPr>
            <w:tcW w:w="1054" w:type="pct"/>
          </w:tcPr>
          <w:p w:rsidR="000F74B6" w:rsidRPr="009C136E" w:rsidRDefault="000F74B6" w:rsidP="00AF5D62">
            <w:pPr>
              <w:spacing w:line="240" w:lineRule="auto"/>
              <w:rPr>
                <w:rFonts w:cs="Arial"/>
                <w:bCs/>
                <w:iCs/>
                <w:color w:val="0D0D0D" w:themeColor="text1" w:themeTint="F2"/>
                <w:sz w:val="16"/>
                <w:szCs w:val="16"/>
              </w:rPr>
            </w:pPr>
            <w:r w:rsidRPr="009C136E">
              <w:rPr>
                <w:rFonts w:cs="Arial"/>
                <w:bCs/>
                <w:iCs/>
                <w:color w:val="0D0D0D" w:themeColor="text1" w:themeTint="F2"/>
                <w:sz w:val="16"/>
                <w:szCs w:val="16"/>
              </w:rPr>
              <w:t>Daně z příjmů od zaměstnanců</w:t>
            </w:r>
            <w:r>
              <w:rPr>
                <w:rFonts w:cs="Arial"/>
                <w:bCs/>
                <w:iCs/>
                <w:color w:val="0D0D0D" w:themeColor="text1" w:themeTint="F2"/>
                <w:sz w:val="16"/>
                <w:szCs w:val="16"/>
              </w:rPr>
              <w:t xml:space="preserve"> rostly v 1. pololetí nejvyšším tempem od roku 2007</w:t>
            </w:r>
          </w:p>
        </w:tc>
        <w:tc>
          <w:tcPr>
            <w:tcW w:w="142" w:type="pct"/>
          </w:tcPr>
          <w:p w:rsidR="000F74B6" w:rsidRPr="00F77F65" w:rsidRDefault="000F74B6" w:rsidP="00AF5D62">
            <w:pPr>
              <w:pStyle w:val="Textpoznpodarou"/>
              <w:jc w:val="both"/>
              <w:rPr>
                <w:rFonts w:cs="Arial"/>
                <w:color w:val="0D0D0D" w:themeColor="text1" w:themeTint="F2"/>
                <w:spacing w:val="-4"/>
              </w:rPr>
            </w:pPr>
          </w:p>
        </w:tc>
        <w:tc>
          <w:tcPr>
            <w:tcW w:w="3804" w:type="pct"/>
          </w:tcPr>
          <w:p w:rsidR="000F74B6" w:rsidRPr="00952517" w:rsidRDefault="000F74B6" w:rsidP="00AF5D62">
            <w:pPr>
              <w:pStyle w:val="Textpoznpodarou"/>
              <w:jc w:val="both"/>
              <w:rPr>
                <w:rFonts w:cs="Arial"/>
                <w:spacing w:val="-4"/>
              </w:rPr>
            </w:pPr>
            <w:r w:rsidRPr="00952517">
              <w:rPr>
                <w:rFonts w:cs="Arial"/>
                <w:color w:val="0D0D0D" w:themeColor="text1" w:themeTint="F2"/>
                <w:spacing w:val="-4"/>
              </w:rPr>
              <w:t xml:space="preserve">Celostátní výběr daně z příjmu fyzických osob (DPFO) ze závislé činnosti posílil o vysokých 10,7 %, v samotném 2. čtvrtletí 2016 činil meziroční růst dokonce 13,3 %. Plně reflektoval velmi dobrou situaci pracovního trhu v podobě výrazného růstu průměrných mezd i rekordního počtu zaměstnanců. </w:t>
            </w:r>
            <w:r w:rsidRPr="00952517">
              <w:rPr>
                <w:rFonts w:cs="Arial"/>
                <w:spacing w:val="-4"/>
              </w:rPr>
              <w:t>Vývoj ekonomiky i legislativní změny</w:t>
            </w:r>
            <w:r w:rsidRPr="00952517">
              <w:rPr>
                <w:rStyle w:val="Znakapoznpodarou"/>
                <w:spacing w:val="-4"/>
              </w:rPr>
              <w:footnoteReference w:id="23"/>
            </w:r>
            <w:r w:rsidRPr="00952517">
              <w:rPr>
                <w:rFonts w:cs="Arial"/>
                <w:spacing w:val="-4"/>
              </w:rPr>
              <w:t xml:space="preserve"> podpořily výběr DPFO placené na základě přiznání – na konci pololetí (po zohlednění pravidelných vratek) byl výsledek meziroč</w:t>
            </w:r>
            <w:r>
              <w:rPr>
                <w:rFonts w:cs="Arial"/>
                <w:spacing w:val="-4"/>
              </w:rPr>
              <w:t>ně o 3,7 mld. korun příznivější. C</w:t>
            </w:r>
            <w:r w:rsidRPr="00952517">
              <w:rPr>
                <w:rFonts w:cs="Arial"/>
                <w:spacing w:val="-4"/>
              </w:rPr>
              <w:t>elkový výběr se poprvé za posledních šest let přehoupl do kladných hodnot. Naopak jen velmi mírně se zatím meziročně navýšilo inkaso DPFO z kapitálových výnosů. Z ostatních daní získal SR významnější prostředky z daně z nabytí nemovitých v</w:t>
            </w:r>
            <w:r>
              <w:rPr>
                <w:rFonts w:cs="Arial"/>
                <w:spacing w:val="-4"/>
              </w:rPr>
              <w:t>ěcí, jejíž svižný růst (+</w:t>
            </w:r>
            <w:r w:rsidRPr="00952517">
              <w:rPr>
                <w:rFonts w:cs="Arial"/>
                <w:spacing w:val="-4"/>
              </w:rPr>
              <w:t>1</w:t>
            </w:r>
            <w:r>
              <w:rPr>
                <w:rFonts w:cs="Arial"/>
                <w:spacing w:val="-4"/>
              </w:rPr>
              <w:t>,1</w:t>
            </w:r>
            <w:r w:rsidRPr="00952517">
              <w:rPr>
                <w:rFonts w:cs="Arial"/>
                <w:spacing w:val="-4"/>
              </w:rPr>
              <w:t xml:space="preserve"> mld. ko</w:t>
            </w:r>
            <w:r>
              <w:rPr>
                <w:rFonts w:cs="Arial"/>
                <w:spacing w:val="-4"/>
              </w:rPr>
              <w:t>run, podobně jako vloni</w:t>
            </w:r>
            <w:r w:rsidRPr="00952517">
              <w:rPr>
                <w:rFonts w:cs="Arial"/>
                <w:spacing w:val="-4"/>
              </w:rPr>
              <w:t>) dokládal oživení realitního trhu.</w:t>
            </w:r>
          </w:p>
          <w:p w:rsidR="000F74B6" w:rsidRPr="00952517"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Pr="00F745A4" w:rsidRDefault="000F74B6"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Příjmy SR z EU meziročně o sedminu oslabily, ale celoroční rozpočtem očekávanou částku překonaly již během května</w:t>
            </w:r>
          </w:p>
        </w:tc>
        <w:tc>
          <w:tcPr>
            <w:tcW w:w="142" w:type="pct"/>
          </w:tcPr>
          <w:p w:rsidR="000F74B6" w:rsidRPr="00782BA5" w:rsidRDefault="000F74B6" w:rsidP="00AF5D62">
            <w:pPr>
              <w:pStyle w:val="Textpoznpodarou"/>
              <w:jc w:val="both"/>
              <w:rPr>
                <w:rFonts w:cs="Arial"/>
                <w:color w:val="000000" w:themeColor="text1"/>
                <w:spacing w:val="-4"/>
              </w:rPr>
            </w:pPr>
          </w:p>
        </w:tc>
        <w:tc>
          <w:tcPr>
            <w:tcW w:w="3804" w:type="pct"/>
          </w:tcPr>
          <w:p w:rsidR="000F74B6" w:rsidRPr="00952517" w:rsidRDefault="000F74B6" w:rsidP="00AF5D62">
            <w:pPr>
              <w:pStyle w:val="Textpoznpodarou"/>
              <w:jc w:val="both"/>
              <w:rPr>
                <w:rFonts w:cs="Arial"/>
                <w:color w:val="000000" w:themeColor="text1"/>
                <w:spacing w:val="-4"/>
              </w:rPr>
            </w:pPr>
            <w:r w:rsidRPr="005453DB">
              <w:rPr>
                <w:rFonts w:cs="Arial"/>
                <w:color w:val="000000" w:themeColor="text1"/>
                <w:spacing w:val="-4"/>
              </w:rPr>
              <w:t>SR získal v 1. pololetí na příjmech z EU (z drtivé většiny ještě</w:t>
            </w:r>
            <w:r w:rsidR="009B2C0E">
              <w:rPr>
                <w:rFonts w:cs="Arial"/>
                <w:color w:val="000000" w:themeColor="text1"/>
                <w:spacing w:val="-4"/>
              </w:rPr>
              <w:t xml:space="preserve"> vázaných na minulé programové</w:t>
            </w:r>
            <w:r w:rsidRPr="005453DB">
              <w:rPr>
                <w:rFonts w:cs="Arial"/>
                <w:color w:val="000000" w:themeColor="text1"/>
                <w:spacing w:val="-4"/>
              </w:rPr>
              <w:t xml:space="preserve"> období) 115,5 mld. korun. Byť jejich výše meziročně poklesla (o 14 %), celoroční</w:t>
            </w:r>
            <w:r w:rsidR="00744D2B">
              <w:rPr>
                <w:rFonts w:cs="Arial"/>
                <w:color w:val="000000" w:themeColor="text1"/>
                <w:spacing w:val="-4"/>
              </w:rPr>
              <w:t>m</w:t>
            </w:r>
            <w:r w:rsidRPr="00952517">
              <w:rPr>
                <w:rFonts w:cs="Arial"/>
                <w:color w:val="000000" w:themeColor="text1"/>
                <w:spacing w:val="-4"/>
              </w:rPr>
              <w:t xml:space="preserve"> rozpočtem očekávanou částku již přesáhla o více než 20 mld. korun. Celková čistá pozice ČR vůči rozpočtu EU činila 66,6 mld.</w:t>
            </w:r>
            <w:r w:rsidR="00744D2B">
              <w:rPr>
                <w:rFonts w:cs="Arial"/>
                <w:color w:val="000000" w:themeColor="text1"/>
                <w:spacing w:val="-4"/>
              </w:rPr>
              <w:t xml:space="preserve"> korun. Dosáhla zhruba pouze</w:t>
            </w:r>
            <w:r w:rsidRPr="00952517">
              <w:rPr>
                <w:rFonts w:cs="Arial"/>
                <w:color w:val="000000" w:themeColor="text1"/>
                <w:spacing w:val="-4"/>
              </w:rPr>
              <w:t xml:space="preserve"> </w:t>
            </w:r>
            <w:r>
              <w:rPr>
                <w:rFonts w:cs="Arial"/>
                <w:color w:val="000000" w:themeColor="text1"/>
                <w:spacing w:val="-4"/>
              </w:rPr>
              <w:t>poloviny rekordní loňské úrovně. P</w:t>
            </w:r>
            <w:r w:rsidRPr="00952517">
              <w:rPr>
                <w:rFonts w:cs="Arial"/>
                <w:color w:val="000000" w:themeColor="text1"/>
                <w:spacing w:val="-4"/>
              </w:rPr>
              <w:t xml:space="preserve">roti 1. pololetí 2014 však byla o 10 mld. </w:t>
            </w:r>
            <w:r w:rsidRPr="00952517">
              <w:rPr>
                <w:rFonts w:cs="Arial"/>
                <w:color w:val="000000" w:themeColor="text1"/>
                <w:spacing w:val="-4"/>
              </w:rPr>
              <w:lastRenderedPageBreak/>
              <w:t>korun vyšší. Za meziročně s</w:t>
            </w:r>
            <w:r>
              <w:rPr>
                <w:rFonts w:cs="Arial"/>
                <w:color w:val="000000" w:themeColor="text1"/>
                <w:spacing w:val="-4"/>
              </w:rPr>
              <w:t xml:space="preserve">labším výsledkem stál </w:t>
            </w:r>
            <w:r w:rsidR="00744D2B">
              <w:rPr>
                <w:rFonts w:cs="Arial"/>
                <w:color w:val="000000" w:themeColor="text1"/>
                <w:spacing w:val="-4"/>
              </w:rPr>
              <w:t xml:space="preserve">letos </w:t>
            </w:r>
            <w:r>
              <w:rPr>
                <w:rFonts w:cs="Arial"/>
                <w:color w:val="000000" w:themeColor="text1"/>
                <w:spacing w:val="-4"/>
              </w:rPr>
              <w:t>hlavně</w:t>
            </w:r>
            <w:r w:rsidRPr="00952517">
              <w:rPr>
                <w:rFonts w:cs="Arial"/>
                <w:color w:val="000000" w:themeColor="text1"/>
                <w:spacing w:val="-4"/>
              </w:rPr>
              <w:t xml:space="preserve"> </w:t>
            </w:r>
            <w:r>
              <w:rPr>
                <w:rFonts w:cs="Arial"/>
                <w:color w:val="000000" w:themeColor="text1"/>
                <w:spacing w:val="-4"/>
              </w:rPr>
              <w:t xml:space="preserve">výrazně </w:t>
            </w:r>
            <w:r w:rsidRPr="00952517">
              <w:rPr>
                <w:rFonts w:cs="Arial"/>
                <w:color w:val="000000" w:themeColor="text1"/>
                <w:spacing w:val="-4"/>
              </w:rPr>
              <w:t xml:space="preserve">nižší příliv financí ze strukturálních fondů (o </w:t>
            </w:r>
            <w:r w:rsidR="00744D2B">
              <w:rPr>
                <w:rFonts w:cs="Arial"/>
                <w:color w:val="000000" w:themeColor="text1"/>
                <w:spacing w:val="-4"/>
              </w:rPr>
              <w:t xml:space="preserve">téměř </w:t>
            </w:r>
            <w:r w:rsidRPr="00952517">
              <w:rPr>
                <w:rFonts w:cs="Arial"/>
                <w:color w:val="000000" w:themeColor="text1"/>
                <w:spacing w:val="-4"/>
              </w:rPr>
              <w:t>dvě třetiny), naopak přím</w:t>
            </w:r>
            <w:r>
              <w:rPr>
                <w:rFonts w:cs="Arial"/>
                <w:color w:val="000000" w:themeColor="text1"/>
                <w:spacing w:val="-4"/>
              </w:rPr>
              <w:t>é platby do zeměd</w:t>
            </w:r>
            <w:r w:rsidR="00744D2B">
              <w:rPr>
                <w:rFonts w:cs="Arial"/>
                <w:color w:val="000000" w:themeColor="text1"/>
                <w:spacing w:val="-4"/>
              </w:rPr>
              <w:t xml:space="preserve">ělství </w:t>
            </w:r>
            <w:r>
              <w:rPr>
                <w:rFonts w:cs="Arial"/>
                <w:color w:val="000000" w:themeColor="text1"/>
                <w:spacing w:val="-4"/>
              </w:rPr>
              <w:t>kles</w:t>
            </w:r>
            <w:r w:rsidRPr="00952517">
              <w:rPr>
                <w:rFonts w:cs="Arial"/>
                <w:color w:val="000000" w:themeColor="text1"/>
                <w:spacing w:val="-4"/>
              </w:rPr>
              <w:t xml:space="preserve">ly mírněji – </w:t>
            </w:r>
            <w:r>
              <w:rPr>
                <w:rFonts w:cs="Arial"/>
                <w:color w:val="000000" w:themeColor="text1"/>
                <w:spacing w:val="-4"/>
              </w:rPr>
              <w:t>o</w:t>
            </w:r>
            <w:r w:rsidRPr="00952517">
              <w:rPr>
                <w:rFonts w:cs="Arial"/>
                <w:color w:val="000000" w:themeColor="text1"/>
                <w:spacing w:val="-4"/>
              </w:rPr>
              <w:t xml:space="preserve"> </w:t>
            </w:r>
            <w:r w:rsidR="00744D2B">
              <w:rPr>
                <w:rFonts w:cs="Arial"/>
                <w:color w:val="000000" w:themeColor="text1"/>
                <w:spacing w:val="-4"/>
              </w:rPr>
              <w:t xml:space="preserve">necelou </w:t>
            </w:r>
            <w:r w:rsidRPr="00952517">
              <w:rPr>
                <w:rFonts w:cs="Arial"/>
                <w:color w:val="000000" w:themeColor="text1"/>
                <w:spacing w:val="-4"/>
              </w:rPr>
              <w:t>čtvrtinu.</w:t>
            </w:r>
          </w:p>
          <w:p w:rsidR="000F74B6" w:rsidRPr="00952517" w:rsidRDefault="000F74B6" w:rsidP="00AF5D62">
            <w:pPr>
              <w:pStyle w:val="Textpoznpodarou"/>
              <w:jc w:val="both"/>
              <w:rPr>
                <w:rFonts w:cs="Arial"/>
                <w:color w:val="000000" w:themeColor="text1"/>
                <w:spacing w:val="-4"/>
                <w:sz w:val="15"/>
                <w:szCs w:val="15"/>
              </w:rPr>
            </w:pPr>
          </w:p>
        </w:tc>
      </w:tr>
      <w:tr w:rsidR="000F74B6" w:rsidRPr="00A90EFD" w:rsidTr="00AF5D62">
        <w:tc>
          <w:tcPr>
            <w:tcW w:w="1054" w:type="pct"/>
          </w:tcPr>
          <w:p w:rsidR="000F74B6" w:rsidRDefault="000F74B6" w:rsidP="00AF5D62">
            <w:pPr>
              <w:spacing w:line="240" w:lineRule="auto"/>
              <w:rPr>
                <w:rFonts w:cs="Arial"/>
                <w:color w:val="0D0D0D" w:themeColor="text1" w:themeTint="F2"/>
                <w:spacing w:val="-2"/>
                <w:sz w:val="16"/>
                <w:szCs w:val="16"/>
              </w:rPr>
            </w:pPr>
            <w:r>
              <w:rPr>
                <w:rFonts w:cs="Arial"/>
                <w:color w:val="0D0D0D" w:themeColor="text1" w:themeTint="F2"/>
                <w:spacing w:val="-2"/>
                <w:sz w:val="16"/>
                <w:szCs w:val="16"/>
              </w:rPr>
              <w:lastRenderedPageBreak/>
              <w:t>Kapitálové výdaje v souladu s rozpočtovým očekáváním meziročně prudce poklesly, jejich objem byl třetí nejnižší po roce 2007</w:t>
            </w:r>
          </w:p>
          <w:p w:rsidR="000F74B6" w:rsidRDefault="000F74B6" w:rsidP="00AF5D62">
            <w:pPr>
              <w:spacing w:line="240" w:lineRule="auto"/>
              <w:rPr>
                <w:rFonts w:cs="Arial"/>
                <w:color w:val="0D0D0D" w:themeColor="text1" w:themeTint="F2"/>
                <w:spacing w:val="-2"/>
                <w:sz w:val="16"/>
                <w:szCs w:val="16"/>
              </w:rPr>
            </w:pPr>
          </w:p>
          <w:p w:rsidR="000F74B6" w:rsidRPr="006E7FAA" w:rsidRDefault="000F74B6" w:rsidP="00AF5D62">
            <w:pPr>
              <w:spacing w:line="240" w:lineRule="auto"/>
              <w:rPr>
                <w:rFonts w:cs="Arial"/>
                <w:color w:val="0D0D0D" w:themeColor="text1" w:themeTint="F2"/>
                <w:spacing w:val="-2"/>
                <w:sz w:val="16"/>
                <w:szCs w:val="16"/>
              </w:rPr>
            </w:pPr>
            <w:r>
              <w:rPr>
                <w:rFonts w:cs="Arial"/>
                <w:bCs/>
                <w:iCs/>
                <w:color w:val="0D0D0D" w:themeColor="text1" w:themeTint="F2"/>
                <w:spacing w:val="-4"/>
                <w:sz w:val="16"/>
                <w:szCs w:val="16"/>
              </w:rPr>
              <w:t>Alokace investic SR určených na rozvojové projekty v novém programovacím období zůstává zatím velmi nízká</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952517" w:rsidRDefault="000F74B6" w:rsidP="00AF5D62">
            <w:pPr>
              <w:pStyle w:val="Textpoznpodarou"/>
              <w:jc w:val="both"/>
              <w:rPr>
                <w:rFonts w:cs="Arial"/>
                <w:color w:val="0D0D0D" w:themeColor="text1" w:themeTint="F2"/>
                <w:spacing w:val="-4"/>
              </w:rPr>
            </w:pPr>
            <w:r w:rsidRPr="00952517">
              <w:rPr>
                <w:rFonts w:cs="Arial"/>
                <w:color w:val="0D0D0D" w:themeColor="text1" w:themeTint="F2"/>
                <w:spacing w:val="-4"/>
              </w:rPr>
              <w:t>Celkové výdaje SR se snížily o 0,5 %. V rámci 1. pololetí šlo teprve o druhý meziroční pokles</w:t>
            </w:r>
            <w:r>
              <w:rPr>
                <w:rFonts w:cs="Arial"/>
                <w:color w:val="0D0D0D" w:themeColor="text1" w:themeTint="F2"/>
                <w:spacing w:val="-4"/>
              </w:rPr>
              <w:t xml:space="preserve"> po roce 2000. Na </w:t>
            </w:r>
            <w:r w:rsidRPr="00952517">
              <w:rPr>
                <w:rFonts w:cs="Arial"/>
                <w:color w:val="0D0D0D" w:themeColor="text1" w:themeTint="F2"/>
                <w:spacing w:val="-4"/>
              </w:rPr>
              <w:t xml:space="preserve">rozdíl od roku 2011 však ten letošní probíhal v období stabilního hospodářského růstu a zároveň byl i rozpočtově očekávaný. Důvodem byl propad investic, jejichž výše dosáhla 39,1 mld. korun a přiblížila se </w:t>
            </w:r>
            <w:r w:rsidR="009B2C0E">
              <w:rPr>
                <w:rFonts w:cs="Arial"/>
                <w:color w:val="0D0D0D" w:themeColor="text1" w:themeTint="F2"/>
                <w:spacing w:val="-4"/>
              </w:rPr>
              <w:t xml:space="preserve">tak </w:t>
            </w:r>
            <w:r w:rsidRPr="00952517">
              <w:rPr>
                <w:rFonts w:cs="Arial"/>
                <w:color w:val="0D0D0D" w:themeColor="text1" w:themeTint="F2"/>
                <w:spacing w:val="-4"/>
              </w:rPr>
              <w:t>úrovni z let 2012-2013, kdy byly veřejné výdaje silně ovlivňovány restriktivními opatřeními. Dvě třetiny letošních investic se týkaly společných programů Česka a EU, v drtivé většině však by</w:t>
            </w:r>
            <w:r w:rsidR="009B2C0E">
              <w:rPr>
                <w:rFonts w:cs="Arial"/>
                <w:color w:val="0D0D0D" w:themeColor="text1" w:themeTint="F2"/>
                <w:spacing w:val="-4"/>
              </w:rPr>
              <w:t>ly ještě spojeny s programovým obdobím 2007</w:t>
            </w:r>
            <w:r w:rsidR="009B2C0E" w:rsidRPr="00952517">
              <w:rPr>
                <w:rFonts w:cs="Arial"/>
                <w:color w:val="000000" w:themeColor="text1"/>
                <w:spacing w:val="-4"/>
              </w:rPr>
              <w:t>–</w:t>
            </w:r>
            <w:r w:rsidRPr="00952517">
              <w:rPr>
                <w:rFonts w:cs="Arial"/>
                <w:color w:val="0D0D0D" w:themeColor="text1" w:themeTint="F2"/>
                <w:spacing w:val="-4"/>
              </w:rPr>
              <w:t>13. Příčinou byla nižší celkov</w:t>
            </w:r>
            <w:r>
              <w:rPr>
                <w:rFonts w:cs="Arial"/>
                <w:color w:val="0D0D0D" w:themeColor="text1" w:themeTint="F2"/>
                <w:spacing w:val="-4"/>
              </w:rPr>
              <w:t>á připravenost větších (</w:t>
            </w:r>
            <w:r w:rsidRPr="00952517">
              <w:rPr>
                <w:rFonts w:cs="Arial"/>
                <w:color w:val="0D0D0D" w:themeColor="text1" w:themeTint="F2"/>
                <w:spacing w:val="-4"/>
              </w:rPr>
              <w:t>dopravních</w:t>
            </w:r>
            <w:r>
              <w:rPr>
                <w:rFonts w:cs="Arial"/>
                <w:color w:val="0D0D0D" w:themeColor="text1" w:themeTint="F2"/>
                <w:spacing w:val="-4"/>
              </w:rPr>
              <w:t>) projektů</w:t>
            </w:r>
            <w:r w:rsidR="009B2C0E">
              <w:rPr>
                <w:rFonts w:cs="Arial"/>
                <w:color w:val="0D0D0D" w:themeColor="text1" w:themeTint="F2"/>
                <w:spacing w:val="-4"/>
              </w:rPr>
              <w:t xml:space="preserve"> na počátku nového programové</w:t>
            </w:r>
            <w:r w:rsidRPr="00952517">
              <w:rPr>
                <w:rFonts w:cs="Arial"/>
                <w:color w:val="0D0D0D" w:themeColor="text1" w:themeTint="F2"/>
                <w:spacing w:val="-4"/>
              </w:rPr>
              <w:t>ho období</w:t>
            </w:r>
            <w:r w:rsidRPr="00952517">
              <w:rPr>
                <w:rStyle w:val="Znakapoznpodarou"/>
                <w:color w:val="0D0D0D" w:themeColor="text1" w:themeTint="F2"/>
                <w:spacing w:val="-4"/>
              </w:rPr>
              <w:footnoteReference w:id="24"/>
            </w:r>
            <w:r w:rsidR="009B2C0E">
              <w:rPr>
                <w:rFonts w:cs="Arial"/>
                <w:color w:val="0D0D0D" w:themeColor="text1" w:themeTint="F2"/>
                <w:spacing w:val="-4"/>
              </w:rPr>
              <w:t>. Na celkových výdajích státu</w:t>
            </w:r>
            <w:r w:rsidRPr="00952517">
              <w:rPr>
                <w:rFonts w:cs="Arial"/>
                <w:color w:val="0D0D0D" w:themeColor="text1" w:themeTint="F2"/>
                <w:spacing w:val="-4"/>
              </w:rPr>
              <w:t xml:space="preserve"> se letos dosud investice podílely</w:t>
            </w:r>
            <w:r>
              <w:rPr>
                <w:rFonts w:cs="Arial"/>
                <w:color w:val="0D0D0D" w:themeColor="text1" w:themeTint="F2"/>
                <w:spacing w:val="-4"/>
              </w:rPr>
              <w:t xml:space="preserve"> 6,4 %.</w:t>
            </w:r>
            <w:r w:rsidRPr="00952517">
              <w:rPr>
                <w:rFonts w:cs="Arial"/>
                <w:color w:val="0D0D0D" w:themeColor="text1" w:themeTint="F2"/>
                <w:spacing w:val="-4"/>
              </w:rPr>
              <w:t xml:space="preserve"> </w:t>
            </w:r>
          </w:p>
          <w:p w:rsidR="000F74B6" w:rsidRPr="00952517"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Pr="00EB0A9A" w:rsidRDefault="000F74B6" w:rsidP="00AF5D62">
            <w:pPr>
              <w:spacing w:line="240" w:lineRule="auto"/>
              <w:rPr>
                <w:rFonts w:cs="Arial"/>
                <w:bCs/>
                <w:iCs/>
                <w:color w:val="0D0D0D" w:themeColor="text1" w:themeTint="F2"/>
                <w:sz w:val="16"/>
                <w:szCs w:val="16"/>
              </w:rPr>
            </w:pPr>
            <w:r w:rsidRPr="00EB0A9A">
              <w:rPr>
                <w:rFonts w:cs="Arial"/>
                <w:bCs/>
                <w:iCs/>
                <w:color w:val="0D0D0D" w:themeColor="text1" w:themeTint="F2"/>
                <w:sz w:val="16"/>
                <w:szCs w:val="16"/>
              </w:rPr>
              <w:t>Výdaje n</w:t>
            </w:r>
            <w:r w:rsidR="00867464">
              <w:rPr>
                <w:rFonts w:cs="Arial"/>
                <w:bCs/>
                <w:iCs/>
                <w:color w:val="0D0D0D" w:themeColor="text1" w:themeTint="F2"/>
                <w:sz w:val="16"/>
                <w:szCs w:val="16"/>
              </w:rPr>
              <w:t>a důchody rostly nejvyšší</w:t>
            </w:r>
            <w:r w:rsidRPr="00EB0A9A">
              <w:rPr>
                <w:rFonts w:cs="Arial"/>
                <w:bCs/>
                <w:iCs/>
                <w:color w:val="0D0D0D" w:themeColor="text1" w:themeTint="F2"/>
                <w:sz w:val="16"/>
                <w:szCs w:val="16"/>
              </w:rPr>
              <w:t xml:space="preserve">m tempem za posledních pět let, díky silnému růstu výběru pojistného </w:t>
            </w:r>
            <w:r>
              <w:rPr>
                <w:rFonts w:cs="Arial"/>
                <w:bCs/>
                <w:iCs/>
                <w:color w:val="0D0D0D" w:themeColor="text1" w:themeTint="F2"/>
                <w:sz w:val="16"/>
                <w:szCs w:val="16"/>
              </w:rPr>
              <w:t xml:space="preserve">(+5,2 %) se </w:t>
            </w:r>
            <w:r w:rsidRPr="00EB0A9A">
              <w:rPr>
                <w:rFonts w:cs="Arial"/>
                <w:bCs/>
                <w:iCs/>
                <w:color w:val="0D0D0D" w:themeColor="text1" w:themeTint="F2"/>
                <w:sz w:val="16"/>
                <w:szCs w:val="16"/>
              </w:rPr>
              <w:t xml:space="preserve">však deficit důchodového účtu </w:t>
            </w:r>
            <w:r>
              <w:rPr>
                <w:rFonts w:cs="Arial"/>
                <w:bCs/>
                <w:iCs/>
                <w:color w:val="0D0D0D" w:themeColor="text1" w:themeTint="F2"/>
                <w:sz w:val="16"/>
                <w:szCs w:val="16"/>
              </w:rPr>
              <w:t xml:space="preserve">i </w:t>
            </w:r>
            <w:r w:rsidRPr="00EB0A9A">
              <w:rPr>
                <w:rFonts w:cs="Arial"/>
                <w:bCs/>
                <w:iCs/>
                <w:color w:val="0D0D0D" w:themeColor="text1" w:themeTint="F2"/>
                <w:sz w:val="16"/>
                <w:szCs w:val="16"/>
              </w:rPr>
              <w:t xml:space="preserve">nadále zmírňoval </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Default="000F74B6" w:rsidP="00AF5D62">
            <w:pPr>
              <w:pStyle w:val="Textpoznpodarou"/>
              <w:jc w:val="both"/>
              <w:rPr>
                <w:rFonts w:cs="Arial"/>
                <w:color w:val="000000" w:themeColor="text1"/>
                <w:spacing w:val="-4"/>
              </w:rPr>
            </w:pPr>
            <w:r>
              <w:rPr>
                <w:rFonts w:cs="Arial"/>
                <w:color w:val="0D0D0D" w:themeColor="text1" w:themeTint="F2"/>
                <w:spacing w:val="-4"/>
              </w:rPr>
              <w:t>Tempo růstu běžných výdajů</w:t>
            </w:r>
            <w:r w:rsidRPr="00593595">
              <w:rPr>
                <w:rFonts w:cs="Arial"/>
                <w:color w:val="0D0D0D" w:themeColor="text1" w:themeTint="F2"/>
                <w:spacing w:val="-4"/>
              </w:rPr>
              <w:t xml:space="preserve"> SR</w:t>
            </w:r>
            <w:r>
              <w:rPr>
                <w:rFonts w:cs="Arial"/>
                <w:color w:val="0D0D0D" w:themeColor="text1" w:themeTint="F2"/>
                <w:spacing w:val="-4"/>
              </w:rPr>
              <w:t xml:space="preserve"> (2,1 %) se pohybovalo v intencích posledních pěti let, o vyšší výdaje se tradičně nejvíce zasloužily sociá</w:t>
            </w:r>
            <w:r w:rsidR="00867464">
              <w:rPr>
                <w:rFonts w:cs="Arial"/>
                <w:color w:val="0D0D0D" w:themeColor="text1" w:themeTint="F2"/>
                <w:spacing w:val="-4"/>
              </w:rPr>
              <w:t>lní dávky (meziročně vyšší o 10 </w:t>
            </w:r>
            <w:r>
              <w:rPr>
                <w:rFonts w:cs="Arial"/>
                <w:color w:val="0D0D0D" w:themeColor="text1" w:themeTint="F2"/>
                <w:spacing w:val="-4"/>
              </w:rPr>
              <w:t>mld. korun). Více n</w:t>
            </w:r>
            <w:r w:rsidR="00867464">
              <w:rPr>
                <w:rFonts w:cs="Arial"/>
                <w:color w:val="0D0D0D" w:themeColor="text1" w:themeTint="F2"/>
                <w:spacing w:val="-4"/>
              </w:rPr>
              <w:t>ež tři čtvrtiny z nich směřovaly na důchody, které rostly o 4,8 </w:t>
            </w:r>
            <w:r>
              <w:rPr>
                <w:rFonts w:cs="Arial"/>
                <w:color w:val="0D0D0D" w:themeColor="text1" w:themeTint="F2"/>
                <w:spacing w:val="-4"/>
              </w:rPr>
              <w:t xml:space="preserve">%, nejvyšším tempem za posledních pět let. Projevil se zde vliv </w:t>
            </w:r>
            <w:r w:rsidRPr="00741F3C">
              <w:rPr>
                <w:rFonts w:cs="Arial"/>
                <w:color w:val="0D0D0D" w:themeColor="text1" w:themeTint="F2"/>
                <w:spacing w:val="-4"/>
              </w:rPr>
              <w:t>jednorázového únorového příspěvku (1</w:t>
            </w:r>
            <w:r w:rsidRPr="00741F3C">
              <w:rPr>
                <w:rFonts w:cs="Arial"/>
                <w:color w:val="000000" w:themeColor="text1"/>
                <w:spacing w:val="-4"/>
              </w:rPr>
              <w:t> </w:t>
            </w:r>
            <w:r w:rsidRPr="00741F3C">
              <w:rPr>
                <w:rFonts w:cs="Arial"/>
                <w:color w:val="0D0D0D" w:themeColor="text1" w:themeTint="F2"/>
                <w:spacing w:val="-4"/>
              </w:rPr>
              <w:t xml:space="preserve">200 korun) nad rámec standardní valorizace </w:t>
            </w:r>
            <w:r>
              <w:rPr>
                <w:rFonts w:cs="Arial"/>
                <w:color w:val="0D0D0D" w:themeColor="text1" w:themeTint="F2"/>
                <w:spacing w:val="-4"/>
              </w:rPr>
              <w:t xml:space="preserve">(opětovně platné od ledna 2015) a zčásti i rostoucí počet příjemců (+0,7 %, po třech letech stagnace). </w:t>
            </w:r>
            <w:r w:rsidRPr="00741F3C">
              <w:rPr>
                <w:rFonts w:cs="Arial"/>
                <w:color w:val="000000" w:themeColor="text1"/>
                <w:spacing w:val="-4"/>
              </w:rPr>
              <w:t xml:space="preserve">Deficit salda důchodového účtu (rozdíl mezi příjmy a výdaji na důchody ze SR) </w:t>
            </w:r>
            <w:r>
              <w:rPr>
                <w:rFonts w:cs="Arial"/>
                <w:color w:val="000000" w:themeColor="text1"/>
                <w:spacing w:val="-4"/>
              </w:rPr>
              <w:t xml:space="preserve">činil za 1. pololetí 11,2 </w:t>
            </w:r>
            <w:r w:rsidRPr="00741F3C">
              <w:rPr>
                <w:rFonts w:cs="Arial"/>
                <w:color w:val="000000" w:themeColor="text1"/>
                <w:spacing w:val="-4"/>
              </w:rPr>
              <w:t>mld. korun</w:t>
            </w:r>
            <w:r>
              <w:rPr>
                <w:rFonts w:cs="Arial"/>
                <w:color w:val="000000" w:themeColor="text1"/>
                <w:spacing w:val="-4"/>
              </w:rPr>
              <w:t xml:space="preserve"> </w:t>
            </w:r>
            <w:r w:rsidRPr="00741F3C">
              <w:rPr>
                <w:rFonts w:cs="Arial"/>
                <w:color w:val="000000" w:themeColor="text1"/>
                <w:spacing w:val="-4"/>
              </w:rPr>
              <w:t>a byl již meziročně opět příznivější</w:t>
            </w:r>
            <w:r w:rsidR="00867464">
              <w:rPr>
                <w:rFonts w:cs="Arial"/>
                <w:color w:val="000000" w:themeColor="text1"/>
                <w:spacing w:val="-4"/>
              </w:rPr>
              <w:t>,</w:t>
            </w:r>
            <w:r>
              <w:rPr>
                <w:rFonts w:cs="Arial"/>
                <w:color w:val="000000" w:themeColor="text1"/>
                <w:spacing w:val="-4"/>
              </w:rPr>
              <w:t xml:space="preserve"> již popáté v řadě.</w:t>
            </w:r>
          </w:p>
          <w:p w:rsidR="000F74B6" w:rsidRPr="007E721A"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Default="000F74B6" w:rsidP="00AF5D62">
            <w:pPr>
              <w:spacing w:line="240" w:lineRule="auto"/>
              <w:rPr>
                <w:rFonts w:cs="Arial"/>
                <w:bCs/>
                <w:iCs/>
                <w:color w:val="000000" w:themeColor="text1"/>
                <w:sz w:val="16"/>
                <w:szCs w:val="16"/>
              </w:rPr>
            </w:pPr>
            <w:r w:rsidRPr="002D3E5C">
              <w:rPr>
                <w:rFonts w:cs="Arial"/>
                <w:bCs/>
                <w:iCs/>
                <w:color w:val="000000" w:themeColor="text1"/>
                <w:sz w:val="16"/>
                <w:szCs w:val="16"/>
              </w:rPr>
              <w:t>Výdaje na ostatní sociální dávky rostly již čtvrtý rok v</w:t>
            </w:r>
            <w:r>
              <w:rPr>
                <w:rFonts w:cs="Arial"/>
                <w:bCs/>
                <w:iCs/>
                <w:color w:val="000000" w:themeColor="text1"/>
                <w:sz w:val="16"/>
                <w:szCs w:val="16"/>
              </w:rPr>
              <w:t> </w:t>
            </w:r>
            <w:r w:rsidRPr="002D3E5C">
              <w:rPr>
                <w:rFonts w:cs="Arial"/>
                <w:bCs/>
                <w:iCs/>
                <w:color w:val="000000" w:themeColor="text1"/>
                <w:sz w:val="16"/>
                <w:szCs w:val="16"/>
              </w:rPr>
              <w:t>řadě</w:t>
            </w:r>
            <w:r>
              <w:rPr>
                <w:rFonts w:cs="Arial"/>
                <w:bCs/>
                <w:iCs/>
                <w:color w:val="000000" w:themeColor="text1"/>
                <w:sz w:val="16"/>
                <w:szCs w:val="16"/>
              </w:rPr>
              <w:t>, zejména vlivem nemocenských dávek a zčásti i příspěvků na péči (pro dlouhodobě těžce nemocné)…</w:t>
            </w:r>
          </w:p>
          <w:p w:rsidR="000F74B6" w:rsidRDefault="000F74B6" w:rsidP="00AF5D62">
            <w:pPr>
              <w:spacing w:line="240" w:lineRule="auto"/>
              <w:rPr>
                <w:rFonts w:cs="Arial"/>
                <w:bCs/>
                <w:iCs/>
                <w:color w:val="000000" w:themeColor="text1"/>
                <w:sz w:val="16"/>
                <w:szCs w:val="16"/>
              </w:rPr>
            </w:pPr>
          </w:p>
          <w:p w:rsidR="000F74B6" w:rsidRDefault="000F74B6" w:rsidP="00AF5D62">
            <w:pPr>
              <w:spacing w:line="240" w:lineRule="auto"/>
              <w:rPr>
                <w:rFonts w:cs="Arial"/>
                <w:bCs/>
                <w:iCs/>
                <w:color w:val="000000" w:themeColor="text1"/>
                <w:sz w:val="16"/>
                <w:szCs w:val="16"/>
              </w:rPr>
            </w:pPr>
          </w:p>
          <w:p w:rsidR="000F74B6" w:rsidRDefault="000F74B6" w:rsidP="00AF5D62">
            <w:pPr>
              <w:spacing w:line="240" w:lineRule="auto"/>
              <w:rPr>
                <w:rFonts w:cs="Arial"/>
                <w:bCs/>
                <w:iCs/>
                <w:color w:val="000000" w:themeColor="text1"/>
                <w:sz w:val="16"/>
                <w:szCs w:val="16"/>
              </w:rPr>
            </w:pPr>
          </w:p>
          <w:p w:rsidR="000F74B6" w:rsidRDefault="000F74B6" w:rsidP="00AF5D62">
            <w:pPr>
              <w:spacing w:line="240" w:lineRule="auto"/>
              <w:rPr>
                <w:rFonts w:cs="Arial"/>
                <w:bCs/>
                <w:iCs/>
                <w:color w:val="000000" w:themeColor="text1"/>
                <w:sz w:val="16"/>
                <w:szCs w:val="16"/>
              </w:rPr>
            </w:pPr>
          </w:p>
          <w:p w:rsidR="000F74B6" w:rsidRPr="002D3E5C" w:rsidRDefault="000F74B6" w:rsidP="00AF5D62">
            <w:pPr>
              <w:spacing w:line="240" w:lineRule="auto"/>
              <w:rPr>
                <w:rFonts w:cs="Arial"/>
                <w:bCs/>
                <w:iCs/>
                <w:color w:val="000000" w:themeColor="text1"/>
                <w:sz w:val="16"/>
                <w:szCs w:val="16"/>
              </w:rPr>
            </w:pPr>
            <w:r>
              <w:rPr>
                <w:rFonts w:cs="Arial"/>
                <w:bCs/>
                <w:iCs/>
                <w:color w:val="000000" w:themeColor="text1"/>
                <w:sz w:val="16"/>
                <w:szCs w:val="16"/>
              </w:rPr>
              <w:t>…naopak pokles výdajů na dávky hmotné nouze se prohloubil</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5071F2" w:rsidRDefault="000F74B6" w:rsidP="00AF5D62">
            <w:pPr>
              <w:pStyle w:val="Textpoznpodarou"/>
              <w:jc w:val="both"/>
              <w:rPr>
                <w:rFonts w:cs="Arial"/>
                <w:color w:val="000000" w:themeColor="text1"/>
                <w:spacing w:val="-4"/>
              </w:rPr>
            </w:pPr>
            <w:r>
              <w:rPr>
                <w:rFonts w:cs="Arial"/>
                <w:color w:val="0D0D0D" w:themeColor="text1" w:themeTint="F2"/>
                <w:spacing w:val="-4"/>
              </w:rPr>
              <w:t xml:space="preserve">Na ostatních sociálních dávkách (tj. bez důchodů) vyplatil stát 57,6 mld. korun, meziročně o 1,9 % více. Vliv růstu ekonomiky se projevil diferencovaně, u některých dávek byl zastíněn jejich legislativními změnami. Dále klesaly vyplacené dávky </w:t>
            </w:r>
            <w:r w:rsidRPr="00494889">
              <w:rPr>
                <w:rFonts w:cs="Arial"/>
                <w:color w:val="0D0D0D" w:themeColor="text1" w:themeTint="F2"/>
                <w:spacing w:val="-4"/>
              </w:rPr>
              <w:t>nezaměstnaným (-3 %), ale výrazně nižším tempem než loni, neboť počet příjemců této</w:t>
            </w:r>
            <w:r>
              <w:rPr>
                <w:rFonts w:cs="Arial"/>
                <w:color w:val="0D0D0D" w:themeColor="text1" w:themeTint="F2"/>
                <w:spacing w:val="-4"/>
              </w:rPr>
              <w:t xml:space="preserve"> podpory stagnoval, na rozdíl od všech registrovaných uchazečů o práci (-15 %). </w:t>
            </w:r>
            <w:r w:rsidRPr="00494889">
              <w:rPr>
                <w:rFonts w:cs="Arial"/>
                <w:color w:val="0D0D0D" w:themeColor="text1" w:themeTint="F2"/>
                <w:spacing w:val="-2"/>
              </w:rPr>
              <w:t>Prohloubil se naopak meziroční pokles u dávek hmotné nouze (z loňských -4,7 % na -</w:t>
            </w:r>
            <w:r>
              <w:rPr>
                <w:rFonts w:cs="Arial"/>
                <w:color w:val="0D0D0D" w:themeColor="text1" w:themeTint="F2"/>
                <w:spacing w:val="-4"/>
              </w:rPr>
              <w:t>11,6 %). Objemově významné dávky státní sociální podpory stagnovaly. Přetrvával dlouhodobý růst příspěvků na péči a především dávek nemocenského pojištění (o</w:t>
            </w:r>
            <w:r w:rsidRPr="00952517">
              <w:rPr>
                <w:rFonts w:cs="Arial"/>
                <w:color w:val="0D0D0D" w:themeColor="text1" w:themeTint="F2"/>
                <w:spacing w:val="-4"/>
              </w:rPr>
              <w:t> </w:t>
            </w:r>
            <w:r>
              <w:rPr>
                <w:rFonts w:cs="Arial"/>
                <w:color w:val="0D0D0D" w:themeColor="text1" w:themeTint="F2"/>
                <w:spacing w:val="-4"/>
              </w:rPr>
              <w:t>9,2</w:t>
            </w:r>
            <w:r w:rsidRPr="00952517">
              <w:rPr>
                <w:rFonts w:cs="Arial"/>
                <w:color w:val="0D0D0D" w:themeColor="text1" w:themeTint="F2"/>
                <w:spacing w:val="-4"/>
              </w:rPr>
              <w:t> </w:t>
            </w:r>
            <w:r>
              <w:rPr>
                <w:rFonts w:cs="Arial"/>
                <w:color w:val="0D0D0D" w:themeColor="text1" w:themeTint="F2"/>
                <w:spacing w:val="-4"/>
              </w:rPr>
              <w:t xml:space="preserve">%), </w:t>
            </w:r>
            <w:r w:rsidRPr="00741F3C">
              <w:rPr>
                <w:rFonts w:cs="Arial"/>
                <w:color w:val="000000" w:themeColor="text1"/>
                <w:spacing w:val="-4"/>
              </w:rPr>
              <w:t>a to vlivem legislativních opatření (opětovného vyplácení n</w:t>
            </w:r>
            <w:r>
              <w:rPr>
                <w:rFonts w:cs="Arial"/>
                <w:color w:val="000000" w:themeColor="text1"/>
                <w:spacing w:val="-4"/>
              </w:rPr>
              <w:t xml:space="preserve">emocenské již od 15. dne), růstu pracovní neschopnosti i vyššího čerpání </w:t>
            </w:r>
            <w:r w:rsidRPr="00494889">
              <w:rPr>
                <w:rFonts w:cs="Arial"/>
                <w:color w:val="0D0D0D" w:themeColor="text1" w:themeTint="F2"/>
                <w:spacing w:val="-4"/>
              </w:rPr>
              <w:t>peněžité pomoci v mateřství.</w:t>
            </w:r>
            <w:r>
              <w:rPr>
                <w:rFonts w:cs="Arial"/>
                <w:color w:val="000000" w:themeColor="text1"/>
                <w:spacing w:val="-4"/>
              </w:rPr>
              <w:t xml:space="preserve"> </w:t>
            </w:r>
            <w:r w:rsidRPr="005071F2">
              <w:rPr>
                <w:rFonts w:cs="Arial"/>
                <w:bCs/>
                <w:iCs/>
                <w:color w:val="000000" w:themeColor="text1"/>
                <w:spacing w:val="-4"/>
              </w:rPr>
              <w:t xml:space="preserve">Přestože výdaje na dávky nemocenského </w:t>
            </w:r>
            <w:r w:rsidRPr="00494889">
              <w:rPr>
                <w:rFonts w:cs="Arial"/>
                <w:bCs/>
                <w:iCs/>
                <w:color w:val="0D0D0D" w:themeColor="text1" w:themeTint="F2"/>
                <w:spacing w:val="-4"/>
              </w:rPr>
              <w:t>pojištění dosáhly letos maxima po</w:t>
            </w:r>
            <w:r w:rsidRPr="005071F2">
              <w:rPr>
                <w:rFonts w:cs="Arial"/>
                <w:bCs/>
                <w:iCs/>
                <w:color w:val="000000" w:themeColor="text1"/>
                <w:spacing w:val="-4"/>
              </w:rPr>
              <w:t xml:space="preserve"> 1.</w:t>
            </w:r>
            <w:r w:rsidRPr="00952517">
              <w:rPr>
                <w:rFonts w:cs="Arial"/>
                <w:color w:val="0D0D0D" w:themeColor="text1" w:themeTint="F2"/>
                <w:spacing w:val="-4"/>
              </w:rPr>
              <w:t> </w:t>
            </w:r>
            <w:r w:rsidRPr="005071F2">
              <w:rPr>
                <w:rFonts w:cs="Arial"/>
                <w:bCs/>
                <w:iCs/>
                <w:color w:val="000000" w:themeColor="text1"/>
                <w:spacing w:val="-4"/>
              </w:rPr>
              <w:t>pololetí 2009, byly stále o 750 mil. korun nižší než objem vybraného pojistného</w:t>
            </w:r>
            <w:r>
              <w:rPr>
                <w:rFonts w:cs="Arial"/>
                <w:bCs/>
                <w:iCs/>
                <w:color w:val="000000" w:themeColor="text1"/>
                <w:spacing w:val="-4"/>
              </w:rPr>
              <w:t>.</w:t>
            </w:r>
          </w:p>
          <w:p w:rsidR="000F74B6" w:rsidRPr="007E721A" w:rsidRDefault="000F74B6" w:rsidP="00AF5D62">
            <w:pPr>
              <w:pStyle w:val="Textpoznpodarou"/>
              <w:jc w:val="both"/>
              <w:rPr>
                <w:rFonts w:cs="Arial"/>
                <w:color w:val="0D0D0D" w:themeColor="text1" w:themeTint="F2"/>
                <w:spacing w:val="-4"/>
                <w:sz w:val="15"/>
                <w:szCs w:val="15"/>
              </w:rPr>
            </w:pPr>
          </w:p>
        </w:tc>
      </w:tr>
      <w:tr w:rsidR="000F74B6" w:rsidRPr="00A90EFD" w:rsidTr="00AF5D62">
        <w:tc>
          <w:tcPr>
            <w:tcW w:w="1054" w:type="pct"/>
          </w:tcPr>
          <w:p w:rsidR="000F74B6" w:rsidRPr="00AE50F2" w:rsidRDefault="000F74B6" w:rsidP="00AF5D62">
            <w:pPr>
              <w:spacing w:line="240" w:lineRule="auto"/>
              <w:rPr>
                <w:rFonts w:cs="Arial"/>
                <w:bCs/>
                <w:iCs/>
                <w:color w:val="0D0D0D" w:themeColor="text1" w:themeTint="F2"/>
                <w:sz w:val="16"/>
                <w:szCs w:val="16"/>
              </w:rPr>
            </w:pPr>
            <w:r>
              <w:rPr>
                <w:rFonts w:cs="Arial"/>
                <w:bCs/>
                <w:iCs/>
                <w:color w:val="0D0D0D" w:themeColor="text1" w:themeTint="F2"/>
                <w:sz w:val="16"/>
                <w:szCs w:val="16"/>
              </w:rPr>
              <w:t>Pokles čistých výdajů na státní dluh se po dvou letech zastavil, jejich výše (23,8 mld. korun) b</w:t>
            </w:r>
            <w:r w:rsidR="00867464">
              <w:rPr>
                <w:rFonts w:cs="Arial"/>
                <w:bCs/>
                <w:iCs/>
                <w:color w:val="0D0D0D" w:themeColor="text1" w:themeTint="F2"/>
                <w:sz w:val="16"/>
                <w:szCs w:val="16"/>
              </w:rPr>
              <w:t>yla přesto třetí nejnižší od</w:t>
            </w:r>
            <w:r w:rsidR="00867464">
              <w:rPr>
                <w:rFonts w:cs="Arial"/>
                <w:bCs/>
                <w:iCs/>
                <w:color w:val="000000" w:themeColor="text1"/>
                <w:sz w:val="16"/>
                <w:szCs w:val="16"/>
              </w:rPr>
              <w:t> </w:t>
            </w:r>
            <w:r w:rsidR="00867464">
              <w:rPr>
                <w:rFonts w:cs="Arial"/>
                <w:bCs/>
                <w:iCs/>
                <w:color w:val="0D0D0D" w:themeColor="text1" w:themeTint="F2"/>
                <w:sz w:val="16"/>
                <w:szCs w:val="16"/>
              </w:rPr>
              <w:t>1.</w:t>
            </w:r>
            <w:r w:rsidR="00867464">
              <w:rPr>
                <w:rFonts w:cs="Arial"/>
                <w:bCs/>
                <w:iCs/>
                <w:color w:val="000000" w:themeColor="text1"/>
                <w:sz w:val="16"/>
                <w:szCs w:val="16"/>
              </w:rPr>
              <w:t> </w:t>
            </w:r>
            <w:r>
              <w:rPr>
                <w:rFonts w:cs="Arial"/>
                <w:bCs/>
                <w:iCs/>
                <w:color w:val="0D0D0D" w:themeColor="text1" w:themeTint="F2"/>
                <w:sz w:val="16"/>
                <w:szCs w:val="16"/>
              </w:rPr>
              <w:t>pololetí 2008</w:t>
            </w:r>
          </w:p>
          <w:p w:rsidR="000F74B6" w:rsidRPr="00AE50F2" w:rsidRDefault="000F74B6" w:rsidP="00AF5D62">
            <w:pPr>
              <w:spacing w:line="240" w:lineRule="auto"/>
              <w:rPr>
                <w:rFonts w:cs="Arial"/>
                <w:bCs/>
                <w:iCs/>
                <w:color w:val="0D0D0D" w:themeColor="text1" w:themeTint="F2"/>
                <w:sz w:val="16"/>
                <w:szCs w:val="16"/>
              </w:rPr>
            </w:pPr>
          </w:p>
          <w:p w:rsidR="000F74B6" w:rsidRPr="00AE50F2" w:rsidRDefault="000F74B6" w:rsidP="00AF5D62">
            <w:pPr>
              <w:spacing w:line="240" w:lineRule="auto"/>
              <w:rPr>
                <w:rFonts w:cs="Arial"/>
                <w:bCs/>
                <w:iCs/>
                <w:color w:val="0D0D0D" w:themeColor="text1" w:themeTint="F2"/>
                <w:sz w:val="16"/>
                <w:szCs w:val="16"/>
              </w:rPr>
            </w:pPr>
          </w:p>
          <w:p w:rsidR="000F74B6" w:rsidRPr="00AE50F2" w:rsidRDefault="000F74B6" w:rsidP="00AF5D62">
            <w:pPr>
              <w:spacing w:line="240" w:lineRule="auto"/>
              <w:rPr>
                <w:rFonts w:cs="Arial"/>
                <w:bCs/>
                <w:iCs/>
                <w:color w:val="0D0D0D" w:themeColor="text1" w:themeTint="F2"/>
                <w:sz w:val="16"/>
                <w:szCs w:val="16"/>
              </w:rPr>
            </w:pPr>
          </w:p>
          <w:p w:rsidR="000F74B6" w:rsidRDefault="000F74B6" w:rsidP="00AF5D62">
            <w:pPr>
              <w:spacing w:line="240" w:lineRule="auto"/>
              <w:rPr>
                <w:rFonts w:cs="Arial"/>
                <w:bCs/>
                <w:iCs/>
                <w:color w:val="000000" w:themeColor="text1"/>
                <w:sz w:val="16"/>
                <w:szCs w:val="16"/>
              </w:rPr>
            </w:pPr>
          </w:p>
          <w:p w:rsidR="000F74B6" w:rsidRPr="00433060" w:rsidRDefault="000F74B6" w:rsidP="00AF5D62">
            <w:pPr>
              <w:spacing w:line="240" w:lineRule="auto"/>
              <w:rPr>
                <w:rFonts w:cs="Arial"/>
                <w:bCs/>
                <w:iCs/>
                <w:color w:val="000000" w:themeColor="text1"/>
                <w:sz w:val="16"/>
                <w:szCs w:val="16"/>
              </w:rPr>
            </w:pPr>
            <w:r>
              <w:rPr>
                <w:rFonts w:cs="Arial"/>
                <w:bCs/>
                <w:iCs/>
                <w:color w:val="000000" w:themeColor="text1"/>
                <w:sz w:val="16"/>
                <w:szCs w:val="16"/>
              </w:rPr>
              <w:t xml:space="preserve">Stabilizace výše celkového státního dluhu pokračovala, trvala již 13 čtvrtletí v řadě </w:t>
            </w: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7C2701" w:rsidRDefault="000F74B6" w:rsidP="00AF5D62">
            <w:pPr>
              <w:pStyle w:val="Textpoznpodarou"/>
              <w:jc w:val="both"/>
              <w:rPr>
                <w:rFonts w:cs="Arial"/>
                <w:color w:val="0D0D0D" w:themeColor="text1" w:themeTint="F2"/>
                <w:spacing w:val="-4"/>
              </w:rPr>
            </w:pPr>
            <w:r>
              <w:rPr>
                <w:spacing w:val="-4"/>
              </w:rPr>
              <w:t xml:space="preserve">Výdaje na platy státních zaměstnanců se zvyšovaly (i přes růst </w:t>
            </w:r>
            <w:proofErr w:type="gramStart"/>
            <w:r>
              <w:rPr>
                <w:spacing w:val="-4"/>
              </w:rPr>
              <w:t xml:space="preserve">zaměstnanosti </w:t>
            </w:r>
            <w:r>
              <w:rPr>
                <w:rFonts w:cs="Arial"/>
                <w:color w:val="0D0D0D" w:themeColor="text1" w:themeTint="F2"/>
                <w:spacing w:val="-4"/>
              </w:rPr>
              <w:t xml:space="preserve"> a</w:t>
            </w:r>
            <w:r w:rsidRPr="00952517">
              <w:rPr>
                <w:rFonts w:cs="Arial"/>
                <w:color w:val="0D0D0D" w:themeColor="text1" w:themeTint="F2"/>
                <w:spacing w:val="-4"/>
              </w:rPr>
              <w:t> </w:t>
            </w:r>
            <w:r>
              <w:rPr>
                <w:spacing w:val="-4"/>
              </w:rPr>
              <w:t>platových</w:t>
            </w:r>
            <w:proofErr w:type="gramEnd"/>
            <w:r>
              <w:rPr>
                <w:spacing w:val="-4"/>
              </w:rPr>
              <w:t xml:space="preserve"> tarifů) o mírných 3,2 %. Za mírnějším růstem stála vyšší loňská základna, ve které se zčásti mohly projevit i výdaje související s přípravou na nový služební zákon. Objemově významné neinvestiční transfery územním rozpočtům posílily o</w:t>
            </w:r>
            <w:r w:rsidR="00867464">
              <w:rPr>
                <w:rFonts w:cs="Arial"/>
                <w:bCs/>
                <w:iCs/>
                <w:color w:val="000000" w:themeColor="text1"/>
                <w:sz w:val="16"/>
                <w:szCs w:val="16"/>
              </w:rPr>
              <w:t> </w:t>
            </w:r>
            <w:r>
              <w:rPr>
                <w:spacing w:val="-4"/>
              </w:rPr>
              <w:t>3,7</w:t>
            </w:r>
            <w:r w:rsidRPr="00952517">
              <w:rPr>
                <w:rFonts w:cs="Arial"/>
                <w:color w:val="0D0D0D" w:themeColor="text1" w:themeTint="F2"/>
                <w:spacing w:val="-4"/>
              </w:rPr>
              <w:t> </w:t>
            </w:r>
            <w:r>
              <w:rPr>
                <w:spacing w:val="-4"/>
              </w:rPr>
              <w:t>%, většinou šlo o</w:t>
            </w:r>
            <w:r>
              <w:rPr>
                <w:rFonts w:cs="Arial"/>
                <w:color w:val="0D0D0D" w:themeColor="text1" w:themeTint="F2"/>
                <w:spacing w:val="-4"/>
              </w:rPr>
              <w:t xml:space="preserve"> </w:t>
            </w:r>
            <w:r>
              <w:rPr>
                <w:spacing w:val="-4"/>
              </w:rPr>
              <w:t xml:space="preserve">prostředky na regionální školství. Stát významněji ušetřil jen na </w:t>
            </w:r>
            <w:r w:rsidRPr="009757D6">
              <w:rPr>
                <w:spacing w:val="-4"/>
              </w:rPr>
              <w:t xml:space="preserve">odvodech do rozpočtu EU (4,5 mld. korun). Čisté výdaje na státní dluh (tj. po </w:t>
            </w:r>
            <w:r w:rsidRPr="009757D6">
              <w:t>započtení příjmů</w:t>
            </w:r>
            <w:r>
              <w:t xml:space="preserve"> </w:t>
            </w:r>
            <w:r w:rsidRPr="00433060">
              <w:rPr>
                <w:color w:val="0D0D0D" w:themeColor="text1" w:themeTint="F2"/>
              </w:rPr>
              <w:t>kapitoly státní dluh) na rozdíl od předchozích dvou let již neklesaly.</w:t>
            </w:r>
            <w:r w:rsidRPr="00433060">
              <w:rPr>
                <w:rFonts w:cs="Arial"/>
                <w:color w:val="0D0D0D" w:themeColor="text1" w:themeTint="F2"/>
                <w:spacing w:val="-4"/>
              </w:rPr>
              <w:t xml:space="preserve"> Výše celkového státního dluhu činila na konci 1. pololetí 1</w:t>
            </w:r>
            <w:r>
              <w:rPr>
                <w:rFonts w:cs="Arial"/>
                <w:color w:val="0D0D0D" w:themeColor="text1" w:themeTint="F2"/>
                <w:spacing w:val="-4"/>
              </w:rPr>
              <w:t> </w:t>
            </w:r>
            <w:r w:rsidRPr="00433060">
              <w:rPr>
                <w:rFonts w:cs="Arial"/>
                <w:color w:val="0D0D0D" w:themeColor="text1" w:themeTint="F2"/>
                <w:spacing w:val="-4"/>
              </w:rPr>
              <w:t>691</w:t>
            </w:r>
            <w:r>
              <w:rPr>
                <w:rFonts w:cs="Arial"/>
                <w:color w:val="0D0D0D" w:themeColor="text1" w:themeTint="F2"/>
                <w:spacing w:val="-4"/>
              </w:rPr>
              <w:t xml:space="preserve">,3 </w:t>
            </w:r>
            <w:r w:rsidRPr="00433060">
              <w:rPr>
                <w:rFonts w:cs="Arial"/>
                <w:color w:val="0D0D0D" w:themeColor="text1" w:themeTint="F2"/>
                <w:spacing w:val="-4"/>
              </w:rPr>
              <w:t>mld. korun, meziročně p</w:t>
            </w:r>
            <w:r>
              <w:rPr>
                <w:rFonts w:cs="Arial"/>
                <w:color w:val="0D0D0D" w:themeColor="text1" w:themeTint="F2"/>
                <w:spacing w:val="-4"/>
              </w:rPr>
              <w:t>osílila o 1,7 % (během samotného 2. čtvrtletí již jeho výše nerostla). V</w:t>
            </w:r>
            <w:r w:rsidRPr="00952517">
              <w:rPr>
                <w:rFonts w:cs="Arial"/>
                <w:color w:val="0D0D0D" w:themeColor="text1" w:themeTint="F2"/>
                <w:spacing w:val="-4"/>
              </w:rPr>
              <w:t> </w:t>
            </w:r>
            <w:r>
              <w:rPr>
                <w:rFonts w:cs="Arial"/>
                <w:color w:val="0D0D0D" w:themeColor="text1" w:themeTint="F2"/>
                <w:spacing w:val="-4"/>
              </w:rPr>
              <w:t xml:space="preserve">mírném růstu dluhu se promítly vyšší výpůjční aktivita státu při příznivé situaci na finančních trzích a rozložení plánovaných splátek dluhopisů v rámci roku. </w:t>
            </w:r>
            <w:r>
              <w:rPr>
                <w:color w:val="000000" w:themeColor="text1"/>
                <w:spacing w:val="-4"/>
              </w:rPr>
              <w:t xml:space="preserve">Zrychloval </w:t>
            </w:r>
            <w:r w:rsidRPr="00741F3C">
              <w:rPr>
                <w:color w:val="000000" w:themeColor="text1"/>
                <w:spacing w:val="-4"/>
              </w:rPr>
              <w:t xml:space="preserve">růst objemu českých dluhopisů </w:t>
            </w:r>
            <w:r>
              <w:rPr>
                <w:color w:val="000000" w:themeColor="text1"/>
                <w:spacing w:val="-4"/>
              </w:rPr>
              <w:t>v držbě zahraničních investorů (na konci června šlo již o 367</w:t>
            </w:r>
            <w:r w:rsidRPr="00741F3C">
              <w:rPr>
                <w:color w:val="000000" w:themeColor="text1"/>
                <w:spacing w:val="-4"/>
              </w:rPr>
              <w:t xml:space="preserve"> mld. korun</w:t>
            </w:r>
            <w:r>
              <w:rPr>
                <w:color w:val="000000" w:themeColor="text1"/>
                <w:spacing w:val="-4"/>
              </w:rPr>
              <w:t>, resp. 26 % hodnoty všech korunových dluhopisů).</w:t>
            </w:r>
          </w:p>
          <w:p w:rsidR="000F74B6" w:rsidRPr="00AE50F2" w:rsidRDefault="000F74B6" w:rsidP="00AF5D62">
            <w:pPr>
              <w:pStyle w:val="Textpoznpodarou"/>
              <w:jc w:val="both"/>
              <w:rPr>
                <w:spacing w:val="-4"/>
                <w:sz w:val="15"/>
                <w:szCs w:val="15"/>
              </w:rPr>
            </w:pPr>
          </w:p>
        </w:tc>
      </w:tr>
      <w:tr w:rsidR="000F74B6" w:rsidRPr="00A90EFD" w:rsidTr="00AF5D62">
        <w:tc>
          <w:tcPr>
            <w:tcW w:w="1054" w:type="pct"/>
          </w:tcPr>
          <w:p w:rsidR="000F74B6" w:rsidRDefault="000F74B6" w:rsidP="00AF5D62">
            <w:pPr>
              <w:spacing w:line="240" w:lineRule="auto"/>
              <w:rPr>
                <w:rFonts w:cs="Arial"/>
                <w:bCs/>
                <w:iCs/>
                <w:color w:val="0D0D0D" w:themeColor="text1" w:themeTint="F2"/>
                <w:sz w:val="16"/>
                <w:szCs w:val="16"/>
              </w:rPr>
            </w:pPr>
            <w:r>
              <w:rPr>
                <w:rFonts w:cs="Arial"/>
                <w:bCs/>
                <w:iCs/>
                <w:color w:val="0D0D0D" w:themeColor="text1" w:themeTint="F2"/>
                <w:sz w:val="16"/>
                <w:szCs w:val="16"/>
              </w:rPr>
              <w:t>Relativní výše dluhu sektoru vládních institucí klesla výhradně vlivem silného růstu HDP</w:t>
            </w:r>
          </w:p>
          <w:p w:rsidR="000F74B6" w:rsidRDefault="000F74B6" w:rsidP="00AF5D62">
            <w:pPr>
              <w:spacing w:line="240" w:lineRule="auto"/>
              <w:rPr>
                <w:rFonts w:cs="Arial"/>
                <w:bCs/>
                <w:iCs/>
                <w:color w:val="0D0D0D" w:themeColor="text1" w:themeTint="F2"/>
                <w:sz w:val="16"/>
                <w:szCs w:val="16"/>
              </w:rPr>
            </w:pPr>
          </w:p>
          <w:p w:rsidR="000F74B6" w:rsidRPr="00DB3D34" w:rsidRDefault="000F74B6" w:rsidP="00AF5D62">
            <w:pPr>
              <w:spacing w:line="240" w:lineRule="auto"/>
              <w:rPr>
                <w:rFonts w:cs="Arial"/>
                <w:bCs/>
                <w:iCs/>
                <w:color w:val="0D0D0D" w:themeColor="text1" w:themeTint="F2"/>
                <w:sz w:val="16"/>
                <w:szCs w:val="16"/>
              </w:rPr>
            </w:pPr>
          </w:p>
          <w:p w:rsidR="000F74B6" w:rsidRDefault="000F74B6" w:rsidP="00AF5D62">
            <w:pPr>
              <w:spacing w:line="240" w:lineRule="auto"/>
              <w:rPr>
                <w:rFonts w:cs="Arial"/>
                <w:bCs/>
                <w:iCs/>
                <w:color w:val="0D0D0D" w:themeColor="text1" w:themeTint="F2"/>
                <w:sz w:val="16"/>
                <w:szCs w:val="16"/>
              </w:rPr>
            </w:pPr>
          </w:p>
          <w:p w:rsidR="000F74B6" w:rsidRDefault="000F74B6" w:rsidP="00AF5D62">
            <w:pPr>
              <w:spacing w:line="240" w:lineRule="auto"/>
              <w:rPr>
                <w:rFonts w:cs="Arial"/>
                <w:bCs/>
                <w:iCs/>
                <w:color w:val="0D0D0D" w:themeColor="text1" w:themeTint="F2"/>
                <w:sz w:val="16"/>
                <w:szCs w:val="16"/>
              </w:rPr>
            </w:pPr>
          </w:p>
          <w:p w:rsidR="000F74B6" w:rsidRDefault="000F74B6" w:rsidP="00AF5D62">
            <w:pPr>
              <w:spacing w:line="240" w:lineRule="auto"/>
              <w:rPr>
                <w:rFonts w:cs="Arial"/>
                <w:bCs/>
                <w:iCs/>
                <w:color w:val="0D0D0D" w:themeColor="text1" w:themeTint="F2"/>
                <w:sz w:val="16"/>
                <w:szCs w:val="16"/>
              </w:rPr>
            </w:pPr>
          </w:p>
          <w:p w:rsidR="000F74B6" w:rsidRDefault="000F74B6" w:rsidP="00AF5D62">
            <w:pPr>
              <w:spacing w:line="240" w:lineRule="auto"/>
              <w:rPr>
                <w:rFonts w:cs="Arial"/>
                <w:bCs/>
                <w:iCs/>
                <w:color w:val="0D0D0D" w:themeColor="text1" w:themeTint="F2"/>
                <w:sz w:val="16"/>
                <w:szCs w:val="16"/>
              </w:rPr>
            </w:pPr>
          </w:p>
          <w:p w:rsidR="000F74B6" w:rsidRPr="005C55C9" w:rsidRDefault="000F74B6" w:rsidP="00AF5D62">
            <w:pPr>
              <w:spacing w:line="240" w:lineRule="auto"/>
              <w:rPr>
                <w:rFonts w:cs="Arial"/>
                <w:bCs/>
                <w:iCs/>
                <w:color w:val="0D0D0D" w:themeColor="text1" w:themeTint="F2"/>
                <w:spacing w:val="-2"/>
                <w:sz w:val="16"/>
                <w:szCs w:val="16"/>
              </w:rPr>
            </w:pPr>
            <w:r w:rsidRPr="005C55C9">
              <w:rPr>
                <w:rFonts w:cs="Arial"/>
                <w:bCs/>
                <w:iCs/>
                <w:color w:val="0D0D0D" w:themeColor="text1" w:themeTint="F2"/>
                <w:spacing w:val="-2"/>
                <w:sz w:val="16"/>
                <w:szCs w:val="16"/>
              </w:rPr>
              <w:t>Česko bylo na počátku roku 2016 osmou nejméně zadluženou zemí EU, trend poklesu relativní zadluženosti v EU byl patrný již od 2. čtvrtletí 2015</w:t>
            </w:r>
          </w:p>
          <w:p w:rsidR="000F74B6" w:rsidRPr="009E7272" w:rsidRDefault="000F74B6" w:rsidP="00AF5D62">
            <w:pPr>
              <w:spacing w:line="240" w:lineRule="auto"/>
              <w:rPr>
                <w:rFonts w:cs="Arial"/>
                <w:color w:val="0D0D0D" w:themeColor="text1" w:themeTint="F2"/>
                <w:spacing w:val="-4"/>
                <w:sz w:val="16"/>
                <w:szCs w:val="16"/>
              </w:rPr>
            </w:pPr>
          </w:p>
        </w:tc>
        <w:tc>
          <w:tcPr>
            <w:tcW w:w="142" w:type="pct"/>
          </w:tcPr>
          <w:p w:rsidR="000F74B6" w:rsidRPr="00A90EFD" w:rsidRDefault="000F74B6" w:rsidP="00AF5D62">
            <w:pPr>
              <w:pStyle w:val="Textpoznpodarou"/>
              <w:jc w:val="both"/>
              <w:rPr>
                <w:rFonts w:cs="Arial"/>
                <w:color w:val="0D0D0D" w:themeColor="text1" w:themeTint="F2"/>
              </w:rPr>
            </w:pPr>
          </w:p>
        </w:tc>
        <w:tc>
          <w:tcPr>
            <w:tcW w:w="3804" w:type="pct"/>
          </w:tcPr>
          <w:p w:rsidR="000F74B6" w:rsidRPr="0097714E" w:rsidRDefault="000F74B6" w:rsidP="00AF5D62">
            <w:pPr>
              <w:pStyle w:val="Textpoznpodarou"/>
              <w:jc w:val="both"/>
              <w:rPr>
                <w:spacing w:val="-4"/>
              </w:rPr>
            </w:pPr>
            <w:r w:rsidRPr="008E3582">
              <w:rPr>
                <w:color w:val="0D0D0D" w:themeColor="text1" w:themeTint="F2"/>
                <w:spacing w:val="-4"/>
              </w:rPr>
              <w:t>Konsolidovaný hrubý dluh celého sektoru vládních institucí (zahrnující i hospodaření územně správních celků či fondů sociálního zabezpečení) dosáhl dle aktuálních dat ČSÚ na konci 1. čtvrtletí 2016</w:t>
            </w:r>
            <w:r w:rsidRPr="008E3582">
              <w:rPr>
                <w:rStyle w:val="Znakapoznpodarou"/>
                <w:color w:val="0D0D0D" w:themeColor="text1" w:themeTint="F2"/>
                <w:spacing w:val="-4"/>
              </w:rPr>
              <w:footnoteReference w:id="25"/>
            </w:r>
            <w:r w:rsidRPr="008E3582">
              <w:rPr>
                <w:color w:val="0D0D0D" w:themeColor="text1" w:themeTint="F2"/>
                <w:spacing w:val="-4"/>
              </w:rPr>
              <w:t xml:space="preserve"> výše 1 857,9 mld. korun a ve vztahu k HDP činil 40,4 % (ve stejném období předchozího roku byl o 1,5 </w:t>
            </w:r>
            <w:proofErr w:type="spellStart"/>
            <w:proofErr w:type="gramStart"/>
            <w:r w:rsidRPr="008E3582">
              <w:rPr>
                <w:color w:val="0D0D0D" w:themeColor="text1" w:themeTint="F2"/>
                <w:spacing w:val="-4"/>
              </w:rPr>
              <w:t>p.b</w:t>
            </w:r>
            <w:proofErr w:type="spellEnd"/>
            <w:r w:rsidRPr="008E3582">
              <w:rPr>
                <w:color w:val="0D0D0D" w:themeColor="text1" w:themeTint="F2"/>
                <w:spacing w:val="-4"/>
              </w:rPr>
              <w:t>. vyšší</w:t>
            </w:r>
            <w:proofErr w:type="gramEnd"/>
            <w:r w:rsidRPr="008E3582">
              <w:rPr>
                <w:color w:val="0D0D0D" w:themeColor="text1" w:themeTint="F2"/>
                <w:spacing w:val="-4"/>
              </w:rPr>
              <w:t xml:space="preserve">). Pokles relativní úrovně dluhu byl </w:t>
            </w:r>
            <w:r w:rsidRPr="001162E9">
              <w:rPr>
                <w:color w:val="0D0D0D" w:themeColor="text1" w:themeTint="F2"/>
                <w:spacing w:val="-4"/>
              </w:rPr>
              <w:t xml:space="preserve">výsledkem výhradně růstu nominálního HDP, neboť absolutní úroveň zadlužení vzrostla (o 22,5 mld. korun). Hospodaření vládních institucí </w:t>
            </w:r>
            <w:r>
              <w:rPr>
                <w:color w:val="0D0D0D" w:themeColor="text1" w:themeTint="F2"/>
                <w:spacing w:val="-4"/>
              </w:rPr>
              <w:t>skončilo v 1.</w:t>
            </w:r>
            <w:r w:rsidRPr="008E3582">
              <w:rPr>
                <w:color w:val="0D0D0D" w:themeColor="text1" w:themeTint="F2"/>
                <w:spacing w:val="-4"/>
              </w:rPr>
              <w:t> </w:t>
            </w:r>
            <w:r w:rsidR="00867464">
              <w:rPr>
                <w:color w:val="0D0D0D" w:themeColor="text1" w:themeTint="F2"/>
                <w:spacing w:val="-4"/>
              </w:rPr>
              <w:t xml:space="preserve">čtvrtletí 2016 (v </w:t>
            </w:r>
            <w:proofErr w:type="spellStart"/>
            <w:r w:rsidR="00867464">
              <w:rPr>
                <w:color w:val="0D0D0D" w:themeColor="text1" w:themeTint="F2"/>
                <w:spacing w:val="-4"/>
              </w:rPr>
              <w:t>akr</w:t>
            </w:r>
            <w:r w:rsidRPr="001162E9">
              <w:rPr>
                <w:color w:val="0D0D0D" w:themeColor="text1" w:themeTint="F2"/>
                <w:spacing w:val="-4"/>
              </w:rPr>
              <w:t>ualizovaném</w:t>
            </w:r>
            <w:proofErr w:type="spellEnd"/>
            <w:r w:rsidRPr="001162E9">
              <w:rPr>
                <w:color w:val="0D0D0D" w:themeColor="text1" w:themeTint="F2"/>
                <w:spacing w:val="-4"/>
              </w:rPr>
              <w:t xml:space="preserve"> vyjádření)</w:t>
            </w:r>
            <w:r>
              <w:rPr>
                <w:rStyle w:val="Znakapoznpodarou"/>
                <w:color w:val="0D0D0D" w:themeColor="text1" w:themeTint="F2"/>
                <w:spacing w:val="-4"/>
              </w:rPr>
              <w:footnoteReference w:id="26"/>
            </w:r>
            <w:r w:rsidRPr="001162E9">
              <w:rPr>
                <w:color w:val="0D0D0D" w:themeColor="text1" w:themeTint="F2"/>
                <w:spacing w:val="-4"/>
              </w:rPr>
              <w:t xml:space="preserve"> mírným deficitem 8,1 mld. korun, </w:t>
            </w:r>
            <w:r w:rsidRPr="001162E9">
              <w:rPr>
                <w:color w:val="0D0D0D" w:themeColor="text1" w:themeTint="F2"/>
                <w:spacing w:val="-4"/>
              </w:rPr>
              <w:lastRenderedPageBreak/>
              <w:t>když přebytek místních vládních institucí nestačil vykompenzovat hlubší defici</w:t>
            </w:r>
            <w:r w:rsidR="00867464">
              <w:rPr>
                <w:color w:val="0D0D0D" w:themeColor="text1" w:themeTint="F2"/>
                <w:spacing w:val="-4"/>
              </w:rPr>
              <w:t>t ústředních vládních institucí</w:t>
            </w:r>
            <w:r w:rsidRPr="001162E9">
              <w:rPr>
                <w:color w:val="0D0D0D" w:themeColor="text1" w:themeTint="F2"/>
                <w:spacing w:val="-4"/>
              </w:rPr>
              <w:t>.</w:t>
            </w:r>
            <w:r w:rsidRPr="00185894">
              <w:rPr>
                <w:spacing w:val="-4"/>
              </w:rPr>
              <w:t xml:space="preserve"> </w:t>
            </w:r>
            <w:r>
              <w:rPr>
                <w:spacing w:val="-4"/>
              </w:rPr>
              <w:t>Podíl celkového dluhu</w:t>
            </w:r>
            <w:r w:rsidRPr="00741F3C">
              <w:rPr>
                <w:spacing w:val="-4"/>
              </w:rPr>
              <w:t xml:space="preserve"> </w:t>
            </w:r>
            <w:r>
              <w:rPr>
                <w:spacing w:val="-4"/>
              </w:rPr>
              <w:t>vládního sektoru k HDP (na konci</w:t>
            </w:r>
            <w:r w:rsidR="00E25999">
              <w:rPr>
                <w:spacing w:val="-4"/>
              </w:rPr>
              <w:t xml:space="preserve"> 1. čtvrtletí 2016) v Česku byl v rámci EU osmý</w:t>
            </w:r>
            <w:r>
              <w:rPr>
                <w:spacing w:val="-4"/>
              </w:rPr>
              <w:t xml:space="preserve"> nejnižší (podobné postavení měly </w:t>
            </w:r>
            <w:r w:rsidRPr="00741F3C">
              <w:rPr>
                <w:spacing w:val="-4"/>
              </w:rPr>
              <w:t>také Dánsko, Švédsko</w:t>
            </w:r>
            <w:r>
              <w:rPr>
                <w:spacing w:val="-4"/>
              </w:rPr>
              <w:t>, Litva</w:t>
            </w:r>
            <w:r w:rsidRPr="00741F3C">
              <w:rPr>
                <w:spacing w:val="-4"/>
              </w:rPr>
              <w:t xml:space="preserve"> či Rumunsko).</w:t>
            </w:r>
            <w:r>
              <w:rPr>
                <w:spacing w:val="-4"/>
              </w:rPr>
              <w:t xml:space="preserve"> Proti 1. loňskému čtvrtletí </w:t>
            </w:r>
            <w:r w:rsidRPr="00741F3C">
              <w:rPr>
                <w:spacing w:val="-4"/>
              </w:rPr>
              <w:t>se re</w:t>
            </w:r>
            <w:r>
              <w:rPr>
                <w:spacing w:val="-4"/>
              </w:rPr>
              <w:t>lativní zadluženost snížila v polovině států</w:t>
            </w:r>
            <w:r w:rsidRPr="00741F3C">
              <w:rPr>
                <w:spacing w:val="-4"/>
              </w:rPr>
              <w:t xml:space="preserve"> EU</w:t>
            </w:r>
            <w:r>
              <w:rPr>
                <w:spacing w:val="-4"/>
              </w:rPr>
              <w:t>, výrazn</w:t>
            </w:r>
            <w:r w:rsidR="00867464">
              <w:rPr>
                <w:spacing w:val="-4"/>
              </w:rPr>
              <w:t>ým tempem však pouze v Irsku, které</w:t>
            </w:r>
            <w:r>
              <w:rPr>
                <w:spacing w:val="-4"/>
              </w:rPr>
              <w:t xml:space="preserve"> přesto vykázalo na počátku roku 2016 proti Česku dvojnásobnou zadluženost.</w:t>
            </w:r>
            <w:r w:rsidRPr="00741F3C">
              <w:rPr>
                <w:spacing w:val="-4"/>
              </w:rPr>
              <w:t xml:space="preserve"> </w:t>
            </w:r>
            <w:r>
              <w:rPr>
                <w:spacing w:val="-4"/>
              </w:rPr>
              <w:t>Velmi vysoká míra zadluženosti přetrvávala v Řecku (176 % HDP), v posledních dvou letech se mírně navyšovala i v hospodářsky stagnujícím Finsku.</w:t>
            </w:r>
          </w:p>
        </w:tc>
      </w:tr>
    </w:tbl>
    <w:p w:rsidR="000F74B6" w:rsidRDefault="000F74B6" w:rsidP="000F74B6">
      <w:pPr>
        <w:pStyle w:val="Textpoznpodarou"/>
        <w:jc w:val="both"/>
        <w:rPr>
          <w:rFonts w:cs="Arial"/>
          <w:color w:val="000000" w:themeColor="text1"/>
          <w:spacing w:val="-2"/>
        </w:rPr>
      </w:pPr>
    </w:p>
    <w:tbl>
      <w:tblPr>
        <w:tblW w:w="4986" w:type="pct"/>
        <w:tblCellMar>
          <w:left w:w="28" w:type="dxa"/>
          <w:right w:w="28" w:type="dxa"/>
        </w:tblCellMar>
        <w:tblLook w:val="04A0"/>
      </w:tblPr>
      <w:tblGrid>
        <w:gridCol w:w="593"/>
        <w:gridCol w:w="4284"/>
        <w:gridCol w:w="708"/>
        <w:gridCol w:w="4109"/>
      </w:tblGrid>
      <w:tr w:rsidR="000F74B6" w:rsidRPr="006F2BEE" w:rsidTr="00AF5D62">
        <w:tc>
          <w:tcPr>
            <w:tcW w:w="305" w:type="pct"/>
          </w:tcPr>
          <w:p w:rsidR="000F74B6" w:rsidRDefault="000F74B6" w:rsidP="00AF5D62">
            <w:pPr>
              <w:spacing w:line="240" w:lineRule="auto"/>
            </w:pPr>
            <w:r>
              <w:rPr>
                <w:sz w:val="14"/>
                <w:szCs w:val="14"/>
              </w:rPr>
              <w:br w:type="page"/>
            </w:r>
            <w:r>
              <w:t>Graf č. 19</w:t>
            </w:r>
          </w:p>
        </w:tc>
        <w:tc>
          <w:tcPr>
            <w:tcW w:w="2203" w:type="pct"/>
          </w:tcPr>
          <w:p w:rsidR="000F74B6" w:rsidRPr="00E43BFF" w:rsidRDefault="000F74B6" w:rsidP="00AF5D62">
            <w:pPr>
              <w:spacing w:line="240" w:lineRule="auto"/>
              <w:rPr>
                <w:rFonts w:cs="Arial"/>
                <w:b/>
                <w:bCs/>
              </w:rPr>
            </w:pPr>
            <w:r>
              <w:rPr>
                <w:rFonts w:cs="Arial"/>
                <w:b/>
                <w:bCs/>
              </w:rPr>
              <w:t xml:space="preserve">Celostátní inkasa daňových příjmů </w:t>
            </w:r>
            <w:r>
              <w:rPr>
                <w:rFonts w:cs="Arial"/>
                <w:bCs/>
              </w:rPr>
              <w:t>(y/y</w:t>
            </w:r>
            <w:r w:rsidRPr="008A3A85">
              <w:rPr>
                <w:rFonts w:cs="Arial"/>
                <w:bCs/>
              </w:rPr>
              <w:t xml:space="preserve"> v %)</w:t>
            </w:r>
            <w:r>
              <w:rPr>
                <w:rFonts w:cs="Arial"/>
                <w:bCs/>
              </w:rPr>
              <w:t xml:space="preserve"> </w:t>
            </w:r>
            <w:r>
              <w:rPr>
                <w:rFonts w:cs="Arial"/>
                <w:b/>
                <w:bCs/>
              </w:rPr>
              <w:t>a saldo státního rozpočtu</w:t>
            </w:r>
            <w:r>
              <w:t xml:space="preserve"> </w:t>
            </w:r>
            <w:r>
              <w:rPr>
                <w:rFonts w:cs="Arial"/>
                <w:bCs/>
              </w:rPr>
              <w:t>(v mld. korun)</w:t>
            </w:r>
          </w:p>
        </w:tc>
        <w:tc>
          <w:tcPr>
            <w:tcW w:w="366" w:type="pct"/>
          </w:tcPr>
          <w:p w:rsidR="000F74B6" w:rsidRDefault="000F74B6" w:rsidP="00AF5D62">
            <w:pPr>
              <w:spacing w:line="240" w:lineRule="auto"/>
            </w:pPr>
            <w:r>
              <w:t>Graf č. 20</w:t>
            </w:r>
          </w:p>
        </w:tc>
        <w:tc>
          <w:tcPr>
            <w:tcW w:w="2126" w:type="pct"/>
          </w:tcPr>
          <w:p w:rsidR="000F74B6" w:rsidRDefault="000F74B6" w:rsidP="00AF5D62">
            <w:pPr>
              <w:spacing w:line="240" w:lineRule="auto"/>
              <w:rPr>
                <w:rFonts w:cs="Arial"/>
                <w:b/>
                <w:bCs/>
              </w:rPr>
            </w:pPr>
            <w:r>
              <w:rPr>
                <w:rFonts w:cs="Arial"/>
                <w:b/>
                <w:bCs/>
              </w:rPr>
              <w:t>Vybrané výdaje státního rozpočtu</w:t>
            </w:r>
          </w:p>
          <w:p w:rsidR="000F74B6" w:rsidRPr="006F2BEE" w:rsidRDefault="000F74B6" w:rsidP="00AF5D62">
            <w:pPr>
              <w:spacing w:line="240" w:lineRule="auto"/>
              <w:rPr>
                <w:rFonts w:cs="Arial"/>
                <w:b/>
                <w:bCs/>
                <w:spacing w:val="-2"/>
              </w:rPr>
            </w:pPr>
            <w:r>
              <w:rPr>
                <w:rFonts w:cs="Arial"/>
                <w:bCs/>
              </w:rPr>
              <w:t>(</w:t>
            </w:r>
            <w:r w:rsidRPr="00DB06E9">
              <w:rPr>
                <w:rFonts w:cs="Arial"/>
                <w:bCs/>
              </w:rPr>
              <w:t>v mld. korun</w:t>
            </w:r>
            <w:r>
              <w:rPr>
                <w:rFonts w:cs="Arial"/>
                <w:bCs/>
              </w:rPr>
              <w:t>)</w:t>
            </w:r>
          </w:p>
        </w:tc>
      </w:tr>
      <w:tr w:rsidR="000F74B6" w:rsidTr="00AF5D62">
        <w:tc>
          <w:tcPr>
            <w:tcW w:w="2508" w:type="pct"/>
            <w:gridSpan w:val="2"/>
          </w:tcPr>
          <w:p w:rsidR="000F74B6" w:rsidRDefault="00CE797F" w:rsidP="00AF5D62">
            <w:pPr>
              <w:pStyle w:val="Textpoznpodarou"/>
              <w:jc w:val="both"/>
            </w:pPr>
            <w:r>
              <w:pict>
                <v:shape id="_x0000_i1043" type="#_x0000_t75" style="width:242.2pt;height:178.15pt">
                  <v:imagedata r:id="rId31" o:title=""/>
                </v:shape>
              </w:pict>
            </w:r>
          </w:p>
        </w:tc>
        <w:tc>
          <w:tcPr>
            <w:tcW w:w="2492" w:type="pct"/>
            <w:gridSpan w:val="2"/>
          </w:tcPr>
          <w:p w:rsidR="000F74B6" w:rsidRDefault="00CE797F" w:rsidP="00AF5D62">
            <w:pPr>
              <w:pStyle w:val="Textpoznpodarou"/>
              <w:jc w:val="both"/>
            </w:pPr>
            <w:r>
              <w:pict>
                <v:shape id="_x0000_i1044" type="#_x0000_t75" style="width:239.3pt;height:178.15pt">
                  <v:imagedata r:id="rId32" o:title=""/>
                </v:shape>
              </w:pict>
            </w:r>
          </w:p>
        </w:tc>
      </w:tr>
      <w:tr w:rsidR="000F74B6" w:rsidRPr="009E6613" w:rsidTr="00AF5D62">
        <w:tc>
          <w:tcPr>
            <w:tcW w:w="5000" w:type="pct"/>
            <w:gridSpan w:val="4"/>
          </w:tcPr>
          <w:p w:rsidR="000F74B6" w:rsidRDefault="000F74B6" w:rsidP="00AF5D62">
            <w:pPr>
              <w:pStyle w:val="Textpoznpodarou"/>
              <w:spacing w:before="40"/>
              <w:rPr>
                <w:sz w:val="18"/>
                <w:szCs w:val="18"/>
              </w:rPr>
            </w:pPr>
            <w:r w:rsidRPr="004C5813">
              <w:rPr>
                <w:sz w:val="18"/>
                <w:szCs w:val="18"/>
              </w:rPr>
              <w:t>*vč. dávek pěstounské péče</w:t>
            </w:r>
          </w:p>
          <w:p w:rsidR="000F74B6" w:rsidRDefault="000F74B6" w:rsidP="00AF5D62">
            <w:pPr>
              <w:pStyle w:val="Textpoznpodarou"/>
              <w:rPr>
                <w:sz w:val="18"/>
                <w:szCs w:val="18"/>
              </w:rPr>
            </w:pPr>
            <w:r w:rsidRPr="001D7968">
              <w:rPr>
                <w:spacing w:val="-2"/>
                <w:sz w:val="18"/>
                <w:szCs w:val="18"/>
              </w:rPr>
              <w:t>**dávky pomoci v hmot</w:t>
            </w:r>
            <w:r>
              <w:rPr>
                <w:spacing w:val="-2"/>
                <w:sz w:val="18"/>
                <w:szCs w:val="18"/>
              </w:rPr>
              <w:t>né</w:t>
            </w:r>
            <w:r w:rsidRPr="001D7968">
              <w:rPr>
                <w:spacing w:val="-2"/>
                <w:sz w:val="18"/>
                <w:szCs w:val="18"/>
              </w:rPr>
              <w:t xml:space="preserve"> nouzi, dávky osobám se zdravotním postižením, příspěvek na péči dle zákona o </w:t>
            </w:r>
            <w:proofErr w:type="spellStart"/>
            <w:r w:rsidRPr="001D7968">
              <w:rPr>
                <w:spacing w:val="-2"/>
                <w:sz w:val="18"/>
                <w:szCs w:val="18"/>
              </w:rPr>
              <w:t>soc</w:t>
            </w:r>
            <w:proofErr w:type="spellEnd"/>
            <w:r w:rsidRPr="001D7968">
              <w:rPr>
                <w:spacing w:val="-2"/>
                <w:sz w:val="18"/>
                <w:szCs w:val="18"/>
              </w:rPr>
              <w:t>. službách</w:t>
            </w:r>
            <w:r>
              <w:rPr>
                <w:sz w:val="18"/>
                <w:szCs w:val="18"/>
              </w:rPr>
              <w:t>.</w:t>
            </w:r>
          </w:p>
          <w:p w:rsidR="000F74B6" w:rsidRPr="009E6613" w:rsidRDefault="000F74B6" w:rsidP="00AF5D62">
            <w:pPr>
              <w:pStyle w:val="Textpoznpodarou"/>
              <w:rPr>
                <w:sz w:val="18"/>
                <w:szCs w:val="18"/>
              </w:rPr>
            </w:pPr>
            <w:r>
              <w:rPr>
                <w:sz w:val="18"/>
                <w:szCs w:val="18"/>
              </w:rPr>
              <w:t xml:space="preserve">*** ve výdajích jsou započteny i příjmy kapitoly Státní </w:t>
            </w:r>
            <w:proofErr w:type="gramStart"/>
            <w:r>
              <w:rPr>
                <w:sz w:val="18"/>
                <w:szCs w:val="18"/>
              </w:rPr>
              <w:t xml:space="preserve">dluh                                                                  </w:t>
            </w:r>
            <w:r>
              <w:rPr>
                <w:rFonts w:cs="Arial"/>
                <w:sz w:val="18"/>
                <w:szCs w:val="18"/>
              </w:rPr>
              <w:t>Zdroj</w:t>
            </w:r>
            <w:proofErr w:type="gramEnd"/>
            <w:r>
              <w:rPr>
                <w:rFonts w:cs="Arial"/>
                <w:sz w:val="18"/>
                <w:szCs w:val="18"/>
              </w:rPr>
              <w:t>: MF ČR, MPSV</w:t>
            </w:r>
          </w:p>
        </w:tc>
      </w:tr>
    </w:tbl>
    <w:p w:rsidR="000F74B6" w:rsidRPr="00E25999" w:rsidRDefault="000F74B6" w:rsidP="000F74B6">
      <w:pPr>
        <w:pStyle w:val="Textpoznpodarou"/>
        <w:jc w:val="both"/>
        <w:rPr>
          <w:rFonts w:cs="Arial"/>
          <w:color w:val="000000" w:themeColor="text1"/>
          <w:spacing w:val="-2"/>
          <w:sz w:val="16"/>
          <w:szCs w:val="16"/>
        </w:rPr>
      </w:pPr>
    </w:p>
    <w:tbl>
      <w:tblPr>
        <w:tblW w:w="4986" w:type="pct"/>
        <w:tblLayout w:type="fixed"/>
        <w:tblCellMar>
          <w:left w:w="28" w:type="dxa"/>
          <w:right w:w="28" w:type="dxa"/>
        </w:tblCellMar>
        <w:tblLook w:val="04A0"/>
      </w:tblPr>
      <w:tblGrid>
        <w:gridCol w:w="752"/>
        <w:gridCol w:w="4097"/>
        <w:gridCol w:w="710"/>
        <w:gridCol w:w="4108"/>
      </w:tblGrid>
      <w:tr w:rsidR="000F74B6" w:rsidTr="00AF5D62">
        <w:tc>
          <w:tcPr>
            <w:tcW w:w="389" w:type="pct"/>
          </w:tcPr>
          <w:p w:rsidR="000F74B6" w:rsidRDefault="000F74B6" w:rsidP="00AF5D62">
            <w:pPr>
              <w:spacing w:line="240" w:lineRule="auto"/>
            </w:pPr>
            <w:r>
              <w:t>Graf č. 21</w:t>
            </w:r>
          </w:p>
        </w:tc>
        <w:tc>
          <w:tcPr>
            <w:tcW w:w="2119" w:type="pct"/>
          </w:tcPr>
          <w:p w:rsidR="000F74B6" w:rsidRDefault="000F74B6" w:rsidP="00AF5D62">
            <w:pPr>
              <w:spacing w:line="240" w:lineRule="auto"/>
              <w:rPr>
                <w:rFonts w:cs="Arial"/>
                <w:b/>
                <w:bCs/>
              </w:rPr>
            </w:pPr>
            <w:r>
              <w:rPr>
                <w:rFonts w:cs="Arial"/>
                <w:b/>
                <w:bCs/>
              </w:rPr>
              <w:t>Struktura příjmů ČR z rozpočtu EU,</w:t>
            </w:r>
          </w:p>
          <w:p w:rsidR="000F74B6" w:rsidRPr="00D90B56" w:rsidRDefault="000F74B6" w:rsidP="00AF5D62">
            <w:pPr>
              <w:spacing w:line="240" w:lineRule="auto"/>
              <w:rPr>
                <w:rFonts w:cs="Arial"/>
                <w:b/>
                <w:bCs/>
              </w:rPr>
            </w:pPr>
            <w:r>
              <w:rPr>
                <w:rFonts w:cs="Arial"/>
                <w:b/>
                <w:bCs/>
              </w:rPr>
              <w:t xml:space="preserve">celková čistá pozice </w:t>
            </w:r>
            <w:r>
              <w:rPr>
                <w:rFonts w:cs="Arial"/>
                <w:bCs/>
              </w:rPr>
              <w:t>(</w:t>
            </w:r>
            <w:r w:rsidRPr="00DB06E9">
              <w:rPr>
                <w:rFonts w:cs="Arial"/>
                <w:bCs/>
              </w:rPr>
              <w:t>v mld. korun)</w:t>
            </w:r>
          </w:p>
        </w:tc>
        <w:tc>
          <w:tcPr>
            <w:tcW w:w="367" w:type="pct"/>
          </w:tcPr>
          <w:p w:rsidR="000F74B6" w:rsidRDefault="000F74B6" w:rsidP="00AF5D62">
            <w:pPr>
              <w:spacing w:line="240" w:lineRule="auto"/>
            </w:pPr>
            <w:r>
              <w:t>Graf č. 22</w:t>
            </w:r>
          </w:p>
        </w:tc>
        <w:tc>
          <w:tcPr>
            <w:tcW w:w="2125" w:type="pct"/>
          </w:tcPr>
          <w:p w:rsidR="000F74B6" w:rsidRDefault="000F74B6" w:rsidP="00AF5D62">
            <w:pPr>
              <w:spacing w:line="240" w:lineRule="auto"/>
              <w:rPr>
                <w:rFonts w:cs="Arial"/>
                <w:bCs/>
                <w:spacing w:val="-2"/>
              </w:rPr>
            </w:pPr>
            <w:r>
              <w:rPr>
                <w:rFonts w:cs="Arial"/>
                <w:b/>
                <w:bCs/>
                <w:spacing w:val="-2"/>
              </w:rPr>
              <w:t xml:space="preserve">Počet příjemců důchodů </w:t>
            </w:r>
            <w:r w:rsidRPr="007179B8">
              <w:rPr>
                <w:rFonts w:cs="Arial"/>
                <w:bCs/>
                <w:spacing w:val="-2"/>
              </w:rPr>
              <w:t>(v tis. osob),</w:t>
            </w:r>
            <w:r>
              <w:rPr>
                <w:rFonts w:cs="Arial"/>
                <w:b/>
                <w:bCs/>
                <w:spacing w:val="-2"/>
              </w:rPr>
              <w:t xml:space="preserve"> příjmy </w:t>
            </w:r>
            <w:r w:rsidRPr="006F2BEE">
              <w:rPr>
                <w:rFonts w:cs="Arial"/>
                <w:b/>
                <w:bCs/>
                <w:spacing w:val="-2"/>
              </w:rPr>
              <w:t>a výdaje</w:t>
            </w:r>
            <w:r>
              <w:rPr>
                <w:rFonts w:cs="Arial"/>
                <w:b/>
                <w:bCs/>
                <w:spacing w:val="-2"/>
              </w:rPr>
              <w:t xml:space="preserve"> na důchody ze SR</w:t>
            </w:r>
            <w:r w:rsidRPr="006F2BEE">
              <w:rPr>
                <w:rFonts w:cs="Arial"/>
                <w:b/>
                <w:bCs/>
                <w:spacing w:val="-2"/>
              </w:rPr>
              <w:t xml:space="preserve"> </w:t>
            </w:r>
            <w:r w:rsidRPr="006F2BEE">
              <w:rPr>
                <w:rFonts w:cs="Arial"/>
                <w:bCs/>
                <w:spacing w:val="-2"/>
              </w:rPr>
              <w:t xml:space="preserve">(y/y, v %) </w:t>
            </w:r>
          </w:p>
          <w:p w:rsidR="000F74B6" w:rsidRPr="006F2BEE" w:rsidRDefault="000F74B6" w:rsidP="00AF5D62">
            <w:pPr>
              <w:spacing w:line="240" w:lineRule="auto"/>
              <w:rPr>
                <w:rFonts w:cs="Arial"/>
                <w:b/>
                <w:bCs/>
                <w:spacing w:val="-2"/>
              </w:rPr>
            </w:pPr>
            <w:r w:rsidRPr="006F2BEE">
              <w:rPr>
                <w:rFonts w:cs="Arial"/>
                <w:b/>
                <w:bCs/>
                <w:spacing w:val="-2"/>
              </w:rPr>
              <w:t xml:space="preserve">a bilance </w:t>
            </w:r>
            <w:r>
              <w:rPr>
                <w:rFonts w:cs="Arial"/>
                <w:b/>
                <w:bCs/>
                <w:spacing w:val="-2"/>
              </w:rPr>
              <w:t>důchodového</w:t>
            </w:r>
            <w:r w:rsidRPr="006F2BEE">
              <w:rPr>
                <w:rFonts w:cs="Arial"/>
                <w:b/>
                <w:bCs/>
                <w:spacing w:val="-2"/>
              </w:rPr>
              <w:t xml:space="preserve"> účtu </w:t>
            </w:r>
            <w:r w:rsidRPr="006F2BEE">
              <w:rPr>
                <w:rFonts w:cs="Arial"/>
                <w:bCs/>
                <w:spacing w:val="-2"/>
              </w:rPr>
              <w:t>(v mld. korun)</w:t>
            </w:r>
            <w:r>
              <w:rPr>
                <w:rFonts w:cs="Arial"/>
                <w:bCs/>
              </w:rPr>
              <w:t xml:space="preserve"> </w:t>
            </w:r>
          </w:p>
        </w:tc>
      </w:tr>
      <w:tr w:rsidR="000F74B6" w:rsidTr="00AF5D62">
        <w:tc>
          <w:tcPr>
            <w:tcW w:w="2508" w:type="pct"/>
            <w:gridSpan w:val="2"/>
          </w:tcPr>
          <w:p w:rsidR="000F74B6" w:rsidRDefault="00CE797F" w:rsidP="00AF5D62">
            <w:pPr>
              <w:pStyle w:val="Textpoznpodarou"/>
              <w:jc w:val="both"/>
            </w:pPr>
            <w:r>
              <w:pict>
                <v:shape id="_x0000_i1045" type="#_x0000_t75" style="width:240.15pt;height:178.55pt">
                  <v:imagedata r:id="rId33" o:title=""/>
                </v:shape>
              </w:pict>
            </w:r>
          </w:p>
        </w:tc>
        <w:tc>
          <w:tcPr>
            <w:tcW w:w="2492" w:type="pct"/>
            <w:gridSpan w:val="2"/>
          </w:tcPr>
          <w:p w:rsidR="000F74B6" w:rsidRDefault="00CE797F" w:rsidP="00AF5D62">
            <w:pPr>
              <w:pStyle w:val="Textpoznpodarou"/>
              <w:jc w:val="both"/>
            </w:pPr>
            <w:r>
              <w:pict>
                <v:shape id="_x0000_i1046" type="#_x0000_t75" style="width:238.45pt;height:178.55pt">
                  <v:imagedata r:id="rId34" o:title=""/>
                </v:shape>
              </w:pict>
            </w:r>
          </w:p>
        </w:tc>
      </w:tr>
      <w:tr w:rsidR="000F74B6" w:rsidTr="00AF5D62">
        <w:tc>
          <w:tcPr>
            <w:tcW w:w="5000" w:type="pct"/>
            <w:gridSpan w:val="4"/>
          </w:tcPr>
          <w:p w:rsidR="000F74B6" w:rsidRPr="00245006" w:rsidRDefault="000F74B6" w:rsidP="00AF5D62">
            <w:pPr>
              <w:autoSpaceDE w:val="0"/>
              <w:autoSpaceDN w:val="0"/>
              <w:adjustRightInd w:val="0"/>
              <w:spacing w:before="40" w:line="240" w:lineRule="auto"/>
              <w:rPr>
                <w:spacing w:val="-3"/>
                <w:sz w:val="18"/>
                <w:szCs w:val="18"/>
                <w:lang w:eastAsia="ar-SA"/>
              </w:rPr>
            </w:pPr>
            <w:r>
              <w:rPr>
                <w:sz w:val="18"/>
                <w:szCs w:val="18"/>
                <w:lang w:eastAsia="ar-SA"/>
              </w:rPr>
              <w:t>*</w:t>
            </w:r>
            <w:r w:rsidRPr="00245006">
              <w:rPr>
                <w:spacing w:val="-3"/>
                <w:sz w:val="18"/>
                <w:szCs w:val="18"/>
                <w:lang w:eastAsia="ar-SA"/>
              </w:rPr>
              <w:t xml:space="preserve"> I. pilíř zahrnuje prostředky na přímé platby, tržní opatření a </w:t>
            </w:r>
            <w:proofErr w:type="spellStart"/>
            <w:r w:rsidRPr="00245006">
              <w:rPr>
                <w:spacing w:val="-3"/>
                <w:sz w:val="18"/>
                <w:szCs w:val="18"/>
                <w:lang w:eastAsia="ar-SA"/>
              </w:rPr>
              <w:t>veter</w:t>
            </w:r>
            <w:proofErr w:type="spellEnd"/>
            <w:r w:rsidRPr="00245006">
              <w:rPr>
                <w:spacing w:val="-3"/>
                <w:sz w:val="18"/>
                <w:szCs w:val="18"/>
                <w:lang w:eastAsia="ar-SA"/>
              </w:rPr>
              <w:t>. opatření, II. pilíř prostředky na rozvoj venkova a rybářství</w:t>
            </w:r>
            <w:r w:rsidR="00867464">
              <w:rPr>
                <w:spacing w:val="-3"/>
                <w:sz w:val="18"/>
                <w:szCs w:val="18"/>
                <w:lang w:eastAsia="ar-SA"/>
              </w:rPr>
              <w:t>.</w:t>
            </w:r>
          </w:p>
          <w:p w:rsidR="000F74B6" w:rsidRPr="00245006" w:rsidRDefault="00867464" w:rsidP="00AF5D62">
            <w:pPr>
              <w:autoSpaceDE w:val="0"/>
              <w:autoSpaceDN w:val="0"/>
              <w:adjustRightInd w:val="0"/>
              <w:spacing w:line="240" w:lineRule="auto"/>
              <w:rPr>
                <w:sz w:val="18"/>
                <w:szCs w:val="18"/>
                <w:lang w:eastAsia="ar-SA"/>
              </w:rPr>
            </w:pPr>
            <w:r>
              <w:rPr>
                <w:sz w:val="18"/>
                <w:szCs w:val="18"/>
                <w:lang w:eastAsia="ar-SA"/>
              </w:rPr>
              <w:t xml:space="preserve">** </w:t>
            </w:r>
            <w:proofErr w:type="spellStart"/>
            <w:r>
              <w:rPr>
                <w:sz w:val="18"/>
                <w:szCs w:val="18"/>
                <w:lang w:eastAsia="ar-SA"/>
              </w:rPr>
              <w:t>P</w:t>
            </w:r>
            <w:r w:rsidR="000F74B6">
              <w:rPr>
                <w:sz w:val="18"/>
                <w:szCs w:val="18"/>
                <w:lang w:eastAsia="ar-SA"/>
              </w:rPr>
              <w:t>ředvst</w:t>
            </w:r>
            <w:r w:rsidR="000F74B6" w:rsidRPr="00245006">
              <w:rPr>
                <w:sz w:val="18"/>
                <w:szCs w:val="18"/>
                <w:lang w:eastAsia="ar-SA"/>
              </w:rPr>
              <w:t>upní</w:t>
            </w:r>
            <w:proofErr w:type="spellEnd"/>
            <w:r w:rsidR="000F74B6" w:rsidRPr="00245006">
              <w:rPr>
                <w:sz w:val="18"/>
                <w:szCs w:val="18"/>
                <w:lang w:eastAsia="ar-SA"/>
              </w:rPr>
              <w:t xml:space="preserve"> nástroje, vnitřní politiky, kompenzační platby</w:t>
            </w:r>
            <w:r>
              <w:rPr>
                <w:sz w:val="18"/>
                <w:szCs w:val="18"/>
                <w:lang w:eastAsia="ar-SA"/>
              </w:rPr>
              <w:t xml:space="preserve">. </w:t>
            </w:r>
            <w:r w:rsidR="000F74B6">
              <w:rPr>
                <w:sz w:val="18"/>
                <w:szCs w:val="18"/>
                <w:lang w:eastAsia="ar-SA"/>
              </w:rPr>
              <w:t xml:space="preserve">                                                                    </w:t>
            </w:r>
            <w:proofErr w:type="gramStart"/>
            <w:r w:rsidR="000F74B6">
              <w:rPr>
                <w:rFonts w:cs="Arial"/>
                <w:sz w:val="18"/>
                <w:szCs w:val="18"/>
              </w:rPr>
              <w:t>Zdroj</w:t>
            </w:r>
            <w:proofErr w:type="gramEnd"/>
            <w:r w:rsidR="000F74B6">
              <w:rPr>
                <w:rFonts w:cs="Arial"/>
                <w:sz w:val="18"/>
                <w:szCs w:val="18"/>
              </w:rPr>
              <w:t>: MF, ČSSZ</w:t>
            </w:r>
          </w:p>
        </w:tc>
      </w:tr>
    </w:tbl>
    <w:p w:rsidR="000F74B6" w:rsidRDefault="000F74B6" w:rsidP="000F74B6">
      <w:pPr>
        <w:pStyle w:val="Textpoznpodarou"/>
        <w:jc w:val="both"/>
        <w:rPr>
          <w:rFonts w:cs="Arial"/>
          <w:color w:val="000000" w:themeColor="text1"/>
          <w:spacing w:val="-2"/>
        </w:rPr>
      </w:pPr>
    </w:p>
    <w:p w:rsidR="00240815" w:rsidRDefault="00240815" w:rsidP="00C2463B">
      <w:pPr>
        <w:pStyle w:val="Textpoznpodarou"/>
        <w:jc w:val="both"/>
        <w:rPr>
          <w:rFonts w:cs="Arial"/>
          <w:color w:val="000000" w:themeColor="text1"/>
          <w:spacing w:val="-2"/>
        </w:rPr>
      </w:pPr>
    </w:p>
    <w:p w:rsidR="00A9221C" w:rsidRPr="00A9221C" w:rsidRDefault="00A9221C" w:rsidP="00C2463B">
      <w:pPr>
        <w:pStyle w:val="Textpoznpodarou"/>
        <w:jc w:val="both"/>
        <w:rPr>
          <w:rFonts w:cs="Arial"/>
          <w:color w:val="000000" w:themeColor="text1"/>
          <w:spacing w:val="-2"/>
        </w:rPr>
      </w:pPr>
    </w:p>
    <w:p w:rsidR="00B55BA8" w:rsidRPr="00C2463B" w:rsidRDefault="00B55BA8" w:rsidP="00C2463B">
      <w:pPr>
        <w:pStyle w:val="Textpoznpodarou"/>
        <w:jc w:val="both"/>
        <w:rPr>
          <w:rFonts w:cs="Arial"/>
          <w:color w:val="000000" w:themeColor="text1"/>
          <w:spacing w:val="-2"/>
        </w:rPr>
      </w:pPr>
      <w:r w:rsidRPr="00C2463B">
        <w:rPr>
          <w:rFonts w:cs="Arial"/>
          <w:color w:val="000000" w:themeColor="text1"/>
          <w:spacing w:val="-2"/>
        </w:rPr>
        <w:t>Zdroj</w:t>
      </w:r>
      <w:r w:rsidR="000E1EEA">
        <w:rPr>
          <w:rFonts w:cs="Arial"/>
          <w:color w:val="000000" w:themeColor="text1"/>
          <w:spacing w:val="-2"/>
        </w:rPr>
        <w:t>e dat v celé analýze: ČSÚ, MF ČR</w:t>
      </w:r>
      <w:r w:rsidRPr="00C2463B">
        <w:rPr>
          <w:rFonts w:cs="Arial"/>
          <w:color w:val="000000" w:themeColor="text1"/>
          <w:spacing w:val="-2"/>
        </w:rPr>
        <w:t>, ČNB,</w:t>
      </w:r>
      <w:r w:rsidR="00886A8F">
        <w:rPr>
          <w:rFonts w:cs="Arial"/>
          <w:color w:val="000000" w:themeColor="text1"/>
          <w:spacing w:val="-2"/>
        </w:rPr>
        <w:t xml:space="preserve"> MPSV</w:t>
      </w:r>
      <w:r w:rsidR="00FD1BBD">
        <w:rPr>
          <w:rFonts w:cs="Arial"/>
          <w:color w:val="000000" w:themeColor="text1"/>
          <w:spacing w:val="-2"/>
        </w:rPr>
        <w:t>,</w:t>
      </w:r>
      <w:r w:rsidRPr="00C2463B">
        <w:rPr>
          <w:rFonts w:cs="Arial"/>
          <w:color w:val="000000" w:themeColor="text1"/>
          <w:spacing w:val="-2"/>
        </w:rPr>
        <w:t xml:space="preserve"> ČSSZ, </w:t>
      </w:r>
      <w:proofErr w:type="spellStart"/>
      <w:r w:rsidRPr="00C2463B">
        <w:rPr>
          <w:rFonts w:cs="Arial"/>
          <w:color w:val="000000" w:themeColor="text1"/>
          <w:spacing w:val="-2"/>
        </w:rPr>
        <w:t>Eurostat</w:t>
      </w:r>
      <w:proofErr w:type="spellEnd"/>
      <w:r w:rsidRPr="00C2463B">
        <w:rPr>
          <w:rFonts w:cs="Arial"/>
          <w:color w:val="000000" w:themeColor="text1"/>
          <w:spacing w:val="-2"/>
        </w:rPr>
        <w:t>, propočty ČSÚ.</w:t>
      </w:r>
    </w:p>
    <w:p w:rsidR="00B55BA8" w:rsidRPr="00C2463B" w:rsidRDefault="00B55BA8" w:rsidP="00C2463B">
      <w:pPr>
        <w:pStyle w:val="Textpoznpodarou"/>
        <w:jc w:val="both"/>
        <w:rPr>
          <w:rFonts w:cs="Arial"/>
          <w:color w:val="000000" w:themeColor="text1"/>
          <w:spacing w:val="-2"/>
        </w:rPr>
      </w:pPr>
      <w:r w:rsidRPr="00C2463B">
        <w:rPr>
          <w:rFonts w:cs="Arial"/>
          <w:color w:val="000000" w:themeColor="text1"/>
          <w:spacing w:val="-2"/>
        </w:rPr>
        <w:t>Poslední informace uváděné v té</w:t>
      </w:r>
      <w:r w:rsidR="00ED3A94">
        <w:rPr>
          <w:rFonts w:cs="Arial"/>
          <w:color w:val="000000" w:themeColor="text1"/>
          <w:spacing w:val="-2"/>
        </w:rPr>
        <w:t>to zprávě pocházejí ze 14</w:t>
      </w:r>
      <w:r w:rsidR="00886A8F">
        <w:rPr>
          <w:rFonts w:cs="Arial"/>
          <w:color w:val="000000" w:themeColor="text1"/>
          <w:spacing w:val="-2"/>
        </w:rPr>
        <w:t xml:space="preserve">. </w:t>
      </w:r>
      <w:r w:rsidR="00D020FC">
        <w:rPr>
          <w:rFonts w:cs="Arial"/>
          <w:color w:val="000000" w:themeColor="text1"/>
          <w:spacing w:val="-2"/>
        </w:rPr>
        <w:t>září</w:t>
      </w:r>
      <w:r w:rsidR="00A9221C">
        <w:rPr>
          <w:rFonts w:cs="Arial"/>
          <w:color w:val="000000" w:themeColor="text1"/>
          <w:spacing w:val="-2"/>
        </w:rPr>
        <w:t xml:space="preserve"> 2016</w:t>
      </w:r>
      <w:r w:rsidRPr="00C2463B">
        <w:rPr>
          <w:rFonts w:cs="Arial"/>
          <w:color w:val="000000" w:themeColor="text1"/>
          <w:spacing w:val="-2"/>
        </w:rPr>
        <w:t>.</w:t>
      </w:r>
    </w:p>
    <w:sectPr w:rsidR="00B55BA8" w:rsidRPr="00C2463B" w:rsidSect="00D43998">
      <w:headerReference w:type="even" r:id="rId35"/>
      <w:headerReference w:type="default" r:id="rId36"/>
      <w:footerReference w:type="even" r:id="rId37"/>
      <w:footerReference w:type="default" r:id="rId38"/>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57" w:rsidRDefault="00EE1057" w:rsidP="00E71A58">
      <w:r>
        <w:separator/>
      </w:r>
    </w:p>
  </w:endnote>
  <w:endnote w:type="continuationSeparator" w:id="0">
    <w:p w:rsidR="00EE1057" w:rsidRDefault="00EE105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Default="00DD7435"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42" o:spid="_x0000_s2049" type="#_x0000_t75" alt="Description: 3" style="position:absolute;margin-left:.3pt;margin-top:7.1pt;width:39pt;height:21pt;z-index:1;visibility:visible">
          <v:imagedata r:id="rId1" o:title=""/>
        </v:shape>
      </w:pict>
    </w:r>
    <w:r>
      <w:tab/>
    </w:r>
    <w:r>
      <w:tab/>
    </w:r>
    <w:r w:rsidRPr="00DC5B3B">
      <w:t xml:space="preserve">                              </w:t>
    </w:r>
  </w:p>
  <w:p w:rsidR="00DD7435" w:rsidRPr="00223E00" w:rsidRDefault="00DD7435"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Pr="00223E00">
      <w:rPr>
        <w:rFonts w:ascii="Arial" w:hAnsi="Arial" w:cs="Arial"/>
        <w:sz w:val="16"/>
        <w:szCs w:val="16"/>
      </w:rPr>
      <w:fldChar w:fldCharType="separate"/>
    </w:r>
    <w:r w:rsidR="00611363">
      <w:rPr>
        <w:rFonts w:ascii="Arial" w:hAnsi="Arial" w:cs="Arial"/>
        <w:noProof/>
        <w:sz w:val="16"/>
        <w:szCs w:val="16"/>
      </w:rPr>
      <w:t>3</w:t>
    </w:r>
    <w:r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Default="00DD7435"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611363">
      <w:rPr>
        <w:rFonts w:ascii="Arial" w:hAnsi="Arial" w:cs="Arial"/>
        <w:noProof/>
        <w:sz w:val="16"/>
        <w:szCs w:val="16"/>
      </w:rPr>
      <w:t>4</w:t>
    </w:r>
    <w:r w:rsidRPr="005A21E0">
      <w:rPr>
        <w:rFonts w:ascii="Arial" w:hAnsi="Arial" w:cs="Arial"/>
        <w:sz w:val="16"/>
        <w:szCs w:val="16"/>
      </w:rPr>
      <w:fldChar w:fldCharType="end"/>
    </w:r>
    <w:r>
      <w:rPr>
        <w:rFonts w:ascii="Arial" w:hAnsi="Arial" w:cs="Arial"/>
        <w:sz w:val="16"/>
        <w:szCs w:val="16"/>
      </w:rPr>
      <w:tab/>
      <w:t>2016</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Default="00DD7435"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3;visibility:visible">
          <v:imagedata r:id="rId1" o:title=""/>
        </v:shape>
      </w:pict>
    </w:r>
    <w:r>
      <w:tab/>
    </w:r>
    <w:r>
      <w:tab/>
    </w:r>
    <w:r w:rsidRPr="00DC5B3B">
      <w:t xml:space="preserve">                              </w:t>
    </w:r>
  </w:p>
  <w:p w:rsidR="00DD7435" w:rsidRPr="00223E00" w:rsidRDefault="00DD7435"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Pr="00223E00">
      <w:rPr>
        <w:rFonts w:ascii="Arial" w:hAnsi="Arial" w:cs="Arial"/>
        <w:sz w:val="16"/>
        <w:szCs w:val="16"/>
      </w:rPr>
      <w:fldChar w:fldCharType="separate"/>
    </w:r>
    <w:r w:rsidR="00611363">
      <w:rPr>
        <w:rFonts w:ascii="Arial" w:hAnsi="Arial" w:cs="Arial"/>
        <w:noProof/>
        <w:sz w:val="16"/>
        <w:szCs w:val="16"/>
      </w:rPr>
      <w:t>5</w:t>
    </w:r>
    <w:r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57" w:rsidRDefault="00EE1057" w:rsidP="00E71A58">
      <w:r>
        <w:separator/>
      </w:r>
    </w:p>
  </w:footnote>
  <w:footnote w:type="continuationSeparator" w:id="0">
    <w:p w:rsidR="00EE1057" w:rsidRDefault="00EE1057" w:rsidP="00E71A58">
      <w:r>
        <w:continuationSeparator/>
      </w:r>
    </w:p>
  </w:footnote>
  <w:footnote w:id="1">
    <w:p w:rsidR="00DD7435" w:rsidRPr="00B3523B" w:rsidRDefault="00DD7435" w:rsidP="00DD2A62">
      <w:pPr>
        <w:pStyle w:val="Textpoznpodarou"/>
        <w:jc w:val="both"/>
        <w:rPr>
          <w:sz w:val="16"/>
          <w:szCs w:val="16"/>
        </w:rPr>
      </w:pPr>
      <w:r w:rsidRPr="002018BF">
        <w:rPr>
          <w:rStyle w:val="Znakapoznpodarou"/>
          <w:sz w:val="16"/>
          <w:szCs w:val="16"/>
        </w:rPr>
        <w:footnoteRef/>
      </w:r>
      <w:r w:rsidRPr="002018BF">
        <w:rPr>
          <w:sz w:val="16"/>
          <w:szCs w:val="16"/>
        </w:rPr>
        <w:t xml:space="preserve"> Data o HDP, </w:t>
      </w:r>
      <w:r>
        <w:rPr>
          <w:sz w:val="16"/>
          <w:szCs w:val="16"/>
        </w:rPr>
        <w:t>hrubé přidané hodnotě</w:t>
      </w:r>
      <w:r w:rsidRPr="002018BF">
        <w:rPr>
          <w:sz w:val="16"/>
          <w:szCs w:val="16"/>
        </w:rPr>
        <w:t xml:space="preserve"> a jejich složkách jsou vyjádřena </w:t>
      </w:r>
      <w:r>
        <w:rPr>
          <w:sz w:val="16"/>
          <w:szCs w:val="16"/>
        </w:rPr>
        <w:t>ve stálých cenách</w:t>
      </w:r>
      <w:r w:rsidRPr="002018BF">
        <w:rPr>
          <w:sz w:val="16"/>
          <w:szCs w:val="16"/>
        </w:rPr>
        <w:t xml:space="preserve"> a v očištění o sezónní a kalendářní vlivy.</w:t>
      </w:r>
      <w:r>
        <w:rPr>
          <w:sz w:val="16"/>
          <w:szCs w:val="16"/>
        </w:rPr>
        <w:t xml:space="preserve"> Údaje </w:t>
      </w:r>
      <w:r w:rsidRPr="00B3523B">
        <w:rPr>
          <w:sz w:val="16"/>
          <w:szCs w:val="16"/>
        </w:rPr>
        <w:t>byly zveřejněny 2. 9. 2016 a zpřesnění bude publikováno 30. 9. 2016.</w:t>
      </w:r>
    </w:p>
  </w:footnote>
  <w:footnote w:id="2">
    <w:p w:rsidR="00DD7435" w:rsidRPr="003839C9" w:rsidRDefault="00DD7435" w:rsidP="001550F3">
      <w:pPr>
        <w:pStyle w:val="Textpoznpodarou"/>
        <w:jc w:val="both"/>
        <w:rPr>
          <w:sz w:val="16"/>
          <w:szCs w:val="16"/>
        </w:rPr>
      </w:pPr>
      <w:r w:rsidRPr="003839C9">
        <w:rPr>
          <w:rStyle w:val="Znakapoznpodarou"/>
          <w:sz w:val="16"/>
          <w:szCs w:val="16"/>
        </w:rPr>
        <w:footnoteRef/>
      </w:r>
      <w:r w:rsidRPr="003839C9">
        <w:rPr>
          <w:sz w:val="16"/>
          <w:szCs w:val="16"/>
        </w:rPr>
        <w:t xml:space="preserve"> Pokud není uvedeno jinak, jsou data o HDP a jeho složkách vyjádřena reálně a v očištění o sezónní a kalendářní vlivy. Totéž platí i pro hrubou přidanou hodnotu. Časová řada HDP v období od 1. čtvrtletí 2014 je od sezónnosti očišťována novým modelem. Tento model zohledňuje změnu sezónního chování HDP po roce 2013 související s nově rovnoměrnějším výběrem daní z produktů, zejména z tabákových výrobků.</w:t>
      </w:r>
    </w:p>
  </w:footnote>
  <w:footnote w:id="3">
    <w:p w:rsidR="00DD7435" w:rsidRPr="00C809A6" w:rsidRDefault="00DD7435" w:rsidP="001550F3">
      <w:pPr>
        <w:pStyle w:val="Textpoznpodarou"/>
        <w:rPr>
          <w:sz w:val="16"/>
          <w:szCs w:val="16"/>
        </w:rPr>
      </w:pPr>
      <w:r w:rsidRPr="00226056">
        <w:rPr>
          <w:rStyle w:val="Znakapoznpodarou"/>
          <w:sz w:val="16"/>
          <w:szCs w:val="16"/>
        </w:rPr>
        <w:footnoteRef/>
      </w:r>
      <w:r w:rsidRPr="00226056">
        <w:rPr>
          <w:sz w:val="16"/>
          <w:szCs w:val="16"/>
        </w:rPr>
        <w:t xml:space="preserve"> Nedostupný údaj za Irsko a Lucembursko. Dynamika za Slovensko není očištěna o kalendářní vlivy.</w:t>
      </w:r>
    </w:p>
  </w:footnote>
  <w:footnote w:id="4">
    <w:p w:rsidR="00DD7435" w:rsidRPr="005E01FF" w:rsidRDefault="00DD7435" w:rsidP="001550F3">
      <w:pPr>
        <w:pStyle w:val="Textpoznpodarou"/>
        <w:rPr>
          <w:sz w:val="16"/>
          <w:szCs w:val="16"/>
        </w:rPr>
      </w:pPr>
      <w:r w:rsidRPr="005E01FF">
        <w:rPr>
          <w:rStyle w:val="Znakapoznpodarou"/>
          <w:sz w:val="16"/>
          <w:szCs w:val="16"/>
        </w:rPr>
        <w:footnoteRef/>
      </w:r>
      <w:r w:rsidRPr="005E01FF">
        <w:rPr>
          <w:sz w:val="16"/>
          <w:szCs w:val="16"/>
        </w:rPr>
        <w:t xml:space="preserve"> Příspěvky ke změně HDP </w:t>
      </w:r>
      <w:r>
        <w:rPr>
          <w:sz w:val="16"/>
          <w:szCs w:val="16"/>
        </w:rPr>
        <w:t>po</w:t>
      </w:r>
      <w:r w:rsidRPr="005E01FF">
        <w:rPr>
          <w:sz w:val="16"/>
          <w:szCs w:val="16"/>
        </w:rPr>
        <w:t xml:space="preserve"> vyloučení dovozu pro konečné užití.</w:t>
      </w:r>
    </w:p>
  </w:footnote>
  <w:footnote w:id="5">
    <w:p w:rsidR="00DD7435" w:rsidRPr="001D5B78" w:rsidRDefault="00DD7435" w:rsidP="001550F3">
      <w:pPr>
        <w:pStyle w:val="Textpoznpodarou"/>
        <w:rPr>
          <w:sz w:val="16"/>
        </w:rPr>
      </w:pPr>
      <w:r w:rsidRPr="001D5B78">
        <w:rPr>
          <w:rStyle w:val="Znakapoznpodarou"/>
          <w:sz w:val="16"/>
        </w:rPr>
        <w:footnoteRef/>
      </w:r>
      <w:r w:rsidRPr="001D5B78">
        <w:rPr>
          <w:sz w:val="16"/>
        </w:rPr>
        <w:t xml:space="preserve"> </w:t>
      </w:r>
      <w:r>
        <w:rPr>
          <w:sz w:val="16"/>
        </w:rPr>
        <w:t>B</w:t>
      </w:r>
      <w:r w:rsidRPr="001D5B78">
        <w:rPr>
          <w:sz w:val="16"/>
        </w:rPr>
        <w:t>ez očiště</w:t>
      </w:r>
      <w:r>
        <w:rPr>
          <w:sz w:val="16"/>
        </w:rPr>
        <w:t>ní o sezónní a kalendářní vlivy.</w:t>
      </w:r>
    </w:p>
  </w:footnote>
  <w:footnote w:id="6">
    <w:p w:rsidR="00DD7435" w:rsidRPr="005E01FF" w:rsidRDefault="00DD7435" w:rsidP="001550F3">
      <w:pPr>
        <w:pStyle w:val="Textpoznpodarou"/>
        <w:rPr>
          <w:sz w:val="16"/>
          <w:szCs w:val="16"/>
        </w:rPr>
      </w:pPr>
      <w:r w:rsidRPr="005E01FF">
        <w:rPr>
          <w:rStyle w:val="Znakapoznpodarou"/>
          <w:sz w:val="16"/>
          <w:szCs w:val="16"/>
        </w:rPr>
        <w:footnoteRef/>
      </w:r>
      <w:r w:rsidRPr="005E01FF">
        <w:rPr>
          <w:sz w:val="16"/>
          <w:szCs w:val="16"/>
        </w:rPr>
        <w:t xml:space="preserve"> Do reálného vyjádření převedeno s využitím deflátoru výdajů na konečnou spotřebu domácností.</w:t>
      </w:r>
    </w:p>
  </w:footnote>
  <w:footnote w:id="7">
    <w:p w:rsidR="00DD7435" w:rsidRPr="001805D6" w:rsidRDefault="00DD7435" w:rsidP="00080AA8">
      <w:pPr>
        <w:pStyle w:val="Textpoznpodarou"/>
        <w:rPr>
          <w:rFonts w:cs="Arial"/>
          <w:sz w:val="16"/>
          <w:szCs w:val="16"/>
        </w:rPr>
      </w:pPr>
      <w:r w:rsidRPr="001805D6">
        <w:rPr>
          <w:rStyle w:val="Znakapoznpodarou"/>
          <w:rFonts w:cs="Arial"/>
          <w:sz w:val="16"/>
          <w:szCs w:val="16"/>
        </w:rPr>
        <w:footnoteRef/>
      </w:r>
      <w:r w:rsidRPr="001805D6">
        <w:rPr>
          <w:rFonts w:cs="Arial"/>
          <w:sz w:val="16"/>
          <w:szCs w:val="16"/>
        </w:rPr>
        <w:t xml:space="preserve"> Údaje o HPH jsou vyjádřeny ve stálých cenách a v očištění o sezónní a kalendářní vlivy.</w:t>
      </w:r>
    </w:p>
  </w:footnote>
  <w:footnote w:id="8">
    <w:p w:rsidR="00DD7435" w:rsidRPr="001805D6" w:rsidRDefault="00DD7435" w:rsidP="00080AA8">
      <w:pPr>
        <w:pStyle w:val="Textpoznpodarou"/>
        <w:rPr>
          <w:rFonts w:cs="Arial"/>
          <w:sz w:val="16"/>
          <w:szCs w:val="16"/>
        </w:rPr>
      </w:pPr>
      <w:r w:rsidRPr="001805D6">
        <w:rPr>
          <w:rStyle w:val="Znakapoznpodarou"/>
          <w:rFonts w:cs="Arial"/>
          <w:sz w:val="16"/>
          <w:szCs w:val="16"/>
        </w:rPr>
        <w:footnoteRef/>
      </w:r>
      <w:r w:rsidRPr="001805D6">
        <w:rPr>
          <w:rFonts w:cs="Arial"/>
          <w:sz w:val="16"/>
          <w:szCs w:val="16"/>
        </w:rPr>
        <w:t xml:space="preserve"> Pokud není uvedeno jinak, jde o údaje v pojetí národních účtů v očištění o sezónní vlivy.</w:t>
      </w:r>
    </w:p>
  </w:footnote>
  <w:footnote w:id="9">
    <w:p w:rsidR="00DD7435" w:rsidRPr="001805D6" w:rsidRDefault="00DD7435" w:rsidP="00080AA8">
      <w:pPr>
        <w:pStyle w:val="Textpoznpodarou"/>
        <w:rPr>
          <w:rFonts w:cs="Arial"/>
          <w:sz w:val="16"/>
          <w:szCs w:val="16"/>
        </w:rPr>
      </w:pPr>
      <w:r w:rsidRPr="001805D6">
        <w:rPr>
          <w:rStyle w:val="Znakapoznpodarou"/>
          <w:rFonts w:cs="Arial"/>
          <w:sz w:val="16"/>
          <w:szCs w:val="16"/>
        </w:rPr>
        <w:footnoteRef/>
      </w:r>
      <w:r w:rsidRPr="001805D6">
        <w:rPr>
          <w:rFonts w:cs="Arial"/>
          <w:sz w:val="16"/>
          <w:szCs w:val="16"/>
        </w:rPr>
        <w:t xml:space="preserve"> </w:t>
      </w:r>
      <w:r w:rsidRPr="001805D6">
        <w:rPr>
          <w:rFonts w:cs="Arial"/>
          <w:color w:val="0D0D0D" w:themeColor="text1" w:themeTint="F2"/>
          <w:spacing w:val="-4"/>
          <w:sz w:val="16"/>
          <w:szCs w:val="16"/>
        </w:rPr>
        <w:t>Svědčí o tom i skutečnost, že ve srovnání s 1. pololetím konjunkturního roku 2008 byla letošní přidaná hodnota v peněžnictví a pojišťovnictví o</w:t>
      </w:r>
      <w:r w:rsidRPr="001805D6">
        <w:rPr>
          <w:rFonts w:cs="Arial"/>
          <w:sz w:val="16"/>
          <w:szCs w:val="16"/>
        </w:rPr>
        <w:t> </w:t>
      </w:r>
      <w:r w:rsidRPr="001805D6">
        <w:rPr>
          <w:rFonts w:cs="Arial"/>
          <w:color w:val="0D0D0D" w:themeColor="text1" w:themeTint="F2"/>
          <w:spacing w:val="-4"/>
          <w:sz w:val="16"/>
          <w:szCs w:val="16"/>
        </w:rPr>
        <w:t>čtvrtinu vyšší. Podobného výsledku dosáhlo v rámci deseti hlavních odvětví již pouze zemědělství, lesnictví a rybářství. Naopak stavebnictví za touto metou stále o 5 % zaostávalo. V celé ekonomice činil růst přidané hodnoty za posledních osm let 7,3 %.</w:t>
      </w:r>
    </w:p>
  </w:footnote>
  <w:footnote w:id="10">
    <w:p w:rsidR="00DD7435" w:rsidRPr="001805D6" w:rsidRDefault="00DD7435" w:rsidP="00080AA8">
      <w:pPr>
        <w:pStyle w:val="Textpoznpodarou"/>
        <w:rPr>
          <w:rFonts w:cs="Arial"/>
          <w:sz w:val="16"/>
          <w:szCs w:val="16"/>
        </w:rPr>
      </w:pPr>
      <w:r w:rsidRPr="001805D6">
        <w:rPr>
          <w:rStyle w:val="Znakapoznpodarou"/>
          <w:rFonts w:cs="Arial"/>
          <w:sz w:val="16"/>
          <w:szCs w:val="16"/>
        </w:rPr>
        <w:footnoteRef/>
      </w:r>
      <w:r w:rsidRPr="001805D6">
        <w:rPr>
          <w:rFonts w:cs="Arial"/>
          <w:sz w:val="16"/>
          <w:szCs w:val="16"/>
        </w:rPr>
        <w:t xml:space="preserve"> S</w:t>
      </w:r>
      <w:r>
        <w:rPr>
          <w:rFonts w:cs="Arial"/>
          <w:sz w:val="16"/>
          <w:szCs w:val="16"/>
        </w:rPr>
        <w:t>estávají se z dílčích odvětví: veřejná správa a obrana</w:t>
      </w:r>
      <w:r>
        <w:rPr>
          <w:rFonts w:cs="Arial"/>
          <w:sz w:val="16"/>
          <w:szCs w:val="16"/>
          <w:lang w:val="en-US"/>
        </w:rPr>
        <w:t>;</w:t>
      </w:r>
      <w:r>
        <w:rPr>
          <w:rFonts w:cs="Arial"/>
          <w:sz w:val="16"/>
          <w:szCs w:val="16"/>
        </w:rPr>
        <w:t xml:space="preserve"> vzdělávání</w:t>
      </w:r>
      <w:r>
        <w:rPr>
          <w:rFonts w:cs="Arial"/>
          <w:sz w:val="16"/>
          <w:szCs w:val="16"/>
          <w:lang w:val="en-US"/>
        </w:rPr>
        <w:t>;</w:t>
      </w:r>
      <w:r w:rsidRPr="001805D6">
        <w:rPr>
          <w:rFonts w:cs="Arial"/>
          <w:sz w:val="16"/>
          <w:szCs w:val="16"/>
        </w:rPr>
        <w:t xml:space="preserve"> zdravotní a sociální péče.</w:t>
      </w:r>
    </w:p>
  </w:footnote>
  <w:footnote w:id="11">
    <w:p w:rsidR="00DD7435" w:rsidRPr="00EF6BE3" w:rsidRDefault="00DD7435" w:rsidP="00080AA8">
      <w:pPr>
        <w:pStyle w:val="Textpoznpodarou"/>
        <w:rPr>
          <w:sz w:val="16"/>
          <w:szCs w:val="16"/>
        </w:rPr>
      </w:pPr>
      <w:r w:rsidRPr="001805D6">
        <w:rPr>
          <w:rStyle w:val="Znakapoznpodarou"/>
          <w:rFonts w:cs="Arial"/>
          <w:sz w:val="16"/>
          <w:szCs w:val="16"/>
        </w:rPr>
        <w:footnoteRef/>
      </w:r>
      <w:r w:rsidRPr="001805D6">
        <w:rPr>
          <w:rFonts w:cs="Arial"/>
          <w:sz w:val="16"/>
          <w:szCs w:val="16"/>
        </w:rPr>
        <w:t xml:space="preserve"> Zahrnující odvětví dle CZ-NACE: B (Těžba a dobývání), C (Zpracovatelský průmysl), D (Energetika).</w:t>
      </w:r>
    </w:p>
  </w:footnote>
  <w:footnote w:id="12">
    <w:p w:rsidR="00DD7435" w:rsidRPr="000D22EC" w:rsidRDefault="00DD7435" w:rsidP="00080AA8">
      <w:pPr>
        <w:pStyle w:val="Textpoznpodarou"/>
        <w:rPr>
          <w:spacing w:val="-2"/>
          <w:sz w:val="16"/>
          <w:szCs w:val="16"/>
        </w:rPr>
      </w:pPr>
      <w:r w:rsidRPr="000D22EC">
        <w:rPr>
          <w:rStyle w:val="Znakapoznpodarou"/>
          <w:spacing w:val="-2"/>
          <w:sz w:val="16"/>
          <w:szCs w:val="16"/>
        </w:rPr>
        <w:footnoteRef/>
      </w:r>
      <w:r w:rsidRPr="000D22EC">
        <w:rPr>
          <w:spacing w:val="-2"/>
          <w:sz w:val="16"/>
          <w:szCs w:val="16"/>
        </w:rPr>
        <w:t xml:space="preserve"> Ve stejném obdob</w:t>
      </w:r>
      <w:r w:rsidR="00873B2E">
        <w:rPr>
          <w:spacing w:val="-2"/>
          <w:sz w:val="16"/>
          <w:szCs w:val="16"/>
        </w:rPr>
        <w:t>í činil pokles v celé EU 34 %, v</w:t>
      </w:r>
      <w:r w:rsidRPr="000D22EC">
        <w:rPr>
          <w:spacing w:val="-2"/>
          <w:sz w:val="16"/>
          <w:szCs w:val="16"/>
        </w:rPr>
        <w:t> Německu 42 %, v Polsku 22 %. Prudké propady produkce zaznamenaly Španělsko a Velká Británie. Útlum se týkal především produkce černého uhlí (v EU15 o bezmála 60 %), u hnědého uhlí byly redukce mírnější (o 8 %).</w:t>
      </w:r>
    </w:p>
  </w:footnote>
  <w:footnote w:id="13">
    <w:p w:rsidR="00DD7435" w:rsidRPr="00FE242B" w:rsidRDefault="00DD7435" w:rsidP="00080AA8">
      <w:pPr>
        <w:pStyle w:val="Textpoznpodarou"/>
        <w:rPr>
          <w:spacing w:val="-4"/>
          <w:sz w:val="16"/>
          <w:szCs w:val="16"/>
        </w:rPr>
      </w:pPr>
      <w:r w:rsidRPr="00FE242B">
        <w:rPr>
          <w:rStyle w:val="Znakapoznpodarou"/>
          <w:spacing w:val="-4"/>
          <w:sz w:val="16"/>
          <w:szCs w:val="16"/>
        </w:rPr>
        <w:footnoteRef/>
      </w:r>
      <w:r w:rsidRPr="00FE242B">
        <w:rPr>
          <w:spacing w:val="-4"/>
          <w:sz w:val="16"/>
          <w:szCs w:val="16"/>
        </w:rPr>
        <w:t xml:space="preserve"> V rámci hodnocených zemí EU (bez Slovenska, Slovinska) šlo o páté nejvyšší tempo. Ze zemí, které jsou významnými </w:t>
      </w:r>
      <w:r>
        <w:rPr>
          <w:spacing w:val="-4"/>
          <w:sz w:val="16"/>
          <w:szCs w:val="16"/>
        </w:rPr>
        <w:t>výrobci</w:t>
      </w:r>
      <w:r w:rsidRPr="00FE242B">
        <w:rPr>
          <w:spacing w:val="-4"/>
          <w:sz w:val="16"/>
          <w:szCs w:val="16"/>
        </w:rPr>
        <w:t xml:space="preserve"> automobilů, dosáhlo lepších výsledků jen Maďarsko (56 %). V hlavní producentské zemi – Německu</w:t>
      </w:r>
      <w:r>
        <w:rPr>
          <w:spacing w:val="-4"/>
          <w:sz w:val="16"/>
          <w:szCs w:val="16"/>
        </w:rPr>
        <w:t xml:space="preserve"> – </w:t>
      </w:r>
      <w:r w:rsidRPr="00FE242B">
        <w:rPr>
          <w:spacing w:val="-4"/>
          <w:sz w:val="16"/>
          <w:szCs w:val="16"/>
        </w:rPr>
        <w:t>byla produkce vyšší jen</w:t>
      </w:r>
      <w:r>
        <w:rPr>
          <w:spacing w:val="-4"/>
          <w:sz w:val="16"/>
          <w:szCs w:val="16"/>
        </w:rPr>
        <w:t xml:space="preserve"> o</w:t>
      </w:r>
      <w:r w:rsidRPr="00FE242B">
        <w:rPr>
          <w:spacing w:val="-4"/>
          <w:sz w:val="16"/>
          <w:szCs w:val="16"/>
        </w:rPr>
        <w:t xml:space="preserve"> 12 %, v celé EU o 23 %.</w:t>
      </w:r>
    </w:p>
  </w:footnote>
  <w:footnote w:id="14">
    <w:p w:rsidR="00DD7435" w:rsidRPr="00826F9B" w:rsidRDefault="00DD7435" w:rsidP="00080AA8">
      <w:pPr>
        <w:pStyle w:val="Textpoznpodarou"/>
        <w:jc w:val="both"/>
        <w:rPr>
          <w:sz w:val="16"/>
          <w:szCs w:val="16"/>
        </w:rPr>
      </w:pPr>
      <w:r w:rsidRPr="00826F9B">
        <w:rPr>
          <w:rStyle w:val="Znakapoznpodarou"/>
          <w:sz w:val="16"/>
          <w:szCs w:val="16"/>
        </w:rPr>
        <w:footnoteRef/>
      </w:r>
      <w:r>
        <w:rPr>
          <w:sz w:val="16"/>
          <w:szCs w:val="16"/>
        </w:rPr>
        <w:t xml:space="preserve"> Dl</w:t>
      </w:r>
      <w:r w:rsidRPr="00826F9B">
        <w:rPr>
          <w:sz w:val="16"/>
          <w:szCs w:val="16"/>
        </w:rPr>
        <w:t xml:space="preserve">e údajů Sdružení automobilového průmyslu </w:t>
      </w:r>
      <w:r>
        <w:rPr>
          <w:sz w:val="16"/>
          <w:szCs w:val="16"/>
        </w:rPr>
        <w:t>bylo v Česku během prvních šesti</w:t>
      </w:r>
      <w:r w:rsidRPr="00826F9B">
        <w:rPr>
          <w:sz w:val="16"/>
          <w:szCs w:val="16"/>
        </w:rPr>
        <w:t xml:space="preserve"> měsíců </w:t>
      </w:r>
      <w:r>
        <w:rPr>
          <w:sz w:val="16"/>
          <w:szCs w:val="16"/>
        </w:rPr>
        <w:t>letošního roku vyrobeno téměř 720</w:t>
      </w:r>
      <w:r w:rsidRPr="00826F9B">
        <w:rPr>
          <w:sz w:val="16"/>
          <w:szCs w:val="16"/>
        </w:rPr>
        <w:t xml:space="preserve"> tis. </w:t>
      </w:r>
      <w:r>
        <w:rPr>
          <w:sz w:val="16"/>
          <w:szCs w:val="16"/>
        </w:rPr>
        <w:t>osobních automobilů, meziročně o osminu více.</w:t>
      </w:r>
      <w:r w:rsidRPr="00826F9B">
        <w:rPr>
          <w:sz w:val="16"/>
          <w:szCs w:val="16"/>
        </w:rPr>
        <w:t xml:space="preserve"> Dařilo se i výrobcům ostatních druhů motorových vozidel.</w:t>
      </w:r>
    </w:p>
  </w:footnote>
  <w:footnote w:id="15">
    <w:p w:rsidR="00DD7435" w:rsidRPr="00E46D98" w:rsidRDefault="00DD7435" w:rsidP="00080AA8">
      <w:pPr>
        <w:pStyle w:val="Textpoznpodarou"/>
        <w:rPr>
          <w:sz w:val="16"/>
          <w:szCs w:val="16"/>
        </w:rPr>
      </w:pPr>
      <w:r w:rsidRPr="00E46D98">
        <w:rPr>
          <w:rStyle w:val="Znakapoznpodarou"/>
          <w:sz w:val="16"/>
          <w:szCs w:val="16"/>
        </w:rPr>
        <w:footnoteRef/>
      </w:r>
      <w:r w:rsidRPr="00E46D98">
        <w:rPr>
          <w:sz w:val="16"/>
          <w:szCs w:val="16"/>
        </w:rPr>
        <w:t xml:space="preserve"> Všechny údaje o stavební produkci jsou očištěny o kalendářní vlivy.</w:t>
      </w:r>
    </w:p>
  </w:footnote>
  <w:footnote w:id="16">
    <w:p w:rsidR="00DD7435" w:rsidRPr="00092C9A" w:rsidRDefault="00DD7435" w:rsidP="00080AA8">
      <w:pPr>
        <w:pStyle w:val="Textpoznpodarou"/>
        <w:rPr>
          <w:sz w:val="16"/>
          <w:szCs w:val="16"/>
        </w:rPr>
      </w:pPr>
      <w:r w:rsidRPr="00092C9A">
        <w:rPr>
          <w:rStyle w:val="Znakapoznpodarou"/>
          <w:sz w:val="16"/>
          <w:szCs w:val="16"/>
        </w:rPr>
        <w:footnoteRef/>
      </w:r>
      <w:r w:rsidRPr="00092C9A">
        <w:rPr>
          <w:sz w:val="16"/>
          <w:szCs w:val="16"/>
        </w:rPr>
        <w:t xml:space="preserve"> Nezahrnují </w:t>
      </w:r>
      <w:r>
        <w:rPr>
          <w:sz w:val="16"/>
          <w:szCs w:val="16"/>
        </w:rPr>
        <w:t>obchod</w:t>
      </w:r>
      <w:r w:rsidRPr="00092C9A">
        <w:rPr>
          <w:sz w:val="16"/>
          <w:szCs w:val="16"/>
        </w:rPr>
        <w:t>, pe</w:t>
      </w:r>
      <w:r>
        <w:rPr>
          <w:sz w:val="16"/>
          <w:szCs w:val="16"/>
        </w:rPr>
        <w:t>něžnictví a pojišťovnict</w:t>
      </w:r>
      <w:r w:rsidR="00D439C2">
        <w:rPr>
          <w:sz w:val="16"/>
          <w:szCs w:val="16"/>
        </w:rPr>
        <w:t>ví, vědu a výzkum ani</w:t>
      </w:r>
      <w:r>
        <w:rPr>
          <w:sz w:val="16"/>
          <w:szCs w:val="16"/>
        </w:rPr>
        <w:t xml:space="preserve"> veřejné služ</w:t>
      </w:r>
      <w:r w:rsidRPr="00092C9A">
        <w:rPr>
          <w:sz w:val="16"/>
          <w:szCs w:val="16"/>
        </w:rPr>
        <w:t>b</w:t>
      </w:r>
      <w:r>
        <w:rPr>
          <w:sz w:val="16"/>
          <w:szCs w:val="16"/>
        </w:rPr>
        <w:t>y</w:t>
      </w:r>
      <w:r w:rsidRPr="00092C9A">
        <w:rPr>
          <w:sz w:val="16"/>
          <w:szCs w:val="16"/>
        </w:rPr>
        <w:t>.</w:t>
      </w:r>
    </w:p>
  </w:footnote>
  <w:footnote w:id="17">
    <w:p w:rsidR="00DD7435" w:rsidRPr="00EF2F5C" w:rsidRDefault="00DD7435" w:rsidP="00080AA8">
      <w:pPr>
        <w:pStyle w:val="Textpoznpodarou"/>
        <w:jc w:val="both"/>
        <w:rPr>
          <w:spacing w:val="-4"/>
        </w:rPr>
      </w:pPr>
      <w:r w:rsidRPr="00EF2F5C">
        <w:rPr>
          <w:rStyle w:val="Znakapoznpodarou"/>
          <w:sz w:val="16"/>
          <w:szCs w:val="16"/>
        </w:rPr>
        <w:footnoteRef/>
      </w:r>
      <w:r w:rsidRPr="00EF2F5C">
        <w:rPr>
          <w:sz w:val="16"/>
          <w:szCs w:val="16"/>
        </w:rPr>
        <w:t xml:space="preserve"> Zahrnuje maloobchod</w:t>
      </w:r>
      <w:r w:rsidRPr="00092C9A">
        <w:rPr>
          <w:sz w:val="16"/>
          <w:szCs w:val="16"/>
        </w:rPr>
        <w:t xml:space="preserve"> bez motoristického segment</w:t>
      </w:r>
      <w:r>
        <w:rPr>
          <w:sz w:val="16"/>
          <w:szCs w:val="16"/>
        </w:rPr>
        <w:t>u</w:t>
      </w:r>
      <w:r w:rsidRPr="00092C9A">
        <w:rPr>
          <w:sz w:val="16"/>
          <w:szCs w:val="16"/>
        </w:rPr>
        <w:t xml:space="preserve">, údaj </w:t>
      </w:r>
      <w:r>
        <w:rPr>
          <w:sz w:val="16"/>
          <w:szCs w:val="16"/>
        </w:rPr>
        <w:t xml:space="preserve">je </w:t>
      </w:r>
      <w:r w:rsidRPr="00092C9A">
        <w:rPr>
          <w:sz w:val="16"/>
          <w:szCs w:val="16"/>
        </w:rPr>
        <w:t xml:space="preserve">očištěný o </w:t>
      </w:r>
      <w:r>
        <w:rPr>
          <w:sz w:val="16"/>
          <w:szCs w:val="16"/>
        </w:rPr>
        <w:t>kalendářní vlivy.</w:t>
      </w:r>
    </w:p>
  </w:footnote>
  <w:footnote w:id="18">
    <w:p w:rsidR="00DD7435" w:rsidRPr="00481C00" w:rsidRDefault="00DD7435" w:rsidP="000C1106">
      <w:pPr>
        <w:pStyle w:val="Textpoznpodarou"/>
        <w:jc w:val="both"/>
        <w:rPr>
          <w:sz w:val="16"/>
          <w:szCs w:val="16"/>
        </w:rPr>
      </w:pPr>
      <w:r w:rsidRPr="00804D97">
        <w:rPr>
          <w:rStyle w:val="Znakapoznpodarou"/>
          <w:sz w:val="16"/>
          <w:szCs w:val="16"/>
        </w:rPr>
        <w:footnoteRef/>
      </w:r>
      <w:r w:rsidRPr="00804D97">
        <w:rPr>
          <w:sz w:val="16"/>
          <w:szCs w:val="16"/>
        </w:rPr>
        <w:t xml:space="preserve"> Bez očištění o sezónní a kalendářní vlivy.</w:t>
      </w:r>
    </w:p>
  </w:footnote>
  <w:footnote w:id="19">
    <w:p w:rsidR="00DD7435" w:rsidRPr="00B4223A" w:rsidRDefault="00DD7435" w:rsidP="004F2A4D">
      <w:pPr>
        <w:pStyle w:val="Textpoznpodarou"/>
        <w:jc w:val="both"/>
        <w:rPr>
          <w:sz w:val="16"/>
          <w:szCs w:val="16"/>
        </w:rPr>
      </w:pPr>
      <w:r w:rsidRPr="00B4223A">
        <w:rPr>
          <w:rStyle w:val="Znakapoznpodarou"/>
          <w:sz w:val="16"/>
          <w:szCs w:val="16"/>
        </w:rPr>
        <w:footnoteRef/>
      </w:r>
      <w:r w:rsidRPr="00B4223A">
        <w:rPr>
          <w:sz w:val="16"/>
          <w:szCs w:val="16"/>
        </w:rPr>
        <w:t xml:space="preserve"> Pokud není uvedeno jinak, jsou data v této kapitole v pojetí národních účtů v očištění o sezónní vlivy.</w:t>
      </w:r>
    </w:p>
  </w:footnote>
  <w:footnote w:id="20">
    <w:p w:rsidR="00DD7435" w:rsidRPr="0042372A" w:rsidRDefault="00DD7435" w:rsidP="004F2A4D">
      <w:pPr>
        <w:pStyle w:val="Textpoznpodarou"/>
        <w:jc w:val="both"/>
        <w:rPr>
          <w:sz w:val="16"/>
          <w:szCs w:val="16"/>
        </w:rPr>
      </w:pPr>
      <w:r w:rsidRPr="0042372A">
        <w:rPr>
          <w:rStyle w:val="Znakapoznpodarou"/>
          <w:sz w:val="16"/>
          <w:szCs w:val="16"/>
        </w:rPr>
        <w:footnoteRef/>
      </w:r>
      <w:r w:rsidRPr="0042372A">
        <w:rPr>
          <w:sz w:val="16"/>
          <w:szCs w:val="16"/>
        </w:rPr>
        <w:t xml:space="preserve"> </w:t>
      </w:r>
      <w:r>
        <w:rPr>
          <w:sz w:val="16"/>
          <w:szCs w:val="16"/>
        </w:rPr>
        <w:t xml:space="preserve">Např. na </w:t>
      </w:r>
      <w:proofErr w:type="spellStart"/>
      <w:r w:rsidRPr="0042372A">
        <w:rPr>
          <w:sz w:val="16"/>
          <w:szCs w:val="16"/>
        </w:rPr>
        <w:t>Bruntál</w:t>
      </w:r>
      <w:r>
        <w:rPr>
          <w:sz w:val="16"/>
          <w:szCs w:val="16"/>
        </w:rPr>
        <w:t>sku</w:t>
      </w:r>
      <w:proofErr w:type="spellEnd"/>
      <w:r w:rsidRPr="0042372A">
        <w:rPr>
          <w:sz w:val="16"/>
          <w:szCs w:val="16"/>
        </w:rPr>
        <w:t xml:space="preserve"> </w:t>
      </w:r>
      <w:r>
        <w:rPr>
          <w:sz w:val="16"/>
          <w:szCs w:val="16"/>
        </w:rPr>
        <w:t xml:space="preserve">se tento poměr snížil z 19,6 (červen 2015) na 7,6 (o rok později). Obdobně i na Mostecku (z 12,9 na 6,4) či v okrese Ústí nad Labem (z 18,7 na 11,7). Pouze v jedenácti okresech připadalo letos v červnu na 1 místo více než 5 uchazečů, naopak ve čtrnácti okresech méně než 1,5 (na Pardubicku, </w:t>
      </w:r>
      <w:proofErr w:type="spellStart"/>
      <w:r>
        <w:rPr>
          <w:sz w:val="16"/>
          <w:szCs w:val="16"/>
        </w:rPr>
        <w:t>Rokycansku</w:t>
      </w:r>
      <w:proofErr w:type="spellEnd"/>
      <w:r>
        <w:rPr>
          <w:sz w:val="16"/>
          <w:szCs w:val="16"/>
        </w:rPr>
        <w:t xml:space="preserve"> a </w:t>
      </w:r>
      <w:proofErr w:type="spellStart"/>
      <w:r>
        <w:rPr>
          <w:sz w:val="16"/>
          <w:szCs w:val="16"/>
        </w:rPr>
        <w:t>Rychnovsku</w:t>
      </w:r>
      <w:proofErr w:type="spellEnd"/>
      <w:r>
        <w:rPr>
          <w:sz w:val="16"/>
          <w:szCs w:val="16"/>
        </w:rPr>
        <w:t xml:space="preserve"> mohli být teoreticky uspokojeni všichni uchazeči).</w:t>
      </w:r>
    </w:p>
  </w:footnote>
  <w:footnote w:id="21">
    <w:p w:rsidR="00DD7435" w:rsidRPr="006A5244" w:rsidRDefault="00DD7435" w:rsidP="000F74B6">
      <w:pPr>
        <w:pStyle w:val="Textpoznpodarou"/>
        <w:jc w:val="both"/>
        <w:rPr>
          <w:sz w:val="16"/>
          <w:szCs w:val="16"/>
        </w:rPr>
      </w:pPr>
      <w:r w:rsidRPr="006A5244">
        <w:rPr>
          <w:rStyle w:val="Znakapoznpodarou"/>
          <w:sz w:val="16"/>
          <w:szCs w:val="16"/>
        </w:rPr>
        <w:footnoteRef/>
      </w:r>
      <w:r>
        <w:rPr>
          <w:sz w:val="16"/>
          <w:szCs w:val="16"/>
        </w:rPr>
        <w:t xml:space="preserve"> Přebytek hospodaření SR </w:t>
      </w:r>
      <w:r w:rsidRPr="006A5244">
        <w:rPr>
          <w:sz w:val="16"/>
          <w:szCs w:val="16"/>
        </w:rPr>
        <w:t>na konci srpna se proti údaji na sklonku 1. pololetí zdvojnásobil (na 81,2 mld. korun).</w:t>
      </w:r>
      <w:r>
        <w:rPr>
          <w:sz w:val="16"/>
          <w:szCs w:val="16"/>
        </w:rPr>
        <w:t xml:space="preserve"> </w:t>
      </w:r>
      <w:r w:rsidRPr="006A5244">
        <w:rPr>
          <w:sz w:val="16"/>
          <w:szCs w:val="16"/>
        </w:rPr>
        <w:t xml:space="preserve">Vedle mírně sílících daňových příjmů k tomu </w:t>
      </w:r>
      <w:r>
        <w:rPr>
          <w:sz w:val="16"/>
          <w:szCs w:val="16"/>
        </w:rPr>
        <w:t>přispěly hlavně</w:t>
      </w:r>
      <w:r w:rsidRPr="006A5244">
        <w:rPr>
          <w:sz w:val="16"/>
          <w:szCs w:val="16"/>
        </w:rPr>
        <w:t xml:space="preserve"> nepravidelnosti v čerpání evropských fondů. Transfery z rozpočtu EU (jako důsledek </w:t>
      </w:r>
      <w:r>
        <w:rPr>
          <w:sz w:val="16"/>
          <w:szCs w:val="16"/>
        </w:rPr>
        <w:t xml:space="preserve">nebývale </w:t>
      </w:r>
      <w:r w:rsidRPr="006A5244">
        <w:rPr>
          <w:sz w:val="16"/>
          <w:szCs w:val="16"/>
        </w:rPr>
        <w:t xml:space="preserve">intenzivního loňského dočerpávání) přesáhly 140 mld. korun </w:t>
      </w:r>
      <w:r>
        <w:rPr>
          <w:sz w:val="16"/>
          <w:szCs w:val="16"/>
        </w:rPr>
        <w:t>(</w:t>
      </w:r>
      <w:r w:rsidRPr="006A5244">
        <w:rPr>
          <w:sz w:val="16"/>
          <w:szCs w:val="16"/>
        </w:rPr>
        <w:t xml:space="preserve">meziročně byly dokonce o 2,2 % vyšší), pokles kapitálových výdajů se </w:t>
      </w:r>
      <w:r>
        <w:rPr>
          <w:sz w:val="16"/>
          <w:szCs w:val="16"/>
        </w:rPr>
        <w:t xml:space="preserve">přitom </w:t>
      </w:r>
      <w:r w:rsidRPr="006A5244">
        <w:rPr>
          <w:sz w:val="16"/>
          <w:szCs w:val="16"/>
        </w:rPr>
        <w:t>nadále prohluboval (</w:t>
      </w:r>
      <w:r>
        <w:rPr>
          <w:sz w:val="16"/>
          <w:szCs w:val="16"/>
        </w:rPr>
        <w:t>až na 40 %, resp. 31 mld. korun).</w:t>
      </w:r>
    </w:p>
  </w:footnote>
  <w:footnote w:id="22">
    <w:p w:rsidR="00DD7435" w:rsidRPr="00516EE1" w:rsidRDefault="00DD7435" w:rsidP="000F74B6">
      <w:pPr>
        <w:pStyle w:val="Textpoznpodarou"/>
        <w:jc w:val="both"/>
        <w:rPr>
          <w:sz w:val="16"/>
          <w:szCs w:val="16"/>
        </w:rPr>
      </w:pPr>
      <w:r w:rsidRPr="00516EE1">
        <w:rPr>
          <w:rStyle w:val="Znakapoznpodarou"/>
          <w:sz w:val="16"/>
          <w:szCs w:val="16"/>
        </w:rPr>
        <w:footnoteRef/>
      </w:r>
      <w:r w:rsidRPr="00516EE1">
        <w:rPr>
          <w:sz w:val="16"/>
          <w:szCs w:val="16"/>
        </w:rPr>
        <w:t xml:space="preserve"> </w:t>
      </w:r>
      <w:r w:rsidRPr="00516EE1">
        <w:rPr>
          <w:rFonts w:cs="Arial"/>
          <w:color w:val="000000" w:themeColor="text1"/>
          <w:spacing w:val="-2"/>
          <w:sz w:val="16"/>
          <w:szCs w:val="16"/>
        </w:rPr>
        <w:t>Příjmy SR jsou v roce 2016 negativně ovlivněny změnou rozpočtového určení daní, jež snižuje podíl SR na celostátním inkasu zhruba o 1 </w:t>
      </w:r>
      <w:proofErr w:type="spellStart"/>
      <w:proofErr w:type="gramStart"/>
      <w:r w:rsidRPr="00516EE1">
        <w:rPr>
          <w:rFonts w:cs="Arial"/>
          <w:color w:val="000000" w:themeColor="text1"/>
          <w:spacing w:val="-2"/>
          <w:sz w:val="16"/>
          <w:szCs w:val="16"/>
        </w:rPr>
        <w:t>p.b</w:t>
      </w:r>
      <w:proofErr w:type="spellEnd"/>
      <w:r w:rsidRPr="00516EE1">
        <w:rPr>
          <w:rFonts w:cs="Arial"/>
          <w:color w:val="000000" w:themeColor="text1"/>
          <w:spacing w:val="-2"/>
          <w:sz w:val="16"/>
          <w:szCs w:val="16"/>
        </w:rPr>
        <w:t>., a to</w:t>
      </w:r>
      <w:proofErr w:type="gramEnd"/>
      <w:r w:rsidRPr="00516EE1">
        <w:rPr>
          <w:rFonts w:cs="Arial"/>
          <w:color w:val="000000" w:themeColor="text1"/>
          <w:spacing w:val="-2"/>
          <w:sz w:val="16"/>
          <w:szCs w:val="16"/>
        </w:rPr>
        <w:t xml:space="preserve"> jak u DPH, tak i u daně z příjmu fyzických osob ze závislé činnosti.</w:t>
      </w:r>
    </w:p>
  </w:footnote>
  <w:footnote w:id="23">
    <w:p w:rsidR="00DD7435" w:rsidRPr="001435CD" w:rsidRDefault="00DD7435" w:rsidP="000F74B6">
      <w:pPr>
        <w:autoSpaceDE w:val="0"/>
        <w:autoSpaceDN w:val="0"/>
        <w:adjustRightInd w:val="0"/>
        <w:spacing w:line="240" w:lineRule="auto"/>
        <w:jc w:val="both"/>
        <w:rPr>
          <w:rFonts w:cs="Arial"/>
          <w:sz w:val="16"/>
          <w:szCs w:val="16"/>
        </w:rPr>
      </w:pPr>
      <w:r w:rsidRPr="001435CD">
        <w:rPr>
          <w:rStyle w:val="Znakapoznpodarou"/>
          <w:sz w:val="16"/>
          <w:szCs w:val="16"/>
        </w:rPr>
        <w:footnoteRef/>
      </w:r>
      <w:r w:rsidRPr="001435CD">
        <w:rPr>
          <w:sz w:val="16"/>
          <w:szCs w:val="16"/>
        </w:rPr>
        <w:t xml:space="preserve"> Šlo o </w:t>
      </w:r>
      <w:proofErr w:type="spellStart"/>
      <w:r w:rsidRPr="001435CD">
        <w:rPr>
          <w:rFonts w:cs="Arial"/>
          <w:sz w:val="16"/>
          <w:szCs w:val="16"/>
        </w:rPr>
        <w:t>zastropování</w:t>
      </w:r>
      <w:proofErr w:type="spellEnd"/>
      <w:r w:rsidRPr="001435CD">
        <w:rPr>
          <w:rFonts w:cs="Arial"/>
          <w:sz w:val="16"/>
          <w:szCs w:val="16"/>
        </w:rPr>
        <w:t xml:space="preserve"> výdajových paušálů pro OSVČ (60 % a 80 %) na výši 2 mil. Kč. Naopak mírně negativně ovlivnily inkaso zvýšení daňového zvýhodnění na druhé a další dítě, </w:t>
      </w:r>
      <w:proofErr w:type="spellStart"/>
      <w:r w:rsidRPr="001435CD">
        <w:rPr>
          <w:rFonts w:cs="Arial"/>
          <w:sz w:val="16"/>
          <w:szCs w:val="16"/>
        </w:rPr>
        <w:t>školkovné</w:t>
      </w:r>
      <w:proofErr w:type="spellEnd"/>
      <w:r w:rsidRPr="001435CD">
        <w:rPr>
          <w:rFonts w:cs="Arial"/>
          <w:sz w:val="16"/>
          <w:szCs w:val="16"/>
        </w:rPr>
        <w:t xml:space="preserve"> či znovuzavedení slev pracujícím důchodcům (tyto změny jsou sice účinné od roku 2015, ale v důsledku splatnosti daně se promítají do jejího výběru až v roce 2016).</w:t>
      </w:r>
    </w:p>
  </w:footnote>
  <w:footnote w:id="24">
    <w:p w:rsidR="00DD7435" w:rsidRPr="006D0D31" w:rsidRDefault="00DD7435" w:rsidP="000F74B6">
      <w:pPr>
        <w:pStyle w:val="Textpoznpodarou"/>
        <w:jc w:val="both"/>
        <w:rPr>
          <w:rFonts w:cs="Arial"/>
          <w:sz w:val="16"/>
          <w:szCs w:val="16"/>
        </w:rPr>
      </w:pPr>
      <w:r w:rsidRPr="00952517">
        <w:rPr>
          <w:rStyle w:val="Znakapoznpodarou"/>
          <w:sz w:val="16"/>
          <w:szCs w:val="16"/>
        </w:rPr>
        <w:footnoteRef/>
      </w:r>
      <w:r w:rsidRPr="00952517">
        <w:rPr>
          <w:sz w:val="16"/>
          <w:szCs w:val="16"/>
        </w:rPr>
        <w:t xml:space="preserve"> </w:t>
      </w:r>
      <w:r w:rsidRPr="006D0D31">
        <w:rPr>
          <w:rFonts w:cs="Arial"/>
          <w:spacing w:val="-2"/>
          <w:sz w:val="16"/>
          <w:szCs w:val="16"/>
        </w:rPr>
        <w:t>Situace se příliš nezměnila ani během prázdninového období. Za prvních osm měsíců roku 2016 dosáhly veškeré kapitálové výdaje SR 46,5 mld</w:t>
      </w:r>
      <w:r w:rsidR="00867464">
        <w:rPr>
          <w:rFonts w:cs="Arial"/>
          <w:spacing w:val="-2"/>
          <w:sz w:val="16"/>
          <w:szCs w:val="16"/>
        </w:rPr>
        <w:t>. korun. K novému programovému</w:t>
      </w:r>
      <w:r w:rsidRPr="006D0D31">
        <w:rPr>
          <w:rFonts w:cs="Arial"/>
          <w:spacing w:val="-2"/>
          <w:sz w:val="16"/>
          <w:szCs w:val="16"/>
        </w:rPr>
        <w:t xml:space="preserve"> období EU se vázalo jen 8,4 mld. korun (resp. 16,2 mld. po započtení i běžných výdajů).</w:t>
      </w:r>
    </w:p>
  </w:footnote>
  <w:footnote w:id="25">
    <w:p w:rsidR="00DD7435" w:rsidRPr="006D0D31" w:rsidRDefault="00DD7435" w:rsidP="000F74B6">
      <w:pPr>
        <w:pStyle w:val="Textpoznpodarou"/>
        <w:jc w:val="both"/>
        <w:rPr>
          <w:rFonts w:cs="Arial"/>
          <w:sz w:val="16"/>
          <w:szCs w:val="16"/>
        </w:rPr>
      </w:pPr>
      <w:r w:rsidRPr="006D0D31">
        <w:rPr>
          <w:rStyle w:val="Znakapoznpodarou"/>
          <w:rFonts w:cs="Arial"/>
          <w:sz w:val="16"/>
          <w:szCs w:val="16"/>
        </w:rPr>
        <w:footnoteRef/>
      </w:r>
      <w:r w:rsidRPr="006D0D31">
        <w:rPr>
          <w:rFonts w:cs="Arial"/>
          <w:sz w:val="16"/>
          <w:szCs w:val="16"/>
        </w:rPr>
        <w:t xml:space="preserve"> Předběžné údaje o dluhu a deficitu sektoru vládních institucí za 2. čtvrtletí 2016 zveřejní ČSÚ 3. října 2016, </w:t>
      </w:r>
      <w:proofErr w:type="spellStart"/>
      <w:r w:rsidRPr="006D0D31">
        <w:rPr>
          <w:rFonts w:cs="Arial"/>
          <w:sz w:val="16"/>
          <w:szCs w:val="16"/>
        </w:rPr>
        <w:t>Eurostat</w:t>
      </w:r>
      <w:proofErr w:type="spellEnd"/>
      <w:r w:rsidRPr="006D0D31">
        <w:rPr>
          <w:rFonts w:cs="Arial"/>
          <w:sz w:val="16"/>
          <w:szCs w:val="16"/>
        </w:rPr>
        <w:t xml:space="preserve"> pak 24. října.</w:t>
      </w:r>
    </w:p>
  </w:footnote>
  <w:footnote w:id="26">
    <w:p w:rsidR="00DD7435" w:rsidRPr="00552EAB" w:rsidRDefault="00DD7435" w:rsidP="000F74B6">
      <w:pPr>
        <w:pStyle w:val="Textpoznpodarou"/>
        <w:jc w:val="both"/>
        <w:rPr>
          <w:sz w:val="16"/>
          <w:szCs w:val="16"/>
        </w:rPr>
      </w:pPr>
      <w:r w:rsidRPr="006D0D31">
        <w:rPr>
          <w:rStyle w:val="Znakapoznpodarou"/>
          <w:rFonts w:cs="Arial"/>
          <w:sz w:val="16"/>
          <w:szCs w:val="16"/>
        </w:rPr>
        <w:footnoteRef/>
      </w:r>
      <w:r w:rsidRPr="006D0D31">
        <w:rPr>
          <w:rFonts w:cs="Arial"/>
          <w:sz w:val="16"/>
          <w:szCs w:val="16"/>
        </w:rPr>
        <w:t xml:space="preserve"> </w:t>
      </w:r>
      <w:r w:rsidRPr="006D0D31">
        <w:rPr>
          <w:rFonts w:cs="Arial"/>
          <w:color w:val="333333"/>
          <w:sz w:val="16"/>
          <w:szCs w:val="16"/>
        </w:rPr>
        <w:t xml:space="preserve">Indikátory salda hospodaření a dluhu vládních institucí jsou založeny na </w:t>
      </w:r>
      <w:proofErr w:type="spellStart"/>
      <w:r w:rsidRPr="006D0D31">
        <w:rPr>
          <w:rFonts w:cs="Arial"/>
          <w:color w:val="333333"/>
          <w:sz w:val="16"/>
          <w:szCs w:val="16"/>
        </w:rPr>
        <w:t>akruálním</w:t>
      </w:r>
      <w:proofErr w:type="spellEnd"/>
      <w:r w:rsidRPr="006D0D31">
        <w:rPr>
          <w:rFonts w:cs="Arial"/>
          <w:color w:val="333333"/>
          <w:sz w:val="16"/>
          <w:szCs w:val="16"/>
        </w:rPr>
        <w:t xml:space="preserve"> principu požadovaném metodikou ESA2010 a Manuálem k deficitu a dluhu. Dle </w:t>
      </w:r>
      <w:proofErr w:type="spellStart"/>
      <w:r w:rsidRPr="006D0D31">
        <w:rPr>
          <w:rFonts w:cs="Arial"/>
          <w:color w:val="333333"/>
          <w:sz w:val="16"/>
          <w:szCs w:val="16"/>
        </w:rPr>
        <w:t>akruálního</w:t>
      </w:r>
      <w:proofErr w:type="spellEnd"/>
      <w:r w:rsidRPr="006D0D31">
        <w:rPr>
          <w:rFonts w:cs="Arial"/>
          <w:color w:val="333333"/>
          <w:sz w:val="16"/>
          <w:szCs w:val="16"/>
        </w:rPr>
        <w:t xml:space="preserve"> principu jsou příjmy a výdaje přiřazeny období, se kterým věcně souvisí, tj. bez ohledu na období uskutečnění hotovostního toku (jak je tomu v případě pokladního plnění).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Pr="00173642" w:rsidRDefault="00DD7435"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Pr="00DC5B3B" w:rsidRDefault="00DD7435"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1. pololetí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Pr="00D766EF" w:rsidRDefault="00DD7435"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Pr="00D766EF" w:rsidRDefault="00DD7435"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1EFF"/>
    <w:rsid w:val="00003687"/>
    <w:rsid w:val="00003C43"/>
    <w:rsid w:val="00007498"/>
    <w:rsid w:val="0000767A"/>
    <w:rsid w:val="000101F5"/>
    <w:rsid w:val="000104B9"/>
    <w:rsid w:val="00010702"/>
    <w:rsid w:val="00011191"/>
    <w:rsid w:val="0001159B"/>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304C4"/>
    <w:rsid w:val="0003066A"/>
    <w:rsid w:val="00030F14"/>
    <w:rsid w:val="000311C5"/>
    <w:rsid w:val="00032838"/>
    <w:rsid w:val="00032C12"/>
    <w:rsid w:val="00032E0C"/>
    <w:rsid w:val="00035CCF"/>
    <w:rsid w:val="00035FC6"/>
    <w:rsid w:val="0003705E"/>
    <w:rsid w:val="00037667"/>
    <w:rsid w:val="0004075D"/>
    <w:rsid w:val="000411E1"/>
    <w:rsid w:val="00043E05"/>
    <w:rsid w:val="0004694F"/>
    <w:rsid w:val="000500DC"/>
    <w:rsid w:val="00052052"/>
    <w:rsid w:val="00052172"/>
    <w:rsid w:val="00053CBA"/>
    <w:rsid w:val="00054E43"/>
    <w:rsid w:val="00055059"/>
    <w:rsid w:val="000553E4"/>
    <w:rsid w:val="000567FA"/>
    <w:rsid w:val="00056B26"/>
    <w:rsid w:val="00057C16"/>
    <w:rsid w:val="00060F26"/>
    <w:rsid w:val="00062D43"/>
    <w:rsid w:val="00062EC5"/>
    <w:rsid w:val="00064256"/>
    <w:rsid w:val="000706A4"/>
    <w:rsid w:val="00070A0C"/>
    <w:rsid w:val="00071F80"/>
    <w:rsid w:val="00072118"/>
    <w:rsid w:val="00073173"/>
    <w:rsid w:val="000779AC"/>
    <w:rsid w:val="00080AA8"/>
    <w:rsid w:val="00083803"/>
    <w:rsid w:val="00084393"/>
    <w:rsid w:val="0008716A"/>
    <w:rsid w:val="00087634"/>
    <w:rsid w:val="00091237"/>
    <w:rsid w:val="0009191B"/>
    <w:rsid w:val="000920EC"/>
    <w:rsid w:val="00092208"/>
    <w:rsid w:val="00092505"/>
    <w:rsid w:val="00092C9A"/>
    <w:rsid w:val="00097D02"/>
    <w:rsid w:val="000A1183"/>
    <w:rsid w:val="000A2121"/>
    <w:rsid w:val="000A2484"/>
    <w:rsid w:val="000A36CE"/>
    <w:rsid w:val="000A59BF"/>
    <w:rsid w:val="000A66C2"/>
    <w:rsid w:val="000B1CFE"/>
    <w:rsid w:val="000B210A"/>
    <w:rsid w:val="000B249B"/>
    <w:rsid w:val="000B3B01"/>
    <w:rsid w:val="000B3DB9"/>
    <w:rsid w:val="000B3F02"/>
    <w:rsid w:val="000B48A2"/>
    <w:rsid w:val="000B48E7"/>
    <w:rsid w:val="000B4F41"/>
    <w:rsid w:val="000B7663"/>
    <w:rsid w:val="000C1106"/>
    <w:rsid w:val="000C11D3"/>
    <w:rsid w:val="000C12F5"/>
    <w:rsid w:val="000C3408"/>
    <w:rsid w:val="000C5C0F"/>
    <w:rsid w:val="000C5D56"/>
    <w:rsid w:val="000C6498"/>
    <w:rsid w:val="000D0D51"/>
    <w:rsid w:val="000D14B3"/>
    <w:rsid w:val="000D208B"/>
    <w:rsid w:val="000D263E"/>
    <w:rsid w:val="000D2B8D"/>
    <w:rsid w:val="000D2E41"/>
    <w:rsid w:val="000D342A"/>
    <w:rsid w:val="000D5E7A"/>
    <w:rsid w:val="000D5FAA"/>
    <w:rsid w:val="000D65A4"/>
    <w:rsid w:val="000D6AEF"/>
    <w:rsid w:val="000E025B"/>
    <w:rsid w:val="000E0ECB"/>
    <w:rsid w:val="000E153A"/>
    <w:rsid w:val="000E19A8"/>
    <w:rsid w:val="000E1EEA"/>
    <w:rsid w:val="000E4A42"/>
    <w:rsid w:val="000E6476"/>
    <w:rsid w:val="000E78D2"/>
    <w:rsid w:val="000F3332"/>
    <w:rsid w:val="000F33EE"/>
    <w:rsid w:val="000F401E"/>
    <w:rsid w:val="000F5445"/>
    <w:rsid w:val="000F5673"/>
    <w:rsid w:val="000F67B2"/>
    <w:rsid w:val="000F74B6"/>
    <w:rsid w:val="000F790F"/>
    <w:rsid w:val="000F7E1B"/>
    <w:rsid w:val="00100014"/>
    <w:rsid w:val="0010039A"/>
    <w:rsid w:val="00101E94"/>
    <w:rsid w:val="00101FB2"/>
    <w:rsid w:val="00102CB8"/>
    <w:rsid w:val="00102F02"/>
    <w:rsid w:val="0010385D"/>
    <w:rsid w:val="00103E41"/>
    <w:rsid w:val="001041B6"/>
    <w:rsid w:val="001070EA"/>
    <w:rsid w:val="0011002A"/>
    <w:rsid w:val="001107CE"/>
    <w:rsid w:val="0011110A"/>
    <w:rsid w:val="001118AF"/>
    <w:rsid w:val="00111CA5"/>
    <w:rsid w:val="0011256E"/>
    <w:rsid w:val="0011352E"/>
    <w:rsid w:val="00114FC0"/>
    <w:rsid w:val="00115496"/>
    <w:rsid w:val="00116DB9"/>
    <w:rsid w:val="00116F28"/>
    <w:rsid w:val="00121C39"/>
    <w:rsid w:val="00123255"/>
    <w:rsid w:val="00124D2D"/>
    <w:rsid w:val="00124DA1"/>
    <w:rsid w:val="00125326"/>
    <w:rsid w:val="00125CB5"/>
    <w:rsid w:val="00127535"/>
    <w:rsid w:val="001307BE"/>
    <w:rsid w:val="00130C8F"/>
    <w:rsid w:val="001314F2"/>
    <w:rsid w:val="001317DA"/>
    <w:rsid w:val="001323BA"/>
    <w:rsid w:val="0013254D"/>
    <w:rsid w:val="00133AAC"/>
    <w:rsid w:val="00133FBD"/>
    <w:rsid w:val="00136561"/>
    <w:rsid w:val="001400E1"/>
    <w:rsid w:val="001405FA"/>
    <w:rsid w:val="001413B3"/>
    <w:rsid w:val="001425C3"/>
    <w:rsid w:val="00142F16"/>
    <w:rsid w:val="00143E03"/>
    <w:rsid w:val="00143E93"/>
    <w:rsid w:val="0014428D"/>
    <w:rsid w:val="001500FC"/>
    <w:rsid w:val="00151AC0"/>
    <w:rsid w:val="00151B27"/>
    <w:rsid w:val="00152046"/>
    <w:rsid w:val="00154147"/>
    <w:rsid w:val="001550F3"/>
    <w:rsid w:val="00155746"/>
    <w:rsid w:val="00156318"/>
    <w:rsid w:val="0015639A"/>
    <w:rsid w:val="0016081D"/>
    <w:rsid w:val="00160CF3"/>
    <w:rsid w:val="00160E61"/>
    <w:rsid w:val="001620FA"/>
    <w:rsid w:val="00162853"/>
    <w:rsid w:val="00163793"/>
    <w:rsid w:val="00167FB2"/>
    <w:rsid w:val="001707DE"/>
    <w:rsid w:val="00170B04"/>
    <w:rsid w:val="00170F47"/>
    <w:rsid w:val="001711F2"/>
    <w:rsid w:val="001714F2"/>
    <w:rsid w:val="00173642"/>
    <w:rsid w:val="00173AF4"/>
    <w:rsid w:val="00173CB0"/>
    <w:rsid w:val="00174CE8"/>
    <w:rsid w:val="00175351"/>
    <w:rsid w:val="00175F60"/>
    <w:rsid w:val="00176050"/>
    <w:rsid w:val="001764D8"/>
    <w:rsid w:val="00176A8F"/>
    <w:rsid w:val="00180D58"/>
    <w:rsid w:val="00182981"/>
    <w:rsid w:val="00184CF9"/>
    <w:rsid w:val="00185010"/>
    <w:rsid w:val="001852EC"/>
    <w:rsid w:val="00186447"/>
    <w:rsid w:val="001874CF"/>
    <w:rsid w:val="00190214"/>
    <w:rsid w:val="00190D9B"/>
    <w:rsid w:val="00191BAE"/>
    <w:rsid w:val="00193432"/>
    <w:rsid w:val="0019346C"/>
    <w:rsid w:val="00195444"/>
    <w:rsid w:val="001A199D"/>
    <w:rsid w:val="001A2BDB"/>
    <w:rsid w:val="001A30F4"/>
    <w:rsid w:val="001A4C0D"/>
    <w:rsid w:val="001A552F"/>
    <w:rsid w:val="001A56F3"/>
    <w:rsid w:val="001A737B"/>
    <w:rsid w:val="001A750C"/>
    <w:rsid w:val="001B1D89"/>
    <w:rsid w:val="001B3110"/>
    <w:rsid w:val="001B4198"/>
    <w:rsid w:val="001B44BC"/>
    <w:rsid w:val="001B5888"/>
    <w:rsid w:val="001B618F"/>
    <w:rsid w:val="001B6545"/>
    <w:rsid w:val="001B681B"/>
    <w:rsid w:val="001B6A49"/>
    <w:rsid w:val="001B7231"/>
    <w:rsid w:val="001B74FB"/>
    <w:rsid w:val="001B77A1"/>
    <w:rsid w:val="001C0422"/>
    <w:rsid w:val="001C0E0E"/>
    <w:rsid w:val="001C0EB9"/>
    <w:rsid w:val="001C1219"/>
    <w:rsid w:val="001C357A"/>
    <w:rsid w:val="001C3A37"/>
    <w:rsid w:val="001C4384"/>
    <w:rsid w:val="001C65FF"/>
    <w:rsid w:val="001D47E5"/>
    <w:rsid w:val="001D584C"/>
    <w:rsid w:val="001D5E1B"/>
    <w:rsid w:val="001D66C1"/>
    <w:rsid w:val="001D7C6F"/>
    <w:rsid w:val="001E0024"/>
    <w:rsid w:val="001E0C65"/>
    <w:rsid w:val="001E23E3"/>
    <w:rsid w:val="001E387A"/>
    <w:rsid w:val="001E3DA4"/>
    <w:rsid w:val="001E5830"/>
    <w:rsid w:val="001E684C"/>
    <w:rsid w:val="001E701C"/>
    <w:rsid w:val="001E7C03"/>
    <w:rsid w:val="001F02AF"/>
    <w:rsid w:val="001F0649"/>
    <w:rsid w:val="001F28F4"/>
    <w:rsid w:val="001F2CC6"/>
    <w:rsid w:val="001F3055"/>
    <w:rsid w:val="001F31BC"/>
    <w:rsid w:val="001F378E"/>
    <w:rsid w:val="001F3C79"/>
    <w:rsid w:val="001F3E68"/>
    <w:rsid w:val="001F4597"/>
    <w:rsid w:val="001F56A9"/>
    <w:rsid w:val="001F5C6A"/>
    <w:rsid w:val="001F63A7"/>
    <w:rsid w:val="001F670A"/>
    <w:rsid w:val="00200D15"/>
    <w:rsid w:val="0020223B"/>
    <w:rsid w:val="00203074"/>
    <w:rsid w:val="00203B46"/>
    <w:rsid w:val="002048E1"/>
    <w:rsid w:val="00207DB6"/>
    <w:rsid w:val="00210278"/>
    <w:rsid w:val="00210CC2"/>
    <w:rsid w:val="00210F5B"/>
    <w:rsid w:val="00210FFA"/>
    <w:rsid w:val="00211262"/>
    <w:rsid w:val="002115F5"/>
    <w:rsid w:val="00211AC9"/>
    <w:rsid w:val="0021355B"/>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229C"/>
    <w:rsid w:val="0023355C"/>
    <w:rsid w:val="00234280"/>
    <w:rsid w:val="00235000"/>
    <w:rsid w:val="002350E3"/>
    <w:rsid w:val="00235330"/>
    <w:rsid w:val="00236443"/>
    <w:rsid w:val="00240773"/>
    <w:rsid w:val="00240815"/>
    <w:rsid w:val="00240A5B"/>
    <w:rsid w:val="00240C76"/>
    <w:rsid w:val="002411EF"/>
    <w:rsid w:val="00241446"/>
    <w:rsid w:val="00242730"/>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E5B"/>
    <w:rsid w:val="00262F34"/>
    <w:rsid w:val="00263470"/>
    <w:rsid w:val="00263733"/>
    <w:rsid w:val="00264676"/>
    <w:rsid w:val="00265536"/>
    <w:rsid w:val="00265E54"/>
    <w:rsid w:val="00266F3E"/>
    <w:rsid w:val="00270785"/>
    <w:rsid w:val="00272464"/>
    <w:rsid w:val="00273DCD"/>
    <w:rsid w:val="00274291"/>
    <w:rsid w:val="00276CFE"/>
    <w:rsid w:val="00277071"/>
    <w:rsid w:val="0027786C"/>
    <w:rsid w:val="00277BF7"/>
    <w:rsid w:val="00281416"/>
    <w:rsid w:val="00285CD3"/>
    <w:rsid w:val="0028686A"/>
    <w:rsid w:val="00286E66"/>
    <w:rsid w:val="002870B7"/>
    <w:rsid w:val="002919B5"/>
    <w:rsid w:val="00293441"/>
    <w:rsid w:val="00294238"/>
    <w:rsid w:val="0029493E"/>
    <w:rsid w:val="002962E0"/>
    <w:rsid w:val="00296C2E"/>
    <w:rsid w:val="002A1B05"/>
    <w:rsid w:val="002A267F"/>
    <w:rsid w:val="002A3354"/>
    <w:rsid w:val="002A35EA"/>
    <w:rsid w:val="002A37B6"/>
    <w:rsid w:val="002A3BD5"/>
    <w:rsid w:val="002A43A2"/>
    <w:rsid w:val="002A44ED"/>
    <w:rsid w:val="002A4612"/>
    <w:rsid w:val="002A4F70"/>
    <w:rsid w:val="002A5263"/>
    <w:rsid w:val="002A6821"/>
    <w:rsid w:val="002A74D2"/>
    <w:rsid w:val="002A7CDA"/>
    <w:rsid w:val="002A7F47"/>
    <w:rsid w:val="002B1544"/>
    <w:rsid w:val="002B1DC1"/>
    <w:rsid w:val="002B36C8"/>
    <w:rsid w:val="002B71B4"/>
    <w:rsid w:val="002B7240"/>
    <w:rsid w:val="002C0FF4"/>
    <w:rsid w:val="002C125A"/>
    <w:rsid w:val="002C2668"/>
    <w:rsid w:val="002C43BD"/>
    <w:rsid w:val="002C493D"/>
    <w:rsid w:val="002C5261"/>
    <w:rsid w:val="002C6091"/>
    <w:rsid w:val="002D0562"/>
    <w:rsid w:val="002D1B5A"/>
    <w:rsid w:val="002D2500"/>
    <w:rsid w:val="002D338A"/>
    <w:rsid w:val="002D3F00"/>
    <w:rsid w:val="002D4D59"/>
    <w:rsid w:val="002D54BF"/>
    <w:rsid w:val="002D5E94"/>
    <w:rsid w:val="002D632D"/>
    <w:rsid w:val="002D6FC7"/>
    <w:rsid w:val="002E02A1"/>
    <w:rsid w:val="002E0982"/>
    <w:rsid w:val="002E0DB9"/>
    <w:rsid w:val="002E2CE4"/>
    <w:rsid w:val="002E34F3"/>
    <w:rsid w:val="002E435E"/>
    <w:rsid w:val="002E73F2"/>
    <w:rsid w:val="002F33FB"/>
    <w:rsid w:val="002F663A"/>
    <w:rsid w:val="002F68A4"/>
    <w:rsid w:val="002F7594"/>
    <w:rsid w:val="00300D6F"/>
    <w:rsid w:val="00301357"/>
    <w:rsid w:val="00301D04"/>
    <w:rsid w:val="003035D4"/>
    <w:rsid w:val="00303DCB"/>
    <w:rsid w:val="00304771"/>
    <w:rsid w:val="00305736"/>
    <w:rsid w:val="00306C5B"/>
    <w:rsid w:val="00306E3B"/>
    <w:rsid w:val="003119B6"/>
    <w:rsid w:val="00312C3D"/>
    <w:rsid w:val="00314331"/>
    <w:rsid w:val="00317E31"/>
    <w:rsid w:val="00320214"/>
    <w:rsid w:val="003209D6"/>
    <w:rsid w:val="0032109A"/>
    <w:rsid w:val="0032214F"/>
    <w:rsid w:val="00322164"/>
    <w:rsid w:val="00323CF7"/>
    <w:rsid w:val="00323E61"/>
    <w:rsid w:val="0032513D"/>
    <w:rsid w:val="00326251"/>
    <w:rsid w:val="0032739C"/>
    <w:rsid w:val="00327DEE"/>
    <w:rsid w:val="003302DA"/>
    <w:rsid w:val="00330EB0"/>
    <w:rsid w:val="0033229B"/>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51B63"/>
    <w:rsid w:val="00352E57"/>
    <w:rsid w:val="003541B0"/>
    <w:rsid w:val="0035457E"/>
    <w:rsid w:val="00355885"/>
    <w:rsid w:val="0035605E"/>
    <w:rsid w:val="00357449"/>
    <w:rsid w:val="0036238B"/>
    <w:rsid w:val="003651A4"/>
    <w:rsid w:val="00365680"/>
    <w:rsid w:val="003657F3"/>
    <w:rsid w:val="00366D4D"/>
    <w:rsid w:val="00367038"/>
    <w:rsid w:val="00370963"/>
    <w:rsid w:val="0037144E"/>
    <w:rsid w:val="003736B5"/>
    <w:rsid w:val="00374F1E"/>
    <w:rsid w:val="00376DEC"/>
    <w:rsid w:val="00377200"/>
    <w:rsid w:val="0038034A"/>
    <w:rsid w:val="00380E04"/>
    <w:rsid w:val="00380E6C"/>
    <w:rsid w:val="00383227"/>
    <w:rsid w:val="003839C9"/>
    <w:rsid w:val="00384D8F"/>
    <w:rsid w:val="00385D98"/>
    <w:rsid w:val="00385EC5"/>
    <w:rsid w:val="0038658E"/>
    <w:rsid w:val="0039066E"/>
    <w:rsid w:val="00391C95"/>
    <w:rsid w:val="00392110"/>
    <w:rsid w:val="00394D49"/>
    <w:rsid w:val="00396DAC"/>
    <w:rsid w:val="003A0214"/>
    <w:rsid w:val="003A027D"/>
    <w:rsid w:val="003A1D74"/>
    <w:rsid w:val="003A2B4D"/>
    <w:rsid w:val="003A2D2B"/>
    <w:rsid w:val="003A2DD4"/>
    <w:rsid w:val="003A3B1C"/>
    <w:rsid w:val="003A4088"/>
    <w:rsid w:val="003A478C"/>
    <w:rsid w:val="003A4F82"/>
    <w:rsid w:val="003A5525"/>
    <w:rsid w:val="003A6B38"/>
    <w:rsid w:val="003B2580"/>
    <w:rsid w:val="003B2E63"/>
    <w:rsid w:val="003B3189"/>
    <w:rsid w:val="003B3A9D"/>
    <w:rsid w:val="003B3DDD"/>
    <w:rsid w:val="003B5031"/>
    <w:rsid w:val="003B5A32"/>
    <w:rsid w:val="003B6105"/>
    <w:rsid w:val="003C03CC"/>
    <w:rsid w:val="003C04C4"/>
    <w:rsid w:val="003C26F4"/>
    <w:rsid w:val="003C3686"/>
    <w:rsid w:val="003C4852"/>
    <w:rsid w:val="003C5BC7"/>
    <w:rsid w:val="003C601E"/>
    <w:rsid w:val="003C66C4"/>
    <w:rsid w:val="003D2C4E"/>
    <w:rsid w:val="003D3600"/>
    <w:rsid w:val="003D3825"/>
    <w:rsid w:val="003D3EC4"/>
    <w:rsid w:val="003D4760"/>
    <w:rsid w:val="003D49DC"/>
    <w:rsid w:val="003D4DD9"/>
    <w:rsid w:val="003D5D7A"/>
    <w:rsid w:val="003D653F"/>
    <w:rsid w:val="003E0663"/>
    <w:rsid w:val="003E133F"/>
    <w:rsid w:val="003E49F6"/>
    <w:rsid w:val="003E699C"/>
    <w:rsid w:val="003E69F3"/>
    <w:rsid w:val="003E782E"/>
    <w:rsid w:val="003E7A0B"/>
    <w:rsid w:val="003E7B2B"/>
    <w:rsid w:val="003F181F"/>
    <w:rsid w:val="003F1A48"/>
    <w:rsid w:val="003F1E23"/>
    <w:rsid w:val="003F22F6"/>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50D7"/>
    <w:rsid w:val="004078BD"/>
    <w:rsid w:val="00410132"/>
    <w:rsid w:val="00410BCD"/>
    <w:rsid w:val="00410DE5"/>
    <w:rsid w:val="0041175D"/>
    <w:rsid w:val="004117CE"/>
    <w:rsid w:val="004123BE"/>
    <w:rsid w:val="00414CE5"/>
    <w:rsid w:val="00416673"/>
    <w:rsid w:val="0042160D"/>
    <w:rsid w:val="00423A3C"/>
    <w:rsid w:val="0042681B"/>
    <w:rsid w:val="00427193"/>
    <w:rsid w:val="0043068A"/>
    <w:rsid w:val="004306E0"/>
    <w:rsid w:val="00431D54"/>
    <w:rsid w:val="004329BE"/>
    <w:rsid w:val="00432C38"/>
    <w:rsid w:val="004342EC"/>
    <w:rsid w:val="00437C76"/>
    <w:rsid w:val="0044105C"/>
    <w:rsid w:val="00443E95"/>
    <w:rsid w:val="004441A0"/>
    <w:rsid w:val="00444268"/>
    <w:rsid w:val="00444326"/>
    <w:rsid w:val="004443BF"/>
    <w:rsid w:val="00444C19"/>
    <w:rsid w:val="00445218"/>
    <w:rsid w:val="00445CDD"/>
    <w:rsid w:val="00446892"/>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9FD"/>
    <w:rsid w:val="00462AD2"/>
    <w:rsid w:val="00463B4B"/>
    <w:rsid w:val="00463F4D"/>
    <w:rsid w:val="0046471F"/>
    <w:rsid w:val="00464BE8"/>
    <w:rsid w:val="00465019"/>
    <w:rsid w:val="00465FA4"/>
    <w:rsid w:val="0046613F"/>
    <w:rsid w:val="0046655D"/>
    <w:rsid w:val="00466AAE"/>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3053"/>
    <w:rsid w:val="00484874"/>
    <w:rsid w:val="00485230"/>
    <w:rsid w:val="004879E9"/>
    <w:rsid w:val="00487F81"/>
    <w:rsid w:val="00490247"/>
    <w:rsid w:val="0049104F"/>
    <w:rsid w:val="00491218"/>
    <w:rsid w:val="00491CFD"/>
    <w:rsid w:val="00493362"/>
    <w:rsid w:val="00494343"/>
    <w:rsid w:val="00496C2F"/>
    <w:rsid w:val="0049740D"/>
    <w:rsid w:val="004978D3"/>
    <w:rsid w:val="004A11F8"/>
    <w:rsid w:val="004A22BD"/>
    <w:rsid w:val="004A22FA"/>
    <w:rsid w:val="004A269A"/>
    <w:rsid w:val="004A30FB"/>
    <w:rsid w:val="004A35DD"/>
    <w:rsid w:val="004A37D3"/>
    <w:rsid w:val="004A3AD6"/>
    <w:rsid w:val="004A5865"/>
    <w:rsid w:val="004A77DF"/>
    <w:rsid w:val="004B0295"/>
    <w:rsid w:val="004B0803"/>
    <w:rsid w:val="004B10A8"/>
    <w:rsid w:val="004B22DA"/>
    <w:rsid w:val="004B3CB7"/>
    <w:rsid w:val="004B3D55"/>
    <w:rsid w:val="004B55B7"/>
    <w:rsid w:val="004B5836"/>
    <w:rsid w:val="004B5F05"/>
    <w:rsid w:val="004C00A6"/>
    <w:rsid w:val="004C0BBB"/>
    <w:rsid w:val="004C1AD6"/>
    <w:rsid w:val="004C1B86"/>
    <w:rsid w:val="004C3382"/>
    <w:rsid w:val="004C3867"/>
    <w:rsid w:val="004C4AB7"/>
    <w:rsid w:val="004C4B88"/>
    <w:rsid w:val="004C4CD0"/>
    <w:rsid w:val="004C57B5"/>
    <w:rsid w:val="004C5C25"/>
    <w:rsid w:val="004C6717"/>
    <w:rsid w:val="004C6CFF"/>
    <w:rsid w:val="004C70DC"/>
    <w:rsid w:val="004C7268"/>
    <w:rsid w:val="004D0211"/>
    <w:rsid w:val="004D1C9C"/>
    <w:rsid w:val="004D458D"/>
    <w:rsid w:val="004D504B"/>
    <w:rsid w:val="004D536E"/>
    <w:rsid w:val="004D76CC"/>
    <w:rsid w:val="004E1839"/>
    <w:rsid w:val="004E4A75"/>
    <w:rsid w:val="004E541A"/>
    <w:rsid w:val="004E5A5C"/>
    <w:rsid w:val="004E7007"/>
    <w:rsid w:val="004E76D6"/>
    <w:rsid w:val="004E7F57"/>
    <w:rsid w:val="004F06F5"/>
    <w:rsid w:val="004F191F"/>
    <w:rsid w:val="004F2A4D"/>
    <w:rsid w:val="004F2A73"/>
    <w:rsid w:val="004F33A0"/>
    <w:rsid w:val="004F4353"/>
    <w:rsid w:val="004F447D"/>
    <w:rsid w:val="004F4C28"/>
    <w:rsid w:val="004F4E82"/>
    <w:rsid w:val="004F5470"/>
    <w:rsid w:val="004F5CC5"/>
    <w:rsid w:val="004F6350"/>
    <w:rsid w:val="005028E1"/>
    <w:rsid w:val="0050692E"/>
    <w:rsid w:val="00507040"/>
    <w:rsid w:val="005079F8"/>
    <w:rsid w:val="00510189"/>
    <w:rsid w:val="005108C0"/>
    <w:rsid w:val="00511873"/>
    <w:rsid w:val="0051367B"/>
    <w:rsid w:val="00513B7E"/>
    <w:rsid w:val="005140DE"/>
    <w:rsid w:val="00514474"/>
    <w:rsid w:val="005147E9"/>
    <w:rsid w:val="0051778E"/>
    <w:rsid w:val="005215EF"/>
    <w:rsid w:val="00524637"/>
    <w:rsid w:val="00524FDD"/>
    <w:rsid w:val="00525137"/>
    <w:rsid w:val="005251DD"/>
    <w:rsid w:val="00526DB6"/>
    <w:rsid w:val="0053017A"/>
    <w:rsid w:val="00530492"/>
    <w:rsid w:val="00532854"/>
    <w:rsid w:val="005350F2"/>
    <w:rsid w:val="00535152"/>
    <w:rsid w:val="00535359"/>
    <w:rsid w:val="005357A2"/>
    <w:rsid w:val="005359E3"/>
    <w:rsid w:val="00535D87"/>
    <w:rsid w:val="00535EF0"/>
    <w:rsid w:val="005363DF"/>
    <w:rsid w:val="0053734B"/>
    <w:rsid w:val="005375B1"/>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7703D"/>
    <w:rsid w:val="0058366F"/>
    <w:rsid w:val="00583D5B"/>
    <w:rsid w:val="00583FFD"/>
    <w:rsid w:val="00587CCD"/>
    <w:rsid w:val="005908AE"/>
    <w:rsid w:val="0059176E"/>
    <w:rsid w:val="00592854"/>
    <w:rsid w:val="00593152"/>
    <w:rsid w:val="00593CA3"/>
    <w:rsid w:val="00594161"/>
    <w:rsid w:val="00594969"/>
    <w:rsid w:val="00594B91"/>
    <w:rsid w:val="00596C5E"/>
    <w:rsid w:val="005A2194"/>
    <w:rsid w:val="005A21E0"/>
    <w:rsid w:val="005A33A1"/>
    <w:rsid w:val="005A54EE"/>
    <w:rsid w:val="005A563B"/>
    <w:rsid w:val="005A7500"/>
    <w:rsid w:val="005A77E4"/>
    <w:rsid w:val="005B1BDB"/>
    <w:rsid w:val="005B2BAA"/>
    <w:rsid w:val="005B2D53"/>
    <w:rsid w:val="005B3247"/>
    <w:rsid w:val="005B3409"/>
    <w:rsid w:val="005B498A"/>
    <w:rsid w:val="005B7B12"/>
    <w:rsid w:val="005C16CB"/>
    <w:rsid w:val="005C21D6"/>
    <w:rsid w:val="005C3F9F"/>
    <w:rsid w:val="005C406F"/>
    <w:rsid w:val="005C4A23"/>
    <w:rsid w:val="005C562C"/>
    <w:rsid w:val="005C5812"/>
    <w:rsid w:val="005C6400"/>
    <w:rsid w:val="005C7F1E"/>
    <w:rsid w:val="005D25B4"/>
    <w:rsid w:val="005D374F"/>
    <w:rsid w:val="005D5802"/>
    <w:rsid w:val="005D6CFC"/>
    <w:rsid w:val="005D73E2"/>
    <w:rsid w:val="005D757A"/>
    <w:rsid w:val="005D7C4B"/>
    <w:rsid w:val="005E1E4B"/>
    <w:rsid w:val="005E362D"/>
    <w:rsid w:val="005E3A0C"/>
    <w:rsid w:val="005E3FAC"/>
    <w:rsid w:val="005E492C"/>
    <w:rsid w:val="005E4BAA"/>
    <w:rsid w:val="005E52EF"/>
    <w:rsid w:val="005E5B56"/>
    <w:rsid w:val="005E6088"/>
    <w:rsid w:val="005E61DF"/>
    <w:rsid w:val="005E6B65"/>
    <w:rsid w:val="005E6B78"/>
    <w:rsid w:val="005E75B8"/>
    <w:rsid w:val="005F0976"/>
    <w:rsid w:val="005F26CE"/>
    <w:rsid w:val="005F4057"/>
    <w:rsid w:val="005F4088"/>
    <w:rsid w:val="005F4C83"/>
    <w:rsid w:val="005F601D"/>
    <w:rsid w:val="005F6119"/>
    <w:rsid w:val="005F7940"/>
    <w:rsid w:val="0060107A"/>
    <w:rsid w:val="00601AFF"/>
    <w:rsid w:val="00602D1D"/>
    <w:rsid w:val="00604307"/>
    <w:rsid w:val="0060487F"/>
    <w:rsid w:val="00605814"/>
    <w:rsid w:val="00606B93"/>
    <w:rsid w:val="00607727"/>
    <w:rsid w:val="00610BD5"/>
    <w:rsid w:val="00611363"/>
    <w:rsid w:val="00611531"/>
    <w:rsid w:val="006118AA"/>
    <w:rsid w:val="006139C7"/>
    <w:rsid w:val="006153E3"/>
    <w:rsid w:val="006167AB"/>
    <w:rsid w:val="00617D2D"/>
    <w:rsid w:val="00617D83"/>
    <w:rsid w:val="00620430"/>
    <w:rsid w:val="00620AC5"/>
    <w:rsid w:val="00621575"/>
    <w:rsid w:val="006215FC"/>
    <w:rsid w:val="00624093"/>
    <w:rsid w:val="00630F66"/>
    <w:rsid w:val="00631FC2"/>
    <w:rsid w:val="00632171"/>
    <w:rsid w:val="0063332A"/>
    <w:rsid w:val="006347F9"/>
    <w:rsid w:val="0063494E"/>
    <w:rsid w:val="00634C90"/>
    <w:rsid w:val="00635E79"/>
    <w:rsid w:val="00636E5E"/>
    <w:rsid w:val="006379E0"/>
    <w:rsid w:val="006404A7"/>
    <w:rsid w:val="006407F3"/>
    <w:rsid w:val="006408EC"/>
    <w:rsid w:val="0064129B"/>
    <w:rsid w:val="00641DF7"/>
    <w:rsid w:val="00643A80"/>
    <w:rsid w:val="00644DFC"/>
    <w:rsid w:val="006451E4"/>
    <w:rsid w:val="006454B4"/>
    <w:rsid w:val="00645A9C"/>
    <w:rsid w:val="006460B8"/>
    <w:rsid w:val="006504A0"/>
    <w:rsid w:val="006520C7"/>
    <w:rsid w:val="006520D5"/>
    <w:rsid w:val="00652CBB"/>
    <w:rsid w:val="006530B8"/>
    <w:rsid w:val="006535D6"/>
    <w:rsid w:val="00656716"/>
    <w:rsid w:val="006572ED"/>
    <w:rsid w:val="00657E87"/>
    <w:rsid w:val="00660457"/>
    <w:rsid w:val="00660CB4"/>
    <w:rsid w:val="00660E1E"/>
    <w:rsid w:val="006637B1"/>
    <w:rsid w:val="00664B64"/>
    <w:rsid w:val="00665D67"/>
    <w:rsid w:val="00665D77"/>
    <w:rsid w:val="006660CD"/>
    <w:rsid w:val="00666EC8"/>
    <w:rsid w:val="00666F4B"/>
    <w:rsid w:val="006676D0"/>
    <w:rsid w:val="0066796E"/>
    <w:rsid w:val="00670FAC"/>
    <w:rsid w:val="006710C9"/>
    <w:rsid w:val="006716A5"/>
    <w:rsid w:val="00675E37"/>
    <w:rsid w:val="006764ED"/>
    <w:rsid w:val="00676AFC"/>
    <w:rsid w:val="00676F11"/>
    <w:rsid w:val="00680079"/>
    <w:rsid w:val="00680F68"/>
    <w:rsid w:val="0068260E"/>
    <w:rsid w:val="0068373D"/>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568F"/>
    <w:rsid w:val="006A65EF"/>
    <w:rsid w:val="006A672B"/>
    <w:rsid w:val="006B23A9"/>
    <w:rsid w:val="006B281D"/>
    <w:rsid w:val="006B3F8A"/>
    <w:rsid w:val="006B5CA3"/>
    <w:rsid w:val="006B6B3B"/>
    <w:rsid w:val="006B7248"/>
    <w:rsid w:val="006B7714"/>
    <w:rsid w:val="006B78D8"/>
    <w:rsid w:val="006C090F"/>
    <w:rsid w:val="006C0935"/>
    <w:rsid w:val="006C0BCE"/>
    <w:rsid w:val="006C113F"/>
    <w:rsid w:val="006C2AED"/>
    <w:rsid w:val="006C38DD"/>
    <w:rsid w:val="006C457F"/>
    <w:rsid w:val="006C53C7"/>
    <w:rsid w:val="006C5577"/>
    <w:rsid w:val="006C559A"/>
    <w:rsid w:val="006C58FA"/>
    <w:rsid w:val="006D042D"/>
    <w:rsid w:val="006D06EF"/>
    <w:rsid w:val="006D142E"/>
    <w:rsid w:val="006D4497"/>
    <w:rsid w:val="006D4E6F"/>
    <w:rsid w:val="006D61F6"/>
    <w:rsid w:val="006E0EB0"/>
    <w:rsid w:val="006E1F4C"/>
    <w:rsid w:val="006E22C8"/>
    <w:rsid w:val="006E279A"/>
    <w:rsid w:val="006E2F3F"/>
    <w:rsid w:val="006E313B"/>
    <w:rsid w:val="006E442A"/>
    <w:rsid w:val="006E4434"/>
    <w:rsid w:val="006E59FC"/>
    <w:rsid w:val="006E5CFD"/>
    <w:rsid w:val="006E7E2C"/>
    <w:rsid w:val="006F1326"/>
    <w:rsid w:val="006F2BEE"/>
    <w:rsid w:val="006F3708"/>
    <w:rsid w:val="006F3E6B"/>
    <w:rsid w:val="006F4619"/>
    <w:rsid w:val="006F4A59"/>
    <w:rsid w:val="00700232"/>
    <w:rsid w:val="007014C7"/>
    <w:rsid w:val="00702D6F"/>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4666"/>
    <w:rsid w:val="00725492"/>
    <w:rsid w:val="00726043"/>
    <w:rsid w:val="0072704A"/>
    <w:rsid w:val="00730AE8"/>
    <w:rsid w:val="007315DA"/>
    <w:rsid w:val="00731963"/>
    <w:rsid w:val="00734321"/>
    <w:rsid w:val="0073532E"/>
    <w:rsid w:val="00740310"/>
    <w:rsid w:val="00740652"/>
    <w:rsid w:val="00740F02"/>
    <w:rsid w:val="00740FEC"/>
    <w:rsid w:val="0074132E"/>
    <w:rsid w:val="00741493"/>
    <w:rsid w:val="007426B3"/>
    <w:rsid w:val="007426FD"/>
    <w:rsid w:val="0074329D"/>
    <w:rsid w:val="00744376"/>
    <w:rsid w:val="007449EA"/>
    <w:rsid w:val="00744D00"/>
    <w:rsid w:val="00744D2B"/>
    <w:rsid w:val="00745273"/>
    <w:rsid w:val="00746DD9"/>
    <w:rsid w:val="0075057A"/>
    <w:rsid w:val="00751771"/>
    <w:rsid w:val="00751C1C"/>
    <w:rsid w:val="00752180"/>
    <w:rsid w:val="007521A1"/>
    <w:rsid w:val="00752BC3"/>
    <w:rsid w:val="0075315D"/>
    <w:rsid w:val="007538F9"/>
    <w:rsid w:val="00754253"/>
    <w:rsid w:val="007552BB"/>
    <w:rsid w:val="007558D3"/>
    <w:rsid w:val="007559D7"/>
    <w:rsid w:val="00755D3A"/>
    <w:rsid w:val="00760141"/>
    <w:rsid w:val="007609C6"/>
    <w:rsid w:val="007610A0"/>
    <w:rsid w:val="00762036"/>
    <w:rsid w:val="007620F2"/>
    <w:rsid w:val="00762EBA"/>
    <w:rsid w:val="0076359D"/>
    <w:rsid w:val="0077058D"/>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1804"/>
    <w:rsid w:val="00791CF8"/>
    <w:rsid w:val="00791EF9"/>
    <w:rsid w:val="00792262"/>
    <w:rsid w:val="00793387"/>
    <w:rsid w:val="00793BAE"/>
    <w:rsid w:val="00794E0A"/>
    <w:rsid w:val="00796642"/>
    <w:rsid w:val="007A11D9"/>
    <w:rsid w:val="007A327B"/>
    <w:rsid w:val="007A4048"/>
    <w:rsid w:val="007A45B1"/>
    <w:rsid w:val="007A4606"/>
    <w:rsid w:val="007B0D67"/>
    <w:rsid w:val="007B1966"/>
    <w:rsid w:val="007B2779"/>
    <w:rsid w:val="007B3DCC"/>
    <w:rsid w:val="007B4518"/>
    <w:rsid w:val="007B5031"/>
    <w:rsid w:val="007B573F"/>
    <w:rsid w:val="007B78F8"/>
    <w:rsid w:val="007C0065"/>
    <w:rsid w:val="007C010B"/>
    <w:rsid w:val="007C3AE3"/>
    <w:rsid w:val="007C605B"/>
    <w:rsid w:val="007D2A5A"/>
    <w:rsid w:val="007D2AD8"/>
    <w:rsid w:val="007D2C47"/>
    <w:rsid w:val="007D2F81"/>
    <w:rsid w:val="007D3167"/>
    <w:rsid w:val="007D4128"/>
    <w:rsid w:val="007D4281"/>
    <w:rsid w:val="007D42F5"/>
    <w:rsid w:val="007D44C3"/>
    <w:rsid w:val="007D5947"/>
    <w:rsid w:val="007D65C1"/>
    <w:rsid w:val="007E030F"/>
    <w:rsid w:val="007E0E59"/>
    <w:rsid w:val="007E0F4B"/>
    <w:rsid w:val="007E3715"/>
    <w:rsid w:val="007E7E61"/>
    <w:rsid w:val="007F0845"/>
    <w:rsid w:val="007F16F9"/>
    <w:rsid w:val="007F3E3E"/>
    <w:rsid w:val="007F42E0"/>
    <w:rsid w:val="007F500D"/>
    <w:rsid w:val="007F5F14"/>
    <w:rsid w:val="007F7B54"/>
    <w:rsid w:val="00800073"/>
    <w:rsid w:val="008005D7"/>
    <w:rsid w:val="00801FDD"/>
    <w:rsid w:val="008020C2"/>
    <w:rsid w:val="0080255C"/>
    <w:rsid w:val="00806088"/>
    <w:rsid w:val="00806D07"/>
    <w:rsid w:val="0081019B"/>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ED1"/>
    <w:rsid w:val="00827181"/>
    <w:rsid w:val="0082733C"/>
    <w:rsid w:val="00827746"/>
    <w:rsid w:val="0083102D"/>
    <w:rsid w:val="0083143E"/>
    <w:rsid w:val="0083159D"/>
    <w:rsid w:val="008318FF"/>
    <w:rsid w:val="00832187"/>
    <w:rsid w:val="00832493"/>
    <w:rsid w:val="008329BD"/>
    <w:rsid w:val="008336D8"/>
    <w:rsid w:val="008339C4"/>
    <w:rsid w:val="00834F0A"/>
    <w:rsid w:val="00834FAA"/>
    <w:rsid w:val="00835181"/>
    <w:rsid w:val="00835991"/>
    <w:rsid w:val="00836086"/>
    <w:rsid w:val="00840699"/>
    <w:rsid w:val="00841D9F"/>
    <w:rsid w:val="00842604"/>
    <w:rsid w:val="00843ECF"/>
    <w:rsid w:val="00845AB1"/>
    <w:rsid w:val="00846673"/>
    <w:rsid w:val="0085281A"/>
    <w:rsid w:val="00853F33"/>
    <w:rsid w:val="008559FE"/>
    <w:rsid w:val="00857339"/>
    <w:rsid w:val="00860706"/>
    <w:rsid w:val="00862A7A"/>
    <w:rsid w:val="00863104"/>
    <w:rsid w:val="008636CD"/>
    <w:rsid w:val="00863702"/>
    <w:rsid w:val="00863D9E"/>
    <w:rsid w:val="00863FDC"/>
    <w:rsid w:val="008642AF"/>
    <w:rsid w:val="00865729"/>
    <w:rsid w:val="00865ED4"/>
    <w:rsid w:val="008669A7"/>
    <w:rsid w:val="00867464"/>
    <w:rsid w:val="00867E29"/>
    <w:rsid w:val="00870F2B"/>
    <w:rsid w:val="00873B2E"/>
    <w:rsid w:val="008746E6"/>
    <w:rsid w:val="0087594C"/>
    <w:rsid w:val="00876086"/>
    <w:rsid w:val="008765FA"/>
    <w:rsid w:val="008768D6"/>
    <w:rsid w:val="008775D1"/>
    <w:rsid w:val="008777BB"/>
    <w:rsid w:val="00877D68"/>
    <w:rsid w:val="00877E5D"/>
    <w:rsid w:val="00880150"/>
    <w:rsid w:val="00880ABA"/>
    <w:rsid w:val="00883A67"/>
    <w:rsid w:val="00883D45"/>
    <w:rsid w:val="00884D69"/>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FC9"/>
    <w:rsid w:val="008B531F"/>
    <w:rsid w:val="008B54A3"/>
    <w:rsid w:val="008B6B67"/>
    <w:rsid w:val="008B7306"/>
    <w:rsid w:val="008B775F"/>
    <w:rsid w:val="008B7C02"/>
    <w:rsid w:val="008B7D13"/>
    <w:rsid w:val="008B7F9E"/>
    <w:rsid w:val="008C034E"/>
    <w:rsid w:val="008C0E88"/>
    <w:rsid w:val="008C1399"/>
    <w:rsid w:val="008C1AA8"/>
    <w:rsid w:val="008C22A8"/>
    <w:rsid w:val="008C5B43"/>
    <w:rsid w:val="008C63FD"/>
    <w:rsid w:val="008C6CB8"/>
    <w:rsid w:val="008C7815"/>
    <w:rsid w:val="008C7A07"/>
    <w:rsid w:val="008C7EB3"/>
    <w:rsid w:val="008D0171"/>
    <w:rsid w:val="008D13EA"/>
    <w:rsid w:val="008D2671"/>
    <w:rsid w:val="008D2A16"/>
    <w:rsid w:val="008D2ECF"/>
    <w:rsid w:val="008D347D"/>
    <w:rsid w:val="008D3F3D"/>
    <w:rsid w:val="008D4376"/>
    <w:rsid w:val="008E0367"/>
    <w:rsid w:val="008E308D"/>
    <w:rsid w:val="008E31FF"/>
    <w:rsid w:val="008E46A3"/>
    <w:rsid w:val="008E5DE6"/>
    <w:rsid w:val="008E6113"/>
    <w:rsid w:val="008E6AB3"/>
    <w:rsid w:val="008E6AD3"/>
    <w:rsid w:val="008E71A6"/>
    <w:rsid w:val="008E77B6"/>
    <w:rsid w:val="008E7C55"/>
    <w:rsid w:val="008F032E"/>
    <w:rsid w:val="008F0F14"/>
    <w:rsid w:val="008F2F44"/>
    <w:rsid w:val="008F4FCE"/>
    <w:rsid w:val="008F5301"/>
    <w:rsid w:val="008F6967"/>
    <w:rsid w:val="008F6A0C"/>
    <w:rsid w:val="008F6F38"/>
    <w:rsid w:val="008F7721"/>
    <w:rsid w:val="008F7D28"/>
    <w:rsid w:val="009003A8"/>
    <w:rsid w:val="009010A7"/>
    <w:rsid w:val="009010E3"/>
    <w:rsid w:val="00901AF3"/>
    <w:rsid w:val="00902CBE"/>
    <w:rsid w:val="00902D74"/>
    <w:rsid w:val="00902EFF"/>
    <w:rsid w:val="00903E06"/>
    <w:rsid w:val="00904B9D"/>
    <w:rsid w:val="00905A11"/>
    <w:rsid w:val="009066E1"/>
    <w:rsid w:val="00907A41"/>
    <w:rsid w:val="009102BD"/>
    <w:rsid w:val="00910F93"/>
    <w:rsid w:val="0091255A"/>
    <w:rsid w:val="00914426"/>
    <w:rsid w:val="0091675F"/>
    <w:rsid w:val="00917709"/>
    <w:rsid w:val="00917918"/>
    <w:rsid w:val="00920874"/>
    <w:rsid w:val="00921F14"/>
    <w:rsid w:val="00923750"/>
    <w:rsid w:val="009243A5"/>
    <w:rsid w:val="0092500F"/>
    <w:rsid w:val="009250D2"/>
    <w:rsid w:val="0092519D"/>
    <w:rsid w:val="0092540B"/>
    <w:rsid w:val="009256C5"/>
    <w:rsid w:val="00926283"/>
    <w:rsid w:val="009306BE"/>
    <w:rsid w:val="00937B11"/>
    <w:rsid w:val="00940F1F"/>
    <w:rsid w:val="00941250"/>
    <w:rsid w:val="0094427A"/>
    <w:rsid w:val="00944380"/>
    <w:rsid w:val="009459C5"/>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700DB"/>
    <w:rsid w:val="00971DC6"/>
    <w:rsid w:val="00972263"/>
    <w:rsid w:val="00972502"/>
    <w:rsid w:val="00972D8D"/>
    <w:rsid w:val="00973AAE"/>
    <w:rsid w:val="0097476C"/>
    <w:rsid w:val="00974923"/>
    <w:rsid w:val="00974D48"/>
    <w:rsid w:val="00974D5F"/>
    <w:rsid w:val="00975017"/>
    <w:rsid w:val="009759DF"/>
    <w:rsid w:val="00980373"/>
    <w:rsid w:val="00980621"/>
    <w:rsid w:val="0098095B"/>
    <w:rsid w:val="00982072"/>
    <w:rsid w:val="009833FA"/>
    <w:rsid w:val="00983DBB"/>
    <w:rsid w:val="00983ECF"/>
    <w:rsid w:val="00986745"/>
    <w:rsid w:val="009867BC"/>
    <w:rsid w:val="00987109"/>
    <w:rsid w:val="00987309"/>
    <w:rsid w:val="0099012D"/>
    <w:rsid w:val="00990363"/>
    <w:rsid w:val="009954FF"/>
    <w:rsid w:val="00995E2F"/>
    <w:rsid w:val="009961BC"/>
    <w:rsid w:val="00996355"/>
    <w:rsid w:val="009A2014"/>
    <w:rsid w:val="009A3A87"/>
    <w:rsid w:val="009A4E12"/>
    <w:rsid w:val="009A5C68"/>
    <w:rsid w:val="009A6EF7"/>
    <w:rsid w:val="009B04D0"/>
    <w:rsid w:val="009B052C"/>
    <w:rsid w:val="009B0EF2"/>
    <w:rsid w:val="009B23A3"/>
    <w:rsid w:val="009B2C0E"/>
    <w:rsid w:val="009B4925"/>
    <w:rsid w:val="009B4B4B"/>
    <w:rsid w:val="009B6FD3"/>
    <w:rsid w:val="009B70BD"/>
    <w:rsid w:val="009C07A5"/>
    <w:rsid w:val="009C3705"/>
    <w:rsid w:val="009C7388"/>
    <w:rsid w:val="009D0CFF"/>
    <w:rsid w:val="009D1551"/>
    <w:rsid w:val="009D2859"/>
    <w:rsid w:val="009D36EC"/>
    <w:rsid w:val="009D4173"/>
    <w:rsid w:val="009D6095"/>
    <w:rsid w:val="009D6306"/>
    <w:rsid w:val="009E048A"/>
    <w:rsid w:val="009E1FBA"/>
    <w:rsid w:val="009E2C54"/>
    <w:rsid w:val="009E3710"/>
    <w:rsid w:val="009E6F65"/>
    <w:rsid w:val="009E7340"/>
    <w:rsid w:val="009E7B1F"/>
    <w:rsid w:val="009F3FC3"/>
    <w:rsid w:val="009F41C4"/>
    <w:rsid w:val="009F5846"/>
    <w:rsid w:val="009F63D2"/>
    <w:rsid w:val="009F7B52"/>
    <w:rsid w:val="009F7D77"/>
    <w:rsid w:val="00A004D2"/>
    <w:rsid w:val="00A015EA"/>
    <w:rsid w:val="00A10D66"/>
    <w:rsid w:val="00A12BA8"/>
    <w:rsid w:val="00A13993"/>
    <w:rsid w:val="00A1420C"/>
    <w:rsid w:val="00A1456C"/>
    <w:rsid w:val="00A14821"/>
    <w:rsid w:val="00A17754"/>
    <w:rsid w:val="00A2055B"/>
    <w:rsid w:val="00A2253C"/>
    <w:rsid w:val="00A23545"/>
    <w:rsid w:val="00A23A55"/>
    <w:rsid w:val="00A23E43"/>
    <w:rsid w:val="00A23EF0"/>
    <w:rsid w:val="00A24F8C"/>
    <w:rsid w:val="00A262BF"/>
    <w:rsid w:val="00A271AD"/>
    <w:rsid w:val="00A276D5"/>
    <w:rsid w:val="00A30336"/>
    <w:rsid w:val="00A30BB5"/>
    <w:rsid w:val="00A3128F"/>
    <w:rsid w:val="00A326D0"/>
    <w:rsid w:val="00A35287"/>
    <w:rsid w:val="00A378F8"/>
    <w:rsid w:val="00A40B19"/>
    <w:rsid w:val="00A41D07"/>
    <w:rsid w:val="00A424F8"/>
    <w:rsid w:val="00A42883"/>
    <w:rsid w:val="00A437B7"/>
    <w:rsid w:val="00A46D48"/>
    <w:rsid w:val="00A46DE0"/>
    <w:rsid w:val="00A4778A"/>
    <w:rsid w:val="00A47C94"/>
    <w:rsid w:val="00A504C0"/>
    <w:rsid w:val="00A5067F"/>
    <w:rsid w:val="00A517C1"/>
    <w:rsid w:val="00A518E0"/>
    <w:rsid w:val="00A55301"/>
    <w:rsid w:val="00A572FB"/>
    <w:rsid w:val="00A57B3C"/>
    <w:rsid w:val="00A57F1B"/>
    <w:rsid w:val="00A600D2"/>
    <w:rsid w:val="00A6128E"/>
    <w:rsid w:val="00A62CE1"/>
    <w:rsid w:val="00A631FA"/>
    <w:rsid w:val="00A64203"/>
    <w:rsid w:val="00A64348"/>
    <w:rsid w:val="00A644E1"/>
    <w:rsid w:val="00A711B0"/>
    <w:rsid w:val="00A721FB"/>
    <w:rsid w:val="00A727BA"/>
    <w:rsid w:val="00A72D4B"/>
    <w:rsid w:val="00A732AE"/>
    <w:rsid w:val="00A75E40"/>
    <w:rsid w:val="00A77EB2"/>
    <w:rsid w:val="00A81094"/>
    <w:rsid w:val="00A82B66"/>
    <w:rsid w:val="00A83B58"/>
    <w:rsid w:val="00A84FAF"/>
    <w:rsid w:val="00A851B6"/>
    <w:rsid w:val="00A85729"/>
    <w:rsid w:val="00A8574B"/>
    <w:rsid w:val="00A857C0"/>
    <w:rsid w:val="00A90343"/>
    <w:rsid w:val="00A91336"/>
    <w:rsid w:val="00A9221C"/>
    <w:rsid w:val="00A94628"/>
    <w:rsid w:val="00A94954"/>
    <w:rsid w:val="00A96463"/>
    <w:rsid w:val="00A97E3F"/>
    <w:rsid w:val="00AA09D3"/>
    <w:rsid w:val="00AA23FB"/>
    <w:rsid w:val="00AA34FE"/>
    <w:rsid w:val="00AA42AB"/>
    <w:rsid w:val="00AA559A"/>
    <w:rsid w:val="00AA5F10"/>
    <w:rsid w:val="00AB104D"/>
    <w:rsid w:val="00AB1441"/>
    <w:rsid w:val="00AB2AF1"/>
    <w:rsid w:val="00AB440B"/>
    <w:rsid w:val="00AB47E3"/>
    <w:rsid w:val="00AB74C5"/>
    <w:rsid w:val="00AB7BEE"/>
    <w:rsid w:val="00AB7DF2"/>
    <w:rsid w:val="00AC1E3F"/>
    <w:rsid w:val="00AC219A"/>
    <w:rsid w:val="00AC4F18"/>
    <w:rsid w:val="00AD0B46"/>
    <w:rsid w:val="00AD1094"/>
    <w:rsid w:val="00AD2565"/>
    <w:rsid w:val="00AD306C"/>
    <w:rsid w:val="00AD3424"/>
    <w:rsid w:val="00AD50D1"/>
    <w:rsid w:val="00AD59BB"/>
    <w:rsid w:val="00AD5D68"/>
    <w:rsid w:val="00AD6C73"/>
    <w:rsid w:val="00AD7D49"/>
    <w:rsid w:val="00AE06D0"/>
    <w:rsid w:val="00AE1B8A"/>
    <w:rsid w:val="00AE39DC"/>
    <w:rsid w:val="00AE3CDA"/>
    <w:rsid w:val="00AE7968"/>
    <w:rsid w:val="00AE7B2B"/>
    <w:rsid w:val="00AE7DFF"/>
    <w:rsid w:val="00AF128B"/>
    <w:rsid w:val="00AF1AEA"/>
    <w:rsid w:val="00AF2852"/>
    <w:rsid w:val="00AF3225"/>
    <w:rsid w:val="00AF4983"/>
    <w:rsid w:val="00AF518B"/>
    <w:rsid w:val="00AF5275"/>
    <w:rsid w:val="00AF5D62"/>
    <w:rsid w:val="00AF6367"/>
    <w:rsid w:val="00AF6A79"/>
    <w:rsid w:val="00AF724E"/>
    <w:rsid w:val="00AF73A9"/>
    <w:rsid w:val="00B01436"/>
    <w:rsid w:val="00B01C2C"/>
    <w:rsid w:val="00B0231C"/>
    <w:rsid w:val="00B07C2A"/>
    <w:rsid w:val="00B13681"/>
    <w:rsid w:val="00B15DCD"/>
    <w:rsid w:val="00B17E71"/>
    <w:rsid w:val="00B17FDE"/>
    <w:rsid w:val="00B208FC"/>
    <w:rsid w:val="00B20C65"/>
    <w:rsid w:val="00B22E17"/>
    <w:rsid w:val="00B25567"/>
    <w:rsid w:val="00B266C5"/>
    <w:rsid w:val="00B27293"/>
    <w:rsid w:val="00B301BB"/>
    <w:rsid w:val="00B321E3"/>
    <w:rsid w:val="00B3229E"/>
    <w:rsid w:val="00B32DDB"/>
    <w:rsid w:val="00B34931"/>
    <w:rsid w:val="00B35174"/>
    <w:rsid w:val="00B35BEA"/>
    <w:rsid w:val="00B37915"/>
    <w:rsid w:val="00B3793D"/>
    <w:rsid w:val="00B41BE6"/>
    <w:rsid w:val="00B42831"/>
    <w:rsid w:val="00B428A4"/>
    <w:rsid w:val="00B457E7"/>
    <w:rsid w:val="00B45D1B"/>
    <w:rsid w:val="00B46D25"/>
    <w:rsid w:val="00B47430"/>
    <w:rsid w:val="00B47AC6"/>
    <w:rsid w:val="00B52D2D"/>
    <w:rsid w:val="00B534EF"/>
    <w:rsid w:val="00B55BA8"/>
    <w:rsid w:val="00B55F15"/>
    <w:rsid w:val="00B561A6"/>
    <w:rsid w:val="00B60062"/>
    <w:rsid w:val="00B62960"/>
    <w:rsid w:val="00B63A11"/>
    <w:rsid w:val="00B63FD0"/>
    <w:rsid w:val="00B65C84"/>
    <w:rsid w:val="00B6608F"/>
    <w:rsid w:val="00B74317"/>
    <w:rsid w:val="00B76D1E"/>
    <w:rsid w:val="00B77BC8"/>
    <w:rsid w:val="00B800EB"/>
    <w:rsid w:val="00B822D2"/>
    <w:rsid w:val="00B83D46"/>
    <w:rsid w:val="00B848B8"/>
    <w:rsid w:val="00B84A41"/>
    <w:rsid w:val="00B84D57"/>
    <w:rsid w:val="00B8504B"/>
    <w:rsid w:val="00B85689"/>
    <w:rsid w:val="00B86748"/>
    <w:rsid w:val="00B907EA"/>
    <w:rsid w:val="00B91EC9"/>
    <w:rsid w:val="00B924CA"/>
    <w:rsid w:val="00B92A4B"/>
    <w:rsid w:val="00B93384"/>
    <w:rsid w:val="00B93616"/>
    <w:rsid w:val="00B94417"/>
    <w:rsid w:val="00B95566"/>
    <w:rsid w:val="00B95940"/>
    <w:rsid w:val="00B95EF8"/>
    <w:rsid w:val="00B95F50"/>
    <w:rsid w:val="00B96BD9"/>
    <w:rsid w:val="00BB0274"/>
    <w:rsid w:val="00BB1CFD"/>
    <w:rsid w:val="00BB2C53"/>
    <w:rsid w:val="00BB32DA"/>
    <w:rsid w:val="00BB3A54"/>
    <w:rsid w:val="00BB4D26"/>
    <w:rsid w:val="00BB4E21"/>
    <w:rsid w:val="00BB7746"/>
    <w:rsid w:val="00BC22EB"/>
    <w:rsid w:val="00BC682B"/>
    <w:rsid w:val="00BC6B04"/>
    <w:rsid w:val="00BC6D27"/>
    <w:rsid w:val="00BD059A"/>
    <w:rsid w:val="00BD186B"/>
    <w:rsid w:val="00BD1EAC"/>
    <w:rsid w:val="00BD254C"/>
    <w:rsid w:val="00BD3428"/>
    <w:rsid w:val="00BD366B"/>
    <w:rsid w:val="00BD534C"/>
    <w:rsid w:val="00BD55A9"/>
    <w:rsid w:val="00BD56BC"/>
    <w:rsid w:val="00BD5D91"/>
    <w:rsid w:val="00BD6445"/>
    <w:rsid w:val="00BD6615"/>
    <w:rsid w:val="00BD6D50"/>
    <w:rsid w:val="00BE0D79"/>
    <w:rsid w:val="00BE0DB0"/>
    <w:rsid w:val="00BE3381"/>
    <w:rsid w:val="00BE3F09"/>
    <w:rsid w:val="00BE670A"/>
    <w:rsid w:val="00BE6906"/>
    <w:rsid w:val="00BF18F4"/>
    <w:rsid w:val="00BF1A69"/>
    <w:rsid w:val="00BF3BC8"/>
    <w:rsid w:val="00BF3DF1"/>
    <w:rsid w:val="00BF4C31"/>
    <w:rsid w:val="00BF4E57"/>
    <w:rsid w:val="00BF53B8"/>
    <w:rsid w:val="00BF786A"/>
    <w:rsid w:val="00BF7CB8"/>
    <w:rsid w:val="00C00F20"/>
    <w:rsid w:val="00C01700"/>
    <w:rsid w:val="00C034E6"/>
    <w:rsid w:val="00C05715"/>
    <w:rsid w:val="00C05926"/>
    <w:rsid w:val="00C0784A"/>
    <w:rsid w:val="00C10B28"/>
    <w:rsid w:val="00C10D62"/>
    <w:rsid w:val="00C10FAE"/>
    <w:rsid w:val="00C11DAF"/>
    <w:rsid w:val="00C123B4"/>
    <w:rsid w:val="00C12A69"/>
    <w:rsid w:val="00C13737"/>
    <w:rsid w:val="00C150BE"/>
    <w:rsid w:val="00C158B0"/>
    <w:rsid w:val="00C15A0C"/>
    <w:rsid w:val="00C15DCB"/>
    <w:rsid w:val="00C16208"/>
    <w:rsid w:val="00C1711F"/>
    <w:rsid w:val="00C17E38"/>
    <w:rsid w:val="00C20744"/>
    <w:rsid w:val="00C20B1C"/>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422D"/>
    <w:rsid w:val="00C476C5"/>
    <w:rsid w:val="00C503B0"/>
    <w:rsid w:val="00C511C2"/>
    <w:rsid w:val="00C527C6"/>
    <w:rsid w:val="00C53CDB"/>
    <w:rsid w:val="00C53D82"/>
    <w:rsid w:val="00C54748"/>
    <w:rsid w:val="00C575FB"/>
    <w:rsid w:val="00C60696"/>
    <w:rsid w:val="00C60943"/>
    <w:rsid w:val="00C60EEF"/>
    <w:rsid w:val="00C6121D"/>
    <w:rsid w:val="00C615F1"/>
    <w:rsid w:val="00C61627"/>
    <w:rsid w:val="00C63B1A"/>
    <w:rsid w:val="00C64E60"/>
    <w:rsid w:val="00C657A4"/>
    <w:rsid w:val="00C6736C"/>
    <w:rsid w:val="00C71A1D"/>
    <w:rsid w:val="00C71EC4"/>
    <w:rsid w:val="00C7591E"/>
    <w:rsid w:val="00C75C7E"/>
    <w:rsid w:val="00C75C9B"/>
    <w:rsid w:val="00C76D8E"/>
    <w:rsid w:val="00C77833"/>
    <w:rsid w:val="00C80C9B"/>
    <w:rsid w:val="00C8335E"/>
    <w:rsid w:val="00C83F9C"/>
    <w:rsid w:val="00C84CE3"/>
    <w:rsid w:val="00C85614"/>
    <w:rsid w:val="00C86127"/>
    <w:rsid w:val="00C90CF4"/>
    <w:rsid w:val="00C91C19"/>
    <w:rsid w:val="00C929A0"/>
    <w:rsid w:val="00C93389"/>
    <w:rsid w:val="00C937DB"/>
    <w:rsid w:val="00C94519"/>
    <w:rsid w:val="00C94E83"/>
    <w:rsid w:val="00C97038"/>
    <w:rsid w:val="00CA02B2"/>
    <w:rsid w:val="00CA0883"/>
    <w:rsid w:val="00CA1085"/>
    <w:rsid w:val="00CA140F"/>
    <w:rsid w:val="00CA25C2"/>
    <w:rsid w:val="00CA37BB"/>
    <w:rsid w:val="00CA37CA"/>
    <w:rsid w:val="00CA5724"/>
    <w:rsid w:val="00CA6508"/>
    <w:rsid w:val="00CA6BA1"/>
    <w:rsid w:val="00CA6CD5"/>
    <w:rsid w:val="00CB1910"/>
    <w:rsid w:val="00CB2150"/>
    <w:rsid w:val="00CB28EE"/>
    <w:rsid w:val="00CB43A7"/>
    <w:rsid w:val="00CB4DF1"/>
    <w:rsid w:val="00CB5996"/>
    <w:rsid w:val="00CB6809"/>
    <w:rsid w:val="00CB7452"/>
    <w:rsid w:val="00CC0E10"/>
    <w:rsid w:val="00CC1DAF"/>
    <w:rsid w:val="00CC2642"/>
    <w:rsid w:val="00CC2967"/>
    <w:rsid w:val="00CC2A36"/>
    <w:rsid w:val="00CC2E15"/>
    <w:rsid w:val="00CC3440"/>
    <w:rsid w:val="00CC3908"/>
    <w:rsid w:val="00CC62AD"/>
    <w:rsid w:val="00CC6CA2"/>
    <w:rsid w:val="00CC7B80"/>
    <w:rsid w:val="00CD2B3C"/>
    <w:rsid w:val="00CD30F6"/>
    <w:rsid w:val="00CD4B29"/>
    <w:rsid w:val="00CD6954"/>
    <w:rsid w:val="00CD6DA3"/>
    <w:rsid w:val="00CD6EF1"/>
    <w:rsid w:val="00CD7E35"/>
    <w:rsid w:val="00CE21C7"/>
    <w:rsid w:val="00CE2682"/>
    <w:rsid w:val="00CE2756"/>
    <w:rsid w:val="00CE442A"/>
    <w:rsid w:val="00CE57D8"/>
    <w:rsid w:val="00CE617A"/>
    <w:rsid w:val="00CE6E3C"/>
    <w:rsid w:val="00CE797F"/>
    <w:rsid w:val="00CF25D2"/>
    <w:rsid w:val="00CF28C2"/>
    <w:rsid w:val="00CF42BD"/>
    <w:rsid w:val="00CF51EC"/>
    <w:rsid w:val="00CF6A9D"/>
    <w:rsid w:val="00CF6CD7"/>
    <w:rsid w:val="00CF75EC"/>
    <w:rsid w:val="00D0037A"/>
    <w:rsid w:val="00D0061E"/>
    <w:rsid w:val="00D00DAF"/>
    <w:rsid w:val="00D017EC"/>
    <w:rsid w:val="00D01CDA"/>
    <w:rsid w:val="00D020FC"/>
    <w:rsid w:val="00D040DD"/>
    <w:rsid w:val="00D04E1B"/>
    <w:rsid w:val="00D0547B"/>
    <w:rsid w:val="00D076DB"/>
    <w:rsid w:val="00D07EFF"/>
    <w:rsid w:val="00D1067C"/>
    <w:rsid w:val="00D11CBB"/>
    <w:rsid w:val="00D136D4"/>
    <w:rsid w:val="00D13830"/>
    <w:rsid w:val="00D13ECF"/>
    <w:rsid w:val="00D142E5"/>
    <w:rsid w:val="00D148CD"/>
    <w:rsid w:val="00D1611E"/>
    <w:rsid w:val="00D163CC"/>
    <w:rsid w:val="00D16E69"/>
    <w:rsid w:val="00D17F4A"/>
    <w:rsid w:val="00D205A9"/>
    <w:rsid w:val="00D217EE"/>
    <w:rsid w:val="00D245BA"/>
    <w:rsid w:val="00D26923"/>
    <w:rsid w:val="00D27856"/>
    <w:rsid w:val="00D27D34"/>
    <w:rsid w:val="00D3006B"/>
    <w:rsid w:val="00D301CA"/>
    <w:rsid w:val="00D30740"/>
    <w:rsid w:val="00D31075"/>
    <w:rsid w:val="00D31445"/>
    <w:rsid w:val="00D31932"/>
    <w:rsid w:val="00D32AE0"/>
    <w:rsid w:val="00D360DA"/>
    <w:rsid w:val="00D37689"/>
    <w:rsid w:val="00D378CC"/>
    <w:rsid w:val="00D4042C"/>
    <w:rsid w:val="00D40B9E"/>
    <w:rsid w:val="00D41281"/>
    <w:rsid w:val="00D42312"/>
    <w:rsid w:val="00D433F5"/>
    <w:rsid w:val="00D43998"/>
    <w:rsid w:val="00D439C2"/>
    <w:rsid w:val="00D451E0"/>
    <w:rsid w:val="00D45A1D"/>
    <w:rsid w:val="00D4615E"/>
    <w:rsid w:val="00D478E2"/>
    <w:rsid w:val="00D5264C"/>
    <w:rsid w:val="00D547BA"/>
    <w:rsid w:val="00D55626"/>
    <w:rsid w:val="00D556BC"/>
    <w:rsid w:val="00D5626D"/>
    <w:rsid w:val="00D56631"/>
    <w:rsid w:val="00D60277"/>
    <w:rsid w:val="00D60336"/>
    <w:rsid w:val="00D61F88"/>
    <w:rsid w:val="00D62901"/>
    <w:rsid w:val="00D6470C"/>
    <w:rsid w:val="00D64853"/>
    <w:rsid w:val="00D64CB5"/>
    <w:rsid w:val="00D66D48"/>
    <w:rsid w:val="00D7162F"/>
    <w:rsid w:val="00D72897"/>
    <w:rsid w:val="00D73256"/>
    <w:rsid w:val="00D73A30"/>
    <w:rsid w:val="00D74C65"/>
    <w:rsid w:val="00D74F21"/>
    <w:rsid w:val="00D75DC2"/>
    <w:rsid w:val="00D766EF"/>
    <w:rsid w:val="00D76C03"/>
    <w:rsid w:val="00D77F8D"/>
    <w:rsid w:val="00D8119B"/>
    <w:rsid w:val="00D82462"/>
    <w:rsid w:val="00D868CE"/>
    <w:rsid w:val="00D86DAE"/>
    <w:rsid w:val="00D90116"/>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1D55"/>
    <w:rsid w:val="00DB378E"/>
    <w:rsid w:val="00DB3E9D"/>
    <w:rsid w:val="00DB47B9"/>
    <w:rsid w:val="00DB4FB8"/>
    <w:rsid w:val="00DB53CE"/>
    <w:rsid w:val="00DB549D"/>
    <w:rsid w:val="00DB5792"/>
    <w:rsid w:val="00DB6A88"/>
    <w:rsid w:val="00DB7BA4"/>
    <w:rsid w:val="00DC226A"/>
    <w:rsid w:val="00DC257F"/>
    <w:rsid w:val="00DC2A9F"/>
    <w:rsid w:val="00DC350B"/>
    <w:rsid w:val="00DC3790"/>
    <w:rsid w:val="00DC408A"/>
    <w:rsid w:val="00DC436D"/>
    <w:rsid w:val="00DC519B"/>
    <w:rsid w:val="00DC5B3B"/>
    <w:rsid w:val="00DC6796"/>
    <w:rsid w:val="00DC78DF"/>
    <w:rsid w:val="00DC7D4C"/>
    <w:rsid w:val="00DD0821"/>
    <w:rsid w:val="00DD0E32"/>
    <w:rsid w:val="00DD2872"/>
    <w:rsid w:val="00DD2A62"/>
    <w:rsid w:val="00DD2BFE"/>
    <w:rsid w:val="00DD373E"/>
    <w:rsid w:val="00DD57AD"/>
    <w:rsid w:val="00DD7435"/>
    <w:rsid w:val="00DD7C6D"/>
    <w:rsid w:val="00DE009B"/>
    <w:rsid w:val="00DE08F8"/>
    <w:rsid w:val="00DE0C31"/>
    <w:rsid w:val="00DE2ED9"/>
    <w:rsid w:val="00DE319A"/>
    <w:rsid w:val="00DF0615"/>
    <w:rsid w:val="00DF0DC3"/>
    <w:rsid w:val="00DF21FD"/>
    <w:rsid w:val="00DF2873"/>
    <w:rsid w:val="00DF293C"/>
    <w:rsid w:val="00DF4C74"/>
    <w:rsid w:val="00DF5578"/>
    <w:rsid w:val="00DF78DD"/>
    <w:rsid w:val="00DF7FEC"/>
    <w:rsid w:val="00E01C0E"/>
    <w:rsid w:val="00E02086"/>
    <w:rsid w:val="00E02740"/>
    <w:rsid w:val="00E03B27"/>
    <w:rsid w:val="00E04694"/>
    <w:rsid w:val="00E049F6"/>
    <w:rsid w:val="00E04CA9"/>
    <w:rsid w:val="00E05B2B"/>
    <w:rsid w:val="00E06A2A"/>
    <w:rsid w:val="00E07F05"/>
    <w:rsid w:val="00E127E1"/>
    <w:rsid w:val="00E144D2"/>
    <w:rsid w:val="00E144D6"/>
    <w:rsid w:val="00E15346"/>
    <w:rsid w:val="00E15B7D"/>
    <w:rsid w:val="00E2097E"/>
    <w:rsid w:val="00E215EA"/>
    <w:rsid w:val="00E21CAB"/>
    <w:rsid w:val="00E221FC"/>
    <w:rsid w:val="00E22E78"/>
    <w:rsid w:val="00E24619"/>
    <w:rsid w:val="00E25223"/>
    <w:rsid w:val="00E25999"/>
    <w:rsid w:val="00E263A8"/>
    <w:rsid w:val="00E30BEA"/>
    <w:rsid w:val="00E31764"/>
    <w:rsid w:val="00E32BC2"/>
    <w:rsid w:val="00E34985"/>
    <w:rsid w:val="00E34E4A"/>
    <w:rsid w:val="00E365B3"/>
    <w:rsid w:val="00E366BB"/>
    <w:rsid w:val="00E37C45"/>
    <w:rsid w:val="00E40AAA"/>
    <w:rsid w:val="00E42444"/>
    <w:rsid w:val="00E438CF"/>
    <w:rsid w:val="00E43B06"/>
    <w:rsid w:val="00E43C41"/>
    <w:rsid w:val="00E4500E"/>
    <w:rsid w:val="00E450CE"/>
    <w:rsid w:val="00E45A00"/>
    <w:rsid w:val="00E45CE7"/>
    <w:rsid w:val="00E4631F"/>
    <w:rsid w:val="00E46A4A"/>
    <w:rsid w:val="00E47CB8"/>
    <w:rsid w:val="00E522BB"/>
    <w:rsid w:val="00E539E4"/>
    <w:rsid w:val="00E569C7"/>
    <w:rsid w:val="00E571F2"/>
    <w:rsid w:val="00E57429"/>
    <w:rsid w:val="00E61EA8"/>
    <w:rsid w:val="00E63221"/>
    <w:rsid w:val="00E64EA1"/>
    <w:rsid w:val="00E669C7"/>
    <w:rsid w:val="00E70510"/>
    <w:rsid w:val="00E71262"/>
    <w:rsid w:val="00E71A58"/>
    <w:rsid w:val="00E737F6"/>
    <w:rsid w:val="00E7568F"/>
    <w:rsid w:val="00E764AE"/>
    <w:rsid w:val="00E7724B"/>
    <w:rsid w:val="00E84F21"/>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AF3"/>
    <w:rsid w:val="00EA0C68"/>
    <w:rsid w:val="00EA19E2"/>
    <w:rsid w:val="00EA3EBE"/>
    <w:rsid w:val="00EA3FAC"/>
    <w:rsid w:val="00EA4153"/>
    <w:rsid w:val="00EA5CD6"/>
    <w:rsid w:val="00EA76FD"/>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989"/>
    <w:rsid w:val="00ED2CA5"/>
    <w:rsid w:val="00ED336F"/>
    <w:rsid w:val="00ED3A94"/>
    <w:rsid w:val="00ED40F0"/>
    <w:rsid w:val="00ED4AC0"/>
    <w:rsid w:val="00ED54D6"/>
    <w:rsid w:val="00ED5726"/>
    <w:rsid w:val="00EE0113"/>
    <w:rsid w:val="00EE0298"/>
    <w:rsid w:val="00EE0384"/>
    <w:rsid w:val="00EE1057"/>
    <w:rsid w:val="00EE10AA"/>
    <w:rsid w:val="00EE1637"/>
    <w:rsid w:val="00EE3B7A"/>
    <w:rsid w:val="00EE3E78"/>
    <w:rsid w:val="00EE495A"/>
    <w:rsid w:val="00EE5E02"/>
    <w:rsid w:val="00EE617D"/>
    <w:rsid w:val="00EE61BF"/>
    <w:rsid w:val="00EE6538"/>
    <w:rsid w:val="00EE6748"/>
    <w:rsid w:val="00EE6C6B"/>
    <w:rsid w:val="00EF0E75"/>
    <w:rsid w:val="00EF1F5A"/>
    <w:rsid w:val="00EF4685"/>
    <w:rsid w:val="00EF5397"/>
    <w:rsid w:val="00EF6BE3"/>
    <w:rsid w:val="00F00D0E"/>
    <w:rsid w:val="00F00D3C"/>
    <w:rsid w:val="00F04811"/>
    <w:rsid w:val="00F0488C"/>
    <w:rsid w:val="00F0496E"/>
    <w:rsid w:val="00F04D10"/>
    <w:rsid w:val="00F053EA"/>
    <w:rsid w:val="00F0625B"/>
    <w:rsid w:val="00F101FF"/>
    <w:rsid w:val="00F104DF"/>
    <w:rsid w:val="00F10A33"/>
    <w:rsid w:val="00F10B64"/>
    <w:rsid w:val="00F1186C"/>
    <w:rsid w:val="00F14ACD"/>
    <w:rsid w:val="00F15BEF"/>
    <w:rsid w:val="00F172BE"/>
    <w:rsid w:val="00F1776C"/>
    <w:rsid w:val="00F2037E"/>
    <w:rsid w:val="00F20D17"/>
    <w:rsid w:val="00F2103E"/>
    <w:rsid w:val="00F214FC"/>
    <w:rsid w:val="00F21C31"/>
    <w:rsid w:val="00F23825"/>
    <w:rsid w:val="00F2389A"/>
    <w:rsid w:val="00F23FFF"/>
    <w:rsid w:val="00F2441D"/>
    <w:rsid w:val="00F24FAA"/>
    <w:rsid w:val="00F26197"/>
    <w:rsid w:val="00F273D4"/>
    <w:rsid w:val="00F307DD"/>
    <w:rsid w:val="00F318FC"/>
    <w:rsid w:val="00F31F76"/>
    <w:rsid w:val="00F325A3"/>
    <w:rsid w:val="00F3364D"/>
    <w:rsid w:val="00F35ACD"/>
    <w:rsid w:val="00F365BF"/>
    <w:rsid w:val="00F36BF8"/>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3243"/>
    <w:rsid w:val="00F541ED"/>
    <w:rsid w:val="00F54B31"/>
    <w:rsid w:val="00F54FD3"/>
    <w:rsid w:val="00F55605"/>
    <w:rsid w:val="00F57CD7"/>
    <w:rsid w:val="00F62F02"/>
    <w:rsid w:val="00F6339F"/>
    <w:rsid w:val="00F63DDE"/>
    <w:rsid w:val="00F63FB7"/>
    <w:rsid w:val="00F64726"/>
    <w:rsid w:val="00F6561A"/>
    <w:rsid w:val="00F66243"/>
    <w:rsid w:val="00F70309"/>
    <w:rsid w:val="00F7078A"/>
    <w:rsid w:val="00F70E45"/>
    <w:rsid w:val="00F727D5"/>
    <w:rsid w:val="00F72F44"/>
    <w:rsid w:val="00F73A0C"/>
    <w:rsid w:val="00F759DC"/>
    <w:rsid w:val="00F7717C"/>
    <w:rsid w:val="00F771A5"/>
    <w:rsid w:val="00F817A4"/>
    <w:rsid w:val="00F81C3A"/>
    <w:rsid w:val="00F835E1"/>
    <w:rsid w:val="00F835FC"/>
    <w:rsid w:val="00F8373A"/>
    <w:rsid w:val="00F83E21"/>
    <w:rsid w:val="00F83FA4"/>
    <w:rsid w:val="00F84E18"/>
    <w:rsid w:val="00F852E5"/>
    <w:rsid w:val="00F90350"/>
    <w:rsid w:val="00F9310A"/>
    <w:rsid w:val="00F95117"/>
    <w:rsid w:val="00F97ED2"/>
    <w:rsid w:val="00FA05D7"/>
    <w:rsid w:val="00FA1992"/>
    <w:rsid w:val="00FA1C6C"/>
    <w:rsid w:val="00FA2447"/>
    <w:rsid w:val="00FA2C2A"/>
    <w:rsid w:val="00FA309A"/>
    <w:rsid w:val="00FA7644"/>
    <w:rsid w:val="00FB0A9A"/>
    <w:rsid w:val="00FB16AD"/>
    <w:rsid w:val="00FB483B"/>
    <w:rsid w:val="00FB56F1"/>
    <w:rsid w:val="00FB5FD4"/>
    <w:rsid w:val="00FB67F3"/>
    <w:rsid w:val="00FC0D8A"/>
    <w:rsid w:val="00FC0E5F"/>
    <w:rsid w:val="00FC135D"/>
    <w:rsid w:val="00FC3C84"/>
    <w:rsid w:val="00FC4660"/>
    <w:rsid w:val="00FC56DE"/>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lang/>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lang/>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i.kamenicky@czso.cz"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e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e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yperlink" Target="mailto:jiri.kamenicky@czso.cz"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6258C-08E6-4A9A-9B33-D80B6077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201</TotalTime>
  <Pages>23</Pages>
  <Words>12171</Words>
  <Characters>71815</Characters>
  <Application>Microsoft Office Word</Application>
  <DocSecurity>0</DocSecurity>
  <Lines>598</Lines>
  <Paragraphs>167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56</cp:revision>
  <cp:lastPrinted>2015-06-19T06:21:00Z</cp:lastPrinted>
  <dcterms:created xsi:type="dcterms:W3CDTF">2016-09-15T09:32:00Z</dcterms:created>
  <dcterms:modified xsi:type="dcterms:W3CDTF">2016-09-23T09:40:00Z</dcterms:modified>
</cp:coreProperties>
</file>