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3A94C" w14:textId="77777777" w:rsidR="00803507" w:rsidRPr="00884D55" w:rsidRDefault="00803507" w:rsidP="00803507">
      <w:pPr>
        <w:pStyle w:val="Nadpis1"/>
        <w:rPr>
          <w:lang w:val="en-GB"/>
        </w:rPr>
      </w:pPr>
      <w:bookmarkStart w:id="0" w:name="_Toc196386138"/>
      <w:bookmarkStart w:id="1" w:name="_Toc176767107"/>
      <w:r w:rsidRPr="00884D55">
        <w:rPr>
          <w:lang w:val="en-GB"/>
        </w:rPr>
        <w:t>2. Overall Economic Performance</w:t>
      </w:r>
      <w:bookmarkEnd w:id="0"/>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803507" w:rsidRPr="00884D55" w14:paraId="5EA60586" w14:textId="77777777" w:rsidTr="00803507">
        <w:trPr>
          <w:trHeight w:val="145"/>
        </w:trPr>
        <w:tc>
          <w:tcPr>
            <w:tcW w:w="1806" w:type="dxa"/>
            <w:shd w:val="clear" w:color="auto" w:fill="auto"/>
            <w:tcMar>
              <w:left w:w="0" w:type="dxa"/>
            </w:tcMar>
          </w:tcPr>
          <w:p w14:paraId="10E2A48D" w14:textId="77777777" w:rsidR="00803507" w:rsidRPr="00884D55" w:rsidRDefault="00803507" w:rsidP="00803507">
            <w:pPr>
              <w:pStyle w:val="Marginlie"/>
              <w:rPr>
                <w:lang w:val="en-GB"/>
              </w:rPr>
            </w:pPr>
            <w:r w:rsidRPr="00884D55">
              <w:rPr>
                <w:lang w:val="en-GB"/>
              </w:rPr>
              <w:t xml:space="preserve">Czech economy expanded last year. </w:t>
            </w:r>
          </w:p>
        </w:tc>
        <w:tc>
          <w:tcPr>
            <w:tcW w:w="210" w:type="dxa"/>
            <w:shd w:val="clear" w:color="auto" w:fill="auto"/>
            <w:tcMar>
              <w:left w:w="0" w:type="dxa"/>
            </w:tcMar>
          </w:tcPr>
          <w:p w14:paraId="61CF63D4"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6C35951A" w14:textId="6FE70EF3" w:rsidR="00803507" w:rsidRPr="00884D55" w:rsidRDefault="00803507" w:rsidP="00803507">
            <w:pPr>
              <w:rPr>
                <w:spacing w:val="-2"/>
                <w:lang w:val="en-GB"/>
              </w:rPr>
            </w:pPr>
            <w:r w:rsidRPr="00884D55">
              <w:rPr>
                <w:spacing w:val="-2"/>
                <w:lang w:val="en-GB"/>
              </w:rPr>
              <w:t>Gross domestic product (GDP) grew by 1.0% in 2024</w:t>
            </w:r>
            <w:r w:rsidRPr="00884D55">
              <w:rPr>
                <w:rStyle w:val="Znakapoznpodarou"/>
                <w:rFonts w:cs="Arial"/>
                <w:spacing w:val="-2"/>
                <w:lang w:val="en-GB"/>
              </w:rPr>
              <w:footnoteReference w:id="2"/>
            </w:r>
            <w:r w:rsidRPr="00884D55">
              <w:rPr>
                <w:spacing w:val="-2"/>
                <w:lang w:val="en-GB"/>
              </w:rPr>
              <w:t xml:space="preserve">. The economy thus followed up on the stagnation of 2023 with moderate growth. The higher growth was mainly due to strengthening household and government consumption. By contrast, investment activity lagged behind the 2023 level, and GDP growth was also negatively affected by changes in inventories. The effect of external demand was slightly negative overall. During the year, the annual GDP growth gradually strengthened (0.3%, 0.5%, </w:t>
            </w:r>
            <w:r w:rsidR="00511130" w:rsidRPr="00884D55">
              <w:rPr>
                <w:spacing w:val="-2"/>
                <w:lang w:val="en-GB"/>
              </w:rPr>
              <w:t>and 1.4</w:t>
            </w:r>
            <w:r w:rsidRPr="00884D55">
              <w:rPr>
                <w:spacing w:val="-2"/>
                <w:lang w:val="en-GB"/>
              </w:rPr>
              <w:t xml:space="preserve">% in Q1 to Q3) to 1.8% in Q4. The year-on-year growth of household consumption strengthened at the end of the year and the change in inventories started to have a positive effect. On the contrary, the investment activity and external demand had an adverse effect on the year-on-year GDP growth. Quarter-on-quarter GDP dynamics strengthened to 0.7% in Q4. Household consumption and change in inventories were higher. Investment and external demand had a slightly anti-growth effect. </w:t>
            </w:r>
          </w:p>
        </w:tc>
      </w:tr>
      <w:tr w:rsidR="00803507" w:rsidRPr="00884D55" w14:paraId="06DFE7C4" w14:textId="77777777" w:rsidTr="00803507">
        <w:trPr>
          <w:trHeight w:val="170"/>
        </w:trPr>
        <w:tc>
          <w:tcPr>
            <w:tcW w:w="1806" w:type="dxa"/>
            <w:vMerge w:val="restart"/>
            <w:shd w:val="clear" w:color="auto" w:fill="auto"/>
            <w:tcMar>
              <w:left w:w="0" w:type="dxa"/>
            </w:tcMar>
          </w:tcPr>
          <w:p w14:paraId="222EC1EB" w14:textId="77777777" w:rsidR="00803507" w:rsidRPr="00884D55" w:rsidRDefault="00803507" w:rsidP="00803507">
            <w:pPr>
              <w:pStyle w:val="Marginlie"/>
              <w:rPr>
                <w:lang w:val="en-GB"/>
              </w:rPr>
            </w:pPr>
          </w:p>
        </w:tc>
        <w:tc>
          <w:tcPr>
            <w:tcW w:w="210" w:type="dxa"/>
            <w:vMerge w:val="restart"/>
            <w:shd w:val="clear" w:color="auto" w:fill="auto"/>
            <w:tcMar>
              <w:left w:w="0" w:type="dxa"/>
            </w:tcMar>
          </w:tcPr>
          <w:p w14:paraId="76D21ED9"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75F659CC" w14:textId="77777777" w:rsidR="00803507" w:rsidRPr="00884D55" w:rsidRDefault="00803507" w:rsidP="00803507">
            <w:pPr>
              <w:spacing w:after="0"/>
              <w:rPr>
                <w:b/>
                <w:szCs w:val="20"/>
                <w:lang w:val="en-GB"/>
              </w:rPr>
            </w:pPr>
            <w:r w:rsidRPr="00884D55">
              <w:rPr>
                <w:rFonts w:cs="Arial"/>
                <w:b/>
                <w:bCs/>
                <w:color w:val="000000"/>
                <w:szCs w:val="20"/>
                <w:lang w:val="en-GB"/>
              </w:rPr>
              <w:t>Chart 1 GDP</w:t>
            </w:r>
            <w:r w:rsidRPr="00884D55">
              <w:rPr>
                <w:rFonts w:cs="Arial"/>
                <w:b/>
                <w:szCs w:val="20"/>
                <w:lang w:val="en-GB" w:eastAsia="en-US"/>
              </w:rPr>
              <w:t xml:space="preserve"> </w:t>
            </w:r>
            <w:r w:rsidRPr="00884D55">
              <w:rPr>
                <w:rFonts w:cs="Arial"/>
                <w:bCs/>
                <w:szCs w:val="20"/>
                <w:lang w:val="en-GB" w:eastAsia="en-US"/>
              </w:rPr>
              <w:t>(volume indices, adjusted for seasonal and calendar effects, in %)</w:t>
            </w:r>
          </w:p>
        </w:tc>
      </w:tr>
      <w:tr w:rsidR="00803507" w:rsidRPr="00884D55" w14:paraId="1042B36E" w14:textId="77777777" w:rsidTr="00900097">
        <w:tblPrEx>
          <w:tblCellMar>
            <w:left w:w="70" w:type="dxa"/>
            <w:right w:w="70" w:type="dxa"/>
          </w:tblCellMar>
        </w:tblPrEx>
        <w:trPr>
          <w:trHeight w:val="170"/>
        </w:trPr>
        <w:tc>
          <w:tcPr>
            <w:tcW w:w="1806" w:type="dxa"/>
            <w:vMerge/>
          </w:tcPr>
          <w:p w14:paraId="56CAF908" w14:textId="77777777" w:rsidR="00803507" w:rsidRPr="00884D55" w:rsidRDefault="00803507" w:rsidP="00803507">
            <w:pPr>
              <w:pStyle w:val="Marginlie"/>
              <w:rPr>
                <w:lang w:val="en-GB"/>
              </w:rPr>
            </w:pPr>
          </w:p>
        </w:tc>
        <w:tc>
          <w:tcPr>
            <w:tcW w:w="210" w:type="dxa"/>
            <w:vMerge/>
          </w:tcPr>
          <w:p w14:paraId="43C095E7" w14:textId="77777777" w:rsidR="00803507" w:rsidRPr="00884D55" w:rsidRDefault="00803507" w:rsidP="00803507">
            <w:pPr>
              <w:pStyle w:val="Textpoznpodarou"/>
              <w:jc w:val="both"/>
              <w:rPr>
                <w:spacing w:val="-4"/>
                <w:lang w:val="en-GB"/>
              </w:rPr>
            </w:pPr>
          </w:p>
        </w:tc>
        <w:tc>
          <w:tcPr>
            <w:tcW w:w="7623" w:type="dxa"/>
            <w:shd w:val="clear" w:color="auto" w:fill="auto"/>
          </w:tcPr>
          <w:p w14:paraId="4E438B45" w14:textId="7CF75B2E" w:rsidR="00803507" w:rsidRPr="00884D55" w:rsidRDefault="00900097" w:rsidP="00803507">
            <w:pPr>
              <w:spacing w:after="0"/>
              <w:rPr>
                <w:lang w:val="en-GB"/>
              </w:rPr>
            </w:pPr>
            <w:r>
              <w:rPr>
                <w:noProof/>
              </w:rPr>
              <w:drawing>
                <wp:inline distT="0" distB="0" distL="0" distR="0" wp14:anchorId="3871FE8E" wp14:editId="42E10DBF">
                  <wp:extent cx="4737600" cy="3553200"/>
                  <wp:effectExtent l="0" t="0" r="6350" b="0"/>
                  <wp:docPr id="6" name="Graf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03507" w:rsidRPr="00884D55" w14:paraId="7172834C" w14:textId="77777777" w:rsidTr="00803507">
        <w:trPr>
          <w:trHeight w:val="170"/>
        </w:trPr>
        <w:tc>
          <w:tcPr>
            <w:tcW w:w="1806" w:type="dxa"/>
            <w:vMerge/>
            <w:tcMar>
              <w:left w:w="0" w:type="dxa"/>
            </w:tcMar>
          </w:tcPr>
          <w:p w14:paraId="69EA42DF" w14:textId="77777777" w:rsidR="00803507" w:rsidRPr="00884D55" w:rsidRDefault="00803507" w:rsidP="00803507">
            <w:pPr>
              <w:pStyle w:val="Marginlie"/>
              <w:rPr>
                <w:lang w:val="en-GB"/>
              </w:rPr>
            </w:pPr>
          </w:p>
        </w:tc>
        <w:tc>
          <w:tcPr>
            <w:tcW w:w="210" w:type="dxa"/>
            <w:vMerge/>
            <w:tcMar>
              <w:left w:w="0" w:type="dxa"/>
            </w:tcMar>
          </w:tcPr>
          <w:p w14:paraId="5B1462E4"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251D55D5" w14:textId="49FE3FCA" w:rsidR="00803507" w:rsidRPr="00884D55" w:rsidRDefault="00803507" w:rsidP="00900097">
            <w:pPr>
              <w:spacing w:after="220"/>
              <w:rPr>
                <w:b/>
                <w:bCs/>
                <w:sz w:val="14"/>
                <w:szCs w:val="14"/>
                <w:lang w:val="en-GB"/>
              </w:rPr>
            </w:pPr>
            <w:r w:rsidRPr="00884D55">
              <w:rPr>
                <w:sz w:val="14"/>
                <w:szCs w:val="14"/>
                <w:lang w:val="en-GB"/>
              </w:rPr>
              <w:t>Source: CZSO, Eurostat</w:t>
            </w:r>
          </w:p>
        </w:tc>
      </w:tr>
      <w:tr w:rsidR="00803507" w:rsidRPr="00884D55" w14:paraId="7206809D" w14:textId="77777777" w:rsidTr="00803507">
        <w:trPr>
          <w:trHeight w:val="145"/>
        </w:trPr>
        <w:tc>
          <w:tcPr>
            <w:tcW w:w="1806" w:type="dxa"/>
            <w:shd w:val="clear" w:color="auto" w:fill="auto"/>
            <w:tcMar>
              <w:left w:w="0" w:type="dxa"/>
            </w:tcMar>
          </w:tcPr>
          <w:p w14:paraId="51240048" w14:textId="77777777" w:rsidR="00803507" w:rsidRPr="00884D55" w:rsidRDefault="00803507" w:rsidP="00803507">
            <w:pPr>
              <w:pStyle w:val="Marginlie"/>
              <w:rPr>
                <w:lang w:val="en-GB"/>
              </w:rPr>
            </w:pPr>
            <w:r w:rsidRPr="00884D55">
              <w:rPr>
                <w:lang w:val="en-GB"/>
              </w:rPr>
              <w:t xml:space="preserve">Gross domestic product continued in mild growth in the EU. </w:t>
            </w:r>
          </w:p>
        </w:tc>
        <w:tc>
          <w:tcPr>
            <w:tcW w:w="210" w:type="dxa"/>
            <w:shd w:val="clear" w:color="auto" w:fill="auto"/>
            <w:tcMar>
              <w:left w:w="0" w:type="dxa"/>
            </w:tcMar>
          </w:tcPr>
          <w:p w14:paraId="6D2BA5CB"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3E843C35" w14:textId="77777777" w:rsidR="00803507" w:rsidRPr="00884D55" w:rsidRDefault="00803507" w:rsidP="00803507">
            <w:pPr>
              <w:rPr>
                <w:lang w:val="en-GB"/>
              </w:rPr>
            </w:pPr>
            <w:r w:rsidRPr="00884D55">
              <w:rPr>
                <w:lang w:val="en-GB"/>
              </w:rPr>
              <w:t>The strengthening of the year-on-year GDP growth was also evident in the European Union in the second half of 2024. The GDP increased by 1.4%</w:t>
            </w:r>
            <w:r w:rsidRPr="00884D55">
              <w:rPr>
                <w:rStyle w:val="Znakapoznpodarou"/>
                <w:lang w:val="en-GB"/>
              </w:rPr>
              <w:footnoteReference w:id="3"/>
            </w:r>
            <w:r w:rsidRPr="00884D55">
              <w:rPr>
                <w:lang w:val="en-GB"/>
              </w:rPr>
              <w:t xml:space="preserve">, year-on-year, in the EU in Q4. At the end of the year, the economic growth was supported mainly by consumption. In the vast majority of countries, the GDP grew, year-on-year, in Q4, the most in Ireland (9.2%), Denmark (4.1%) and Poland and Lithuania (both by 3.7%). In Q4, the GDP lagged behind the level of the same period of year 2023 in Austria (−1.2%), Latvia (−0.4%) and Germany (−0.2%). The year-on-year decline has been going on since Q3 2023 in Germany, and in Austria it has been one quarter longer. The GDP increased by 0.4% in the EU, quarter-on-quarter, and this was also mainly due to the development of consumption here. Most EU countries reported quarter-on-quarter GDP recovery, Ireland (3.6%), Denmark (1.6%) and Portugal (1.5%) the most. According to </w:t>
            </w:r>
            <w:r w:rsidRPr="00884D55">
              <w:rPr>
                <w:lang w:val="en-GB"/>
              </w:rPr>
              <w:lastRenderedPageBreak/>
              <w:t>available data, a decrease was recorded in Malta (−0.7%), Austria (−0.4%), Finland (−0.2%), Germany (−0.2%) and France (−0.1%). The GDP grew in total by 1.0% in the EU last year and the increase accelerated compared to 2023. According to the available data</w:t>
            </w:r>
            <w:r w:rsidRPr="00884D55">
              <w:rPr>
                <w:rStyle w:val="Znakapoznpodarou"/>
                <w:lang w:val="en-GB"/>
              </w:rPr>
              <w:footnoteReference w:id="4"/>
            </w:r>
            <w:r w:rsidRPr="00884D55">
              <w:rPr>
                <w:lang w:val="en-GB"/>
              </w:rPr>
              <w:t xml:space="preserve">, the GDP of Malta (6.0%), Croatia (3.8%) and Denmark (3.6%) grew the most last year. On the other hand, five economies declined, Austria (−1.2%), Latvia (−0.4%) and Estonia (−0.3%) the most.   </w:t>
            </w:r>
          </w:p>
        </w:tc>
      </w:tr>
      <w:tr w:rsidR="00803507" w:rsidRPr="00884D55" w14:paraId="2593A23F" w14:textId="77777777" w:rsidTr="00803507">
        <w:trPr>
          <w:trHeight w:val="145"/>
        </w:trPr>
        <w:tc>
          <w:tcPr>
            <w:tcW w:w="1806" w:type="dxa"/>
            <w:shd w:val="clear" w:color="auto" w:fill="auto"/>
            <w:tcMar>
              <w:left w:w="0" w:type="dxa"/>
            </w:tcMar>
          </w:tcPr>
          <w:p w14:paraId="7E80EC2F" w14:textId="77777777" w:rsidR="00803507" w:rsidRPr="00884D55" w:rsidRDefault="00803507" w:rsidP="00803507">
            <w:pPr>
              <w:pStyle w:val="Marginlie"/>
              <w:rPr>
                <w:lang w:val="en-GB"/>
              </w:rPr>
            </w:pPr>
            <w:r w:rsidRPr="00884D55">
              <w:rPr>
                <w:lang w:val="en-GB"/>
              </w:rPr>
              <w:lastRenderedPageBreak/>
              <w:t xml:space="preserve">Wages and salaries grew in real terms last year. </w:t>
            </w:r>
          </w:p>
        </w:tc>
        <w:tc>
          <w:tcPr>
            <w:tcW w:w="210" w:type="dxa"/>
            <w:shd w:val="clear" w:color="auto" w:fill="auto"/>
            <w:tcMar>
              <w:left w:w="0" w:type="dxa"/>
            </w:tcMar>
          </w:tcPr>
          <w:p w14:paraId="32F1CFAB"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01B8B20F" w14:textId="77777777" w:rsidR="00803507" w:rsidRPr="00884D55" w:rsidRDefault="00803507" w:rsidP="00803507">
            <w:pPr>
              <w:rPr>
                <w:lang w:val="en-GB"/>
              </w:rPr>
            </w:pPr>
            <w:r w:rsidRPr="00884D55">
              <w:rPr>
                <w:lang w:val="en-GB"/>
              </w:rPr>
              <w:t>The volume of wages and salaries paid increased by 6.4% in 2024 while employment expanded by 0.3%</w:t>
            </w:r>
            <w:r w:rsidRPr="00884D55">
              <w:rPr>
                <w:rStyle w:val="Znakapoznpodarou"/>
                <w:spacing w:val="-2"/>
                <w:lang w:val="en-GB"/>
              </w:rPr>
              <w:footnoteReference w:id="5"/>
            </w:r>
            <w:r w:rsidRPr="00884D55">
              <w:rPr>
                <w:lang w:val="en-GB"/>
              </w:rPr>
              <w:t>. The nominal increase of wages and salaries was the most modest since year 2020 (if we do not count this extraordinary covid year, then since 2016), but thanks to the slowdown of price growth, the real increase of wages and salaries reached 3.3%</w:t>
            </w:r>
            <w:r w:rsidRPr="00884D55">
              <w:rPr>
                <w:rStyle w:val="Znakapoznpodarou"/>
                <w:spacing w:val="-2"/>
                <w:lang w:val="en-GB"/>
              </w:rPr>
              <w:footnoteReference w:id="6"/>
            </w:r>
            <w:r w:rsidRPr="00884D55">
              <w:rPr>
                <w:lang w:val="en-GB"/>
              </w:rPr>
              <w:t xml:space="preserve">, the highest since 2019. The growth of volume of wages and salaries was driven mainly by the services sector, which also contributed to the total slight increase of employment. Wages and salaries increased the most in real estate activities (23.5% with an increase of employment by 1.6%). Professional, scientific, technical and administrative activities (9.6%, employment increased by 0.9%), financial and insurance activities (7.2%, employment +0.5%), information and communication (7.0%, employment decreased by 0.3%) recorded an above-average increase. A significant increase of wages and salaries was evident in </w:t>
            </w:r>
            <w:r w:rsidRPr="00884D55">
              <w:rPr>
                <w:color w:val="0D0D0D" w:themeColor="text1" w:themeTint="F2"/>
                <w:spacing w:val="-4"/>
                <w:lang w:val="en-GB"/>
              </w:rPr>
              <w:t xml:space="preserve">the weight significant division trade, transport, accommodation and food service activities </w:t>
            </w:r>
            <w:r w:rsidRPr="00884D55">
              <w:rPr>
                <w:lang w:val="en-GB"/>
              </w:rPr>
              <w:t>(6.8%, employment +1.0%) and in other activities</w:t>
            </w:r>
            <w:r w:rsidRPr="00884D55">
              <w:rPr>
                <w:rStyle w:val="Znakapoznpodarou"/>
                <w:spacing w:val="-2"/>
                <w:lang w:val="en-GB"/>
              </w:rPr>
              <w:footnoteReference w:id="7"/>
            </w:r>
            <w:r w:rsidRPr="00884D55">
              <w:rPr>
                <w:lang w:val="en-GB"/>
              </w:rPr>
              <w:t xml:space="preserve"> (6.8%, employment +2.0%). Within services, only the volume of wages and salaries in public administration and defence, education, health and social work increased at below average rate (5.8% with an increase of employment by 1.9%). Wages and salaries grew by 5.9% in construction (employment fell by 0.2%) and the volume of wages and salaries grew by only 4.9% in manufacturing, where the reduced employment by 2.0% was instrumental.  </w:t>
            </w:r>
          </w:p>
        </w:tc>
      </w:tr>
      <w:tr w:rsidR="00803507" w:rsidRPr="00884D55" w14:paraId="13277ED2" w14:textId="77777777" w:rsidTr="00803507">
        <w:trPr>
          <w:trHeight w:val="145"/>
        </w:trPr>
        <w:tc>
          <w:tcPr>
            <w:tcW w:w="1806" w:type="dxa"/>
            <w:shd w:val="clear" w:color="auto" w:fill="auto"/>
            <w:tcMar>
              <w:left w:w="0" w:type="dxa"/>
            </w:tcMar>
          </w:tcPr>
          <w:p w14:paraId="2BC41897" w14:textId="77777777" w:rsidR="00803507" w:rsidRPr="00884D55" w:rsidRDefault="00803507" w:rsidP="00803507">
            <w:pPr>
              <w:pStyle w:val="Marginlie"/>
              <w:rPr>
                <w:lang w:val="en-GB"/>
              </w:rPr>
            </w:pPr>
            <w:r w:rsidRPr="00884D55">
              <w:rPr>
                <w:lang w:val="en-GB"/>
              </w:rPr>
              <w:t>Growth of the total volume of wages and salaries paid was supported by the services sector.</w:t>
            </w:r>
          </w:p>
        </w:tc>
        <w:tc>
          <w:tcPr>
            <w:tcW w:w="210" w:type="dxa"/>
            <w:shd w:val="clear" w:color="auto" w:fill="auto"/>
            <w:tcMar>
              <w:left w:w="0" w:type="dxa"/>
            </w:tcMar>
          </w:tcPr>
          <w:p w14:paraId="1CF03133"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459C2AEC" w14:textId="77777777" w:rsidR="00803507" w:rsidRPr="00884D55" w:rsidRDefault="00803507" w:rsidP="00803507">
            <w:pPr>
              <w:rPr>
                <w:lang w:val="en-GB"/>
              </w:rPr>
            </w:pPr>
            <w:r w:rsidRPr="00884D55">
              <w:rPr>
                <w:lang w:val="en-GB"/>
              </w:rPr>
              <w:t xml:space="preserve">The year-on-year growth of the volume of wages and salaries accelerated slightly to 7.1% amid employment growth of 0.2% in Q4. The real increase of wages and salaries amounted to 4.3%. The widening gap between industry and services was apparent in Q4. The year-on-year growth of the volume of wages and salaries slowed to 4.4% (employment fell by 1.6%) in manufacturing. Wages and salaries also grew more moderately in construction (4.7%, employment increased by 0.9%). The dynamics on the contrary accelerated in services. The highest increase of wages and salaries was recorded in real estate activities (37.4%, employment +3.0%), followed by professional, scientific, technical and administrative activities (11.6%, employment +0.3%), financial and insurance activities (8.1%, employment +0.5%) and information and communication (8.0%, employment decreased by 3.5%). The volume of wages and salaries increased by 7.7%, year-on-year, but employment fell by 0.2% in the group of economic activities trade, transport, accommodation and food service activities and a rise of 7.2% was recorded with an increase of employment by 2.5% in public administration and defence, education, health and social work. The quarter-on-quarter growth of wages and salaries also accelerated in Q4 (2.4%, employment decreased by 0.1%). The real increase of wages and salaries reached 1.4%. Wages and salaries increased again more sharply in services (real estate activities by 11.8%, information and communication by 3.3%, trade, transport, accommodation and food service </w:t>
            </w:r>
            <w:r w:rsidRPr="00884D55">
              <w:rPr>
                <w:lang w:val="en-GB"/>
              </w:rPr>
              <w:lastRenderedPageBreak/>
              <w:t xml:space="preserve">activities by 3.1%). Wages and salaries increased by 1.0%, quarter-on-quarter, in manufacturing and by 0.9% in construction.  </w:t>
            </w:r>
          </w:p>
        </w:tc>
      </w:tr>
      <w:tr w:rsidR="00803507" w:rsidRPr="00884D55" w14:paraId="39567869" w14:textId="77777777" w:rsidTr="00803507">
        <w:trPr>
          <w:trHeight w:val="145"/>
        </w:trPr>
        <w:tc>
          <w:tcPr>
            <w:tcW w:w="1806" w:type="dxa"/>
            <w:shd w:val="clear" w:color="auto" w:fill="auto"/>
            <w:tcMar>
              <w:left w:w="0" w:type="dxa"/>
            </w:tcMar>
          </w:tcPr>
          <w:p w14:paraId="6D390505" w14:textId="77777777" w:rsidR="00803507" w:rsidRPr="00884D55" w:rsidRDefault="00803507" w:rsidP="00803507">
            <w:pPr>
              <w:pStyle w:val="Marginlie"/>
              <w:rPr>
                <w:lang w:val="en-GB"/>
              </w:rPr>
            </w:pPr>
            <w:r w:rsidRPr="00884D55">
              <w:rPr>
                <w:lang w:val="en-GB"/>
              </w:rPr>
              <w:lastRenderedPageBreak/>
              <w:t xml:space="preserve">Consumption substantially supported the GDP growth last year. </w:t>
            </w:r>
          </w:p>
        </w:tc>
        <w:tc>
          <w:tcPr>
            <w:tcW w:w="210" w:type="dxa"/>
            <w:shd w:val="clear" w:color="auto" w:fill="auto"/>
            <w:tcMar>
              <w:left w:w="0" w:type="dxa"/>
            </w:tcMar>
          </w:tcPr>
          <w:p w14:paraId="3F827CA3"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0BF461BE" w14:textId="74C1129C" w:rsidR="00803507" w:rsidRPr="00884D55" w:rsidRDefault="00803507" w:rsidP="0079597E">
            <w:pPr>
              <w:rPr>
                <w:spacing w:val="-2"/>
                <w:lang w:val="en-GB"/>
              </w:rPr>
            </w:pPr>
            <w:r w:rsidRPr="00884D55">
              <w:rPr>
                <w:spacing w:val="-2"/>
                <w:lang w:val="en-GB"/>
              </w:rPr>
              <w:t>Total consumption increased by 2.6% last year. Growth of household consumption resumed (2.0%) and growth of general government consumption strengthened (3.8%). Total contribution of consumption to GDP growth was thus 2.3 p. p.</w:t>
            </w:r>
            <w:r w:rsidRPr="00884D55">
              <w:rPr>
                <w:rStyle w:val="Znakapoznpodarou"/>
                <w:spacing w:val="-2"/>
                <w:lang w:val="en-GB"/>
              </w:rPr>
              <w:footnoteReference w:id="8"/>
            </w:r>
            <w:r w:rsidRPr="00884D55">
              <w:rPr>
                <w:spacing w:val="-2"/>
                <w:lang w:val="en-GB"/>
              </w:rPr>
              <w:t xml:space="preserve"> last year. In terms of durability</w:t>
            </w:r>
            <w:r w:rsidRPr="00884D55">
              <w:rPr>
                <w:rStyle w:val="Znakapoznpodarou"/>
                <w:lang w:val="en-GB"/>
              </w:rPr>
              <w:footnoteReference w:id="9"/>
            </w:r>
            <w:r w:rsidRPr="00884D55">
              <w:rPr>
                <w:spacing w:val="-2"/>
                <w:lang w:val="en-GB"/>
              </w:rPr>
              <w:t xml:space="preserve">, the expenditure on non-durable goods increased last year (4.5%) and consumption of services also grew for the fourth year in a row (1.7%). Expenditure on </w:t>
            </w:r>
            <w:r w:rsidR="0079597E">
              <w:rPr>
                <w:spacing w:val="-2"/>
                <w:lang w:val="en-GB"/>
              </w:rPr>
              <w:t>semi-</w:t>
            </w:r>
            <w:r w:rsidRPr="00884D55">
              <w:rPr>
                <w:spacing w:val="-2"/>
                <w:lang w:val="en-GB"/>
              </w:rPr>
              <w:t>durab</w:t>
            </w:r>
            <w:r w:rsidR="0079597E">
              <w:rPr>
                <w:spacing w:val="-2"/>
                <w:lang w:val="en-GB"/>
              </w:rPr>
              <w:t>le</w:t>
            </w:r>
            <w:r w:rsidRPr="00884D55">
              <w:rPr>
                <w:spacing w:val="-2"/>
                <w:lang w:val="en-GB"/>
              </w:rPr>
              <w:t xml:space="preserve"> goods stagnated and </w:t>
            </w:r>
            <w:r w:rsidR="0079597E">
              <w:rPr>
                <w:spacing w:val="-2"/>
                <w:lang w:val="en-GB"/>
              </w:rPr>
              <w:t>durable goods c</w:t>
            </w:r>
            <w:r w:rsidRPr="00884D55">
              <w:rPr>
                <w:spacing w:val="-2"/>
                <w:lang w:val="en-GB"/>
              </w:rPr>
              <w:t xml:space="preserve">onsumption fell for the third year in a row (−2.8%). In the second half of 2024, the year-on-year consumption growth strengthened, reaching 3.2% in Q4. Household and government consumption increased at the same pace. Consumption contributed 2.5 p. p. to the year-on-year GDP growth. The consumption of non-durable goods (6.1%), services as well as </w:t>
            </w:r>
            <w:r w:rsidR="0079597E">
              <w:rPr>
                <w:spacing w:val="-2"/>
                <w:lang w:val="en-GB"/>
              </w:rPr>
              <w:t>semi-durable</w:t>
            </w:r>
            <w:r w:rsidRPr="00884D55">
              <w:rPr>
                <w:spacing w:val="-2"/>
                <w:lang w:val="en-GB"/>
              </w:rPr>
              <w:t xml:space="preserve"> goods (0.2%) was higher, year-on-year, in Q4. The decline of </w:t>
            </w:r>
            <w:r w:rsidR="0079597E">
              <w:rPr>
                <w:spacing w:val="-2"/>
                <w:lang w:val="en-GB"/>
              </w:rPr>
              <w:t>durables</w:t>
            </w:r>
            <w:r w:rsidRPr="00884D55">
              <w:rPr>
                <w:spacing w:val="-2"/>
                <w:lang w:val="en-GB"/>
              </w:rPr>
              <w:t xml:space="preserve"> consumption moderated (−0.6%). In the quarter-on-quarter comparison, the consumption increased by 1.0%. This was solely due to households, while general government experienced a decrease of 0.3% for the first time since Q1 2022. There was a quarter-on-quarter recovery in all consumption segments in Q4 – mostly in </w:t>
            </w:r>
            <w:r w:rsidR="0079597E">
              <w:rPr>
                <w:spacing w:val="-2"/>
                <w:lang w:val="en-GB"/>
              </w:rPr>
              <w:t xml:space="preserve">semi-durable </w:t>
            </w:r>
            <w:r w:rsidRPr="00884D55">
              <w:rPr>
                <w:spacing w:val="-2"/>
                <w:lang w:val="en-GB"/>
              </w:rPr>
              <w:t>goods (8.0%), followed by services (2.0%), durable goods consumption (1.1%) and non-durable goods (0.6%).</w:t>
            </w:r>
          </w:p>
        </w:tc>
      </w:tr>
      <w:tr w:rsidR="00803507" w:rsidRPr="00884D55" w14:paraId="0AB6602D" w14:textId="77777777" w:rsidTr="00803507">
        <w:trPr>
          <w:trHeight w:val="154"/>
        </w:trPr>
        <w:tc>
          <w:tcPr>
            <w:tcW w:w="1806" w:type="dxa"/>
            <w:vMerge w:val="restart"/>
            <w:shd w:val="clear" w:color="auto" w:fill="auto"/>
            <w:tcMar>
              <w:left w:w="0" w:type="dxa"/>
            </w:tcMar>
          </w:tcPr>
          <w:p w14:paraId="6453A309" w14:textId="77777777" w:rsidR="00803507" w:rsidRPr="00884D55" w:rsidRDefault="00803507" w:rsidP="00803507">
            <w:pPr>
              <w:pStyle w:val="Marginlie"/>
              <w:rPr>
                <w:lang w:val="en-GB"/>
              </w:rPr>
            </w:pPr>
          </w:p>
        </w:tc>
        <w:tc>
          <w:tcPr>
            <w:tcW w:w="210" w:type="dxa"/>
            <w:vMerge w:val="restart"/>
            <w:shd w:val="clear" w:color="auto" w:fill="auto"/>
            <w:tcMar>
              <w:left w:w="0" w:type="dxa"/>
            </w:tcMar>
          </w:tcPr>
          <w:p w14:paraId="77A27439"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2E519463" w14:textId="77777777" w:rsidR="00803507" w:rsidRPr="00884D55" w:rsidRDefault="00803507" w:rsidP="00803507">
            <w:pPr>
              <w:spacing w:after="0"/>
              <w:rPr>
                <w:lang w:val="en-GB"/>
              </w:rPr>
            </w:pPr>
            <w:r w:rsidRPr="00884D55">
              <w:rPr>
                <w:b/>
                <w:szCs w:val="20"/>
                <w:lang w:val="en-GB"/>
              </w:rPr>
              <w:t>Chart 2 Contribution of expenditure items to real GDP change</w:t>
            </w:r>
            <w:r w:rsidRPr="00884D55">
              <w:rPr>
                <w:rFonts w:cs="Arial"/>
                <w:b/>
                <w:szCs w:val="20"/>
                <w:lang w:val="en-GB" w:eastAsia="en-US"/>
              </w:rPr>
              <w:t xml:space="preserve">* </w:t>
            </w:r>
            <w:r w:rsidRPr="00884D55">
              <w:rPr>
                <w:rFonts w:cs="Arial"/>
                <w:bCs/>
                <w:szCs w:val="20"/>
                <w:lang w:val="en-GB" w:eastAsia="en-US"/>
              </w:rPr>
              <w:t xml:space="preserve">(volume indices, year-on-year growth, contributions in p.p., GDP in %) </w:t>
            </w:r>
          </w:p>
        </w:tc>
      </w:tr>
      <w:tr w:rsidR="00803507" w:rsidRPr="00884D55" w14:paraId="30045134" w14:textId="77777777" w:rsidTr="00900097">
        <w:tblPrEx>
          <w:tblCellMar>
            <w:left w:w="70" w:type="dxa"/>
            <w:right w:w="70" w:type="dxa"/>
          </w:tblCellMar>
        </w:tblPrEx>
        <w:trPr>
          <w:trHeight w:val="154"/>
        </w:trPr>
        <w:tc>
          <w:tcPr>
            <w:tcW w:w="1806" w:type="dxa"/>
            <w:vMerge/>
          </w:tcPr>
          <w:p w14:paraId="11945965" w14:textId="77777777" w:rsidR="00803507" w:rsidRPr="00884D55" w:rsidRDefault="00803507" w:rsidP="00803507">
            <w:pPr>
              <w:pStyle w:val="Marginlie"/>
              <w:rPr>
                <w:lang w:val="en-GB"/>
              </w:rPr>
            </w:pPr>
          </w:p>
        </w:tc>
        <w:tc>
          <w:tcPr>
            <w:tcW w:w="210" w:type="dxa"/>
            <w:vMerge/>
          </w:tcPr>
          <w:p w14:paraId="03363044" w14:textId="77777777" w:rsidR="00803507" w:rsidRPr="00884D55" w:rsidRDefault="00803507" w:rsidP="00803507">
            <w:pPr>
              <w:pStyle w:val="Textpoznpodarou"/>
              <w:jc w:val="both"/>
              <w:rPr>
                <w:spacing w:val="-4"/>
                <w:lang w:val="en-GB"/>
              </w:rPr>
            </w:pPr>
          </w:p>
        </w:tc>
        <w:tc>
          <w:tcPr>
            <w:tcW w:w="7623" w:type="dxa"/>
            <w:shd w:val="clear" w:color="auto" w:fill="auto"/>
          </w:tcPr>
          <w:p w14:paraId="50E65980" w14:textId="25EA5B71" w:rsidR="00803507" w:rsidRPr="00884D55" w:rsidRDefault="00900097" w:rsidP="00803507">
            <w:pPr>
              <w:spacing w:after="0"/>
              <w:rPr>
                <w:lang w:val="en-GB"/>
              </w:rPr>
            </w:pPr>
            <w:r>
              <w:rPr>
                <w:noProof/>
              </w:rPr>
              <w:drawing>
                <wp:inline distT="0" distB="0" distL="0" distR="0" wp14:anchorId="77C3C58F" wp14:editId="4885C6F3">
                  <wp:extent cx="4743950" cy="3457950"/>
                  <wp:effectExtent l="0" t="0" r="0" b="0"/>
                  <wp:docPr id="7" name="Graf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03507" w:rsidRPr="00884D55" w14:paraId="21453A0A" w14:textId="77777777" w:rsidTr="00803507">
        <w:trPr>
          <w:trHeight w:val="154"/>
        </w:trPr>
        <w:tc>
          <w:tcPr>
            <w:tcW w:w="1806" w:type="dxa"/>
            <w:vMerge/>
            <w:tcMar>
              <w:left w:w="0" w:type="dxa"/>
            </w:tcMar>
          </w:tcPr>
          <w:p w14:paraId="30AC103B" w14:textId="77777777" w:rsidR="00803507" w:rsidRPr="00884D55" w:rsidRDefault="00803507" w:rsidP="00803507">
            <w:pPr>
              <w:pStyle w:val="Marginlie"/>
              <w:rPr>
                <w:lang w:val="en-GB"/>
              </w:rPr>
            </w:pPr>
          </w:p>
        </w:tc>
        <w:tc>
          <w:tcPr>
            <w:tcW w:w="210" w:type="dxa"/>
            <w:vMerge/>
            <w:tcMar>
              <w:left w:w="0" w:type="dxa"/>
            </w:tcMar>
          </w:tcPr>
          <w:p w14:paraId="53F78731"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5A0A41E2" w14:textId="77777777" w:rsidR="00803507" w:rsidRPr="00884D55" w:rsidRDefault="00803507" w:rsidP="00803507">
            <w:pPr>
              <w:spacing w:after="0"/>
              <w:rPr>
                <w:sz w:val="14"/>
                <w:szCs w:val="14"/>
                <w:lang w:val="en-GB"/>
              </w:rPr>
            </w:pPr>
            <w:r w:rsidRPr="00884D55">
              <w:rPr>
                <w:sz w:val="14"/>
                <w:szCs w:val="14"/>
                <w:lang w:val="en-GB"/>
              </w:rPr>
              <w:t>Source: CZSO</w:t>
            </w:r>
          </w:p>
          <w:p w14:paraId="4C101D6A" w14:textId="1C5C9A08" w:rsidR="00803507" w:rsidRPr="00900097" w:rsidRDefault="00803507" w:rsidP="00900097">
            <w:pPr>
              <w:rPr>
                <w:sz w:val="14"/>
                <w:szCs w:val="14"/>
                <w:lang w:val="en-GB"/>
              </w:rPr>
            </w:pPr>
            <w:r w:rsidRPr="00884D55">
              <w:rPr>
                <w:sz w:val="14"/>
                <w:szCs w:val="14"/>
                <w:lang w:val="en-GB"/>
              </w:rPr>
              <w:t>* after exclusion of imports for final us</w:t>
            </w:r>
            <w:r w:rsidR="00900097">
              <w:rPr>
                <w:sz w:val="14"/>
                <w:szCs w:val="14"/>
                <w:lang w:val="en-GB"/>
              </w:rPr>
              <w:t>e</w:t>
            </w:r>
          </w:p>
        </w:tc>
      </w:tr>
      <w:tr w:rsidR="00802430" w:rsidRPr="00884D55" w14:paraId="76A31615" w14:textId="77777777" w:rsidTr="00803507">
        <w:trPr>
          <w:trHeight w:val="145"/>
        </w:trPr>
        <w:tc>
          <w:tcPr>
            <w:tcW w:w="1806" w:type="dxa"/>
            <w:shd w:val="clear" w:color="auto" w:fill="auto"/>
            <w:tcMar>
              <w:left w:w="0" w:type="dxa"/>
            </w:tcMar>
          </w:tcPr>
          <w:p w14:paraId="317E28C3" w14:textId="64BA020E" w:rsidR="00802430" w:rsidRPr="00884D55" w:rsidRDefault="00802430" w:rsidP="00802430">
            <w:pPr>
              <w:pStyle w:val="Marginlie"/>
              <w:rPr>
                <w:lang w:val="en-GB"/>
              </w:rPr>
            </w:pPr>
            <w:r w:rsidRPr="00884D55">
              <w:rPr>
                <w:lang w:val="en-GB"/>
              </w:rPr>
              <w:t xml:space="preserve">Investment activity was shrinking last year. </w:t>
            </w:r>
          </w:p>
        </w:tc>
        <w:tc>
          <w:tcPr>
            <w:tcW w:w="210" w:type="dxa"/>
            <w:shd w:val="clear" w:color="auto" w:fill="auto"/>
            <w:tcMar>
              <w:left w:w="0" w:type="dxa"/>
            </w:tcMar>
          </w:tcPr>
          <w:p w14:paraId="4FEE9788" w14:textId="77777777" w:rsidR="00802430" w:rsidRPr="00884D55" w:rsidRDefault="00802430" w:rsidP="00802430">
            <w:pPr>
              <w:pStyle w:val="Textpoznpodarou"/>
              <w:jc w:val="both"/>
              <w:rPr>
                <w:spacing w:val="-4"/>
                <w:lang w:val="en-GB"/>
              </w:rPr>
            </w:pPr>
          </w:p>
        </w:tc>
        <w:tc>
          <w:tcPr>
            <w:tcW w:w="7623" w:type="dxa"/>
            <w:shd w:val="clear" w:color="auto" w:fill="auto"/>
            <w:tcMar>
              <w:left w:w="0" w:type="dxa"/>
            </w:tcMar>
          </w:tcPr>
          <w:p w14:paraId="0F381C51" w14:textId="78B22172" w:rsidR="00802430" w:rsidRPr="00884D55" w:rsidRDefault="00802430" w:rsidP="00802430">
            <w:pPr>
              <w:rPr>
                <w:lang w:val="en-GB"/>
              </w:rPr>
            </w:pPr>
            <w:r w:rsidRPr="00884D55">
              <w:rPr>
                <w:lang w:val="en-GB"/>
              </w:rPr>
              <w:t>Expenditure on gross capital formation fell for the second time in a row last year, specifically by 4.7%. In total, this component acted by 1.1 p. p. in the direction of a GDP decline. In that, the expenditure on gross fixed capital formation (investment) fell by 1.3% and inventory creation also decreased</w:t>
            </w:r>
            <w:r w:rsidRPr="00884D55">
              <w:rPr>
                <w:rStyle w:val="Znakapoznpodarou"/>
                <w:lang w:val="en-GB"/>
              </w:rPr>
              <w:footnoteReference w:id="10"/>
            </w:r>
            <w:r w:rsidRPr="00884D55">
              <w:rPr>
                <w:lang w:val="en-GB"/>
              </w:rPr>
              <w:t xml:space="preserve">. Expenditure on dwellings (−1.7%) and ICT and other machinery and equipment (−9.7%) decreased. On the other hand, </w:t>
            </w:r>
            <w:r w:rsidRPr="00884D55">
              <w:rPr>
                <w:lang w:val="en-GB"/>
              </w:rPr>
              <w:lastRenderedPageBreak/>
              <w:t xml:space="preserve">investments in transport equipment (8.5%), other buildings and structures (1.5%) and intellectual property products (1.1%) were higher. Expenditure on gross capital formation increased, year-on-year, (3.1%) for the first time since the end of 2022 in Q4. This was the result of the effect of a change in inventories, as investment itself fell for the fourth time in a row (−2.4%). The drop of investment concerned ICT and other machinery and equipment (−10.5%), dwellings (−2.0%) and intellectual property products (−0.7%). On the contrary, expenditure on transport equipment (7.3%) and other buildings and structures (1.0%) was higher, year-on-year. The expenditure on gross capital formation decreased by 0.4%, quarter-on-quarter. Investment activity fell by 1.5%. Only expenditure on ICT and other machinery and equipment was higher in the quarter-on-quarter comparison (1.7%). Investment in transport equipment (−4.0%), dwellings (−2.8%), intellectual property products (−2.2%) and other buildings and structures (−1.8%) dropped the most. </w:t>
            </w:r>
          </w:p>
        </w:tc>
      </w:tr>
      <w:tr w:rsidR="00802430" w:rsidRPr="00884D55" w14:paraId="6410C0C2" w14:textId="77777777" w:rsidTr="00803507">
        <w:trPr>
          <w:trHeight w:val="145"/>
        </w:trPr>
        <w:tc>
          <w:tcPr>
            <w:tcW w:w="1806" w:type="dxa"/>
            <w:shd w:val="clear" w:color="auto" w:fill="auto"/>
            <w:tcMar>
              <w:left w:w="0" w:type="dxa"/>
            </w:tcMar>
          </w:tcPr>
          <w:p w14:paraId="77D04388" w14:textId="77777777" w:rsidR="00802430" w:rsidRPr="00884D55" w:rsidRDefault="00802430" w:rsidP="00802430">
            <w:pPr>
              <w:pStyle w:val="Marginlie"/>
              <w:rPr>
                <w:lang w:val="en-GB"/>
              </w:rPr>
            </w:pPr>
            <w:bookmarkStart w:id="2" w:name="_Hlk193653493"/>
            <w:r w:rsidRPr="00884D55">
              <w:rPr>
                <w:lang w:val="en-GB"/>
              </w:rPr>
              <w:lastRenderedPageBreak/>
              <w:t xml:space="preserve">External demand slowed GDP growth at the end of the year. </w:t>
            </w:r>
            <w:bookmarkEnd w:id="2"/>
          </w:p>
        </w:tc>
        <w:tc>
          <w:tcPr>
            <w:tcW w:w="210" w:type="dxa"/>
            <w:shd w:val="clear" w:color="auto" w:fill="auto"/>
            <w:tcMar>
              <w:left w:w="0" w:type="dxa"/>
            </w:tcMar>
          </w:tcPr>
          <w:p w14:paraId="0BBBB790" w14:textId="77777777" w:rsidR="00802430" w:rsidRPr="00884D55" w:rsidRDefault="00802430" w:rsidP="00802430">
            <w:pPr>
              <w:pStyle w:val="Textpoznpodarou"/>
              <w:jc w:val="both"/>
              <w:rPr>
                <w:spacing w:val="-4"/>
                <w:lang w:val="en-GB"/>
              </w:rPr>
            </w:pPr>
          </w:p>
        </w:tc>
        <w:tc>
          <w:tcPr>
            <w:tcW w:w="7623" w:type="dxa"/>
            <w:shd w:val="clear" w:color="auto" w:fill="auto"/>
            <w:tcMar>
              <w:left w:w="0" w:type="dxa"/>
            </w:tcMar>
          </w:tcPr>
          <w:p w14:paraId="3B7DCC3B" w14:textId="77777777" w:rsidR="00802430" w:rsidRPr="00884D55" w:rsidRDefault="00802430" w:rsidP="00802430">
            <w:pPr>
              <w:rPr>
                <w:lang w:val="en-GB"/>
              </w:rPr>
            </w:pPr>
            <w:bookmarkStart w:id="3" w:name="_Hlk193653253"/>
            <w:r w:rsidRPr="00884D55">
              <w:rPr>
                <w:lang w:val="en-GB"/>
              </w:rPr>
              <w:t>The effect of external demand on GDP growth was slightly unfavourable for the whole year (−0.1 p. p.). While the external demand supported the year-on-year GDP growth in the first half of the year, the combination of a recovery of domestic consumption and a deterioration in export-oriented industries was reflected in a negative effect of external demand on GDP growt</w:t>
            </w:r>
            <w:r>
              <w:rPr>
                <w:lang w:val="en-GB"/>
              </w:rPr>
              <w:t>h</w:t>
            </w:r>
            <w:r w:rsidRPr="00884D55">
              <w:rPr>
                <w:lang w:val="en-GB"/>
              </w:rPr>
              <w:t xml:space="preserve"> towards the end of the year (−1.7 p. p. in Q4). The exports of goods and services</w:t>
            </w:r>
            <w:r w:rsidRPr="00884D55">
              <w:rPr>
                <w:rStyle w:val="Znakapoznpodarou"/>
                <w:lang w:val="en-GB"/>
              </w:rPr>
              <w:footnoteReference w:id="11"/>
            </w:r>
            <w:r w:rsidRPr="00884D55">
              <w:rPr>
                <w:lang w:val="en-GB"/>
              </w:rPr>
              <w:t xml:space="preserve"> increased by 1.5% in real terms for the whole year. Growth of goods exports weakened to 0.6%, while services maintained a solid pace (6.1%). In contrast, the imports of goods and services rose by 0.7%. While imports of goods decreased by 0.7%, imports of services were higher by 7.8%. The balance of international trade with goods and services reached a surplus of 525.6 bn CZK last year. The surplus increased by 141.2 bn CZK, mostly due to trade with goods (an increase of 121.2 bn CZK), but services also contributed (+20.0 bn). </w:t>
            </w:r>
            <w:bookmarkEnd w:id="3"/>
          </w:p>
        </w:tc>
      </w:tr>
      <w:tr w:rsidR="00802430" w:rsidRPr="00884D55" w14:paraId="1D7C4FF8" w14:textId="77777777" w:rsidTr="00803507">
        <w:trPr>
          <w:trHeight w:val="145"/>
        </w:trPr>
        <w:tc>
          <w:tcPr>
            <w:tcW w:w="1806" w:type="dxa"/>
            <w:shd w:val="clear" w:color="auto" w:fill="auto"/>
            <w:tcMar>
              <w:left w:w="0" w:type="dxa"/>
            </w:tcMar>
          </w:tcPr>
          <w:p w14:paraId="71BFBDB2" w14:textId="77777777" w:rsidR="00802430" w:rsidRPr="00884D55" w:rsidRDefault="00802430" w:rsidP="00802430">
            <w:pPr>
              <w:pStyle w:val="Marginlie"/>
              <w:rPr>
                <w:lang w:val="en-GB"/>
              </w:rPr>
            </w:pPr>
            <w:r w:rsidRPr="00884D55">
              <w:rPr>
                <w:lang w:val="en-GB"/>
              </w:rPr>
              <w:t xml:space="preserve">International trade balance attained a substantial surplus. </w:t>
            </w:r>
          </w:p>
        </w:tc>
        <w:tc>
          <w:tcPr>
            <w:tcW w:w="210" w:type="dxa"/>
            <w:shd w:val="clear" w:color="auto" w:fill="auto"/>
            <w:tcMar>
              <w:left w:w="0" w:type="dxa"/>
            </w:tcMar>
          </w:tcPr>
          <w:p w14:paraId="63DD5318" w14:textId="77777777" w:rsidR="00802430" w:rsidRPr="00884D55" w:rsidRDefault="00802430" w:rsidP="00802430">
            <w:pPr>
              <w:pStyle w:val="Textpoznpodarou"/>
              <w:jc w:val="both"/>
              <w:rPr>
                <w:spacing w:val="-4"/>
                <w:lang w:val="en-GB"/>
              </w:rPr>
            </w:pPr>
          </w:p>
        </w:tc>
        <w:tc>
          <w:tcPr>
            <w:tcW w:w="7623" w:type="dxa"/>
            <w:shd w:val="clear" w:color="auto" w:fill="auto"/>
            <w:tcMar>
              <w:left w:w="0" w:type="dxa"/>
            </w:tcMar>
          </w:tcPr>
          <w:p w14:paraId="3CC99C41" w14:textId="77777777" w:rsidR="00802430" w:rsidRPr="00884D55" w:rsidRDefault="00802430" w:rsidP="00802430">
            <w:pPr>
              <w:rPr>
                <w:lang w:val="en-GB"/>
              </w:rPr>
            </w:pPr>
            <w:bookmarkStart w:id="4" w:name="_Hlk193654364"/>
            <w:r w:rsidRPr="00884D55">
              <w:rPr>
                <w:lang w:val="en-GB"/>
              </w:rPr>
              <w:t>In Q4 alone, the exports of goods and services increased by 1.3% in real terms, year-on-year. Increase of exports of goods weakened to 0.6% and services to 4.4%. The year-on-year growth rate of imports (3.1%) significantly exceeded the increase in exports in Q4, which was also the reason for the considerably negative effect of external demand on the GDP growth. Imports of goods were higher by 2.0% and services by 8.5%. Although both sides of international trade increased, year-on-year, in Q4, the end of the year brought a decline in exports (−1.5%) as well as imports (−1.8%) from a quarter-on-quarter perspective. The balance of international trade with goods and services reached a surplus of 129.2 bn CZK in Q4, which was a year-on-year improvement of 5.1 bn CZK. The balance of trade with goods and services contributed similarly to this modest improvement.</w:t>
            </w:r>
            <w:bookmarkEnd w:id="4"/>
          </w:p>
        </w:tc>
      </w:tr>
      <w:tr w:rsidR="00802430" w:rsidRPr="00884D55" w14:paraId="0D578B07" w14:textId="77777777" w:rsidTr="00803507">
        <w:trPr>
          <w:trHeight w:val="145"/>
        </w:trPr>
        <w:tc>
          <w:tcPr>
            <w:tcW w:w="1806" w:type="dxa"/>
            <w:shd w:val="clear" w:color="auto" w:fill="auto"/>
            <w:tcMar>
              <w:left w:w="0" w:type="dxa"/>
            </w:tcMar>
          </w:tcPr>
          <w:p w14:paraId="45149537" w14:textId="77777777" w:rsidR="00802430" w:rsidRPr="00884D55" w:rsidRDefault="00802430" w:rsidP="00802430">
            <w:pPr>
              <w:pStyle w:val="Marginlie"/>
              <w:rPr>
                <w:lang w:val="en-GB"/>
              </w:rPr>
            </w:pPr>
            <w:r w:rsidRPr="00884D55">
              <w:rPr>
                <w:lang w:val="en-GB"/>
              </w:rPr>
              <w:t xml:space="preserve">Gross value added mildly increased last year. </w:t>
            </w:r>
          </w:p>
        </w:tc>
        <w:tc>
          <w:tcPr>
            <w:tcW w:w="210" w:type="dxa"/>
            <w:shd w:val="clear" w:color="auto" w:fill="auto"/>
            <w:tcMar>
              <w:left w:w="0" w:type="dxa"/>
            </w:tcMar>
          </w:tcPr>
          <w:p w14:paraId="41AD3AB1" w14:textId="77777777" w:rsidR="00802430" w:rsidRPr="00884D55" w:rsidRDefault="00802430" w:rsidP="00802430">
            <w:pPr>
              <w:pStyle w:val="Textpoznpodarou"/>
              <w:jc w:val="both"/>
              <w:rPr>
                <w:spacing w:val="-4"/>
                <w:lang w:val="en-GB"/>
              </w:rPr>
            </w:pPr>
          </w:p>
        </w:tc>
        <w:tc>
          <w:tcPr>
            <w:tcW w:w="7623" w:type="dxa"/>
            <w:shd w:val="clear" w:color="auto" w:fill="auto"/>
            <w:tcMar>
              <w:left w:w="0" w:type="dxa"/>
            </w:tcMar>
          </w:tcPr>
          <w:p w14:paraId="2DB17EBB" w14:textId="77777777" w:rsidR="00802430" w:rsidRPr="00884D55" w:rsidRDefault="00802430" w:rsidP="00802430">
            <w:pPr>
              <w:rPr>
                <w:lang w:val="en-GB"/>
              </w:rPr>
            </w:pPr>
            <w:bookmarkStart w:id="5" w:name="_Hlk193654860"/>
            <w:r w:rsidRPr="00884D55">
              <w:rPr>
                <w:lang w:val="en-GB"/>
              </w:rPr>
              <w:t>Gross value added (GVA) increased by 0.3%</w:t>
            </w:r>
            <w:r w:rsidRPr="00884D55">
              <w:rPr>
                <w:rStyle w:val="Znakapoznpodarou"/>
                <w:lang w:val="en-GB"/>
              </w:rPr>
              <w:footnoteReference w:id="12"/>
            </w:r>
            <w:r w:rsidRPr="00884D55">
              <w:rPr>
                <w:lang w:val="en-GB"/>
              </w:rPr>
              <w:t xml:space="preserve"> in total in 2024. The development for the whole year featured a weak performance in manufacturing (total GVA decline by 1.6%), which was compensated by services branches boosted by revived consumer demand. The GVA was higher particularly in financial and insurance activities (4.7%), information and communication (2.1%), other activities (1.8%) and in group of economic activities trade, transport, accommodation and food service activities (1.4%), year-on-year.  </w:t>
            </w:r>
            <w:bookmarkEnd w:id="5"/>
          </w:p>
        </w:tc>
      </w:tr>
      <w:tr w:rsidR="0079597E" w:rsidRPr="00884D55" w14:paraId="41199B0F" w14:textId="77777777" w:rsidTr="00803507">
        <w:trPr>
          <w:trHeight w:val="145"/>
        </w:trPr>
        <w:tc>
          <w:tcPr>
            <w:tcW w:w="1806" w:type="dxa"/>
            <w:shd w:val="clear" w:color="auto" w:fill="auto"/>
            <w:tcMar>
              <w:left w:w="0" w:type="dxa"/>
            </w:tcMar>
          </w:tcPr>
          <w:p w14:paraId="0B590C34" w14:textId="03B39EC0" w:rsidR="0079597E" w:rsidRDefault="0079597E" w:rsidP="0079597E">
            <w:pPr>
              <w:pStyle w:val="Marginlie"/>
              <w:rPr>
                <w:lang w:val="en-GB"/>
              </w:rPr>
            </w:pPr>
            <w:r w:rsidRPr="00884D55">
              <w:rPr>
                <w:lang w:val="en-GB"/>
              </w:rPr>
              <w:t>Services thrived more in Q4.</w:t>
            </w:r>
          </w:p>
        </w:tc>
        <w:tc>
          <w:tcPr>
            <w:tcW w:w="210" w:type="dxa"/>
            <w:shd w:val="clear" w:color="auto" w:fill="auto"/>
            <w:tcMar>
              <w:left w:w="0" w:type="dxa"/>
            </w:tcMar>
          </w:tcPr>
          <w:p w14:paraId="7235EBF9" w14:textId="77777777" w:rsidR="0079597E" w:rsidRPr="00884D55" w:rsidRDefault="0079597E" w:rsidP="0079597E">
            <w:pPr>
              <w:pStyle w:val="Textpoznpodarou"/>
              <w:jc w:val="both"/>
              <w:rPr>
                <w:spacing w:val="-4"/>
                <w:lang w:val="en-GB"/>
              </w:rPr>
            </w:pPr>
          </w:p>
        </w:tc>
        <w:tc>
          <w:tcPr>
            <w:tcW w:w="7623" w:type="dxa"/>
            <w:shd w:val="clear" w:color="auto" w:fill="auto"/>
            <w:tcMar>
              <w:left w:w="0" w:type="dxa"/>
            </w:tcMar>
          </w:tcPr>
          <w:p w14:paraId="19AA9B6E" w14:textId="7C487B6A" w:rsidR="0079597E" w:rsidRPr="00884D55" w:rsidRDefault="0079597E" w:rsidP="0079597E">
            <w:pPr>
              <w:rPr>
                <w:lang w:val="en-GB"/>
              </w:rPr>
            </w:pPr>
            <w:bookmarkStart w:id="7" w:name="_Hlk193656323"/>
            <w:r w:rsidRPr="00884D55">
              <w:rPr>
                <w:lang w:val="en-GB"/>
              </w:rPr>
              <w:t xml:space="preserve">The GVA increased by 1.1%, year-on-year, in Q4 alone. GVA growth was driven forward by services, while industry as a whole fell by 2.2% and manufacturing itself by </w:t>
            </w:r>
            <w:r w:rsidRPr="00884D55">
              <w:rPr>
                <w:lang w:val="en-GB"/>
              </w:rPr>
              <w:lastRenderedPageBreak/>
              <w:t xml:space="preserve">1.5%. GVA was higher, year-on-year, in financial and insurance activities (6.1%), in other activities (3.4%), in division trade, transport, accommodation and food service activities (3.0%), information and communication (2.7%) or real estate activities (2.1%). Gross value added also increased in construction (2.4%), year-on-year. GVA increased only slightly, year-on-year, in public administration and defence, education, health and social work activities (1.3%) and professional, scientific, technical and administrative activities (1.2%). GVA stagnated in agriculture, forestry and fishing, year-on-year. </w:t>
            </w:r>
            <w:bookmarkEnd w:id="7"/>
          </w:p>
        </w:tc>
      </w:tr>
      <w:tr w:rsidR="0079597E" w:rsidRPr="00884D55" w14:paraId="3608F89E" w14:textId="77777777" w:rsidTr="00803507">
        <w:trPr>
          <w:trHeight w:val="170"/>
        </w:trPr>
        <w:tc>
          <w:tcPr>
            <w:tcW w:w="1806" w:type="dxa"/>
            <w:vMerge w:val="restart"/>
            <w:shd w:val="clear" w:color="auto" w:fill="auto"/>
            <w:tcMar>
              <w:left w:w="0" w:type="dxa"/>
            </w:tcMar>
          </w:tcPr>
          <w:p w14:paraId="727D3CC5" w14:textId="66FFBED2" w:rsidR="0079597E" w:rsidRPr="00884D55" w:rsidRDefault="0079597E" w:rsidP="0079597E">
            <w:pPr>
              <w:pStyle w:val="Marginlie"/>
              <w:rPr>
                <w:lang w:val="en-GB"/>
              </w:rPr>
            </w:pPr>
          </w:p>
        </w:tc>
        <w:tc>
          <w:tcPr>
            <w:tcW w:w="210" w:type="dxa"/>
            <w:vMerge w:val="restart"/>
            <w:shd w:val="clear" w:color="auto" w:fill="auto"/>
            <w:tcMar>
              <w:left w:w="0" w:type="dxa"/>
            </w:tcMar>
          </w:tcPr>
          <w:p w14:paraId="4991385E" w14:textId="77777777" w:rsidR="0079597E" w:rsidRPr="00884D55" w:rsidRDefault="0079597E" w:rsidP="0079597E">
            <w:pPr>
              <w:pStyle w:val="Textpoznpodarou"/>
              <w:jc w:val="both"/>
              <w:rPr>
                <w:spacing w:val="-4"/>
                <w:lang w:val="en-GB"/>
              </w:rPr>
            </w:pPr>
          </w:p>
        </w:tc>
        <w:tc>
          <w:tcPr>
            <w:tcW w:w="7623" w:type="dxa"/>
            <w:shd w:val="clear" w:color="auto" w:fill="auto"/>
            <w:tcMar>
              <w:left w:w="0" w:type="dxa"/>
            </w:tcMar>
          </w:tcPr>
          <w:p w14:paraId="632C5014" w14:textId="2BC2B0A7" w:rsidR="0079597E" w:rsidRPr="00884D55" w:rsidRDefault="0079597E" w:rsidP="0079597E">
            <w:pPr>
              <w:spacing w:after="0"/>
              <w:rPr>
                <w:lang w:val="en-GB"/>
              </w:rPr>
            </w:pPr>
            <w:r w:rsidRPr="00884D55">
              <w:rPr>
                <w:b/>
                <w:szCs w:val="20"/>
                <w:lang w:val="en-GB"/>
              </w:rPr>
              <w:t>Chart 3 Contributions</w:t>
            </w:r>
            <w:r w:rsidRPr="00884D55">
              <w:rPr>
                <w:b/>
                <w:szCs w:val="20"/>
                <w:lang w:val="en-GB" w:eastAsia="en-US"/>
              </w:rPr>
              <w:t xml:space="preserve"> of branches to real change in GVA</w:t>
            </w:r>
            <w:r w:rsidRPr="00884D55">
              <w:rPr>
                <w:rFonts w:cs="Arial"/>
                <w:b/>
                <w:szCs w:val="20"/>
                <w:lang w:val="en-GB" w:eastAsia="en-US"/>
              </w:rPr>
              <w:t xml:space="preserve"> </w:t>
            </w:r>
            <w:r w:rsidRPr="00884D55">
              <w:rPr>
                <w:rFonts w:cs="Arial"/>
                <w:bCs/>
                <w:szCs w:val="20"/>
                <w:lang w:val="en-GB" w:eastAsia="en-US"/>
              </w:rPr>
              <w:t>(volume indices, year-on-year contributions in p.p., GVA in %)</w:t>
            </w:r>
            <w:r w:rsidRPr="00884D55">
              <w:rPr>
                <w:rFonts w:cs="Arial"/>
                <w:szCs w:val="20"/>
                <w:lang w:val="en-GB" w:eastAsia="en-US"/>
              </w:rPr>
              <w:t xml:space="preserve"> </w:t>
            </w:r>
          </w:p>
        </w:tc>
      </w:tr>
      <w:tr w:rsidR="0079597E" w:rsidRPr="00884D55" w14:paraId="6852A032" w14:textId="77777777" w:rsidTr="00900097">
        <w:tblPrEx>
          <w:tblCellMar>
            <w:left w:w="70" w:type="dxa"/>
            <w:right w:w="70" w:type="dxa"/>
          </w:tblCellMar>
        </w:tblPrEx>
        <w:trPr>
          <w:trHeight w:val="170"/>
        </w:trPr>
        <w:tc>
          <w:tcPr>
            <w:tcW w:w="1806" w:type="dxa"/>
            <w:vMerge/>
          </w:tcPr>
          <w:p w14:paraId="113687B7" w14:textId="77777777" w:rsidR="0079597E" w:rsidRPr="00884D55" w:rsidRDefault="0079597E" w:rsidP="0079597E">
            <w:pPr>
              <w:pStyle w:val="Marginlie"/>
              <w:rPr>
                <w:lang w:val="en-GB"/>
              </w:rPr>
            </w:pPr>
          </w:p>
        </w:tc>
        <w:tc>
          <w:tcPr>
            <w:tcW w:w="210" w:type="dxa"/>
            <w:vMerge/>
          </w:tcPr>
          <w:p w14:paraId="74012170" w14:textId="77777777" w:rsidR="0079597E" w:rsidRPr="00884D55" w:rsidRDefault="0079597E" w:rsidP="0079597E">
            <w:pPr>
              <w:pStyle w:val="Textpoznpodarou"/>
              <w:jc w:val="both"/>
              <w:rPr>
                <w:spacing w:val="-4"/>
                <w:lang w:val="en-GB"/>
              </w:rPr>
            </w:pPr>
          </w:p>
        </w:tc>
        <w:tc>
          <w:tcPr>
            <w:tcW w:w="7623" w:type="dxa"/>
            <w:shd w:val="clear" w:color="auto" w:fill="auto"/>
          </w:tcPr>
          <w:p w14:paraId="6A6CBB19" w14:textId="43799E82" w:rsidR="0079597E" w:rsidRPr="00884D55" w:rsidRDefault="0079597E" w:rsidP="0079597E">
            <w:pPr>
              <w:spacing w:after="0"/>
              <w:rPr>
                <w:lang w:val="en-GB"/>
              </w:rPr>
            </w:pPr>
            <w:r>
              <w:rPr>
                <w:noProof/>
              </w:rPr>
              <w:drawing>
                <wp:inline distT="0" distB="0" distL="0" distR="0" wp14:anchorId="7E11057B" wp14:editId="340315A2">
                  <wp:extent cx="4734425" cy="3486525"/>
                  <wp:effectExtent l="0" t="0" r="0" b="0"/>
                  <wp:docPr id="9" name="Graf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79597E" w:rsidRPr="00884D55" w14:paraId="34F18470" w14:textId="77777777" w:rsidTr="00803507">
        <w:trPr>
          <w:trHeight w:val="170"/>
        </w:trPr>
        <w:tc>
          <w:tcPr>
            <w:tcW w:w="1806" w:type="dxa"/>
            <w:vMerge/>
            <w:tcMar>
              <w:left w:w="0" w:type="dxa"/>
            </w:tcMar>
          </w:tcPr>
          <w:p w14:paraId="44D89081" w14:textId="77777777" w:rsidR="0079597E" w:rsidRPr="00884D55" w:rsidRDefault="0079597E" w:rsidP="0079597E">
            <w:pPr>
              <w:pStyle w:val="Marginlie"/>
              <w:rPr>
                <w:lang w:val="en-GB"/>
              </w:rPr>
            </w:pPr>
          </w:p>
        </w:tc>
        <w:tc>
          <w:tcPr>
            <w:tcW w:w="210" w:type="dxa"/>
            <w:vMerge/>
            <w:tcMar>
              <w:left w:w="0" w:type="dxa"/>
            </w:tcMar>
          </w:tcPr>
          <w:p w14:paraId="432C85BF" w14:textId="77777777" w:rsidR="0079597E" w:rsidRPr="00884D55" w:rsidRDefault="0079597E" w:rsidP="0079597E">
            <w:pPr>
              <w:pStyle w:val="Textpoznpodarou"/>
              <w:jc w:val="both"/>
              <w:rPr>
                <w:spacing w:val="-4"/>
                <w:lang w:val="en-GB"/>
              </w:rPr>
            </w:pPr>
          </w:p>
        </w:tc>
        <w:tc>
          <w:tcPr>
            <w:tcW w:w="7623" w:type="dxa"/>
            <w:shd w:val="clear" w:color="auto" w:fill="auto"/>
            <w:tcMar>
              <w:left w:w="0" w:type="dxa"/>
            </w:tcMar>
          </w:tcPr>
          <w:p w14:paraId="132CB391" w14:textId="3DF384F6" w:rsidR="0079597E" w:rsidRPr="00884D55" w:rsidRDefault="0079597E" w:rsidP="0079597E">
            <w:pPr>
              <w:rPr>
                <w:b/>
                <w:bCs/>
                <w:sz w:val="16"/>
                <w:szCs w:val="16"/>
                <w:lang w:val="en-GB"/>
              </w:rPr>
            </w:pPr>
            <w:r w:rsidRPr="00884D55">
              <w:rPr>
                <w:sz w:val="14"/>
                <w:szCs w:val="14"/>
                <w:lang w:val="en-GB"/>
              </w:rPr>
              <w:t>Source: CZSO</w:t>
            </w:r>
          </w:p>
        </w:tc>
      </w:tr>
      <w:tr w:rsidR="0079597E" w:rsidRPr="00884D55" w14:paraId="52575894" w14:textId="77777777" w:rsidTr="00803507">
        <w:trPr>
          <w:trHeight w:val="145"/>
        </w:trPr>
        <w:tc>
          <w:tcPr>
            <w:tcW w:w="1806" w:type="dxa"/>
            <w:shd w:val="clear" w:color="auto" w:fill="auto"/>
            <w:tcMar>
              <w:left w:w="0" w:type="dxa"/>
            </w:tcMar>
          </w:tcPr>
          <w:p w14:paraId="6BED5F06" w14:textId="7F95300B" w:rsidR="0079597E" w:rsidRPr="00884D55" w:rsidRDefault="0079597E" w:rsidP="0079597E">
            <w:pPr>
              <w:pStyle w:val="Marginlie"/>
              <w:rPr>
                <w:lang w:val="en-GB"/>
              </w:rPr>
            </w:pPr>
            <w:r w:rsidRPr="00884D55">
              <w:rPr>
                <w:lang w:val="en-GB"/>
              </w:rPr>
              <w:t xml:space="preserve">GVA grew, quarter-on-quarter, in manufacturing as well as several services. </w:t>
            </w:r>
          </w:p>
        </w:tc>
        <w:tc>
          <w:tcPr>
            <w:tcW w:w="210" w:type="dxa"/>
            <w:shd w:val="clear" w:color="auto" w:fill="auto"/>
            <w:tcMar>
              <w:left w:w="0" w:type="dxa"/>
            </w:tcMar>
          </w:tcPr>
          <w:p w14:paraId="0C634891" w14:textId="77777777" w:rsidR="0079597E" w:rsidRPr="00884D55" w:rsidRDefault="0079597E" w:rsidP="0079597E">
            <w:pPr>
              <w:pStyle w:val="Textpoznpodarou"/>
              <w:jc w:val="both"/>
              <w:rPr>
                <w:spacing w:val="-4"/>
                <w:lang w:val="en-GB"/>
              </w:rPr>
            </w:pPr>
          </w:p>
        </w:tc>
        <w:tc>
          <w:tcPr>
            <w:tcW w:w="7623" w:type="dxa"/>
            <w:shd w:val="clear" w:color="auto" w:fill="auto"/>
            <w:tcMar>
              <w:left w:w="0" w:type="dxa"/>
            </w:tcMar>
          </w:tcPr>
          <w:p w14:paraId="57E39EFE" w14:textId="2DD5D690" w:rsidR="0079597E" w:rsidRPr="00884D55" w:rsidRDefault="0079597E" w:rsidP="0079597E">
            <w:pPr>
              <w:spacing w:after="0"/>
              <w:rPr>
                <w:lang w:val="en-GB"/>
              </w:rPr>
            </w:pPr>
            <w:bookmarkStart w:id="8" w:name="_Hlk193657879"/>
            <w:r w:rsidRPr="00884D55">
              <w:rPr>
                <w:lang w:val="en-GB"/>
              </w:rPr>
              <w:t xml:space="preserve">Compared to the previous quarter, GVA did not change in real terms in Q4. The decline was mainly due to the development in industry as a whole (GVA decreased by −1.1% here – while manufacturing grew by 1.0%). GVA also decreased in financial and insurance activities (−1.8%), professional, scientific, technical and administrative activities (−0.3%), and information and communication (−0.1%). On the contrary, there was a significant recovery in real estate activities (2.2%) at the end of the year, GVA grew in other activities (1.1%), in agriculture, forestry and fishing (0.8%), in division trade, transport, accommodation and food service activities (0.4%) and in construction (0.2%). GVA stagnated, quarter-on-quarter, in public administration and defence, education, health and social care. </w:t>
            </w:r>
            <w:bookmarkEnd w:id="8"/>
          </w:p>
        </w:tc>
      </w:tr>
    </w:tbl>
    <w:p w14:paraId="7BEE0B97" w14:textId="77777777" w:rsidR="00803507" w:rsidRPr="00884D55" w:rsidRDefault="00803507" w:rsidP="00803507">
      <w:pPr>
        <w:rPr>
          <w:lang w:val="en-GB"/>
        </w:rPr>
      </w:pPr>
    </w:p>
    <w:p w14:paraId="763F9A49" w14:textId="555F9ACF" w:rsidR="00803507" w:rsidRPr="00884D55" w:rsidRDefault="00803507" w:rsidP="00803507">
      <w:pPr>
        <w:spacing w:after="0" w:line="240" w:lineRule="auto"/>
        <w:jc w:val="left"/>
        <w:rPr>
          <w:rFonts w:eastAsia="MS Gothic"/>
          <w:b/>
          <w:bCs/>
          <w:color w:val="86BF5E"/>
          <w:sz w:val="32"/>
          <w:szCs w:val="32"/>
          <w:highlight w:val="yellow"/>
          <w:lang w:val="en-GB"/>
        </w:rPr>
      </w:pPr>
      <w:bookmarkStart w:id="9" w:name="_GoBack"/>
      <w:bookmarkEnd w:id="9"/>
    </w:p>
    <w:bookmarkEnd w:id="1"/>
    <w:sectPr w:rsidR="00803507" w:rsidRPr="00884D55" w:rsidSect="00D15888">
      <w:headerReference w:type="even" r:id="rId14"/>
      <w:headerReference w:type="default" r:id="rId15"/>
      <w:footerReference w:type="even" r:id="rId16"/>
      <w:footerReference w:type="default" r:id="rId17"/>
      <w:pgSz w:w="11906" w:h="16838" w:code="9"/>
      <w:pgMar w:top="1134" w:right="1134" w:bottom="1418" w:left="1134" w:header="680" w:footer="68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545" w14:textId="77777777" w:rsidR="006145FA" w:rsidRDefault="006145FA" w:rsidP="00E71A58">
      <w:r>
        <w:separator/>
      </w:r>
    </w:p>
  </w:endnote>
  <w:endnote w:type="continuationSeparator" w:id="0">
    <w:p w14:paraId="3C0B90D9" w14:textId="77777777" w:rsidR="006145FA" w:rsidRDefault="006145FA" w:rsidP="00E71A58">
      <w:r>
        <w:continuationSeparator/>
      </w:r>
    </w:p>
  </w:endnote>
  <w:endnote w:type="continuationNotice" w:id="1">
    <w:p w14:paraId="1EBDFB32" w14:textId="77777777" w:rsidR="006145FA" w:rsidRDefault="006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8" w14:textId="71E8BD84" w:rsidR="006145FA" w:rsidRPr="00932443" w:rsidRDefault="006145FA"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D15888">
      <w:rPr>
        <w:szCs w:val="16"/>
      </w:rPr>
      <w:t>10</w:t>
    </w:r>
    <w:r w:rsidRPr="00932443">
      <w:rPr>
        <w:szCs w:val="16"/>
      </w:rPr>
      <w:fldChar w:fldCharType="end"/>
    </w:r>
    <w:r w:rsidRPr="00932443">
      <w:rPr>
        <w:szCs w:val="16"/>
      </w:rPr>
      <w:tab/>
    </w:r>
    <w:r>
      <w:rPr>
        <w:szCs w:val="16"/>
      </w:rPr>
      <w:t>Year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12083822" w:rsidR="006145FA" w:rsidRPr="00932443" w:rsidRDefault="006145FA"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Year 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D15888">
      <w:rPr>
        <w:rStyle w:val="ZpatChar"/>
        <w:szCs w:val="16"/>
      </w:rPr>
      <w:t>11</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6EFC" w14:textId="77777777" w:rsidR="006145FA" w:rsidRDefault="006145FA" w:rsidP="00EA4302">
      <w:pPr>
        <w:spacing w:after="0"/>
      </w:pPr>
      <w:r>
        <w:separator/>
      </w:r>
    </w:p>
  </w:footnote>
  <w:footnote w:type="continuationSeparator" w:id="0">
    <w:p w14:paraId="1A4436FD" w14:textId="77777777" w:rsidR="006145FA" w:rsidRDefault="006145FA" w:rsidP="00E71A58">
      <w:r>
        <w:continuationSeparator/>
      </w:r>
    </w:p>
  </w:footnote>
  <w:footnote w:type="continuationNotice" w:id="1">
    <w:p w14:paraId="4F32D3FB" w14:textId="77777777" w:rsidR="006145FA" w:rsidRDefault="006145FA">
      <w:pPr>
        <w:spacing w:after="0" w:line="240" w:lineRule="auto"/>
      </w:pPr>
    </w:p>
  </w:footnote>
  <w:footnote w:id="2">
    <w:p w14:paraId="0EEFE450" w14:textId="77777777" w:rsidR="006145FA" w:rsidRPr="005A2AF2" w:rsidRDefault="006145FA" w:rsidP="00803507">
      <w:pPr>
        <w:pStyle w:val="Textpoznpodarou"/>
        <w:jc w:val="both"/>
        <w:rPr>
          <w:sz w:val="16"/>
          <w:szCs w:val="16"/>
          <w:lang w:val="en-GB"/>
        </w:rPr>
      </w:pPr>
      <w:r w:rsidRPr="000348AF">
        <w:rPr>
          <w:rStyle w:val="Znakapoznpodarou"/>
          <w:sz w:val="16"/>
          <w:szCs w:val="16"/>
        </w:rPr>
        <w:footnoteRef/>
      </w:r>
      <w:r w:rsidRPr="000348AF">
        <w:rPr>
          <w:sz w:val="16"/>
          <w:szCs w:val="16"/>
        </w:rPr>
        <w:t xml:space="preserve"> </w:t>
      </w:r>
      <w:r w:rsidRPr="005A2AF2">
        <w:rPr>
          <w:sz w:val="16"/>
          <w:szCs w:val="16"/>
          <w:lang w:val="en-GB"/>
        </w:rPr>
        <w:t>The development of the GDP, gross value added and their components is expressed with the help of the volume indices (i.e. adjusted for changes in prices) and adjusted for seasonal and calendar effects. Data are valid as of 2</w:t>
      </w:r>
      <w:r w:rsidRPr="005A2AF2">
        <w:rPr>
          <w:sz w:val="16"/>
          <w:szCs w:val="16"/>
          <w:vertAlign w:val="superscript"/>
          <w:lang w:val="en-GB"/>
        </w:rPr>
        <w:t>nd</w:t>
      </w:r>
      <w:r w:rsidRPr="005A2AF2">
        <w:rPr>
          <w:sz w:val="16"/>
          <w:szCs w:val="16"/>
          <w:lang w:val="en-GB"/>
        </w:rPr>
        <w:t xml:space="preserve"> February 2025.</w:t>
      </w:r>
    </w:p>
  </w:footnote>
  <w:footnote w:id="3">
    <w:p w14:paraId="24169BC5" w14:textId="77777777" w:rsidR="006145FA" w:rsidRPr="005A2AF2" w:rsidRDefault="006145FA" w:rsidP="00803507">
      <w:pPr>
        <w:pStyle w:val="Textpoznpodarou"/>
        <w:jc w:val="both"/>
        <w:rPr>
          <w:sz w:val="16"/>
          <w:szCs w:val="16"/>
          <w:lang w:val="en-GB"/>
        </w:rPr>
      </w:pPr>
      <w:r w:rsidRPr="005A2AF2">
        <w:rPr>
          <w:rStyle w:val="Znakapoznpodarou"/>
          <w:sz w:val="16"/>
          <w:szCs w:val="16"/>
          <w:lang w:val="en-GB"/>
        </w:rPr>
        <w:footnoteRef/>
      </w:r>
      <w:r w:rsidRPr="005A2AF2">
        <w:rPr>
          <w:sz w:val="16"/>
          <w:szCs w:val="16"/>
          <w:lang w:val="en-GB"/>
        </w:rPr>
        <w:t xml:space="preserve"> Figure was not available for Greece and Luxembourg. </w:t>
      </w:r>
    </w:p>
  </w:footnote>
  <w:footnote w:id="4">
    <w:p w14:paraId="12628BB7" w14:textId="77777777" w:rsidR="006145FA" w:rsidRPr="009C40F9" w:rsidRDefault="006145FA" w:rsidP="00803507">
      <w:pPr>
        <w:pStyle w:val="Textpoznpodarou"/>
        <w:jc w:val="both"/>
        <w:rPr>
          <w:lang w:val="en-GB"/>
        </w:rPr>
      </w:pPr>
      <w:r w:rsidRPr="009C40F9">
        <w:rPr>
          <w:rStyle w:val="Znakapoznpodarou"/>
          <w:sz w:val="16"/>
          <w:szCs w:val="16"/>
          <w:lang w:val="en-GB"/>
        </w:rPr>
        <w:footnoteRef/>
      </w:r>
      <w:r w:rsidRPr="009C40F9">
        <w:rPr>
          <w:sz w:val="16"/>
          <w:szCs w:val="16"/>
          <w:lang w:val="en-GB"/>
        </w:rPr>
        <w:t xml:space="preserve"> </w:t>
      </w:r>
      <w:r>
        <w:rPr>
          <w:sz w:val="16"/>
          <w:szCs w:val="16"/>
          <w:lang w:val="en-GB"/>
        </w:rPr>
        <w:t xml:space="preserve">Without Bulgaria, Greece, Luxembourg, Romania and Slovakia. </w:t>
      </w:r>
    </w:p>
  </w:footnote>
  <w:footnote w:id="5">
    <w:p w14:paraId="6996B954" w14:textId="77777777" w:rsidR="006145FA" w:rsidRPr="009C40F9" w:rsidRDefault="006145FA" w:rsidP="00803507">
      <w:pPr>
        <w:pStyle w:val="Textpoznpodarou"/>
        <w:jc w:val="both"/>
        <w:rPr>
          <w:lang w:val="en-GB"/>
        </w:rPr>
      </w:pPr>
      <w:r w:rsidRPr="009C40F9">
        <w:rPr>
          <w:rStyle w:val="Znakapoznpodarou"/>
          <w:sz w:val="16"/>
          <w:szCs w:val="16"/>
          <w:lang w:val="en-GB"/>
        </w:rPr>
        <w:footnoteRef/>
      </w:r>
      <w:r w:rsidRPr="009C40F9">
        <w:rPr>
          <w:sz w:val="16"/>
          <w:szCs w:val="16"/>
          <w:lang w:val="en-GB"/>
        </w:rPr>
        <w:t xml:space="preserve"> Employment data in the national accounts conception (persons), figure seasonally adjusted.  </w:t>
      </w:r>
    </w:p>
  </w:footnote>
  <w:footnote w:id="6">
    <w:p w14:paraId="5650C127" w14:textId="77777777" w:rsidR="006145FA" w:rsidRPr="009C40F9" w:rsidRDefault="006145FA" w:rsidP="00803507">
      <w:pPr>
        <w:pStyle w:val="Textpoznpodarou"/>
        <w:jc w:val="both"/>
        <w:rPr>
          <w:sz w:val="16"/>
          <w:szCs w:val="16"/>
          <w:lang w:val="en-GB"/>
        </w:rPr>
      </w:pPr>
      <w:r w:rsidRPr="009C40F9">
        <w:rPr>
          <w:rStyle w:val="Znakapoznpodarou"/>
          <w:sz w:val="16"/>
          <w:szCs w:val="16"/>
          <w:lang w:val="en-GB"/>
        </w:rPr>
        <w:footnoteRef/>
      </w:r>
      <w:r w:rsidRPr="009C40F9">
        <w:rPr>
          <w:sz w:val="16"/>
          <w:szCs w:val="16"/>
          <w:lang w:val="en-GB"/>
        </w:rPr>
        <w:t xml:space="preserve"> Converted into the real expression using the deflator of household consumption. </w:t>
      </w:r>
    </w:p>
  </w:footnote>
  <w:footnote w:id="7">
    <w:p w14:paraId="730ED5BF" w14:textId="77777777" w:rsidR="006145FA" w:rsidRPr="009C40F9" w:rsidRDefault="006145FA" w:rsidP="00803507">
      <w:pPr>
        <w:pStyle w:val="Textpoznpodarou"/>
        <w:jc w:val="both"/>
        <w:rPr>
          <w:sz w:val="16"/>
          <w:szCs w:val="16"/>
          <w:lang w:val="en-GB"/>
        </w:rPr>
      </w:pPr>
      <w:r w:rsidRPr="009C40F9">
        <w:rPr>
          <w:rStyle w:val="Znakapoznpodarou"/>
          <w:sz w:val="16"/>
          <w:szCs w:val="16"/>
          <w:lang w:val="en-GB"/>
        </w:rPr>
        <w:footnoteRef/>
      </w:r>
      <w:r w:rsidRPr="009C40F9">
        <w:rPr>
          <w:sz w:val="16"/>
          <w:szCs w:val="16"/>
          <w:lang w:val="en-GB"/>
        </w:rPr>
        <w:t xml:space="preserve"> </w:t>
      </w:r>
      <w:r w:rsidRPr="00FD125F">
        <w:rPr>
          <w:sz w:val="16"/>
          <w:szCs w:val="16"/>
          <w:lang w:val="en-GB"/>
        </w:rPr>
        <w:t>T</w:t>
      </w:r>
      <w:r>
        <w:rPr>
          <w:sz w:val="16"/>
          <w:szCs w:val="16"/>
          <w:lang w:val="en-GB"/>
        </w:rPr>
        <w:t xml:space="preserve">his section includes activities of organisations uniting persons for the purpose of advancing their common interests, repairs of computers and personal and household goods and number of other personal services </w:t>
      </w:r>
      <w:r w:rsidRPr="00FD125F">
        <w:rPr>
          <w:sz w:val="16"/>
          <w:szCs w:val="16"/>
          <w:lang w:val="en-GB"/>
        </w:rPr>
        <w:t>(</w:t>
      </w:r>
      <w:r>
        <w:rPr>
          <w:sz w:val="16"/>
          <w:szCs w:val="16"/>
          <w:lang w:val="en-GB"/>
        </w:rPr>
        <w:t>hairdressing and other beauty treatment etc.</w:t>
      </w:r>
      <w:r w:rsidRPr="00FD125F">
        <w:rPr>
          <w:sz w:val="16"/>
          <w:szCs w:val="16"/>
          <w:lang w:val="en-GB"/>
        </w:rPr>
        <w:t>).</w:t>
      </w:r>
    </w:p>
  </w:footnote>
  <w:footnote w:id="8">
    <w:p w14:paraId="1B2B05C3" w14:textId="77777777" w:rsidR="006145FA" w:rsidRPr="00B224D0" w:rsidRDefault="006145FA" w:rsidP="00803507">
      <w:pPr>
        <w:pStyle w:val="Textpoznpodarou"/>
        <w:jc w:val="both"/>
        <w:rPr>
          <w:sz w:val="16"/>
          <w:szCs w:val="16"/>
          <w:lang w:val="en-GB"/>
        </w:rPr>
      </w:pPr>
      <w:r w:rsidRPr="009C6EA8">
        <w:rPr>
          <w:rStyle w:val="Znakapoznpodarou"/>
          <w:sz w:val="16"/>
          <w:szCs w:val="16"/>
        </w:rPr>
        <w:footnoteRef/>
      </w:r>
      <w:r w:rsidRPr="009C6EA8">
        <w:rPr>
          <w:sz w:val="16"/>
          <w:szCs w:val="16"/>
        </w:rPr>
        <w:t xml:space="preserve"> </w:t>
      </w:r>
      <w:r w:rsidRPr="00B224D0">
        <w:rPr>
          <w:sz w:val="16"/>
          <w:szCs w:val="16"/>
          <w:lang w:val="en-GB"/>
        </w:rPr>
        <w:t xml:space="preserve">Additions to the GDP change after exclusion of imports for final use. </w:t>
      </w:r>
    </w:p>
  </w:footnote>
  <w:footnote w:id="9">
    <w:p w14:paraId="5C88C99A" w14:textId="77777777" w:rsidR="006145FA" w:rsidRPr="00B224D0" w:rsidRDefault="006145FA" w:rsidP="00803507">
      <w:pPr>
        <w:pStyle w:val="Textpoznpodarou"/>
        <w:jc w:val="both"/>
        <w:rPr>
          <w:sz w:val="16"/>
          <w:szCs w:val="16"/>
          <w:lang w:val="en-GB"/>
        </w:rPr>
      </w:pPr>
      <w:r w:rsidRPr="00B224D0">
        <w:rPr>
          <w:rStyle w:val="Znakapoznpodarou"/>
          <w:sz w:val="16"/>
          <w:szCs w:val="16"/>
          <w:lang w:val="en-GB"/>
        </w:rPr>
        <w:footnoteRef/>
      </w:r>
      <w:r w:rsidRPr="00B224D0">
        <w:rPr>
          <w:sz w:val="16"/>
          <w:szCs w:val="16"/>
          <w:lang w:val="en-GB"/>
        </w:rPr>
        <w:t xml:space="preserve"> Data regarding consumption based on durability are in domestic conception.</w:t>
      </w:r>
    </w:p>
  </w:footnote>
  <w:footnote w:id="10">
    <w:p w14:paraId="0B305222" w14:textId="77777777" w:rsidR="006145FA" w:rsidRPr="00B224D0" w:rsidRDefault="006145FA" w:rsidP="00803507">
      <w:pPr>
        <w:pStyle w:val="Textpoznpodarou"/>
        <w:jc w:val="both"/>
        <w:rPr>
          <w:sz w:val="16"/>
          <w:szCs w:val="16"/>
          <w:lang w:val="en-GB"/>
        </w:rPr>
      </w:pPr>
      <w:r w:rsidRPr="00B224D0">
        <w:rPr>
          <w:rStyle w:val="Znakapoznpodarou"/>
          <w:sz w:val="16"/>
          <w:szCs w:val="16"/>
          <w:lang w:val="en-GB"/>
        </w:rPr>
        <w:footnoteRef/>
      </w:r>
      <w:r w:rsidRPr="00B224D0">
        <w:rPr>
          <w:sz w:val="16"/>
          <w:szCs w:val="16"/>
          <w:lang w:val="en-GB"/>
        </w:rPr>
        <w:t xml:space="preserve"> Change in inventories (in current prices and not seasonally adjusted) attained in total -27.6 bn CZK last year and it was +45.5 bn in 2023. It arrived at −79.5 bn CZK in Q4 and it was −89.9 bn in the same period of year 2023.  </w:t>
      </w:r>
    </w:p>
  </w:footnote>
  <w:footnote w:id="11">
    <w:p w14:paraId="6A80D48A" w14:textId="77777777" w:rsidR="006145FA" w:rsidRPr="00167B30" w:rsidRDefault="006145FA" w:rsidP="00803507">
      <w:pPr>
        <w:pStyle w:val="Textpoznpodarou"/>
        <w:jc w:val="both"/>
        <w:rPr>
          <w:sz w:val="16"/>
          <w:szCs w:val="16"/>
        </w:rPr>
      </w:pPr>
      <w:r w:rsidRPr="00167B30">
        <w:rPr>
          <w:rStyle w:val="Znakapoznpodarou"/>
          <w:sz w:val="16"/>
          <w:szCs w:val="16"/>
        </w:rPr>
        <w:footnoteRef/>
      </w:r>
      <w:r w:rsidRPr="00167B30">
        <w:rPr>
          <w:sz w:val="16"/>
          <w:szCs w:val="16"/>
        </w:rPr>
        <w:t xml:space="preserve"> </w:t>
      </w:r>
      <w:r w:rsidRPr="0037480D">
        <w:rPr>
          <w:sz w:val="16"/>
          <w:szCs w:val="16"/>
          <w:lang w:val="en-GB"/>
        </w:rPr>
        <w:t>According to the methodology of quarterly national accounts (export and import in FOB/FOB prices).</w:t>
      </w:r>
      <w:r>
        <w:rPr>
          <w:sz w:val="16"/>
          <w:szCs w:val="16"/>
          <w:lang w:val="en-GB"/>
        </w:rPr>
        <w:t xml:space="preserve"> International trade balance in current prices and seasonally adjusted. </w:t>
      </w:r>
    </w:p>
  </w:footnote>
  <w:footnote w:id="12">
    <w:p w14:paraId="6B66976F" w14:textId="77777777" w:rsidR="006145FA" w:rsidRPr="0083364A" w:rsidRDefault="006145FA" w:rsidP="00803507">
      <w:pPr>
        <w:pStyle w:val="Textpoznpodarou"/>
        <w:rPr>
          <w:sz w:val="16"/>
          <w:szCs w:val="16"/>
        </w:rPr>
      </w:pPr>
      <w:r w:rsidRPr="0083364A">
        <w:rPr>
          <w:rStyle w:val="Znakapoznpodarou"/>
          <w:sz w:val="16"/>
          <w:szCs w:val="16"/>
        </w:rPr>
        <w:footnoteRef/>
      </w:r>
      <w:r w:rsidRPr="0083364A">
        <w:rPr>
          <w:sz w:val="16"/>
          <w:szCs w:val="16"/>
        </w:rPr>
        <w:t xml:space="preserve"> </w:t>
      </w:r>
      <w:bookmarkStart w:id="6" w:name="_Hlk193656376"/>
      <w:r w:rsidRPr="008723E5">
        <w:rPr>
          <w:sz w:val="16"/>
          <w:szCs w:val="16"/>
          <w:lang w:val="en-GB"/>
        </w:rPr>
        <w:t xml:space="preserve">The difference between </w:t>
      </w:r>
      <w:r>
        <w:rPr>
          <w:sz w:val="16"/>
          <w:szCs w:val="16"/>
          <w:lang w:val="en-GB"/>
        </w:rPr>
        <w:t xml:space="preserve">the </w:t>
      </w:r>
      <w:r w:rsidRPr="008723E5">
        <w:rPr>
          <w:sz w:val="16"/>
          <w:szCs w:val="16"/>
          <w:lang w:val="en-GB"/>
        </w:rPr>
        <w:t xml:space="preserve">GDP and GVA </w:t>
      </w:r>
      <w:r>
        <w:rPr>
          <w:sz w:val="16"/>
          <w:szCs w:val="16"/>
          <w:lang w:val="en-GB"/>
        </w:rPr>
        <w:t xml:space="preserve">dynamics </w:t>
      </w:r>
      <w:r w:rsidRPr="008723E5">
        <w:rPr>
          <w:sz w:val="16"/>
          <w:szCs w:val="16"/>
          <w:lang w:val="en-GB"/>
        </w:rPr>
        <w:t xml:space="preserve">was deepened by rising tax revenues related to the recovery </w:t>
      </w:r>
      <w:r>
        <w:rPr>
          <w:sz w:val="16"/>
          <w:szCs w:val="16"/>
          <w:lang w:val="en-GB"/>
        </w:rPr>
        <w:t>of</w:t>
      </w:r>
      <w:r w:rsidRPr="008723E5">
        <w:rPr>
          <w:sz w:val="16"/>
          <w:szCs w:val="16"/>
          <w:lang w:val="en-GB"/>
        </w:rPr>
        <w:t xml:space="preserve"> consumption and</w:t>
      </w:r>
      <w:r>
        <w:rPr>
          <w:sz w:val="16"/>
          <w:szCs w:val="16"/>
          <w:lang w:val="en-GB"/>
        </w:rPr>
        <w:t xml:space="preserve"> </w:t>
      </w:r>
      <w:r w:rsidRPr="008723E5">
        <w:rPr>
          <w:sz w:val="16"/>
          <w:szCs w:val="16"/>
          <w:lang w:val="en-GB"/>
        </w:rPr>
        <w:t xml:space="preserve">a drop </w:t>
      </w:r>
      <w:r>
        <w:rPr>
          <w:sz w:val="16"/>
          <w:szCs w:val="16"/>
          <w:lang w:val="en-GB"/>
        </w:rPr>
        <w:t xml:space="preserve">of </w:t>
      </w:r>
      <w:r w:rsidRPr="008723E5">
        <w:rPr>
          <w:sz w:val="16"/>
          <w:szCs w:val="16"/>
          <w:lang w:val="en-GB"/>
        </w:rPr>
        <w:t>subsidies</w:t>
      </w:r>
      <w:r>
        <w:rPr>
          <w:sz w:val="16"/>
          <w:szCs w:val="16"/>
          <w:lang w:val="en-GB"/>
        </w:rPr>
        <w:t xml:space="preserve"> on the other side</w:t>
      </w:r>
      <w:r w:rsidRPr="008723E5">
        <w:rPr>
          <w:sz w:val="16"/>
          <w:szCs w:val="16"/>
          <w:lang w:val="en-GB"/>
        </w:rPr>
        <w:t xml:space="preserve">, which reflected </w:t>
      </w:r>
      <w:r>
        <w:rPr>
          <w:sz w:val="16"/>
          <w:szCs w:val="16"/>
          <w:lang w:val="en-GB"/>
        </w:rPr>
        <w:t xml:space="preserve">the </w:t>
      </w:r>
      <w:r w:rsidRPr="008723E5">
        <w:rPr>
          <w:sz w:val="16"/>
          <w:szCs w:val="16"/>
          <w:lang w:val="en-GB"/>
        </w:rPr>
        <w:t xml:space="preserve">electricity price caps in 2023. </w:t>
      </w:r>
    </w:p>
    <w:bookmarkEnd w:id="6"/>
    <w:p w14:paraId="59CC6D57" w14:textId="77777777" w:rsidR="006145FA" w:rsidRPr="008723E5" w:rsidRDefault="006145FA" w:rsidP="00803507">
      <w:pPr>
        <w:pStyle w:val="Textpoznpodarou"/>
        <w:jc w:val="both"/>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3008622" w:rsidR="006145FA" w:rsidRPr="00C27E4F" w:rsidRDefault="006145FA" w:rsidP="00C27E4F">
    <w:pPr>
      <w:pStyle w:val="Zhlav"/>
    </w:pPr>
    <w: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66FE4D49" w:rsidR="006145FA" w:rsidRPr="006F5416" w:rsidRDefault="006145FA" w:rsidP="00937AE2">
    <w:pPr>
      <w:pStyle w:val="Zhlav"/>
    </w:pPr>
    <w: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3"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6"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9"/>
  </w:num>
  <w:num w:numId="14">
    <w:abstractNumId w:val="14"/>
  </w:num>
  <w:num w:numId="15">
    <w:abstractNumId w:val="20"/>
  </w:num>
  <w:num w:numId="16">
    <w:abstractNumId w:val="16"/>
  </w:num>
  <w:num w:numId="17">
    <w:abstractNumId w:val="30"/>
  </w:num>
  <w:num w:numId="18">
    <w:abstractNumId w:val="21"/>
  </w:num>
  <w:num w:numId="19">
    <w:abstractNumId w:val="32"/>
  </w:num>
  <w:num w:numId="20">
    <w:abstractNumId w:val="37"/>
  </w:num>
  <w:num w:numId="21">
    <w:abstractNumId w:val="28"/>
  </w:num>
  <w:num w:numId="22">
    <w:abstractNumId w:val="19"/>
  </w:num>
  <w:num w:numId="23">
    <w:abstractNumId w:val="17"/>
  </w:num>
  <w:num w:numId="24">
    <w:abstractNumId w:val="18"/>
  </w:num>
  <w:num w:numId="25">
    <w:abstractNumId w:val="35"/>
  </w:num>
  <w:num w:numId="26">
    <w:abstractNumId w:val="36"/>
  </w:num>
  <w:num w:numId="27">
    <w:abstractNumId w:val="13"/>
  </w:num>
  <w:num w:numId="28">
    <w:abstractNumId w:val="23"/>
  </w:num>
  <w:num w:numId="29">
    <w:abstractNumId w:val="22"/>
  </w:num>
  <w:num w:numId="30">
    <w:abstractNumId w:val="10"/>
  </w:num>
  <w:num w:numId="31">
    <w:abstractNumId w:val="24"/>
  </w:num>
  <w:num w:numId="32">
    <w:abstractNumId w:val="12"/>
  </w:num>
  <w:num w:numId="33">
    <w:abstractNumId w:val="39"/>
  </w:num>
  <w:num w:numId="34">
    <w:abstractNumId w:val="11"/>
  </w:num>
  <w:num w:numId="35">
    <w:abstractNumId w:val="31"/>
  </w:num>
  <w:num w:numId="36">
    <w:abstractNumId w:val="26"/>
  </w:num>
  <w:num w:numId="37">
    <w:abstractNumId w:val="25"/>
  </w:num>
  <w:num w:numId="38">
    <w:abstractNumId w:val="33"/>
  </w:num>
  <w:num w:numId="39">
    <w:abstractNumId w:val="3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24D3"/>
    <w:rsid w:val="00004D5A"/>
    <w:rsid w:val="000056D5"/>
    <w:rsid w:val="00006ABD"/>
    <w:rsid w:val="0000767A"/>
    <w:rsid w:val="00010256"/>
    <w:rsid w:val="00010702"/>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B461F"/>
    <w:rsid w:val="003B5A32"/>
    <w:rsid w:val="003C3490"/>
    <w:rsid w:val="003C7E62"/>
    <w:rsid w:val="003D6920"/>
    <w:rsid w:val="003E0A6F"/>
    <w:rsid w:val="003E48F2"/>
    <w:rsid w:val="003E4C91"/>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41A0"/>
    <w:rsid w:val="004455BA"/>
    <w:rsid w:val="0045078A"/>
    <w:rsid w:val="0045086D"/>
    <w:rsid w:val="00451504"/>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95BEF"/>
    <w:rsid w:val="006977F6"/>
    <w:rsid w:val="00697A13"/>
    <w:rsid w:val="006A109C"/>
    <w:rsid w:val="006B0F9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2180"/>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60D1"/>
    <w:rsid w:val="009B6FD3"/>
    <w:rsid w:val="009C1750"/>
    <w:rsid w:val="009C2E29"/>
    <w:rsid w:val="009C554B"/>
    <w:rsid w:val="009C719E"/>
    <w:rsid w:val="009C7A10"/>
    <w:rsid w:val="009D3ACD"/>
    <w:rsid w:val="009E5273"/>
    <w:rsid w:val="009E5DDB"/>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FED"/>
    <w:rsid w:val="00AA2996"/>
    <w:rsid w:val="00AA52BF"/>
    <w:rsid w:val="00AA559A"/>
    <w:rsid w:val="00AB2AF1"/>
    <w:rsid w:val="00AC45BD"/>
    <w:rsid w:val="00AD168E"/>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D040DD"/>
    <w:rsid w:val="00D075BE"/>
    <w:rsid w:val="00D13986"/>
    <w:rsid w:val="00D15888"/>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3C1C"/>
    <w:rsid w:val="00E47EBA"/>
    <w:rsid w:val="00E50156"/>
    <w:rsid w:val="00E51643"/>
    <w:rsid w:val="00E53470"/>
    <w:rsid w:val="00E539F6"/>
    <w:rsid w:val="00E551F6"/>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62C6"/>
    <w:rsid w:val="00ED64C1"/>
    <w:rsid w:val="00EE3446"/>
    <w:rsid w:val="00EE3E78"/>
    <w:rsid w:val="00EE4B1B"/>
    <w:rsid w:val="00EE7F19"/>
    <w:rsid w:val="00EF150D"/>
    <w:rsid w:val="00EF1F5A"/>
    <w:rsid w:val="00EF3741"/>
    <w:rsid w:val="00EF47BF"/>
    <w:rsid w:val="00F00320"/>
    <w:rsid w:val="00F04811"/>
    <w:rsid w:val="00F0488C"/>
    <w:rsid w:val="00F10F11"/>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240163796014418E-2"/>
          <c:y val="2.3046636085626952E-2"/>
          <c:w val="0.93617042384329663"/>
          <c:h val="0.74192840256670856"/>
        </c:manualLayout>
      </c:layout>
      <c:barChart>
        <c:barDir val="col"/>
        <c:grouping val="clustered"/>
        <c:varyColors val="0"/>
        <c:ser>
          <c:idx val="0"/>
          <c:order val="0"/>
          <c:tx>
            <c:strRef>
              <c:f>'souhrnná výkonnost 1'!$C$4</c:f>
              <c:strCache>
                <c:ptCount val="1"/>
                <c:pt idx="0">
                  <c:v>CR year-on-year change</c:v>
                </c:pt>
              </c:strCache>
            </c:strRef>
          </c:tx>
          <c:spPr>
            <a:solidFill>
              <a:schemeClr val="bg1">
                <a:lumMod val="65000"/>
              </a:schemeClr>
            </a:solidFill>
            <a:ln>
              <a:noFill/>
            </a:ln>
          </c:spPr>
          <c:invertIfNegative val="0"/>
          <c:cat>
            <c:multiLvlStrRef>
              <c:f>'souhrnná výkonnost 1'!$A$9:$B$32</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1'!$C$9:$C$32</c:f>
              <c:numCache>
                <c:formatCode>0.0</c:formatCode>
                <c:ptCount val="24"/>
                <c:pt idx="0">
                  <c:v>3.4189856936099829</c:v>
                </c:pt>
                <c:pt idx="1">
                  <c:v>3.6131741333642537</c:v>
                </c:pt>
                <c:pt idx="2">
                  <c:v>3.6825803056472921</c:v>
                </c:pt>
                <c:pt idx="3">
                  <c:v>3.3199919158713271</c:v>
                </c:pt>
                <c:pt idx="4">
                  <c:v>-1.5501786832516729</c:v>
                </c:pt>
                <c:pt idx="5">
                  <c:v>-10.594932915034789</c:v>
                </c:pt>
                <c:pt idx="6">
                  <c:v>-4.7011751782364399</c:v>
                </c:pt>
                <c:pt idx="7">
                  <c:v>-4.4366398308301314</c:v>
                </c:pt>
                <c:pt idx="8">
                  <c:v>-1.2288638498452684</c:v>
                </c:pt>
                <c:pt idx="9">
                  <c:v>9.7404575003667162</c:v>
                </c:pt>
                <c:pt idx="10">
                  <c:v>3.9736849039729805</c:v>
                </c:pt>
                <c:pt idx="11">
                  <c:v>3.9029603596385698</c:v>
                </c:pt>
                <c:pt idx="12">
                  <c:v>4.8437098358771209</c:v>
                </c:pt>
                <c:pt idx="13">
                  <c:v>3.6483773841026448</c:v>
                </c:pt>
                <c:pt idx="14">
                  <c:v>2.0520198238941418</c:v>
                </c:pt>
                <c:pt idx="15">
                  <c:v>0.95157210327245423</c:v>
                </c:pt>
                <c:pt idx="16">
                  <c:v>0.30014334247493935</c:v>
                </c:pt>
                <c:pt idx="17">
                  <c:v>0.20720793280359828</c:v>
                </c:pt>
                <c:pt idx="18">
                  <c:v>-0.34013313783994192</c:v>
                </c:pt>
                <c:pt idx="19">
                  <c:v>9.2684914641580463E-2</c:v>
                </c:pt>
                <c:pt idx="20">
                  <c:v>0.34978279714887606</c:v>
                </c:pt>
                <c:pt idx="21">
                  <c:v>0.45659851919911887</c:v>
                </c:pt>
                <c:pt idx="22">
                  <c:v>1.4360510889264333</c:v>
                </c:pt>
                <c:pt idx="23" formatCode="General">
                  <c:v>1.8131087108279758</c:v>
                </c:pt>
              </c:numCache>
            </c:numRef>
          </c:val>
          <c:extLst>
            <c:ext xmlns:c16="http://schemas.microsoft.com/office/drawing/2014/chart" uri="{C3380CC4-5D6E-409C-BE32-E72D297353CC}">
              <c16:uniqueId val="{00000000-EDE7-4A6F-ABCF-1E7FE3F1090B}"/>
            </c:ext>
          </c:extLst>
        </c:ser>
        <c:ser>
          <c:idx val="1"/>
          <c:order val="1"/>
          <c:tx>
            <c:strRef>
              <c:f>'souhrnná výkonnost 1'!$D$4</c:f>
              <c:strCache>
                <c:ptCount val="1"/>
                <c:pt idx="0">
                  <c:v>EU28 year-on-year change</c:v>
                </c:pt>
              </c:strCache>
            </c:strRef>
          </c:tx>
          <c:spPr>
            <a:solidFill>
              <a:schemeClr val="bg1">
                <a:lumMod val="50000"/>
              </a:schemeClr>
            </a:solidFill>
            <a:ln>
              <a:noFill/>
            </a:ln>
          </c:spPr>
          <c:invertIfNegative val="0"/>
          <c:cat>
            <c:multiLvlStrRef>
              <c:f>'souhrnná výkonnost 1'!$A$9:$B$32</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1'!$D$9:$D$32</c:f>
              <c:numCache>
                <c:formatCode>#\ ##0.0</c:formatCode>
                <c:ptCount val="24"/>
                <c:pt idx="0" formatCode="#\ ##0.##########">
                  <c:v>2.1</c:v>
                </c:pt>
                <c:pt idx="1">
                  <c:v>2</c:v>
                </c:pt>
                <c:pt idx="2">
                  <c:v>2</c:v>
                </c:pt>
                <c:pt idx="3" formatCode="#\ ##0.##########">
                  <c:v>1.5</c:v>
                </c:pt>
                <c:pt idx="4" formatCode="#\ ##0.##########">
                  <c:v>-2.2000000000000002</c:v>
                </c:pt>
                <c:pt idx="5" formatCode="#\ ##0.##########">
                  <c:v>-13.1</c:v>
                </c:pt>
                <c:pt idx="6" formatCode="#\ ##0.##########">
                  <c:v>-3.9</c:v>
                </c:pt>
                <c:pt idx="7" formatCode="#\ ##0.##########">
                  <c:v>-3.5</c:v>
                </c:pt>
                <c:pt idx="8" formatCode="#\ ##0.##########">
                  <c:v>0.2</c:v>
                </c:pt>
                <c:pt idx="9" formatCode="#\ ##0.##########">
                  <c:v>14.7</c:v>
                </c:pt>
                <c:pt idx="10" formatCode="#\ ##0.##########">
                  <c:v>5.3</c:v>
                </c:pt>
                <c:pt idx="11" formatCode="#\ ##0.##########">
                  <c:v>5.8</c:v>
                </c:pt>
                <c:pt idx="12" formatCode="#\ ##0.##########">
                  <c:v>5.6</c:v>
                </c:pt>
                <c:pt idx="13" formatCode="#\ ##0.##########">
                  <c:v>4.0999999999999996</c:v>
                </c:pt>
                <c:pt idx="14" formatCode="#\ ##0.##########">
                  <c:v>2.9</c:v>
                </c:pt>
                <c:pt idx="15" formatCode="#\ ##0.##########">
                  <c:v>1.7</c:v>
                </c:pt>
                <c:pt idx="16" formatCode="#\ ##0.##########">
                  <c:v>1.2</c:v>
                </c:pt>
                <c:pt idx="17" formatCode="#\ ##0.##########">
                  <c:v>0.5</c:v>
                </c:pt>
                <c:pt idx="18" formatCode="#\ ##0.##########">
                  <c:v>0.1</c:v>
                </c:pt>
                <c:pt idx="19" formatCode="#\ ##0.##########">
                  <c:v>0.4</c:v>
                </c:pt>
                <c:pt idx="20" formatCode="#\ ##0.##########">
                  <c:v>0.6</c:v>
                </c:pt>
                <c:pt idx="21" formatCode="#\ ##0.##########">
                  <c:v>0.8</c:v>
                </c:pt>
                <c:pt idx="22" formatCode="#\ ##0.##########">
                  <c:v>1.1000000000000001</c:v>
                </c:pt>
                <c:pt idx="23" formatCode="#\ ##0.##########">
                  <c:v>1.4</c:v>
                </c:pt>
              </c:numCache>
            </c:numRef>
          </c:val>
          <c:extLst>
            <c:ext xmlns:c16="http://schemas.microsoft.com/office/drawing/2014/chart" uri="{C3380CC4-5D6E-409C-BE32-E72D297353CC}">
              <c16:uniqueId val="{00000001-EDE7-4A6F-ABCF-1E7FE3F1090B}"/>
            </c:ext>
          </c:extLst>
        </c:ser>
        <c:dLbls>
          <c:showLegendKey val="0"/>
          <c:showVal val="0"/>
          <c:showCatName val="0"/>
          <c:showSerName val="0"/>
          <c:showPercent val="0"/>
          <c:showBubbleSize val="0"/>
        </c:dLbls>
        <c:gapWidth val="100"/>
        <c:axId val="115054080"/>
        <c:axId val="115056000"/>
      </c:barChart>
      <c:lineChart>
        <c:grouping val="standard"/>
        <c:varyColors val="0"/>
        <c:ser>
          <c:idx val="2"/>
          <c:order val="2"/>
          <c:tx>
            <c:strRef>
              <c:f>'souhrnná výkonnost 1'!$E$4</c:f>
              <c:strCache>
                <c:ptCount val="1"/>
                <c:pt idx="0">
                  <c:v>ČR quarter-on-quarter change</c:v>
                </c:pt>
              </c:strCache>
            </c:strRef>
          </c:tx>
          <c:spPr>
            <a:ln w="19050">
              <a:noFill/>
            </a:ln>
          </c:spPr>
          <c:marker>
            <c:symbol val="dash"/>
            <c:size val="8"/>
            <c:spPr>
              <a:solidFill>
                <a:schemeClr val="accent1"/>
              </a:solidFill>
              <a:ln>
                <a:noFill/>
              </a:ln>
            </c:spPr>
          </c:marker>
          <c:cat>
            <c:multiLvlStrRef>
              <c:f>'souhrnná výkonnost 1'!$A$9:$B$32</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1'!$E$9:$E$32</c:f>
              <c:numCache>
                <c:formatCode>0.0</c:formatCode>
                <c:ptCount val="24"/>
                <c:pt idx="0">
                  <c:v>1.3072240756125382</c:v>
                </c:pt>
                <c:pt idx="1">
                  <c:v>0.49696583288741181</c:v>
                </c:pt>
                <c:pt idx="2">
                  <c:v>0.73496507853789694</c:v>
                </c:pt>
                <c:pt idx="3">
                  <c:v>0.74204395610576057</c:v>
                </c:pt>
                <c:pt idx="4">
                  <c:v>-3.4680711506351827</c:v>
                </c:pt>
                <c:pt idx="5">
                  <c:v>-8.7358630828085069</c:v>
                </c:pt>
                <c:pt idx="6">
                  <c:v>7.3756119585801656</c:v>
                </c:pt>
                <c:pt idx="7">
                  <c:v>1.0216888693163071</c:v>
                </c:pt>
                <c:pt idx="8">
                  <c:v>-0.22778321796964462</c:v>
                </c:pt>
                <c:pt idx="9">
                  <c:v>1.3997462117176838</c:v>
                </c:pt>
                <c:pt idx="10">
                  <c:v>1.7331100894615759</c:v>
                </c:pt>
                <c:pt idx="11">
                  <c:v>0.95297231935684579</c:v>
                </c:pt>
                <c:pt idx="12">
                  <c:v>0.67556602593998605</c:v>
                </c:pt>
                <c:pt idx="13">
                  <c:v>0.24367869523720742</c:v>
                </c:pt>
                <c:pt idx="14">
                  <c:v>0.16625083402912821</c:v>
                </c:pt>
                <c:pt idx="15">
                  <c:v>-0.13562414811659096</c:v>
                </c:pt>
                <c:pt idx="16">
                  <c:v>2.5918300278277684E-2</c:v>
                </c:pt>
                <c:pt idx="17">
                  <c:v>0.15079560418620019</c:v>
                </c:pt>
                <c:pt idx="18">
                  <c:v>-0.38086652513939612</c:v>
                </c:pt>
                <c:pt idx="19">
                  <c:v>0.29808207716142476</c:v>
                </c:pt>
                <c:pt idx="20">
                  <c:v>0.28284468618527114</c:v>
                </c:pt>
                <c:pt idx="21">
                  <c:v>0.25739951750003343</c:v>
                </c:pt>
                <c:pt idx="22">
                  <c:v>0.5904207542851907</c:v>
                </c:pt>
                <c:pt idx="23" formatCode="General">
                  <c:v>0.67090964589382907</c:v>
                </c:pt>
              </c:numCache>
            </c:numRef>
          </c:val>
          <c:smooth val="0"/>
          <c:extLst>
            <c:ext xmlns:c16="http://schemas.microsoft.com/office/drawing/2014/chart" uri="{C3380CC4-5D6E-409C-BE32-E72D297353CC}">
              <c16:uniqueId val="{00000002-EDE7-4A6F-ABCF-1E7FE3F1090B}"/>
            </c:ext>
          </c:extLst>
        </c:ser>
        <c:ser>
          <c:idx val="3"/>
          <c:order val="3"/>
          <c:tx>
            <c:strRef>
              <c:f>'souhrnná výkonnost 1'!$F$4</c:f>
              <c:strCache>
                <c:ptCount val="1"/>
                <c:pt idx="0">
                  <c:v>EU28 quarter-on-quarter change</c:v>
                </c:pt>
              </c:strCache>
            </c:strRef>
          </c:tx>
          <c:spPr>
            <a:ln w="19050">
              <a:noFill/>
            </a:ln>
          </c:spPr>
          <c:marker>
            <c:symbol val="dash"/>
            <c:size val="8"/>
            <c:spPr>
              <a:solidFill>
                <a:schemeClr val="accent2"/>
              </a:solidFill>
              <a:ln>
                <a:noFill/>
              </a:ln>
            </c:spPr>
          </c:marker>
          <c:cat>
            <c:multiLvlStrRef>
              <c:f>'souhrnná výkonnost 1'!$A$9:$B$32</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1'!$F$9:$F$32</c:f>
              <c:numCache>
                <c:formatCode>#\ ##0.##########</c:formatCode>
                <c:ptCount val="24"/>
                <c:pt idx="0">
                  <c:v>0.7</c:v>
                </c:pt>
                <c:pt idx="1">
                  <c:v>0.4</c:v>
                </c:pt>
                <c:pt idx="2">
                  <c:v>0.2</c:v>
                </c:pt>
                <c:pt idx="3">
                  <c:v>0.1</c:v>
                </c:pt>
                <c:pt idx="4" formatCode="#\ ##0.0">
                  <c:v>-3</c:v>
                </c:pt>
                <c:pt idx="5">
                  <c:v>-10.8</c:v>
                </c:pt>
                <c:pt idx="6">
                  <c:v>10.8</c:v>
                </c:pt>
                <c:pt idx="7">
                  <c:v>0.5</c:v>
                </c:pt>
                <c:pt idx="8">
                  <c:v>0.8</c:v>
                </c:pt>
                <c:pt idx="9">
                  <c:v>2.2000000000000002</c:v>
                </c:pt>
                <c:pt idx="10">
                  <c:v>1.7</c:v>
                </c:pt>
                <c:pt idx="11" formatCode="#\ ##0.0">
                  <c:v>1</c:v>
                </c:pt>
                <c:pt idx="12">
                  <c:v>0.6</c:v>
                </c:pt>
                <c:pt idx="13">
                  <c:v>0.8</c:v>
                </c:pt>
                <c:pt idx="14">
                  <c:v>0.5</c:v>
                </c:pt>
                <c:pt idx="15">
                  <c:v>-0.2</c:v>
                </c:pt>
                <c:pt idx="16">
                  <c:v>0.1</c:v>
                </c:pt>
                <c:pt idx="17">
                  <c:v>0.1</c:v>
                </c:pt>
                <c:pt idx="18">
                  <c:v>0.1</c:v>
                </c:pt>
                <c:pt idx="19">
                  <c:v>0.1</c:v>
                </c:pt>
                <c:pt idx="20">
                  <c:v>0.3</c:v>
                </c:pt>
                <c:pt idx="21">
                  <c:v>0.3</c:v>
                </c:pt>
                <c:pt idx="22">
                  <c:v>0.4</c:v>
                </c:pt>
                <c:pt idx="23">
                  <c:v>0.4</c:v>
                </c:pt>
              </c:numCache>
            </c:numRef>
          </c:val>
          <c:smooth val="0"/>
          <c:extLst>
            <c:ext xmlns:c16="http://schemas.microsoft.com/office/drawing/2014/chart" uri="{C3380CC4-5D6E-409C-BE32-E72D297353CC}">
              <c16:uniqueId val="{00000003-EDE7-4A6F-ABCF-1E7FE3F1090B}"/>
            </c:ext>
          </c:extLst>
        </c:ser>
        <c:dLbls>
          <c:showLegendKey val="0"/>
          <c:showVal val="0"/>
          <c:showCatName val="0"/>
          <c:showSerName val="0"/>
          <c:showPercent val="0"/>
          <c:showBubbleSize val="0"/>
        </c:dLbls>
        <c:marker val="1"/>
        <c:smooth val="0"/>
        <c:axId val="115054080"/>
        <c:axId val="115056000"/>
      </c:lineChart>
      <c:catAx>
        <c:axId val="11505408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15056000"/>
        <c:crosses val="autoZero"/>
        <c:auto val="1"/>
        <c:lblAlgn val="ctr"/>
        <c:lblOffset val="100"/>
        <c:noMultiLvlLbl val="0"/>
      </c:catAx>
      <c:valAx>
        <c:axId val="115056000"/>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054080"/>
        <c:crosses val="autoZero"/>
        <c:crossBetween val="between"/>
        <c:majorUnit val="3"/>
      </c:valAx>
      <c:spPr>
        <a:ln>
          <a:solidFill>
            <a:schemeClr val="tx1"/>
          </a:solidFill>
        </a:ln>
      </c:spPr>
    </c:plotArea>
    <c:legend>
      <c:legendPos val="b"/>
      <c:layout>
        <c:manualLayout>
          <c:xMode val="edge"/>
          <c:yMode val="edge"/>
          <c:x val="5.0375530939407026E-2"/>
          <c:y val="0.89437255125717996"/>
          <c:w val="0.92644083516900477"/>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948352704928246E-2"/>
          <c:y val="2.8458510079622041E-2"/>
          <c:w val="0.93956464282120367"/>
          <c:h val="0.6497469886299676"/>
        </c:manualLayout>
      </c:layout>
      <c:barChart>
        <c:barDir val="col"/>
        <c:grouping val="stacked"/>
        <c:varyColors val="0"/>
        <c:ser>
          <c:idx val="1"/>
          <c:order val="0"/>
          <c:tx>
            <c:strRef>
              <c:f>'souhrnná výkonnost 3'!$F$5</c:f>
              <c:strCache>
                <c:ptCount val="1"/>
                <c:pt idx="0">
                  <c:v>Foreign trade balance</c:v>
                </c:pt>
              </c:strCache>
            </c:strRef>
          </c:tx>
          <c:spPr>
            <a:solidFill>
              <a:srgbClr val="7DBB2D"/>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3'!$F$10:$F$33</c:f>
              <c:numCache>
                <c:formatCode>#\ ##0.0</c:formatCode>
                <c:ptCount val="24"/>
                <c:pt idx="0">
                  <c:v>-6.5470917658757233E-2</c:v>
                </c:pt>
                <c:pt idx="1">
                  <c:v>1.4494397815262756</c:v>
                </c:pt>
                <c:pt idx="2">
                  <c:v>1.519520930710476</c:v>
                </c:pt>
                <c:pt idx="3">
                  <c:v>-1.1386552968129167</c:v>
                </c:pt>
                <c:pt idx="4">
                  <c:v>-1.5054961152095412</c:v>
                </c:pt>
                <c:pt idx="5">
                  <c:v>-8.5652935026312509</c:v>
                </c:pt>
                <c:pt idx="6">
                  <c:v>-0.91701615307186923</c:v>
                </c:pt>
                <c:pt idx="7">
                  <c:v>1.6441945082634004</c:v>
                </c:pt>
                <c:pt idx="8">
                  <c:v>0.90880127021110413</c:v>
                </c:pt>
                <c:pt idx="9">
                  <c:v>6.124141351147399</c:v>
                </c:pt>
                <c:pt idx="10">
                  <c:v>-3.6522086207896334</c:v>
                </c:pt>
                <c:pt idx="11">
                  <c:v>-3.5019135769376728</c:v>
                </c:pt>
                <c:pt idx="12">
                  <c:v>-1.6832006565895616</c:v>
                </c:pt>
                <c:pt idx="13">
                  <c:v>-0.3806378126415233</c:v>
                </c:pt>
                <c:pt idx="14">
                  <c:v>3.408239118939032</c:v>
                </c:pt>
                <c:pt idx="15">
                  <c:v>1.4700226511684527</c:v>
                </c:pt>
                <c:pt idx="16">
                  <c:v>1.022488471508463</c:v>
                </c:pt>
                <c:pt idx="17">
                  <c:v>1.5790857204776438</c:v>
                </c:pt>
                <c:pt idx="18">
                  <c:v>-0.52223441293462458</c:v>
                </c:pt>
                <c:pt idx="19">
                  <c:v>1.6834125414664634</c:v>
                </c:pt>
                <c:pt idx="20">
                  <c:v>0.81964841431664248</c:v>
                </c:pt>
                <c:pt idx="21">
                  <c:v>0.22729904905911644</c:v>
                </c:pt>
                <c:pt idx="22">
                  <c:v>3.4263688867205655E-2</c:v>
                </c:pt>
                <c:pt idx="23">
                  <c:v>-1.6513055568447292</c:v>
                </c:pt>
              </c:numCache>
            </c:numRef>
          </c:val>
          <c:extLst>
            <c:ext xmlns:c16="http://schemas.microsoft.com/office/drawing/2014/chart" uri="{C3380CC4-5D6E-409C-BE32-E72D297353CC}">
              <c16:uniqueId val="{00000000-7B6A-4595-BA60-E0FF794EEB8F}"/>
            </c:ext>
          </c:extLst>
        </c:ser>
        <c:ser>
          <c:idx val="2"/>
          <c:order val="1"/>
          <c:tx>
            <c:strRef>
              <c:f>'souhrnná výkonnost 3'!$H$5</c:f>
              <c:strCache>
                <c:ptCount val="1"/>
                <c:pt idx="0">
                  <c:v>Change in inventories</c:v>
                </c:pt>
              </c:strCache>
            </c:strRef>
          </c:tx>
          <c:spPr>
            <a:solidFill>
              <a:srgbClr val="E8AFB2"/>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3'!$H$10:$H$33</c:f>
              <c:numCache>
                <c:formatCode>#\ ##0.0</c:formatCode>
                <c:ptCount val="24"/>
                <c:pt idx="0">
                  <c:v>-3.4866839032703018E-2</c:v>
                </c:pt>
                <c:pt idx="1">
                  <c:v>-1.2132673218827674</c:v>
                </c:pt>
                <c:pt idx="2">
                  <c:v>-0.61640554015347881</c:v>
                </c:pt>
                <c:pt idx="3">
                  <c:v>1.8990615757299067</c:v>
                </c:pt>
                <c:pt idx="4">
                  <c:v>-0.40340689033643318</c:v>
                </c:pt>
                <c:pt idx="5">
                  <c:v>0.49746610716149758</c:v>
                </c:pt>
                <c:pt idx="6">
                  <c:v>-1.209597715652736</c:v>
                </c:pt>
                <c:pt idx="7">
                  <c:v>-2.2124027001017974</c:v>
                </c:pt>
                <c:pt idx="8">
                  <c:v>0.41264966656715685</c:v>
                </c:pt>
                <c:pt idx="9">
                  <c:v>0.57206005966288753</c:v>
                </c:pt>
                <c:pt idx="10">
                  <c:v>2.5716584196045469</c:v>
                </c:pt>
                <c:pt idx="11">
                  <c:v>1.3737502139548177</c:v>
                </c:pt>
                <c:pt idx="12">
                  <c:v>0.60915917645428019</c:v>
                </c:pt>
                <c:pt idx="13">
                  <c:v>1.6317613698141717</c:v>
                </c:pt>
                <c:pt idx="14">
                  <c:v>-0.7854278742999391</c:v>
                </c:pt>
                <c:pt idx="15">
                  <c:v>1.1886488133455293</c:v>
                </c:pt>
                <c:pt idx="16">
                  <c:v>0.46116231627019716</c:v>
                </c:pt>
                <c:pt idx="17">
                  <c:v>-1.2917995308852055</c:v>
                </c:pt>
                <c:pt idx="18">
                  <c:v>-0.14316789428080012</c:v>
                </c:pt>
                <c:pt idx="19">
                  <c:v>-3.4609784581327441</c:v>
                </c:pt>
                <c:pt idx="20">
                  <c:v>-2.8146964056546739</c:v>
                </c:pt>
                <c:pt idx="21">
                  <c:v>-1.5683738605858291</c:v>
                </c:pt>
                <c:pt idx="22">
                  <c:v>-0.69706762454698346</c:v>
                </c:pt>
                <c:pt idx="23">
                  <c:v>1.5931257568572346</c:v>
                </c:pt>
              </c:numCache>
            </c:numRef>
          </c:val>
          <c:extLst>
            <c:ext xmlns:c16="http://schemas.microsoft.com/office/drawing/2014/chart" uri="{C3380CC4-5D6E-409C-BE32-E72D297353CC}">
              <c16:uniqueId val="{00000001-7B6A-4595-BA60-E0FF794EEB8F}"/>
            </c:ext>
          </c:extLst>
        </c:ser>
        <c:ser>
          <c:idx val="3"/>
          <c:order val="2"/>
          <c:tx>
            <c:strRef>
              <c:f>'souhrnná výkonnost 3'!$G$5</c:f>
              <c:strCache>
                <c:ptCount val="1"/>
                <c:pt idx="0">
                  <c:v>Gross fixed capital formation</c:v>
                </c:pt>
              </c:strCache>
            </c:strRef>
          </c:tx>
          <c:spPr>
            <a:solidFill>
              <a:srgbClr val="BD1B21"/>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3'!$G$10:$G$33</c:f>
              <c:numCache>
                <c:formatCode>#\ ##0.0</c:formatCode>
                <c:ptCount val="24"/>
                <c:pt idx="0">
                  <c:v>1.8598270900589087</c:v>
                </c:pt>
                <c:pt idx="1">
                  <c:v>1.4526192483422518</c:v>
                </c:pt>
                <c:pt idx="2">
                  <c:v>1.0268088605058696</c:v>
                </c:pt>
                <c:pt idx="3">
                  <c:v>0.94075204306872073</c:v>
                </c:pt>
                <c:pt idx="4">
                  <c:v>-0.26111659305966983</c:v>
                </c:pt>
                <c:pt idx="5">
                  <c:v>0.14044234588323476</c:v>
                </c:pt>
                <c:pt idx="6">
                  <c:v>-1.1114194663634265</c:v>
                </c:pt>
                <c:pt idx="7">
                  <c:v>-1.2151629007980274</c:v>
                </c:pt>
                <c:pt idx="8">
                  <c:v>0.15781509790362797</c:v>
                </c:pt>
                <c:pt idx="9">
                  <c:v>7.3809702465127386E-2</c:v>
                </c:pt>
                <c:pt idx="10">
                  <c:v>1.9668146761327148</c:v>
                </c:pt>
                <c:pt idx="11">
                  <c:v>2.0385637566612256</c:v>
                </c:pt>
                <c:pt idx="12">
                  <c:v>2.1230773688868023</c:v>
                </c:pt>
                <c:pt idx="13">
                  <c:v>1.4912941413364145</c:v>
                </c:pt>
                <c:pt idx="14">
                  <c:v>0.94577481141240138</c:v>
                </c:pt>
                <c:pt idx="15">
                  <c:v>0.73322343987834782</c:v>
                </c:pt>
                <c:pt idx="16">
                  <c:v>0.4931548683888316</c:v>
                </c:pt>
                <c:pt idx="17">
                  <c:v>0.88885696316389462</c:v>
                </c:pt>
                <c:pt idx="18">
                  <c:v>0.75388563584657375</c:v>
                </c:pt>
                <c:pt idx="19">
                  <c:v>0.85504091001870042</c:v>
                </c:pt>
                <c:pt idx="20">
                  <c:v>0.13925912287715742</c:v>
                </c:pt>
                <c:pt idx="21">
                  <c:v>-0.21671405083065723</c:v>
                </c:pt>
                <c:pt idx="22">
                  <c:v>-0.27118972065021613</c:v>
                </c:pt>
                <c:pt idx="23">
                  <c:v>-0.6909087896485212</c:v>
                </c:pt>
              </c:numCache>
            </c:numRef>
          </c:val>
          <c:extLst>
            <c:ext xmlns:c16="http://schemas.microsoft.com/office/drawing/2014/chart" uri="{C3380CC4-5D6E-409C-BE32-E72D297353CC}">
              <c16:uniqueId val="{00000002-7B6A-4595-BA60-E0FF794EEB8F}"/>
            </c:ext>
          </c:extLst>
        </c:ser>
        <c:ser>
          <c:idx val="5"/>
          <c:order val="4"/>
          <c:tx>
            <c:strRef>
              <c:f>'souhrnná výkonnost 3'!$D$5</c:f>
              <c:strCache>
                <c:ptCount val="1"/>
                <c:pt idx="0">
                  <c:v>Final consumption expenditure of households (inc. non-profit inst.)</c:v>
                </c:pt>
              </c:strCache>
            </c:strRef>
          </c:tx>
          <c:spPr>
            <a:solidFill>
              <a:srgbClr val="0071BC"/>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3'!$D$10:$D$33</c:f>
              <c:numCache>
                <c:formatCode>#\ ##0.0</c:formatCode>
                <c:ptCount val="24"/>
                <c:pt idx="0">
                  <c:v>1.0610692201073997</c:v>
                </c:pt>
                <c:pt idx="1">
                  <c:v>1.3164628896440984</c:v>
                </c:pt>
                <c:pt idx="2">
                  <c:v>1.1800657067488647</c:v>
                </c:pt>
                <c:pt idx="3">
                  <c:v>1.3325646204971671</c:v>
                </c:pt>
                <c:pt idx="4">
                  <c:v>-0.2398228716655057</c:v>
                </c:pt>
                <c:pt idx="5">
                  <c:v>-3.2567035122644707</c:v>
                </c:pt>
                <c:pt idx="6">
                  <c:v>-1.7740710022653545</c:v>
                </c:pt>
                <c:pt idx="7">
                  <c:v>-4.0888509658039061</c:v>
                </c:pt>
                <c:pt idx="8">
                  <c:v>-2.6303429796363251</c:v>
                </c:pt>
                <c:pt idx="9">
                  <c:v>3.0130078291252422</c:v>
                </c:pt>
                <c:pt idx="10">
                  <c:v>1.9847068901687124</c:v>
                </c:pt>
                <c:pt idx="11">
                  <c:v>3.7365176773416025</c:v>
                </c:pt>
                <c:pt idx="12">
                  <c:v>3.291044005952056</c:v>
                </c:pt>
                <c:pt idx="13">
                  <c:v>0.17808535886856286</c:v>
                </c:pt>
                <c:pt idx="14">
                  <c:v>-1.2688125161868613</c:v>
                </c:pt>
                <c:pt idx="15">
                  <c:v>-2.1014518367129478</c:v>
                </c:pt>
                <c:pt idx="16">
                  <c:v>-2.2945919860755861</c:v>
                </c:pt>
                <c:pt idx="17">
                  <c:v>-1.454021228197774</c:v>
                </c:pt>
                <c:pt idx="18">
                  <c:v>-1.0668314458195665</c:v>
                </c:pt>
                <c:pt idx="19">
                  <c:v>0.21502428719941008</c:v>
                </c:pt>
                <c:pt idx="20">
                  <c:v>1.6214919729740374</c:v>
                </c:pt>
                <c:pt idx="21">
                  <c:v>1.0517240722161492</c:v>
                </c:pt>
                <c:pt idx="22">
                  <c:v>1.4675584733586833</c:v>
                </c:pt>
                <c:pt idx="23">
                  <c:v>1.9101918742849764</c:v>
                </c:pt>
              </c:numCache>
            </c:numRef>
          </c:val>
          <c:extLst>
            <c:ext xmlns:c16="http://schemas.microsoft.com/office/drawing/2014/chart" uri="{C3380CC4-5D6E-409C-BE32-E72D297353CC}">
              <c16:uniqueId val="{00000003-7B6A-4595-BA60-E0FF794EEB8F}"/>
            </c:ext>
          </c:extLst>
        </c:ser>
        <c:ser>
          <c:idx val="4"/>
          <c:order val="5"/>
          <c:tx>
            <c:strRef>
              <c:f>'souhrnná výkonnost 3'!$E$5</c:f>
              <c:strCache>
                <c:ptCount val="1"/>
                <c:pt idx="0">
                  <c:v>Final consumption expenditure of government institutions</c:v>
                </c:pt>
              </c:strCache>
            </c:strRef>
          </c:tx>
          <c:spPr>
            <a:solidFill>
              <a:srgbClr val="A6CDE8"/>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3'!$E$10:$E$33</c:f>
              <c:numCache>
                <c:formatCode>#\ ##0.0</c:formatCode>
                <c:ptCount val="24"/>
                <c:pt idx="0">
                  <c:v>0.52373870610125262</c:v>
                </c:pt>
                <c:pt idx="1">
                  <c:v>0.54525241929613355</c:v>
                </c:pt>
                <c:pt idx="2">
                  <c:v>0.53390853668406757</c:v>
                </c:pt>
                <c:pt idx="3">
                  <c:v>0.2780405319991846</c:v>
                </c:pt>
                <c:pt idx="4">
                  <c:v>0.85273575497086629</c:v>
                </c:pt>
                <c:pt idx="5">
                  <c:v>0.57219907272847048</c:v>
                </c:pt>
                <c:pt idx="6">
                  <c:v>0.31382004358461796</c:v>
                </c:pt>
                <c:pt idx="7">
                  <c:v>1.4192241054465731</c:v>
                </c:pt>
                <c:pt idx="8">
                  <c:v>-0.12340214907979793</c:v>
                </c:pt>
                <c:pt idx="9">
                  <c:v>-7.2907474861005656E-2</c:v>
                </c:pt>
                <c:pt idx="10">
                  <c:v>1.000714083725422</c:v>
                </c:pt>
                <c:pt idx="11">
                  <c:v>8.8247719969204746E-2</c:v>
                </c:pt>
                <c:pt idx="12">
                  <c:v>0.37181697618378928</c:v>
                </c:pt>
                <c:pt idx="13">
                  <c:v>0.57371034145730837</c:v>
                </c:pt>
                <c:pt idx="14">
                  <c:v>-0.32873762938072321</c:v>
                </c:pt>
                <c:pt idx="15">
                  <c:v>-0.30389432882498219</c:v>
                </c:pt>
                <c:pt idx="16">
                  <c:v>0.57576369173096276</c:v>
                </c:pt>
                <c:pt idx="17">
                  <c:v>0.516983415992749</c:v>
                </c:pt>
                <c:pt idx="18">
                  <c:v>0.66195062797324855</c:v>
                </c:pt>
                <c:pt idx="19">
                  <c:v>0.72202480637229571</c:v>
                </c:pt>
                <c:pt idx="20">
                  <c:v>0.59943825155824837</c:v>
                </c:pt>
                <c:pt idx="21">
                  <c:v>0.89866092551323884</c:v>
                </c:pt>
                <c:pt idx="22">
                  <c:v>0.82744579571222032</c:v>
                </c:pt>
                <c:pt idx="23">
                  <c:v>0.61527308879175691</c:v>
                </c:pt>
              </c:numCache>
            </c:numRef>
          </c:val>
          <c:extLst>
            <c:ext xmlns:c16="http://schemas.microsoft.com/office/drawing/2014/chart" uri="{C3380CC4-5D6E-409C-BE32-E72D297353CC}">
              <c16:uniqueId val="{00000004-7B6A-4595-BA60-E0FF794EEB8F}"/>
            </c:ext>
          </c:extLst>
        </c:ser>
        <c:dLbls>
          <c:showLegendKey val="0"/>
          <c:showVal val="0"/>
          <c:showCatName val="0"/>
          <c:showSerName val="0"/>
          <c:showPercent val="0"/>
          <c:showBubbleSize val="0"/>
        </c:dLbls>
        <c:gapWidth val="90"/>
        <c:overlap val="100"/>
        <c:axId val="115206784"/>
        <c:axId val="115286400"/>
      </c:barChart>
      <c:lineChart>
        <c:grouping val="standard"/>
        <c:varyColors val="0"/>
        <c:ser>
          <c:idx val="0"/>
          <c:order val="3"/>
          <c:tx>
            <c:strRef>
              <c:f>'souhrnná výkonnost 3'!$C$5</c:f>
              <c:strCache>
                <c:ptCount val="1"/>
                <c:pt idx="0">
                  <c:v>GDP</c:v>
                </c:pt>
              </c:strCache>
            </c:strRef>
          </c:tx>
          <c:spPr>
            <a:ln>
              <a:solidFill>
                <a:prstClr val="black"/>
              </a:solidFill>
            </a:ln>
          </c:spPr>
          <c:marker>
            <c:symbol val="none"/>
          </c:marker>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3'!$C$10:$C$33</c:f>
              <c:numCache>
                <c:formatCode>#\ ##0.0</c:formatCode>
                <c:ptCount val="24"/>
                <c:pt idx="0">
                  <c:v>3.4189743822717418</c:v>
                </c:pt>
                <c:pt idx="1">
                  <c:v>3.6132085037347395</c:v>
                </c:pt>
                <c:pt idx="2">
                  <c:v>3.68258658026825</c:v>
                </c:pt>
                <c:pt idx="3">
                  <c:v>3.3200025771466812</c:v>
                </c:pt>
                <c:pt idx="4">
                  <c:v>-1.5502005609675251</c:v>
                </c:pt>
                <c:pt idx="5">
                  <c:v>-10.594910497246218</c:v>
                </c:pt>
                <c:pt idx="6">
                  <c:v>-4.701156102682063</c:v>
                </c:pt>
                <c:pt idx="7">
                  <c:v>-4.4366371482296927</c:v>
                </c:pt>
                <c:pt idx="8">
                  <c:v>-1.2288405930294743</c:v>
                </c:pt>
                <c:pt idx="9">
                  <c:v>9.7404194240672268</c:v>
                </c:pt>
                <c:pt idx="10">
                  <c:v>3.9736917575390152</c:v>
                </c:pt>
                <c:pt idx="11">
                  <c:v>3.9029621018868283</c:v>
                </c:pt>
                <c:pt idx="12">
                  <c:v>4.8436882638427221</c:v>
                </c:pt>
                <c:pt idx="13">
                  <c:v>3.6483483455527903</c:v>
                </c:pt>
                <c:pt idx="14">
                  <c:v>2.0520278440471884</c:v>
                </c:pt>
                <c:pt idx="15">
                  <c:v>0.95155160469528255</c:v>
                </c:pt>
                <c:pt idx="16">
                  <c:v>0.30013556583948287</c:v>
                </c:pt>
                <c:pt idx="17">
                  <c:v>0.20721692275813552</c:v>
                </c:pt>
                <c:pt idx="18">
                  <c:v>-0.34015544290339506</c:v>
                </c:pt>
                <c:pt idx="19">
                  <c:v>9.2674126345954733E-2</c:v>
                </c:pt>
                <c:pt idx="20">
                  <c:v>0.34982633712718325</c:v>
                </c:pt>
                <c:pt idx="21">
                  <c:v>0.4565990795034196</c:v>
                </c:pt>
                <c:pt idx="22">
                  <c:v>1.4360868721377642</c:v>
                </c:pt>
                <c:pt idx="23">
                  <c:v>1.8131292161325518</c:v>
                </c:pt>
              </c:numCache>
            </c:numRef>
          </c:val>
          <c:smooth val="0"/>
          <c:extLst>
            <c:ext xmlns:c16="http://schemas.microsoft.com/office/drawing/2014/chart" uri="{C3380CC4-5D6E-409C-BE32-E72D297353CC}">
              <c16:uniqueId val="{00000005-7B6A-4595-BA60-E0FF794EEB8F}"/>
            </c:ext>
          </c:extLst>
        </c:ser>
        <c:dLbls>
          <c:showLegendKey val="0"/>
          <c:showVal val="0"/>
          <c:showCatName val="0"/>
          <c:showSerName val="0"/>
          <c:showPercent val="0"/>
          <c:showBubbleSize val="0"/>
        </c:dLbls>
        <c:marker val="1"/>
        <c:smooth val="0"/>
        <c:axId val="115206784"/>
        <c:axId val="115286400"/>
      </c:lineChart>
      <c:catAx>
        <c:axId val="11520678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286400"/>
        <c:crosses val="autoZero"/>
        <c:auto val="1"/>
        <c:lblAlgn val="ctr"/>
        <c:lblOffset val="100"/>
        <c:noMultiLvlLbl val="0"/>
      </c:catAx>
      <c:valAx>
        <c:axId val="115286400"/>
        <c:scaling>
          <c:orientation val="minMax"/>
          <c:max val="12"/>
          <c:min val="-14"/>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206784"/>
        <c:crosses val="autoZero"/>
        <c:crossBetween val="between"/>
        <c:majorUnit val="2"/>
      </c:valAx>
      <c:spPr>
        <a:ln>
          <a:solidFill>
            <a:schemeClr val="tx1"/>
          </a:solidFill>
        </a:ln>
      </c:spPr>
    </c:plotArea>
    <c:legend>
      <c:legendPos val="b"/>
      <c:layout>
        <c:manualLayout>
          <c:xMode val="edge"/>
          <c:yMode val="edge"/>
          <c:x val="5.2922564529558701E-2"/>
          <c:y val="0.79687874638673362"/>
          <c:w val="0.93952929520758033"/>
          <c:h val="0.20312125361326638"/>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404035346808687E-2"/>
          <c:y val="3.7154479717354444E-2"/>
          <c:w val="0.93674937195830332"/>
          <c:h val="0.63445260610154264"/>
        </c:manualLayout>
      </c:layout>
      <c:barChart>
        <c:barDir val="col"/>
        <c:grouping val="stacked"/>
        <c:varyColors val="0"/>
        <c:ser>
          <c:idx val="4"/>
          <c:order val="0"/>
          <c:tx>
            <c:strRef>
              <c:f>'souhrnná výkonnost 4'!$C$5</c:f>
              <c:strCache>
                <c:ptCount val="1"/>
                <c:pt idx="0">
                  <c:v>Agriculture, forestry and fishing</c:v>
                </c:pt>
              </c:strCache>
            </c:strRef>
          </c:tx>
          <c:spPr>
            <a:solidFill>
              <a:srgbClr val="7DBB2D"/>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4'!$C$10:$C$33</c:f>
              <c:numCache>
                <c:formatCode>#\ ##0.0</c:formatCode>
                <c:ptCount val="24"/>
                <c:pt idx="0">
                  <c:v>6.9952669722000996E-2</c:v>
                </c:pt>
                <c:pt idx="1">
                  <c:v>8.174334759303449E-2</c:v>
                </c:pt>
                <c:pt idx="2">
                  <c:v>0.11063000390967299</c:v>
                </c:pt>
                <c:pt idx="3">
                  <c:v>0.14033996982585203</c:v>
                </c:pt>
                <c:pt idx="4">
                  <c:v>0.15822035579434848</c:v>
                </c:pt>
                <c:pt idx="5">
                  <c:v>0.16572640891485885</c:v>
                </c:pt>
                <c:pt idx="6">
                  <c:v>0.14884192396827553</c:v>
                </c:pt>
                <c:pt idx="7">
                  <c:v>0.10349029376913045</c:v>
                </c:pt>
                <c:pt idx="8">
                  <c:v>-0.20943707470562339</c:v>
                </c:pt>
                <c:pt idx="9">
                  <c:v>-0.34449179443466599</c:v>
                </c:pt>
                <c:pt idx="10">
                  <c:v>-0.32209602561974893</c:v>
                </c:pt>
                <c:pt idx="11">
                  <c:v>-0.29333634112949242</c:v>
                </c:pt>
                <c:pt idx="12">
                  <c:v>1.4650416130809454E-3</c:v>
                </c:pt>
                <c:pt idx="13">
                  <c:v>7.8507188492409424E-2</c:v>
                </c:pt>
                <c:pt idx="14">
                  <c:v>3.9960777137645544E-2</c:v>
                </c:pt>
                <c:pt idx="15">
                  <c:v>-2.0459404335135881E-2</c:v>
                </c:pt>
                <c:pt idx="16">
                  <c:v>-5.0267327237084186E-3</c:v>
                </c:pt>
                <c:pt idx="17">
                  <c:v>-3.4632234183758916E-2</c:v>
                </c:pt>
                <c:pt idx="18">
                  <c:v>-3.175825508507444E-2</c:v>
                </c:pt>
                <c:pt idx="19">
                  <c:v>-2.2300326799825753E-2</c:v>
                </c:pt>
                <c:pt idx="20">
                  <c:v>3.4326892344857446E-2</c:v>
                </c:pt>
                <c:pt idx="21">
                  <c:v>-4.1710102869813512E-2</c:v>
                </c:pt>
                <c:pt idx="22">
                  <c:v>-2.2497245165383803E-2</c:v>
                </c:pt>
                <c:pt idx="23">
                  <c:v>-9.0077782427121911E-5</c:v>
                </c:pt>
              </c:numCache>
            </c:numRef>
          </c:val>
          <c:extLst>
            <c:ext xmlns:c16="http://schemas.microsoft.com/office/drawing/2014/chart" uri="{C3380CC4-5D6E-409C-BE32-E72D297353CC}">
              <c16:uniqueId val="{00000000-AF81-4372-BDAC-9730543D4342}"/>
            </c:ext>
          </c:extLst>
        </c:ser>
        <c:ser>
          <c:idx val="1"/>
          <c:order val="1"/>
          <c:tx>
            <c:strRef>
              <c:f>'souhrnná výkonnost 4'!$F$5</c:f>
              <c:strCache>
                <c:ptCount val="1"/>
                <c:pt idx="0">
                  <c:v>Construction</c:v>
                </c:pt>
              </c:strCache>
            </c:strRef>
          </c:tx>
          <c:spPr>
            <a:solidFill>
              <a:srgbClr val="7030A0"/>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4'!$F$10:$F$33</c:f>
              <c:numCache>
                <c:formatCode>#\ ##0.0</c:formatCode>
                <c:ptCount val="24"/>
                <c:pt idx="0">
                  <c:v>-0.15836437304914164</c:v>
                </c:pt>
                <c:pt idx="1">
                  <c:v>-0.12253502255257109</c:v>
                </c:pt>
                <c:pt idx="2">
                  <c:v>-7.1242684146133939E-2</c:v>
                </c:pt>
                <c:pt idx="3">
                  <c:v>-0.10866493986218721</c:v>
                </c:pt>
                <c:pt idx="4">
                  <c:v>-0.30004627661730132</c:v>
                </c:pt>
                <c:pt idx="5">
                  <c:v>-0.48068129994946118</c:v>
                </c:pt>
                <c:pt idx="6">
                  <c:v>-0.45523791005942654</c:v>
                </c:pt>
                <c:pt idx="7">
                  <c:v>-0.43581518565318822</c:v>
                </c:pt>
                <c:pt idx="8">
                  <c:v>-0.33836863825135816</c:v>
                </c:pt>
                <c:pt idx="9">
                  <c:v>-6.7143304167931656E-2</c:v>
                </c:pt>
                <c:pt idx="10">
                  <c:v>-5.8092008458518342E-2</c:v>
                </c:pt>
                <c:pt idx="11">
                  <c:v>-0.10853391292600841</c:v>
                </c:pt>
                <c:pt idx="12">
                  <c:v>-9.0417570306820225E-2</c:v>
                </c:pt>
                <c:pt idx="13">
                  <c:v>-0.27691175914342508</c:v>
                </c:pt>
                <c:pt idx="14">
                  <c:v>-0.42875648302719638</c:v>
                </c:pt>
                <c:pt idx="15">
                  <c:v>-0.37973365169110213</c:v>
                </c:pt>
                <c:pt idx="16">
                  <c:v>-0.17716735825476659</c:v>
                </c:pt>
                <c:pt idx="17">
                  <c:v>-0.14950976455968754</c:v>
                </c:pt>
                <c:pt idx="18">
                  <c:v>-7.0749089694387812E-2</c:v>
                </c:pt>
                <c:pt idx="19">
                  <c:v>-0.13102758539124981</c:v>
                </c:pt>
                <c:pt idx="20">
                  <c:v>-0.10128882603407957</c:v>
                </c:pt>
                <c:pt idx="21">
                  <c:v>1.1892883380210753E-2</c:v>
                </c:pt>
                <c:pt idx="22">
                  <c:v>4.8201590863362911E-2</c:v>
                </c:pt>
                <c:pt idx="23">
                  <c:v>0.12700654696453351</c:v>
                </c:pt>
              </c:numCache>
            </c:numRef>
          </c:val>
          <c:extLst>
            <c:ext xmlns:c16="http://schemas.microsoft.com/office/drawing/2014/chart" uri="{C3380CC4-5D6E-409C-BE32-E72D297353CC}">
              <c16:uniqueId val="{00000001-AF81-4372-BDAC-9730543D4342}"/>
            </c:ext>
          </c:extLst>
        </c:ser>
        <c:ser>
          <c:idx val="2"/>
          <c:order val="2"/>
          <c:tx>
            <c:strRef>
              <c:f>'souhrnná výkonnost 4'!$E$5</c:f>
              <c:strCache>
                <c:ptCount val="1"/>
                <c:pt idx="0">
                  <c:v>Other industrial branches (CZ-NACE B,D,E)</c:v>
                </c:pt>
              </c:strCache>
            </c:strRef>
          </c:tx>
          <c:spPr>
            <a:solidFill>
              <a:srgbClr val="A6CDE8"/>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4'!$E$10:$E$33</c:f>
              <c:numCache>
                <c:formatCode>General</c:formatCode>
                <c:ptCount val="24"/>
                <c:pt idx="0">
                  <c:v>4.5459612013585282E-3</c:v>
                </c:pt>
                <c:pt idx="1">
                  <c:v>-5.4299843239147494E-2</c:v>
                </c:pt>
                <c:pt idx="2">
                  <c:v>-0.26283098752928491</c:v>
                </c:pt>
                <c:pt idx="3">
                  <c:v>-9.8219621966424864E-2</c:v>
                </c:pt>
                <c:pt idx="4">
                  <c:v>-0.17620696396261137</c:v>
                </c:pt>
                <c:pt idx="5">
                  <c:v>-0.24771149792454139</c:v>
                </c:pt>
                <c:pt idx="6">
                  <c:v>-6.0935554321396967E-2</c:v>
                </c:pt>
                <c:pt idx="7">
                  <c:v>6.5525594099085982E-2</c:v>
                </c:pt>
                <c:pt idx="8">
                  <c:v>0.38896231887529847</c:v>
                </c:pt>
                <c:pt idx="9">
                  <c:v>0.46371609807310366</c:v>
                </c:pt>
                <c:pt idx="10">
                  <c:v>0.33807449475314627</c:v>
                </c:pt>
                <c:pt idx="11">
                  <c:v>-5.8765796805848813E-2</c:v>
                </c:pt>
                <c:pt idx="12">
                  <c:v>-0.43983407410669084</c:v>
                </c:pt>
                <c:pt idx="13">
                  <c:v>-0.35269776369716466</c:v>
                </c:pt>
                <c:pt idx="14">
                  <c:v>-0.58798697249592147</c:v>
                </c:pt>
                <c:pt idx="15">
                  <c:v>-0.91369938251265959</c:v>
                </c:pt>
                <c:pt idx="16">
                  <c:v>-1.0554415694973189</c:v>
                </c:pt>
                <c:pt idx="17">
                  <c:v>-1.1918568053814194</c:v>
                </c:pt>
                <c:pt idx="18">
                  <c:v>-1.1412411616241473</c:v>
                </c:pt>
                <c:pt idx="19">
                  <c:v>-0.88664143027340003</c:v>
                </c:pt>
                <c:pt idx="20">
                  <c:v>-0.33777819330462289</c:v>
                </c:pt>
                <c:pt idx="21">
                  <c:v>-1.6799845269202085E-2</c:v>
                </c:pt>
                <c:pt idx="22">
                  <c:v>9.3816644832477626E-3</c:v>
                </c:pt>
                <c:pt idx="23">
                  <c:v>-0.28576615972759012</c:v>
                </c:pt>
              </c:numCache>
            </c:numRef>
          </c:val>
          <c:extLst>
            <c:ext xmlns:c16="http://schemas.microsoft.com/office/drawing/2014/chart" uri="{C3380CC4-5D6E-409C-BE32-E72D297353CC}">
              <c16:uniqueId val="{00000002-AF81-4372-BDAC-9730543D4342}"/>
            </c:ext>
          </c:extLst>
        </c:ser>
        <c:ser>
          <c:idx val="3"/>
          <c:order val="3"/>
          <c:tx>
            <c:strRef>
              <c:f>'souhrnná výkonnost 4'!$D$5</c:f>
              <c:strCache>
                <c:ptCount val="1"/>
                <c:pt idx="0">
                  <c:v>Manufacturing (CZ-NACE C)</c:v>
                </c:pt>
              </c:strCache>
            </c:strRef>
          </c:tx>
          <c:spPr>
            <a:solidFill>
              <a:srgbClr val="0071BC"/>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4'!$D$10:$D$33</c:f>
              <c:numCache>
                <c:formatCode>#\ ##0.0</c:formatCode>
                <c:ptCount val="24"/>
                <c:pt idx="0">
                  <c:v>0.79286837781479091</c:v>
                </c:pt>
                <c:pt idx="1">
                  <c:v>1.3034853573072027</c:v>
                </c:pt>
                <c:pt idx="2">
                  <c:v>1.2859805485632667</c:v>
                </c:pt>
                <c:pt idx="3">
                  <c:v>0.76399660901596278</c:v>
                </c:pt>
                <c:pt idx="4">
                  <c:v>-1.006029365184558</c:v>
                </c:pt>
                <c:pt idx="5">
                  <c:v>-5.8707476654845019</c:v>
                </c:pt>
                <c:pt idx="6">
                  <c:v>-2.1566635032660484</c:v>
                </c:pt>
                <c:pt idx="7">
                  <c:v>-1.5364269842490534</c:v>
                </c:pt>
                <c:pt idx="8">
                  <c:v>-0.81082301657390887</c:v>
                </c:pt>
                <c:pt idx="9">
                  <c:v>3.9743747095561068</c:v>
                </c:pt>
                <c:pt idx="10">
                  <c:v>-0.74888372469617781</c:v>
                </c:pt>
                <c:pt idx="11">
                  <c:v>-0.87291327125667473</c:v>
                </c:pt>
                <c:pt idx="12">
                  <c:v>0.64528350075532714</c:v>
                </c:pt>
                <c:pt idx="13">
                  <c:v>1.5767749269534403</c:v>
                </c:pt>
                <c:pt idx="14">
                  <c:v>2.2578630988104651</c:v>
                </c:pt>
                <c:pt idx="15">
                  <c:v>2.6492927635274892</c:v>
                </c:pt>
                <c:pt idx="16">
                  <c:v>1.5213888679587808</c:v>
                </c:pt>
                <c:pt idx="17">
                  <c:v>0.73763485799498885</c:v>
                </c:pt>
                <c:pt idx="18">
                  <c:v>0.19292900801292828</c:v>
                </c:pt>
                <c:pt idx="19">
                  <c:v>0.32386657410623332</c:v>
                </c:pt>
                <c:pt idx="20">
                  <c:v>-0.35005254750626946</c:v>
                </c:pt>
                <c:pt idx="21">
                  <c:v>-0.51284029289067279</c:v>
                </c:pt>
                <c:pt idx="22">
                  <c:v>1.2686414372986381E-2</c:v>
                </c:pt>
                <c:pt idx="23">
                  <c:v>-0.32889710101390224</c:v>
                </c:pt>
              </c:numCache>
            </c:numRef>
          </c:val>
          <c:extLst>
            <c:ext xmlns:c16="http://schemas.microsoft.com/office/drawing/2014/chart" uri="{C3380CC4-5D6E-409C-BE32-E72D297353CC}">
              <c16:uniqueId val="{00000003-AF81-4372-BDAC-9730543D4342}"/>
            </c:ext>
          </c:extLst>
        </c:ser>
        <c:ser>
          <c:idx val="0"/>
          <c:order val="4"/>
          <c:tx>
            <c:strRef>
              <c:f>'souhrnná výkonnost 4'!$G$5</c:f>
              <c:strCache>
                <c:ptCount val="1"/>
                <c:pt idx="0">
                  <c:v>Services (CZ-NACE G to U)</c:v>
                </c:pt>
              </c:strCache>
            </c:strRef>
          </c:tx>
          <c:spPr>
            <a:solidFill>
              <a:srgbClr val="BD1B21"/>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4'!$G$10:$G$33</c:f>
              <c:numCache>
                <c:formatCode>General</c:formatCode>
                <c:ptCount val="24"/>
                <c:pt idx="0">
                  <c:v>2.7152016193024755</c:v>
                </c:pt>
                <c:pt idx="1">
                  <c:v>2.5568894010177439</c:v>
                </c:pt>
                <c:pt idx="2">
                  <c:v>2.5806630267772652</c:v>
                </c:pt>
                <c:pt idx="3">
                  <c:v>2.6155761339131312</c:v>
                </c:pt>
                <c:pt idx="4">
                  <c:v>0.1069034272001633</c:v>
                </c:pt>
                <c:pt idx="5">
                  <c:v>-4.2921319772752993</c:v>
                </c:pt>
                <c:pt idx="6">
                  <c:v>-1.7505754010952781</c:v>
                </c:pt>
                <c:pt idx="7">
                  <c:v>-2.2464479137063273</c:v>
                </c:pt>
                <c:pt idx="8">
                  <c:v>-0.13953156252945553</c:v>
                </c:pt>
                <c:pt idx="9">
                  <c:v>5.9943506299525042</c:v>
                </c:pt>
                <c:pt idx="10">
                  <c:v>4.4243917423347074</c:v>
                </c:pt>
                <c:pt idx="11">
                  <c:v>4.7971483856259507</c:v>
                </c:pt>
                <c:pt idx="12">
                  <c:v>4.2170828841115204</c:v>
                </c:pt>
                <c:pt idx="13">
                  <c:v>2.6617211255203492</c:v>
                </c:pt>
                <c:pt idx="14">
                  <c:v>0.7676089117890853</c:v>
                </c:pt>
                <c:pt idx="15">
                  <c:v>0.29041678067472676</c:v>
                </c:pt>
                <c:pt idx="16">
                  <c:v>1.2630343657854546</c:v>
                </c:pt>
                <c:pt idx="17">
                  <c:v>1.3129514276285825</c:v>
                </c:pt>
                <c:pt idx="18">
                  <c:v>1.3404253283547289</c:v>
                </c:pt>
                <c:pt idx="19">
                  <c:v>0.61232648519811117</c:v>
                </c:pt>
                <c:pt idx="20">
                  <c:v>0.14657310260287729</c:v>
                </c:pt>
                <c:pt idx="21">
                  <c:v>0.47347140254566622</c:v>
                </c:pt>
                <c:pt idx="22">
                  <c:v>0.93660301309903404</c:v>
                </c:pt>
                <c:pt idx="23">
                  <c:v>1.5539126468429065</c:v>
                </c:pt>
              </c:numCache>
            </c:numRef>
          </c:val>
          <c:extLst>
            <c:ext xmlns:c16="http://schemas.microsoft.com/office/drawing/2014/chart" uri="{C3380CC4-5D6E-409C-BE32-E72D297353CC}">
              <c16:uniqueId val="{00000004-AF81-4372-BDAC-9730543D4342}"/>
            </c:ext>
          </c:extLst>
        </c:ser>
        <c:dLbls>
          <c:showLegendKey val="0"/>
          <c:showVal val="0"/>
          <c:showCatName val="0"/>
          <c:showSerName val="0"/>
          <c:showPercent val="0"/>
          <c:showBubbleSize val="0"/>
        </c:dLbls>
        <c:gapWidth val="70"/>
        <c:overlap val="100"/>
        <c:axId val="115446144"/>
        <c:axId val="115447680"/>
      </c:barChart>
      <c:lineChart>
        <c:grouping val="standard"/>
        <c:varyColors val="0"/>
        <c:ser>
          <c:idx val="5"/>
          <c:order val="5"/>
          <c:tx>
            <c:strRef>
              <c:f>'souhrnná výkonnost 4'!$H$5</c:f>
              <c:strCache>
                <c:ptCount val="1"/>
                <c:pt idx="0">
                  <c:v>Total gross value added</c:v>
                </c:pt>
              </c:strCache>
            </c:strRef>
          </c:tx>
          <c:spPr>
            <a:ln w="19050">
              <a:solidFill>
                <a:prstClr val="black"/>
              </a:solidFill>
            </a:ln>
          </c:spPr>
          <c:marker>
            <c:symbol val="none"/>
          </c:marker>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4'!$H$10:$H$33</c:f>
              <c:numCache>
                <c:formatCode>#\ ##0.0</c:formatCode>
                <c:ptCount val="24"/>
                <c:pt idx="0">
                  <c:v>3.4241020823594539</c:v>
                </c:pt>
                <c:pt idx="1">
                  <c:v>3.7654261763610037</c:v>
                </c:pt>
                <c:pt idx="2">
                  <c:v>3.6432533192545407</c:v>
                </c:pt>
                <c:pt idx="3">
                  <c:v>3.3129891367830879</c:v>
                </c:pt>
                <c:pt idx="4">
                  <c:v>-1.2169604796506661</c:v>
                </c:pt>
                <c:pt idx="5">
                  <c:v>-10.72573587437293</c:v>
                </c:pt>
                <c:pt idx="6">
                  <c:v>-4.2745842128591107</c:v>
                </c:pt>
                <c:pt idx="7">
                  <c:v>-4.0497053295080292</c:v>
                </c:pt>
                <c:pt idx="8">
                  <c:v>-1.1092326662295733</c:v>
                </c:pt>
                <c:pt idx="9">
                  <c:v>10.020922752811231</c:v>
                </c:pt>
                <c:pt idx="10">
                  <c:v>3.6334340143173023</c:v>
                </c:pt>
                <c:pt idx="11">
                  <c:v>3.4636121873782457</c:v>
                </c:pt>
                <c:pt idx="12">
                  <c:v>4.3335548202223748</c:v>
                </c:pt>
                <c:pt idx="13">
                  <c:v>3.6873115442208899</c:v>
                </c:pt>
                <c:pt idx="14">
                  <c:v>2.0486348171819628</c:v>
                </c:pt>
                <c:pt idx="15">
                  <c:v>1.6260683441280008</c:v>
                </c:pt>
                <c:pt idx="16">
                  <c:v>1.5467455931493816</c:v>
                </c:pt>
                <c:pt idx="17">
                  <c:v>0.6746537525767593</c:v>
                </c:pt>
                <c:pt idx="18">
                  <c:v>0.28967826176176459</c:v>
                </c:pt>
                <c:pt idx="19">
                  <c:v>-0.10380295649311222</c:v>
                </c:pt>
                <c:pt idx="20">
                  <c:v>-0.60811626273246588</c:v>
                </c:pt>
                <c:pt idx="21">
                  <c:v>-8.5986145744413989E-2</c:v>
                </c:pt>
                <c:pt idx="22">
                  <c:v>0.98445777391596323</c:v>
                </c:pt>
                <c:pt idx="23">
                  <c:v>1.0660324507457943</c:v>
                </c:pt>
              </c:numCache>
            </c:numRef>
          </c:val>
          <c:smooth val="0"/>
          <c:extLst>
            <c:ext xmlns:c16="http://schemas.microsoft.com/office/drawing/2014/chart" uri="{C3380CC4-5D6E-409C-BE32-E72D297353CC}">
              <c16:uniqueId val="{00000005-AF81-4372-BDAC-9730543D4342}"/>
            </c:ext>
          </c:extLst>
        </c:ser>
        <c:dLbls>
          <c:showLegendKey val="0"/>
          <c:showVal val="0"/>
          <c:showCatName val="0"/>
          <c:showSerName val="0"/>
          <c:showPercent val="0"/>
          <c:showBubbleSize val="0"/>
        </c:dLbls>
        <c:marker val="1"/>
        <c:smooth val="0"/>
        <c:axId val="115446144"/>
        <c:axId val="115447680"/>
      </c:lineChart>
      <c:catAx>
        <c:axId val="11544614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447680"/>
        <c:crosses val="autoZero"/>
        <c:auto val="1"/>
        <c:lblAlgn val="ctr"/>
        <c:lblOffset val="100"/>
        <c:noMultiLvlLbl val="0"/>
      </c:catAx>
      <c:valAx>
        <c:axId val="115447680"/>
        <c:scaling>
          <c:orientation val="minMax"/>
          <c:max val="12"/>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446144"/>
        <c:crosses val="autoZero"/>
        <c:crossBetween val="between"/>
        <c:majorUnit val="4"/>
      </c:valAx>
      <c:spPr>
        <a:ln>
          <a:solidFill>
            <a:schemeClr val="tx1"/>
          </a:solidFill>
        </a:ln>
      </c:spPr>
    </c:plotArea>
    <c:legend>
      <c:legendPos val="b"/>
      <c:layout>
        <c:manualLayout>
          <c:xMode val="edge"/>
          <c:yMode val="edge"/>
          <c:x val="4.8782884397989404E-2"/>
          <c:y val="0.79016604750647301"/>
          <c:w val="0.92922619274506457"/>
          <c:h val="0.19462484520995055"/>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b8c0c86d-151e-4fca-b0d5-747e6692fa1d"/>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58775AD-0628-4B3C-AB99-1C7F8A27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1946</Words>
  <Characters>11482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3</cp:revision>
  <cp:lastPrinted>2014-07-17T14:07:00Z</cp:lastPrinted>
  <dcterms:created xsi:type="dcterms:W3CDTF">2025-04-24T09:24:00Z</dcterms:created>
  <dcterms:modified xsi:type="dcterms:W3CDTF">2025-04-24T09:31:00Z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