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2074" w14:textId="77777777" w:rsidR="006246CC" w:rsidRPr="00696DF5" w:rsidRDefault="006246CC">
      <w:pPr>
        <w:jc w:val="center"/>
        <w:rPr>
          <w:rFonts w:ascii="Arial" w:hAnsi="Arial" w:cs="Arial"/>
          <w:b/>
          <w:bCs/>
          <w:i/>
          <w:iCs/>
        </w:rPr>
      </w:pPr>
      <w:bookmarkStart w:id="0" w:name="_GoBack"/>
      <w:bookmarkEnd w:id="0"/>
      <w:r w:rsidRPr="00696DF5">
        <w:rPr>
          <w:rFonts w:ascii="Arial" w:hAnsi="Arial" w:cs="Arial"/>
          <w:b/>
          <w:bCs/>
          <w:i/>
          <w:iCs/>
        </w:rPr>
        <w:t>6. FINANCE</w:t>
      </w:r>
    </w:p>
    <w:p w14:paraId="72A5F4DA" w14:textId="77777777" w:rsidR="006246CC" w:rsidRPr="00696DF5" w:rsidRDefault="006246CC">
      <w:pPr>
        <w:pStyle w:val="Normlnweb"/>
        <w:spacing w:before="0" w:beforeAutospacing="0" w:after="0" w:afterAutospacing="0"/>
        <w:jc w:val="both"/>
        <w:rPr>
          <w:rFonts w:ascii="Arial" w:hAnsi="Arial" w:cs="Arial"/>
          <w:i/>
          <w:iCs/>
          <w:color w:val="auto"/>
          <w:sz w:val="20"/>
          <w:szCs w:val="22"/>
          <w:lang w:val="en-GB"/>
        </w:rPr>
      </w:pPr>
    </w:p>
    <w:p w14:paraId="63AF52FE" w14:textId="77777777" w:rsidR="006246CC" w:rsidRPr="00696DF5" w:rsidRDefault="006246CC">
      <w:pPr>
        <w:pStyle w:val="Normlnweb"/>
        <w:spacing w:before="0" w:beforeAutospacing="0" w:after="0" w:afterAutospacing="0"/>
        <w:ind w:firstLine="709"/>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Data given in 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-12 and in Table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-13 were provided by </w:t>
      </w:r>
      <w:r w:rsidR="003F219C" w:rsidRPr="00696DF5">
        <w:rPr>
          <w:rFonts w:ascii="Arial" w:hAnsi="Arial" w:cs="Arial"/>
          <w:i/>
          <w:iCs/>
          <w:color w:val="auto"/>
          <w:sz w:val="20"/>
          <w:szCs w:val="22"/>
          <w:lang w:val="en-GB"/>
        </w:rPr>
        <w:t>the </w:t>
      </w:r>
      <w:r w:rsidRPr="00696DF5">
        <w:rPr>
          <w:rFonts w:ascii="Arial" w:hAnsi="Arial" w:cs="Arial"/>
          <w:i/>
          <w:iCs/>
          <w:color w:val="auto"/>
          <w:sz w:val="20"/>
          <w:szCs w:val="22"/>
          <w:lang w:val="en-GB"/>
        </w:rPr>
        <w:t>Ministry of Finance and </w:t>
      </w:r>
      <w:r w:rsidR="003F219C" w:rsidRPr="00696DF5">
        <w:rPr>
          <w:rFonts w:ascii="Arial" w:hAnsi="Arial" w:cs="Arial"/>
          <w:i/>
          <w:iCs/>
          <w:color w:val="auto"/>
          <w:sz w:val="20"/>
          <w:szCs w:val="22"/>
          <w:lang w:val="en-GB"/>
        </w:rPr>
        <w:t>the </w:t>
      </w:r>
      <w:r w:rsidRPr="00696DF5">
        <w:rPr>
          <w:rFonts w:ascii="Arial" w:hAnsi="Arial" w:cs="Arial"/>
          <w:i/>
          <w:iCs/>
          <w:color w:val="auto"/>
          <w:sz w:val="20"/>
          <w:szCs w:val="22"/>
          <w:lang w:val="en-GB"/>
        </w:rPr>
        <w:t>Ministry of Defence, respectively.</w:t>
      </w:r>
    </w:p>
    <w:p w14:paraId="580FC798" w14:textId="77777777" w:rsidR="006246CC" w:rsidRPr="00696DF5" w:rsidRDefault="006246CC">
      <w:pPr>
        <w:pStyle w:val="Normlnweb"/>
        <w:spacing w:before="0" w:beforeAutospacing="0" w:after="0" w:afterAutospacing="0"/>
        <w:jc w:val="both"/>
        <w:rPr>
          <w:rFonts w:ascii="Arial" w:hAnsi="Arial" w:cs="Arial"/>
          <w:iCs/>
          <w:color w:val="auto"/>
          <w:sz w:val="20"/>
          <w:szCs w:val="22"/>
          <w:lang w:val="en-GB"/>
        </w:rPr>
      </w:pPr>
    </w:p>
    <w:p w14:paraId="7068EC94" w14:textId="77777777" w:rsidR="006246CC" w:rsidRPr="00696DF5" w:rsidRDefault="006246CC">
      <w:pPr>
        <w:pStyle w:val="Normlnweb"/>
        <w:spacing w:before="0" w:beforeAutospacing="0" w:after="0" w:afterAutospacing="0"/>
        <w:jc w:val="both"/>
        <w:rPr>
          <w:rFonts w:ascii="Arial" w:hAnsi="Arial" w:cs="Arial"/>
          <w:color w:val="auto"/>
          <w:sz w:val="20"/>
          <w:szCs w:val="22"/>
          <w:lang w:val="en-GB"/>
        </w:rPr>
      </w:pPr>
    </w:p>
    <w:p w14:paraId="0448EC38" w14:textId="77777777" w:rsidR="006246CC" w:rsidRPr="00696DF5" w:rsidRDefault="006246CC">
      <w:pPr>
        <w:pStyle w:val="Normlnweb"/>
        <w:spacing w:before="0" w:beforeAutospacing="0" w:after="0" w:afterAutospacing="0"/>
        <w:jc w:val="both"/>
        <w:rPr>
          <w:rFonts w:ascii="Arial" w:hAnsi="Arial" w:cs="Arial"/>
          <w:color w:val="auto"/>
          <w:sz w:val="20"/>
          <w:szCs w:val="22"/>
          <w:lang w:val="en-GB"/>
        </w:rPr>
      </w:pPr>
    </w:p>
    <w:p w14:paraId="7C9ADCF5" w14:textId="77777777" w:rsidR="006246CC" w:rsidRPr="00696DF5" w:rsidRDefault="006246CC">
      <w:pPr>
        <w:pStyle w:val="Normlnweb"/>
        <w:spacing w:before="0" w:beforeAutospacing="0" w:after="0" w:afterAutospacing="0"/>
        <w:jc w:val="both"/>
        <w:rPr>
          <w:rFonts w:ascii="Arial" w:hAnsi="Arial" w:cs="Arial"/>
          <w:i/>
          <w:iCs/>
          <w:color w:val="auto"/>
          <w:sz w:val="20"/>
          <w:szCs w:val="22"/>
          <w:lang w:val="en-GB"/>
        </w:rPr>
      </w:pPr>
      <w:r w:rsidRPr="00696DF5">
        <w:rPr>
          <w:rFonts w:ascii="Arial" w:hAnsi="Arial" w:cs="Arial"/>
          <w:b/>
          <w:bCs/>
          <w:i/>
          <w:iCs/>
          <w:color w:val="auto"/>
          <w:sz w:val="20"/>
          <w:szCs w:val="22"/>
          <w:lang w:val="en-GB"/>
        </w:rPr>
        <w:t xml:space="preserve">Notes on </w:t>
      </w:r>
      <w:r w:rsidR="008C6B44" w:rsidRPr="00696DF5">
        <w:rPr>
          <w:rFonts w:ascii="Arial" w:hAnsi="Arial" w:cs="Arial"/>
          <w:b/>
          <w:bCs/>
          <w:i/>
          <w:iCs/>
          <w:color w:val="auto"/>
          <w:sz w:val="20"/>
          <w:szCs w:val="22"/>
          <w:lang w:val="en-GB"/>
        </w:rPr>
        <w:t>T</w:t>
      </w:r>
      <w:r w:rsidRPr="00696DF5">
        <w:rPr>
          <w:rFonts w:ascii="Arial" w:hAnsi="Arial" w:cs="Arial"/>
          <w:b/>
          <w:bCs/>
          <w:i/>
          <w:iCs/>
          <w:color w:val="auto"/>
          <w:sz w:val="20"/>
          <w:szCs w:val="22"/>
          <w:lang w:val="en-GB"/>
        </w:rPr>
        <w:t>ables</w:t>
      </w:r>
      <w:r w:rsidRPr="00696DF5">
        <w:rPr>
          <w:rFonts w:ascii="Arial" w:hAnsi="Arial" w:cs="Arial"/>
          <w:i/>
          <w:iCs/>
          <w:color w:val="auto"/>
          <w:sz w:val="20"/>
          <w:szCs w:val="22"/>
          <w:lang w:val="en-GB"/>
        </w:rPr>
        <w:t xml:space="preserve"> </w:t>
      </w:r>
    </w:p>
    <w:p w14:paraId="5C1BA12F" w14:textId="77777777" w:rsidR="006246CC" w:rsidRPr="00696DF5" w:rsidRDefault="006246CC">
      <w:pPr>
        <w:pStyle w:val="Normlnweb"/>
        <w:spacing w:before="0" w:beforeAutospacing="0" w:after="0" w:afterAutospacing="0"/>
        <w:jc w:val="both"/>
        <w:rPr>
          <w:rFonts w:ascii="Arial" w:hAnsi="Arial" w:cs="Arial"/>
          <w:i/>
          <w:iCs/>
          <w:color w:val="auto"/>
          <w:sz w:val="20"/>
          <w:szCs w:val="22"/>
          <w:lang w:val="en-GB"/>
        </w:rPr>
      </w:pPr>
    </w:p>
    <w:p w14:paraId="2B035D6B" w14:textId="77777777" w:rsidR="006246CC" w:rsidRPr="00696DF5" w:rsidRDefault="006246CC">
      <w:pPr>
        <w:pStyle w:val="Normlnweb"/>
        <w:spacing w:before="0" w:beforeAutospacing="0" w:after="0" w:afterAutospacing="0"/>
        <w:jc w:val="both"/>
        <w:rPr>
          <w:rFonts w:ascii="Arial" w:hAnsi="Arial" w:cs="Arial"/>
          <w:i/>
          <w:iCs/>
          <w:color w:val="auto"/>
          <w:sz w:val="20"/>
          <w:szCs w:val="22"/>
          <w:lang w:val="en-GB"/>
        </w:rPr>
      </w:pPr>
    </w:p>
    <w:p w14:paraId="3B23A771" w14:textId="77777777" w:rsidR="006246CC" w:rsidRPr="00696DF5" w:rsidRDefault="006246CC">
      <w:pPr>
        <w:pStyle w:val="Normlnweb"/>
        <w:spacing w:before="0" w:beforeAutospacing="0" w:after="0" w:afterAutospacing="0"/>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-4 </w:t>
      </w:r>
      <w:r w:rsidRPr="00696DF5">
        <w:rPr>
          <w:rFonts w:ascii="Arial" w:hAnsi="Arial" w:cs="Arial"/>
          <w:b/>
          <w:bCs/>
          <w:i/>
          <w:iCs/>
          <w:color w:val="auto"/>
          <w:sz w:val="20"/>
          <w:szCs w:val="22"/>
          <w:lang w:val="en-GB"/>
        </w:rPr>
        <w:t>General government operations</w:t>
      </w:r>
    </w:p>
    <w:p w14:paraId="61DB5E29" w14:textId="13F5C9E7" w:rsidR="006246CC" w:rsidRDefault="006246CC">
      <w:pPr>
        <w:pStyle w:val="Normlnweb"/>
        <w:spacing w:before="120" w:beforeAutospacing="0" w:after="0" w:afterAutospacing="0"/>
        <w:ind w:firstLine="709"/>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-4 give consolidated general government operations, i.e. </w:t>
      </w:r>
      <w:r w:rsidR="003F219C" w:rsidRPr="00696DF5">
        <w:rPr>
          <w:rFonts w:ascii="Arial" w:hAnsi="Arial" w:cs="Arial"/>
          <w:i/>
          <w:iCs/>
          <w:color w:val="auto"/>
          <w:sz w:val="20"/>
          <w:szCs w:val="22"/>
          <w:lang w:val="en-GB"/>
        </w:rPr>
        <w:t>the </w:t>
      </w:r>
      <w:r w:rsidRPr="00696DF5">
        <w:rPr>
          <w:rFonts w:ascii="Arial" w:hAnsi="Arial" w:cs="Arial"/>
          <w:b/>
          <w:bCs/>
          <w:i/>
          <w:iCs/>
          <w:color w:val="auto"/>
          <w:sz w:val="20"/>
          <w:szCs w:val="22"/>
          <w:lang w:val="en-GB"/>
        </w:rPr>
        <w:t>state budget</w:t>
      </w:r>
      <w:r w:rsidRPr="00696DF5">
        <w:rPr>
          <w:rFonts w:ascii="Arial" w:hAnsi="Arial" w:cs="Arial"/>
          <w:i/>
          <w:iCs/>
          <w:color w:val="auto"/>
          <w:sz w:val="20"/>
          <w:szCs w:val="22"/>
          <w:lang w:val="en-GB"/>
        </w:rPr>
        <w:t xml:space="preserve"> (including transactions on </w:t>
      </w:r>
      <w:r w:rsidR="003F219C" w:rsidRPr="00696DF5">
        <w:rPr>
          <w:rFonts w:ascii="Arial" w:hAnsi="Arial" w:cs="Arial"/>
          <w:i/>
          <w:iCs/>
          <w:color w:val="auto"/>
          <w:sz w:val="20"/>
          <w:szCs w:val="22"/>
          <w:lang w:val="en-GB"/>
        </w:rPr>
        <w:t>the </w:t>
      </w:r>
      <w:r w:rsidRPr="00696DF5">
        <w:rPr>
          <w:rFonts w:ascii="Arial" w:hAnsi="Arial" w:cs="Arial"/>
          <w:i/>
          <w:iCs/>
          <w:color w:val="auto"/>
          <w:sz w:val="20"/>
          <w:szCs w:val="22"/>
          <w:lang w:val="en-GB"/>
        </w:rPr>
        <w:t>accounts of </w:t>
      </w:r>
      <w:r w:rsidR="003F219C" w:rsidRPr="00696DF5">
        <w:rPr>
          <w:rFonts w:ascii="Arial" w:hAnsi="Arial" w:cs="Arial"/>
          <w:i/>
          <w:iCs/>
          <w:color w:val="auto"/>
          <w:sz w:val="20"/>
          <w:szCs w:val="22"/>
          <w:lang w:val="en-GB"/>
        </w:rPr>
        <w:t>the </w:t>
      </w:r>
      <w:r w:rsidRPr="00696DF5">
        <w:rPr>
          <w:rFonts w:ascii="Arial" w:hAnsi="Arial" w:cs="Arial"/>
          <w:i/>
          <w:iCs/>
          <w:color w:val="auto"/>
          <w:sz w:val="20"/>
          <w:szCs w:val="22"/>
          <w:lang w:val="en-GB"/>
        </w:rPr>
        <w:t>National Fund</w:t>
      </w:r>
      <w:r w:rsidR="00C81C3D" w:rsidRPr="00696DF5">
        <w:rPr>
          <w:rFonts w:ascii="Arial" w:hAnsi="Arial" w:cs="Arial"/>
          <w:i/>
          <w:iCs/>
          <w:color w:val="auto"/>
          <w:sz w:val="20"/>
          <w:szCs w:val="22"/>
          <w:lang w:val="en-GB"/>
        </w:rPr>
        <w:t>,</w:t>
      </w:r>
      <w:r w:rsidRPr="00696DF5">
        <w:rPr>
          <w:rFonts w:ascii="Arial" w:hAnsi="Arial" w:cs="Arial"/>
          <w:i/>
          <w:iCs/>
          <w:color w:val="auto"/>
          <w:sz w:val="20"/>
          <w:szCs w:val="22"/>
          <w:lang w:val="en-GB"/>
        </w:rPr>
        <w:t xml:space="preserve"> which administers</w:t>
      </w:r>
      <w:r w:rsidR="00550550" w:rsidRPr="00696DF5">
        <w:rPr>
          <w:rFonts w:ascii="Arial" w:hAnsi="Arial" w:cs="Arial"/>
          <w:i/>
          <w:iCs/>
          <w:color w:val="auto"/>
          <w:sz w:val="20"/>
          <w:szCs w:val="22"/>
          <w:lang w:val="en-GB"/>
        </w:rPr>
        <w:t xml:space="preserve"> resources from </w:t>
      </w:r>
      <w:r w:rsidRPr="00696DF5">
        <w:rPr>
          <w:rFonts w:ascii="Arial" w:hAnsi="Arial" w:cs="Arial"/>
          <w:i/>
          <w:iCs/>
          <w:color w:val="auto"/>
          <w:sz w:val="20"/>
          <w:szCs w:val="22"/>
          <w:lang w:val="en-GB"/>
        </w:rPr>
        <w:t>EU </w:t>
      </w:r>
      <w:r w:rsidR="00550550" w:rsidRPr="00696DF5">
        <w:rPr>
          <w:rFonts w:ascii="Arial" w:hAnsi="Arial" w:cs="Arial"/>
          <w:i/>
          <w:iCs/>
          <w:color w:val="auto"/>
          <w:sz w:val="20"/>
          <w:szCs w:val="22"/>
          <w:lang w:val="en-GB"/>
        </w:rPr>
        <w:t>funds</w:t>
      </w:r>
      <w:r w:rsidR="00B12872">
        <w:rPr>
          <w:rFonts w:ascii="Arial" w:hAnsi="Arial" w:cs="Arial"/>
          <w:i/>
          <w:iCs/>
          <w:color w:val="auto"/>
          <w:sz w:val="20"/>
          <w:szCs w:val="22"/>
          <w:lang w:val="en-GB"/>
        </w:rPr>
        <w:t xml:space="preserve"> and</w:t>
      </w:r>
      <w:r w:rsidR="00550550" w:rsidRPr="00696DF5">
        <w:rPr>
          <w:rFonts w:ascii="Arial" w:hAnsi="Arial" w:cs="Arial"/>
          <w:i/>
          <w:iCs/>
          <w:color w:val="auto"/>
          <w:sz w:val="20"/>
          <w:szCs w:val="22"/>
          <w:lang w:val="en-GB"/>
        </w:rPr>
        <w:t xml:space="preserve"> </w:t>
      </w:r>
      <w:r w:rsidRPr="00696DF5">
        <w:rPr>
          <w:rFonts w:ascii="Arial" w:hAnsi="Arial" w:cs="Arial"/>
          <w:i/>
          <w:iCs/>
          <w:color w:val="auto"/>
          <w:sz w:val="20"/>
          <w:szCs w:val="22"/>
          <w:lang w:val="en-GB"/>
        </w:rPr>
        <w:t xml:space="preserve">resources from privatisation), </w:t>
      </w:r>
      <w:r w:rsidRPr="00696DF5">
        <w:rPr>
          <w:rFonts w:ascii="Arial" w:hAnsi="Arial" w:cs="Arial"/>
          <w:b/>
          <w:bCs/>
          <w:i/>
          <w:iCs/>
          <w:color w:val="auto"/>
          <w:sz w:val="20"/>
          <w:szCs w:val="22"/>
          <w:lang w:val="en-GB"/>
        </w:rPr>
        <w:t>extrabudgetary funds</w:t>
      </w:r>
      <w:r w:rsidRPr="00696DF5">
        <w:rPr>
          <w:rFonts w:ascii="Arial" w:hAnsi="Arial" w:cs="Arial"/>
          <w:i/>
          <w:iCs/>
          <w:color w:val="auto"/>
          <w:sz w:val="20"/>
          <w:szCs w:val="22"/>
          <w:lang w:val="en-GB"/>
        </w:rPr>
        <w:t>, i.e. state funds (</w:t>
      </w:r>
      <w:r w:rsidR="003F219C" w:rsidRPr="00696DF5">
        <w:rPr>
          <w:rFonts w:ascii="Arial" w:hAnsi="Arial" w:cs="Arial"/>
          <w:i/>
          <w:iCs/>
          <w:color w:val="auto"/>
          <w:sz w:val="20"/>
          <w:szCs w:val="22"/>
          <w:lang w:val="en-GB"/>
        </w:rPr>
        <w:t>the </w:t>
      </w:r>
      <w:r w:rsidRPr="00696DF5">
        <w:rPr>
          <w:rFonts w:ascii="Arial" w:hAnsi="Arial" w:cs="Arial"/>
          <w:i/>
          <w:iCs/>
          <w:color w:val="auto"/>
          <w:sz w:val="20"/>
          <w:szCs w:val="22"/>
          <w:lang w:val="en-GB"/>
        </w:rPr>
        <w:t xml:space="preserve">State Agricultural Intervention </w:t>
      </w:r>
      <w:r w:rsidR="00764C58" w:rsidRPr="00696DF5">
        <w:rPr>
          <w:rFonts w:ascii="Arial" w:hAnsi="Arial" w:cs="Arial"/>
          <w:i/>
          <w:iCs/>
          <w:color w:val="auto"/>
          <w:sz w:val="20"/>
          <w:szCs w:val="22"/>
          <w:lang w:val="en-GB"/>
        </w:rPr>
        <w:t xml:space="preserve">Fund, the State </w:t>
      </w:r>
      <w:r w:rsidR="00764C58" w:rsidRPr="00F30F63">
        <w:rPr>
          <w:rFonts w:ascii="Arial" w:hAnsi="Arial" w:cs="Arial"/>
          <w:i/>
          <w:iCs/>
          <w:color w:val="auto"/>
          <w:sz w:val="20"/>
          <w:szCs w:val="22"/>
          <w:lang w:val="en-GB"/>
        </w:rPr>
        <w:t>Environmental Fund, the State Culture Fund, the</w:t>
      </w:r>
      <w:r w:rsidR="00F30F63" w:rsidRPr="0062522E">
        <w:rPr>
          <w:rFonts w:ascii="Arial" w:hAnsi="Arial" w:cs="Arial"/>
          <w:i/>
          <w:iCs/>
          <w:color w:val="auto"/>
          <w:sz w:val="20"/>
          <w:szCs w:val="22"/>
          <w:lang w:val="en-GB"/>
        </w:rPr>
        <w:t xml:space="preserve"> Czech Film Fund</w:t>
      </w:r>
      <w:r w:rsidR="0054711D">
        <w:rPr>
          <w:rFonts w:ascii="Arial" w:hAnsi="Arial" w:cs="Arial"/>
          <w:i/>
          <w:iCs/>
          <w:color w:val="auto"/>
          <w:sz w:val="20"/>
          <w:szCs w:val="22"/>
          <w:lang w:val="en-GB"/>
        </w:rPr>
        <w:t xml:space="preserve"> (before 1 January 2013 the State Fund for Support and Development of Czech Cinematography</w:t>
      </w:r>
      <w:r w:rsidR="00764C58" w:rsidRPr="0062522E">
        <w:rPr>
          <w:rFonts w:ascii="Arial" w:hAnsi="Arial" w:cs="Arial"/>
          <w:i/>
          <w:iCs/>
          <w:color w:val="auto"/>
          <w:sz w:val="20"/>
          <w:szCs w:val="22"/>
          <w:lang w:val="en-GB"/>
        </w:rPr>
        <w:t>), the State Housing Development Fund,</w:t>
      </w:r>
      <w:r w:rsidR="0054711D">
        <w:rPr>
          <w:rFonts w:ascii="Arial" w:hAnsi="Arial" w:cs="Arial"/>
          <w:i/>
          <w:iCs/>
          <w:color w:val="auto"/>
          <w:sz w:val="20"/>
          <w:szCs w:val="22"/>
          <w:lang w:val="en-GB"/>
        </w:rPr>
        <w:t xml:space="preserve"> and</w:t>
      </w:r>
      <w:r w:rsidR="00764C58" w:rsidRPr="0062522E">
        <w:rPr>
          <w:rFonts w:ascii="Arial" w:hAnsi="Arial" w:cs="Arial"/>
          <w:i/>
          <w:iCs/>
          <w:color w:val="auto"/>
          <w:sz w:val="20"/>
          <w:szCs w:val="22"/>
          <w:lang w:val="en-GB"/>
        </w:rPr>
        <w:t xml:space="preserve"> the State Fund for Transport Infrastructure) and </w:t>
      </w:r>
      <w:r w:rsidR="003F219C" w:rsidRPr="0062522E">
        <w:rPr>
          <w:rFonts w:ascii="Arial" w:hAnsi="Arial" w:cs="Arial"/>
          <w:i/>
          <w:iCs/>
          <w:color w:val="auto"/>
          <w:sz w:val="20"/>
          <w:szCs w:val="22"/>
          <w:lang w:val="en-GB"/>
        </w:rPr>
        <w:t>the </w:t>
      </w:r>
      <w:r w:rsidRPr="0062522E">
        <w:rPr>
          <w:rFonts w:ascii="Arial" w:hAnsi="Arial" w:cs="Arial"/>
          <w:i/>
          <w:iCs/>
          <w:color w:val="auto"/>
          <w:sz w:val="20"/>
          <w:szCs w:val="22"/>
          <w:lang w:val="en-GB"/>
        </w:rPr>
        <w:t>Land Fund</w:t>
      </w:r>
      <w:r w:rsidR="00C20D4E" w:rsidRPr="0062522E">
        <w:rPr>
          <w:rFonts w:ascii="Arial" w:hAnsi="Arial" w:cs="Arial"/>
          <w:i/>
          <w:iCs/>
          <w:color w:val="auto"/>
          <w:sz w:val="20"/>
          <w:szCs w:val="22"/>
          <w:lang w:val="en-GB"/>
        </w:rPr>
        <w:t xml:space="preserve"> (discontinued as at 31</w:t>
      </w:r>
      <w:r w:rsidR="003F219C" w:rsidRPr="0062522E">
        <w:rPr>
          <w:rFonts w:ascii="Arial" w:hAnsi="Arial" w:cs="Arial"/>
          <w:i/>
          <w:iCs/>
          <w:color w:val="auto"/>
          <w:sz w:val="20"/>
          <w:szCs w:val="22"/>
          <w:lang w:val="en-GB"/>
        </w:rPr>
        <w:t> </w:t>
      </w:r>
      <w:r w:rsidR="00C20D4E" w:rsidRPr="0062522E">
        <w:rPr>
          <w:rFonts w:ascii="Arial" w:hAnsi="Arial" w:cs="Arial"/>
          <w:i/>
          <w:iCs/>
          <w:color w:val="auto"/>
          <w:sz w:val="20"/>
          <w:szCs w:val="22"/>
          <w:lang w:val="en-GB"/>
        </w:rPr>
        <w:t>December</w:t>
      </w:r>
      <w:r w:rsidR="003F219C" w:rsidRPr="0062522E">
        <w:rPr>
          <w:rFonts w:ascii="Arial" w:hAnsi="Arial" w:cs="Arial"/>
          <w:i/>
          <w:iCs/>
          <w:color w:val="auto"/>
          <w:sz w:val="20"/>
          <w:szCs w:val="22"/>
          <w:lang w:val="en-GB"/>
        </w:rPr>
        <w:t> </w:t>
      </w:r>
      <w:r w:rsidR="00C20D4E" w:rsidRPr="0062522E">
        <w:rPr>
          <w:rFonts w:ascii="Arial" w:hAnsi="Arial" w:cs="Arial"/>
          <w:i/>
          <w:iCs/>
          <w:color w:val="auto"/>
          <w:sz w:val="20"/>
          <w:szCs w:val="22"/>
          <w:lang w:val="en-GB"/>
        </w:rPr>
        <w:t xml:space="preserve">2012; </w:t>
      </w:r>
      <w:r w:rsidR="003F219C" w:rsidRPr="0062522E">
        <w:rPr>
          <w:rFonts w:ascii="Arial" w:hAnsi="Arial" w:cs="Arial"/>
          <w:i/>
          <w:iCs/>
          <w:color w:val="auto"/>
          <w:sz w:val="20"/>
          <w:szCs w:val="22"/>
          <w:lang w:val="en-GB"/>
        </w:rPr>
        <w:t>the </w:t>
      </w:r>
      <w:r w:rsidR="00C20D4E" w:rsidRPr="0062522E">
        <w:rPr>
          <w:rFonts w:ascii="Arial" w:hAnsi="Arial" w:cs="Arial"/>
          <w:i/>
          <w:iCs/>
          <w:color w:val="auto"/>
          <w:sz w:val="20"/>
          <w:szCs w:val="22"/>
          <w:lang w:val="en-GB"/>
        </w:rPr>
        <w:t>State Land Offi</w:t>
      </w:r>
      <w:r w:rsidR="00C20D4E" w:rsidRPr="00696DF5">
        <w:rPr>
          <w:rFonts w:ascii="Arial" w:hAnsi="Arial" w:cs="Arial"/>
          <w:i/>
          <w:iCs/>
          <w:color w:val="auto"/>
          <w:sz w:val="20"/>
          <w:szCs w:val="22"/>
          <w:lang w:val="en-GB"/>
        </w:rPr>
        <w:t>ce is its legal</w:t>
      </w:r>
      <w:r w:rsidR="0067335F" w:rsidRPr="00696DF5">
        <w:rPr>
          <w:rFonts w:ascii="Arial" w:hAnsi="Arial" w:cs="Arial"/>
          <w:i/>
          <w:iCs/>
          <w:color w:val="auto"/>
          <w:sz w:val="20"/>
          <w:szCs w:val="22"/>
          <w:lang w:val="en-GB"/>
        </w:rPr>
        <w:t xml:space="preserve"> successor</w:t>
      </w:r>
      <w:r w:rsidR="003F219C" w:rsidRPr="00696DF5">
        <w:rPr>
          <w:rFonts w:ascii="Arial" w:hAnsi="Arial" w:cs="Arial"/>
          <w:i/>
          <w:iCs/>
          <w:color w:val="auto"/>
          <w:sz w:val="20"/>
          <w:szCs w:val="22"/>
          <w:lang w:val="en-GB"/>
        </w:rPr>
        <w:t xml:space="preserve"> since 1 </w:t>
      </w:r>
      <w:r w:rsidR="0067335F" w:rsidRPr="00696DF5">
        <w:rPr>
          <w:rFonts w:ascii="Arial" w:hAnsi="Arial" w:cs="Arial"/>
          <w:i/>
          <w:iCs/>
          <w:color w:val="auto"/>
          <w:sz w:val="20"/>
          <w:szCs w:val="22"/>
          <w:lang w:val="en-GB"/>
        </w:rPr>
        <w:t>January</w:t>
      </w:r>
      <w:r w:rsidR="003F219C" w:rsidRPr="00696DF5">
        <w:rPr>
          <w:rFonts w:ascii="Arial" w:hAnsi="Arial" w:cs="Arial"/>
          <w:i/>
          <w:iCs/>
          <w:color w:val="auto"/>
          <w:sz w:val="20"/>
          <w:szCs w:val="22"/>
          <w:lang w:val="en-GB"/>
        </w:rPr>
        <w:t> </w:t>
      </w:r>
      <w:r w:rsidR="0067335F" w:rsidRPr="00696DF5">
        <w:rPr>
          <w:rFonts w:ascii="Arial" w:hAnsi="Arial" w:cs="Arial"/>
          <w:i/>
          <w:iCs/>
          <w:color w:val="auto"/>
          <w:sz w:val="20"/>
          <w:szCs w:val="22"/>
          <w:lang w:val="en-GB"/>
        </w:rPr>
        <w:t>2013)</w:t>
      </w:r>
      <w:r w:rsidRPr="00696DF5">
        <w:rPr>
          <w:rFonts w:ascii="Arial" w:hAnsi="Arial" w:cs="Arial"/>
          <w:i/>
          <w:iCs/>
          <w:color w:val="auto"/>
          <w:sz w:val="20"/>
          <w:szCs w:val="22"/>
          <w:lang w:val="en-GB"/>
        </w:rPr>
        <w:t xml:space="preserve">, </w:t>
      </w:r>
      <w:r w:rsidRPr="00696DF5">
        <w:rPr>
          <w:rFonts w:ascii="Arial" w:hAnsi="Arial" w:cs="Arial"/>
          <w:b/>
          <w:bCs/>
          <w:i/>
          <w:iCs/>
          <w:color w:val="auto"/>
          <w:sz w:val="20"/>
          <w:szCs w:val="22"/>
          <w:lang w:val="en-GB"/>
        </w:rPr>
        <w:t>social security funds</w:t>
      </w:r>
      <w:r w:rsidRPr="00696DF5">
        <w:rPr>
          <w:rFonts w:ascii="Arial" w:hAnsi="Arial" w:cs="Arial"/>
          <w:i/>
          <w:iCs/>
          <w:color w:val="auto"/>
          <w:sz w:val="20"/>
          <w:szCs w:val="22"/>
          <w:lang w:val="en-GB"/>
        </w:rPr>
        <w:t xml:space="preserve"> (public health insurance), and </w:t>
      </w:r>
      <w:r w:rsidR="00F03CEE" w:rsidRPr="00696DF5">
        <w:rPr>
          <w:rFonts w:ascii="Arial" w:hAnsi="Arial" w:cs="Arial"/>
          <w:b/>
          <w:bCs/>
          <w:i/>
          <w:iCs/>
          <w:color w:val="auto"/>
          <w:sz w:val="20"/>
          <w:szCs w:val="22"/>
          <w:lang w:val="en-GB"/>
        </w:rPr>
        <w:t>local governments</w:t>
      </w:r>
      <w:r w:rsidRPr="00696DF5">
        <w:rPr>
          <w:rFonts w:ascii="Arial" w:hAnsi="Arial" w:cs="Arial"/>
          <w:i/>
          <w:iCs/>
          <w:color w:val="auto"/>
          <w:sz w:val="20"/>
          <w:szCs w:val="22"/>
          <w:lang w:val="en-GB"/>
        </w:rPr>
        <w:t xml:space="preserve"> (i.e. budgets of regions, municipalities, voluntary unions of municipalities, and Regional Councils of Cohesion Regions). </w:t>
      </w:r>
    </w:p>
    <w:p w14:paraId="37B82901" w14:textId="77777777" w:rsidR="00AD361E" w:rsidRPr="00696DF5" w:rsidRDefault="00AD361E" w:rsidP="00AD361E">
      <w:pPr>
        <w:pStyle w:val="Normlnweb"/>
        <w:spacing w:before="120" w:beforeAutospacing="0" w:after="0" w:afterAutospacing="0"/>
        <w:ind w:firstLine="709"/>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The consolidation of general government operations is a method eliminating all transactions and reciprocal stock positions among the government units to obtain unbiased information on total volumes of all government transactions made only in relation to non-government units. </w:t>
      </w:r>
    </w:p>
    <w:p w14:paraId="2F09EA99"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The source data for the processing are taken from </w:t>
      </w:r>
      <w:r>
        <w:rPr>
          <w:rFonts w:ascii="Arial" w:hAnsi="Arial" w:cs="Arial"/>
          <w:i/>
          <w:iCs/>
          <w:color w:val="auto"/>
          <w:sz w:val="20"/>
          <w:szCs w:val="22"/>
          <w:lang w:val="en-GB"/>
        </w:rPr>
        <w:t>accounting and</w:t>
      </w:r>
      <w:r w:rsidRPr="00696DF5">
        <w:rPr>
          <w:rFonts w:ascii="Arial" w:hAnsi="Arial" w:cs="Arial"/>
          <w:i/>
          <w:iCs/>
          <w:color w:val="auto"/>
          <w:sz w:val="20"/>
          <w:szCs w:val="22"/>
          <w:lang w:val="en-GB"/>
        </w:rPr>
        <w:t xml:space="preserve"> financial statements of individual general government components, the State Final Account, and annual reports of extrabudgetary funds. The data are compiled according to the methodology of the International Monetary Fund in accordance with the Government Finance Statistics Manual 2014 (GFSM 2014). The differences in the structure or the volumes of revenue and expenditure (expense) in 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-1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-4 and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-5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-12 are due to the coverage of general government and the methodology used </w:t>
      </w:r>
      <w:r>
        <w:rPr>
          <w:rFonts w:ascii="Arial" w:hAnsi="Arial" w:cs="Arial"/>
          <w:i/>
          <w:iCs/>
          <w:color w:val="auto"/>
          <w:sz w:val="20"/>
          <w:szCs w:val="22"/>
          <w:lang w:val="en-GB"/>
        </w:rPr>
        <w:t>for processing. (The GFSM 2014 methodology excludes</w:t>
      </w:r>
      <w:r w:rsidRPr="0062522E">
        <w:rPr>
          <w:rFonts w:ascii="Arial" w:hAnsi="Arial" w:cs="Arial"/>
          <w:i/>
          <w:iCs/>
          <w:color w:val="auto"/>
          <w:sz w:val="20"/>
          <w:szCs w:val="22"/>
          <w:lang w:val="en-GB"/>
        </w:rPr>
        <w:t xml:space="preserve"> loan repayments from revenue</w:t>
      </w:r>
      <w:r>
        <w:rPr>
          <w:rFonts w:ascii="Arial" w:hAnsi="Arial" w:cs="Arial"/>
          <w:i/>
          <w:iCs/>
          <w:color w:val="auto"/>
          <w:sz w:val="20"/>
          <w:szCs w:val="22"/>
          <w:lang w:val="en-GB"/>
        </w:rPr>
        <w:t xml:space="preserve"> and</w:t>
      </w:r>
      <w:r w:rsidRPr="0062522E">
        <w:rPr>
          <w:rFonts w:ascii="Arial" w:hAnsi="Arial" w:cs="Arial"/>
          <w:i/>
          <w:iCs/>
          <w:color w:val="auto"/>
          <w:sz w:val="20"/>
          <w:szCs w:val="22"/>
          <w:lang w:val="en-GB"/>
        </w:rPr>
        <w:t xml:space="preserve"> from expense it excludes lending, </w:t>
      </w:r>
      <w:r>
        <w:rPr>
          <w:rFonts w:ascii="Arial" w:hAnsi="Arial" w:cs="Arial"/>
          <w:i/>
          <w:iCs/>
          <w:color w:val="auto"/>
          <w:sz w:val="20"/>
          <w:szCs w:val="22"/>
          <w:lang w:val="en-GB"/>
        </w:rPr>
        <w:t>because both are</w:t>
      </w:r>
      <w:r w:rsidRPr="0062522E">
        <w:rPr>
          <w:rFonts w:ascii="Arial" w:hAnsi="Arial" w:cs="Arial"/>
          <w:i/>
          <w:iCs/>
          <w:color w:val="auto"/>
          <w:sz w:val="20"/>
          <w:szCs w:val="22"/>
          <w:lang w:val="en-GB"/>
        </w:rPr>
        <w:t xml:space="preserve"> classified as financing. Further, </w:t>
      </w:r>
      <w:r>
        <w:rPr>
          <w:rFonts w:ascii="Arial" w:hAnsi="Arial" w:cs="Arial"/>
          <w:i/>
          <w:iCs/>
          <w:color w:val="auto"/>
          <w:sz w:val="20"/>
          <w:szCs w:val="22"/>
          <w:lang w:val="en-GB"/>
        </w:rPr>
        <w:t>waste deposit charges are classified as non-tax revenue.)</w:t>
      </w:r>
      <w:r w:rsidRPr="00696DF5">
        <w:rPr>
          <w:rFonts w:ascii="Arial" w:hAnsi="Arial" w:cs="Arial"/>
          <w:i/>
          <w:iCs/>
          <w:color w:val="auto"/>
          <w:sz w:val="20"/>
          <w:szCs w:val="22"/>
          <w:lang w:val="en-GB"/>
        </w:rPr>
        <w:t xml:space="preserve"> </w:t>
      </w:r>
    </w:p>
    <w:p w14:paraId="2A79C441"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The GFSM 2014 methodology uses accrual and cash principle. 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-3 capture cash flows. </w:t>
      </w:r>
      <w:r>
        <w:rPr>
          <w:rFonts w:ascii="Arial" w:hAnsi="Arial" w:cs="Arial"/>
          <w:i/>
          <w:iCs/>
          <w:color w:val="auto"/>
          <w:sz w:val="20"/>
          <w:szCs w:val="22"/>
          <w:lang w:val="en-GB"/>
        </w:rPr>
        <w:t>The d</w:t>
      </w:r>
      <w:r w:rsidRPr="00696DF5">
        <w:rPr>
          <w:rFonts w:ascii="Arial" w:hAnsi="Arial" w:cs="Arial"/>
          <w:i/>
          <w:iCs/>
          <w:color w:val="auto"/>
          <w:sz w:val="20"/>
          <w:szCs w:val="22"/>
          <w:lang w:val="en-GB"/>
        </w:rPr>
        <w:t>efinition of institutions</w:t>
      </w:r>
      <w:r>
        <w:rPr>
          <w:rFonts w:ascii="Arial" w:hAnsi="Arial" w:cs="Arial"/>
          <w:i/>
          <w:iCs/>
          <w:color w:val="auto"/>
          <w:sz w:val="20"/>
          <w:szCs w:val="22"/>
          <w:lang w:val="en-GB"/>
        </w:rPr>
        <w:t xml:space="preserve"> for the cash flow table </w:t>
      </w:r>
      <w:r w:rsidRPr="00696DF5">
        <w:rPr>
          <w:rFonts w:ascii="Arial" w:hAnsi="Arial" w:cs="Arial"/>
          <w:i/>
          <w:iCs/>
          <w:color w:val="auto"/>
          <w:sz w:val="20"/>
          <w:szCs w:val="22"/>
          <w:lang w:val="en-GB"/>
        </w:rPr>
        <w:t xml:space="preserve">is narrower now than the full coverage determined in the GFSM 2014 (the same as in the ESA 2010). Table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-4 shows debt in the nominal value.</w:t>
      </w:r>
    </w:p>
    <w:p w14:paraId="1C6AAED5" w14:textId="77777777" w:rsidR="00AD361E" w:rsidRPr="00696DF5" w:rsidRDefault="00AD361E" w:rsidP="00AD361E">
      <w:pPr>
        <w:pStyle w:val="Normlnweb"/>
        <w:spacing w:before="120" w:beforeAutospacing="0" w:after="0" w:afterAutospacing="0"/>
        <w:ind w:firstLine="708"/>
        <w:jc w:val="both"/>
        <w:rPr>
          <w:rFonts w:ascii="Arial" w:hAnsi="Arial" w:cs="Arial"/>
          <w:i/>
          <w:color w:val="auto"/>
          <w:sz w:val="20"/>
          <w:szCs w:val="20"/>
          <w:lang w:val="en-GB"/>
        </w:rPr>
      </w:pPr>
      <w:r>
        <w:rPr>
          <w:rFonts w:ascii="Arial" w:hAnsi="Arial" w:cs="Arial"/>
          <w:i/>
          <w:iCs/>
          <w:color w:val="auto"/>
          <w:sz w:val="20"/>
          <w:szCs w:val="22"/>
          <w:lang w:val="en-GB"/>
        </w:rPr>
        <w:t xml:space="preserve">Since 1 September 2016, due to methodological changes (implementation of the GFSM 2014), data in Tables </w:t>
      </w:r>
      <w:r>
        <w:rPr>
          <w:rFonts w:ascii="Arial" w:hAnsi="Arial" w:cs="Arial"/>
          <w:b/>
          <w:bCs/>
          <w:i/>
          <w:iCs/>
          <w:color w:val="auto"/>
          <w:sz w:val="20"/>
          <w:szCs w:val="22"/>
          <w:lang w:val="en-GB"/>
        </w:rPr>
        <w:t>6</w:t>
      </w:r>
      <w:r>
        <w:rPr>
          <w:rFonts w:ascii="Arial" w:hAnsi="Arial" w:cs="Arial"/>
          <w:i/>
          <w:iCs/>
          <w:color w:val="auto"/>
          <w:sz w:val="20"/>
          <w:szCs w:val="22"/>
          <w:lang w:val="en-GB"/>
        </w:rPr>
        <w:t xml:space="preserve">-1 to </w:t>
      </w:r>
      <w:r>
        <w:rPr>
          <w:rFonts w:ascii="Arial" w:hAnsi="Arial" w:cs="Arial"/>
          <w:b/>
          <w:bCs/>
          <w:i/>
          <w:iCs/>
          <w:color w:val="auto"/>
          <w:sz w:val="20"/>
          <w:szCs w:val="22"/>
          <w:lang w:val="en-GB"/>
        </w:rPr>
        <w:t>6</w:t>
      </w:r>
      <w:r>
        <w:rPr>
          <w:rFonts w:ascii="Arial" w:hAnsi="Arial" w:cs="Arial"/>
          <w:i/>
          <w:iCs/>
          <w:color w:val="auto"/>
          <w:sz w:val="20"/>
          <w:szCs w:val="22"/>
          <w:lang w:val="en-GB"/>
        </w:rPr>
        <w:t>-4 are not fully comparable to data published in statistical yearbooks preceding the Statistical Yearbook of the Czech Republic 2017.</w:t>
      </w:r>
    </w:p>
    <w:p w14:paraId="43C1E437"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 and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-2 list </w:t>
      </w:r>
      <w:bookmarkStart w:id="1" w:name="OLE_LINK1"/>
      <w:r w:rsidRPr="00696DF5">
        <w:rPr>
          <w:rFonts w:ascii="Arial" w:hAnsi="Arial" w:cs="Arial"/>
          <w:i/>
          <w:iCs/>
          <w:color w:val="auto"/>
          <w:sz w:val="20"/>
          <w:szCs w:val="22"/>
          <w:lang w:val="en-GB"/>
        </w:rPr>
        <w:t>revenue and expenditure (expense) of general government</w:t>
      </w:r>
      <w:bookmarkEnd w:id="1"/>
      <w:r w:rsidRPr="00696DF5">
        <w:rPr>
          <w:rFonts w:ascii="Arial" w:hAnsi="Arial" w:cs="Arial"/>
          <w:i/>
          <w:iCs/>
          <w:color w:val="auto"/>
          <w:sz w:val="20"/>
          <w:szCs w:val="22"/>
          <w:lang w:val="en-GB"/>
        </w:rPr>
        <w:t xml:space="preserve"> by kind.</w:t>
      </w:r>
    </w:p>
    <w:p w14:paraId="005CECB9"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-3 contains expenditure broken down by function of general government according to the Classification of the Functions of Government (COFOG) adopted by the UN Statistical Commission.</w:t>
      </w:r>
    </w:p>
    <w:p w14:paraId="07F2276A" w14:textId="77777777" w:rsidR="00AD361E" w:rsidRPr="00696DF5" w:rsidRDefault="00AD361E" w:rsidP="00AD361E">
      <w:pPr>
        <w:pStyle w:val="Normlnweb"/>
        <w:spacing w:before="120" w:beforeAutospacing="0" w:after="0" w:afterAutospacing="0"/>
        <w:ind w:firstLine="709"/>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-4 shows debt of individual general government components and the total consolidated general government debt as at 31 December of the reported year by type of debt instrument. </w:t>
      </w:r>
    </w:p>
    <w:p w14:paraId="6FDEB572"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4DE3B783"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3403F6E1"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-5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-12 </w:t>
      </w:r>
      <w:r w:rsidRPr="00696DF5">
        <w:rPr>
          <w:rFonts w:ascii="Arial" w:hAnsi="Arial" w:cs="Arial"/>
          <w:b/>
          <w:bCs/>
          <w:i/>
          <w:iCs/>
          <w:color w:val="auto"/>
          <w:sz w:val="20"/>
          <w:szCs w:val="22"/>
          <w:lang w:val="en-GB"/>
        </w:rPr>
        <w:t>Budget and state funds</w:t>
      </w:r>
      <w:r w:rsidRPr="00696DF5">
        <w:rPr>
          <w:rFonts w:ascii="Arial" w:hAnsi="Arial" w:cs="Arial"/>
          <w:i/>
          <w:iCs/>
          <w:color w:val="auto"/>
          <w:sz w:val="20"/>
          <w:szCs w:val="22"/>
          <w:lang w:val="en-GB"/>
        </w:rPr>
        <w:t xml:space="preserve"> </w:t>
      </w:r>
    </w:p>
    <w:p w14:paraId="1722EADC"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The data given in 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-5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-12 are taken from the State Final Account of the Czech Republic every year and show the financial performance of the </w:t>
      </w:r>
      <w:r w:rsidRPr="00696DF5">
        <w:rPr>
          <w:rFonts w:ascii="Arial" w:hAnsi="Arial" w:cs="Arial"/>
          <w:b/>
          <w:bCs/>
          <w:i/>
          <w:iCs/>
          <w:color w:val="auto"/>
          <w:sz w:val="20"/>
          <w:szCs w:val="22"/>
          <w:lang w:val="en-GB"/>
        </w:rPr>
        <w:t>state budget</w:t>
      </w:r>
      <w:r w:rsidRPr="00696DF5">
        <w:rPr>
          <w:rFonts w:ascii="Arial" w:hAnsi="Arial" w:cs="Arial"/>
          <w:bCs/>
          <w:i/>
          <w:iCs/>
          <w:color w:val="auto"/>
          <w:sz w:val="20"/>
          <w:szCs w:val="22"/>
          <w:lang w:val="en-GB"/>
        </w:rPr>
        <w:t xml:space="preserve"> of the Czech Republic</w:t>
      </w:r>
      <w:r w:rsidRPr="00696DF5">
        <w:rPr>
          <w:rFonts w:ascii="Arial" w:hAnsi="Arial" w:cs="Arial"/>
          <w:i/>
          <w:iCs/>
          <w:color w:val="auto"/>
          <w:sz w:val="20"/>
          <w:szCs w:val="22"/>
          <w:lang w:val="en-GB"/>
        </w:rPr>
        <w:t xml:space="preserve">, </w:t>
      </w:r>
      <w:r w:rsidRPr="00696DF5">
        <w:rPr>
          <w:rFonts w:ascii="Arial" w:hAnsi="Arial" w:cs="Arial"/>
          <w:b/>
          <w:i/>
          <w:iCs/>
          <w:color w:val="auto"/>
          <w:sz w:val="20"/>
          <w:szCs w:val="22"/>
          <w:lang w:val="en-GB"/>
        </w:rPr>
        <w:t>local governments</w:t>
      </w:r>
      <w:r w:rsidRPr="00696DF5">
        <w:rPr>
          <w:rFonts w:ascii="Arial" w:hAnsi="Arial" w:cs="Arial"/>
          <w:i/>
          <w:iCs/>
          <w:color w:val="auto"/>
          <w:sz w:val="20"/>
          <w:szCs w:val="22"/>
          <w:lang w:val="en-GB"/>
        </w:rPr>
        <w:t>, and </w:t>
      </w:r>
      <w:r w:rsidRPr="00696DF5">
        <w:rPr>
          <w:rFonts w:ascii="Arial" w:hAnsi="Arial" w:cs="Arial"/>
          <w:b/>
          <w:bCs/>
          <w:i/>
          <w:iCs/>
          <w:color w:val="auto"/>
          <w:sz w:val="20"/>
          <w:szCs w:val="22"/>
          <w:lang w:val="en-GB"/>
        </w:rPr>
        <w:t>state funds</w:t>
      </w:r>
      <w:r w:rsidRPr="00696DF5">
        <w:rPr>
          <w:rFonts w:ascii="Arial" w:hAnsi="Arial" w:cs="Arial"/>
          <w:i/>
          <w:iCs/>
          <w:color w:val="auto"/>
          <w:sz w:val="20"/>
          <w:szCs w:val="22"/>
          <w:lang w:val="en-GB"/>
        </w:rPr>
        <w:t>.</w:t>
      </w:r>
    </w:p>
    <w:p w14:paraId="3198BA96"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The state budget performance results given in the State Final Account follow up the data reported in financial statements of organizational units of the state as at 31 December of </w:t>
      </w:r>
      <w:r w:rsidRPr="00696DF5">
        <w:rPr>
          <w:rFonts w:ascii="Arial" w:hAnsi="Arial" w:cs="Arial"/>
          <w:i/>
          <w:iCs/>
          <w:color w:val="auto"/>
          <w:sz w:val="20"/>
          <w:szCs w:val="22"/>
          <w:lang w:val="en-GB"/>
        </w:rPr>
        <w:lastRenderedPageBreak/>
        <w:t xml:space="preserve">the respective year and the Czech National Bank’s state budget performance data as at the same date. </w:t>
      </w:r>
    </w:p>
    <w:p w14:paraId="4B3ADCF7"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-5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-8 present the state budget performance results broken down by the valid budget classification, Tables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-9 to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-11 show performance results of local governments (i.e. budgets of regions, municipalities, and voluntary unions of municipalities in total, including Regional Councils of Cohesion Regions). </w:t>
      </w:r>
    </w:p>
    <w:p w14:paraId="2C3BCCB8" w14:textId="77777777" w:rsidR="00AD361E" w:rsidRPr="00696DF5" w:rsidRDefault="00AD361E" w:rsidP="00AD361E">
      <w:pPr>
        <w:pStyle w:val="Normlnweb"/>
        <w:spacing w:before="120" w:beforeAutospacing="0" w:after="0" w:afterAutospacing="0"/>
        <w:ind w:firstLine="709"/>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Table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-12 shows the financial performance of state funds, including grants and subsidies provided from the state budget. </w:t>
      </w:r>
    </w:p>
    <w:p w14:paraId="0D297248"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0A11F9EB"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6EAD63F7" w14:textId="77777777" w:rsidR="00AD361E" w:rsidRPr="00696DF5" w:rsidRDefault="00AD361E" w:rsidP="00AD361E">
      <w:pPr>
        <w:pStyle w:val="Normlnweb"/>
        <w:spacing w:before="0" w:beforeAutospacing="0" w:after="0" w:afterAutospacing="0"/>
        <w:rPr>
          <w:rFonts w:ascii="Arial" w:hAnsi="Arial" w:cs="Arial"/>
          <w:i/>
          <w:iCs/>
          <w:color w:val="auto"/>
          <w:sz w:val="20"/>
          <w:szCs w:val="22"/>
          <w:lang w:val="en-GB"/>
        </w:rPr>
      </w:pPr>
      <w:r w:rsidRPr="00696DF5">
        <w:rPr>
          <w:rFonts w:ascii="Arial" w:hAnsi="Arial" w:cs="Arial"/>
          <w:i/>
          <w:iCs/>
          <w:color w:val="auto"/>
          <w:sz w:val="20"/>
          <w:szCs w:val="22"/>
          <w:lang w:val="en-GB"/>
        </w:rPr>
        <w:t xml:space="preserve">Table </w:t>
      </w:r>
      <w:r w:rsidRPr="00696DF5">
        <w:rPr>
          <w:rFonts w:ascii="Arial" w:hAnsi="Arial" w:cs="Arial"/>
          <w:b/>
          <w:bCs/>
          <w:i/>
          <w:iCs/>
          <w:color w:val="auto"/>
          <w:sz w:val="20"/>
          <w:szCs w:val="22"/>
          <w:lang w:val="en-GB"/>
        </w:rPr>
        <w:t>6</w:t>
      </w:r>
      <w:r w:rsidRPr="00696DF5">
        <w:rPr>
          <w:rFonts w:ascii="Arial" w:hAnsi="Arial" w:cs="Arial"/>
          <w:i/>
          <w:iCs/>
          <w:color w:val="auto"/>
          <w:sz w:val="20"/>
          <w:szCs w:val="22"/>
          <w:lang w:val="en-GB"/>
        </w:rPr>
        <w:t xml:space="preserve">-13 </w:t>
      </w:r>
      <w:r w:rsidRPr="00696DF5">
        <w:rPr>
          <w:rFonts w:ascii="Arial" w:hAnsi="Arial" w:cs="Arial"/>
          <w:b/>
          <w:bCs/>
          <w:i/>
          <w:iCs/>
          <w:color w:val="auto"/>
          <w:sz w:val="20"/>
          <w:szCs w:val="22"/>
          <w:lang w:val="en-GB"/>
        </w:rPr>
        <w:t>Defence expenditure by type of costs and use</w:t>
      </w:r>
      <w:r w:rsidRPr="00696DF5">
        <w:rPr>
          <w:rFonts w:ascii="Arial" w:hAnsi="Arial" w:cs="Arial"/>
          <w:i/>
          <w:iCs/>
          <w:color w:val="auto"/>
          <w:sz w:val="20"/>
          <w:szCs w:val="22"/>
          <w:lang w:val="en-GB"/>
        </w:rPr>
        <w:t xml:space="preserve"> </w:t>
      </w:r>
    </w:p>
    <w:p w14:paraId="0CE0F265" w14:textId="1C2A95EA" w:rsidR="00AD361E" w:rsidRPr="00696DF5" w:rsidRDefault="00AD361E" w:rsidP="00AD361E">
      <w:pPr>
        <w:pStyle w:val="Normlnweb"/>
        <w:spacing w:before="120" w:beforeAutospacing="0" w:after="0" w:afterAutospacing="0"/>
        <w:ind w:firstLine="709"/>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The data comply with the standardized reporting of defence (military) expenditure according to the methodology of the United Nations and come from the State Final Account of the Czech Republic for </w:t>
      </w:r>
      <w:r>
        <w:rPr>
          <w:rFonts w:ascii="Arial" w:hAnsi="Arial" w:cs="Arial"/>
          <w:i/>
          <w:iCs/>
          <w:color w:val="auto"/>
          <w:sz w:val="20"/>
          <w:szCs w:val="22"/>
          <w:lang w:val="en-GB"/>
        </w:rPr>
        <w:t>2018</w:t>
      </w:r>
      <w:r w:rsidRPr="00696DF5">
        <w:rPr>
          <w:rFonts w:ascii="Arial" w:hAnsi="Arial" w:cs="Arial"/>
          <w:i/>
          <w:iCs/>
          <w:color w:val="auto"/>
          <w:sz w:val="20"/>
          <w:szCs w:val="22"/>
          <w:lang w:val="en-GB"/>
        </w:rPr>
        <w:t>, Chapter Ministry of Defence.</w:t>
      </w:r>
    </w:p>
    <w:p w14:paraId="2CBFC351"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53B4BDDC"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57E48D0B" w14:textId="77777777" w:rsidR="00AD361E" w:rsidRPr="00696DF5" w:rsidRDefault="00AD361E" w:rsidP="00AD361E">
      <w:pPr>
        <w:pStyle w:val="Normlnweb"/>
        <w:spacing w:before="0" w:beforeAutospacing="0" w:after="0" w:afterAutospacing="0"/>
        <w:jc w:val="center"/>
        <w:rPr>
          <w:rFonts w:ascii="Arial" w:hAnsi="Arial" w:cs="Arial"/>
          <w:i/>
          <w:iCs/>
          <w:color w:val="auto"/>
          <w:sz w:val="20"/>
          <w:szCs w:val="22"/>
          <w:lang w:val="en-GB"/>
        </w:rPr>
      </w:pPr>
      <w:r w:rsidRPr="00696DF5">
        <w:rPr>
          <w:rFonts w:ascii="Arial" w:hAnsi="Arial" w:cs="Arial"/>
          <w:bCs/>
          <w:i/>
          <w:iCs/>
          <w:color w:val="auto"/>
          <w:sz w:val="20"/>
          <w:szCs w:val="22"/>
          <w:lang w:val="en-GB"/>
        </w:rPr>
        <w:t>*          *         *</w:t>
      </w:r>
    </w:p>
    <w:p w14:paraId="7603BCF4"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0874D44E" w14:textId="77777777" w:rsidR="00AD361E" w:rsidRPr="00696DF5" w:rsidRDefault="00AD361E" w:rsidP="00AD361E">
      <w:pPr>
        <w:pStyle w:val="Normlnweb"/>
        <w:spacing w:before="0" w:beforeAutospacing="0" w:after="0" w:afterAutospacing="0"/>
        <w:jc w:val="both"/>
        <w:rPr>
          <w:rFonts w:ascii="Arial" w:hAnsi="Arial" w:cs="Arial"/>
          <w:i/>
          <w:iCs/>
          <w:color w:val="auto"/>
          <w:sz w:val="20"/>
          <w:szCs w:val="22"/>
          <w:lang w:val="en-GB"/>
        </w:rPr>
      </w:pPr>
    </w:p>
    <w:p w14:paraId="05016AF6" w14:textId="77777777" w:rsidR="00AD361E" w:rsidRPr="00696DF5" w:rsidRDefault="00AD361E" w:rsidP="00AD361E">
      <w:pPr>
        <w:pStyle w:val="Normlnweb"/>
        <w:spacing w:before="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The state budget current performance data can be found on the website of the Ministry of Finance at:</w:t>
      </w:r>
    </w:p>
    <w:p w14:paraId="227122CE" w14:textId="77777777" w:rsidR="00AD361E" w:rsidRPr="00696DF5" w:rsidRDefault="00AD361E" w:rsidP="00AD361E">
      <w:pPr>
        <w:pStyle w:val="Normlnweb"/>
        <w:spacing w:before="120" w:beforeAutospacing="0" w:after="0" w:afterAutospacing="0"/>
        <w:jc w:val="both"/>
        <w:rPr>
          <w:rFonts w:ascii="Arial" w:hAnsi="Arial" w:cs="Arial"/>
          <w:iCs/>
          <w:color w:val="auto"/>
          <w:sz w:val="20"/>
          <w:szCs w:val="20"/>
          <w:lang w:val="en-GB"/>
        </w:rPr>
      </w:pPr>
      <w:r w:rsidRPr="00696DF5">
        <w:rPr>
          <w:rFonts w:ascii="Arial" w:hAnsi="Arial" w:cs="Arial"/>
          <w:iCs/>
          <w:color w:val="auto"/>
          <w:sz w:val="20"/>
          <w:szCs w:val="20"/>
          <w:lang w:val="en-GB"/>
        </w:rPr>
        <w:t>– </w:t>
      </w:r>
      <w:hyperlink r:id="rId5" w:history="1">
        <w:r w:rsidRPr="00696DF5">
          <w:rPr>
            <w:rStyle w:val="Hypertextovodkaz"/>
            <w:rFonts w:ascii="Arial" w:hAnsi="Arial" w:cs="Arial"/>
            <w:sz w:val="20"/>
            <w:szCs w:val="20"/>
            <w:lang w:val="en-GB"/>
          </w:rPr>
          <w:t>www.mfcr.cz/cs/verejny-sektor/statni-rozpocet/plneni-statniho-rozpoctu</w:t>
        </w:r>
      </w:hyperlink>
      <w:r w:rsidRPr="00696DF5">
        <w:rPr>
          <w:rFonts w:ascii="Arial" w:hAnsi="Arial" w:cs="Arial"/>
          <w:color w:val="auto"/>
          <w:sz w:val="20"/>
          <w:szCs w:val="20"/>
          <w:lang w:val="en-GB"/>
        </w:rPr>
        <w:t xml:space="preserve"> </w:t>
      </w:r>
      <w:r w:rsidRPr="00696DF5">
        <w:rPr>
          <w:rFonts w:ascii="Arial" w:hAnsi="Arial" w:cs="Arial"/>
          <w:i/>
          <w:iCs/>
          <w:color w:val="auto"/>
          <w:sz w:val="20"/>
          <w:szCs w:val="20"/>
          <w:lang w:val="en-GB"/>
        </w:rPr>
        <w:t>(Czech only)</w:t>
      </w:r>
    </w:p>
    <w:p w14:paraId="6950FE98" w14:textId="77777777" w:rsidR="00AD361E" w:rsidRPr="00696DF5" w:rsidRDefault="00AD361E" w:rsidP="00AD361E">
      <w:pPr>
        <w:pStyle w:val="Normlnweb"/>
        <w:spacing w:before="120" w:beforeAutospacing="0" w:after="0" w:afterAutospacing="0"/>
        <w:ind w:firstLine="708"/>
        <w:jc w:val="both"/>
        <w:rPr>
          <w:rFonts w:ascii="Arial" w:hAnsi="Arial" w:cs="Arial"/>
          <w:i/>
          <w:iCs/>
          <w:color w:val="auto"/>
          <w:sz w:val="20"/>
          <w:szCs w:val="22"/>
          <w:lang w:val="en-GB"/>
        </w:rPr>
      </w:pPr>
      <w:r w:rsidRPr="00696DF5">
        <w:rPr>
          <w:rFonts w:ascii="Arial" w:hAnsi="Arial" w:cs="Arial"/>
          <w:i/>
          <w:iCs/>
          <w:color w:val="auto"/>
          <w:sz w:val="20"/>
          <w:szCs w:val="22"/>
          <w:lang w:val="en-GB"/>
        </w:rPr>
        <w:t xml:space="preserve">General government operations can be found on the website of the Ministry of Finance at: </w:t>
      </w:r>
    </w:p>
    <w:p w14:paraId="3FA21502" w14:textId="06437556" w:rsidR="00AD361E" w:rsidRPr="00696DF5" w:rsidRDefault="00AD361E" w:rsidP="00FE6A6E">
      <w:pPr>
        <w:pStyle w:val="Zkladntextodsazen"/>
        <w:spacing w:before="120"/>
        <w:ind w:firstLine="0"/>
        <w:rPr>
          <w:i/>
          <w:iCs/>
          <w:szCs w:val="22"/>
          <w:lang w:val="en-GB"/>
        </w:rPr>
      </w:pPr>
      <w:r w:rsidRPr="0062522E">
        <w:rPr>
          <w:lang w:val="en-GB"/>
        </w:rPr>
        <w:t>– </w:t>
      </w:r>
      <w:hyperlink r:id="rId6" w:history="1">
        <w:r w:rsidR="00FE6A6E" w:rsidRPr="008E2CF6">
          <w:rPr>
            <w:rStyle w:val="Hypertextovodkaz"/>
          </w:rPr>
          <w:t>www.mfcr.cz/en/statistics/government-finance-statistics/2018/general-government-operations-2018-35401</w:t>
        </w:r>
      </w:hyperlink>
      <w:r w:rsidR="00FE6A6E">
        <w:rPr>
          <w:rStyle w:val="Hypertextovodkaz"/>
        </w:rPr>
        <w:t xml:space="preserve"> </w:t>
      </w:r>
    </w:p>
    <w:sectPr w:rsidR="00AD361E" w:rsidRPr="00696DF5" w:rsidSect="00FA7DBC">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1C0EA6"/>
    <w:multiLevelType w:val="hybridMultilevel"/>
    <w:tmpl w:val="4F365F78"/>
    <w:lvl w:ilvl="0" w:tplc="E12AAFFE">
      <w:start w:val="21"/>
      <w:numFmt w:val="bullet"/>
      <w:lvlText w:val="-"/>
      <w:lvlJc w:val="left"/>
      <w:pPr>
        <w:tabs>
          <w:tab w:val="num" w:pos="1068"/>
        </w:tabs>
        <w:ind w:left="1068" w:hanging="360"/>
      </w:pPr>
      <w:rPr>
        <w:rFonts w:ascii="Times New Roman" w:eastAsia="Arial Unicode MS" w:hAnsi="Times New Roman" w:cs="Times New Roman" w:hint="default"/>
        <w:i/>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drawingGridHorizontalSpacing w:val="120"/>
  <w:displayHorizontalDrawingGridEvery w:val="2"/>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78FF"/>
    <w:rsid w:val="00013179"/>
    <w:rsid w:val="00014390"/>
    <w:rsid w:val="000452D7"/>
    <w:rsid w:val="0004713B"/>
    <w:rsid w:val="00047705"/>
    <w:rsid w:val="00054F62"/>
    <w:rsid w:val="00063ECB"/>
    <w:rsid w:val="0006530F"/>
    <w:rsid w:val="00072926"/>
    <w:rsid w:val="00075634"/>
    <w:rsid w:val="0007625B"/>
    <w:rsid w:val="0007757B"/>
    <w:rsid w:val="00080CEF"/>
    <w:rsid w:val="00080E0B"/>
    <w:rsid w:val="00081AE2"/>
    <w:rsid w:val="000874A6"/>
    <w:rsid w:val="00092184"/>
    <w:rsid w:val="000956A1"/>
    <w:rsid w:val="000971C5"/>
    <w:rsid w:val="000A0925"/>
    <w:rsid w:val="000A12CE"/>
    <w:rsid w:val="000B5971"/>
    <w:rsid w:val="000B7D2D"/>
    <w:rsid w:val="000C09E3"/>
    <w:rsid w:val="000C6D38"/>
    <w:rsid w:val="000E5897"/>
    <w:rsid w:val="000F593A"/>
    <w:rsid w:val="00105F41"/>
    <w:rsid w:val="00110CDB"/>
    <w:rsid w:val="00111D96"/>
    <w:rsid w:val="001178BC"/>
    <w:rsid w:val="001516B3"/>
    <w:rsid w:val="00156AFA"/>
    <w:rsid w:val="00156BF6"/>
    <w:rsid w:val="00164772"/>
    <w:rsid w:val="0016710E"/>
    <w:rsid w:val="00172EFD"/>
    <w:rsid w:val="00180A7A"/>
    <w:rsid w:val="001A772C"/>
    <w:rsid w:val="001C2E23"/>
    <w:rsid w:val="001C54C4"/>
    <w:rsid w:val="001D1C84"/>
    <w:rsid w:val="001D5C77"/>
    <w:rsid w:val="001F064D"/>
    <w:rsid w:val="001F2063"/>
    <w:rsid w:val="001F59C0"/>
    <w:rsid w:val="00206EDC"/>
    <w:rsid w:val="002073AF"/>
    <w:rsid w:val="002107BE"/>
    <w:rsid w:val="00215C67"/>
    <w:rsid w:val="00243433"/>
    <w:rsid w:val="0024652F"/>
    <w:rsid w:val="00252BBC"/>
    <w:rsid w:val="002534EC"/>
    <w:rsid w:val="00254C28"/>
    <w:rsid w:val="00257FEA"/>
    <w:rsid w:val="00261154"/>
    <w:rsid w:val="00271CF3"/>
    <w:rsid w:val="0027428D"/>
    <w:rsid w:val="002778FF"/>
    <w:rsid w:val="002804E9"/>
    <w:rsid w:val="0029450F"/>
    <w:rsid w:val="002945B8"/>
    <w:rsid w:val="002A388E"/>
    <w:rsid w:val="002A6646"/>
    <w:rsid w:val="002B118C"/>
    <w:rsid w:val="002C1F73"/>
    <w:rsid w:val="002C4BCE"/>
    <w:rsid w:val="002C4EB3"/>
    <w:rsid w:val="002F1507"/>
    <w:rsid w:val="002F1B6B"/>
    <w:rsid w:val="00306281"/>
    <w:rsid w:val="003251C2"/>
    <w:rsid w:val="00326E1D"/>
    <w:rsid w:val="00330741"/>
    <w:rsid w:val="003321AE"/>
    <w:rsid w:val="003361CB"/>
    <w:rsid w:val="00345404"/>
    <w:rsid w:val="00352073"/>
    <w:rsid w:val="00352A40"/>
    <w:rsid w:val="00360673"/>
    <w:rsid w:val="00372A53"/>
    <w:rsid w:val="00381297"/>
    <w:rsid w:val="003A105A"/>
    <w:rsid w:val="003A5725"/>
    <w:rsid w:val="003A5E0B"/>
    <w:rsid w:val="003C3936"/>
    <w:rsid w:val="003D0AF5"/>
    <w:rsid w:val="003D68BF"/>
    <w:rsid w:val="003E3277"/>
    <w:rsid w:val="003E5D18"/>
    <w:rsid w:val="003F219C"/>
    <w:rsid w:val="003F4CAE"/>
    <w:rsid w:val="003F5A0C"/>
    <w:rsid w:val="003F766C"/>
    <w:rsid w:val="0040067F"/>
    <w:rsid w:val="00402BB2"/>
    <w:rsid w:val="0040436A"/>
    <w:rsid w:val="004047D6"/>
    <w:rsid w:val="00412928"/>
    <w:rsid w:val="004236CA"/>
    <w:rsid w:val="0042665D"/>
    <w:rsid w:val="00443168"/>
    <w:rsid w:val="00451B31"/>
    <w:rsid w:val="00461DCD"/>
    <w:rsid w:val="004647DC"/>
    <w:rsid w:val="004739FC"/>
    <w:rsid w:val="0047756A"/>
    <w:rsid w:val="004869AD"/>
    <w:rsid w:val="004957AB"/>
    <w:rsid w:val="004975D0"/>
    <w:rsid w:val="004A1825"/>
    <w:rsid w:val="004B5A46"/>
    <w:rsid w:val="004B5DB3"/>
    <w:rsid w:val="004C3D22"/>
    <w:rsid w:val="004C79FC"/>
    <w:rsid w:val="004D6D05"/>
    <w:rsid w:val="004E1FB8"/>
    <w:rsid w:val="004E79AB"/>
    <w:rsid w:val="004F2110"/>
    <w:rsid w:val="004F50E5"/>
    <w:rsid w:val="004F7C78"/>
    <w:rsid w:val="00502659"/>
    <w:rsid w:val="00502B0D"/>
    <w:rsid w:val="00506D48"/>
    <w:rsid w:val="0051126B"/>
    <w:rsid w:val="0051524A"/>
    <w:rsid w:val="00515DA8"/>
    <w:rsid w:val="00524F10"/>
    <w:rsid w:val="00535D92"/>
    <w:rsid w:val="00541691"/>
    <w:rsid w:val="00543DF1"/>
    <w:rsid w:val="0054590D"/>
    <w:rsid w:val="00545E75"/>
    <w:rsid w:val="0054711D"/>
    <w:rsid w:val="00550550"/>
    <w:rsid w:val="00551CAF"/>
    <w:rsid w:val="005521FC"/>
    <w:rsid w:val="00557D7B"/>
    <w:rsid w:val="00560B20"/>
    <w:rsid w:val="00566A98"/>
    <w:rsid w:val="0058038E"/>
    <w:rsid w:val="00587E7C"/>
    <w:rsid w:val="00591BB6"/>
    <w:rsid w:val="00597746"/>
    <w:rsid w:val="005A13C0"/>
    <w:rsid w:val="005A307C"/>
    <w:rsid w:val="005B43D3"/>
    <w:rsid w:val="005C23B9"/>
    <w:rsid w:val="005C4862"/>
    <w:rsid w:val="005C54A4"/>
    <w:rsid w:val="005C7C43"/>
    <w:rsid w:val="005D13E4"/>
    <w:rsid w:val="005D281E"/>
    <w:rsid w:val="005D7F98"/>
    <w:rsid w:val="005F11BC"/>
    <w:rsid w:val="005F7F0D"/>
    <w:rsid w:val="00611203"/>
    <w:rsid w:val="00615A24"/>
    <w:rsid w:val="00620FB0"/>
    <w:rsid w:val="006246CC"/>
    <w:rsid w:val="0062522E"/>
    <w:rsid w:val="00630C38"/>
    <w:rsid w:val="006413BE"/>
    <w:rsid w:val="00642D2A"/>
    <w:rsid w:val="00642E72"/>
    <w:rsid w:val="006511F5"/>
    <w:rsid w:val="0066754C"/>
    <w:rsid w:val="00667636"/>
    <w:rsid w:val="0067335F"/>
    <w:rsid w:val="00673ACC"/>
    <w:rsid w:val="006809DF"/>
    <w:rsid w:val="006869AA"/>
    <w:rsid w:val="006969A6"/>
    <w:rsid w:val="00696DF5"/>
    <w:rsid w:val="006A6B55"/>
    <w:rsid w:val="006B4095"/>
    <w:rsid w:val="006B548E"/>
    <w:rsid w:val="006B6529"/>
    <w:rsid w:val="006C4059"/>
    <w:rsid w:val="006D116D"/>
    <w:rsid w:val="006D2895"/>
    <w:rsid w:val="006D3974"/>
    <w:rsid w:val="006D6945"/>
    <w:rsid w:val="006E3578"/>
    <w:rsid w:val="006E3FF3"/>
    <w:rsid w:val="006F7052"/>
    <w:rsid w:val="00714745"/>
    <w:rsid w:val="00716AE9"/>
    <w:rsid w:val="00720085"/>
    <w:rsid w:val="00723F18"/>
    <w:rsid w:val="0072760F"/>
    <w:rsid w:val="00727C45"/>
    <w:rsid w:val="0073427F"/>
    <w:rsid w:val="0075108D"/>
    <w:rsid w:val="00754B05"/>
    <w:rsid w:val="0076431E"/>
    <w:rsid w:val="00764C58"/>
    <w:rsid w:val="00765CA9"/>
    <w:rsid w:val="00780B4D"/>
    <w:rsid w:val="00780E15"/>
    <w:rsid w:val="007A0F68"/>
    <w:rsid w:val="007A13A4"/>
    <w:rsid w:val="007A69C0"/>
    <w:rsid w:val="007A7628"/>
    <w:rsid w:val="007B0131"/>
    <w:rsid w:val="007B020E"/>
    <w:rsid w:val="007B135D"/>
    <w:rsid w:val="007B4026"/>
    <w:rsid w:val="007B6C84"/>
    <w:rsid w:val="007B7FF9"/>
    <w:rsid w:val="007C508D"/>
    <w:rsid w:val="007C6DCD"/>
    <w:rsid w:val="007D47EC"/>
    <w:rsid w:val="007E3308"/>
    <w:rsid w:val="007E48DB"/>
    <w:rsid w:val="007F4FE5"/>
    <w:rsid w:val="007F7F1D"/>
    <w:rsid w:val="00800931"/>
    <w:rsid w:val="00802B5E"/>
    <w:rsid w:val="00805B3D"/>
    <w:rsid w:val="00814206"/>
    <w:rsid w:val="00815FDD"/>
    <w:rsid w:val="00816620"/>
    <w:rsid w:val="00820215"/>
    <w:rsid w:val="00830C93"/>
    <w:rsid w:val="008317FE"/>
    <w:rsid w:val="0084299D"/>
    <w:rsid w:val="00843072"/>
    <w:rsid w:val="00851A96"/>
    <w:rsid w:val="00851C81"/>
    <w:rsid w:val="00852798"/>
    <w:rsid w:val="00862299"/>
    <w:rsid w:val="0086450E"/>
    <w:rsid w:val="00870E84"/>
    <w:rsid w:val="00872ECF"/>
    <w:rsid w:val="00893CF3"/>
    <w:rsid w:val="008B0857"/>
    <w:rsid w:val="008B5494"/>
    <w:rsid w:val="008B7301"/>
    <w:rsid w:val="008C6B44"/>
    <w:rsid w:val="008D2284"/>
    <w:rsid w:val="008D4160"/>
    <w:rsid w:val="008E6DA2"/>
    <w:rsid w:val="008F0EF9"/>
    <w:rsid w:val="0090468C"/>
    <w:rsid w:val="00904C3D"/>
    <w:rsid w:val="00915506"/>
    <w:rsid w:val="009201A8"/>
    <w:rsid w:val="00925971"/>
    <w:rsid w:val="00930CE2"/>
    <w:rsid w:val="00936341"/>
    <w:rsid w:val="0094173A"/>
    <w:rsid w:val="0094432E"/>
    <w:rsid w:val="00950C52"/>
    <w:rsid w:val="009612A1"/>
    <w:rsid w:val="009620A1"/>
    <w:rsid w:val="00965110"/>
    <w:rsid w:val="00967CD3"/>
    <w:rsid w:val="0098216C"/>
    <w:rsid w:val="00984BEC"/>
    <w:rsid w:val="009856EC"/>
    <w:rsid w:val="00985F6C"/>
    <w:rsid w:val="00992FEE"/>
    <w:rsid w:val="009B6571"/>
    <w:rsid w:val="009C3064"/>
    <w:rsid w:val="009E4D4F"/>
    <w:rsid w:val="009F69A3"/>
    <w:rsid w:val="00A006DE"/>
    <w:rsid w:val="00A10691"/>
    <w:rsid w:val="00A14376"/>
    <w:rsid w:val="00A21B5D"/>
    <w:rsid w:val="00A23DE9"/>
    <w:rsid w:val="00A279E0"/>
    <w:rsid w:val="00A35702"/>
    <w:rsid w:val="00A513EA"/>
    <w:rsid w:val="00A531FE"/>
    <w:rsid w:val="00A53D29"/>
    <w:rsid w:val="00A574BB"/>
    <w:rsid w:val="00A652C6"/>
    <w:rsid w:val="00A70BAB"/>
    <w:rsid w:val="00A737D4"/>
    <w:rsid w:val="00A8190E"/>
    <w:rsid w:val="00A83956"/>
    <w:rsid w:val="00A86F61"/>
    <w:rsid w:val="00A92C28"/>
    <w:rsid w:val="00A93D5A"/>
    <w:rsid w:val="00A93DE4"/>
    <w:rsid w:val="00AB2B29"/>
    <w:rsid w:val="00AB49B8"/>
    <w:rsid w:val="00AB5EBB"/>
    <w:rsid w:val="00AB67A3"/>
    <w:rsid w:val="00AC47C2"/>
    <w:rsid w:val="00AD361E"/>
    <w:rsid w:val="00AD4A9E"/>
    <w:rsid w:val="00AF7FBB"/>
    <w:rsid w:val="00B030D3"/>
    <w:rsid w:val="00B12872"/>
    <w:rsid w:val="00B1666F"/>
    <w:rsid w:val="00B2368B"/>
    <w:rsid w:val="00B239A3"/>
    <w:rsid w:val="00B33708"/>
    <w:rsid w:val="00B46CC0"/>
    <w:rsid w:val="00B476CC"/>
    <w:rsid w:val="00B61486"/>
    <w:rsid w:val="00B63C30"/>
    <w:rsid w:val="00B64F5F"/>
    <w:rsid w:val="00B659C0"/>
    <w:rsid w:val="00B6631D"/>
    <w:rsid w:val="00B75D5A"/>
    <w:rsid w:val="00B80BE3"/>
    <w:rsid w:val="00B83586"/>
    <w:rsid w:val="00B858CC"/>
    <w:rsid w:val="00B876C5"/>
    <w:rsid w:val="00B92886"/>
    <w:rsid w:val="00B9319A"/>
    <w:rsid w:val="00B9494F"/>
    <w:rsid w:val="00B9533C"/>
    <w:rsid w:val="00BB3088"/>
    <w:rsid w:val="00BB7B32"/>
    <w:rsid w:val="00BC3968"/>
    <w:rsid w:val="00BD6E8E"/>
    <w:rsid w:val="00BE1A75"/>
    <w:rsid w:val="00BE44A4"/>
    <w:rsid w:val="00BF6338"/>
    <w:rsid w:val="00C005BF"/>
    <w:rsid w:val="00C02E6A"/>
    <w:rsid w:val="00C11E86"/>
    <w:rsid w:val="00C132B8"/>
    <w:rsid w:val="00C13662"/>
    <w:rsid w:val="00C1752A"/>
    <w:rsid w:val="00C20D4E"/>
    <w:rsid w:val="00C21EA5"/>
    <w:rsid w:val="00C30B25"/>
    <w:rsid w:val="00C30E6F"/>
    <w:rsid w:val="00C34321"/>
    <w:rsid w:val="00C354A6"/>
    <w:rsid w:val="00C41AC0"/>
    <w:rsid w:val="00C44BD2"/>
    <w:rsid w:val="00C502CD"/>
    <w:rsid w:val="00C55B7F"/>
    <w:rsid w:val="00C615C3"/>
    <w:rsid w:val="00C63541"/>
    <w:rsid w:val="00C6664B"/>
    <w:rsid w:val="00C7655F"/>
    <w:rsid w:val="00C81C3D"/>
    <w:rsid w:val="00C84E54"/>
    <w:rsid w:val="00C94999"/>
    <w:rsid w:val="00CB41FD"/>
    <w:rsid w:val="00CC0A17"/>
    <w:rsid w:val="00CD31ED"/>
    <w:rsid w:val="00CD47E1"/>
    <w:rsid w:val="00CD728C"/>
    <w:rsid w:val="00CD7CC7"/>
    <w:rsid w:val="00CE3AB5"/>
    <w:rsid w:val="00CF4810"/>
    <w:rsid w:val="00D00AA9"/>
    <w:rsid w:val="00D1714D"/>
    <w:rsid w:val="00D1790C"/>
    <w:rsid w:val="00D30B17"/>
    <w:rsid w:val="00D32F79"/>
    <w:rsid w:val="00D339BF"/>
    <w:rsid w:val="00D371D4"/>
    <w:rsid w:val="00D522E7"/>
    <w:rsid w:val="00D6373D"/>
    <w:rsid w:val="00D66207"/>
    <w:rsid w:val="00D76549"/>
    <w:rsid w:val="00D8134B"/>
    <w:rsid w:val="00D85DB0"/>
    <w:rsid w:val="00D879B0"/>
    <w:rsid w:val="00DA062E"/>
    <w:rsid w:val="00DA42B7"/>
    <w:rsid w:val="00DA6B79"/>
    <w:rsid w:val="00DA7023"/>
    <w:rsid w:val="00DB0394"/>
    <w:rsid w:val="00DB19CC"/>
    <w:rsid w:val="00DB447A"/>
    <w:rsid w:val="00DE7DC7"/>
    <w:rsid w:val="00DF01AD"/>
    <w:rsid w:val="00E022F8"/>
    <w:rsid w:val="00E17D4F"/>
    <w:rsid w:val="00E343C7"/>
    <w:rsid w:val="00E43B4E"/>
    <w:rsid w:val="00E4434D"/>
    <w:rsid w:val="00E505E3"/>
    <w:rsid w:val="00E52F7A"/>
    <w:rsid w:val="00E53116"/>
    <w:rsid w:val="00E7628A"/>
    <w:rsid w:val="00E82694"/>
    <w:rsid w:val="00E82C15"/>
    <w:rsid w:val="00E967E9"/>
    <w:rsid w:val="00EA014E"/>
    <w:rsid w:val="00EB53CB"/>
    <w:rsid w:val="00ED4A8A"/>
    <w:rsid w:val="00ED7456"/>
    <w:rsid w:val="00EE491E"/>
    <w:rsid w:val="00EF00D9"/>
    <w:rsid w:val="00F03CEE"/>
    <w:rsid w:val="00F050BC"/>
    <w:rsid w:val="00F14C50"/>
    <w:rsid w:val="00F15385"/>
    <w:rsid w:val="00F20102"/>
    <w:rsid w:val="00F303E4"/>
    <w:rsid w:val="00F30F63"/>
    <w:rsid w:val="00F36AE6"/>
    <w:rsid w:val="00F426E9"/>
    <w:rsid w:val="00F454FD"/>
    <w:rsid w:val="00F47901"/>
    <w:rsid w:val="00F54005"/>
    <w:rsid w:val="00F546C6"/>
    <w:rsid w:val="00F60F23"/>
    <w:rsid w:val="00F73BEA"/>
    <w:rsid w:val="00F87C23"/>
    <w:rsid w:val="00F95894"/>
    <w:rsid w:val="00F97129"/>
    <w:rsid w:val="00FA1405"/>
    <w:rsid w:val="00FA152E"/>
    <w:rsid w:val="00FA5191"/>
    <w:rsid w:val="00FA7DBC"/>
    <w:rsid w:val="00FB5BEF"/>
    <w:rsid w:val="00FC3556"/>
    <w:rsid w:val="00FE272B"/>
    <w:rsid w:val="00FE2C9A"/>
    <w:rsid w:val="00FE3196"/>
    <w:rsid w:val="00FE4B06"/>
    <w:rsid w:val="00FE6A6E"/>
    <w:rsid w:val="00FF0E13"/>
    <w:rsid w:val="00FF51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423F0"/>
  <w15:docId w15:val="{BE85603F-1228-4CA1-8832-1CA6F1EC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A7DBC"/>
    <w:pPr>
      <w:jc w:val="both"/>
    </w:pPr>
    <w:rPr>
      <w:sz w:val="24"/>
      <w:szCs w:val="24"/>
      <w:lang w:val="en-GB"/>
    </w:rPr>
  </w:style>
  <w:style w:type="paragraph" w:styleId="Nadpis1">
    <w:name w:val="heading 1"/>
    <w:basedOn w:val="Normln"/>
    <w:next w:val="Normln"/>
    <w:qFormat/>
    <w:rsid w:val="00FA7DBC"/>
    <w:pPr>
      <w:keepNext/>
      <w:outlineLvl w:val="0"/>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FA7DBC"/>
    <w:pPr>
      <w:spacing w:before="100" w:beforeAutospacing="1" w:after="100" w:afterAutospacing="1"/>
      <w:jc w:val="left"/>
    </w:pPr>
    <w:rPr>
      <w:rFonts w:ascii="Arial Unicode MS" w:eastAsia="Arial Unicode MS" w:hAnsi="Arial Unicode MS" w:cs="Arial Unicode MS"/>
      <w:color w:val="0078B3"/>
      <w:lang w:val="cs-CZ"/>
    </w:rPr>
  </w:style>
  <w:style w:type="character" w:styleId="Hypertextovodkaz">
    <w:name w:val="Hyperlink"/>
    <w:rsid w:val="00FA7DBC"/>
    <w:rPr>
      <w:color w:val="0000FF"/>
      <w:u w:val="single"/>
    </w:rPr>
  </w:style>
  <w:style w:type="character" w:styleId="Sledovanodkaz">
    <w:name w:val="FollowedHyperlink"/>
    <w:semiHidden/>
    <w:rsid w:val="00FA7DBC"/>
    <w:rPr>
      <w:color w:val="800080"/>
      <w:u w:val="single"/>
    </w:rPr>
  </w:style>
  <w:style w:type="paragraph" w:styleId="Zkladntextodsazen">
    <w:name w:val="Body Text Indent"/>
    <w:basedOn w:val="Normln"/>
    <w:semiHidden/>
    <w:rsid w:val="00FA7DBC"/>
    <w:pPr>
      <w:ind w:firstLine="709"/>
    </w:pPr>
    <w:rPr>
      <w:rFonts w:ascii="Arial" w:hAnsi="Arial" w:cs="Arial"/>
      <w:sz w:val="20"/>
      <w:lang w:val="cs-CZ"/>
    </w:rPr>
  </w:style>
  <w:style w:type="paragraph" w:styleId="Textbubliny">
    <w:name w:val="Balloon Text"/>
    <w:basedOn w:val="Normln"/>
    <w:link w:val="TextbublinyChar"/>
    <w:uiPriority w:val="99"/>
    <w:semiHidden/>
    <w:unhideWhenUsed/>
    <w:rsid w:val="000452D7"/>
    <w:rPr>
      <w:rFonts w:ascii="Tahoma" w:hAnsi="Tahoma"/>
      <w:sz w:val="16"/>
      <w:szCs w:val="16"/>
    </w:rPr>
  </w:style>
  <w:style w:type="character" w:customStyle="1" w:styleId="TextbublinyChar">
    <w:name w:val="Text bubliny Char"/>
    <w:link w:val="Textbubliny"/>
    <w:uiPriority w:val="99"/>
    <w:semiHidden/>
    <w:rsid w:val="000452D7"/>
    <w:rPr>
      <w:rFonts w:ascii="Tahoma" w:hAnsi="Tahoma" w:cs="Tahoma"/>
      <w:sz w:val="16"/>
      <w:szCs w:val="16"/>
      <w:lang w:val="en-GB"/>
    </w:rPr>
  </w:style>
  <w:style w:type="character" w:styleId="Odkaznakoment">
    <w:name w:val="annotation reference"/>
    <w:uiPriority w:val="99"/>
    <w:semiHidden/>
    <w:unhideWhenUsed/>
    <w:rsid w:val="00AD361E"/>
    <w:rPr>
      <w:sz w:val="16"/>
      <w:szCs w:val="16"/>
    </w:rPr>
  </w:style>
  <w:style w:type="paragraph" w:styleId="Textkomente">
    <w:name w:val="annotation text"/>
    <w:basedOn w:val="Normln"/>
    <w:link w:val="TextkomenteChar"/>
    <w:uiPriority w:val="99"/>
    <w:semiHidden/>
    <w:unhideWhenUsed/>
    <w:rsid w:val="00AD361E"/>
    <w:rPr>
      <w:sz w:val="20"/>
      <w:szCs w:val="20"/>
    </w:rPr>
  </w:style>
  <w:style w:type="character" w:customStyle="1" w:styleId="TextkomenteChar">
    <w:name w:val="Text komentáře Char"/>
    <w:link w:val="Textkomente"/>
    <w:uiPriority w:val="99"/>
    <w:semiHidden/>
    <w:rsid w:val="00AD361E"/>
    <w:rPr>
      <w:lang w:val="en-GB"/>
    </w:rPr>
  </w:style>
  <w:style w:type="paragraph" w:styleId="Pedmtkomente">
    <w:name w:val="annotation subject"/>
    <w:basedOn w:val="Textkomente"/>
    <w:next w:val="Textkomente"/>
    <w:link w:val="PedmtkomenteChar"/>
    <w:uiPriority w:val="99"/>
    <w:semiHidden/>
    <w:unhideWhenUsed/>
    <w:rsid w:val="00AD361E"/>
    <w:rPr>
      <w:b/>
      <w:bCs/>
    </w:rPr>
  </w:style>
  <w:style w:type="character" w:customStyle="1" w:styleId="PedmtkomenteChar">
    <w:name w:val="Předmět komentáře Char"/>
    <w:link w:val="Pedmtkomente"/>
    <w:uiPriority w:val="99"/>
    <w:semiHidden/>
    <w:rsid w:val="00AD361E"/>
    <w:rPr>
      <w:b/>
      <w:bCs/>
      <w:lang w:val="en-GB"/>
    </w:rPr>
  </w:style>
  <w:style w:type="paragraph" w:styleId="Revize">
    <w:name w:val="Revision"/>
    <w:hidden/>
    <w:uiPriority w:val="99"/>
    <w:semiHidden/>
    <w:rsid w:val="00AD361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fcr.cz/en/statistics/government-finance-statistics/2018/general-government-operations-2018-35401" TargetMode="External"/><Relationship Id="rId5" Type="http://schemas.openxmlformats.org/officeDocument/2006/relationships/hyperlink" Target="http://www.mfcr.cz/cs/verejny-sektor/statni-rozpocet/plneni-statniho-rozpoctu" TargetMode="Externa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734</Words>
  <Characters>4337</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6</vt:lpstr>
    </vt:vector>
  </TitlesOfParts>
  <Company>csu</Company>
  <LinksUpToDate>false</LinksUpToDate>
  <CharactersWithSpaces>5061</CharactersWithSpaces>
  <SharedDoc>false</SharedDoc>
  <HLinks>
    <vt:vector size="12" baseType="variant">
      <vt:variant>
        <vt:i4>5898255</vt:i4>
      </vt:variant>
      <vt:variant>
        <vt:i4>3</vt:i4>
      </vt:variant>
      <vt:variant>
        <vt:i4>0</vt:i4>
      </vt:variant>
      <vt:variant>
        <vt:i4>5</vt:i4>
      </vt:variant>
      <vt:variant>
        <vt:lpwstr>http://www.mfcr.cz/en/statistics/government-finance-statistics/2012/general-government-operations-2012-12815</vt:lpwstr>
      </vt:variant>
      <vt:variant>
        <vt:lpwstr/>
      </vt:variant>
      <vt:variant>
        <vt:i4>589851</vt:i4>
      </vt:variant>
      <vt:variant>
        <vt:i4>0</vt:i4>
      </vt:variant>
      <vt:variant>
        <vt:i4>0</vt:i4>
      </vt:variant>
      <vt:variant>
        <vt:i4>5</vt:i4>
      </vt:variant>
      <vt:variant>
        <vt:lpwstr>http://www.mfcr.cz/cs/verejny-sektor/monitoring/plneni-statniho-rozpoctu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csu</dc:creator>
  <cp:lastModifiedBy>V. Novotná</cp:lastModifiedBy>
  <cp:revision>16</cp:revision>
  <cp:lastPrinted>2017-08-15T07:41:00Z</cp:lastPrinted>
  <dcterms:created xsi:type="dcterms:W3CDTF">2018-09-11T06:08:00Z</dcterms:created>
  <dcterms:modified xsi:type="dcterms:W3CDTF">2019-08-19T13:41:00Z</dcterms:modified>
</cp:coreProperties>
</file>