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7B62" w14:textId="15752FF9" w:rsidR="00867569" w:rsidRPr="00BD40CD" w:rsidRDefault="00E330F7" w:rsidP="00E42E00">
      <w:pPr>
        <w:pStyle w:val="Datum"/>
      </w:pPr>
      <w:r>
        <w:t>2</w:t>
      </w:r>
      <w:r w:rsidR="00431468">
        <w:t>1</w:t>
      </w:r>
      <w:r w:rsidR="00F03815" w:rsidRPr="00BD40CD">
        <w:t>. </w:t>
      </w:r>
      <w:r w:rsidR="00431468">
        <w:t>října</w:t>
      </w:r>
      <w:r w:rsidR="007F6239" w:rsidRPr="00BD40CD">
        <w:t xml:space="preserve"> 202</w:t>
      </w:r>
      <w:r w:rsidR="006929F3">
        <w:t>2</w:t>
      </w:r>
    </w:p>
    <w:p w14:paraId="0B263346" w14:textId="0F3908D0" w:rsidR="00867569" w:rsidRPr="00BD40CD" w:rsidRDefault="000B7652" w:rsidP="00A56C80">
      <w:pPr>
        <w:pStyle w:val="Nzev"/>
      </w:pPr>
      <w:r w:rsidRPr="00BD40CD">
        <w:t>Analýza sektorových účtů</w:t>
      </w:r>
      <w:r w:rsidR="00FF04D9" w:rsidRPr="00BD40CD">
        <w:t> </w:t>
      </w:r>
      <w:r w:rsidR="00FB7E0F" w:rsidRPr="00BD40CD">
        <w:t>–</w:t>
      </w:r>
      <w:r w:rsidR="00FF04D9" w:rsidRPr="00BD40CD">
        <w:t xml:space="preserve"> </w:t>
      </w:r>
      <w:r w:rsidR="00D93B67">
        <w:t>2</w:t>
      </w:r>
      <w:r w:rsidRPr="00BD40CD">
        <w:t>.</w:t>
      </w:r>
      <w:r w:rsidR="00F03815" w:rsidRPr="00BD40CD">
        <w:t> čtvrtlet</w:t>
      </w:r>
      <w:r w:rsidRPr="00BD40CD">
        <w:t>í 202</w:t>
      </w:r>
      <w:r w:rsidR="00521DD5">
        <w:t>2</w:t>
      </w:r>
    </w:p>
    <w:p w14:paraId="2D26F2BC" w14:textId="562A28E6" w:rsidR="00B92E7A" w:rsidRPr="00813226" w:rsidRDefault="00E46082" w:rsidP="000302A6">
      <w:pPr>
        <w:pStyle w:val="Perex"/>
        <w:spacing w:after="120"/>
      </w:pPr>
      <w:r w:rsidRPr="009F0F8D">
        <w:t>V</w:t>
      </w:r>
      <w:r w:rsidR="009F0F8D">
        <w:t>e</w:t>
      </w:r>
      <w:r w:rsidRPr="009F0F8D">
        <w:t xml:space="preserve"> </w:t>
      </w:r>
      <w:r w:rsidR="009F0F8D">
        <w:t>2</w:t>
      </w:r>
      <w:r w:rsidRPr="009F0F8D">
        <w:t>.</w:t>
      </w:r>
      <w:r w:rsidR="0032347E" w:rsidRPr="009F0F8D">
        <w:t> čtvrtlet</w:t>
      </w:r>
      <w:r w:rsidRPr="009F0F8D">
        <w:t>í 202</w:t>
      </w:r>
      <w:r w:rsidR="00813226" w:rsidRPr="009F0F8D">
        <w:t>2</w:t>
      </w:r>
      <w:r w:rsidRPr="009F0F8D">
        <w:t xml:space="preserve"> </w:t>
      </w:r>
      <w:r w:rsidR="009F0F8D">
        <w:t xml:space="preserve">pokračoval růst </w:t>
      </w:r>
      <w:r w:rsidR="0006007D" w:rsidRPr="009F0F8D">
        <w:t>h</w:t>
      </w:r>
      <w:r w:rsidR="00813226" w:rsidRPr="009F0F8D">
        <w:t>rub</w:t>
      </w:r>
      <w:r w:rsidR="009F0F8D">
        <w:t>é</w:t>
      </w:r>
      <w:r w:rsidRPr="009F0F8D">
        <w:t xml:space="preserve"> přidan</w:t>
      </w:r>
      <w:r w:rsidR="009F0F8D">
        <w:t>é</w:t>
      </w:r>
      <w:r w:rsidRPr="009F0F8D">
        <w:t xml:space="preserve"> hodnot</w:t>
      </w:r>
      <w:r w:rsidR="009F0F8D">
        <w:t>y</w:t>
      </w:r>
      <w:r w:rsidRPr="009F0F8D">
        <w:t xml:space="preserve"> nefinančních podniků</w:t>
      </w:r>
      <w:r w:rsidR="009F0F8D">
        <w:t>. V</w:t>
      </w:r>
      <w:bookmarkStart w:id="0" w:name="_GoBack"/>
      <w:bookmarkEnd w:id="0"/>
      <w:r w:rsidR="009F0F8D">
        <w:t>výrazně také rostla jejich investiční aktivita. Naopak se prohluboval reálný pokles p</w:t>
      </w:r>
      <w:r w:rsidR="009F2D91" w:rsidRPr="009F0F8D">
        <w:t>říjm</w:t>
      </w:r>
      <w:r w:rsidR="009F0F8D">
        <w:t>ů</w:t>
      </w:r>
      <w:r w:rsidR="009F2D91" w:rsidRPr="009F0F8D">
        <w:t xml:space="preserve"> domácností</w:t>
      </w:r>
      <w:r w:rsidR="009F0F8D">
        <w:t>, což mělo také negativní dopad na jejich spotřebu. Hos</w:t>
      </w:r>
      <w:r w:rsidR="009F2D91" w:rsidRPr="009F0F8D">
        <w:t>podaření s</w:t>
      </w:r>
      <w:r w:rsidRPr="009F0F8D">
        <w:t>ektor</w:t>
      </w:r>
      <w:r w:rsidR="009F2D91" w:rsidRPr="009F0F8D">
        <w:t>u</w:t>
      </w:r>
      <w:r w:rsidRPr="009F0F8D">
        <w:t xml:space="preserve"> vládních institucí</w:t>
      </w:r>
      <w:r w:rsidR="009F0F8D">
        <w:t xml:space="preserve"> bylo poprvé od roku 2019 mírně přebytkové.</w:t>
      </w:r>
    </w:p>
    <w:p w14:paraId="284FBAAC" w14:textId="5B1D34A7" w:rsidR="00066E38" w:rsidRPr="00521DD5" w:rsidRDefault="008F35E4" w:rsidP="000302A6">
      <w:pPr>
        <w:pStyle w:val="Nadpis1"/>
        <w:spacing w:after="120"/>
      </w:pPr>
      <w:r w:rsidRPr="00521DD5">
        <w:t>Nefinanční podniky</w:t>
      </w:r>
    </w:p>
    <w:p w14:paraId="50E27F52" w14:textId="7D1BD687" w:rsidR="00922570" w:rsidRDefault="00BC692F" w:rsidP="009F7FD8">
      <w:pPr>
        <w:spacing w:after="120"/>
      </w:pPr>
      <w:r>
        <w:t>Růst domácí ekonomiky ve</w:t>
      </w:r>
      <w:r w:rsidR="0029200A">
        <w:t> </w:t>
      </w:r>
      <w:r>
        <w:t>2</w:t>
      </w:r>
      <w:r w:rsidR="0029200A">
        <w:t>. čtvrtletí 2022 pokračoval</w:t>
      </w:r>
      <w:r>
        <w:t>. Na výsledcích se už neprojevovala nízká pandemická srovnávací základna. Výrazně se zlepšovala situace ve službách napojených na cestovní ruch i na podnikovou poptávku. Naopak rozvoj obchodu brzdilo ochlazení spotřeby</w:t>
      </w:r>
      <w:r w:rsidR="001526E3">
        <w:t xml:space="preserve"> domácností</w:t>
      </w:r>
      <w:r>
        <w:t xml:space="preserve"> vyvolané prudkým cenovým růstem.</w:t>
      </w:r>
      <w:r w:rsidR="001D708D">
        <w:t xml:space="preserve"> Komplikovaná byla nadále situace v průmyslu, který čelil zvýšeným cenám energií a surovin. Produkci v klíčové výrobě motorových vozidel se ale dařilo navyšovat. Me</w:t>
      </w:r>
      <w:r w:rsidR="004847D1">
        <w:t>ziročn</w:t>
      </w:r>
      <w:r w:rsidR="001D708D">
        <w:t xml:space="preserve">ě tak </w:t>
      </w:r>
      <w:r w:rsidR="004847D1">
        <w:t>hrub</w:t>
      </w:r>
      <w:r w:rsidR="001D708D">
        <w:t>á</w:t>
      </w:r>
      <w:r w:rsidR="004847D1">
        <w:t xml:space="preserve"> přidan</w:t>
      </w:r>
      <w:r w:rsidR="001D708D">
        <w:t>á</w:t>
      </w:r>
      <w:r w:rsidR="004847D1">
        <w:t xml:space="preserve"> hodnot</w:t>
      </w:r>
      <w:r w:rsidR="001D708D">
        <w:t>a</w:t>
      </w:r>
      <w:r w:rsidR="004847D1">
        <w:t xml:space="preserve"> (HPH) nefinančních podniků</w:t>
      </w:r>
      <w:r w:rsidR="002371F1">
        <w:t xml:space="preserve"> </w:t>
      </w:r>
      <w:r w:rsidR="001D708D">
        <w:t>vzrostla nominálně </w:t>
      </w:r>
      <w:r w:rsidR="002371F1">
        <w:t>o 76,5 mld. korun</w:t>
      </w:r>
      <w:r w:rsidR="002371F1" w:rsidRPr="0029200A">
        <w:rPr>
          <w:rStyle w:val="Znakapoznpodarou"/>
        </w:rPr>
        <w:footnoteReference w:id="1"/>
      </w:r>
      <w:r w:rsidR="002371F1">
        <w:t>. Reáln</w:t>
      </w:r>
      <w:r w:rsidR="001D708D">
        <w:t>ý přírůstek</w:t>
      </w:r>
      <w:r w:rsidR="002371F1">
        <w:t xml:space="preserve"> HPH</w:t>
      </w:r>
      <w:r w:rsidR="00EE5BCA">
        <w:t xml:space="preserve"> nefinančních podniků</w:t>
      </w:r>
      <w:r w:rsidR="00775238">
        <w:t xml:space="preserve"> ve 2. čtvrtletí</w:t>
      </w:r>
      <w:r w:rsidR="00EE5BCA">
        <w:t xml:space="preserve"> </w:t>
      </w:r>
      <w:r w:rsidR="001D708D">
        <w:t>mírně oslabil na 3,6 </w:t>
      </w:r>
      <w:r w:rsidR="00EE5BCA">
        <w:t>%</w:t>
      </w:r>
      <w:r w:rsidR="00EE5BCA" w:rsidRPr="0029200A">
        <w:rPr>
          <w:rStyle w:val="Znakapoznpodarou"/>
          <w:spacing w:val="-2"/>
        </w:rPr>
        <w:footnoteReference w:id="2"/>
      </w:r>
      <w:r w:rsidR="00EE5BCA">
        <w:t xml:space="preserve">. Podle sezónně očištěných dat </w:t>
      </w:r>
      <w:r w:rsidR="00775238">
        <w:t xml:space="preserve">se HPH </w:t>
      </w:r>
      <w:r w:rsidR="00EE5BCA">
        <w:t>mezičtvrtletn</w:t>
      </w:r>
      <w:r w:rsidR="00775238">
        <w:t>ě</w:t>
      </w:r>
      <w:r w:rsidR="00EE5BCA">
        <w:t xml:space="preserve"> nomináln</w:t>
      </w:r>
      <w:r w:rsidR="00775238">
        <w:t>ě</w:t>
      </w:r>
      <w:r w:rsidR="00EE5BCA">
        <w:t xml:space="preserve"> </w:t>
      </w:r>
      <w:r w:rsidR="00775238">
        <w:t>zvýšila o 37,3</w:t>
      </w:r>
      <w:r w:rsidR="00B3323F">
        <w:t> </w:t>
      </w:r>
      <w:r w:rsidR="00775238">
        <w:t xml:space="preserve">mld. korun. Reálně </w:t>
      </w:r>
      <w:r w:rsidR="00AB208F">
        <w:t xml:space="preserve">HPH mezičtvrtletně </w:t>
      </w:r>
      <w:r w:rsidR="00775238">
        <w:t>vzrostla</w:t>
      </w:r>
      <w:r w:rsidR="00AB208F">
        <w:t xml:space="preserve"> o </w:t>
      </w:r>
      <w:r w:rsidR="00775238">
        <w:t>2,1</w:t>
      </w:r>
      <w:r w:rsidR="00AB208F">
        <w:t xml:space="preserve"> %.</w:t>
      </w:r>
    </w:p>
    <w:p w14:paraId="4A354F5E" w14:textId="77777777" w:rsidR="0006007D" w:rsidRPr="00EF625A" w:rsidRDefault="0006007D" w:rsidP="0006007D">
      <w:pPr>
        <w:pStyle w:val="TabulkaGraf"/>
        <w:jc w:val="both"/>
      </w:pPr>
      <w:r w:rsidRPr="00EF625A">
        <w:t>Graf 1: Meziroční nominální přírůstek HPH a náhrad zaměstnancům (v mld. korun), míra zisku (sezónně očištěno, v %)</w:t>
      </w:r>
    </w:p>
    <w:p w14:paraId="7A32B0C5" w14:textId="283CB42E" w:rsidR="0006007D" w:rsidRPr="00EF625A" w:rsidRDefault="00431468" w:rsidP="0006007D">
      <w:pPr>
        <w:pStyle w:val="TabulkaGraf"/>
        <w:jc w:val="center"/>
        <w:rPr>
          <w:b w:val="0"/>
          <w:bCs w:val="0"/>
        </w:rPr>
      </w:pPr>
      <w:r>
        <w:rPr>
          <w:noProof/>
          <w:lang w:eastAsia="cs-CZ"/>
        </w:rPr>
        <w:drawing>
          <wp:inline distT="0" distB="0" distL="0" distR="0" wp14:anchorId="11C8EFDD" wp14:editId="097FBAC8">
            <wp:extent cx="4731250" cy="2907600"/>
            <wp:effectExtent l="0" t="0" r="0" b="7620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6007D" w:rsidRPr="00EF625A">
        <w:rPr>
          <w:noProof/>
          <w:lang w:eastAsia="cs-CZ"/>
        </w:rPr>
        <w:t xml:space="preserve"> </w:t>
      </w:r>
    </w:p>
    <w:p w14:paraId="05B47DCA" w14:textId="77777777" w:rsidR="0006007D" w:rsidRPr="00EF625A" w:rsidRDefault="0006007D" w:rsidP="0006007D">
      <w:pPr>
        <w:spacing w:after="120"/>
      </w:pPr>
      <w:r w:rsidRPr="00EF625A">
        <w:t>Zdroj: ČSÚ, národní účty</w:t>
      </w:r>
    </w:p>
    <w:p w14:paraId="1C3BA5FA" w14:textId="7D1ED921" w:rsidR="00DA6116" w:rsidRDefault="00A60E41" w:rsidP="009F7FD8">
      <w:pPr>
        <w:spacing w:after="120"/>
      </w:pPr>
      <w:r>
        <w:lastRenderedPageBreak/>
        <w:t>Ve 2. čtvrtletí se nadále výrazně zvyšovala celková zaměstnanost v sektoru NP. Ta byla meziročně vyšší o 2,2 % a nad 2 % se přírůstek držel čtvrtý kvartál v řadě. Zaměstnanost v sektoru tak</w:t>
      </w:r>
      <w:r w:rsidR="00E94B66">
        <w:t xml:space="preserve">é překonala úroveň </w:t>
      </w:r>
      <w:r w:rsidR="003F2E32">
        <w:t xml:space="preserve">předkrizového </w:t>
      </w:r>
      <w:r>
        <w:t>2</w:t>
      </w:r>
      <w:r w:rsidR="00E94B66">
        <w:t>. čtvrtletí 2019.</w:t>
      </w:r>
      <w:r w:rsidR="00F2781C">
        <w:t xml:space="preserve"> </w:t>
      </w:r>
      <w:r w:rsidR="006F4339">
        <w:t>Na výrazných 52,5 mld. korun (11,1 %) se držel meziroční nominální přírůstek o</w:t>
      </w:r>
      <w:r w:rsidR="00F2781C">
        <w:t>bjem</w:t>
      </w:r>
      <w:r w:rsidR="006F4339">
        <w:t>u</w:t>
      </w:r>
      <w:r w:rsidR="00F2781C">
        <w:t xml:space="preserve"> náhrad zaměstnancům, které NP vyplatily</w:t>
      </w:r>
      <w:r w:rsidR="006F4339">
        <w:t xml:space="preserve">. </w:t>
      </w:r>
      <w:r w:rsidR="00DA6116">
        <w:t>V</w:t>
      </w:r>
      <w:r w:rsidR="00F2781C">
        <w:t xml:space="preserve">yplacené mzdy a platy </w:t>
      </w:r>
      <w:r w:rsidR="00DA6116">
        <w:t xml:space="preserve">se zvýšily meziročně o </w:t>
      </w:r>
      <w:r w:rsidR="00B33F33">
        <w:t>47,</w:t>
      </w:r>
      <w:r w:rsidR="00DA6116">
        <w:t>6</w:t>
      </w:r>
      <w:r w:rsidR="00B33F33">
        <w:t xml:space="preserve"> mld. (1</w:t>
      </w:r>
      <w:r w:rsidR="00DA6116">
        <w:t>3</w:t>
      </w:r>
      <w:r w:rsidR="00B33F33">
        <w:t>,</w:t>
      </w:r>
      <w:r w:rsidR="00DA6116">
        <w:t>3</w:t>
      </w:r>
      <w:r w:rsidR="00B33F33">
        <w:t xml:space="preserve"> %), zatímco sociální příspěvky zaměstnavatelů měly </w:t>
      </w:r>
      <w:r w:rsidR="00DA6116">
        <w:t>nadále</w:t>
      </w:r>
      <w:r w:rsidR="00B33F33">
        <w:t xml:space="preserve"> slabší dynamiku (+5,</w:t>
      </w:r>
      <w:r w:rsidR="00DA6116">
        <w:t>0</w:t>
      </w:r>
      <w:r w:rsidR="00B33F33">
        <w:t xml:space="preserve"> mld., 4,</w:t>
      </w:r>
      <w:r w:rsidR="00DA6116">
        <w:t>2</w:t>
      </w:r>
      <w:r w:rsidR="00B33F33">
        <w:t xml:space="preserve"> %). </w:t>
      </w:r>
      <w:r w:rsidR="00FE1513">
        <w:t>Mezičtvrtletně se sezónně očištěný objem náhrad zaměstnancům zvýšil o 1</w:t>
      </w:r>
      <w:r w:rsidR="00DA6116">
        <w:t>9,9</w:t>
      </w:r>
      <w:r w:rsidR="00FE1513">
        <w:t xml:space="preserve"> mld. korun (</w:t>
      </w:r>
      <w:r w:rsidR="00DA6116">
        <w:t>3,9</w:t>
      </w:r>
      <w:r w:rsidR="00FE1513">
        <w:t xml:space="preserve"> %). Ve formě dotací nefinanční podniky obdržely v</w:t>
      </w:r>
      <w:r w:rsidR="00DA6116">
        <w:t>e</w:t>
      </w:r>
      <w:r w:rsidR="00FE1513">
        <w:t> </w:t>
      </w:r>
      <w:r w:rsidR="00DA6116">
        <w:t>2</w:t>
      </w:r>
      <w:r w:rsidR="00FE1513">
        <w:t xml:space="preserve">. čtvrtletí </w:t>
      </w:r>
      <w:r w:rsidR="00DA6116">
        <w:t>14,6</w:t>
      </w:r>
      <w:r w:rsidR="00FE1513">
        <w:t xml:space="preserve"> mld. korun. To je meziročně o </w:t>
      </w:r>
      <w:r w:rsidR="00DA6116">
        <w:t>1</w:t>
      </w:r>
      <w:r w:rsidR="00FE1513">
        <w:t>3,2 mld. méně.</w:t>
      </w:r>
      <w:r w:rsidR="00DA6116">
        <w:t xml:space="preserve"> Objem dotací je výrazně nižší také ve srovnání s 2. kvartálem 2020, ale </w:t>
      </w:r>
      <w:r w:rsidR="006276AF">
        <w:t xml:space="preserve">oproti </w:t>
      </w:r>
      <w:r w:rsidR="00DA6116">
        <w:t>stejn</w:t>
      </w:r>
      <w:r w:rsidR="006276AF">
        <w:t xml:space="preserve">ému </w:t>
      </w:r>
      <w:r w:rsidR="00DA6116">
        <w:t xml:space="preserve">období </w:t>
      </w:r>
      <w:proofErr w:type="spellStart"/>
      <w:r w:rsidR="00DA6116">
        <w:t>předpandemických</w:t>
      </w:r>
      <w:proofErr w:type="spellEnd"/>
      <w:r w:rsidR="00DA6116">
        <w:t xml:space="preserve"> let je zvýšený o několik miliard.</w:t>
      </w:r>
    </w:p>
    <w:p w14:paraId="4F864ED9" w14:textId="73E685AC" w:rsidR="00FF7B39" w:rsidRPr="006F419E" w:rsidRDefault="005B59A3" w:rsidP="00B1299C">
      <w:pPr>
        <w:spacing w:after="120"/>
      </w:pPr>
      <w:r>
        <w:t>Hrubý provozní přebytek NP v</w:t>
      </w:r>
      <w:r w:rsidR="0037421A">
        <w:t>e</w:t>
      </w:r>
      <w:r>
        <w:t> </w:t>
      </w:r>
      <w:r w:rsidR="0037421A">
        <w:t>2</w:t>
      </w:r>
      <w:r>
        <w:t xml:space="preserve">. čtvrtletí meziročně </w:t>
      </w:r>
      <w:r w:rsidR="0037421A">
        <w:t>vzrostl</w:t>
      </w:r>
      <w:r w:rsidR="00E72B57">
        <w:t xml:space="preserve"> o </w:t>
      </w:r>
      <w:r w:rsidR="0037421A">
        <w:t>22,7</w:t>
      </w:r>
      <w:r w:rsidR="0021146C">
        <w:t xml:space="preserve"> mld. korun a</w:t>
      </w:r>
      <w:r w:rsidR="003A580D">
        <w:t> </w:t>
      </w:r>
      <w:r w:rsidR="0021146C">
        <w:t xml:space="preserve">dosáhl </w:t>
      </w:r>
      <w:r w:rsidR="0037421A">
        <w:t>439,4</w:t>
      </w:r>
      <w:r w:rsidR="00E72B57">
        <w:t> </w:t>
      </w:r>
      <w:r w:rsidR="0021146C">
        <w:t xml:space="preserve">mld. </w:t>
      </w:r>
      <w:r w:rsidR="009061A5">
        <w:t>Jeho p</w:t>
      </w:r>
      <w:r w:rsidR="00E72B57">
        <w:t xml:space="preserve">řírůstek výrazně posílil v porovnání s předchozími dvěma kvartály. </w:t>
      </w:r>
      <w:r w:rsidR="0037421A">
        <w:t>Oproti 1.</w:t>
      </w:r>
      <w:r w:rsidR="009061A5">
        <w:t> </w:t>
      </w:r>
      <w:r w:rsidR="00E72B57">
        <w:t>čtvrtletí</w:t>
      </w:r>
      <w:r w:rsidR="0037421A">
        <w:t xml:space="preserve"> byl hrubý provozní přebytek vyšší o 16,5 mld. korun. </w:t>
      </w:r>
      <w:r w:rsidR="0076719B" w:rsidRPr="006F419E">
        <w:t>Výsledná míra zisku</w:t>
      </w:r>
      <w:r w:rsidR="00687BBE" w:rsidRPr="006F419E">
        <w:t> </w:t>
      </w:r>
      <w:r w:rsidR="008538A7" w:rsidRPr="006F419E">
        <w:t>NP</w:t>
      </w:r>
      <w:r w:rsidR="0076719B" w:rsidRPr="006F419E">
        <w:rPr>
          <w:rStyle w:val="Znakapoznpodarou"/>
        </w:rPr>
        <w:footnoteReference w:id="3"/>
      </w:r>
      <w:r w:rsidR="0076719B" w:rsidRPr="006F419E">
        <w:t xml:space="preserve"> </w:t>
      </w:r>
      <w:r w:rsidR="0037421A">
        <w:t xml:space="preserve">se ale </w:t>
      </w:r>
      <w:r w:rsidR="0076719B" w:rsidRPr="006F419E">
        <w:t xml:space="preserve">mezičtvrtletně </w:t>
      </w:r>
      <w:r w:rsidR="0037421A">
        <w:t xml:space="preserve">nezměnila a setrvala na 44,7 % </w:t>
      </w:r>
      <w:r w:rsidR="0076719B" w:rsidRPr="006F419E">
        <w:t>(</w:t>
      </w:r>
      <w:r w:rsidR="002F19E2" w:rsidRPr="006F419E">
        <w:t>sezónně očištěno</w:t>
      </w:r>
      <w:r w:rsidR="0076719B" w:rsidRPr="006F419E">
        <w:t>)</w:t>
      </w:r>
      <w:r w:rsidR="005D0B33">
        <w:t>.</w:t>
      </w:r>
      <w:r w:rsidR="002F19E2" w:rsidRPr="006F419E">
        <w:t xml:space="preserve"> Meziročně</w:t>
      </w:r>
      <w:r w:rsidR="00EF625A">
        <w:t xml:space="preserve"> byla</w:t>
      </w:r>
      <w:r w:rsidR="002F19E2" w:rsidRPr="006F419E">
        <w:t xml:space="preserve"> míra zisku </w:t>
      </w:r>
      <w:r w:rsidR="00EF625A">
        <w:t xml:space="preserve">nižší o </w:t>
      </w:r>
      <w:r w:rsidR="0037421A">
        <w:t>2,0</w:t>
      </w:r>
      <w:r w:rsidR="00EF625A">
        <w:t xml:space="preserve"> p. b</w:t>
      </w:r>
      <w:r w:rsidR="002F19E2" w:rsidRPr="006F419E">
        <w:t>. (sezónně neočištěno).</w:t>
      </w:r>
    </w:p>
    <w:p w14:paraId="379C4B12" w14:textId="7DF9A4C1" w:rsidR="001B6452" w:rsidRDefault="00776506" w:rsidP="009F7FD8">
      <w:pPr>
        <w:spacing w:after="120"/>
      </w:pPr>
      <w:r>
        <w:t xml:space="preserve">Deficit salda důchodů z vlastnictví NP ve 2. čtvrtletí dosáhl 151,6 mld. korun a meziročně se zmírnil o drobných 1,8 mld. </w:t>
      </w:r>
      <w:r w:rsidR="00D11FF5" w:rsidRPr="00A86219">
        <w:t xml:space="preserve">Na straně zdrojů </w:t>
      </w:r>
      <w:r w:rsidR="001078B8">
        <w:t>se</w:t>
      </w:r>
      <w:r>
        <w:t xml:space="preserve"> výrazně zvýšily především úroky (+17,3 mld. korun), což odpovídá prudkému meziročnímu nárůstu úrovně úrokových sazeb. R</w:t>
      </w:r>
      <w:r w:rsidR="001078B8">
        <w:t xml:space="preserve">ozdělované důchody společností </w:t>
      </w:r>
      <w:r w:rsidR="007F264F">
        <w:t xml:space="preserve">se </w:t>
      </w:r>
      <w:r>
        <w:t xml:space="preserve">meziročně </w:t>
      </w:r>
      <w:r w:rsidR="007F264F">
        <w:t>zvýšily</w:t>
      </w:r>
      <w:r>
        <w:t xml:space="preserve"> o 4,3 mld. korun a </w:t>
      </w:r>
      <w:r w:rsidR="001078B8">
        <w:t xml:space="preserve">reinvestované zisky z přímých zahraničních investic </w:t>
      </w:r>
      <w:r w:rsidR="007F264F">
        <w:t>stouply</w:t>
      </w:r>
      <w:r>
        <w:t xml:space="preserve"> </w:t>
      </w:r>
      <w:r w:rsidR="001078B8">
        <w:t xml:space="preserve">o </w:t>
      </w:r>
      <w:r>
        <w:t>7,7</w:t>
      </w:r>
      <w:r w:rsidR="001078B8">
        <w:t xml:space="preserve"> mld.</w:t>
      </w:r>
      <w:r w:rsidR="00D11FF5" w:rsidRPr="00A86219">
        <w:t xml:space="preserve"> </w:t>
      </w:r>
      <w:r w:rsidR="00D95EA7" w:rsidRPr="00A86219">
        <w:t xml:space="preserve">Na </w:t>
      </w:r>
      <w:r w:rsidR="009E1BCE" w:rsidRPr="00A86219">
        <w:t>s</w:t>
      </w:r>
      <w:r w:rsidR="00D95EA7" w:rsidRPr="00A86219">
        <w:t xml:space="preserve">traně užití </w:t>
      </w:r>
      <w:r w:rsidR="00CB5EA3" w:rsidRPr="00A86219">
        <w:t xml:space="preserve">rozdělované důchody společností </w:t>
      </w:r>
      <w:r>
        <w:t>meziročně vzrostly o 16,0 mld. korun</w:t>
      </w:r>
      <w:r w:rsidR="00CB5EA3" w:rsidRPr="00A86219">
        <w:t xml:space="preserve">, zatímco reinvestované zisky </w:t>
      </w:r>
      <w:r>
        <w:t>stagnovaly (</w:t>
      </w:r>
      <w:r w:rsidR="00B3323F">
        <w:t>−</w:t>
      </w:r>
      <w:r>
        <w:t>0,4 mld.). Úroky placené nefinančními podniky byly meziročně vyšší o 11,5 mld.</w:t>
      </w:r>
      <w:r w:rsidR="009061A5">
        <w:t xml:space="preserve"> korun.</w:t>
      </w:r>
    </w:p>
    <w:p w14:paraId="4983C464" w14:textId="3A5F972A" w:rsidR="00820139" w:rsidRDefault="00E16ACA" w:rsidP="00820139">
      <w:pPr>
        <w:spacing w:after="120"/>
      </w:pPr>
      <w:r>
        <w:t>Deficit druhotných důchodů se v</w:t>
      </w:r>
      <w:r w:rsidR="00964190">
        <w:t>e</w:t>
      </w:r>
      <w:r>
        <w:t> </w:t>
      </w:r>
      <w:r w:rsidR="00964190">
        <w:t>2</w:t>
      </w:r>
      <w:r>
        <w:t xml:space="preserve">. čtvrtletí meziročně prohloubil o </w:t>
      </w:r>
      <w:r w:rsidR="00964190">
        <w:t>12,3</w:t>
      </w:r>
      <w:r>
        <w:t xml:space="preserve"> mld. korun na </w:t>
      </w:r>
      <w:r w:rsidR="00964190">
        <w:t>56,1</w:t>
      </w:r>
      <w:r>
        <w:t xml:space="preserve"> mld. </w:t>
      </w:r>
      <w:r w:rsidR="00964190">
        <w:t xml:space="preserve">Ve srovnání se stejným obdobím předchozích let je to výrazně více. Znatelně více zde totiž posílila strana užití – objem běžných daní z důchodů a jmění zaplacených NP meziročně stoupl o 11,9 mld. korun a ostatní běžné transfery byly vyšší o 35,4 mld. </w:t>
      </w:r>
      <w:r w:rsidR="00907ADB">
        <w:t xml:space="preserve">Na straně zdrojů se obdržené ostatní běžné transfery zvýšily o </w:t>
      </w:r>
      <w:r w:rsidR="00964190">
        <w:t>35,0</w:t>
      </w:r>
      <w:r w:rsidR="00220B84">
        <w:t xml:space="preserve"> mld. korun.</w:t>
      </w:r>
      <w:r w:rsidR="00820139">
        <w:t xml:space="preserve"> </w:t>
      </w:r>
      <w:r w:rsidR="00BA6BD0" w:rsidRPr="00220B84">
        <w:t>Hrubé úspory</w:t>
      </w:r>
      <w:r w:rsidR="00E9181E" w:rsidRPr="00220B84">
        <w:t> </w:t>
      </w:r>
      <w:r w:rsidR="00BA6BD0" w:rsidRPr="00220B84">
        <w:t xml:space="preserve">NP </w:t>
      </w:r>
      <w:r w:rsidR="00964190">
        <w:t>meziročně vzrostly o 12,3</w:t>
      </w:r>
      <w:r w:rsidR="00B3323F">
        <w:t> </w:t>
      </w:r>
      <w:r w:rsidR="00964190">
        <w:t>mld. korun na 231,8 mld. Ačkoli šlo v</w:t>
      </w:r>
      <w:r w:rsidR="00220B84">
        <w:t xml:space="preserve"> rámci </w:t>
      </w:r>
      <w:r w:rsidR="00964190">
        <w:t>2</w:t>
      </w:r>
      <w:r w:rsidR="00220B84">
        <w:t>.</w:t>
      </w:r>
      <w:r w:rsidR="00D44452">
        <w:t> </w:t>
      </w:r>
      <w:r w:rsidR="00220B84">
        <w:t xml:space="preserve">kvartálu </w:t>
      </w:r>
      <w:r w:rsidR="001C4AB9" w:rsidRPr="00220B84">
        <w:t>o </w:t>
      </w:r>
      <w:r w:rsidR="005C676E" w:rsidRPr="00220B84">
        <w:t>nejvyšší zaznamenanou úroveň hrubých úspor</w:t>
      </w:r>
      <w:r w:rsidR="00964190">
        <w:t>, m</w:t>
      </w:r>
      <w:r w:rsidR="00E0186F" w:rsidRPr="00220B84">
        <w:t>íra úspor</w:t>
      </w:r>
      <w:r w:rsidR="00CF1E81" w:rsidRPr="00220B84">
        <w:t> </w:t>
      </w:r>
      <w:r w:rsidR="00E0186F" w:rsidRPr="00220B84">
        <w:t>NP</w:t>
      </w:r>
      <w:r w:rsidR="00E0186F" w:rsidRPr="00220B84">
        <w:rPr>
          <w:rStyle w:val="Znakapoznpodarou"/>
        </w:rPr>
        <w:footnoteReference w:id="4"/>
      </w:r>
      <w:r w:rsidR="00E0186F" w:rsidRPr="00220B84">
        <w:t xml:space="preserve"> </w:t>
      </w:r>
      <w:r w:rsidR="009A3ACE" w:rsidRPr="00220B84">
        <w:t xml:space="preserve">dosáhla </w:t>
      </w:r>
      <w:r w:rsidR="00964190">
        <w:t>24,2</w:t>
      </w:r>
      <w:r w:rsidR="00BD40CD" w:rsidRPr="00220B84">
        <w:t> %</w:t>
      </w:r>
      <w:r w:rsidR="00820139">
        <w:t xml:space="preserve"> a meziročně tak klesla o 1,</w:t>
      </w:r>
      <w:r w:rsidR="00964190">
        <w:t>0</w:t>
      </w:r>
      <w:r w:rsidR="0032347E" w:rsidRPr="00220B84">
        <w:t> p. b.</w:t>
      </w:r>
      <w:r w:rsidR="00DD6C3A" w:rsidRPr="00220B84">
        <w:t xml:space="preserve"> </w:t>
      </w:r>
    </w:p>
    <w:p w14:paraId="356A9877" w14:textId="623A9DB1" w:rsidR="00820139" w:rsidRPr="00820139" w:rsidRDefault="00491234" w:rsidP="00C43DB8">
      <w:r>
        <w:t xml:space="preserve">Objem kapitálových transferů, které NP ve 2. čtvrtletí obdržely, stoupl meziročně o 1,8 mld. korun na 10,7 mld. Z toho 9,1 mld. korun tvořily investiční dotace, které byly vyšší o 2,7 mld. </w:t>
      </w:r>
      <w:r w:rsidR="002735F1">
        <w:t>O</w:t>
      </w:r>
      <w:r w:rsidR="00820139" w:rsidRPr="00820139">
        <w:t>statní kapitálové transfery</w:t>
      </w:r>
      <w:r w:rsidR="00731693">
        <w:t xml:space="preserve"> dosáhly</w:t>
      </w:r>
      <w:r w:rsidR="00820139" w:rsidRPr="00820139">
        <w:t xml:space="preserve"> </w:t>
      </w:r>
      <w:r>
        <w:t>1,6</w:t>
      </w:r>
      <w:r w:rsidR="00820139" w:rsidRPr="00820139">
        <w:t> mld. (</w:t>
      </w:r>
      <w:r w:rsidR="00B3323F">
        <w:t>−</w:t>
      </w:r>
      <w:r>
        <w:t>0,9</w:t>
      </w:r>
      <w:r w:rsidR="00820139" w:rsidRPr="00820139">
        <w:t> mld.)</w:t>
      </w:r>
      <w:r w:rsidR="00D44452">
        <w:t>.</w:t>
      </w:r>
      <w:r>
        <w:t xml:space="preserve"> Další velké meziroční oživení ve 2. čtvrtletí zaznamenala i</w:t>
      </w:r>
      <w:r w:rsidR="00F92F9A">
        <w:t>nvestiční aktivita n</w:t>
      </w:r>
      <w:r w:rsidR="00820139" w:rsidRPr="00820139">
        <w:t>efinanční</w:t>
      </w:r>
      <w:r w:rsidR="00F92F9A">
        <w:t>ch</w:t>
      </w:r>
      <w:r w:rsidR="00820139" w:rsidRPr="00820139">
        <w:t xml:space="preserve"> podnik</w:t>
      </w:r>
      <w:r w:rsidR="00F92F9A">
        <w:t>ů</w:t>
      </w:r>
      <w:r>
        <w:t xml:space="preserve">. Výdaje na tvorbu hrubého fixního kapitálu se meziročně zvýšily o 43,1 mld. korun (18,2 %) na 280,1 mld. </w:t>
      </w:r>
      <w:r w:rsidR="00820139" w:rsidRPr="00820139">
        <w:t>Podle sezónně očištěných údajů byly jejich investice</w:t>
      </w:r>
      <w:r w:rsidR="00D44452">
        <w:t xml:space="preserve"> mezičtvrtletně</w:t>
      </w:r>
      <w:r w:rsidR="00820139" w:rsidRPr="00820139">
        <w:t xml:space="preserve"> vyšší o </w:t>
      </w:r>
      <w:r>
        <w:t>15,2</w:t>
      </w:r>
      <w:r w:rsidR="00820139" w:rsidRPr="00820139">
        <w:t> mld. korun</w:t>
      </w:r>
      <w:r>
        <w:t xml:space="preserve"> (5,7 %).</w:t>
      </w:r>
      <w:r w:rsidR="00F92F9A">
        <w:t xml:space="preserve"> </w:t>
      </w:r>
      <w:r w:rsidR="00446302">
        <w:t>Nominální n</w:t>
      </w:r>
      <w:r w:rsidR="00F92F9A">
        <w:t>árůst investi</w:t>
      </w:r>
      <w:r w:rsidR="00446302">
        <w:t>c ale zahrnuje i posílení cenové hladiny</w:t>
      </w:r>
      <w:r w:rsidR="00446302">
        <w:rPr>
          <w:rStyle w:val="Znakapoznpodarou"/>
        </w:rPr>
        <w:footnoteReference w:id="5"/>
      </w:r>
      <w:r w:rsidR="00446302">
        <w:t xml:space="preserve">. </w:t>
      </w:r>
      <w:r w:rsidR="00820139" w:rsidRPr="00820139">
        <w:t>Míra investic</w:t>
      </w:r>
      <w:r w:rsidR="00820139" w:rsidRPr="00820139">
        <w:rPr>
          <w:rStyle w:val="Znakapoznpodarou"/>
        </w:rPr>
        <w:footnoteReference w:id="6"/>
      </w:r>
      <w:r w:rsidR="00820139" w:rsidRPr="00820139">
        <w:t xml:space="preserve"> NP se </w:t>
      </w:r>
      <w:r>
        <w:t xml:space="preserve">mezičtvrtletně </w:t>
      </w:r>
      <w:r w:rsidR="00820139" w:rsidRPr="00820139">
        <w:t>zvýšila o</w:t>
      </w:r>
      <w:r w:rsidR="00446302">
        <w:t xml:space="preserve"> </w:t>
      </w:r>
      <w:r>
        <w:t>0</w:t>
      </w:r>
      <w:r w:rsidR="00820139" w:rsidRPr="00820139">
        <w:t>,4 p. b. na 2</w:t>
      </w:r>
      <w:r w:rsidR="00446302">
        <w:t>9,</w:t>
      </w:r>
      <w:r>
        <w:t>8</w:t>
      </w:r>
      <w:r w:rsidR="00820139" w:rsidRPr="00820139">
        <w:t> % (sezónně očištěno) a </w:t>
      </w:r>
      <w:r>
        <w:t xml:space="preserve">dostala se na </w:t>
      </w:r>
      <w:r w:rsidR="00446302">
        <w:t>úrov</w:t>
      </w:r>
      <w:r>
        <w:t>eň</w:t>
      </w:r>
      <w:r w:rsidR="00446302">
        <w:t xml:space="preserve"> před rokem 2020. </w:t>
      </w:r>
      <w:r w:rsidR="00820139" w:rsidRPr="00820139">
        <w:t xml:space="preserve">Meziročně byla míra investic NP (neočištěná) </w:t>
      </w:r>
      <w:r w:rsidR="00446302">
        <w:t xml:space="preserve">vyšší o </w:t>
      </w:r>
      <w:r>
        <w:t>2,0</w:t>
      </w:r>
      <w:r w:rsidR="00820139" w:rsidRPr="00820139">
        <w:t xml:space="preserve"> p. b. </w:t>
      </w:r>
    </w:p>
    <w:p w14:paraId="551D4C2E" w14:textId="2A5949EA" w:rsidR="0050641C" w:rsidRPr="00E16ACA" w:rsidRDefault="009F7FD8" w:rsidP="000302A6">
      <w:pPr>
        <w:pStyle w:val="TabulkaGraf"/>
        <w:spacing w:after="120"/>
      </w:pPr>
      <w:r w:rsidRPr="00E16ACA">
        <w:lastRenderedPageBreak/>
        <w:t>G</w:t>
      </w:r>
      <w:r w:rsidR="002E6F00" w:rsidRPr="00E16ACA">
        <w:t>raf </w:t>
      </w:r>
      <w:r w:rsidR="0050641C" w:rsidRPr="00E16ACA">
        <w:t>2: Meziroční nominální přírůstek tvorby hrubého fixního kapitálu (v</w:t>
      </w:r>
      <w:r w:rsidR="00840938" w:rsidRPr="00E16ACA">
        <w:t> mld.</w:t>
      </w:r>
      <w:r w:rsidR="0050641C" w:rsidRPr="00E16ACA">
        <w:t xml:space="preserve"> korun) </w:t>
      </w:r>
      <w:r w:rsidR="00F03815" w:rsidRPr="00E16ACA">
        <w:t>a </w:t>
      </w:r>
      <w:r w:rsidR="0050641C" w:rsidRPr="00E16ACA">
        <w:t>míra investic (sezónně očištěno, v</w:t>
      </w:r>
      <w:r w:rsidR="00840938" w:rsidRPr="00E16ACA">
        <w:t> %</w:t>
      </w:r>
      <w:r w:rsidR="0050641C" w:rsidRPr="00E16ACA">
        <w:t>)</w:t>
      </w:r>
    </w:p>
    <w:p w14:paraId="2423C116" w14:textId="4D6234B2" w:rsidR="007B7E54" w:rsidRPr="00E16ACA" w:rsidRDefault="00431468" w:rsidP="009F7FD8">
      <w:pPr>
        <w:jc w:val="center"/>
      </w:pPr>
      <w:r>
        <w:rPr>
          <w:noProof/>
          <w:lang w:eastAsia="cs-CZ"/>
        </w:rPr>
        <w:drawing>
          <wp:inline distT="0" distB="0" distL="0" distR="0" wp14:anchorId="14402209" wp14:editId="4E27DFD4">
            <wp:extent cx="4743950" cy="2910775"/>
            <wp:effectExtent l="0" t="0" r="0" b="4445"/>
            <wp:docPr id="22" name="Graf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6ACA" w:rsidRPr="00E16ACA">
        <w:rPr>
          <w:noProof/>
          <w:lang w:eastAsia="cs-CZ"/>
        </w:rPr>
        <w:t xml:space="preserve"> </w:t>
      </w:r>
    </w:p>
    <w:p w14:paraId="7D7145A9" w14:textId="43A617D7" w:rsidR="00D60BAF" w:rsidRPr="00E16ACA" w:rsidRDefault="00941335" w:rsidP="00702D2D">
      <w:pPr>
        <w:spacing w:after="240"/>
        <w:rPr>
          <w:rFonts w:eastAsia="Times New Roman"/>
          <w:b/>
          <w:bCs/>
          <w:szCs w:val="28"/>
        </w:rPr>
      </w:pPr>
      <w:r w:rsidRPr="00E16ACA">
        <w:t>Zdroj: ČSÚ, národní účty</w:t>
      </w:r>
    </w:p>
    <w:p w14:paraId="7BF2286A" w14:textId="0414F794" w:rsidR="00F50CEF" w:rsidRPr="00EF38F4" w:rsidRDefault="00F50CEF" w:rsidP="00210B17">
      <w:pPr>
        <w:spacing w:after="120"/>
        <w:rPr>
          <w:b/>
          <w:bCs/>
        </w:rPr>
      </w:pPr>
      <w:r w:rsidRPr="00EF38F4">
        <w:rPr>
          <w:b/>
          <w:bCs/>
        </w:rPr>
        <w:t>Vládní instituce</w:t>
      </w:r>
    </w:p>
    <w:p w14:paraId="43BCE733" w14:textId="7A143FF6" w:rsidR="006A3430" w:rsidRDefault="008A287F" w:rsidP="00A969A9">
      <w:pPr>
        <w:spacing w:after="120"/>
      </w:pPr>
      <w:r>
        <w:t>Sektor vládních institucí (VI) ve 2. čtvrtletí 2022 hospodařil s drobným přebytkem ve výši 0,5 mld. korun. Meziročně tak došlo ke zlepšení salda o 40,8 mld. korun a šlo o první přebytek od 3.</w:t>
      </w:r>
      <w:r w:rsidR="00B3323F">
        <w:t> </w:t>
      </w:r>
      <w:r>
        <w:t xml:space="preserve">čtvrtletí 2019. Před rokem 2020 byl druhý kvartál roku obdobím, kdy v rámci roku dosahovalo hospodaření </w:t>
      </w:r>
      <w:r w:rsidR="00C92874">
        <w:t xml:space="preserve">VI </w:t>
      </w:r>
      <w:r>
        <w:t xml:space="preserve">nejpříznivějších výsledků. Kladné saldo v letošním 2. čtvrtletí v tomto srovnání zaostávalo za stejným obdobím let 2015–2019. Meziročnímu zlepšení hospodaření napomohlo </w:t>
      </w:r>
      <w:r w:rsidR="00B34EDA">
        <w:t xml:space="preserve">velké </w:t>
      </w:r>
      <w:r>
        <w:t>zvýšení příjmů</w:t>
      </w:r>
      <w:r w:rsidR="00B34EDA">
        <w:t>, které čerpaly z pokračujícího hospodářského růstu i z navýšení cenové hladiny, které tak podpořilo nárůst daňových příjmů.</w:t>
      </w:r>
      <w:r w:rsidR="006207D9">
        <w:t xml:space="preserve"> Podle sezónně očištěných dat se </w:t>
      </w:r>
      <w:r w:rsidR="00FE355C">
        <w:t xml:space="preserve">výsledek hospodaření VI zlepšoval i </w:t>
      </w:r>
      <w:r w:rsidR="006207D9">
        <w:t>mezičtvrtletně.</w:t>
      </w:r>
    </w:p>
    <w:p w14:paraId="65AFD2D0" w14:textId="6E75354E" w:rsidR="00C947EC" w:rsidRDefault="0000208F" w:rsidP="00A969A9">
      <w:pPr>
        <w:spacing w:after="120"/>
      </w:pPr>
      <w:r>
        <w:t xml:space="preserve">Meziroční navýšení příjmů VI ve 2. čtvrtletí dosáhlo 77,9 mld. korun (11,6 %) a příjmy činily 750,6 mld. K růstu přispívaly téměř všechny složky. Největší přírůstek měly přijaté daně z výroby a dovozu (+24,2 mld. korun) a dále čisté sociální příspěvky (+18,9 mld.) a běžné daně z důchodů a jmění (+18,1 mld.). Výrazné bylo i navýšení přijatých důchodů z vlastnictví (+9,7 mld. korun). </w:t>
      </w:r>
      <w:r w:rsidR="00DF6A83">
        <w:t xml:space="preserve">Hodnota tržní produkce a produkce pro vlastní užití se meziročně zvýšila o </w:t>
      </w:r>
      <w:r>
        <w:t>5,4</w:t>
      </w:r>
      <w:r w:rsidR="00DF6A83">
        <w:t xml:space="preserve"> mld. korun</w:t>
      </w:r>
      <w:r w:rsidR="00554D35">
        <w:t xml:space="preserve">. </w:t>
      </w:r>
      <w:r w:rsidR="00DA2F85">
        <w:t>P</w:t>
      </w:r>
      <w:r w:rsidR="00554D35">
        <w:t xml:space="preserve">řijaté ostatní běžné transfery </w:t>
      </w:r>
      <w:r w:rsidR="00DA2F85">
        <w:t xml:space="preserve">byly vyšší o 2,6 </w:t>
      </w:r>
      <w:r w:rsidR="00554D35">
        <w:t>mld.</w:t>
      </w:r>
      <w:r w:rsidR="00586CF2">
        <w:t xml:space="preserve"> korun</w:t>
      </w:r>
      <w:r w:rsidR="00554D35">
        <w:t xml:space="preserve">. </w:t>
      </w:r>
      <w:r w:rsidR="00DA2F85">
        <w:t>Stejně jako v předchozím čtvrtletí byly j</w:t>
      </w:r>
      <w:r w:rsidR="009357BD">
        <w:t>edinou příjmovou položkou, která</w:t>
      </w:r>
      <w:r w:rsidR="00554D35">
        <w:t xml:space="preserve"> meziročně klesla</w:t>
      </w:r>
      <w:r w:rsidR="00C947EC">
        <w:t>,</w:t>
      </w:r>
      <w:r w:rsidR="00554D35">
        <w:t xml:space="preserve"> přijaté kapitálové transfery (</w:t>
      </w:r>
      <w:r w:rsidR="0053146A">
        <w:t>−</w:t>
      </w:r>
      <w:r w:rsidR="00DA2F85">
        <w:t>1,0</w:t>
      </w:r>
      <w:r w:rsidR="00554D35">
        <w:t xml:space="preserve"> </w:t>
      </w:r>
      <w:r w:rsidR="00586CF2">
        <w:t>mld. korun</w:t>
      </w:r>
      <w:r w:rsidR="00554D35">
        <w:t>).</w:t>
      </w:r>
    </w:p>
    <w:p w14:paraId="58D5A7B2" w14:textId="0E2523F5" w:rsidR="00751C83" w:rsidRDefault="00F21DB3" w:rsidP="00A969A9">
      <w:pPr>
        <w:spacing w:after="120"/>
      </w:pPr>
      <w:r>
        <w:t xml:space="preserve">Výdaje VI se meziročně zvýšily o </w:t>
      </w:r>
      <w:r w:rsidR="004C7829">
        <w:t>37,1</w:t>
      </w:r>
      <w:r>
        <w:t xml:space="preserve"> mld. korun (</w:t>
      </w:r>
      <w:r w:rsidR="004C7829">
        <w:t>5,2</w:t>
      </w:r>
      <w:r>
        <w:t xml:space="preserve"> %) a dosáhly </w:t>
      </w:r>
      <w:r w:rsidR="00E7483E">
        <w:t>750,1</w:t>
      </w:r>
      <w:r>
        <w:t xml:space="preserve"> mld. Dynamika výdajů</w:t>
      </w:r>
      <w:r w:rsidR="00E7483E">
        <w:t xml:space="preserve"> přitom posílila </w:t>
      </w:r>
      <w:r w:rsidR="00C74370">
        <w:t xml:space="preserve">navzdory vysoké srovnávací základně </w:t>
      </w:r>
      <w:r w:rsidR="00E7483E">
        <w:t>loňské</w:t>
      </w:r>
      <w:r w:rsidR="00C74370">
        <w:t>ho</w:t>
      </w:r>
      <w:r w:rsidR="00E7483E">
        <w:t xml:space="preserve"> 2. kvartálu. </w:t>
      </w:r>
      <w:r w:rsidR="005A220F">
        <w:t>Většina výdajových složek byla meziročně vyšší, nejvýrazněji sociální dávky a naturální sociální transfery (+25,1</w:t>
      </w:r>
      <w:r w:rsidR="00B3323F">
        <w:t> </w:t>
      </w:r>
      <w:r w:rsidR="005A220F">
        <w:t>mld.</w:t>
      </w:r>
      <w:r w:rsidR="00C74370">
        <w:t> </w:t>
      </w:r>
      <w:r w:rsidR="005A220F">
        <w:t xml:space="preserve">korun). O 14,0 mld. </w:t>
      </w:r>
      <w:r w:rsidR="00C92874">
        <w:t>vzrostly</w:t>
      </w:r>
      <w:r w:rsidR="005A220F">
        <w:t xml:space="preserve"> výdaje na tvorbu hrubého kapitálu. Z toho samotné investice (hrubý fixní kapitál) </w:t>
      </w:r>
      <w:r w:rsidR="00C92874">
        <w:t>stouply</w:t>
      </w:r>
      <w:r w:rsidR="005A220F">
        <w:t xml:space="preserve"> meziročně o 6,6 mld. korun. Změna zásob ale dosáhla </w:t>
      </w:r>
      <w:r w:rsidR="005A220F">
        <w:lastRenderedPageBreak/>
        <w:t>7,7</w:t>
      </w:r>
      <w:r w:rsidR="00B3323F">
        <w:t> </w:t>
      </w:r>
      <w:r w:rsidR="005A220F">
        <w:t>mld. korun, což mimo jiné odráží zásobení se zemním plynem.</w:t>
      </w:r>
      <w:r w:rsidR="00C74370">
        <w:t xml:space="preserve"> Vyplacené ostatní běžné transfery byly meziročně vyšší o 12,6 mld. korun. Velmi silně se zvýšila </w:t>
      </w:r>
      <w:proofErr w:type="spellStart"/>
      <w:r w:rsidR="00C74370">
        <w:t>mezispotřeba</w:t>
      </w:r>
      <w:proofErr w:type="spellEnd"/>
      <w:r w:rsidR="00C74370">
        <w:t xml:space="preserve"> (+9,6 mld. korun), na které se projevoval růst cenové hladiny</w:t>
      </w:r>
      <w:r w:rsidR="00C92874">
        <w:t>.</w:t>
      </w:r>
      <w:r w:rsidR="00C74370">
        <w:t xml:space="preserve"> </w:t>
      </w:r>
      <w:r w:rsidR="00C92874">
        <w:t>V</w:t>
      </w:r>
      <w:r w:rsidR="00C74370">
        <w:t>ýrazně vyšší byly i placené úroky (+6,2</w:t>
      </w:r>
      <w:r w:rsidR="00B3323F">
        <w:t> </w:t>
      </w:r>
      <w:r w:rsidR="00C74370">
        <w:t xml:space="preserve">mld.). Z výdajů </w:t>
      </w:r>
      <w:r w:rsidR="00E82FD0">
        <w:t xml:space="preserve">byly nižší </w:t>
      </w:r>
      <w:r w:rsidR="00C74370">
        <w:t>dotace (</w:t>
      </w:r>
      <w:r w:rsidR="00B3323F">
        <w:t>−</w:t>
      </w:r>
      <w:r w:rsidR="00C74370">
        <w:t>18,0 mld. korun</w:t>
      </w:r>
      <w:r w:rsidR="00E82FD0">
        <w:t>, dotace zůstávají nadále zvýšené oproti úrovni, kterou měly před rokem 2020</w:t>
      </w:r>
      <w:r w:rsidR="00C74370">
        <w:t xml:space="preserve">), </w:t>
      </w:r>
      <w:r w:rsidR="00C92874">
        <w:t xml:space="preserve">dále </w:t>
      </w:r>
      <w:r w:rsidR="00C74370">
        <w:t>náhrady zaměstnancům (</w:t>
      </w:r>
      <w:r w:rsidR="00B3323F">
        <w:t>−</w:t>
      </w:r>
      <w:r w:rsidR="00C74370">
        <w:t>7,8 mld.</w:t>
      </w:r>
      <w:r w:rsidR="00E82FD0">
        <w:t>, především vliv vysoké srovnávací základny kvůli loňským výplatám mimořádných „covidových“ odměn</w:t>
      </w:r>
      <w:r w:rsidR="00C74370">
        <w:t>) a kapitálové transfery (</w:t>
      </w:r>
      <w:r w:rsidR="00B3323F">
        <w:t>−</w:t>
      </w:r>
      <w:r w:rsidR="00C74370">
        <w:t>4,4 mld.).</w:t>
      </w:r>
    </w:p>
    <w:p w14:paraId="7BD1F5CE" w14:textId="2AD80378" w:rsidR="00F179FE" w:rsidRDefault="00E2689A" w:rsidP="009F7FD8">
      <w:pPr>
        <w:spacing w:after="120"/>
      </w:pPr>
      <w:r>
        <w:t xml:space="preserve">Navzdory meziročnímu zmírnění o 19,5 mld. korun zůstalo hospodaření ústředních vládních institucí v hlubokém deficitu, který dosáhl 69,8 mld. korun. </w:t>
      </w:r>
      <w:r w:rsidR="00C92874">
        <w:t xml:space="preserve">Ke snížení </w:t>
      </w:r>
      <w:r>
        <w:t>schodku</w:t>
      </w:r>
      <w:r w:rsidR="00C92874">
        <w:t xml:space="preserve"> přispělo</w:t>
      </w:r>
      <w:r>
        <w:t xml:space="preserve"> posílení příjmů o 50,1 mld. korun (10,7 %). Přitom rostly všechny zdroje příjmů, nejvíce přijaté daně z výroby a dovozu (+14,7 mld. korun), běžné daně z důchodů a jmění (+11,4 mld.) a čisté sociální příspěvky (+9,3 mld.).</w:t>
      </w:r>
      <w:r w:rsidR="000B4AB2">
        <w:t xml:space="preserve"> Výrazný přírůstek měly i důchody z vlastnictví (+8,7 mld. korun).</w:t>
      </w:r>
      <w:r w:rsidR="00F179FE">
        <w:t xml:space="preserve"> </w:t>
      </w:r>
      <w:r w:rsidR="00043E0C">
        <w:t xml:space="preserve">Výdaje ústředních vládních institucí meziročně </w:t>
      </w:r>
      <w:r w:rsidR="00F179FE">
        <w:t>stouply</w:t>
      </w:r>
      <w:r w:rsidR="00043E0C">
        <w:t xml:space="preserve"> o </w:t>
      </w:r>
      <w:r w:rsidR="00F179FE">
        <w:t>30,6</w:t>
      </w:r>
      <w:r w:rsidR="000C7427">
        <w:t xml:space="preserve"> mld. korun (</w:t>
      </w:r>
      <w:r w:rsidR="002161B2">
        <w:t>5,</w:t>
      </w:r>
      <w:r w:rsidR="00F179FE">
        <w:t>5</w:t>
      </w:r>
      <w:r w:rsidR="000C7427">
        <w:t xml:space="preserve"> %). </w:t>
      </w:r>
      <w:r w:rsidR="00F179FE">
        <w:t>Ačkoli se výrazně s</w:t>
      </w:r>
      <w:r w:rsidR="000C7427">
        <w:t>nížily vyplacené dotace (</w:t>
      </w:r>
      <w:r w:rsidR="0053146A">
        <w:t>−</w:t>
      </w:r>
      <w:r w:rsidR="00F179FE">
        <w:t>19,7</w:t>
      </w:r>
      <w:r w:rsidR="000C7427">
        <w:t xml:space="preserve"> mld. korun)</w:t>
      </w:r>
      <w:r w:rsidR="00F179FE">
        <w:t>, vyšší byly placené ostatní běžné transfery</w:t>
      </w:r>
      <w:r w:rsidR="005041DE">
        <w:rPr>
          <w:rStyle w:val="Znakapoznpodarou"/>
        </w:rPr>
        <w:footnoteReference w:id="7"/>
      </w:r>
      <w:r w:rsidR="00F179FE">
        <w:t xml:space="preserve"> (+20,5</w:t>
      </w:r>
      <w:r w:rsidR="005041DE">
        <w:t> </w:t>
      </w:r>
      <w:r w:rsidR="00F179FE">
        <w:t>mld.)</w:t>
      </w:r>
      <w:r w:rsidR="00865FA6">
        <w:t xml:space="preserve">. Výrazně vyšší byly </w:t>
      </w:r>
      <w:r w:rsidR="00F179FE">
        <w:t xml:space="preserve">také sociální dávky a naturální sociální transfery (+18,8 mld.). Navýšení zásob z velké části ovlivnilo i nárůst výdajů na tvorbu hrubého kapitálu o 10,2 mld. korun.    </w:t>
      </w:r>
    </w:p>
    <w:p w14:paraId="22E32039" w14:textId="30F33BA8" w:rsidR="00BD57B8" w:rsidRPr="00710434" w:rsidRDefault="00BD57B8" w:rsidP="00BD57B8">
      <w:pPr>
        <w:pStyle w:val="TabulkaGraf"/>
      </w:pPr>
      <w:r>
        <w:t>G</w:t>
      </w:r>
      <w:r w:rsidRPr="00710434">
        <w:t>raf 3: Saldo hospodaření vládních institucí (v mld. korun)</w:t>
      </w:r>
    </w:p>
    <w:p w14:paraId="7E57F88E" w14:textId="2846E8F7" w:rsidR="00BD57B8" w:rsidRPr="00710434" w:rsidRDefault="0068240C" w:rsidP="00BD57B8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7D805D3" wp14:editId="65645C85">
            <wp:extent cx="4734425" cy="2904425"/>
            <wp:effectExtent l="0" t="0" r="0" b="0"/>
            <wp:docPr id="25" name="Graf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C659E">
        <w:rPr>
          <w:noProof/>
          <w:lang w:eastAsia="cs-CZ"/>
        </w:rPr>
        <w:t xml:space="preserve"> </w:t>
      </w:r>
      <w:r w:rsidR="00BD57B8" w:rsidRPr="00710434">
        <w:rPr>
          <w:noProof/>
          <w:lang w:eastAsia="cs-CZ"/>
        </w:rPr>
        <w:t xml:space="preserve"> </w:t>
      </w:r>
    </w:p>
    <w:p w14:paraId="0FE7553A" w14:textId="77777777" w:rsidR="00BD57B8" w:rsidRPr="00710434" w:rsidRDefault="00BD57B8" w:rsidP="00BD57B8">
      <w:pPr>
        <w:spacing w:after="120"/>
        <w:jc w:val="left"/>
      </w:pPr>
      <w:r w:rsidRPr="00710434">
        <w:t>Zdroj: ČSÚ, národní účty</w:t>
      </w:r>
    </w:p>
    <w:p w14:paraId="6E84A785" w14:textId="7A1B4575" w:rsidR="004E1F70" w:rsidRDefault="009729CD" w:rsidP="00BE3302">
      <w:pPr>
        <w:spacing w:after="120"/>
      </w:pPr>
      <w:r>
        <w:t>Přebytek hospodaření m</w:t>
      </w:r>
      <w:r w:rsidR="002735F1">
        <w:t>ístní</w:t>
      </w:r>
      <w:r>
        <w:t>ch</w:t>
      </w:r>
      <w:r w:rsidR="002735F1">
        <w:t xml:space="preserve"> vládní</w:t>
      </w:r>
      <w:r>
        <w:t>ch</w:t>
      </w:r>
      <w:r w:rsidR="002735F1">
        <w:t xml:space="preserve"> instituc</w:t>
      </w:r>
      <w:r>
        <w:t xml:space="preserve">í se meziročně zvýšil o 23,1 mld. korun a dosáhl 62,9 mld. Jde o nejvyšší kladné saldo v dostupné časové řadě. Masivně rostly příjmy </w:t>
      </w:r>
      <w:proofErr w:type="spellStart"/>
      <w:r>
        <w:t>subsektoru</w:t>
      </w:r>
      <w:proofErr w:type="spellEnd"/>
      <w:r>
        <w:t xml:space="preserve"> (+37,5 mld. korun, 15,9 %). Nejvíce se zvýšily přijaté ostatní běžné transfery (+18,3 mld. korun), daně z výroby a dovozu (+9,5 mld.) a běžné daně z důchodů a jmění (+6,6 mld.). Nižší byly jen </w:t>
      </w:r>
      <w:r>
        <w:lastRenderedPageBreak/>
        <w:t>přijaté kapitálové transfery (</w:t>
      </w:r>
      <w:r w:rsidR="00B3323F">
        <w:t>−</w:t>
      </w:r>
      <w:r>
        <w:t>1,6 mld. korun).</w:t>
      </w:r>
      <w:r w:rsidR="004E1F70">
        <w:t xml:space="preserve"> Výdaje místních vládních institucí se meziročně zvýšily o 14,4 mld. korun (7,3 %). Nejvíce </w:t>
      </w:r>
      <w:r w:rsidR="00752583">
        <w:t xml:space="preserve">vlivem rostoucí cenové hladiny </w:t>
      </w:r>
      <w:r w:rsidR="004E1F70">
        <w:t xml:space="preserve">vzrostla </w:t>
      </w:r>
      <w:proofErr w:type="spellStart"/>
      <w:r w:rsidR="004E1F70">
        <w:t>mez</w:t>
      </w:r>
      <w:r w:rsidR="002735F1">
        <w:t>ispotřeb</w:t>
      </w:r>
      <w:r w:rsidR="004E1F70">
        <w:t>a</w:t>
      </w:r>
      <w:proofErr w:type="spellEnd"/>
      <w:r w:rsidR="002735F1">
        <w:t xml:space="preserve"> (+</w:t>
      </w:r>
      <w:r w:rsidR="004E1F70">
        <w:t>8,1</w:t>
      </w:r>
      <w:r w:rsidR="002735F1">
        <w:t xml:space="preserve"> mld.</w:t>
      </w:r>
      <w:r w:rsidR="004E1F70">
        <w:t xml:space="preserve"> korun</w:t>
      </w:r>
      <w:r w:rsidR="002735F1">
        <w:t>)</w:t>
      </w:r>
      <w:r w:rsidR="004E1F70">
        <w:t xml:space="preserve">, </w:t>
      </w:r>
      <w:r w:rsidR="00752583">
        <w:t xml:space="preserve">vyšší byly i </w:t>
      </w:r>
      <w:r w:rsidR="004E1F70">
        <w:t>placené ostatní běžné transfery (+6,9 mld.) a tvorba hrubého kapitálu (+3,7 mld.). Naopak nižší byly n</w:t>
      </w:r>
      <w:r w:rsidR="002735F1">
        <w:t>áhrad</w:t>
      </w:r>
      <w:r w:rsidR="004E1F70">
        <w:t>y</w:t>
      </w:r>
      <w:r w:rsidR="002735F1">
        <w:t xml:space="preserve"> zaměstnancům (</w:t>
      </w:r>
      <w:r w:rsidR="00B3323F">
        <w:t>−</w:t>
      </w:r>
      <w:r w:rsidR="002735F1">
        <w:t>4,</w:t>
      </w:r>
      <w:r w:rsidR="004E1F70">
        <w:t>3</w:t>
      </w:r>
      <w:r w:rsidR="002735F1">
        <w:t xml:space="preserve"> mld.).</w:t>
      </w:r>
    </w:p>
    <w:p w14:paraId="67C8695B" w14:textId="6DF1DA17" w:rsidR="00F1049C" w:rsidRDefault="005041DE" w:rsidP="00BE3302">
      <w:pPr>
        <w:spacing w:after="120"/>
      </w:pPr>
      <w:r>
        <w:t>F</w:t>
      </w:r>
      <w:r w:rsidR="00BE3302">
        <w:t xml:space="preserve">ondy </w:t>
      </w:r>
      <w:r w:rsidR="00354A44" w:rsidRPr="00BE3302">
        <w:t>sociálního zabezpečení (zdravotní pojišťovny)</w:t>
      </w:r>
      <w:r>
        <w:t xml:space="preserve"> ve 2. čtvrtletí také hospodařily s přebytkem. Ten se ale meziročně zmírnil o 1,8 mld. korun na 7,3 mld</w:t>
      </w:r>
      <w:r w:rsidR="00BE3302">
        <w:t>.</w:t>
      </w:r>
      <w:r>
        <w:t xml:space="preserve"> V</w:t>
      </w:r>
      <w:r w:rsidR="007338EE" w:rsidRPr="00BE3302">
        <w:t xml:space="preserve">ýdaje vzrostly </w:t>
      </w:r>
      <w:r w:rsidR="001C4AB9" w:rsidRPr="00BE3302">
        <w:t>o </w:t>
      </w:r>
      <w:r w:rsidR="00F1049C">
        <w:t>1</w:t>
      </w:r>
      <w:r>
        <w:t>1</w:t>
      </w:r>
      <w:r w:rsidR="00F1049C">
        <w:t>,</w:t>
      </w:r>
      <w:r>
        <w:t>4</w:t>
      </w:r>
      <w:r w:rsidR="00F1049C">
        <w:t xml:space="preserve"> </w:t>
      </w:r>
      <w:r w:rsidR="0032347E" w:rsidRPr="00BE3302">
        <w:t>mld</w:t>
      </w:r>
      <w:r w:rsidR="007338EE" w:rsidRPr="00BE3302">
        <w:t>. korun (</w:t>
      </w:r>
      <w:r w:rsidR="00F1049C">
        <w:t>1</w:t>
      </w:r>
      <w:r>
        <w:t>2</w:t>
      </w:r>
      <w:r w:rsidR="00F1049C">
        <w:t>,</w:t>
      </w:r>
      <w:r>
        <w:t>3 </w:t>
      </w:r>
      <w:r w:rsidR="007338EE" w:rsidRPr="00BE3302">
        <w:t>%)</w:t>
      </w:r>
      <w:r w:rsidR="00F1049C">
        <w:t>.</w:t>
      </w:r>
      <w:r>
        <w:t xml:space="preserve"> H</w:t>
      </w:r>
      <w:r w:rsidR="00F1049C">
        <w:t>odnot</w:t>
      </w:r>
      <w:r>
        <w:t>a</w:t>
      </w:r>
      <w:r w:rsidR="00F1049C">
        <w:t xml:space="preserve"> naturálních sociálních transferů </w:t>
      </w:r>
      <w:r>
        <w:t xml:space="preserve">se zvýšila o 6,1 </w:t>
      </w:r>
      <w:r w:rsidR="00F1049C">
        <w:t>mld. korun a</w:t>
      </w:r>
      <w:r w:rsidR="003A580D">
        <w:t> </w:t>
      </w:r>
      <w:r w:rsidR="00F1049C">
        <w:t>ostatních běžných transferů o 4,</w:t>
      </w:r>
      <w:r>
        <w:t>4</w:t>
      </w:r>
      <w:r w:rsidR="00F1049C">
        <w:t xml:space="preserve"> mld.</w:t>
      </w:r>
      <w:r w:rsidR="008B4550">
        <w:t xml:space="preserve"> Příjmy zdravotních pojišťoven se meziročně zvýšily o</w:t>
      </w:r>
      <w:r w:rsidR="003A580D">
        <w:t> </w:t>
      </w:r>
      <w:r w:rsidR="008B4550">
        <w:t>9,</w:t>
      </w:r>
      <w:r>
        <w:t>7</w:t>
      </w:r>
      <w:r w:rsidR="008B4550">
        <w:t> mld. korun (9,</w:t>
      </w:r>
      <w:r>
        <w:t>4</w:t>
      </w:r>
      <w:r w:rsidR="008B4550">
        <w:t xml:space="preserve"> %), především pod vlivem rostoucích přijatých čistých sociálních příspěvků (+9,</w:t>
      </w:r>
      <w:r>
        <w:t>4</w:t>
      </w:r>
      <w:r w:rsidR="008B4550">
        <w:t xml:space="preserve"> mld.).  </w:t>
      </w:r>
    </w:p>
    <w:p w14:paraId="2D35C949" w14:textId="77777777" w:rsidR="00092CCF" w:rsidRPr="00710434" w:rsidRDefault="00092CCF" w:rsidP="00092CCF">
      <w:pPr>
        <w:pStyle w:val="TabulkaGraf"/>
        <w:spacing w:after="120"/>
      </w:pPr>
      <w:r w:rsidRPr="00710434">
        <w:t>Graf 4: Dluh sektoru vládních institucí a jeho struktura (meziroční změna v mld. korun)</w:t>
      </w:r>
    </w:p>
    <w:p w14:paraId="0377B224" w14:textId="6D4EA4D3" w:rsidR="00092CCF" w:rsidRPr="00710434" w:rsidRDefault="0068240C" w:rsidP="00092CCF">
      <w:pPr>
        <w:spacing w:after="120"/>
        <w:jc w:val="center"/>
      </w:pPr>
      <w:r>
        <w:rPr>
          <w:noProof/>
          <w:lang w:eastAsia="cs-CZ"/>
        </w:rPr>
        <w:drawing>
          <wp:inline distT="0" distB="0" distL="0" distR="0" wp14:anchorId="2416D0B4" wp14:editId="28E9CBF8">
            <wp:extent cx="4743950" cy="2910775"/>
            <wp:effectExtent l="0" t="0" r="0" b="44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92CCF" w:rsidRPr="00710434">
        <w:rPr>
          <w:noProof/>
          <w:lang w:eastAsia="cs-CZ"/>
        </w:rPr>
        <w:t xml:space="preserve"> </w:t>
      </w:r>
    </w:p>
    <w:p w14:paraId="21F9C088" w14:textId="77777777" w:rsidR="00092CCF" w:rsidRPr="00710434" w:rsidRDefault="00092CCF" w:rsidP="00092CCF">
      <w:pPr>
        <w:spacing w:after="120"/>
      </w:pPr>
      <w:r w:rsidRPr="00710434">
        <w:t>Zdroj: ČSÚ, národní účty</w:t>
      </w:r>
    </w:p>
    <w:p w14:paraId="29DC91D1" w14:textId="76636360" w:rsidR="002735F1" w:rsidRPr="00884029" w:rsidRDefault="002735F1" w:rsidP="00C43DB8">
      <w:r w:rsidRPr="00884029">
        <w:t xml:space="preserve">Dluh sektoru vládních institucí </w:t>
      </w:r>
      <w:r w:rsidR="00B62E04">
        <w:t xml:space="preserve">se </w:t>
      </w:r>
      <w:r w:rsidRPr="00884029">
        <w:t>v</w:t>
      </w:r>
      <w:r w:rsidR="00B62E04">
        <w:t>e</w:t>
      </w:r>
      <w:r w:rsidRPr="00884029">
        <w:t xml:space="preserve"> </w:t>
      </w:r>
      <w:r w:rsidR="00B62E04">
        <w:t>2</w:t>
      </w:r>
      <w:r w:rsidRPr="00884029">
        <w:t>. čtvrtletí 202</w:t>
      </w:r>
      <w:r>
        <w:t>2</w:t>
      </w:r>
      <w:r w:rsidRPr="00884029">
        <w:t xml:space="preserve"> </w:t>
      </w:r>
      <w:r>
        <w:t xml:space="preserve">meziročně </w:t>
      </w:r>
      <w:r w:rsidR="00B62E04">
        <w:t>zvýšil</w:t>
      </w:r>
      <w:r>
        <w:t xml:space="preserve"> o </w:t>
      </w:r>
      <w:r w:rsidR="00B62E04">
        <w:t>310,2</w:t>
      </w:r>
      <w:r>
        <w:t xml:space="preserve"> mld. korun a dosáhl 2</w:t>
      </w:r>
      <w:r w:rsidR="00B62E04">
        <w:t> 827,7</w:t>
      </w:r>
      <w:r>
        <w:t xml:space="preserve"> mld.</w:t>
      </w:r>
      <w:r w:rsidRPr="00884029">
        <w:rPr>
          <w:rStyle w:val="Znakapoznpodarou"/>
        </w:rPr>
        <w:footnoteReference w:id="8"/>
      </w:r>
      <w:r>
        <w:t xml:space="preserve">. </w:t>
      </w:r>
      <w:r w:rsidR="00B62E04">
        <w:t>Zvýšila se i m</w:t>
      </w:r>
      <w:r w:rsidRPr="00884029">
        <w:t xml:space="preserve">íra zadlužení vládních institucí </w:t>
      </w:r>
      <w:r w:rsidR="00B62E04">
        <w:t xml:space="preserve">(+1,4 p. b.) a </w:t>
      </w:r>
      <w:r w:rsidRPr="00884029">
        <w:t>dosáhla 4</w:t>
      </w:r>
      <w:r w:rsidR="00B62E04">
        <w:t>4</w:t>
      </w:r>
      <w:r w:rsidRPr="00884029">
        <w:t>,</w:t>
      </w:r>
      <w:r w:rsidR="00B62E04">
        <w:t>0</w:t>
      </w:r>
      <w:r w:rsidRPr="00884029">
        <w:t> % HDP</w:t>
      </w:r>
      <w:r w:rsidR="00B62E04">
        <w:t>.</w:t>
      </w:r>
      <w:r w:rsidRPr="00884029">
        <w:t xml:space="preserve"> </w:t>
      </w:r>
      <w:r>
        <w:t xml:space="preserve">Vývoj HDP působil ve směru poklesu zadlužení </w:t>
      </w:r>
      <w:r w:rsidR="00B3323F">
        <w:t>−</w:t>
      </w:r>
      <w:r>
        <w:t>3,</w:t>
      </w:r>
      <w:r w:rsidR="00B62E04">
        <w:t>4</w:t>
      </w:r>
      <w:r>
        <w:t xml:space="preserve"> p. b., zatímco nominální dluh přispěl k navýšení zadlužení </w:t>
      </w:r>
      <w:r w:rsidR="00B62E04">
        <w:t>4,8</w:t>
      </w:r>
      <w:r>
        <w:t xml:space="preserve"> p. b.</w:t>
      </w:r>
      <w:r w:rsidRPr="00884029">
        <w:t xml:space="preserve"> </w:t>
      </w:r>
      <w:r w:rsidR="004E6B0B">
        <w:t>D</w:t>
      </w:r>
      <w:r w:rsidR="00B62E04">
        <w:t xml:space="preserve">luh se meziročně zvyšoval především prostřednictvím nárůstu objemu </w:t>
      </w:r>
      <w:r>
        <w:t>d</w:t>
      </w:r>
      <w:r w:rsidRPr="00884029">
        <w:t xml:space="preserve">luhových cenných papírů </w:t>
      </w:r>
      <w:r>
        <w:t xml:space="preserve">o </w:t>
      </w:r>
      <w:r w:rsidR="00B62E04">
        <w:t>205,3</w:t>
      </w:r>
      <w:r>
        <w:t xml:space="preserve"> mld. korun. Z toho objem dlouhodobých dluhopisů vzrostl o </w:t>
      </w:r>
      <w:r w:rsidR="00B62E04">
        <w:t>177,1</w:t>
      </w:r>
      <w:r>
        <w:t xml:space="preserve"> mld. korun a krátkodobých o </w:t>
      </w:r>
      <w:r w:rsidR="00B62E04">
        <w:t>28,1</w:t>
      </w:r>
      <w:r>
        <w:t xml:space="preserve"> mld. </w:t>
      </w:r>
      <w:r w:rsidR="00B62E04">
        <w:t xml:space="preserve">Netypicky vysoký byl i nárůst objemu oběživa a vkladů v </w:t>
      </w:r>
      <w:r>
        <w:t>dluhovém portfoliu</w:t>
      </w:r>
      <w:r w:rsidR="00B62E04">
        <w:t xml:space="preserve"> (+108,5 mld. korun). Vládní sektor s</w:t>
      </w:r>
      <w:r w:rsidR="00F64042">
        <w:t>i</w:t>
      </w:r>
      <w:r w:rsidR="00B62E04">
        <w:t xml:space="preserve"> zřejmě </w:t>
      </w:r>
      <w:r w:rsidR="00F64042">
        <w:t xml:space="preserve">vypůjčoval více než byla jeho potřeba </w:t>
      </w:r>
      <w:r w:rsidR="004E6B0B">
        <w:t xml:space="preserve">financování </w:t>
      </w:r>
      <w:r w:rsidR="00F64042">
        <w:t xml:space="preserve">a následně prostředky převáděl do formy vkladů. </w:t>
      </w:r>
      <w:r>
        <w:t>Krátkodobé půjčky</w:t>
      </w:r>
      <w:r w:rsidR="00F64042">
        <w:t xml:space="preserve"> se zvýšily meziročně o 75,5 mld. korun a d</w:t>
      </w:r>
      <w:r>
        <w:t xml:space="preserve">louhodobé </w:t>
      </w:r>
      <w:r w:rsidR="00F64042">
        <w:t xml:space="preserve">klesly </w:t>
      </w:r>
      <w:r>
        <w:t xml:space="preserve">o </w:t>
      </w:r>
      <w:r w:rsidR="00F64042">
        <w:t>79,1</w:t>
      </w:r>
      <w:r>
        <w:t xml:space="preserve"> mld.</w:t>
      </w:r>
    </w:p>
    <w:p w14:paraId="7F1AAFC6" w14:textId="3B8BD56C" w:rsidR="00F50CEF" w:rsidRPr="0017281B" w:rsidRDefault="00F50CEF" w:rsidP="000302A6">
      <w:pPr>
        <w:pStyle w:val="Nadpis1"/>
        <w:spacing w:after="120"/>
      </w:pPr>
      <w:r w:rsidRPr="0017281B">
        <w:lastRenderedPageBreak/>
        <w:t>Domácnosti</w:t>
      </w:r>
    </w:p>
    <w:p w14:paraId="5DA54AF3" w14:textId="0F3FC235" w:rsidR="003D22F2" w:rsidRDefault="000E0DCE" w:rsidP="00BE206D">
      <w:pPr>
        <w:spacing w:after="120"/>
      </w:pPr>
      <w:r>
        <w:t xml:space="preserve">Hrubý disponibilní důchod (HDD) domácností </w:t>
      </w:r>
      <w:r w:rsidR="00011945">
        <w:t xml:space="preserve">se </w:t>
      </w:r>
      <w:r>
        <w:t>v</w:t>
      </w:r>
      <w:r w:rsidR="00011945">
        <w:t>e</w:t>
      </w:r>
      <w:r>
        <w:t> </w:t>
      </w:r>
      <w:r w:rsidR="00011945">
        <w:t>2</w:t>
      </w:r>
      <w:r>
        <w:t xml:space="preserve">. čtvrtletí 2022 </w:t>
      </w:r>
      <w:r w:rsidR="00011945">
        <w:t xml:space="preserve">meziročně zvýšil o 73,3 mld. korun (8,9 %) a </w:t>
      </w:r>
      <w:r>
        <w:t xml:space="preserve">dosáhl </w:t>
      </w:r>
      <w:r w:rsidR="00011945">
        <w:t>900,1</w:t>
      </w:r>
      <w:r>
        <w:t xml:space="preserve"> mld. </w:t>
      </w:r>
      <w:r w:rsidR="00011945">
        <w:t>Velmi silná n</w:t>
      </w:r>
      <w:r>
        <w:t xml:space="preserve">ominální dynamika HDD </w:t>
      </w:r>
      <w:r w:rsidR="00011945">
        <w:t xml:space="preserve">se udržovala. Přitom </w:t>
      </w:r>
      <w:r w:rsidR="002D5909">
        <w:t xml:space="preserve">ale podpůrný </w:t>
      </w:r>
      <w:r w:rsidR="00011945">
        <w:t>vliv nízké srovnávací základny patrný v předchozím kvartálu vymizel. Vysoký růst cenové hladiny ale vedl k tomu, že se HDD reálně meziročně propadl o 6,4 %</w:t>
      </w:r>
      <w:r w:rsidR="00011945" w:rsidRPr="0017281B">
        <w:rPr>
          <w:rStyle w:val="Znakapoznpodarou"/>
        </w:rPr>
        <w:footnoteReference w:id="9"/>
      </w:r>
      <w:r w:rsidR="00011945">
        <w:t xml:space="preserve">. To představovalo největší zaznamenané snížení. </w:t>
      </w:r>
      <w:r w:rsidR="001F01BB">
        <w:t>Podle s</w:t>
      </w:r>
      <w:r>
        <w:t>ezónně očištěný</w:t>
      </w:r>
      <w:r w:rsidR="001F01BB">
        <w:t xml:space="preserve">ch údajů se </w:t>
      </w:r>
      <w:r>
        <w:t xml:space="preserve">HDD </w:t>
      </w:r>
      <w:r w:rsidR="001F01BB">
        <w:t xml:space="preserve">dál </w:t>
      </w:r>
      <w:r>
        <w:t>mezičtvrtletně zv</w:t>
      </w:r>
      <w:r w:rsidR="001F01BB">
        <w:t>y</w:t>
      </w:r>
      <w:r>
        <w:t>š</w:t>
      </w:r>
      <w:r w:rsidR="001F01BB">
        <w:t>oval a vzrostl o</w:t>
      </w:r>
      <w:r>
        <w:t xml:space="preserve"> 2</w:t>
      </w:r>
      <w:r w:rsidR="001F01BB">
        <w:t>4,5</w:t>
      </w:r>
      <w:r>
        <w:t xml:space="preserve"> mld. korun (</w:t>
      </w:r>
      <w:r w:rsidR="001F01BB">
        <w:t>2,8</w:t>
      </w:r>
      <w:r>
        <w:t xml:space="preserve"> %), ale reálně došlo k propadu o </w:t>
      </w:r>
      <w:r w:rsidR="001F01BB">
        <w:t>2,3</w:t>
      </w:r>
      <w:r>
        <w:t xml:space="preserve"> %.</w:t>
      </w:r>
    </w:p>
    <w:p w14:paraId="0025DD12" w14:textId="77777777" w:rsidR="002022D4" w:rsidRDefault="00792107" w:rsidP="00BE206D">
      <w:pPr>
        <w:spacing w:after="120"/>
      </w:pPr>
      <w:r>
        <w:t xml:space="preserve">Mzdy a platy, které domácnosti ve 2. čtvrtletí obdržely, se meziročně zvýšily o 43,6 mld. korun (8,2 %) na 572,2 mld. Nominální dynamika mezd a platů tak oslabila, což v kombinaci s prudkým růstem cenové hladiny znamenalo reálný propad o 6,9 %. Sociální příspěvky zaměstnavatelů </w:t>
      </w:r>
      <w:r w:rsidR="008F4513">
        <w:t xml:space="preserve">rostly jen velmi mírně (+2,2 mld. korun, 1,3 %). </w:t>
      </w:r>
      <w:r w:rsidR="003D22F2">
        <w:t>Hrubý smíšený důchod</w:t>
      </w:r>
      <w:r w:rsidR="003D22F2" w:rsidRPr="003D22F2">
        <w:rPr>
          <w:rStyle w:val="Znakapoznpodarou"/>
        </w:rPr>
        <w:footnoteReference w:id="10"/>
      </w:r>
      <w:r w:rsidR="003D22F2">
        <w:t xml:space="preserve"> podnikatelů zařazených do sektoru domácností </w:t>
      </w:r>
      <w:r w:rsidR="008F4513">
        <w:t>byl ve 2.</w:t>
      </w:r>
      <w:r w:rsidR="003D22F2">
        <w:t> čtvrtletí 2022 meziročně v</w:t>
      </w:r>
      <w:r w:rsidR="008F4513">
        <w:t>yš</w:t>
      </w:r>
      <w:r w:rsidR="003D22F2">
        <w:t>š</w:t>
      </w:r>
      <w:r w:rsidR="008F4513">
        <w:t>í o 44,5</w:t>
      </w:r>
      <w:r w:rsidR="003D22F2">
        <w:t xml:space="preserve"> mld. korun</w:t>
      </w:r>
      <w:r w:rsidR="008F4513">
        <w:t xml:space="preserve"> a dosáhl 172,2 </w:t>
      </w:r>
      <w:r w:rsidR="003D22F2">
        <w:t xml:space="preserve">mld. </w:t>
      </w:r>
      <w:r w:rsidR="008F4513">
        <w:t>S</w:t>
      </w:r>
      <w:r w:rsidR="00DB7976">
        <w:t>iln</w:t>
      </w:r>
      <w:r w:rsidR="008F4513">
        <w:t>ému</w:t>
      </w:r>
      <w:r w:rsidR="00DB7976">
        <w:t xml:space="preserve"> </w:t>
      </w:r>
      <w:r w:rsidR="003D22F2">
        <w:t>přírůstk</w:t>
      </w:r>
      <w:r w:rsidR="008F4513">
        <w:t xml:space="preserve">u napomohla </w:t>
      </w:r>
      <w:r w:rsidR="003D22F2">
        <w:t>n</w:t>
      </w:r>
      <w:r w:rsidR="008F4513">
        <w:t>ižší</w:t>
      </w:r>
      <w:r w:rsidR="003D22F2">
        <w:t xml:space="preserve"> srovnávací základna i nárůst cenové hladiny.</w:t>
      </w:r>
      <w:r w:rsidR="00DB7976">
        <w:t xml:space="preserve"> </w:t>
      </w:r>
      <w:r w:rsidR="009A5C79" w:rsidRPr="003D22F2">
        <w:t>Mezičtvrtletně</w:t>
      </w:r>
      <w:r w:rsidR="005D7869" w:rsidRPr="003D22F2">
        <w:t xml:space="preserve"> byl</w:t>
      </w:r>
      <w:r w:rsidR="009A5C79" w:rsidRPr="003D22F2">
        <w:t xml:space="preserve"> hrubý smíšený důchod </w:t>
      </w:r>
      <w:r w:rsidR="005D7869" w:rsidRPr="003D22F2">
        <w:t xml:space="preserve">vyšší </w:t>
      </w:r>
      <w:r w:rsidR="001C4AB9" w:rsidRPr="003D22F2">
        <w:t>o </w:t>
      </w:r>
      <w:r w:rsidR="00DB7976">
        <w:t>1</w:t>
      </w:r>
      <w:r w:rsidR="008F4513">
        <w:t xml:space="preserve">1,1 </w:t>
      </w:r>
      <w:r w:rsidR="0032347E" w:rsidRPr="003D22F2">
        <w:t>mld</w:t>
      </w:r>
      <w:r w:rsidR="005D7869" w:rsidRPr="003D22F2">
        <w:t>. korun</w:t>
      </w:r>
      <w:r w:rsidR="009A5C79" w:rsidRPr="003D22F2">
        <w:t xml:space="preserve"> (sezónně očištěno).</w:t>
      </w:r>
      <w:r w:rsidR="00DB7976">
        <w:t xml:space="preserve"> </w:t>
      </w:r>
      <w:r w:rsidR="00434936" w:rsidRPr="003D22F2">
        <w:t>Hrubý provozní přebytek</w:t>
      </w:r>
      <w:r w:rsidR="00F12768" w:rsidRPr="003D22F2">
        <w:rPr>
          <w:rStyle w:val="Znakapoznpodarou"/>
        </w:rPr>
        <w:footnoteReference w:id="11"/>
      </w:r>
      <w:r w:rsidR="00434936" w:rsidRPr="003D22F2">
        <w:t xml:space="preserve"> </w:t>
      </w:r>
      <w:r w:rsidR="008F4513">
        <w:t xml:space="preserve">naopak meziročně stagnoval (+0,5 mld. korun) a </w:t>
      </w:r>
      <w:r w:rsidR="00434936" w:rsidRPr="003D22F2">
        <w:t xml:space="preserve">dosáhl </w:t>
      </w:r>
      <w:r w:rsidR="008F4513">
        <w:t>79,9</w:t>
      </w:r>
      <w:r w:rsidR="003D21DB" w:rsidRPr="003D22F2">
        <w:t> mld</w:t>
      </w:r>
      <w:r w:rsidR="00434936" w:rsidRPr="003D22F2">
        <w:t>.</w:t>
      </w:r>
      <w:r w:rsidR="002D3536">
        <w:t xml:space="preserve"> Jeho dynamika tak </w:t>
      </w:r>
      <w:r w:rsidR="008F4513">
        <w:t>zůstává</w:t>
      </w:r>
      <w:r w:rsidR="002D3536">
        <w:t xml:space="preserve"> utlumená. Mezičtvrtletně (sezónně očištěný) hrubý provozní přebytek mírně klesl.</w:t>
      </w:r>
    </w:p>
    <w:p w14:paraId="26D2E5BB" w14:textId="6FBA9C40" w:rsidR="00542C59" w:rsidRDefault="00490592" w:rsidP="00BE206D">
      <w:pPr>
        <w:spacing w:after="120"/>
      </w:pPr>
      <w:r>
        <w:t>Saldo důchodů z vlastnictví se meziročně zlepšilo o 1,7 mld. korun na 42,3 mld. Úroveň kladného salda je vyšší také ve srovnání se stejným obdobím všech let v dostupné časové řadě. Výrazně k tomu přispěl hlavně růst objemu přijatých úroků o 10,0 mld. korun. Vyšší byly i</w:t>
      </w:r>
      <w:r w:rsidR="00B3323F">
        <w:t> </w:t>
      </w:r>
      <w:r>
        <w:t>obdržené rozdělované důchody společností (+4,4 mld. korun). Naopak se o 8,4 mld. propadly reinvestované zisky z přímých zahraničních investic. C</w:t>
      </w:r>
      <w:r w:rsidR="00542C59">
        <w:t xml:space="preserve">elkové přijaté důchody z vlastnictví </w:t>
      </w:r>
      <w:r>
        <w:t>ta</w:t>
      </w:r>
      <w:r w:rsidR="00B3323F">
        <w:t>k</w:t>
      </w:r>
      <w:r>
        <w:t xml:space="preserve"> meziročně vzrostly o 6,7 </w:t>
      </w:r>
      <w:r w:rsidR="00542C59">
        <w:t>mld</w:t>
      </w:r>
      <w:r>
        <w:t>. korun</w:t>
      </w:r>
      <w:r w:rsidR="00542C59">
        <w:t xml:space="preserve">. Naopak důchody z vlastnictví, které domácnosti musely platit, byly meziročně vyšší o </w:t>
      </w:r>
      <w:r w:rsidR="00046AB2">
        <w:t>5,0</w:t>
      </w:r>
      <w:r w:rsidR="00542C59">
        <w:t xml:space="preserve"> mld. korun, především pod vlivem rostoucích úroků</w:t>
      </w:r>
      <w:r w:rsidR="00046AB2">
        <w:t xml:space="preserve"> (+4,9 mld.)</w:t>
      </w:r>
      <w:r w:rsidR="00542C59">
        <w:t>.</w:t>
      </w:r>
    </w:p>
    <w:p w14:paraId="285A8C51" w14:textId="6B1DC905" w:rsidR="00351213" w:rsidRDefault="00B47E07" w:rsidP="007D5951">
      <w:pPr>
        <w:spacing w:after="120"/>
      </w:pPr>
      <w:r>
        <w:t>Saldo sociálních důchodů dosáhlo 119,6 mld. korun. To představovalo meziroční pokles o</w:t>
      </w:r>
      <w:r w:rsidR="00B3323F">
        <w:t> </w:t>
      </w:r>
      <w:r>
        <w:t>2,2 mld. korun.</w:t>
      </w:r>
      <w:r w:rsidR="00B24A8E">
        <w:t xml:space="preserve"> Výše kladného salda ale byla nadále vysoko nad úrovní stejného období </w:t>
      </w:r>
      <w:proofErr w:type="spellStart"/>
      <w:r w:rsidR="00D9137B">
        <w:t>předcovidových</w:t>
      </w:r>
      <w:proofErr w:type="spellEnd"/>
      <w:r w:rsidR="00B24A8E">
        <w:t xml:space="preserve"> let</w:t>
      </w:r>
      <w:r w:rsidR="00B24A8E" w:rsidRPr="00542C59">
        <w:rPr>
          <w:rStyle w:val="Znakapoznpodarou"/>
        </w:rPr>
        <w:footnoteReference w:id="12"/>
      </w:r>
      <w:r w:rsidR="00B24A8E">
        <w:t>.</w:t>
      </w:r>
      <w:r w:rsidR="00D9137B">
        <w:t xml:space="preserve"> Sociální dávky, které domácnosti obdržely, se meziročně zvýšily o 10,1 mld. korun na 243,5 mld. </w:t>
      </w:r>
      <w:r w:rsidR="002D5909">
        <w:t xml:space="preserve">Domácnosti </w:t>
      </w:r>
      <w:r w:rsidR="00B21CE7">
        <w:t>zároveň</w:t>
      </w:r>
      <w:r w:rsidR="002D5909">
        <w:t xml:space="preserve"> odvedly</w:t>
      </w:r>
      <w:r w:rsidR="00B21CE7">
        <w:t xml:space="preserve"> 123,9 mld. korun ve formě sociálních příspěvků (+12,3</w:t>
      </w:r>
      <w:r w:rsidR="00B3323F">
        <w:t> </w:t>
      </w:r>
      <w:r w:rsidR="00B21CE7">
        <w:t>mld.). Saldo ostatních transferů se zvýšilo o 6,3 mld. korun na 7,2 mld.</w:t>
      </w:r>
      <w:r w:rsidR="002A6BB7">
        <w:t xml:space="preserve"> </w:t>
      </w:r>
      <w:r w:rsidR="003538FB">
        <w:t>Domácnosti ve 2.</w:t>
      </w:r>
      <w:r w:rsidR="00B3323F">
        <w:t> </w:t>
      </w:r>
      <w:r w:rsidR="003538FB">
        <w:t>čtvrtletí odvedly 93,2 mld. korun jako běžné daně z důchodů a jmění, což bylo meziročně o</w:t>
      </w:r>
      <w:r w:rsidR="00B3323F">
        <w:t> </w:t>
      </w:r>
      <w:r w:rsidR="003538FB">
        <w:t>21,0</w:t>
      </w:r>
      <w:r w:rsidR="00B3323F">
        <w:t> </w:t>
      </w:r>
      <w:r w:rsidR="003538FB">
        <w:t>mld. více. Přispěl k tomu růst zaměstnanosti i nominální navýšení mezd. Vyšší byly i</w:t>
      </w:r>
      <w:r w:rsidR="00B3323F">
        <w:t> </w:t>
      </w:r>
      <w:r w:rsidR="003538FB">
        <w:t xml:space="preserve">výnosy z rostoucích úroků. To znamenalo návrat objemu placených běžných daní k úrovni těsně před zrušením </w:t>
      </w:r>
      <w:proofErr w:type="spellStart"/>
      <w:r w:rsidR="003538FB">
        <w:t>superhrubé</w:t>
      </w:r>
      <w:proofErr w:type="spellEnd"/>
      <w:r w:rsidR="003538FB">
        <w:t xml:space="preserve"> mzdy.</w:t>
      </w:r>
    </w:p>
    <w:p w14:paraId="51E5B3A0" w14:textId="6D347EFC" w:rsidR="00441887" w:rsidRDefault="00351213" w:rsidP="007D5951">
      <w:pPr>
        <w:spacing w:after="120"/>
      </w:pPr>
      <w:r>
        <w:t xml:space="preserve">Spotřeba domácností dál masivně nominálně rostla a ve 2. čtvrtletí dosáhla 793,7 mld. korun. Nominální meziroční přírůstek ve výši 111,1 mld. korun (16,3 %) byl ale zcela pokryt nárůstem cenové hladiny, takže reálně spotřeba stagnovala. Vliv srovnávací základny růst spotřeby spíše </w:t>
      </w:r>
      <w:r>
        <w:lastRenderedPageBreak/>
        <w:t>brzdil. Do 2. čtvrtletí zasahovala ještě omezení maloobchodu</w:t>
      </w:r>
      <w:r w:rsidRPr="00541343">
        <w:rPr>
          <w:rStyle w:val="Znakapoznpodarou"/>
        </w:rPr>
        <w:footnoteReference w:id="13"/>
      </w:r>
      <w:r>
        <w:t>, na druhé straně ale bylo úplné otevření prodejen spojeno s masivním nárůstem tržeb, do kterých se promítala odložená spotřeba domácností.</w:t>
      </w:r>
      <w:r w:rsidR="003919D3">
        <w:t xml:space="preserve"> Podle s</w:t>
      </w:r>
      <w:r w:rsidR="00DA7747">
        <w:t>ezónně očištěn</w:t>
      </w:r>
      <w:r w:rsidR="003919D3">
        <w:t>ých</w:t>
      </w:r>
      <w:r w:rsidR="00DA7747">
        <w:t xml:space="preserve"> údaj</w:t>
      </w:r>
      <w:r w:rsidR="003919D3">
        <w:t>ů</w:t>
      </w:r>
      <w:r w:rsidR="00DA7747">
        <w:t xml:space="preserve"> </w:t>
      </w:r>
      <w:r w:rsidR="003919D3">
        <w:t xml:space="preserve">spotřeba domácností </w:t>
      </w:r>
      <w:r w:rsidR="00DA7747">
        <w:t>mezičtvrtletn</w:t>
      </w:r>
      <w:r w:rsidR="003919D3">
        <w:t>ě narostla o 38,1 mld. korun (5,0 %). Reá</w:t>
      </w:r>
      <w:r w:rsidR="0092310A">
        <w:t>lně</w:t>
      </w:r>
      <w:r w:rsidR="00BE560B">
        <w:t xml:space="preserve"> ale</w:t>
      </w:r>
      <w:r w:rsidR="0092310A">
        <w:t xml:space="preserve"> klesla o </w:t>
      </w:r>
      <w:r w:rsidR="003919D3">
        <w:t>0,1</w:t>
      </w:r>
      <w:r w:rsidR="0092310A">
        <w:t xml:space="preserve"> %.</w:t>
      </w:r>
      <w:r w:rsidR="003071C4">
        <w:t xml:space="preserve"> Hodnota statků a služeb, které domácnosti spotřebovaly jako naturální sociální transfery</w:t>
      </w:r>
      <w:r w:rsidR="00BE560B">
        <w:t>,</w:t>
      </w:r>
      <w:r w:rsidR="003071C4">
        <w:t xml:space="preserve"> se v</w:t>
      </w:r>
      <w:r w:rsidR="003919D3">
        <w:t>e</w:t>
      </w:r>
      <w:r w:rsidR="003071C4">
        <w:t> </w:t>
      </w:r>
      <w:r w:rsidR="003919D3">
        <w:t>2</w:t>
      </w:r>
      <w:r w:rsidR="003071C4">
        <w:t>. čtvrtletí meziročně zvýšila o</w:t>
      </w:r>
      <w:r w:rsidR="003A580D">
        <w:t> </w:t>
      </w:r>
      <w:r w:rsidR="003919D3">
        <w:t>7,7</w:t>
      </w:r>
      <w:r w:rsidR="003071C4">
        <w:t xml:space="preserve"> mld. korun na </w:t>
      </w:r>
      <w:r w:rsidR="003919D3">
        <w:t xml:space="preserve">205,1 </w:t>
      </w:r>
      <w:r w:rsidR="003071C4">
        <w:t>mld.</w:t>
      </w:r>
    </w:p>
    <w:p w14:paraId="73C4DC2D" w14:textId="71BD548A" w:rsidR="00E26E5D" w:rsidRDefault="00CF22AA" w:rsidP="007D5951">
      <w:pPr>
        <w:spacing w:after="120"/>
      </w:pPr>
      <w:r>
        <w:t>Výsledná úroveň hrubých úspor domácností</w:t>
      </w:r>
      <w:r w:rsidRPr="00E26E5D">
        <w:rPr>
          <w:rStyle w:val="Znakapoznpodarou"/>
        </w:rPr>
        <w:footnoteReference w:id="14"/>
      </w:r>
      <w:r>
        <w:t xml:space="preserve"> ve 2. čtvrtletí dosáhla 113,2 mld. korun. </w:t>
      </w:r>
      <w:r w:rsidR="00A46B64">
        <w:t xml:space="preserve">To je meziročně o 38,6 mld. </w:t>
      </w:r>
      <w:r w:rsidR="003B01DC">
        <w:t xml:space="preserve">korun </w:t>
      </w:r>
      <w:r w:rsidR="00A46B64">
        <w:t>méně. Ukazatel stále převyšoval úroveň stejného období předpandemických let</w:t>
      </w:r>
      <w:r w:rsidR="00A46B64">
        <w:rPr>
          <w:rStyle w:val="Znakapoznpodarou"/>
        </w:rPr>
        <w:footnoteReference w:id="15"/>
      </w:r>
      <w:r w:rsidR="00A46B64">
        <w:t>, ale podle sezónně očištěných dat klesly hrubé úspory mezičtvrtletně o</w:t>
      </w:r>
      <w:r w:rsidR="00B3323F">
        <w:t> </w:t>
      </w:r>
      <w:r w:rsidR="00A46B64">
        <w:t>13,6 mld. korun a přiblížily se hodnot</w:t>
      </w:r>
      <w:r w:rsidR="003B01DC">
        <w:t>ě</w:t>
      </w:r>
      <w:r w:rsidR="00A46B64">
        <w:t>, kter</w:t>
      </w:r>
      <w:r w:rsidR="003B01DC">
        <w:t>ou</w:t>
      </w:r>
      <w:r w:rsidR="00A46B64">
        <w:t xml:space="preserve"> měly na konci roku 2019.</w:t>
      </w:r>
      <w:r w:rsidR="00E26E5D">
        <w:t xml:space="preserve"> </w:t>
      </w:r>
      <w:r w:rsidR="00A46B64">
        <w:t>M</w:t>
      </w:r>
      <w:r w:rsidR="00E26E5D">
        <w:t>íra úspor</w:t>
      </w:r>
      <w:r w:rsidR="00E26E5D" w:rsidRPr="00E26E5D">
        <w:rPr>
          <w:rStyle w:val="Znakapoznpodarou"/>
        </w:rPr>
        <w:footnoteReference w:id="16"/>
      </w:r>
      <w:r w:rsidR="00A46B64">
        <w:t xml:space="preserve"> </w:t>
      </w:r>
      <w:r w:rsidR="00E26E5D">
        <w:t xml:space="preserve">se mezičtvrtletně snížila o </w:t>
      </w:r>
      <w:r w:rsidR="00A46B64">
        <w:t>1,9</w:t>
      </w:r>
      <w:r w:rsidR="00E26E5D">
        <w:t xml:space="preserve"> p. b. na 1</w:t>
      </w:r>
      <w:r w:rsidR="00A46B64">
        <w:t>3,8</w:t>
      </w:r>
      <w:r w:rsidR="00E26E5D">
        <w:t xml:space="preserve"> % (sezónně očištěno). Meziročně byla míra úspor nižší o </w:t>
      </w:r>
      <w:r w:rsidR="00A46B64">
        <w:t>5,7</w:t>
      </w:r>
      <w:r w:rsidR="00E26E5D">
        <w:t xml:space="preserve"> p. b. (sezónně neočištěno).  </w:t>
      </w:r>
    </w:p>
    <w:p w14:paraId="2C1BEB6C" w14:textId="77777777" w:rsidR="00455E2F" w:rsidRPr="00DA7747" w:rsidRDefault="00455E2F" w:rsidP="00455E2F">
      <w:pPr>
        <w:pStyle w:val="TabulkaGraf"/>
      </w:pPr>
      <w:r w:rsidRPr="00DA7747">
        <w:t>Graf 5: Meziroční změna výdajů na tvorbu hrubého fixního kapitálu (mld. korun) a míra úspor a míra investic sektoru domácností (v %, sezónně očištěno)</w:t>
      </w:r>
    </w:p>
    <w:p w14:paraId="46235EEF" w14:textId="05BC225C" w:rsidR="00455E2F" w:rsidRPr="00DA7747" w:rsidRDefault="003D1524" w:rsidP="00455E2F">
      <w:pPr>
        <w:pStyle w:val="TabulkaGraf"/>
        <w:jc w:val="center"/>
        <w:rPr>
          <w:b w:val="0"/>
          <w:bCs w:val="0"/>
        </w:rPr>
      </w:pPr>
      <w:r>
        <w:rPr>
          <w:noProof/>
          <w:lang w:eastAsia="cs-CZ"/>
        </w:rPr>
        <w:drawing>
          <wp:inline distT="0" distB="0" distL="0" distR="0" wp14:anchorId="6A5D7E71" wp14:editId="646FE68E">
            <wp:extent cx="4734425" cy="2904425"/>
            <wp:effectExtent l="0" t="0" r="0" b="0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FDC25A" w14:textId="77777777" w:rsidR="00455E2F" w:rsidRPr="00DA7747" w:rsidRDefault="00455E2F" w:rsidP="00455E2F">
      <w:pPr>
        <w:spacing w:after="120"/>
      </w:pPr>
      <w:r w:rsidRPr="00DA7747">
        <w:t>Zdroj: ČSÚ, národní účty</w:t>
      </w:r>
    </w:p>
    <w:p w14:paraId="112AA82A" w14:textId="6DEE4BB0" w:rsidR="006E0314" w:rsidRDefault="002214D9" w:rsidP="002735F1">
      <w:pPr>
        <w:spacing w:after="240"/>
        <w:rPr>
          <w:rFonts w:eastAsia="Times New Roman"/>
          <w:b/>
          <w:bCs/>
          <w:szCs w:val="28"/>
        </w:rPr>
      </w:pPr>
      <w:r>
        <w:t>Kapitálové transfery, které domácnosti v</w:t>
      </w:r>
      <w:r w:rsidR="005521D0">
        <w:t>e</w:t>
      </w:r>
      <w:r>
        <w:t> </w:t>
      </w:r>
      <w:r w:rsidR="005521D0">
        <w:t>2</w:t>
      </w:r>
      <w:r>
        <w:t>. čtvrtletí obdržely,</w:t>
      </w:r>
      <w:r w:rsidR="00C4301F">
        <w:t xml:space="preserve"> byly meziročně </w:t>
      </w:r>
      <w:r w:rsidR="005521D0">
        <w:t>nižší</w:t>
      </w:r>
      <w:r w:rsidR="00C4301F">
        <w:t xml:space="preserve"> o </w:t>
      </w:r>
      <w:r w:rsidR="005521D0">
        <w:t>5,1</w:t>
      </w:r>
      <w:r w:rsidR="00C4301F">
        <w:t xml:space="preserve"> mld. korun a dosáhly </w:t>
      </w:r>
      <w:r w:rsidR="005521D0">
        <w:t>8,3</w:t>
      </w:r>
      <w:r w:rsidR="00C4301F">
        <w:t xml:space="preserve"> mld. </w:t>
      </w:r>
      <w:r w:rsidR="005521D0">
        <w:t>Do tohoto poklesu se promítala zejména absence kompenzačních bonusů, které byly loni podnikatelům zařazeným do sektoru domácností propláceny. Propad se tak týkal hlavně o</w:t>
      </w:r>
      <w:r w:rsidR="00C4301F">
        <w:t>statní</w:t>
      </w:r>
      <w:r w:rsidR="005521D0">
        <w:t>ch</w:t>
      </w:r>
      <w:r w:rsidR="00C4301F">
        <w:t xml:space="preserve"> kapitálov</w:t>
      </w:r>
      <w:r w:rsidR="005521D0">
        <w:t>ých</w:t>
      </w:r>
      <w:r w:rsidR="00C4301F">
        <w:t xml:space="preserve"> transfer</w:t>
      </w:r>
      <w:r w:rsidR="005521D0">
        <w:t>ů (</w:t>
      </w:r>
      <w:r w:rsidR="00B3323F">
        <w:t>−</w:t>
      </w:r>
      <w:r w:rsidR="005521D0">
        <w:t>5,8 mld. korun), které dosáhly 1,7 mld.</w:t>
      </w:r>
      <w:r w:rsidR="00C4301F">
        <w:t xml:space="preserve"> Investiční dotace se meziročně </w:t>
      </w:r>
      <w:r w:rsidR="005521D0">
        <w:t xml:space="preserve">zvýšily </w:t>
      </w:r>
      <w:r w:rsidR="00C4301F">
        <w:t>o 0,</w:t>
      </w:r>
      <w:r w:rsidR="005521D0">
        <w:t>7</w:t>
      </w:r>
      <w:r w:rsidR="00C4301F">
        <w:t xml:space="preserve"> mld. korun na </w:t>
      </w:r>
      <w:r w:rsidR="005521D0">
        <w:t>6,6</w:t>
      </w:r>
      <w:r w:rsidR="00C4301F">
        <w:t xml:space="preserve"> mld.</w:t>
      </w:r>
      <w:r w:rsidR="005521D0">
        <w:t xml:space="preserve"> To je mírně více než je </w:t>
      </w:r>
      <w:r w:rsidR="00C4301F">
        <w:t>obvykl</w:t>
      </w:r>
      <w:r w:rsidR="005521D0">
        <w:t>á</w:t>
      </w:r>
      <w:r w:rsidR="00C4301F">
        <w:t xml:space="preserve"> </w:t>
      </w:r>
      <w:r w:rsidR="00C4301F">
        <w:lastRenderedPageBreak/>
        <w:t>úrov</w:t>
      </w:r>
      <w:r w:rsidR="005521D0">
        <w:t>eň</w:t>
      </w:r>
      <w:r w:rsidR="00C4301F">
        <w:t xml:space="preserve"> v 1. čtvrtletí.</w:t>
      </w:r>
      <w:r w:rsidR="002735F1">
        <w:t xml:space="preserve"> </w:t>
      </w:r>
      <w:r w:rsidR="003D5B03">
        <w:t xml:space="preserve">Investiční aktivita domácností </w:t>
      </w:r>
      <w:r w:rsidR="005521D0">
        <w:t xml:space="preserve">dál </w:t>
      </w:r>
      <w:r w:rsidR="003D5B03">
        <w:t>značně pos</w:t>
      </w:r>
      <w:r w:rsidR="005521D0">
        <w:t>ilovala</w:t>
      </w:r>
      <w:r w:rsidR="003D5B03">
        <w:t>. Výdaje na tvorbu hrubého fixního kapitálu</w:t>
      </w:r>
      <w:r w:rsidR="00C4301F">
        <w:t xml:space="preserve"> domácností se meziročně zvýšily o </w:t>
      </w:r>
      <w:r w:rsidR="005521D0">
        <w:t>16,2</w:t>
      </w:r>
      <w:r w:rsidR="00C4301F">
        <w:t xml:space="preserve"> mld. korun na </w:t>
      </w:r>
      <w:r w:rsidR="005521D0">
        <w:t>90,9</w:t>
      </w:r>
      <w:r w:rsidR="00C4301F">
        <w:t xml:space="preserve"> mld. Mezičtvrtletně se investice domácností zvýšily o </w:t>
      </w:r>
      <w:r w:rsidR="005521D0">
        <w:t>4,4</w:t>
      </w:r>
      <w:r w:rsidR="00C4301F">
        <w:t xml:space="preserve"> mld. korun (sezónně očištěno).</w:t>
      </w:r>
      <w:r w:rsidR="003D5B03">
        <w:t xml:space="preserve"> </w:t>
      </w:r>
      <w:r w:rsidR="00B26C4E" w:rsidRPr="00C4301F">
        <w:t>Výsledná míra investic</w:t>
      </w:r>
      <w:r w:rsidR="00B26C4E" w:rsidRPr="00C4301F">
        <w:rPr>
          <w:rStyle w:val="Znakapoznpodarou"/>
        </w:rPr>
        <w:footnoteReference w:id="17"/>
      </w:r>
      <w:r w:rsidR="00B26C4E" w:rsidRPr="00C4301F">
        <w:t xml:space="preserve"> (sezónně očištěná) mezičtvrtletně vzrostla o 0,</w:t>
      </w:r>
      <w:r w:rsidR="005521D0">
        <w:t>2</w:t>
      </w:r>
      <w:r w:rsidR="00B26C4E" w:rsidRPr="00C4301F">
        <w:t xml:space="preserve"> p. b. </w:t>
      </w:r>
      <w:proofErr w:type="gramStart"/>
      <w:r w:rsidR="00B26C4E" w:rsidRPr="00C4301F">
        <w:t>na</w:t>
      </w:r>
      <w:proofErr w:type="gramEnd"/>
      <w:r w:rsidR="00B26C4E" w:rsidRPr="00C4301F">
        <w:t xml:space="preserve"> 10,</w:t>
      </w:r>
      <w:r w:rsidR="005521D0">
        <w:t>2</w:t>
      </w:r>
      <w:r w:rsidR="00B26C4E" w:rsidRPr="00C4301F">
        <w:t> % (</w:t>
      </w:r>
      <w:r w:rsidR="005521D0">
        <w:t xml:space="preserve">takto vysoká byla míra investic naposledy v </w:t>
      </w:r>
      <w:r w:rsidR="00B26C4E" w:rsidRPr="00C4301F">
        <w:t>1.</w:t>
      </w:r>
      <w:r w:rsidR="0032347E" w:rsidRPr="00C4301F">
        <w:t> čtvrtlet</w:t>
      </w:r>
      <w:r w:rsidR="00B26C4E" w:rsidRPr="00C4301F">
        <w:t>í 2011). Meziročně se (neočištěná) míra investic zvýšila o 1,</w:t>
      </w:r>
      <w:r w:rsidR="00F27EFE">
        <w:t>0</w:t>
      </w:r>
      <w:r w:rsidR="00B26C4E" w:rsidRPr="00C4301F">
        <w:t> p. b.</w:t>
      </w:r>
    </w:p>
    <w:p w14:paraId="71BB4AD3" w14:textId="5326C399" w:rsidR="00F50CEF" w:rsidRPr="004D5280" w:rsidRDefault="00F50CEF" w:rsidP="000302A6">
      <w:pPr>
        <w:pStyle w:val="Nadpis1"/>
        <w:spacing w:after="120"/>
      </w:pPr>
      <w:r w:rsidRPr="004D5280">
        <w:t>Finanční vztahy s</w:t>
      </w:r>
      <w:r w:rsidR="000D19F9" w:rsidRPr="004D5280">
        <w:t> </w:t>
      </w:r>
      <w:r w:rsidRPr="004D5280">
        <w:t>nerezidenty</w:t>
      </w:r>
    </w:p>
    <w:p w14:paraId="2986446C" w14:textId="1319EE7A" w:rsidR="005A443A" w:rsidRDefault="00280276" w:rsidP="00060DD8">
      <w:pPr>
        <w:spacing w:after="120"/>
      </w:pPr>
      <w:r>
        <w:t xml:space="preserve">Hodnota vývozu zboží a služeb ve 2. čtvrtletí meziročně vzrostla o 141,0 mld. korun na 1 293,7 mld. Ve stejném období ale dovoz rostl o 217,3 mld. korun a dosáhl 1 297,2 mld. Na obou stranách zahraničního obchodu byl růst ovlivněn zvýšenou cenovou hladinou. Zejména dovoz ale měl impuls v podobě </w:t>
      </w:r>
      <w:r w:rsidR="003A3C37">
        <w:t xml:space="preserve">prudkého růstu cen surovin – ropy, zemního plynu, apod. </w:t>
      </w:r>
      <w:r>
        <w:t>To znamenalo propad bilance zahraničního obchodu se zbožím a službami do deficitu 3,6 mld. korun</w:t>
      </w:r>
      <w:r w:rsidR="003A3C37">
        <w:t>, což byl nejhorší výsledek v rámci 2. kvartálu od roku 2003</w:t>
      </w:r>
      <w:r>
        <w:t>. Bilance se zhoršila o 76,4 mld. korun.</w:t>
      </w:r>
    </w:p>
    <w:p w14:paraId="39F72BF1" w14:textId="4B604125" w:rsidR="003609A7" w:rsidRDefault="00375A0D" w:rsidP="00060DD8">
      <w:pPr>
        <w:spacing w:after="120"/>
      </w:pPr>
      <w:r>
        <w:t>Ve formě důchodů z vlastnictví si nerezidenti</w:t>
      </w:r>
      <w:r w:rsidRPr="002A54F5">
        <w:rPr>
          <w:rStyle w:val="Znakapoznpodarou"/>
        </w:rPr>
        <w:footnoteReference w:id="18"/>
      </w:r>
      <w:r>
        <w:t xml:space="preserve"> připsali 142,1 mld. korun, což bylo meziročně o</w:t>
      </w:r>
      <w:r w:rsidR="00B3323F">
        <w:t> </w:t>
      </w:r>
      <w:r>
        <w:t>7,5</w:t>
      </w:r>
      <w:r w:rsidR="00B3323F">
        <w:t> </w:t>
      </w:r>
      <w:r>
        <w:t>mld. více. Nárůst podpořily hlavně rozdělované důchody společností (+12,3 mld. korun) a</w:t>
      </w:r>
      <w:r w:rsidR="00B3323F">
        <w:t> </w:t>
      </w:r>
      <w:r>
        <w:t>úroky (+9,2 mld.). Navzdory růstu ale objem rozdělovaných důchodů společností značně zaostával za úrovní, kterou míval ve stejném období před rokem 2020</w:t>
      </w:r>
      <w:r>
        <w:rPr>
          <w:rStyle w:val="Znakapoznpodarou"/>
        </w:rPr>
        <w:footnoteReference w:id="19"/>
      </w:r>
      <w:r>
        <w:t>. Naopak meziročně klesly reinvestované zisky z přímých zahraničních investic (</w:t>
      </w:r>
      <w:r w:rsidR="00B3323F">
        <w:t>−</w:t>
      </w:r>
      <w:r>
        <w:t xml:space="preserve">14,0 mld. korun). </w:t>
      </w:r>
      <w:r w:rsidR="002A54F5">
        <w:t xml:space="preserve">Důchody z vlastnictví, které náležely domácím investorům v zahraničí, </w:t>
      </w:r>
      <w:r>
        <w:t xml:space="preserve">byly </w:t>
      </w:r>
      <w:r w:rsidR="002A54F5">
        <w:t xml:space="preserve">meziročně </w:t>
      </w:r>
      <w:r>
        <w:t>vyšší o 7,5</w:t>
      </w:r>
      <w:r w:rsidR="002A54F5">
        <w:t xml:space="preserve"> mld. korun</w:t>
      </w:r>
      <w:r>
        <w:t xml:space="preserve"> a dostaly se na 52,2</w:t>
      </w:r>
      <w:r w:rsidR="003609A7">
        <w:t xml:space="preserve"> mld.</w:t>
      </w:r>
      <w:r w:rsidR="00B20DE0">
        <w:t xml:space="preserve"> </w:t>
      </w:r>
      <w:r w:rsidR="008518E7">
        <w:t>Rostly zejména přijaté úroky (+5,6 mld. korun)</w:t>
      </w:r>
      <w:r w:rsidR="003B01DC">
        <w:t>.</w:t>
      </w:r>
      <w:r w:rsidR="008518E7">
        <w:t xml:space="preserve"> </w:t>
      </w:r>
      <w:r w:rsidR="003B01DC">
        <w:t xml:space="preserve">Menší přírůstek měly </w:t>
      </w:r>
      <w:r w:rsidR="008518E7">
        <w:t>rozdělované důchody společností (+3,0 mld.), které byly podobně jako na straně nerezidentů nižší než ve stejném období let 2019 a 2018. R</w:t>
      </w:r>
      <w:r w:rsidR="00B20DE0">
        <w:t>einvestované zisky</w:t>
      </w:r>
      <w:r w:rsidR="008518E7">
        <w:t xml:space="preserve"> klesly o 1,2 mld. korun</w:t>
      </w:r>
      <w:r w:rsidR="00B20DE0">
        <w:t xml:space="preserve">. </w:t>
      </w:r>
      <w:r w:rsidR="002A2E87" w:rsidRPr="002A54F5">
        <w:t xml:space="preserve">Čistý odliv </w:t>
      </w:r>
      <w:r w:rsidR="007640A3" w:rsidRPr="002A54F5">
        <w:t>důchodů z vlastnictví do zahraničí v</w:t>
      </w:r>
      <w:r w:rsidR="008518E7">
        <w:t>e</w:t>
      </w:r>
      <w:r w:rsidR="00131E21" w:rsidRPr="002A54F5">
        <w:t xml:space="preserve"> </w:t>
      </w:r>
      <w:r w:rsidR="008518E7">
        <w:t>2</w:t>
      </w:r>
      <w:r w:rsidR="007640A3" w:rsidRPr="002A54F5">
        <w:t>.</w:t>
      </w:r>
      <w:r w:rsidR="00B13907" w:rsidRPr="002A54F5">
        <w:t> čtvrtlet</w:t>
      </w:r>
      <w:r w:rsidR="007640A3" w:rsidRPr="002A54F5">
        <w:t>í 202</w:t>
      </w:r>
      <w:r w:rsidR="003609A7">
        <w:t>2</w:t>
      </w:r>
      <w:r w:rsidR="007640A3" w:rsidRPr="002A54F5">
        <w:t xml:space="preserve"> </w:t>
      </w:r>
      <w:r w:rsidR="008518E7">
        <w:t>dosáhl 89,9 mld. korun, což bylo stejně jako loni.</w:t>
      </w:r>
    </w:p>
    <w:p w14:paraId="0E629EF6" w14:textId="5A65A019" w:rsidR="00C7585A" w:rsidRDefault="00E369AB" w:rsidP="007909AA">
      <w:pPr>
        <w:spacing w:after="120"/>
      </w:pPr>
      <w:r>
        <w:t>D</w:t>
      </w:r>
      <w:r w:rsidR="00717614">
        <w:t>omácí ekonomi</w:t>
      </w:r>
      <w:r>
        <w:t>ce</w:t>
      </w:r>
      <w:r w:rsidR="00717614">
        <w:t xml:space="preserve"> v</w:t>
      </w:r>
      <w:r>
        <w:t>e</w:t>
      </w:r>
      <w:r w:rsidR="00717614">
        <w:t> </w:t>
      </w:r>
      <w:r>
        <w:t>2</w:t>
      </w:r>
      <w:r w:rsidR="00717614">
        <w:t>. čtvrtletí</w:t>
      </w:r>
      <w:r>
        <w:t xml:space="preserve"> náleželo 17,9 mld. korun jako náhrady zaměstnancům</w:t>
      </w:r>
      <w:r w:rsidR="00C54EDD">
        <w:t>. Meziročně tedy náhrady stagnovaly. Naopak do zahraničí bylo vyplaceno ve formě náhrad 17,0</w:t>
      </w:r>
      <w:r w:rsidR="00B3323F">
        <w:t> </w:t>
      </w:r>
      <w:r w:rsidR="00C54EDD">
        <w:t xml:space="preserve">mld. korun, tedy o 1,3 mld. více. Výsledné saldo se snížilo o 1,3 mld. korun na 0,9 mld. </w:t>
      </w:r>
      <w:r w:rsidR="003F2A47">
        <w:t xml:space="preserve">Daně z výroby a dovozu zaplacené do zahraničí meziročně </w:t>
      </w:r>
      <w:r w:rsidR="008C27B1">
        <w:t>vzrostly</w:t>
      </w:r>
      <w:r w:rsidR="003F2A47">
        <w:t xml:space="preserve"> o 0,</w:t>
      </w:r>
      <w:r w:rsidR="00C54EDD">
        <w:t>2</w:t>
      </w:r>
      <w:r w:rsidR="003F2A47">
        <w:t xml:space="preserve"> mld. korun na 2,</w:t>
      </w:r>
      <w:r w:rsidR="00C54EDD">
        <w:t>7</w:t>
      </w:r>
      <w:r w:rsidR="003F2A47">
        <w:t xml:space="preserve"> mld. </w:t>
      </w:r>
      <w:r w:rsidR="00C54EDD">
        <w:t>Dotace ze zahraničí klesly o 0,9 mld. korun na 4,3 mld.</w:t>
      </w:r>
      <w:r w:rsidR="00515E8A">
        <w:t xml:space="preserve"> </w:t>
      </w:r>
      <w:r w:rsidR="00C54EDD">
        <w:t>Deficit s</w:t>
      </w:r>
      <w:r w:rsidR="00F77F8B" w:rsidRPr="00F414CB">
        <w:t>ald</w:t>
      </w:r>
      <w:r w:rsidR="00C54EDD">
        <w:t>a</w:t>
      </w:r>
      <w:r w:rsidR="00F77F8B" w:rsidRPr="00F414CB">
        <w:t xml:space="preserve"> prvotních důchodů</w:t>
      </w:r>
      <w:r w:rsidR="00C17B2C" w:rsidRPr="00F414CB">
        <w:t xml:space="preserve"> </w:t>
      </w:r>
      <w:r w:rsidR="00C54EDD">
        <w:t>se meziročně mírně prohloubil o 0,7 mld. korun na 87,4</w:t>
      </w:r>
      <w:r w:rsidR="0032347E" w:rsidRPr="00F414CB">
        <w:t> mld</w:t>
      </w:r>
      <w:r w:rsidR="00D87206" w:rsidRPr="00F414CB">
        <w:t>.</w:t>
      </w:r>
    </w:p>
    <w:p w14:paraId="253FD1A8" w14:textId="4C050148" w:rsidR="00920317" w:rsidRDefault="00C7585A" w:rsidP="007909AA">
      <w:pPr>
        <w:spacing w:after="120"/>
      </w:pPr>
      <w:r>
        <w:t>Deficit salda druhotných důchodů se</w:t>
      </w:r>
      <w:r w:rsidR="009A1871">
        <w:t xml:space="preserve"> ve 2. čtvrtletí</w:t>
      </w:r>
      <w:r>
        <w:t xml:space="preserve"> meziročně </w:t>
      </w:r>
      <w:r w:rsidR="009A1871">
        <w:t>prohloubil o 5,2 mld. korun na 18,5</w:t>
      </w:r>
      <w:r w:rsidR="00B3323F">
        <w:t> </w:t>
      </w:r>
      <w:r w:rsidR="009A1871">
        <w:t>mld. Výsledné s</w:t>
      </w:r>
      <w:r w:rsidR="00920317">
        <w:t>aldo běžných transakcí domácí ekonomiky se zahraničím</w:t>
      </w:r>
      <w:r w:rsidR="009A1871">
        <w:t xml:space="preserve"> se meziročně zhoršilo o 82,2 mld. korun</w:t>
      </w:r>
      <w:r w:rsidR="00920317">
        <w:t xml:space="preserve"> </w:t>
      </w:r>
      <w:r w:rsidR="009A1871">
        <w:t xml:space="preserve">a </w:t>
      </w:r>
      <w:r w:rsidR="00920317">
        <w:t xml:space="preserve">skončilo v deficitu </w:t>
      </w:r>
      <w:r w:rsidR="009A1871">
        <w:t>109,5</w:t>
      </w:r>
      <w:r w:rsidR="00920317">
        <w:t xml:space="preserve"> mld.</w:t>
      </w:r>
      <w:r w:rsidR="009A1871">
        <w:t xml:space="preserve"> To je nejhlubší zaznamenaný deficit.</w:t>
      </w:r>
      <w:r w:rsidR="00920317">
        <w:t xml:space="preserve"> </w:t>
      </w:r>
      <w:r w:rsidR="009A1871">
        <w:t>Podobně jako v předchozích čtvrtletí</w:t>
      </w:r>
      <w:r w:rsidR="00045F4E">
        <w:t>ch</w:t>
      </w:r>
      <w:r w:rsidR="009A1871">
        <w:t xml:space="preserve"> byl důvodem prudkého zhoršení nepříznivý vývoj </w:t>
      </w:r>
      <w:r w:rsidR="00920317">
        <w:t>bilance zahraničního obchodu.</w:t>
      </w:r>
    </w:p>
    <w:p w14:paraId="4507D59E" w14:textId="642BFA1F" w:rsidR="00C43DB8" w:rsidRDefault="00920317" w:rsidP="00C43DB8">
      <w:pPr>
        <w:spacing w:after="240"/>
      </w:pPr>
      <w:r>
        <w:t xml:space="preserve">Domácí ekonomika si připsala </w:t>
      </w:r>
      <w:r w:rsidR="00C87B18">
        <w:t>21,3</w:t>
      </w:r>
      <w:r>
        <w:t xml:space="preserve"> mld. korun ve formě kapitálových transferů. Meziročně se kapitálové transfery snížily o </w:t>
      </w:r>
      <w:r w:rsidR="00C87B18">
        <w:t>1,8</w:t>
      </w:r>
      <w:r>
        <w:t xml:space="preserve"> mld. korun. Investiční dotace z toho tvořily </w:t>
      </w:r>
      <w:r w:rsidR="00C87B18">
        <w:t>19,3</w:t>
      </w:r>
      <w:r>
        <w:t xml:space="preserve"> mld. korun </w:t>
      </w:r>
      <w:r>
        <w:lastRenderedPageBreak/>
        <w:t>a</w:t>
      </w:r>
      <w:r w:rsidR="00B3323F">
        <w:t> </w:t>
      </w:r>
      <w:r>
        <w:t>klesly o 2,5 mld.</w:t>
      </w:r>
      <w:r w:rsidR="00AF2358">
        <w:t xml:space="preserve"> </w:t>
      </w:r>
      <w:r w:rsidR="00C87B18">
        <w:t>Zatímco v 1. čtvrtletí byly ka</w:t>
      </w:r>
      <w:r w:rsidR="00AF2358">
        <w:t>pitálové transfery vyplacené do zahraničí</w:t>
      </w:r>
      <w:r w:rsidR="00C87B18">
        <w:t xml:space="preserve"> netypicky vysoké, ve 2. kvartálu dosáhly 0,8 mld. korun a meziročně klesly o 2,3 mld.</w:t>
      </w:r>
      <w:r w:rsidR="00484F22">
        <w:t xml:space="preserve"> </w:t>
      </w:r>
      <w:r w:rsidR="00FD6D15" w:rsidRPr="00920317">
        <w:t xml:space="preserve">Celkové </w:t>
      </w:r>
      <w:r w:rsidR="00484F22">
        <w:t xml:space="preserve">kladné </w:t>
      </w:r>
      <w:r w:rsidR="00FD6D15" w:rsidRPr="00920317">
        <w:t xml:space="preserve">saldo kapitálových transferů mezi domácí ekonomikou </w:t>
      </w:r>
      <w:r w:rsidR="008C00A5" w:rsidRPr="00920317">
        <w:t>a </w:t>
      </w:r>
      <w:r w:rsidR="00FD6D15" w:rsidRPr="00920317">
        <w:t xml:space="preserve">zahraničím </w:t>
      </w:r>
      <w:r w:rsidR="00484F22">
        <w:t xml:space="preserve">se meziročně </w:t>
      </w:r>
      <w:r w:rsidR="00C87B18">
        <w:t>mírně zlepšilo o</w:t>
      </w:r>
      <w:r w:rsidR="00B3323F">
        <w:t> </w:t>
      </w:r>
      <w:r w:rsidR="00C87B18">
        <w:t>0,5</w:t>
      </w:r>
      <w:r w:rsidR="00B3323F">
        <w:t> </w:t>
      </w:r>
      <w:r w:rsidR="00C87B18">
        <w:t>mld. korun na 20,5</w:t>
      </w:r>
      <w:r w:rsidR="00484F22">
        <w:t xml:space="preserve"> mld. </w:t>
      </w:r>
      <w:r w:rsidR="00FD6D15" w:rsidRPr="00920317">
        <w:t xml:space="preserve">Domácí ekonomika </w:t>
      </w:r>
      <w:r w:rsidR="00C87B18">
        <w:t xml:space="preserve">ve 2. čtvrtletí setrvala v </w:t>
      </w:r>
      <w:r w:rsidR="00613EF0" w:rsidRPr="00920317">
        <w:t>č</w:t>
      </w:r>
      <w:r w:rsidR="00FD6D15" w:rsidRPr="00920317">
        <w:t xml:space="preserve">isté </w:t>
      </w:r>
      <w:r w:rsidR="00613EF0" w:rsidRPr="00920317">
        <w:t xml:space="preserve">záporné </w:t>
      </w:r>
      <w:r w:rsidR="00FD6D15" w:rsidRPr="00920317">
        <w:t>pozic</w:t>
      </w:r>
      <w:r w:rsidR="00484F22">
        <w:t>i</w:t>
      </w:r>
      <w:r w:rsidR="00FD6D15" w:rsidRPr="00920317">
        <w:t xml:space="preserve"> </w:t>
      </w:r>
      <w:r w:rsidR="00C87B18">
        <w:t xml:space="preserve">vůči zahraničí </w:t>
      </w:r>
      <w:r w:rsidR="008C00A5" w:rsidRPr="00920317">
        <w:t>a </w:t>
      </w:r>
      <w:r w:rsidR="00FD6D15" w:rsidRPr="00920317">
        <w:t>č</w:t>
      </w:r>
      <w:r w:rsidR="00B70ECD" w:rsidRPr="00920317">
        <w:t xml:space="preserve">isté </w:t>
      </w:r>
      <w:r w:rsidR="00613EF0" w:rsidRPr="00920317">
        <w:t>vý</w:t>
      </w:r>
      <w:r w:rsidR="00B70ECD" w:rsidRPr="00920317">
        <w:t xml:space="preserve">půjčky </w:t>
      </w:r>
      <w:r w:rsidR="00C87B18">
        <w:t>činily 90,0</w:t>
      </w:r>
      <w:r w:rsidR="008C00A5" w:rsidRPr="00920317">
        <w:t> mld.</w:t>
      </w:r>
      <w:r w:rsidR="00FD6D15" w:rsidRPr="00920317">
        <w:t xml:space="preserve"> korun (meziročně </w:t>
      </w:r>
      <w:r w:rsidR="008C00A5" w:rsidRPr="00920317">
        <w:t>o </w:t>
      </w:r>
      <w:r w:rsidR="00484F22">
        <w:t>8</w:t>
      </w:r>
      <w:r w:rsidR="00C87B18">
        <w:t>6</w:t>
      </w:r>
      <w:r w:rsidR="00484F22">
        <w:t>,</w:t>
      </w:r>
      <w:r w:rsidR="00C87B18">
        <w:t>6</w:t>
      </w:r>
      <w:r w:rsidR="00CD547F" w:rsidRPr="00920317">
        <w:t> </w:t>
      </w:r>
      <w:r w:rsidR="00FD6D15" w:rsidRPr="00920317">
        <w:t xml:space="preserve">mld. </w:t>
      </w:r>
      <w:r w:rsidR="00613EF0" w:rsidRPr="00920317">
        <w:t>horší</w:t>
      </w:r>
      <w:r w:rsidR="00FD6D15" w:rsidRPr="00920317">
        <w:t xml:space="preserve"> výsledek).</w:t>
      </w:r>
    </w:p>
    <w:p w14:paraId="1EB3865B" w14:textId="48000D37" w:rsidR="007E0FB5" w:rsidRDefault="00BD57B8" w:rsidP="00C43DB8">
      <w:pPr>
        <w:rPr>
          <w:rFonts w:eastAsia="Times New Roman" w:cs="Arial"/>
          <w:b/>
          <w:bCs/>
          <w:color w:val="000000"/>
          <w:szCs w:val="20"/>
          <w:lang w:eastAsia="cs-CZ"/>
        </w:rPr>
      </w:pPr>
      <w:r>
        <w:rPr>
          <w:rFonts w:eastAsia="Times New Roman" w:cs="Arial"/>
          <w:b/>
          <w:bCs/>
          <w:color w:val="000000"/>
          <w:szCs w:val="20"/>
          <w:lang w:eastAsia="cs-CZ"/>
        </w:rPr>
        <w:t xml:space="preserve">Tabulka 1: </w:t>
      </w:r>
      <w:r w:rsidRPr="00BD57B8">
        <w:rPr>
          <w:rFonts w:eastAsia="Times New Roman" w:cs="Arial"/>
          <w:b/>
          <w:bCs/>
          <w:color w:val="000000"/>
          <w:szCs w:val="20"/>
          <w:lang w:eastAsia="cs-CZ"/>
        </w:rPr>
        <w:t>Vybrané hl</w:t>
      </w:r>
      <w:r>
        <w:rPr>
          <w:rFonts w:eastAsia="Times New Roman" w:cs="Arial"/>
          <w:b/>
          <w:bCs/>
          <w:color w:val="000000"/>
          <w:szCs w:val="20"/>
          <w:lang w:eastAsia="cs-CZ"/>
        </w:rPr>
        <w:t>avní ukazatele vývoje ekonomiky</w:t>
      </w:r>
    </w:p>
    <w:p w14:paraId="10581EFE" w14:textId="166674FD" w:rsidR="007E0FB5" w:rsidRDefault="00C43DB8" w:rsidP="007E0FB5">
      <w:pPr>
        <w:jc w:val="center"/>
        <w:rPr>
          <w:rFonts w:eastAsia="Times New Roman" w:cs="Arial"/>
          <w:b/>
          <w:bCs/>
          <w:color w:val="000000"/>
          <w:szCs w:val="20"/>
          <w:lang w:eastAsia="cs-CZ"/>
        </w:rPr>
      </w:pPr>
      <w:r w:rsidRPr="00C43DB8">
        <w:rPr>
          <w:noProof/>
          <w:lang w:eastAsia="cs-CZ"/>
        </w:rPr>
        <w:drawing>
          <wp:inline distT="0" distB="0" distL="0" distR="0" wp14:anchorId="52CD055F" wp14:editId="404E497F">
            <wp:extent cx="4991100" cy="50768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679E" w14:textId="77777777" w:rsidR="00813226" w:rsidRDefault="00813226" w:rsidP="00E42E00">
      <w:pPr>
        <w:rPr>
          <w:b/>
        </w:rPr>
      </w:pPr>
    </w:p>
    <w:p w14:paraId="40794951" w14:textId="6EF3E5FF" w:rsidR="007B1333" w:rsidRPr="00BD40CD" w:rsidRDefault="007B1333" w:rsidP="00E42E00">
      <w:pPr>
        <w:rPr>
          <w:b/>
        </w:rPr>
      </w:pPr>
      <w:r w:rsidRPr="00BD40CD">
        <w:rPr>
          <w:b/>
        </w:rPr>
        <w:t>Autor/Kontakt/Zpracoval</w:t>
      </w:r>
      <w:r w:rsidR="004C52C6" w:rsidRPr="00BD40CD">
        <w:rPr>
          <w:b/>
        </w:rPr>
        <w:t>a</w:t>
      </w:r>
    </w:p>
    <w:p w14:paraId="07FE70A9" w14:textId="77777777" w:rsidR="007B1333" w:rsidRPr="00BD40CD" w:rsidRDefault="00656A12" w:rsidP="00E42E00">
      <w:r w:rsidRPr="00BD40CD">
        <w:t>Karolína Zábojníková</w:t>
      </w:r>
    </w:p>
    <w:p w14:paraId="4734BAC4" w14:textId="77777777" w:rsidR="007B1333" w:rsidRPr="00BD40CD" w:rsidRDefault="00656A12" w:rsidP="00E42E00">
      <w:r w:rsidRPr="00BD40CD">
        <w:t>Odbor Kancelář předsedy</w:t>
      </w:r>
    </w:p>
    <w:p w14:paraId="4CEDD3F5" w14:textId="3D4E0FEB" w:rsidR="007B1333" w:rsidRPr="00BD40CD" w:rsidRDefault="007B1333" w:rsidP="00E42E00">
      <w:r w:rsidRPr="00BD40CD">
        <w:t>Tel.:</w:t>
      </w:r>
      <w:r w:rsidR="00656A12" w:rsidRPr="00BD40CD">
        <w:t xml:space="preserve"> 542</w:t>
      </w:r>
      <w:r w:rsidR="0038007D" w:rsidRPr="00BD40CD">
        <w:t> </w:t>
      </w:r>
      <w:r w:rsidR="00656A12" w:rsidRPr="00BD40CD">
        <w:t>528</w:t>
      </w:r>
      <w:r w:rsidR="0038007D" w:rsidRPr="00BD40CD">
        <w:t> </w:t>
      </w:r>
      <w:r w:rsidR="00656A12" w:rsidRPr="00BD40CD">
        <w:t>112</w:t>
      </w:r>
    </w:p>
    <w:p w14:paraId="5AE94747" w14:textId="77777777" w:rsidR="004920AD" w:rsidRPr="00BD40CD" w:rsidRDefault="007B1333" w:rsidP="00E42E00">
      <w:r w:rsidRPr="00BD40CD">
        <w:t>E-mail:</w:t>
      </w:r>
      <w:r w:rsidR="00346D76" w:rsidRPr="00BD40CD">
        <w:t xml:space="preserve"> karolina.zabojnikova@czso.cz</w:t>
      </w:r>
    </w:p>
    <w:sectPr w:rsidR="004920AD" w:rsidRPr="00BD40CD" w:rsidSect="00247E8D">
      <w:headerReference w:type="default" r:id="rId13"/>
      <w:footerReference w:type="default" r:id="rId14"/>
      <w:pgSz w:w="11907" w:h="16839" w:code="9"/>
      <w:pgMar w:top="2948" w:right="1418" w:bottom="1985" w:left="1985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CB4B9" w14:textId="77777777" w:rsidR="00CF2886" w:rsidRDefault="00CF2886" w:rsidP="00BA6370">
      <w:r>
        <w:separator/>
      </w:r>
    </w:p>
  </w:endnote>
  <w:endnote w:type="continuationSeparator" w:id="0">
    <w:p w14:paraId="1E9DB05F" w14:textId="77777777" w:rsidR="00CF2886" w:rsidRDefault="00CF288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8405"/>
      <w:docPartObj>
        <w:docPartGallery w:val="Page Numbers (Bottom of Page)"/>
        <w:docPartUnique/>
      </w:docPartObj>
    </w:sdtPr>
    <w:sdtEndPr/>
    <w:sdtContent>
      <w:p w14:paraId="17686819" w14:textId="2EE2AE57" w:rsidR="006A79D4" w:rsidRDefault="006A79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D4">
          <w:rPr>
            <w:noProof/>
          </w:rPr>
          <w:t>9</w:t>
        </w:r>
        <w:r>
          <w:fldChar w:fldCharType="end"/>
        </w:r>
      </w:p>
    </w:sdtContent>
  </w:sdt>
  <w:p w14:paraId="67E19D24" w14:textId="77777777" w:rsidR="006A79D4" w:rsidRDefault="006A7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09F4" w14:textId="77777777" w:rsidR="00CF2886" w:rsidRDefault="00CF2886" w:rsidP="00BA6370">
      <w:r>
        <w:separator/>
      </w:r>
    </w:p>
  </w:footnote>
  <w:footnote w:type="continuationSeparator" w:id="0">
    <w:p w14:paraId="722DB23F" w14:textId="77777777" w:rsidR="00CF2886" w:rsidRDefault="00CF2886" w:rsidP="00BA6370">
      <w:r>
        <w:continuationSeparator/>
      </w:r>
    </w:p>
  </w:footnote>
  <w:footnote w:id="1">
    <w:p w14:paraId="3338342C" w14:textId="77777777" w:rsidR="002371F1" w:rsidRPr="00F5750C" w:rsidRDefault="002371F1" w:rsidP="002371F1">
      <w:pPr>
        <w:pStyle w:val="Textpoznpodarou"/>
        <w:rPr>
          <w:sz w:val="16"/>
          <w:szCs w:val="16"/>
        </w:rPr>
      </w:pPr>
      <w:r w:rsidRPr="00F5750C">
        <w:rPr>
          <w:rStyle w:val="Znakapoznpodarou"/>
          <w:sz w:val="16"/>
          <w:szCs w:val="16"/>
        </w:rPr>
        <w:footnoteRef/>
      </w:r>
      <w:r w:rsidRPr="00F5750C">
        <w:rPr>
          <w:sz w:val="16"/>
          <w:szCs w:val="16"/>
        </w:rPr>
        <w:t xml:space="preserve"> Není</w:t>
      </w:r>
      <w:r>
        <w:rPr>
          <w:sz w:val="16"/>
          <w:szCs w:val="16"/>
        </w:rPr>
        <w:t>-</w:t>
      </w:r>
      <w:r w:rsidRPr="00F5750C">
        <w:rPr>
          <w:sz w:val="16"/>
          <w:szCs w:val="16"/>
        </w:rPr>
        <w:t>li uvedeno jinak, jsou všechny údaje použité v textu bez sezónního očištění.</w:t>
      </w:r>
    </w:p>
  </w:footnote>
  <w:footnote w:id="2">
    <w:p w14:paraId="75A85FE7" w14:textId="175F85F1" w:rsidR="00EE5BCA" w:rsidRPr="0006237B" w:rsidRDefault="00EE5BCA" w:rsidP="00EE5BCA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reálného vyjádření převedeno s pomocí </w:t>
      </w:r>
      <w:r w:rsidRPr="0006237B">
        <w:rPr>
          <w:sz w:val="16"/>
          <w:szCs w:val="16"/>
        </w:rPr>
        <w:t>celkov</w:t>
      </w:r>
      <w:r>
        <w:rPr>
          <w:sz w:val="16"/>
          <w:szCs w:val="16"/>
        </w:rPr>
        <w:t>ého</w:t>
      </w:r>
      <w:r w:rsidRPr="0006237B">
        <w:rPr>
          <w:sz w:val="16"/>
          <w:szCs w:val="16"/>
        </w:rPr>
        <w:t xml:space="preserve"> deflátor</w:t>
      </w:r>
      <w:r>
        <w:rPr>
          <w:sz w:val="16"/>
          <w:szCs w:val="16"/>
        </w:rPr>
        <w:t>u</w:t>
      </w:r>
      <w:r w:rsidRPr="0006237B">
        <w:rPr>
          <w:sz w:val="16"/>
          <w:szCs w:val="16"/>
        </w:rPr>
        <w:t xml:space="preserve"> HPH.</w:t>
      </w:r>
      <w:r>
        <w:rPr>
          <w:sz w:val="16"/>
          <w:szCs w:val="16"/>
        </w:rPr>
        <w:t xml:space="preserve"> V</w:t>
      </w:r>
      <w:r w:rsidR="001D708D">
        <w:rPr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 w:rsidR="001D708D">
        <w:rPr>
          <w:sz w:val="16"/>
          <w:szCs w:val="16"/>
        </w:rPr>
        <w:t>2</w:t>
      </w:r>
      <w:r>
        <w:rPr>
          <w:sz w:val="16"/>
          <w:szCs w:val="16"/>
        </w:rPr>
        <w:t>. čtvrtletí 202</w:t>
      </w:r>
      <w:r w:rsidR="00AB208F">
        <w:rPr>
          <w:sz w:val="16"/>
          <w:szCs w:val="16"/>
        </w:rPr>
        <w:t>2</w:t>
      </w:r>
      <w:r>
        <w:rPr>
          <w:sz w:val="16"/>
          <w:szCs w:val="16"/>
        </w:rPr>
        <w:t xml:space="preserve"> dosahoval meziroční deflátor HPH </w:t>
      </w:r>
      <w:r w:rsidR="001D708D">
        <w:rPr>
          <w:sz w:val="16"/>
          <w:szCs w:val="16"/>
        </w:rPr>
        <w:t>6,2</w:t>
      </w:r>
      <w:r>
        <w:rPr>
          <w:sz w:val="16"/>
          <w:szCs w:val="16"/>
        </w:rPr>
        <w:t xml:space="preserve"> %, </w:t>
      </w:r>
      <w:r w:rsidR="00AB208F">
        <w:rPr>
          <w:sz w:val="16"/>
          <w:szCs w:val="16"/>
        </w:rPr>
        <w:t xml:space="preserve">mezičtvrtletně se cenová hladina zvýšila o </w:t>
      </w:r>
      <w:r w:rsidR="001D708D">
        <w:rPr>
          <w:sz w:val="16"/>
          <w:szCs w:val="16"/>
        </w:rPr>
        <w:t>2,0</w:t>
      </w:r>
      <w:r>
        <w:rPr>
          <w:sz w:val="16"/>
          <w:szCs w:val="16"/>
        </w:rPr>
        <w:t> %.</w:t>
      </w:r>
    </w:p>
  </w:footnote>
  <w:footnote w:id="3">
    <w:p w14:paraId="1C60BBD1" w14:textId="77777777" w:rsidR="006A79D4" w:rsidRPr="0006237B" w:rsidRDefault="006A79D4" w:rsidP="0076719B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 w:rsidRPr="0006237B">
        <w:rPr>
          <w:rFonts w:eastAsiaTheme="minorHAnsi" w:cs="Arial"/>
          <w:bCs/>
          <w:iCs/>
          <w:sz w:val="16"/>
          <w:szCs w:val="16"/>
          <w:lang w:eastAsia="en-US"/>
        </w:rPr>
        <w:t xml:space="preserve">Míra zisku nefinančních podniků 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je definována jako podíl hrubého provozního přebytku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hrubé přidané hodnotě (B.2g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4">
    <w:p w14:paraId="35289690" w14:textId="77777777" w:rsidR="006A79D4" w:rsidRPr="00984434" w:rsidRDefault="006A79D4" w:rsidP="00E0186F">
      <w:pPr>
        <w:pStyle w:val="Textpoznpodarou"/>
        <w:rPr>
          <w:sz w:val="16"/>
          <w:szCs w:val="16"/>
        </w:rPr>
      </w:pPr>
      <w:r w:rsidRPr="00984434">
        <w:rPr>
          <w:rStyle w:val="Znakapoznpodarou"/>
          <w:sz w:val="16"/>
          <w:szCs w:val="16"/>
        </w:rPr>
        <w:footnoteRef/>
      </w:r>
      <w:r w:rsidRPr="00984434">
        <w:rPr>
          <w:sz w:val="16"/>
          <w:szCs w:val="16"/>
        </w:rPr>
        <w:t xml:space="preserve"> Míra úspor nefinančních podniků je definována jako podíl hrubých úspor na hrubé přidané hodnotě </w:t>
      </w:r>
      <w:r w:rsidRPr="00984434">
        <w:rPr>
          <w:rFonts w:eastAsiaTheme="minorHAnsi" w:cs="Arial"/>
          <w:iCs/>
          <w:sz w:val="16"/>
          <w:szCs w:val="16"/>
          <w:lang w:eastAsia="en-US"/>
        </w:rPr>
        <w:t>(B.8g / B.1g).</w:t>
      </w:r>
    </w:p>
  </w:footnote>
  <w:footnote w:id="5">
    <w:p w14:paraId="59135C73" w14:textId="3051B72F" w:rsidR="00446302" w:rsidRPr="00446302" w:rsidRDefault="00446302">
      <w:pPr>
        <w:pStyle w:val="Textpoznpodarou"/>
        <w:rPr>
          <w:sz w:val="16"/>
          <w:szCs w:val="16"/>
        </w:rPr>
      </w:pPr>
      <w:r w:rsidRPr="00446302">
        <w:rPr>
          <w:rStyle w:val="Znakapoznpodarou"/>
          <w:sz w:val="16"/>
          <w:szCs w:val="16"/>
        </w:rPr>
        <w:footnoteRef/>
      </w:r>
      <w:r w:rsidRPr="00446302">
        <w:rPr>
          <w:sz w:val="16"/>
          <w:szCs w:val="16"/>
        </w:rPr>
        <w:t xml:space="preserve"> Podle deflátoru </w:t>
      </w:r>
      <w:r>
        <w:rPr>
          <w:sz w:val="16"/>
          <w:szCs w:val="16"/>
        </w:rPr>
        <w:t xml:space="preserve">HDP </w:t>
      </w:r>
      <w:r w:rsidRPr="00446302">
        <w:rPr>
          <w:sz w:val="16"/>
          <w:szCs w:val="16"/>
        </w:rPr>
        <w:t xml:space="preserve">se ceny hrubého fixního kapitálu zvýšily meziročně o </w:t>
      </w:r>
      <w:r w:rsidR="00491234">
        <w:rPr>
          <w:sz w:val="16"/>
          <w:szCs w:val="16"/>
        </w:rPr>
        <w:t>7,7</w:t>
      </w:r>
      <w:r w:rsidRPr="00446302">
        <w:rPr>
          <w:sz w:val="16"/>
          <w:szCs w:val="16"/>
        </w:rPr>
        <w:t xml:space="preserve"> % a mezičtvrtletně o 5,</w:t>
      </w:r>
      <w:r w:rsidR="00491234">
        <w:rPr>
          <w:sz w:val="16"/>
          <w:szCs w:val="16"/>
        </w:rPr>
        <w:t>1</w:t>
      </w:r>
      <w:r w:rsidRPr="00446302">
        <w:rPr>
          <w:sz w:val="16"/>
          <w:szCs w:val="16"/>
        </w:rPr>
        <w:t xml:space="preserve"> %.</w:t>
      </w:r>
    </w:p>
  </w:footnote>
  <w:footnote w:id="6">
    <w:p w14:paraId="0C9FE028" w14:textId="77777777" w:rsidR="00820139" w:rsidRPr="00AB3D8D" w:rsidRDefault="00820139" w:rsidP="00820139">
      <w:pPr>
        <w:pStyle w:val="Textpoznpodarou"/>
        <w:rPr>
          <w:sz w:val="16"/>
          <w:szCs w:val="16"/>
        </w:rPr>
      </w:pPr>
      <w:r w:rsidRPr="00AB3D8D">
        <w:rPr>
          <w:rStyle w:val="Znakapoznpodarou"/>
          <w:sz w:val="16"/>
          <w:szCs w:val="16"/>
        </w:rPr>
        <w:footnoteRef/>
      </w:r>
      <w:r w:rsidRPr="00AB3D8D">
        <w:rPr>
          <w:sz w:val="16"/>
          <w:szCs w:val="16"/>
        </w:rPr>
        <w:t xml:space="preserve"> </w:t>
      </w:r>
      <w:r w:rsidRPr="00AB3D8D">
        <w:rPr>
          <w:rFonts w:eastAsiaTheme="minorHAnsi" w:cs="Arial"/>
          <w:bCs/>
          <w:iCs/>
          <w:sz w:val="16"/>
          <w:szCs w:val="16"/>
          <w:lang w:eastAsia="en-US"/>
        </w:rPr>
        <w:t xml:space="preserve">Míra investic nefinančních podniků 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je definována jako podíl hrubé tvorby fixního kapitálu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hrubé přidané hodnotě (P.51g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7">
    <w:p w14:paraId="0DD2F8CC" w14:textId="7562F6D1" w:rsidR="005041DE" w:rsidRPr="005041DE" w:rsidRDefault="005041DE">
      <w:pPr>
        <w:pStyle w:val="Textpoznpodarou"/>
        <w:rPr>
          <w:sz w:val="16"/>
          <w:szCs w:val="16"/>
        </w:rPr>
      </w:pPr>
      <w:r w:rsidRPr="005041DE">
        <w:rPr>
          <w:rStyle w:val="Znakapoznpodarou"/>
          <w:sz w:val="16"/>
          <w:szCs w:val="16"/>
        </w:rPr>
        <w:footnoteRef/>
      </w:r>
      <w:r w:rsidRPr="005041DE">
        <w:rPr>
          <w:sz w:val="16"/>
          <w:szCs w:val="16"/>
        </w:rPr>
        <w:t xml:space="preserve"> Šlo zřejmě o vliv odložených plateb v rámci rozpočtového provizoria, které platilo v 1. čtvrtletí</w:t>
      </w:r>
      <w:r>
        <w:rPr>
          <w:sz w:val="16"/>
          <w:szCs w:val="16"/>
        </w:rPr>
        <w:t>.</w:t>
      </w:r>
      <w:r w:rsidRPr="005041DE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5041DE">
        <w:rPr>
          <w:sz w:val="16"/>
          <w:szCs w:val="16"/>
        </w:rPr>
        <w:t>rostředky směřovaly k místním vládním institucím.</w:t>
      </w:r>
    </w:p>
  </w:footnote>
  <w:footnote w:id="8">
    <w:p w14:paraId="0DD2C690" w14:textId="77777777" w:rsidR="002735F1" w:rsidRPr="00337C71" w:rsidRDefault="002735F1" w:rsidP="002735F1">
      <w:pPr>
        <w:autoSpaceDE w:val="0"/>
        <w:autoSpaceDN w:val="0"/>
        <w:adjustRightInd w:val="0"/>
        <w:spacing w:line="240" w:lineRule="auto"/>
        <w:jc w:val="left"/>
        <w:rPr>
          <w:rStyle w:val="Znakapoznpodarou"/>
          <w:sz w:val="16"/>
          <w:szCs w:val="16"/>
          <w:vertAlign w:val="baseline"/>
          <w:lang w:eastAsia="cs-CZ"/>
        </w:rPr>
      </w:pPr>
      <w:r w:rsidRPr="00EC1A9F">
        <w:rPr>
          <w:rStyle w:val="Znakapoznpodarou"/>
          <w:sz w:val="16"/>
          <w:szCs w:val="16"/>
        </w:rPr>
        <w:footnoteRef/>
      </w:r>
      <w:r w:rsidRPr="00EC1A9F">
        <w:rPr>
          <w:sz w:val="16"/>
          <w:szCs w:val="16"/>
        </w:rPr>
        <w:t xml:space="preserve"> Dluh v sektorových účtech se liší (číselně i</w:t>
      </w:r>
      <w:r>
        <w:rPr>
          <w:sz w:val="16"/>
          <w:szCs w:val="16"/>
        </w:rPr>
        <w:t> </w:t>
      </w:r>
      <w:r w:rsidRPr="00EC1A9F">
        <w:rPr>
          <w:sz w:val="16"/>
          <w:szCs w:val="16"/>
        </w:rPr>
        <w:t>metodicky) od Maastrichtského dluhu pro potřeby EDP statistiky.</w:t>
      </w:r>
      <w:r>
        <w:rPr>
          <w:sz w:val="16"/>
          <w:szCs w:val="16"/>
        </w:rPr>
        <w:t xml:space="preserve"> Liší se zejména zahrnuté závazky i způsob jejich ohodnocení. </w:t>
      </w:r>
      <w:r w:rsidRPr="00EB3C89">
        <w:rPr>
          <w:rFonts w:cs="Arial"/>
          <w:sz w:val="16"/>
          <w:szCs w:val="16"/>
          <w:lang w:eastAsia="cs-CZ"/>
        </w:rPr>
        <w:t>Celkové závazky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sektorových účtech zahrnují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navíc měnové zlato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zvláštní práva čerpání, účasti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podíly v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investičních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fondech, pojistné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penzijní programy, finanční deriváty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zaměstnanecké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opce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ostatní závazky. Všechny závazky jsou oceněny tržní hodnotou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bez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vlivu souvisejících</w:t>
      </w:r>
      <w:r>
        <w:rPr>
          <w:rFonts w:cs="Arial"/>
          <w:sz w:val="16"/>
          <w:szCs w:val="16"/>
          <w:lang w:eastAsia="cs-CZ"/>
        </w:rPr>
        <w:t xml:space="preserve"> </w:t>
      </w:r>
      <w:r w:rsidRPr="00EB3C89">
        <w:rPr>
          <w:rFonts w:cs="Arial"/>
          <w:sz w:val="16"/>
          <w:szCs w:val="16"/>
          <w:lang w:eastAsia="cs-CZ"/>
        </w:rPr>
        <w:t>derivátových obchodů.</w:t>
      </w:r>
      <w:r>
        <w:rPr>
          <w:rFonts w:cs="Arial"/>
          <w:sz w:val="16"/>
          <w:szCs w:val="16"/>
          <w:lang w:eastAsia="cs-CZ"/>
        </w:rPr>
        <w:t xml:space="preserve"> Zdroj: Rybáček, V., Musil, P. (2020). </w:t>
      </w:r>
      <w:r w:rsidRPr="00EB3C89">
        <w:rPr>
          <w:rFonts w:cs="Arial"/>
          <w:sz w:val="16"/>
          <w:szCs w:val="16"/>
          <w:lang w:eastAsia="cs-CZ"/>
        </w:rPr>
        <w:t>Vztah mezi saldem hospodaření a</w:t>
      </w:r>
      <w:r>
        <w:rPr>
          <w:rFonts w:cs="Arial"/>
          <w:sz w:val="16"/>
          <w:szCs w:val="16"/>
          <w:lang w:eastAsia="cs-CZ"/>
        </w:rPr>
        <w:t> </w:t>
      </w:r>
      <w:r w:rsidRPr="00EB3C89">
        <w:rPr>
          <w:rFonts w:cs="Arial"/>
          <w:sz w:val="16"/>
          <w:szCs w:val="16"/>
          <w:lang w:eastAsia="cs-CZ"/>
        </w:rPr>
        <w:t>dluhem vládních institucí.</w:t>
      </w:r>
      <w:r w:rsidRPr="00EB3C89">
        <w:rPr>
          <w:sz w:val="16"/>
          <w:szCs w:val="16"/>
        </w:rPr>
        <w:t xml:space="preserve"> </w:t>
      </w:r>
      <w:r w:rsidRPr="00EB3C89">
        <w:rPr>
          <w:i/>
          <w:iCs/>
          <w:sz w:val="16"/>
          <w:szCs w:val="16"/>
        </w:rPr>
        <w:t>Politická ekonomie</w:t>
      </w:r>
      <w:r w:rsidRPr="00EB3C89">
        <w:rPr>
          <w:sz w:val="16"/>
          <w:szCs w:val="16"/>
        </w:rPr>
        <w:t>, 68(4), 462</w:t>
      </w:r>
      <w:r>
        <w:rPr>
          <w:sz w:val="16"/>
          <w:szCs w:val="16"/>
        </w:rPr>
        <w:t>–</w:t>
      </w:r>
      <w:r w:rsidRPr="00EB3C89">
        <w:rPr>
          <w:sz w:val="16"/>
          <w:szCs w:val="16"/>
        </w:rPr>
        <w:t>482, https://doi.org/10.18267/j.polek.1290</w:t>
      </w:r>
      <w:r>
        <w:rPr>
          <w:sz w:val="16"/>
          <w:szCs w:val="16"/>
        </w:rPr>
        <w:t>.</w:t>
      </w:r>
    </w:p>
  </w:footnote>
  <w:footnote w:id="9">
    <w:p w14:paraId="5C3A2FF3" w14:textId="484E9F8E" w:rsidR="00011945" w:rsidRPr="009E0C2A" w:rsidRDefault="00011945" w:rsidP="00011945">
      <w:pPr>
        <w:pStyle w:val="Textpoznpodarou"/>
        <w:rPr>
          <w:sz w:val="16"/>
          <w:szCs w:val="16"/>
        </w:rPr>
      </w:pPr>
      <w:r w:rsidRPr="009E0C2A">
        <w:rPr>
          <w:rStyle w:val="Znakapoznpodarou"/>
          <w:sz w:val="16"/>
          <w:szCs w:val="16"/>
        </w:rPr>
        <w:footnoteRef/>
      </w:r>
      <w:r w:rsidRPr="009E0C2A">
        <w:rPr>
          <w:sz w:val="16"/>
          <w:szCs w:val="16"/>
        </w:rPr>
        <w:t xml:space="preserve"> </w:t>
      </w:r>
      <w:r>
        <w:rPr>
          <w:sz w:val="16"/>
          <w:szCs w:val="16"/>
        </w:rPr>
        <w:t>Pro očištění o vliv cen byl použit</w:t>
      </w:r>
      <w:r w:rsidRPr="009E0C2A">
        <w:rPr>
          <w:sz w:val="16"/>
          <w:szCs w:val="16"/>
        </w:rPr>
        <w:t xml:space="preserve"> deflátor výdajů na konečnou spotřebu domácností.</w:t>
      </w:r>
      <w:r>
        <w:rPr>
          <w:sz w:val="16"/>
          <w:szCs w:val="16"/>
        </w:rPr>
        <w:t xml:space="preserve"> Ve 2. čtvrtletí 2022 činil meziroční cenový nárůst 16,3 % a mezičtvrtletní 5,2 %.</w:t>
      </w:r>
    </w:p>
  </w:footnote>
  <w:footnote w:id="10">
    <w:p w14:paraId="2689D6EF" w14:textId="77777777" w:rsidR="003D22F2" w:rsidRPr="00EB5544" w:rsidRDefault="003D22F2" w:rsidP="003D22F2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příjmy z podnikání drobných podnikatelů zařazených do sektor</w:t>
      </w:r>
      <w:r>
        <w:rPr>
          <w:sz w:val="16"/>
          <w:szCs w:val="16"/>
        </w:rPr>
        <w:t>u</w:t>
      </w:r>
      <w:r w:rsidRPr="00EB5544">
        <w:rPr>
          <w:sz w:val="16"/>
          <w:szCs w:val="16"/>
        </w:rPr>
        <w:t xml:space="preserve"> domácností</w:t>
      </w:r>
      <w:r>
        <w:rPr>
          <w:sz w:val="16"/>
          <w:szCs w:val="16"/>
        </w:rPr>
        <w:t>.</w:t>
      </w:r>
    </w:p>
  </w:footnote>
  <w:footnote w:id="11">
    <w:p w14:paraId="30342BFD" w14:textId="77777777" w:rsidR="00F12768" w:rsidRPr="00EB5544" w:rsidRDefault="00F12768" w:rsidP="00F12768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hodnotu produkce domácností pro vlastní spotřebu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rovněž imputované nájemné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poskytování služeb bydlení</w:t>
      </w:r>
      <w:r>
        <w:rPr>
          <w:sz w:val="16"/>
          <w:szCs w:val="16"/>
        </w:rPr>
        <w:t>.</w:t>
      </w:r>
    </w:p>
  </w:footnote>
  <w:footnote w:id="12">
    <w:p w14:paraId="6BB6FC1D" w14:textId="1AF4F44A" w:rsidR="00B24A8E" w:rsidRPr="00707951" w:rsidRDefault="00B24A8E" w:rsidP="00B24A8E">
      <w:pPr>
        <w:pStyle w:val="Textpoznpodarou"/>
        <w:rPr>
          <w:sz w:val="16"/>
          <w:szCs w:val="16"/>
        </w:rPr>
      </w:pPr>
      <w:r w:rsidRPr="00707951">
        <w:rPr>
          <w:rStyle w:val="Znakapoznpodarou"/>
          <w:sz w:val="16"/>
          <w:szCs w:val="16"/>
        </w:rPr>
        <w:footnoteRef/>
      </w:r>
      <w:r w:rsidRPr="00707951">
        <w:rPr>
          <w:sz w:val="16"/>
          <w:szCs w:val="16"/>
        </w:rPr>
        <w:t xml:space="preserve"> V </w:t>
      </w:r>
      <w:r>
        <w:rPr>
          <w:sz w:val="16"/>
          <w:szCs w:val="16"/>
        </w:rPr>
        <w:t>roce 2019 to bylo 91,2 mld. korun, rok předtím 84,6 mld.</w:t>
      </w:r>
    </w:p>
  </w:footnote>
  <w:footnote w:id="13">
    <w:p w14:paraId="452FC68E" w14:textId="77777777" w:rsidR="00351213" w:rsidRPr="005E519B" w:rsidRDefault="00351213" w:rsidP="00351213">
      <w:pPr>
        <w:pStyle w:val="Textpoznpodarou"/>
        <w:rPr>
          <w:sz w:val="16"/>
          <w:szCs w:val="16"/>
        </w:rPr>
      </w:pPr>
      <w:r w:rsidRPr="005E519B">
        <w:rPr>
          <w:rStyle w:val="Znakapoznpodarou"/>
          <w:sz w:val="16"/>
          <w:szCs w:val="16"/>
        </w:rPr>
        <w:footnoteRef/>
      </w:r>
      <w:r w:rsidRPr="005E519B">
        <w:rPr>
          <w:sz w:val="16"/>
          <w:szCs w:val="16"/>
        </w:rPr>
        <w:t xml:space="preserve"> </w:t>
      </w:r>
      <w:r>
        <w:rPr>
          <w:sz w:val="16"/>
          <w:szCs w:val="16"/>
        </w:rPr>
        <w:t>Maloobchod</w:t>
      </w:r>
      <w:r w:rsidRPr="005E519B">
        <w:rPr>
          <w:sz w:val="16"/>
          <w:szCs w:val="16"/>
        </w:rPr>
        <w:t xml:space="preserve"> </w:t>
      </w:r>
      <w:r>
        <w:rPr>
          <w:sz w:val="16"/>
          <w:szCs w:val="16"/>
        </w:rPr>
        <w:t>byl omezen</w:t>
      </w:r>
      <w:r w:rsidRPr="005E519B">
        <w:rPr>
          <w:sz w:val="16"/>
          <w:szCs w:val="16"/>
        </w:rPr>
        <w:t xml:space="preserve"> </w:t>
      </w:r>
      <w:r>
        <w:rPr>
          <w:sz w:val="16"/>
          <w:szCs w:val="16"/>
        </w:rPr>
        <w:t>až do 10. května</w:t>
      </w:r>
      <w:r w:rsidRPr="005E519B">
        <w:rPr>
          <w:sz w:val="16"/>
          <w:szCs w:val="16"/>
        </w:rPr>
        <w:t xml:space="preserve"> 2021.</w:t>
      </w:r>
    </w:p>
  </w:footnote>
  <w:footnote w:id="14">
    <w:p w14:paraId="24A397C9" w14:textId="77777777" w:rsidR="00CF22AA" w:rsidRPr="005878E1" w:rsidRDefault="00CF22AA" w:rsidP="00CF22AA">
      <w:pPr>
        <w:pStyle w:val="Textpoznpodarou"/>
        <w:rPr>
          <w:sz w:val="16"/>
          <w:szCs w:val="16"/>
        </w:rPr>
      </w:pPr>
      <w:r w:rsidRPr="005878E1">
        <w:rPr>
          <w:rStyle w:val="Znakapoznpodarou"/>
          <w:sz w:val="16"/>
          <w:szCs w:val="16"/>
        </w:rPr>
        <w:footnoteRef/>
      </w:r>
      <w:r w:rsidRPr="005878E1">
        <w:rPr>
          <w:sz w:val="16"/>
          <w:szCs w:val="16"/>
        </w:rPr>
        <w:t xml:space="preserve"> Rozdíl mezi hrubým disponibilním důchodem upraveným o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čistý podíl domácností na rezervách penzijních fondů a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výdaji na konečnou spotřebu (B.6g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+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D.8</w:t>
      </w:r>
      <w:r>
        <w:rPr>
          <w:sz w:val="16"/>
          <w:szCs w:val="16"/>
        </w:rPr>
        <w:t> </w:t>
      </w:r>
      <w:r w:rsidRPr="005878E1">
        <w:rPr>
          <w:sz w:val="16"/>
          <w:szCs w:val="16"/>
        </w:rPr>
        <w:t>–</w:t>
      </w:r>
      <w:r>
        <w:rPr>
          <w:sz w:val="16"/>
          <w:szCs w:val="16"/>
        </w:rPr>
        <w:t> </w:t>
      </w:r>
      <w:proofErr w:type="gramStart"/>
      <w:r w:rsidRPr="005878E1">
        <w:rPr>
          <w:sz w:val="16"/>
          <w:szCs w:val="16"/>
        </w:rPr>
        <w:t>P.3).</w:t>
      </w:r>
      <w:proofErr w:type="gramEnd"/>
    </w:p>
  </w:footnote>
  <w:footnote w:id="15">
    <w:p w14:paraId="275ACEAA" w14:textId="577E2DEB" w:rsidR="00A46B64" w:rsidRPr="00E26E5D" w:rsidRDefault="00A46B64" w:rsidP="00A46B64">
      <w:pPr>
        <w:pStyle w:val="Textpoznpodarou"/>
        <w:rPr>
          <w:sz w:val="16"/>
          <w:szCs w:val="16"/>
        </w:rPr>
      </w:pPr>
      <w:r w:rsidRPr="00E26E5D">
        <w:rPr>
          <w:rStyle w:val="Znakapoznpodarou"/>
          <w:sz w:val="16"/>
          <w:szCs w:val="16"/>
        </w:rPr>
        <w:footnoteRef/>
      </w:r>
      <w:r w:rsidRPr="00E26E5D">
        <w:rPr>
          <w:sz w:val="16"/>
          <w:szCs w:val="16"/>
        </w:rPr>
        <w:t xml:space="preserve"> V</w:t>
      </w:r>
      <w:r>
        <w:rPr>
          <w:sz w:val="16"/>
          <w:szCs w:val="16"/>
        </w:rPr>
        <w:t>e</w:t>
      </w:r>
      <w:r w:rsidRPr="00E26E5D">
        <w:rPr>
          <w:sz w:val="16"/>
          <w:szCs w:val="16"/>
        </w:rPr>
        <w:t> </w:t>
      </w:r>
      <w:r>
        <w:rPr>
          <w:sz w:val="16"/>
          <w:szCs w:val="16"/>
        </w:rPr>
        <w:t>2</w:t>
      </w:r>
      <w:r w:rsidRPr="00E26E5D">
        <w:rPr>
          <w:sz w:val="16"/>
          <w:szCs w:val="16"/>
        </w:rPr>
        <w:t xml:space="preserve">. čtvrtletí 2019 hrubé úspory dosáhly </w:t>
      </w:r>
      <w:r>
        <w:rPr>
          <w:sz w:val="16"/>
          <w:szCs w:val="16"/>
        </w:rPr>
        <w:t>94,1</w:t>
      </w:r>
      <w:r w:rsidRPr="00E26E5D">
        <w:rPr>
          <w:sz w:val="16"/>
          <w:szCs w:val="16"/>
        </w:rPr>
        <w:t xml:space="preserve"> mld. korun, v roce 2018 to bylo 81,</w:t>
      </w:r>
      <w:r>
        <w:rPr>
          <w:sz w:val="16"/>
          <w:szCs w:val="16"/>
        </w:rPr>
        <w:t>2</w:t>
      </w:r>
      <w:r w:rsidRPr="00E26E5D">
        <w:rPr>
          <w:sz w:val="16"/>
          <w:szCs w:val="16"/>
        </w:rPr>
        <w:t xml:space="preserve"> mld. </w:t>
      </w:r>
    </w:p>
  </w:footnote>
  <w:footnote w:id="16">
    <w:p w14:paraId="21D00688" w14:textId="77777777" w:rsidR="00E26E5D" w:rsidRPr="00E9501D" w:rsidRDefault="00E26E5D" w:rsidP="00E26E5D">
      <w:pPr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E9501D">
        <w:rPr>
          <w:rStyle w:val="Znakapoznpodarou"/>
          <w:sz w:val="16"/>
          <w:szCs w:val="16"/>
        </w:rPr>
        <w:footnoteRef/>
      </w:r>
      <w:r w:rsidRPr="00E9501D">
        <w:rPr>
          <w:sz w:val="16"/>
          <w:szCs w:val="16"/>
        </w:rPr>
        <w:t xml:space="preserve"> </w:t>
      </w:r>
      <w:r w:rsidRPr="00E9501D">
        <w:rPr>
          <w:rFonts w:cs="Arial"/>
          <w:bCs/>
          <w:iCs/>
          <w:sz w:val="16"/>
          <w:szCs w:val="16"/>
        </w:rPr>
        <w:t xml:space="preserve">Míra úspor domácností </w:t>
      </w:r>
      <w:r w:rsidRPr="00E9501D">
        <w:rPr>
          <w:rFonts w:cs="Arial"/>
          <w:iCs/>
          <w:sz w:val="16"/>
          <w:szCs w:val="16"/>
        </w:rPr>
        <w:t>je definována jako podíl hrubých úspor a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hrubého disponibilního důchodu se zahrnutím úpravy o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čistý podíl domácností na rezervách penzijních fondů (B.8g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(B.</w:t>
      </w:r>
      <w:proofErr w:type="gramStart"/>
      <w:r w:rsidRPr="00E9501D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+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D.8)).</w:t>
      </w:r>
      <w:proofErr w:type="gramEnd"/>
      <w:r w:rsidRPr="00E9501D">
        <w:rPr>
          <w:rFonts w:cs="Arial"/>
          <w:iCs/>
          <w:sz w:val="16"/>
          <w:szCs w:val="16"/>
        </w:rPr>
        <w:t xml:space="preserve"> Hrubé úspory představují část hrubého disponibilního důchodu</w:t>
      </w:r>
      <w:r w:rsidRPr="005F1821">
        <w:rPr>
          <w:rFonts w:cs="Arial"/>
          <w:iCs/>
          <w:sz w:val="16"/>
          <w:szCs w:val="16"/>
        </w:rPr>
        <w:t>, která nebyla spotřebována ve formě</w:t>
      </w:r>
      <w:r w:rsidRPr="00E9501D">
        <w:rPr>
          <w:rFonts w:cs="Arial"/>
          <w:iCs/>
          <w:sz w:val="16"/>
          <w:szCs w:val="16"/>
        </w:rPr>
        <w:t xml:space="preserve"> výdajů na konečnou spotřebu.</w:t>
      </w:r>
    </w:p>
  </w:footnote>
  <w:footnote w:id="17">
    <w:p w14:paraId="612E333E" w14:textId="77777777" w:rsidR="00B26C4E" w:rsidRPr="00D20875" w:rsidRDefault="00B26C4E" w:rsidP="00B26C4E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D20875">
        <w:rPr>
          <w:rStyle w:val="Znakapoznpodarou"/>
          <w:rFonts w:cs="Arial"/>
          <w:sz w:val="16"/>
          <w:szCs w:val="16"/>
        </w:rPr>
        <w:footnoteRef/>
      </w:r>
      <w:r w:rsidRPr="00D20875">
        <w:rPr>
          <w:rFonts w:cs="Arial"/>
          <w:sz w:val="16"/>
          <w:szCs w:val="16"/>
        </w:rPr>
        <w:t xml:space="preserve"> </w:t>
      </w:r>
      <w:r w:rsidRPr="00D20875">
        <w:rPr>
          <w:rFonts w:cs="Arial"/>
          <w:bCs/>
          <w:iCs/>
          <w:sz w:val="16"/>
          <w:szCs w:val="16"/>
        </w:rPr>
        <w:t xml:space="preserve">Míra investic domácností </w:t>
      </w:r>
      <w:r w:rsidRPr="00D20875">
        <w:rPr>
          <w:rFonts w:cs="Arial"/>
          <w:iCs/>
          <w:sz w:val="16"/>
          <w:szCs w:val="16"/>
        </w:rPr>
        <w:t>je definována jako podíl hrubé tvorby fixního kapitálu k hrubému disponibilnímu důchodu se zahrnutím úpravy o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čistý podíl domácností na rezervách penzijních fondů (P.51g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(</w:t>
      </w:r>
      <w:r w:rsidRPr="00D20875">
        <w:rPr>
          <w:rFonts w:cs="Arial"/>
          <w:iCs/>
          <w:sz w:val="16"/>
          <w:szCs w:val="16"/>
        </w:rPr>
        <w:t>B.</w:t>
      </w:r>
      <w:proofErr w:type="gramStart"/>
      <w:r w:rsidRPr="00D20875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+ </w:t>
      </w:r>
      <w:r w:rsidRPr="00D20875">
        <w:rPr>
          <w:rFonts w:cs="Arial"/>
          <w:iCs/>
          <w:sz w:val="16"/>
          <w:szCs w:val="16"/>
        </w:rPr>
        <w:t>D.8</w:t>
      </w:r>
      <w:r>
        <w:rPr>
          <w:rFonts w:cs="Arial"/>
          <w:iCs/>
          <w:sz w:val="16"/>
          <w:szCs w:val="16"/>
        </w:rPr>
        <w:t>)</w:t>
      </w:r>
      <w:r w:rsidRPr="00D20875">
        <w:rPr>
          <w:rFonts w:cs="Arial"/>
          <w:iCs/>
          <w:sz w:val="16"/>
          <w:szCs w:val="16"/>
        </w:rPr>
        <w:t>).</w:t>
      </w:r>
      <w:proofErr w:type="gramEnd"/>
    </w:p>
  </w:footnote>
  <w:footnote w:id="18">
    <w:p w14:paraId="5E29D2DD" w14:textId="77777777" w:rsidR="00375A0D" w:rsidRPr="00B342F4" w:rsidRDefault="00375A0D" w:rsidP="00375A0D">
      <w:pPr>
        <w:pStyle w:val="Textpoznpodarou"/>
        <w:rPr>
          <w:rFonts w:cs="Arial"/>
          <w:sz w:val="16"/>
          <w:szCs w:val="16"/>
        </w:rPr>
      </w:pPr>
      <w:r w:rsidRPr="00273CB1">
        <w:rPr>
          <w:rStyle w:val="Znakapoznpodarou"/>
          <w:sz w:val="16"/>
          <w:szCs w:val="16"/>
        </w:rPr>
        <w:footnoteRef/>
      </w:r>
      <w:r w:rsidRPr="00273CB1">
        <w:rPr>
          <w:sz w:val="16"/>
          <w:szCs w:val="16"/>
        </w:rPr>
        <w:t xml:space="preserve"> </w:t>
      </w:r>
      <w:r w:rsidRPr="00273CB1">
        <w:rPr>
          <w:rStyle w:val="odkaz-style-wrapper"/>
          <w:rFonts w:cs="Arial"/>
          <w:bCs/>
          <w:sz w:val="16"/>
          <w:szCs w:val="16"/>
        </w:rPr>
        <w:t xml:space="preserve">Nerezidenti </w:t>
      </w:r>
      <w:r w:rsidRPr="00273CB1">
        <w:rPr>
          <w:rStyle w:val="odkaz-style-wrapper"/>
          <w:rFonts w:cs="Arial"/>
          <w:sz w:val="16"/>
          <w:szCs w:val="16"/>
        </w:rPr>
        <w:t xml:space="preserve">představují </w:t>
      </w:r>
      <w:r>
        <w:rPr>
          <w:rStyle w:val="odkaz-style-wrapper"/>
          <w:rFonts w:cs="Arial"/>
          <w:sz w:val="16"/>
          <w:szCs w:val="16"/>
        </w:rPr>
        <w:t xml:space="preserve">různorodé </w:t>
      </w:r>
      <w:r w:rsidRPr="00273CB1">
        <w:rPr>
          <w:rStyle w:val="odkaz-style-wrapper"/>
          <w:rFonts w:cs="Arial"/>
          <w:sz w:val="16"/>
          <w:szCs w:val="16"/>
        </w:rPr>
        <w:t>seskupení jednotek</w:t>
      </w:r>
      <w:r>
        <w:rPr>
          <w:rStyle w:val="odkaz-style-wrapper"/>
          <w:rFonts w:cs="Arial"/>
          <w:sz w:val="16"/>
          <w:szCs w:val="16"/>
        </w:rPr>
        <w:t>, jejichž společným znakem je, že nesídlí na ekonomickém území státu, ale mají s daným národním hospodářstvím ekonomické vztahy.</w:t>
      </w:r>
    </w:p>
  </w:footnote>
  <w:footnote w:id="19">
    <w:p w14:paraId="0B397171" w14:textId="695B17F5" w:rsidR="00375A0D" w:rsidRPr="00375A0D" w:rsidRDefault="00375A0D">
      <w:pPr>
        <w:pStyle w:val="Textpoznpodarou"/>
        <w:rPr>
          <w:sz w:val="16"/>
          <w:szCs w:val="16"/>
        </w:rPr>
      </w:pPr>
      <w:r w:rsidRPr="00375A0D">
        <w:rPr>
          <w:rStyle w:val="Znakapoznpodarou"/>
          <w:sz w:val="16"/>
          <w:szCs w:val="16"/>
        </w:rPr>
        <w:footnoteRef/>
      </w:r>
      <w:r w:rsidRPr="00375A0D">
        <w:rPr>
          <w:sz w:val="16"/>
          <w:szCs w:val="16"/>
        </w:rPr>
        <w:t xml:space="preserve"> Ve 2. čtvrtletí 2019 to bylo 109,9 mld. korun, o rok dříve 117,0 mld. Přes 100 mld. se rozdělované důchody dostaly </w:t>
      </w:r>
      <w:r>
        <w:rPr>
          <w:sz w:val="16"/>
          <w:szCs w:val="16"/>
        </w:rPr>
        <w:t xml:space="preserve">v rámci 2. čtvrtletí </w:t>
      </w:r>
      <w:r w:rsidRPr="00375A0D">
        <w:rPr>
          <w:sz w:val="16"/>
          <w:szCs w:val="16"/>
        </w:rPr>
        <w:t>i v letech 2015–2017.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BF0C" w14:textId="77777777" w:rsidR="006A79D4" w:rsidRDefault="006A79D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D5D212" wp14:editId="5BE8D5ED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5D3155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9"/>
    <w:rsid w:val="0000044B"/>
    <w:rsid w:val="00001C9A"/>
    <w:rsid w:val="0000208F"/>
    <w:rsid w:val="00002857"/>
    <w:rsid w:val="00002DDA"/>
    <w:rsid w:val="0000403F"/>
    <w:rsid w:val="00006A93"/>
    <w:rsid w:val="000070E8"/>
    <w:rsid w:val="00011945"/>
    <w:rsid w:val="00012BC2"/>
    <w:rsid w:val="00013757"/>
    <w:rsid w:val="00014904"/>
    <w:rsid w:val="000151DF"/>
    <w:rsid w:val="0001683E"/>
    <w:rsid w:val="00016AA5"/>
    <w:rsid w:val="00016F9F"/>
    <w:rsid w:val="000171C5"/>
    <w:rsid w:val="000171CD"/>
    <w:rsid w:val="000207B9"/>
    <w:rsid w:val="00020D9A"/>
    <w:rsid w:val="0002212C"/>
    <w:rsid w:val="00026950"/>
    <w:rsid w:val="00026DC4"/>
    <w:rsid w:val="000302A6"/>
    <w:rsid w:val="00031A2E"/>
    <w:rsid w:val="00035A2B"/>
    <w:rsid w:val="00036709"/>
    <w:rsid w:val="000370D3"/>
    <w:rsid w:val="000408A4"/>
    <w:rsid w:val="00040CEA"/>
    <w:rsid w:val="00041D8C"/>
    <w:rsid w:val="00042640"/>
    <w:rsid w:val="00043BF4"/>
    <w:rsid w:val="00043E0C"/>
    <w:rsid w:val="00045A7A"/>
    <w:rsid w:val="00045F4E"/>
    <w:rsid w:val="00046AB2"/>
    <w:rsid w:val="00047A6C"/>
    <w:rsid w:val="000507CF"/>
    <w:rsid w:val="00055EBE"/>
    <w:rsid w:val="0006007D"/>
    <w:rsid w:val="00060DD8"/>
    <w:rsid w:val="00061682"/>
    <w:rsid w:val="000633FC"/>
    <w:rsid w:val="000657C6"/>
    <w:rsid w:val="00066E38"/>
    <w:rsid w:val="00067394"/>
    <w:rsid w:val="0007031E"/>
    <w:rsid w:val="0007050D"/>
    <w:rsid w:val="00070DF8"/>
    <w:rsid w:val="00073558"/>
    <w:rsid w:val="00073A99"/>
    <w:rsid w:val="00073B8E"/>
    <w:rsid w:val="00074BF6"/>
    <w:rsid w:val="0007692E"/>
    <w:rsid w:val="000771E3"/>
    <w:rsid w:val="00082045"/>
    <w:rsid w:val="00082547"/>
    <w:rsid w:val="00082749"/>
    <w:rsid w:val="00082B42"/>
    <w:rsid w:val="000843A5"/>
    <w:rsid w:val="0008507E"/>
    <w:rsid w:val="0008521C"/>
    <w:rsid w:val="00087487"/>
    <w:rsid w:val="00087A80"/>
    <w:rsid w:val="00090B9E"/>
    <w:rsid w:val="00092C15"/>
    <w:rsid w:val="00092CCF"/>
    <w:rsid w:val="0009303F"/>
    <w:rsid w:val="00093BCB"/>
    <w:rsid w:val="000A09BC"/>
    <w:rsid w:val="000A0B3A"/>
    <w:rsid w:val="000A3200"/>
    <w:rsid w:val="000A5AAC"/>
    <w:rsid w:val="000B090E"/>
    <w:rsid w:val="000B3CB8"/>
    <w:rsid w:val="000B470E"/>
    <w:rsid w:val="000B4AB2"/>
    <w:rsid w:val="000B5125"/>
    <w:rsid w:val="000B544B"/>
    <w:rsid w:val="000B5EAC"/>
    <w:rsid w:val="000B6F63"/>
    <w:rsid w:val="000B7488"/>
    <w:rsid w:val="000B7652"/>
    <w:rsid w:val="000C07E9"/>
    <w:rsid w:val="000C1D29"/>
    <w:rsid w:val="000C2CA9"/>
    <w:rsid w:val="000C6700"/>
    <w:rsid w:val="000C7427"/>
    <w:rsid w:val="000D19F9"/>
    <w:rsid w:val="000D267F"/>
    <w:rsid w:val="000D3E4F"/>
    <w:rsid w:val="000E0DCE"/>
    <w:rsid w:val="000E1C19"/>
    <w:rsid w:val="000F11C8"/>
    <w:rsid w:val="000F53DF"/>
    <w:rsid w:val="000F5B28"/>
    <w:rsid w:val="000F6917"/>
    <w:rsid w:val="000F6E26"/>
    <w:rsid w:val="000F6F36"/>
    <w:rsid w:val="000F7753"/>
    <w:rsid w:val="000F7F50"/>
    <w:rsid w:val="00100C3E"/>
    <w:rsid w:val="00101622"/>
    <w:rsid w:val="00101C34"/>
    <w:rsid w:val="00102B7E"/>
    <w:rsid w:val="00102EAC"/>
    <w:rsid w:val="00104388"/>
    <w:rsid w:val="00106C6F"/>
    <w:rsid w:val="00107529"/>
    <w:rsid w:val="0010766F"/>
    <w:rsid w:val="001078B8"/>
    <w:rsid w:val="0010796E"/>
    <w:rsid w:val="00107E15"/>
    <w:rsid w:val="001171CC"/>
    <w:rsid w:val="00117525"/>
    <w:rsid w:val="00117984"/>
    <w:rsid w:val="00120DF6"/>
    <w:rsid w:val="00121123"/>
    <w:rsid w:val="00121D14"/>
    <w:rsid w:val="0012377A"/>
    <w:rsid w:val="00123848"/>
    <w:rsid w:val="0012384F"/>
    <w:rsid w:val="00123E91"/>
    <w:rsid w:val="00125D2F"/>
    <w:rsid w:val="00127216"/>
    <w:rsid w:val="0012777D"/>
    <w:rsid w:val="00130931"/>
    <w:rsid w:val="00131E21"/>
    <w:rsid w:val="00133417"/>
    <w:rsid w:val="00135967"/>
    <w:rsid w:val="00137535"/>
    <w:rsid w:val="001404AB"/>
    <w:rsid w:val="00142A45"/>
    <w:rsid w:val="0014432B"/>
    <w:rsid w:val="001453D8"/>
    <w:rsid w:val="00145FEE"/>
    <w:rsid w:val="00146931"/>
    <w:rsid w:val="001521A2"/>
    <w:rsid w:val="001526E3"/>
    <w:rsid w:val="001578BA"/>
    <w:rsid w:val="00161FAB"/>
    <w:rsid w:val="00165362"/>
    <w:rsid w:val="001658A9"/>
    <w:rsid w:val="0016606A"/>
    <w:rsid w:val="00170938"/>
    <w:rsid w:val="00170C0F"/>
    <w:rsid w:val="00171121"/>
    <w:rsid w:val="0017143B"/>
    <w:rsid w:val="0017145A"/>
    <w:rsid w:val="0017231D"/>
    <w:rsid w:val="0017281B"/>
    <w:rsid w:val="00174391"/>
    <w:rsid w:val="00174EEE"/>
    <w:rsid w:val="00175ABA"/>
    <w:rsid w:val="00176CFE"/>
    <w:rsid w:val="0017753D"/>
    <w:rsid w:val="0017763E"/>
    <w:rsid w:val="001810DC"/>
    <w:rsid w:val="00182418"/>
    <w:rsid w:val="00183259"/>
    <w:rsid w:val="00185D0B"/>
    <w:rsid w:val="00186D8E"/>
    <w:rsid w:val="001876AB"/>
    <w:rsid w:val="001903B8"/>
    <w:rsid w:val="00191EB3"/>
    <w:rsid w:val="00197A07"/>
    <w:rsid w:val="001A1D88"/>
    <w:rsid w:val="001A3851"/>
    <w:rsid w:val="001A5270"/>
    <w:rsid w:val="001A532E"/>
    <w:rsid w:val="001A5571"/>
    <w:rsid w:val="001A5758"/>
    <w:rsid w:val="001A59BF"/>
    <w:rsid w:val="001A6821"/>
    <w:rsid w:val="001B1CC6"/>
    <w:rsid w:val="001B33C3"/>
    <w:rsid w:val="001B5506"/>
    <w:rsid w:val="001B579F"/>
    <w:rsid w:val="001B5D69"/>
    <w:rsid w:val="001B607F"/>
    <w:rsid w:val="001B6452"/>
    <w:rsid w:val="001C0063"/>
    <w:rsid w:val="001C1F2F"/>
    <w:rsid w:val="001C21F4"/>
    <w:rsid w:val="001C3B2C"/>
    <w:rsid w:val="001C4AB9"/>
    <w:rsid w:val="001C5644"/>
    <w:rsid w:val="001C6AAC"/>
    <w:rsid w:val="001C7758"/>
    <w:rsid w:val="001C7FEF"/>
    <w:rsid w:val="001D02CC"/>
    <w:rsid w:val="001D11FD"/>
    <w:rsid w:val="001D1530"/>
    <w:rsid w:val="001D2496"/>
    <w:rsid w:val="001D369A"/>
    <w:rsid w:val="001D5F9E"/>
    <w:rsid w:val="001D5FDB"/>
    <w:rsid w:val="001D708D"/>
    <w:rsid w:val="001D7172"/>
    <w:rsid w:val="001D7686"/>
    <w:rsid w:val="001E11DD"/>
    <w:rsid w:val="001E249C"/>
    <w:rsid w:val="001E4EFB"/>
    <w:rsid w:val="001F01BB"/>
    <w:rsid w:val="001F1D88"/>
    <w:rsid w:val="001F691A"/>
    <w:rsid w:val="001F6C45"/>
    <w:rsid w:val="002002A3"/>
    <w:rsid w:val="002022D4"/>
    <w:rsid w:val="00203B05"/>
    <w:rsid w:val="00203B48"/>
    <w:rsid w:val="00203B5E"/>
    <w:rsid w:val="002070FB"/>
    <w:rsid w:val="00210B17"/>
    <w:rsid w:val="00210E73"/>
    <w:rsid w:val="0021146C"/>
    <w:rsid w:val="00212AE2"/>
    <w:rsid w:val="00213729"/>
    <w:rsid w:val="00213ECF"/>
    <w:rsid w:val="00214968"/>
    <w:rsid w:val="002161B2"/>
    <w:rsid w:val="00216AF2"/>
    <w:rsid w:val="00220B84"/>
    <w:rsid w:val="002214D9"/>
    <w:rsid w:val="00222071"/>
    <w:rsid w:val="0022219E"/>
    <w:rsid w:val="00222B76"/>
    <w:rsid w:val="00223B39"/>
    <w:rsid w:val="00225A5C"/>
    <w:rsid w:val="0022766F"/>
    <w:rsid w:val="00227AD7"/>
    <w:rsid w:val="0023054D"/>
    <w:rsid w:val="00233086"/>
    <w:rsid w:val="0023363B"/>
    <w:rsid w:val="002338CE"/>
    <w:rsid w:val="00234585"/>
    <w:rsid w:val="00236EE0"/>
    <w:rsid w:val="002371F1"/>
    <w:rsid w:val="002406FA"/>
    <w:rsid w:val="002442F7"/>
    <w:rsid w:val="002461C3"/>
    <w:rsid w:val="002464F8"/>
    <w:rsid w:val="00246793"/>
    <w:rsid w:val="00246917"/>
    <w:rsid w:val="002472F5"/>
    <w:rsid w:val="00247354"/>
    <w:rsid w:val="00247E8D"/>
    <w:rsid w:val="00251388"/>
    <w:rsid w:val="00254D66"/>
    <w:rsid w:val="0026186F"/>
    <w:rsid w:val="002630D4"/>
    <w:rsid w:val="00263486"/>
    <w:rsid w:val="002636CE"/>
    <w:rsid w:val="00265A44"/>
    <w:rsid w:val="00270064"/>
    <w:rsid w:val="00270CE3"/>
    <w:rsid w:val="002726C7"/>
    <w:rsid w:val="002733A3"/>
    <w:rsid w:val="002735F1"/>
    <w:rsid w:val="00273EA6"/>
    <w:rsid w:val="00274A90"/>
    <w:rsid w:val="002777B6"/>
    <w:rsid w:val="00280276"/>
    <w:rsid w:val="002805A9"/>
    <w:rsid w:val="0028179A"/>
    <w:rsid w:val="00285689"/>
    <w:rsid w:val="0028701D"/>
    <w:rsid w:val="0029071A"/>
    <w:rsid w:val="0029200A"/>
    <w:rsid w:val="00293514"/>
    <w:rsid w:val="002956A8"/>
    <w:rsid w:val="0029746B"/>
    <w:rsid w:val="002A27D9"/>
    <w:rsid w:val="002A2E87"/>
    <w:rsid w:val="002A3A03"/>
    <w:rsid w:val="002A54F5"/>
    <w:rsid w:val="002A6710"/>
    <w:rsid w:val="002A6BB7"/>
    <w:rsid w:val="002B2E47"/>
    <w:rsid w:val="002B56A8"/>
    <w:rsid w:val="002B5926"/>
    <w:rsid w:val="002B5CC3"/>
    <w:rsid w:val="002B6288"/>
    <w:rsid w:val="002B67E8"/>
    <w:rsid w:val="002C2BAC"/>
    <w:rsid w:val="002C3203"/>
    <w:rsid w:val="002C363D"/>
    <w:rsid w:val="002C4EAA"/>
    <w:rsid w:val="002C666C"/>
    <w:rsid w:val="002C757B"/>
    <w:rsid w:val="002D3536"/>
    <w:rsid w:val="002D4DB4"/>
    <w:rsid w:val="002D5909"/>
    <w:rsid w:val="002D6A6C"/>
    <w:rsid w:val="002D6AA2"/>
    <w:rsid w:val="002E4CA7"/>
    <w:rsid w:val="002E5E99"/>
    <w:rsid w:val="002E6E86"/>
    <w:rsid w:val="002E6F00"/>
    <w:rsid w:val="002F0636"/>
    <w:rsid w:val="002F0CAA"/>
    <w:rsid w:val="002F19E2"/>
    <w:rsid w:val="002F510A"/>
    <w:rsid w:val="003047BF"/>
    <w:rsid w:val="003054E7"/>
    <w:rsid w:val="003057B2"/>
    <w:rsid w:val="00306DD9"/>
    <w:rsid w:val="003071C4"/>
    <w:rsid w:val="00311A7C"/>
    <w:rsid w:val="00312162"/>
    <w:rsid w:val="00312165"/>
    <w:rsid w:val="00314A1E"/>
    <w:rsid w:val="00317048"/>
    <w:rsid w:val="003175B7"/>
    <w:rsid w:val="0032007F"/>
    <w:rsid w:val="00321E61"/>
    <w:rsid w:val="0032347E"/>
    <w:rsid w:val="003248C3"/>
    <w:rsid w:val="0032577C"/>
    <w:rsid w:val="0032589E"/>
    <w:rsid w:val="00327644"/>
    <w:rsid w:val="003276BE"/>
    <w:rsid w:val="003301A3"/>
    <w:rsid w:val="0033298E"/>
    <w:rsid w:val="00333784"/>
    <w:rsid w:val="00335604"/>
    <w:rsid w:val="00336825"/>
    <w:rsid w:val="00337C71"/>
    <w:rsid w:val="00340993"/>
    <w:rsid w:val="00340A26"/>
    <w:rsid w:val="00341577"/>
    <w:rsid w:val="00342F7F"/>
    <w:rsid w:val="003460CB"/>
    <w:rsid w:val="00346D76"/>
    <w:rsid w:val="00351213"/>
    <w:rsid w:val="0035298C"/>
    <w:rsid w:val="003538FB"/>
    <w:rsid w:val="00354A44"/>
    <w:rsid w:val="00355C29"/>
    <w:rsid w:val="00357702"/>
    <w:rsid w:val="003609A7"/>
    <w:rsid w:val="00361733"/>
    <w:rsid w:val="0036199B"/>
    <w:rsid w:val="00361B5E"/>
    <w:rsid w:val="003634AF"/>
    <w:rsid w:val="0036370A"/>
    <w:rsid w:val="00366A08"/>
    <w:rsid w:val="0036777B"/>
    <w:rsid w:val="00371845"/>
    <w:rsid w:val="0037363B"/>
    <w:rsid w:val="0037421A"/>
    <w:rsid w:val="0037459C"/>
    <w:rsid w:val="00374EF6"/>
    <w:rsid w:val="003757F0"/>
    <w:rsid w:val="00375A0D"/>
    <w:rsid w:val="00376CF4"/>
    <w:rsid w:val="00377ED2"/>
    <w:rsid w:val="0038007D"/>
    <w:rsid w:val="00380823"/>
    <w:rsid w:val="00380AAD"/>
    <w:rsid w:val="0038282A"/>
    <w:rsid w:val="00385470"/>
    <w:rsid w:val="00391917"/>
    <w:rsid w:val="003919D3"/>
    <w:rsid w:val="00391D8D"/>
    <w:rsid w:val="00391E86"/>
    <w:rsid w:val="00393900"/>
    <w:rsid w:val="00393979"/>
    <w:rsid w:val="003955AF"/>
    <w:rsid w:val="00395DCC"/>
    <w:rsid w:val="00397580"/>
    <w:rsid w:val="003A1794"/>
    <w:rsid w:val="003A34B3"/>
    <w:rsid w:val="003A3C37"/>
    <w:rsid w:val="003A44AD"/>
    <w:rsid w:val="003A45C8"/>
    <w:rsid w:val="003A55A7"/>
    <w:rsid w:val="003A5771"/>
    <w:rsid w:val="003A580D"/>
    <w:rsid w:val="003A5965"/>
    <w:rsid w:val="003A5DC7"/>
    <w:rsid w:val="003B01DC"/>
    <w:rsid w:val="003B05D1"/>
    <w:rsid w:val="003B3198"/>
    <w:rsid w:val="003B3260"/>
    <w:rsid w:val="003B3765"/>
    <w:rsid w:val="003B7187"/>
    <w:rsid w:val="003C092E"/>
    <w:rsid w:val="003C094F"/>
    <w:rsid w:val="003C1B23"/>
    <w:rsid w:val="003C2DCF"/>
    <w:rsid w:val="003C3817"/>
    <w:rsid w:val="003C7FE7"/>
    <w:rsid w:val="003D0499"/>
    <w:rsid w:val="003D1524"/>
    <w:rsid w:val="003D21DB"/>
    <w:rsid w:val="003D22F2"/>
    <w:rsid w:val="003D388F"/>
    <w:rsid w:val="003D5B03"/>
    <w:rsid w:val="003D6494"/>
    <w:rsid w:val="003D7C0D"/>
    <w:rsid w:val="003E183B"/>
    <w:rsid w:val="003E2AD7"/>
    <w:rsid w:val="003E3B40"/>
    <w:rsid w:val="003E47F3"/>
    <w:rsid w:val="003E7D31"/>
    <w:rsid w:val="003F06AA"/>
    <w:rsid w:val="003F2A47"/>
    <w:rsid w:val="003F2E32"/>
    <w:rsid w:val="003F432E"/>
    <w:rsid w:val="003F43E5"/>
    <w:rsid w:val="003F526A"/>
    <w:rsid w:val="003F5C51"/>
    <w:rsid w:val="003F5CC1"/>
    <w:rsid w:val="003F5D15"/>
    <w:rsid w:val="00401D42"/>
    <w:rsid w:val="00402910"/>
    <w:rsid w:val="00403019"/>
    <w:rsid w:val="00403938"/>
    <w:rsid w:val="00405244"/>
    <w:rsid w:val="004065C6"/>
    <w:rsid w:val="004124F0"/>
    <w:rsid w:val="0041257F"/>
    <w:rsid w:val="00412FFB"/>
    <w:rsid w:val="00413AF7"/>
    <w:rsid w:val="004153B8"/>
    <w:rsid w:val="00415ADE"/>
    <w:rsid w:val="004161E2"/>
    <w:rsid w:val="00416817"/>
    <w:rsid w:val="00417433"/>
    <w:rsid w:val="00417D45"/>
    <w:rsid w:val="004222A3"/>
    <w:rsid w:val="0042259B"/>
    <w:rsid w:val="00426019"/>
    <w:rsid w:val="00426645"/>
    <w:rsid w:val="0042770B"/>
    <w:rsid w:val="00431468"/>
    <w:rsid w:val="004323BD"/>
    <w:rsid w:val="00433C60"/>
    <w:rsid w:val="00434936"/>
    <w:rsid w:val="0043790B"/>
    <w:rsid w:val="00437B90"/>
    <w:rsid w:val="004403B3"/>
    <w:rsid w:val="004409C1"/>
    <w:rsid w:val="00441887"/>
    <w:rsid w:val="00441FA9"/>
    <w:rsid w:val="004436EE"/>
    <w:rsid w:val="00446302"/>
    <w:rsid w:val="0045547F"/>
    <w:rsid w:val="00455E2F"/>
    <w:rsid w:val="00456CCF"/>
    <w:rsid w:val="00457776"/>
    <w:rsid w:val="0045777C"/>
    <w:rsid w:val="00461AA0"/>
    <w:rsid w:val="00462BD9"/>
    <w:rsid w:val="00463075"/>
    <w:rsid w:val="00471810"/>
    <w:rsid w:val="00474248"/>
    <w:rsid w:val="004847D1"/>
    <w:rsid w:val="00484F22"/>
    <w:rsid w:val="00485A84"/>
    <w:rsid w:val="00486ABD"/>
    <w:rsid w:val="00487978"/>
    <w:rsid w:val="00487F69"/>
    <w:rsid w:val="00490592"/>
    <w:rsid w:val="00491234"/>
    <w:rsid w:val="00491236"/>
    <w:rsid w:val="0049203F"/>
    <w:rsid w:val="004920AD"/>
    <w:rsid w:val="004942F4"/>
    <w:rsid w:val="004943E1"/>
    <w:rsid w:val="004950F0"/>
    <w:rsid w:val="00495108"/>
    <w:rsid w:val="004951F3"/>
    <w:rsid w:val="00495989"/>
    <w:rsid w:val="00497031"/>
    <w:rsid w:val="004A1FAE"/>
    <w:rsid w:val="004A2C67"/>
    <w:rsid w:val="004A492E"/>
    <w:rsid w:val="004B0F65"/>
    <w:rsid w:val="004B13D2"/>
    <w:rsid w:val="004B4671"/>
    <w:rsid w:val="004B6B61"/>
    <w:rsid w:val="004C0099"/>
    <w:rsid w:val="004C26A0"/>
    <w:rsid w:val="004C3F2E"/>
    <w:rsid w:val="004C52C6"/>
    <w:rsid w:val="004C63CF"/>
    <w:rsid w:val="004C7829"/>
    <w:rsid w:val="004D05B3"/>
    <w:rsid w:val="004D21CF"/>
    <w:rsid w:val="004D5280"/>
    <w:rsid w:val="004D5B03"/>
    <w:rsid w:val="004D6743"/>
    <w:rsid w:val="004E1F70"/>
    <w:rsid w:val="004E479E"/>
    <w:rsid w:val="004E6B0B"/>
    <w:rsid w:val="004E759A"/>
    <w:rsid w:val="004E75C9"/>
    <w:rsid w:val="004E7E1E"/>
    <w:rsid w:val="004F3483"/>
    <w:rsid w:val="004F78E6"/>
    <w:rsid w:val="00500130"/>
    <w:rsid w:val="00501608"/>
    <w:rsid w:val="005019A7"/>
    <w:rsid w:val="00501B16"/>
    <w:rsid w:val="005024A7"/>
    <w:rsid w:val="005041DE"/>
    <w:rsid w:val="0050484A"/>
    <w:rsid w:val="0050641C"/>
    <w:rsid w:val="0050756B"/>
    <w:rsid w:val="00511C14"/>
    <w:rsid w:val="00512D99"/>
    <w:rsid w:val="0051469C"/>
    <w:rsid w:val="00514883"/>
    <w:rsid w:val="00514960"/>
    <w:rsid w:val="00515E8A"/>
    <w:rsid w:val="00521DD5"/>
    <w:rsid w:val="005237CD"/>
    <w:rsid w:val="0053146A"/>
    <w:rsid w:val="00531DBB"/>
    <w:rsid w:val="005320B3"/>
    <w:rsid w:val="0053225A"/>
    <w:rsid w:val="00532C1D"/>
    <w:rsid w:val="005334AB"/>
    <w:rsid w:val="0053545A"/>
    <w:rsid w:val="005357DB"/>
    <w:rsid w:val="005374DA"/>
    <w:rsid w:val="00541343"/>
    <w:rsid w:val="005416EE"/>
    <w:rsid w:val="005427FC"/>
    <w:rsid w:val="00542C59"/>
    <w:rsid w:val="00543277"/>
    <w:rsid w:val="00544B6D"/>
    <w:rsid w:val="005455AF"/>
    <w:rsid w:val="00545C39"/>
    <w:rsid w:val="00550D6E"/>
    <w:rsid w:val="00551085"/>
    <w:rsid w:val="005521D0"/>
    <w:rsid w:val="005523EC"/>
    <w:rsid w:val="00552BD8"/>
    <w:rsid w:val="005531E2"/>
    <w:rsid w:val="00553DAA"/>
    <w:rsid w:val="00554D35"/>
    <w:rsid w:val="00555F01"/>
    <w:rsid w:val="005566EC"/>
    <w:rsid w:val="00557B94"/>
    <w:rsid w:val="00560026"/>
    <w:rsid w:val="005646B3"/>
    <w:rsid w:val="005655D7"/>
    <w:rsid w:val="005670BE"/>
    <w:rsid w:val="00570ABA"/>
    <w:rsid w:val="0057104A"/>
    <w:rsid w:val="00572A70"/>
    <w:rsid w:val="00573D5F"/>
    <w:rsid w:val="0057433C"/>
    <w:rsid w:val="00574630"/>
    <w:rsid w:val="00574740"/>
    <w:rsid w:val="00575E4D"/>
    <w:rsid w:val="00576430"/>
    <w:rsid w:val="00576E3A"/>
    <w:rsid w:val="005859A8"/>
    <w:rsid w:val="00586CF2"/>
    <w:rsid w:val="005878E1"/>
    <w:rsid w:val="005900E3"/>
    <w:rsid w:val="00590723"/>
    <w:rsid w:val="00593318"/>
    <w:rsid w:val="00596EEF"/>
    <w:rsid w:val="005A0668"/>
    <w:rsid w:val="005A0817"/>
    <w:rsid w:val="005A220F"/>
    <w:rsid w:val="005A26D1"/>
    <w:rsid w:val="005A37E0"/>
    <w:rsid w:val="005A443A"/>
    <w:rsid w:val="005A65C5"/>
    <w:rsid w:val="005A7879"/>
    <w:rsid w:val="005A7AC3"/>
    <w:rsid w:val="005B0A5A"/>
    <w:rsid w:val="005B4F27"/>
    <w:rsid w:val="005B59A3"/>
    <w:rsid w:val="005B6F95"/>
    <w:rsid w:val="005B72C7"/>
    <w:rsid w:val="005C149A"/>
    <w:rsid w:val="005C1BB9"/>
    <w:rsid w:val="005C2AA4"/>
    <w:rsid w:val="005C4003"/>
    <w:rsid w:val="005C51E8"/>
    <w:rsid w:val="005C5354"/>
    <w:rsid w:val="005C676E"/>
    <w:rsid w:val="005C69D6"/>
    <w:rsid w:val="005D0714"/>
    <w:rsid w:val="005D0716"/>
    <w:rsid w:val="005D0B33"/>
    <w:rsid w:val="005D2C9A"/>
    <w:rsid w:val="005D35F2"/>
    <w:rsid w:val="005D36C7"/>
    <w:rsid w:val="005D7869"/>
    <w:rsid w:val="005E09C8"/>
    <w:rsid w:val="005E3EC9"/>
    <w:rsid w:val="005E519B"/>
    <w:rsid w:val="005F1821"/>
    <w:rsid w:val="005F1E2F"/>
    <w:rsid w:val="005F2451"/>
    <w:rsid w:val="005F3DE2"/>
    <w:rsid w:val="005F4667"/>
    <w:rsid w:val="005F603D"/>
    <w:rsid w:val="005F6782"/>
    <w:rsid w:val="005F699D"/>
    <w:rsid w:val="005F7379"/>
    <w:rsid w:val="005F79FB"/>
    <w:rsid w:val="00600E0E"/>
    <w:rsid w:val="006012B3"/>
    <w:rsid w:val="00604406"/>
    <w:rsid w:val="006047C1"/>
    <w:rsid w:val="006052D8"/>
    <w:rsid w:val="00605F4A"/>
    <w:rsid w:val="00607822"/>
    <w:rsid w:val="00610355"/>
    <w:rsid w:val="006103AA"/>
    <w:rsid w:val="00611583"/>
    <w:rsid w:val="00612634"/>
    <w:rsid w:val="006133FC"/>
    <w:rsid w:val="00613BBF"/>
    <w:rsid w:val="00613D4C"/>
    <w:rsid w:val="00613EF0"/>
    <w:rsid w:val="00614585"/>
    <w:rsid w:val="00614A9F"/>
    <w:rsid w:val="00615EB2"/>
    <w:rsid w:val="006171E2"/>
    <w:rsid w:val="006177EB"/>
    <w:rsid w:val="006207D9"/>
    <w:rsid w:val="006220ED"/>
    <w:rsid w:val="00622B80"/>
    <w:rsid w:val="00624989"/>
    <w:rsid w:val="006257C0"/>
    <w:rsid w:val="006276AF"/>
    <w:rsid w:val="006303F0"/>
    <w:rsid w:val="0063068A"/>
    <w:rsid w:val="00630CF8"/>
    <w:rsid w:val="00631512"/>
    <w:rsid w:val="00633794"/>
    <w:rsid w:val="00633A27"/>
    <w:rsid w:val="0063661A"/>
    <w:rsid w:val="006370C9"/>
    <w:rsid w:val="00637A81"/>
    <w:rsid w:val="0064139A"/>
    <w:rsid w:val="006502A4"/>
    <w:rsid w:val="00652756"/>
    <w:rsid w:val="006538B5"/>
    <w:rsid w:val="00656651"/>
    <w:rsid w:val="00656A12"/>
    <w:rsid w:val="0066101B"/>
    <w:rsid w:val="006616AC"/>
    <w:rsid w:val="00661C54"/>
    <w:rsid w:val="006626A5"/>
    <w:rsid w:val="00666BE7"/>
    <w:rsid w:val="00666FF0"/>
    <w:rsid w:val="00667E3D"/>
    <w:rsid w:val="006724D0"/>
    <w:rsid w:val="00672CB6"/>
    <w:rsid w:val="00673280"/>
    <w:rsid w:val="0067442E"/>
    <w:rsid w:val="00674BE6"/>
    <w:rsid w:val="00674D43"/>
    <w:rsid w:val="00675702"/>
    <w:rsid w:val="006814AC"/>
    <w:rsid w:val="0068240C"/>
    <w:rsid w:val="00682B34"/>
    <w:rsid w:val="00684601"/>
    <w:rsid w:val="00684E36"/>
    <w:rsid w:val="00685440"/>
    <w:rsid w:val="0068614B"/>
    <w:rsid w:val="006861E3"/>
    <w:rsid w:val="00686231"/>
    <w:rsid w:val="006879E0"/>
    <w:rsid w:val="00687BBE"/>
    <w:rsid w:val="00690F0D"/>
    <w:rsid w:val="00692350"/>
    <w:rsid w:val="006929F3"/>
    <w:rsid w:val="00696C16"/>
    <w:rsid w:val="006A3430"/>
    <w:rsid w:val="006A50B6"/>
    <w:rsid w:val="006A79D4"/>
    <w:rsid w:val="006B1345"/>
    <w:rsid w:val="006B1FB1"/>
    <w:rsid w:val="006B3399"/>
    <w:rsid w:val="006B5A01"/>
    <w:rsid w:val="006B610C"/>
    <w:rsid w:val="006B6B22"/>
    <w:rsid w:val="006C09DD"/>
    <w:rsid w:val="006C2E9D"/>
    <w:rsid w:val="006C75E5"/>
    <w:rsid w:val="006C7A42"/>
    <w:rsid w:val="006D08B9"/>
    <w:rsid w:val="006D6521"/>
    <w:rsid w:val="006D7932"/>
    <w:rsid w:val="006E024F"/>
    <w:rsid w:val="006E0314"/>
    <w:rsid w:val="006E0595"/>
    <w:rsid w:val="006E381E"/>
    <w:rsid w:val="006E4E81"/>
    <w:rsid w:val="006E5112"/>
    <w:rsid w:val="006F05E3"/>
    <w:rsid w:val="006F1B5E"/>
    <w:rsid w:val="006F419E"/>
    <w:rsid w:val="006F4339"/>
    <w:rsid w:val="006F43C5"/>
    <w:rsid w:val="006F7CA8"/>
    <w:rsid w:val="00701DA6"/>
    <w:rsid w:val="00702D2D"/>
    <w:rsid w:val="0070619B"/>
    <w:rsid w:val="00707951"/>
    <w:rsid w:val="00707F7D"/>
    <w:rsid w:val="00710434"/>
    <w:rsid w:val="007146C8"/>
    <w:rsid w:val="0071669A"/>
    <w:rsid w:val="00717614"/>
    <w:rsid w:val="00717EC5"/>
    <w:rsid w:val="00722FE7"/>
    <w:rsid w:val="0072356C"/>
    <w:rsid w:val="007243C8"/>
    <w:rsid w:val="00726E4F"/>
    <w:rsid w:val="00731693"/>
    <w:rsid w:val="007318A9"/>
    <w:rsid w:val="007326B5"/>
    <w:rsid w:val="00732745"/>
    <w:rsid w:val="007338EE"/>
    <w:rsid w:val="00733AC3"/>
    <w:rsid w:val="0073435F"/>
    <w:rsid w:val="00735B9D"/>
    <w:rsid w:val="00737B80"/>
    <w:rsid w:val="00741D13"/>
    <w:rsid w:val="00742725"/>
    <w:rsid w:val="00743982"/>
    <w:rsid w:val="007460F1"/>
    <w:rsid w:val="00746BD9"/>
    <w:rsid w:val="00750C6C"/>
    <w:rsid w:val="00751C83"/>
    <w:rsid w:val="00752583"/>
    <w:rsid w:val="00753FD1"/>
    <w:rsid w:val="0075439D"/>
    <w:rsid w:val="00754742"/>
    <w:rsid w:val="0075481D"/>
    <w:rsid w:val="00756FB7"/>
    <w:rsid w:val="0076005F"/>
    <w:rsid w:val="007608AF"/>
    <w:rsid w:val="00763254"/>
    <w:rsid w:val="007640A3"/>
    <w:rsid w:val="007651A6"/>
    <w:rsid w:val="00766670"/>
    <w:rsid w:val="00766AD8"/>
    <w:rsid w:val="0076719B"/>
    <w:rsid w:val="00775238"/>
    <w:rsid w:val="00776326"/>
    <w:rsid w:val="007764C0"/>
    <w:rsid w:val="00776506"/>
    <w:rsid w:val="00777139"/>
    <w:rsid w:val="00777576"/>
    <w:rsid w:val="0078195F"/>
    <w:rsid w:val="00783F7F"/>
    <w:rsid w:val="0078586F"/>
    <w:rsid w:val="007909AA"/>
    <w:rsid w:val="00792107"/>
    <w:rsid w:val="0079299A"/>
    <w:rsid w:val="00793148"/>
    <w:rsid w:val="00793D06"/>
    <w:rsid w:val="00794B22"/>
    <w:rsid w:val="007A15DA"/>
    <w:rsid w:val="007A28FC"/>
    <w:rsid w:val="007A57F2"/>
    <w:rsid w:val="007B1333"/>
    <w:rsid w:val="007B24C8"/>
    <w:rsid w:val="007B45C5"/>
    <w:rsid w:val="007B7E54"/>
    <w:rsid w:val="007C044D"/>
    <w:rsid w:val="007C1691"/>
    <w:rsid w:val="007C234D"/>
    <w:rsid w:val="007C36A2"/>
    <w:rsid w:val="007C3BA7"/>
    <w:rsid w:val="007C4CFC"/>
    <w:rsid w:val="007C55AD"/>
    <w:rsid w:val="007D0ACE"/>
    <w:rsid w:val="007D3631"/>
    <w:rsid w:val="007D5951"/>
    <w:rsid w:val="007D6250"/>
    <w:rsid w:val="007D7EC1"/>
    <w:rsid w:val="007E0412"/>
    <w:rsid w:val="007E0FB5"/>
    <w:rsid w:val="007E23A3"/>
    <w:rsid w:val="007E257D"/>
    <w:rsid w:val="007E2D9F"/>
    <w:rsid w:val="007E39B1"/>
    <w:rsid w:val="007E3E1C"/>
    <w:rsid w:val="007F1A39"/>
    <w:rsid w:val="007F1FEE"/>
    <w:rsid w:val="007F264F"/>
    <w:rsid w:val="007F4A89"/>
    <w:rsid w:val="007F4AEB"/>
    <w:rsid w:val="007F6239"/>
    <w:rsid w:val="007F75B2"/>
    <w:rsid w:val="007F7F00"/>
    <w:rsid w:val="00801791"/>
    <w:rsid w:val="00803372"/>
    <w:rsid w:val="008043C4"/>
    <w:rsid w:val="00807E1E"/>
    <w:rsid w:val="00807EB8"/>
    <w:rsid w:val="008124B8"/>
    <w:rsid w:val="00813226"/>
    <w:rsid w:val="00813976"/>
    <w:rsid w:val="00813DFB"/>
    <w:rsid w:val="00815588"/>
    <w:rsid w:val="008157C0"/>
    <w:rsid w:val="00820139"/>
    <w:rsid w:val="00820E8E"/>
    <w:rsid w:val="008221FB"/>
    <w:rsid w:val="008242CC"/>
    <w:rsid w:val="00825070"/>
    <w:rsid w:val="00827A91"/>
    <w:rsid w:val="00830309"/>
    <w:rsid w:val="00831B1B"/>
    <w:rsid w:val="008354B4"/>
    <w:rsid w:val="008358E0"/>
    <w:rsid w:val="00840938"/>
    <w:rsid w:val="00840F99"/>
    <w:rsid w:val="00841D76"/>
    <w:rsid w:val="008434E7"/>
    <w:rsid w:val="00846BC4"/>
    <w:rsid w:val="00847A8C"/>
    <w:rsid w:val="00850AAD"/>
    <w:rsid w:val="008514B8"/>
    <w:rsid w:val="008518E7"/>
    <w:rsid w:val="0085193E"/>
    <w:rsid w:val="00852098"/>
    <w:rsid w:val="0085235F"/>
    <w:rsid w:val="00852368"/>
    <w:rsid w:val="008538A7"/>
    <w:rsid w:val="00856098"/>
    <w:rsid w:val="00861D0E"/>
    <w:rsid w:val="00861F45"/>
    <w:rsid w:val="00862854"/>
    <w:rsid w:val="0086334D"/>
    <w:rsid w:val="00863D68"/>
    <w:rsid w:val="00865FA6"/>
    <w:rsid w:val="00866BA8"/>
    <w:rsid w:val="00867569"/>
    <w:rsid w:val="00867807"/>
    <w:rsid w:val="0087060D"/>
    <w:rsid w:val="00870CF3"/>
    <w:rsid w:val="00872214"/>
    <w:rsid w:val="008727FA"/>
    <w:rsid w:val="00872B8E"/>
    <w:rsid w:val="008804D0"/>
    <w:rsid w:val="0088129D"/>
    <w:rsid w:val="00884029"/>
    <w:rsid w:val="00887972"/>
    <w:rsid w:val="008914B7"/>
    <w:rsid w:val="00891C37"/>
    <w:rsid w:val="00891D95"/>
    <w:rsid w:val="008945F2"/>
    <w:rsid w:val="008A0E8F"/>
    <w:rsid w:val="008A1027"/>
    <w:rsid w:val="008A18A9"/>
    <w:rsid w:val="008A287F"/>
    <w:rsid w:val="008A6342"/>
    <w:rsid w:val="008A6A3B"/>
    <w:rsid w:val="008A750A"/>
    <w:rsid w:val="008B225C"/>
    <w:rsid w:val="008B4550"/>
    <w:rsid w:val="008B7891"/>
    <w:rsid w:val="008C00A5"/>
    <w:rsid w:val="008C0108"/>
    <w:rsid w:val="008C27B1"/>
    <w:rsid w:val="008C384C"/>
    <w:rsid w:val="008C45BF"/>
    <w:rsid w:val="008C502E"/>
    <w:rsid w:val="008D0F11"/>
    <w:rsid w:val="008D136D"/>
    <w:rsid w:val="008D2561"/>
    <w:rsid w:val="008D5298"/>
    <w:rsid w:val="008D6F55"/>
    <w:rsid w:val="008E15B5"/>
    <w:rsid w:val="008E29EF"/>
    <w:rsid w:val="008E68EB"/>
    <w:rsid w:val="008E7E4F"/>
    <w:rsid w:val="008F0222"/>
    <w:rsid w:val="008F35E4"/>
    <w:rsid w:val="008F4513"/>
    <w:rsid w:val="008F73B4"/>
    <w:rsid w:val="008F7E5F"/>
    <w:rsid w:val="00900EDB"/>
    <w:rsid w:val="009015C7"/>
    <w:rsid w:val="0090404E"/>
    <w:rsid w:val="009061A5"/>
    <w:rsid w:val="00906ECF"/>
    <w:rsid w:val="0090741A"/>
    <w:rsid w:val="00907ADB"/>
    <w:rsid w:val="00911AC8"/>
    <w:rsid w:val="00916073"/>
    <w:rsid w:val="009168C2"/>
    <w:rsid w:val="00917CA6"/>
    <w:rsid w:val="00920317"/>
    <w:rsid w:val="0092081A"/>
    <w:rsid w:val="00920D32"/>
    <w:rsid w:val="00922570"/>
    <w:rsid w:val="0092310A"/>
    <w:rsid w:val="00927ADE"/>
    <w:rsid w:val="00927DD9"/>
    <w:rsid w:val="00930B3C"/>
    <w:rsid w:val="00931A52"/>
    <w:rsid w:val="00931B1D"/>
    <w:rsid w:val="00933883"/>
    <w:rsid w:val="009357BD"/>
    <w:rsid w:val="00936D58"/>
    <w:rsid w:val="009372DF"/>
    <w:rsid w:val="00937610"/>
    <w:rsid w:val="009405D2"/>
    <w:rsid w:val="00941335"/>
    <w:rsid w:val="009416A7"/>
    <w:rsid w:val="00942BAF"/>
    <w:rsid w:val="00942D88"/>
    <w:rsid w:val="00943AD2"/>
    <w:rsid w:val="00944126"/>
    <w:rsid w:val="0095227E"/>
    <w:rsid w:val="009544CC"/>
    <w:rsid w:val="00956495"/>
    <w:rsid w:val="00960BF2"/>
    <w:rsid w:val="00961ECD"/>
    <w:rsid w:val="0096328A"/>
    <w:rsid w:val="00963E6F"/>
    <w:rsid w:val="00964190"/>
    <w:rsid w:val="009678FC"/>
    <w:rsid w:val="009701AB"/>
    <w:rsid w:val="00971D38"/>
    <w:rsid w:val="009729CD"/>
    <w:rsid w:val="00973287"/>
    <w:rsid w:val="00973301"/>
    <w:rsid w:val="009740BF"/>
    <w:rsid w:val="00976B5B"/>
    <w:rsid w:val="00976D97"/>
    <w:rsid w:val="0098149A"/>
    <w:rsid w:val="00982C53"/>
    <w:rsid w:val="00984434"/>
    <w:rsid w:val="00984499"/>
    <w:rsid w:val="00985EE5"/>
    <w:rsid w:val="009873F0"/>
    <w:rsid w:val="00987FFE"/>
    <w:rsid w:val="0099050D"/>
    <w:rsid w:val="00991E8D"/>
    <w:rsid w:val="00992601"/>
    <w:rsid w:val="009950AF"/>
    <w:rsid w:val="009958A1"/>
    <w:rsid w:val="00995DA7"/>
    <w:rsid w:val="009A1871"/>
    <w:rsid w:val="009A38F9"/>
    <w:rsid w:val="009A3ACE"/>
    <w:rsid w:val="009A4753"/>
    <w:rsid w:val="009A4B79"/>
    <w:rsid w:val="009A5942"/>
    <w:rsid w:val="009A5C79"/>
    <w:rsid w:val="009B16D4"/>
    <w:rsid w:val="009B3B40"/>
    <w:rsid w:val="009B4969"/>
    <w:rsid w:val="009B55B1"/>
    <w:rsid w:val="009B68A7"/>
    <w:rsid w:val="009C15DC"/>
    <w:rsid w:val="009C4150"/>
    <w:rsid w:val="009C6103"/>
    <w:rsid w:val="009C7AA7"/>
    <w:rsid w:val="009C7BF5"/>
    <w:rsid w:val="009D055A"/>
    <w:rsid w:val="009D0BD5"/>
    <w:rsid w:val="009D4881"/>
    <w:rsid w:val="009E0621"/>
    <w:rsid w:val="009E1BCE"/>
    <w:rsid w:val="009E2AB5"/>
    <w:rsid w:val="009E31D4"/>
    <w:rsid w:val="009E52CF"/>
    <w:rsid w:val="009E617C"/>
    <w:rsid w:val="009F0332"/>
    <w:rsid w:val="009F0F8D"/>
    <w:rsid w:val="009F116F"/>
    <w:rsid w:val="009F276D"/>
    <w:rsid w:val="009F2D91"/>
    <w:rsid w:val="009F491A"/>
    <w:rsid w:val="009F5F23"/>
    <w:rsid w:val="009F7FD8"/>
    <w:rsid w:val="00A001F0"/>
    <w:rsid w:val="00A01EEF"/>
    <w:rsid w:val="00A0276F"/>
    <w:rsid w:val="00A02E15"/>
    <w:rsid w:val="00A041BC"/>
    <w:rsid w:val="00A0458C"/>
    <w:rsid w:val="00A05534"/>
    <w:rsid w:val="00A07E96"/>
    <w:rsid w:val="00A1071A"/>
    <w:rsid w:val="00A10F29"/>
    <w:rsid w:val="00A13C0B"/>
    <w:rsid w:val="00A14819"/>
    <w:rsid w:val="00A15B50"/>
    <w:rsid w:val="00A15BC6"/>
    <w:rsid w:val="00A15C6C"/>
    <w:rsid w:val="00A2003A"/>
    <w:rsid w:val="00A20BED"/>
    <w:rsid w:val="00A2262B"/>
    <w:rsid w:val="00A23096"/>
    <w:rsid w:val="00A233AA"/>
    <w:rsid w:val="00A32891"/>
    <w:rsid w:val="00A33E60"/>
    <w:rsid w:val="00A35F83"/>
    <w:rsid w:val="00A37A32"/>
    <w:rsid w:val="00A404D4"/>
    <w:rsid w:val="00A40856"/>
    <w:rsid w:val="00A4248F"/>
    <w:rsid w:val="00A431FA"/>
    <w:rsid w:val="00A4343D"/>
    <w:rsid w:val="00A438DA"/>
    <w:rsid w:val="00A448C7"/>
    <w:rsid w:val="00A45C7B"/>
    <w:rsid w:val="00A46B64"/>
    <w:rsid w:val="00A46E13"/>
    <w:rsid w:val="00A502F1"/>
    <w:rsid w:val="00A525AF"/>
    <w:rsid w:val="00A53140"/>
    <w:rsid w:val="00A55C4E"/>
    <w:rsid w:val="00A56C80"/>
    <w:rsid w:val="00A60E41"/>
    <w:rsid w:val="00A63DD4"/>
    <w:rsid w:val="00A65A70"/>
    <w:rsid w:val="00A662D0"/>
    <w:rsid w:val="00A70A83"/>
    <w:rsid w:val="00A73918"/>
    <w:rsid w:val="00A74120"/>
    <w:rsid w:val="00A75F37"/>
    <w:rsid w:val="00A761CF"/>
    <w:rsid w:val="00A7683E"/>
    <w:rsid w:val="00A774B2"/>
    <w:rsid w:val="00A7774A"/>
    <w:rsid w:val="00A81EB3"/>
    <w:rsid w:val="00A826E6"/>
    <w:rsid w:val="00A8291E"/>
    <w:rsid w:val="00A84430"/>
    <w:rsid w:val="00A860F4"/>
    <w:rsid w:val="00A86219"/>
    <w:rsid w:val="00A873BA"/>
    <w:rsid w:val="00A904D9"/>
    <w:rsid w:val="00A92693"/>
    <w:rsid w:val="00A93025"/>
    <w:rsid w:val="00A9504A"/>
    <w:rsid w:val="00A950C7"/>
    <w:rsid w:val="00A961DA"/>
    <w:rsid w:val="00A969A9"/>
    <w:rsid w:val="00A97AD4"/>
    <w:rsid w:val="00A97CA2"/>
    <w:rsid w:val="00AA1B32"/>
    <w:rsid w:val="00AA3711"/>
    <w:rsid w:val="00AA439D"/>
    <w:rsid w:val="00AA4ECF"/>
    <w:rsid w:val="00AA6E75"/>
    <w:rsid w:val="00AB208F"/>
    <w:rsid w:val="00AB22E1"/>
    <w:rsid w:val="00AB2399"/>
    <w:rsid w:val="00AB410C"/>
    <w:rsid w:val="00AB594C"/>
    <w:rsid w:val="00AB5CFD"/>
    <w:rsid w:val="00AB73C1"/>
    <w:rsid w:val="00AB7ADF"/>
    <w:rsid w:val="00AC4564"/>
    <w:rsid w:val="00AC60CC"/>
    <w:rsid w:val="00AC6A14"/>
    <w:rsid w:val="00AC72CC"/>
    <w:rsid w:val="00AD09C9"/>
    <w:rsid w:val="00AD5C35"/>
    <w:rsid w:val="00AD6519"/>
    <w:rsid w:val="00AD6CA9"/>
    <w:rsid w:val="00AD6D62"/>
    <w:rsid w:val="00AE3964"/>
    <w:rsid w:val="00AE59AB"/>
    <w:rsid w:val="00AE5C88"/>
    <w:rsid w:val="00AE63EF"/>
    <w:rsid w:val="00AF2358"/>
    <w:rsid w:val="00AF40A6"/>
    <w:rsid w:val="00AF63B0"/>
    <w:rsid w:val="00AF66FA"/>
    <w:rsid w:val="00AF78C1"/>
    <w:rsid w:val="00B00C1D"/>
    <w:rsid w:val="00B01408"/>
    <w:rsid w:val="00B043D9"/>
    <w:rsid w:val="00B06174"/>
    <w:rsid w:val="00B07CA2"/>
    <w:rsid w:val="00B10B53"/>
    <w:rsid w:val="00B1299C"/>
    <w:rsid w:val="00B13907"/>
    <w:rsid w:val="00B15E58"/>
    <w:rsid w:val="00B16369"/>
    <w:rsid w:val="00B1677F"/>
    <w:rsid w:val="00B16FC6"/>
    <w:rsid w:val="00B179C6"/>
    <w:rsid w:val="00B20108"/>
    <w:rsid w:val="00B20DE0"/>
    <w:rsid w:val="00B20F58"/>
    <w:rsid w:val="00B21CE7"/>
    <w:rsid w:val="00B2435B"/>
    <w:rsid w:val="00B24A8E"/>
    <w:rsid w:val="00B24C95"/>
    <w:rsid w:val="00B26AFC"/>
    <w:rsid w:val="00B26BED"/>
    <w:rsid w:val="00B26C4E"/>
    <w:rsid w:val="00B31464"/>
    <w:rsid w:val="00B328D3"/>
    <w:rsid w:val="00B33194"/>
    <w:rsid w:val="00B3323F"/>
    <w:rsid w:val="00B33880"/>
    <w:rsid w:val="00B33F33"/>
    <w:rsid w:val="00B342F4"/>
    <w:rsid w:val="00B34EDA"/>
    <w:rsid w:val="00B351F5"/>
    <w:rsid w:val="00B365F7"/>
    <w:rsid w:val="00B403FC"/>
    <w:rsid w:val="00B42F9B"/>
    <w:rsid w:val="00B435ED"/>
    <w:rsid w:val="00B44ECB"/>
    <w:rsid w:val="00B468DA"/>
    <w:rsid w:val="00B4790F"/>
    <w:rsid w:val="00B47E07"/>
    <w:rsid w:val="00B52F87"/>
    <w:rsid w:val="00B54330"/>
    <w:rsid w:val="00B54C52"/>
    <w:rsid w:val="00B57649"/>
    <w:rsid w:val="00B60120"/>
    <w:rsid w:val="00B60BBA"/>
    <w:rsid w:val="00B61E39"/>
    <w:rsid w:val="00B62E04"/>
    <w:rsid w:val="00B66166"/>
    <w:rsid w:val="00B70ECD"/>
    <w:rsid w:val="00B70FF6"/>
    <w:rsid w:val="00B7235B"/>
    <w:rsid w:val="00B72D2F"/>
    <w:rsid w:val="00B75E48"/>
    <w:rsid w:val="00B8043F"/>
    <w:rsid w:val="00B80695"/>
    <w:rsid w:val="00B817AE"/>
    <w:rsid w:val="00B83EC6"/>
    <w:rsid w:val="00B868B8"/>
    <w:rsid w:val="00B920DD"/>
    <w:rsid w:val="00B92E7A"/>
    <w:rsid w:val="00BA0F08"/>
    <w:rsid w:val="00BA439F"/>
    <w:rsid w:val="00BA5834"/>
    <w:rsid w:val="00BA6370"/>
    <w:rsid w:val="00BA6BD0"/>
    <w:rsid w:val="00BA77F0"/>
    <w:rsid w:val="00BB06CA"/>
    <w:rsid w:val="00BB6268"/>
    <w:rsid w:val="00BC1564"/>
    <w:rsid w:val="00BC6747"/>
    <w:rsid w:val="00BC6921"/>
    <w:rsid w:val="00BC692F"/>
    <w:rsid w:val="00BC748B"/>
    <w:rsid w:val="00BD1AEF"/>
    <w:rsid w:val="00BD40CD"/>
    <w:rsid w:val="00BD57B8"/>
    <w:rsid w:val="00BD6F1C"/>
    <w:rsid w:val="00BD71CC"/>
    <w:rsid w:val="00BE0028"/>
    <w:rsid w:val="00BE1CA4"/>
    <w:rsid w:val="00BE1D3B"/>
    <w:rsid w:val="00BE206D"/>
    <w:rsid w:val="00BE210B"/>
    <w:rsid w:val="00BE3302"/>
    <w:rsid w:val="00BE3335"/>
    <w:rsid w:val="00BE550F"/>
    <w:rsid w:val="00BE560B"/>
    <w:rsid w:val="00BE5C4A"/>
    <w:rsid w:val="00BE6D51"/>
    <w:rsid w:val="00BE7C44"/>
    <w:rsid w:val="00BF029D"/>
    <w:rsid w:val="00BF1519"/>
    <w:rsid w:val="00BF34CC"/>
    <w:rsid w:val="00BF37CC"/>
    <w:rsid w:val="00BF62F1"/>
    <w:rsid w:val="00C00155"/>
    <w:rsid w:val="00C007B6"/>
    <w:rsid w:val="00C0255B"/>
    <w:rsid w:val="00C04EC7"/>
    <w:rsid w:val="00C0500E"/>
    <w:rsid w:val="00C051D5"/>
    <w:rsid w:val="00C054BF"/>
    <w:rsid w:val="00C05AE7"/>
    <w:rsid w:val="00C0711F"/>
    <w:rsid w:val="00C10B92"/>
    <w:rsid w:val="00C13B2D"/>
    <w:rsid w:val="00C14FA3"/>
    <w:rsid w:val="00C159FA"/>
    <w:rsid w:val="00C17B2C"/>
    <w:rsid w:val="00C2080D"/>
    <w:rsid w:val="00C22415"/>
    <w:rsid w:val="00C2278C"/>
    <w:rsid w:val="00C232B3"/>
    <w:rsid w:val="00C2354F"/>
    <w:rsid w:val="00C24B18"/>
    <w:rsid w:val="00C26525"/>
    <w:rsid w:val="00C269D4"/>
    <w:rsid w:val="00C26D85"/>
    <w:rsid w:val="00C30A81"/>
    <w:rsid w:val="00C3197B"/>
    <w:rsid w:val="00C35652"/>
    <w:rsid w:val="00C36AD6"/>
    <w:rsid w:val="00C4160D"/>
    <w:rsid w:val="00C42CB8"/>
    <w:rsid w:val="00C4301F"/>
    <w:rsid w:val="00C439CF"/>
    <w:rsid w:val="00C43DB8"/>
    <w:rsid w:val="00C45B06"/>
    <w:rsid w:val="00C50BEB"/>
    <w:rsid w:val="00C510FD"/>
    <w:rsid w:val="00C5191D"/>
    <w:rsid w:val="00C51B65"/>
    <w:rsid w:val="00C52C3F"/>
    <w:rsid w:val="00C54720"/>
    <w:rsid w:val="00C54EDD"/>
    <w:rsid w:val="00C558B2"/>
    <w:rsid w:val="00C5698F"/>
    <w:rsid w:val="00C576EC"/>
    <w:rsid w:val="00C57B79"/>
    <w:rsid w:val="00C60451"/>
    <w:rsid w:val="00C60AE0"/>
    <w:rsid w:val="00C61158"/>
    <w:rsid w:val="00C63561"/>
    <w:rsid w:val="00C63A88"/>
    <w:rsid w:val="00C65315"/>
    <w:rsid w:val="00C658B8"/>
    <w:rsid w:val="00C65FAA"/>
    <w:rsid w:val="00C6637E"/>
    <w:rsid w:val="00C67D2D"/>
    <w:rsid w:val="00C74370"/>
    <w:rsid w:val="00C743A0"/>
    <w:rsid w:val="00C74A84"/>
    <w:rsid w:val="00C7537C"/>
    <w:rsid w:val="00C7577F"/>
    <w:rsid w:val="00C7585A"/>
    <w:rsid w:val="00C8406E"/>
    <w:rsid w:val="00C864A9"/>
    <w:rsid w:val="00C86BDB"/>
    <w:rsid w:val="00C874BC"/>
    <w:rsid w:val="00C87B18"/>
    <w:rsid w:val="00C91009"/>
    <w:rsid w:val="00C91BB8"/>
    <w:rsid w:val="00C92874"/>
    <w:rsid w:val="00C947EC"/>
    <w:rsid w:val="00C950A2"/>
    <w:rsid w:val="00C95A4D"/>
    <w:rsid w:val="00C96221"/>
    <w:rsid w:val="00C969E1"/>
    <w:rsid w:val="00C97062"/>
    <w:rsid w:val="00CA1B47"/>
    <w:rsid w:val="00CA2A0A"/>
    <w:rsid w:val="00CA2CFD"/>
    <w:rsid w:val="00CA4B6F"/>
    <w:rsid w:val="00CB088B"/>
    <w:rsid w:val="00CB19EA"/>
    <w:rsid w:val="00CB1D8D"/>
    <w:rsid w:val="00CB2709"/>
    <w:rsid w:val="00CB5EA3"/>
    <w:rsid w:val="00CB6F89"/>
    <w:rsid w:val="00CC098E"/>
    <w:rsid w:val="00CC2897"/>
    <w:rsid w:val="00CC410E"/>
    <w:rsid w:val="00CD07B7"/>
    <w:rsid w:val="00CD0981"/>
    <w:rsid w:val="00CD547F"/>
    <w:rsid w:val="00CD64C4"/>
    <w:rsid w:val="00CD7418"/>
    <w:rsid w:val="00CE0364"/>
    <w:rsid w:val="00CE07E7"/>
    <w:rsid w:val="00CE1C49"/>
    <w:rsid w:val="00CE1CC5"/>
    <w:rsid w:val="00CE1E87"/>
    <w:rsid w:val="00CE228C"/>
    <w:rsid w:val="00CE3027"/>
    <w:rsid w:val="00CE3410"/>
    <w:rsid w:val="00CE3CED"/>
    <w:rsid w:val="00CE615B"/>
    <w:rsid w:val="00CE6C12"/>
    <w:rsid w:val="00CE75DD"/>
    <w:rsid w:val="00CF1CFF"/>
    <w:rsid w:val="00CF1E81"/>
    <w:rsid w:val="00CF22AA"/>
    <w:rsid w:val="00CF27B5"/>
    <w:rsid w:val="00CF2886"/>
    <w:rsid w:val="00CF344C"/>
    <w:rsid w:val="00CF37D7"/>
    <w:rsid w:val="00CF3C2E"/>
    <w:rsid w:val="00CF4669"/>
    <w:rsid w:val="00CF507F"/>
    <w:rsid w:val="00CF545B"/>
    <w:rsid w:val="00CF5795"/>
    <w:rsid w:val="00CF707A"/>
    <w:rsid w:val="00D03A5E"/>
    <w:rsid w:val="00D03F01"/>
    <w:rsid w:val="00D0656D"/>
    <w:rsid w:val="00D11FF5"/>
    <w:rsid w:val="00D13375"/>
    <w:rsid w:val="00D16B34"/>
    <w:rsid w:val="00D175AA"/>
    <w:rsid w:val="00D20BA5"/>
    <w:rsid w:val="00D20BD0"/>
    <w:rsid w:val="00D21345"/>
    <w:rsid w:val="00D22D06"/>
    <w:rsid w:val="00D25B5F"/>
    <w:rsid w:val="00D26769"/>
    <w:rsid w:val="00D27B3D"/>
    <w:rsid w:val="00D27D69"/>
    <w:rsid w:val="00D33100"/>
    <w:rsid w:val="00D33DFC"/>
    <w:rsid w:val="00D432E3"/>
    <w:rsid w:val="00D43488"/>
    <w:rsid w:val="00D44452"/>
    <w:rsid w:val="00D4470F"/>
    <w:rsid w:val="00D448C2"/>
    <w:rsid w:val="00D502CF"/>
    <w:rsid w:val="00D573FE"/>
    <w:rsid w:val="00D60BAF"/>
    <w:rsid w:val="00D62931"/>
    <w:rsid w:val="00D657AC"/>
    <w:rsid w:val="00D666C3"/>
    <w:rsid w:val="00D718B9"/>
    <w:rsid w:val="00D71C1C"/>
    <w:rsid w:val="00D74DBA"/>
    <w:rsid w:val="00D806A3"/>
    <w:rsid w:val="00D80EFF"/>
    <w:rsid w:val="00D80F3C"/>
    <w:rsid w:val="00D819D0"/>
    <w:rsid w:val="00D83BC6"/>
    <w:rsid w:val="00D83EE9"/>
    <w:rsid w:val="00D852D4"/>
    <w:rsid w:val="00D85B40"/>
    <w:rsid w:val="00D86734"/>
    <w:rsid w:val="00D87206"/>
    <w:rsid w:val="00D875B2"/>
    <w:rsid w:val="00D9137B"/>
    <w:rsid w:val="00D93B67"/>
    <w:rsid w:val="00D9542B"/>
    <w:rsid w:val="00D959E2"/>
    <w:rsid w:val="00D95EA7"/>
    <w:rsid w:val="00D97040"/>
    <w:rsid w:val="00DA0096"/>
    <w:rsid w:val="00DA05BA"/>
    <w:rsid w:val="00DA10C1"/>
    <w:rsid w:val="00DA1298"/>
    <w:rsid w:val="00DA2F85"/>
    <w:rsid w:val="00DA3AE5"/>
    <w:rsid w:val="00DA3ED4"/>
    <w:rsid w:val="00DA56DA"/>
    <w:rsid w:val="00DA6116"/>
    <w:rsid w:val="00DA6EE0"/>
    <w:rsid w:val="00DA7747"/>
    <w:rsid w:val="00DA7A94"/>
    <w:rsid w:val="00DB0771"/>
    <w:rsid w:val="00DB0CC6"/>
    <w:rsid w:val="00DB2214"/>
    <w:rsid w:val="00DB3CBA"/>
    <w:rsid w:val="00DB4709"/>
    <w:rsid w:val="00DB4E76"/>
    <w:rsid w:val="00DB60A2"/>
    <w:rsid w:val="00DB7976"/>
    <w:rsid w:val="00DB7C60"/>
    <w:rsid w:val="00DC4BEF"/>
    <w:rsid w:val="00DC4DBF"/>
    <w:rsid w:val="00DC5E7F"/>
    <w:rsid w:val="00DC6E28"/>
    <w:rsid w:val="00DD0AD6"/>
    <w:rsid w:val="00DD0BA9"/>
    <w:rsid w:val="00DD1DC3"/>
    <w:rsid w:val="00DD1EAE"/>
    <w:rsid w:val="00DD1F40"/>
    <w:rsid w:val="00DD2662"/>
    <w:rsid w:val="00DD4CB4"/>
    <w:rsid w:val="00DD6C3A"/>
    <w:rsid w:val="00DE0702"/>
    <w:rsid w:val="00DE0ACA"/>
    <w:rsid w:val="00DE3DA2"/>
    <w:rsid w:val="00DE4A84"/>
    <w:rsid w:val="00DE4D6D"/>
    <w:rsid w:val="00DE4E56"/>
    <w:rsid w:val="00DE6BE6"/>
    <w:rsid w:val="00DF091E"/>
    <w:rsid w:val="00DF1DE4"/>
    <w:rsid w:val="00DF47FE"/>
    <w:rsid w:val="00DF6A83"/>
    <w:rsid w:val="00E00CD4"/>
    <w:rsid w:val="00E014D6"/>
    <w:rsid w:val="00E017FD"/>
    <w:rsid w:val="00E0186F"/>
    <w:rsid w:val="00E1074D"/>
    <w:rsid w:val="00E1126E"/>
    <w:rsid w:val="00E11D10"/>
    <w:rsid w:val="00E12C71"/>
    <w:rsid w:val="00E13EE8"/>
    <w:rsid w:val="00E1614A"/>
    <w:rsid w:val="00E165D2"/>
    <w:rsid w:val="00E16ACA"/>
    <w:rsid w:val="00E20705"/>
    <w:rsid w:val="00E21F33"/>
    <w:rsid w:val="00E2204B"/>
    <w:rsid w:val="00E23803"/>
    <w:rsid w:val="00E2448E"/>
    <w:rsid w:val="00E26081"/>
    <w:rsid w:val="00E260AC"/>
    <w:rsid w:val="00E26704"/>
    <w:rsid w:val="00E2689A"/>
    <w:rsid w:val="00E26A5C"/>
    <w:rsid w:val="00E26E5D"/>
    <w:rsid w:val="00E26E70"/>
    <w:rsid w:val="00E2757D"/>
    <w:rsid w:val="00E309BB"/>
    <w:rsid w:val="00E316C8"/>
    <w:rsid w:val="00E3189B"/>
    <w:rsid w:val="00E31980"/>
    <w:rsid w:val="00E330F7"/>
    <w:rsid w:val="00E369AB"/>
    <w:rsid w:val="00E3719D"/>
    <w:rsid w:val="00E41272"/>
    <w:rsid w:val="00E41331"/>
    <w:rsid w:val="00E4152F"/>
    <w:rsid w:val="00E41970"/>
    <w:rsid w:val="00E421D3"/>
    <w:rsid w:val="00E424B7"/>
    <w:rsid w:val="00E42E00"/>
    <w:rsid w:val="00E46082"/>
    <w:rsid w:val="00E52B7F"/>
    <w:rsid w:val="00E52E01"/>
    <w:rsid w:val="00E564C0"/>
    <w:rsid w:val="00E571BD"/>
    <w:rsid w:val="00E57C4B"/>
    <w:rsid w:val="00E620E4"/>
    <w:rsid w:val="00E63873"/>
    <w:rsid w:val="00E63E1E"/>
    <w:rsid w:val="00E6423C"/>
    <w:rsid w:val="00E64284"/>
    <w:rsid w:val="00E64DE8"/>
    <w:rsid w:val="00E700E6"/>
    <w:rsid w:val="00E70818"/>
    <w:rsid w:val="00E72B57"/>
    <w:rsid w:val="00E7483E"/>
    <w:rsid w:val="00E754BF"/>
    <w:rsid w:val="00E77C6D"/>
    <w:rsid w:val="00E77C90"/>
    <w:rsid w:val="00E82FD0"/>
    <w:rsid w:val="00E83BCC"/>
    <w:rsid w:val="00E8434E"/>
    <w:rsid w:val="00E843B7"/>
    <w:rsid w:val="00E910B6"/>
    <w:rsid w:val="00E9181E"/>
    <w:rsid w:val="00E92F26"/>
    <w:rsid w:val="00E9349A"/>
    <w:rsid w:val="00E93830"/>
    <w:rsid w:val="00E93E0E"/>
    <w:rsid w:val="00E94B66"/>
    <w:rsid w:val="00EA0A2C"/>
    <w:rsid w:val="00EA1DBD"/>
    <w:rsid w:val="00EA3AFD"/>
    <w:rsid w:val="00EA48C2"/>
    <w:rsid w:val="00EA65C0"/>
    <w:rsid w:val="00EA7AF3"/>
    <w:rsid w:val="00EA7B94"/>
    <w:rsid w:val="00EA7F86"/>
    <w:rsid w:val="00EB01C0"/>
    <w:rsid w:val="00EB1ED3"/>
    <w:rsid w:val="00EB2E1B"/>
    <w:rsid w:val="00EB3C89"/>
    <w:rsid w:val="00EB4B5C"/>
    <w:rsid w:val="00EB630F"/>
    <w:rsid w:val="00EB6F45"/>
    <w:rsid w:val="00EC12DA"/>
    <w:rsid w:val="00EC2D51"/>
    <w:rsid w:val="00EC659E"/>
    <w:rsid w:val="00EC6791"/>
    <w:rsid w:val="00EC6D60"/>
    <w:rsid w:val="00EC7AEF"/>
    <w:rsid w:val="00ED01DB"/>
    <w:rsid w:val="00ED055F"/>
    <w:rsid w:val="00ED3B49"/>
    <w:rsid w:val="00ED6FE8"/>
    <w:rsid w:val="00ED7B69"/>
    <w:rsid w:val="00EE227D"/>
    <w:rsid w:val="00EE3D9D"/>
    <w:rsid w:val="00EE4713"/>
    <w:rsid w:val="00EE484C"/>
    <w:rsid w:val="00EE4F33"/>
    <w:rsid w:val="00EE5BCA"/>
    <w:rsid w:val="00EF0152"/>
    <w:rsid w:val="00EF05BD"/>
    <w:rsid w:val="00EF38F4"/>
    <w:rsid w:val="00EF3A5B"/>
    <w:rsid w:val="00EF3B9E"/>
    <w:rsid w:val="00EF625A"/>
    <w:rsid w:val="00EF788F"/>
    <w:rsid w:val="00F0005E"/>
    <w:rsid w:val="00F00922"/>
    <w:rsid w:val="00F00AEE"/>
    <w:rsid w:val="00F03815"/>
    <w:rsid w:val="00F0500E"/>
    <w:rsid w:val="00F068AE"/>
    <w:rsid w:val="00F1049C"/>
    <w:rsid w:val="00F12768"/>
    <w:rsid w:val="00F12A9A"/>
    <w:rsid w:val="00F13564"/>
    <w:rsid w:val="00F13F05"/>
    <w:rsid w:val="00F169B0"/>
    <w:rsid w:val="00F174C2"/>
    <w:rsid w:val="00F179FE"/>
    <w:rsid w:val="00F21DB3"/>
    <w:rsid w:val="00F220C4"/>
    <w:rsid w:val="00F23E34"/>
    <w:rsid w:val="00F26395"/>
    <w:rsid w:val="00F271A0"/>
    <w:rsid w:val="00F2781C"/>
    <w:rsid w:val="00F27EFE"/>
    <w:rsid w:val="00F30003"/>
    <w:rsid w:val="00F32DA4"/>
    <w:rsid w:val="00F35441"/>
    <w:rsid w:val="00F3675B"/>
    <w:rsid w:val="00F40602"/>
    <w:rsid w:val="00F40D9B"/>
    <w:rsid w:val="00F414CB"/>
    <w:rsid w:val="00F41E59"/>
    <w:rsid w:val="00F42BCA"/>
    <w:rsid w:val="00F4347E"/>
    <w:rsid w:val="00F45237"/>
    <w:rsid w:val="00F46655"/>
    <w:rsid w:val="00F50BF2"/>
    <w:rsid w:val="00F50CEF"/>
    <w:rsid w:val="00F515A6"/>
    <w:rsid w:val="00F51BBA"/>
    <w:rsid w:val="00F5305C"/>
    <w:rsid w:val="00F5445D"/>
    <w:rsid w:val="00F55946"/>
    <w:rsid w:val="00F56F25"/>
    <w:rsid w:val="00F578B6"/>
    <w:rsid w:val="00F61A0A"/>
    <w:rsid w:val="00F61E35"/>
    <w:rsid w:val="00F62444"/>
    <w:rsid w:val="00F62E57"/>
    <w:rsid w:val="00F6357F"/>
    <w:rsid w:val="00F64042"/>
    <w:rsid w:val="00F6479D"/>
    <w:rsid w:val="00F6760A"/>
    <w:rsid w:val="00F70CF6"/>
    <w:rsid w:val="00F72354"/>
    <w:rsid w:val="00F7297B"/>
    <w:rsid w:val="00F73A45"/>
    <w:rsid w:val="00F74BE5"/>
    <w:rsid w:val="00F74C26"/>
    <w:rsid w:val="00F77F8B"/>
    <w:rsid w:val="00F81280"/>
    <w:rsid w:val="00F81F79"/>
    <w:rsid w:val="00F82B3B"/>
    <w:rsid w:val="00F84060"/>
    <w:rsid w:val="00F907FA"/>
    <w:rsid w:val="00F90C0B"/>
    <w:rsid w:val="00F91278"/>
    <w:rsid w:val="00F91A68"/>
    <w:rsid w:val="00F91C80"/>
    <w:rsid w:val="00F92017"/>
    <w:rsid w:val="00F92950"/>
    <w:rsid w:val="00F92F9A"/>
    <w:rsid w:val="00F93F26"/>
    <w:rsid w:val="00F95B02"/>
    <w:rsid w:val="00F96F6C"/>
    <w:rsid w:val="00F97CCA"/>
    <w:rsid w:val="00FA2E2F"/>
    <w:rsid w:val="00FA3ABC"/>
    <w:rsid w:val="00FA3D9D"/>
    <w:rsid w:val="00FB0388"/>
    <w:rsid w:val="00FB109A"/>
    <w:rsid w:val="00FB11E5"/>
    <w:rsid w:val="00FB1415"/>
    <w:rsid w:val="00FB3E4B"/>
    <w:rsid w:val="00FB5889"/>
    <w:rsid w:val="00FB6173"/>
    <w:rsid w:val="00FB687C"/>
    <w:rsid w:val="00FB6BCB"/>
    <w:rsid w:val="00FB7E0F"/>
    <w:rsid w:val="00FC0B20"/>
    <w:rsid w:val="00FC5D0B"/>
    <w:rsid w:val="00FD2E7E"/>
    <w:rsid w:val="00FD3187"/>
    <w:rsid w:val="00FD5E47"/>
    <w:rsid w:val="00FD63F3"/>
    <w:rsid w:val="00FD6B25"/>
    <w:rsid w:val="00FD6D15"/>
    <w:rsid w:val="00FD6DEA"/>
    <w:rsid w:val="00FE0B91"/>
    <w:rsid w:val="00FE0C2F"/>
    <w:rsid w:val="00FE14B7"/>
    <w:rsid w:val="00FE1513"/>
    <w:rsid w:val="00FE355C"/>
    <w:rsid w:val="00FE4662"/>
    <w:rsid w:val="00FF04D9"/>
    <w:rsid w:val="00FF2D6A"/>
    <w:rsid w:val="00FF301C"/>
    <w:rsid w:val="00FF3DA2"/>
    <w:rsid w:val="00FF465A"/>
    <w:rsid w:val="00FF79E3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D29D45"/>
  <w15:docId w15:val="{9254F918-8816-4AC9-A73A-D5EE998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7F6239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7F6239"/>
    <w:rPr>
      <w:rFonts w:ascii="Arial" w:hAnsi="Arial"/>
    </w:rPr>
  </w:style>
  <w:style w:type="character" w:styleId="Znakapoznpodarou">
    <w:name w:val="footnote reference"/>
    <w:rsid w:val="007F6239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C65FAA"/>
    <w:pPr>
      <w:spacing w:after="240" w:line="240" w:lineRule="auto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FAA"/>
    <w:rPr>
      <w:rFonts w:ascii="Arial" w:eastAsia="Times New Roman" w:hAnsi="Arial"/>
    </w:rPr>
  </w:style>
  <w:style w:type="character" w:customStyle="1" w:styleId="odkaz-style-wrapper">
    <w:name w:val="odkaz-style-wrapper"/>
    <w:basedOn w:val="Standardnpsmoodstavce"/>
    <w:rsid w:val="00614585"/>
  </w:style>
  <w:style w:type="character" w:styleId="Odkaznakoment">
    <w:name w:val="annotation reference"/>
    <w:basedOn w:val="Standardnpsmoodstavce"/>
    <w:uiPriority w:val="99"/>
    <w:semiHidden/>
    <w:unhideWhenUsed/>
    <w:rsid w:val="009015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5C7"/>
    <w:pPr>
      <w:spacing w:after="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5C7"/>
    <w:rPr>
      <w:rFonts w:ascii="Arial" w:eastAsia="Times New Roman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C6E2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B5A01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Anal&#253;za%20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2Q2\grafy_sektorove_uc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2Q2\grafy_sektorove_uc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2Q2\grafy_sektorove_uct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2Q2\grafy_sektorove_uct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nal&#253;za\Sektorov&#233;%20&#250;&#269;ty\2022Q2\grafy_sektorove_uct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696006416751094E-2"/>
          <c:y val="3.9316672295395698E-2"/>
          <c:w val="0.84196935157041541"/>
          <c:h val="0.75316250140718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NP!$C$7</c:f>
              <c:strCache>
                <c:ptCount val="1"/>
                <c:pt idx="0">
                  <c:v>HPH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NP!$A$16:$B$41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NP!$C$16:$C$41</c:f>
              <c:numCache>
                <c:formatCode>0.0</c:formatCode>
                <c:ptCount val="26"/>
                <c:pt idx="0">
                  <c:v>35.908999999999999</c:v>
                </c:pt>
                <c:pt idx="1">
                  <c:v>38.994999999999997</c:v>
                </c:pt>
                <c:pt idx="2">
                  <c:v>17.914999999999999</c:v>
                </c:pt>
                <c:pt idx="3">
                  <c:v>15.045999999999999</c:v>
                </c:pt>
                <c:pt idx="4">
                  <c:v>30.613</c:v>
                </c:pt>
                <c:pt idx="5">
                  <c:v>40.911000000000001</c:v>
                </c:pt>
                <c:pt idx="6">
                  <c:v>61.198999999999998</c:v>
                </c:pt>
                <c:pt idx="7">
                  <c:v>49.415999999999997</c:v>
                </c:pt>
                <c:pt idx="8">
                  <c:v>37.255000000000003</c:v>
                </c:pt>
                <c:pt idx="9">
                  <c:v>30.933</c:v>
                </c:pt>
                <c:pt idx="10">
                  <c:v>28.498999999999999</c:v>
                </c:pt>
                <c:pt idx="11">
                  <c:v>36.008000000000003</c:v>
                </c:pt>
                <c:pt idx="12">
                  <c:v>45.710999999999999</c:v>
                </c:pt>
                <c:pt idx="13">
                  <c:v>56.304000000000002</c:v>
                </c:pt>
                <c:pt idx="14">
                  <c:v>69.814999999999998</c:v>
                </c:pt>
                <c:pt idx="15">
                  <c:v>64.856999999999999</c:v>
                </c:pt>
                <c:pt idx="16">
                  <c:v>26.132000000000001</c:v>
                </c:pt>
                <c:pt idx="17">
                  <c:v>-79.585999999999999</c:v>
                </c:pt>
                <c:pt idx="18">
                  <c:v>-22.152999999999999</c:v>
                </c:pt>
                <c:pt idx="19">
                  <c:v>-10.071</c:v>
                </c:pt>
                <c:pt idx="20" formatCode="General">
                  <c:v>12.215999999999999</c:v>
                </c:pt>
                <c:pt idx="21" formatCode="General">
                  <c:v>126.51600000000001</c:v>
                </c:pt>
                <c:pt idx="22" formatCode="General">
                  <c:v>70.186999999999998</c:v>
                </c:pt>
                <c:pt idx="23" formatCode="General">
                  <c:v>48.74</c:v>
                </c:pt>
                <c:pt idx="24" formatCode="General">
                  <c:v>76.447000000000003</c:v>
                </c:pt>
                <c:pt idx="25" formatCode="General">
                  <c:v>87.081000000000003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03-4A79-9D62-E0BF90A2B2E4}"/>
            </c:ext>
          </c:extLst>
        </c:ser>
        <c:ser>
          <c:idx val="1"/>
          <c:order val="1"/>
          <c:tx>
            <c:strRef>
              <c:f>NP!$D$7</c:f>
              <c:strCache>
                <c:ptCount val="1"/>
                <c:pt idx="0">
                  <c:v>Náhrady zaměstnancům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NP!$A$16:$B$41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NP!$D$16:$D$41</c:f>
              <c:numCache>
                <c:formatCode>0.0</c:formatCode>
                <c:ptCount val="26"/>
                <c:pt idx="0">
                  <c:v>21.411999999999999</c:v>
                </c:pt>
                <c:pt idx="1">
                  <c:v>19.292000000000002</c:v>
                </c:pt>
                <c:pt idx="2">
                  <c:v>22.242999999999999</c:v>
                </c:pt>
                <c:pt idx="3">
                  <c:v>19.733000000000001</c:v>
                </c:pt>
                <c:pt idx="4">
                  <c:v>27.047000000000001</c:v>
                </c:pt>
                <c:pt idx="5">
                  <c:v>37.268999999999998</c:v>
                </c:pt>
                <c:pt idx="6">
                  <c:v>35.341999999999999</c:v>
                </c:pt>
                <c:pt idx="7">
                  <c:v>32.363999999999997</c:v>
                </c:pt>
                <c:pt idx="8">
                  <c:v>35.039000000000001</c:v>
                </c:pt>
                <c:pt idx="9">
                  <c:v>36.268000000000001</c:v>
                </c:pt>
                <c:pt idx="10">
                  <c:v>33.268999999999998</c:v>
                </c:pt>
                <c:pt idx="11">
                  <c:v>40.823</c:v>
                </c:pt>
                <c:pt idx="12">
                  <c:v>32.991</c:v>
                </c:pt>
                <c:pt idx="13">
                  <c:v>32.084000000000003</c:v>
                </c:pt>
                <c:pt idx="14">
                  <c:v>27.997</c:v>
                </c:pt>
                <c:pt idx="15">
                  <c:v>27.196000000000002</c:v>
                </c:pt>
                <c:pt idx="16">
                  <c:v>20.518999999999998</c:v>
                </c:pt>
                <c:pt idx="17">
                  <c:v>-29.218</c:v>
                </c:pt>
                <c:pt idx="18">
                  <c:v>-6.2619999999999996</c:v>
                </c:pt>
                <c:pt idx="19">
                  <c:v>1.2110000000000001</c:v>
                </c:pt>
                <c:pt idx="20" formatCode="General">
                  <c:v>-14.981</c:v>
                </c:pt>
                <c:pt idx="21" formatCode="General">
                  <c:v>47.301000000000002</c:v>
                </c:pt>
                <c:pt idx="22" formatCode="General">
                  <c:v>42.436999999999998</c:v>
                </c:pt>
                <c:pt idx="23" formatCode="General">
                  <c:v>37.991999999999997</c:v>
                </c:pt>
                <c:pt idx="24" formatCode="General">
                  <c:v>52.496000000000002</c:v>
                </c:pt>
                <c:pt idx="25" formatCode="General">
                  <c:v>52.500999999999998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03-4A79-9D62-E0BF90A2B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overlap val="-27"/>
        <c:axId val="779606304"/>
        <c:axId val="779603392"/>
      </c:barChart>
      <c:lineChart>
        <c:grouping val="standard"/>
        <c:varyColors val="0"/>
        <c:ser>
          <c:idx val="2"/>
          <c:order val="2"/>
          <c:tx>
            <c:strRef>
              <c:f>NP!$E$7</c:f>
              <c:strCache>
                <c:ptCount val="1"/>
                <c:pt idx="0">
                  <c:v>Míra zisku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NP!$A$16:$B$41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NP!$E$16:$E$41</c:f>
              <c:numCache>
                <c:formatCode>0.0</c:formatCode>
                <c:ptCount val="26"/>
                <c:pt idx="0">
                  <c:v>49.472425509089753</c:v>
                </c:pt>
                <c:pt idx="1">
                  <c:v>49.144618538454552</c:v>
                </c:pt>
                <c:pt idx="2">
                  <c:v>48.118835342555016</c:v>
                </c:pt>
                <c:pt idx="3">
                  <c:v>47.959365375914061</c:v>
                </c:pt>
                <c:pt idx="4">
                  <c:v>47.260003038389769</c:v>
                </c:pt>
                <c:pt idx="5">
                  <c:v>47.587345943017141</c:v>
                </c:pt>
                <c:pt idx="6">
                  <c:v>47.467670805346366</c:v>
                </c:pt>
                <c:pt idx="7">
                  <c:v>47.113914035299985</c:v>
                </c:pt>
                <c:pt idx="8">
                  <c:v>45.613874808044464</c:v>
                </c:pt>
                <c:pt idx="9">
                  <c:v>45.049207198990075</c:v>
                </c:pt>
                <c:pt idx="10">
                  <c:v>45.164136911005748</c:v>
                </c:pt>
                <c:pt idx="11">
                  <c:v>44.326438330056838</c:v>
                </c:pt>
                <c:pt idx="12">
                  <c:v>44.518328230931672</c:v>
                </c:pt>
                <c:pt idx="13">
                  <c:v>45.090439590042784</c:v>
                </c:pt>
                <c:pt idx="14">
                  <c:v>45.280837928150646</c:v>
                </c:pt>
                <c:pt idx="15">
                  <c:v>45.347678268195004</c:v>
                </c:pt>
                <c:pt idx="16">
                  <c:v>43.617497070720383</c:v>
                </c:pt>
                <c:pt idx="17" formatCode="General">
                  <c:v>44.401107802199562</c:v>
                </c:pt>
                <c:pt idx="18" formatCode="General">
                  <c:v>45.645593237150472</c:v>
                </c:pt>
                <c:pt idx="19" formatCode="General">
                  <c:v>46.689833443070697</c:v>
                </c:pt>
                <c:pt idx="20" formatCode="General">
                  <c:v>48.557072421636185</c:v>
                </c:pt>
                <c:pt idx="21" formatCode="General">
                  <c:v>46.924104254919556</c:v>
                </c:pt>
                <c:pt idx="22" formatCode="General">
                  <c:v>45.558878444427563</c:v>
                </c:pt>
                <c:pt idx="23" formatCode="General">
                  <c:v>44.350458102022358</c:v>
                </c:pt>
                <c:pt idx="24" formatCode="General">
                  <c:v>44.673864623717094</c:v>
                </c:pt>
                <c:pt idx="25" formatCode="General">
                  <c:v>44.659732496798924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03-4A79-9D62-E0BF90A2B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5184"/>
        <c:axId val="787196880"/>
      </c:lineChart>
      <c:catAx>
        <c:axId val="7796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3392"/>
        <c:crosses val="autoZero"/>
        <c:auto val="1"/>
        <c:lblAlgn val="ctr"/>
        <c:lblOffset val="100"/>
        <c:noMultiLvlLbl val="0"/>
      </c:catAx>
      <c:valAx>
        <c:axId val="779603392"/>
        <c:scaling>
          <c:orientation val="minMax"/>
          <c:min val="-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HPH, </a:t>
                </a:r>
                <a:r>
                  <a:rPr lang="cs-CZ"/>
                  <a:t>ná</a:t>
                </a:r>
                <a:r>
                  <a:rPr lang="en-US"/>
                  <a:t>hrady</a:t>
                </a:r>
                <a:r>
                  <a:rPr lang="cs-CZ"/>
                  <a:t> zaměstnancům (mld. korun)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6304"/>
        <c:crosses val="autoZero"/>
        <c:crossBetween val="between"/>
        <c:majorUnit val="30"/>
      </c:valAx>
      <c:valAx>
        <c:axId val="787196880"/>
        <c:scaling>
          <c:orientation val="minMax"/>
          <c:min val="43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/>
                  <a:t>Míra zisku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5184"/>
        <c:crosses val="max"/>
        <c:crossBetween val="between"/>
      </c:valAx>
      <c:catAx>
        <c:axId val="787215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19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322821681864235E-2"/>
          <c:y val="0.89978976697061808"/>
          <c:w val="0.84271572104018899"/>
          <c:h val="7.87647754137115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78765619723061E-2"/>
          <c:y val="3.9316672295395698E-2"/>
          <c:w val="0.83534806653157723"/>
          <c:h val="0.764568557919621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'NP2'!$C$6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'NP2'!$A$15:$B$40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'NP2'!$C$15:$C$40</c:f>
              <c:numCache>
                <c:formatCode>General</c:formatCode>
                <c:ptCount val="26"/>
                <c:pt idx="0">
                  <c:v>3.5840000000000001</c:v>
                </c:pt>
                <c:pt idx="1">
                  <c:v>4.2910000000000004</c:v>
                </c:pt>
                <c:pt idx="2">
                  <c:v>5.6639999999999997</c:v>
                </c:pt>
                <c:pt idx="3">
                  <c:v>13.547000000000001</c:v>
                </c:pt>
                <c:pt idx="4">
                  <c:v>8.5790000000000006</c:v>
                </c:pt>
                <c:pt idx="5">
                  <c:v>16.106000000000002</c:v>
                </c:pt>
                <c:pt idx="6">
                  <c:v>18.687000000000001</c:v>
                </c:pt>
                <c:pt idx="7">
                  <c:v>26.071999999999999</c:v>
                </c:pt>
                <c:pt idx="8">
                  <c:v>6.3949999999999996</c:v>
                </c:pt>
                <c:pt idx="9">
                  <c:v>8.6140000000000008</c:v>
                </c:pt>
                <c:pt idx="10">
                  <c:v>7.9569999999999999</c:v>
                </c:pt>
                <c:pt idx="11">
                  <c:v>16.013000000000002</c:v>
                </c:pt>
                <c:pt idx="12">
                  <c:v>17.695</c:v>
                </c:pt>
                <c:pt idx="13">
                  <c:v>13.617000000000001</c:v>
                </c:pt>
                <c:pt idx="14">
                  <c:v>25.163</c:v>
                </c:pt>
                <c:pt idx="15">
                  <c:v>32.338999999999999</c:v>
                </c:pt>
                <c:pt idx="16">
                  <c:v>-3.714</c:v>
                </c:pt>
                <c:pt idx="17">
                  <c:v>-7.29</c:v>
                </c:pt>
                <c:pt idx="18">
                  <c:v>-20.146000000000001</c:v>
                </c:pt>
                <c:pt idx="19">
                  <c:v>-40.325000000000003</c:v>
                </c:pt>
                <c:pt idx="20">
                  <c:v>1.141</c:v>
                </c:pt>
                <c:pt idx="21">
                  <c:v>16.114000000000001</c:v>
                </c:pt>
                <c:pt idx="22">
                  <c:v>12.16</c:v>
                </c:pt>
                <c:pt idx="23">
                  <c:v>23.379000000000001</c:v>
                </c:pt>
                <c:pt idx="24">
                  <c:v>34.377000000000002</c:v>
                </c:pt>
                <c:pt idx="25">
                  <c:v>43.052999999999997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29-4683-8775-237971AE64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7"/>
        <c:axId val="787223504"/>
        <c:axId val="787224752"/>
      </c:barChart>
      <c:lineChart>
        <c:grouping val="standard"/>
        <c:varyColors val="0"/>
        <c:ser>
          <c:idx val="1"/>
          <c:order val="1"/>
          <c:tx>
            <c:strRef>
              <c:f>'NP2'!$D$6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'NP2'!$A$15:$B$40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'NP2'!$D$15:$D$40</c:f>
              <c:numCache>
                <c:formatCode>General</c:formatCode>
                <c:ptCount val="26"/>
                <c:pt idx="0">
                  <c:v>28.357801985450699</c:v>
                </c:pt>
                <c:pt idx="1">
                  <c:v>28.634843553324448</c:v>
                </c:pt>
                <c:pt idx="2">
                  <c:v>28.75136246238419</c:v>
                </c:pt>
                <c:pt idx="3">
                  <c:v>28.023442517662172</c:v>
                </c:pt>
                <c:pt idx="4">
                  <c:v>28.997274048425055</c:v>
                </c:pt>
                <c:pt idx="5">
                  <c:v>28.707612842184595</c:v>
                </c:pt>
                <c:pt idx="6">
                  <c:v>28.859895515299545</c:v>
                </c:pt>
                <c:pt idx="7">
                  <c:v>29.283110901450687</c:v>
                </c:pt>
                <c:pt idx="8">
                  <c:v>28.280709862651872</c:v>
                </c:pt>
                <c:pt idx="9">
                  <c:v>28.77837923581782</c:v>
                </c:pt>
                <c:pt idx="10">
                  <c:v>28.918018084169013</c:v>
                </c:pt>
                <c:pt idx="11">
                  <c:v>29.944182063592763</c:v>
                </c:pt>
                <c:pt idx="12">
                  <c:v>29.222742566154409</c:v>
                </c:pt>
                <c:pt idx="13">
                  <c:v>28.142087112267411</c:v>
                </c:pt>
                <c:pt idx="14">
                  <c:v>30.059105085094423</c:v>
                </c:pt>
                <c:pt idx="15">
                  <c:v>31.114424035278219</c:v>
                </c:pt>
                <c:pt idx="16">
                  <c:v>27.917790429911054</c:v>
                </c:pt>
                <c:pt idx="17">
                  <c:v>29.791297978474844</c:v>
                </c:pt>
                <c:pt idx="18">
                  <c:v>28.204362002789811</c:v>
                </c:pt>
                <c:pt idx="19">
                  <c:v>26.991367327529446</c:v>
                </c:pt>
                <c:pt idx="20">
                  <c:v>27.508462953751948</c:v>
                </c:pt>
                <c:pt idx="21">
                  <c:v>27.694307065563926</c:v>
                </c:pt>
                <c:pt idx="22">
                  <c:v>27.342579098952253</c:v>
                </c:pt>
                <c:pt idx="23">
                  <c:v>28.038854497880422</c:v>
                </c:pt>
                <c:pt idx="24">
                  <c:v>29.394524789287747</c:v>
                </c:pt>
                <c:pt idx="25">
                  <c:v>29.840406772624394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29-4683-8775-237971AE64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2272"/>
        <c:axId val="787206864"/>
      </c:lineChart>
      <c:catAx>
        <c:axId val="78722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4752"/>
        <c:crosses val="autoZero"/>
        <c:auto val="1"/>
        <c:lblAlgn val="ctr"/>
        <c:lblOffset val="100"/>
        <c:noMultiLvlLbl val="0"/>
      </c:catAx>
      <c:valAx>
        <c:axId val="787224752"/>
        <c:scaling>
          <c:orientation val="minMax"/>
          <c:max val="50"/>
          <c:min val="-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Tvorba HFK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3504"/>
        <c:crosses val="autoZero"/>
        <c:crossBetween val="between"/>
        <c:majorUnit val="10"/>
      </c:valAx>
      <c:valAx>
        <c:axId val="787206864"/>
        <c:scaling>
          <c:orientation val="minMax"/>
          <c:min val="2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2272"/>
        <c:crosses val="max"/>
        <c:crossBetween val="between"/>
      </c:valAx>
      <c:catAx>
        <c:axId val="787212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206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501013171225936E-2"/>
          <c:y val="0.92549279522683781"/>
          <c:w val="0.85512390239783864"/>
          <c:h val="5.306174715749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800869638635598E-2"/>
          <c:y val="4.5653594771241833E-2"/>
          <c:w val="0.89171162613981758"/>
          <c:h val="0.67538431372549024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VI!$F$6</c:f>
              <c:strCache>
                <c:ptCount val="1"/>
                <c:pt idx="0">
                  <c:v>Fondy sociálního zabezpečení (zdravotní pojišťovny)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VI!$A$15:$B$40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VI!$F$15:$F$40</c:f>
              <c:numCache>
                <c:formatCode>General</c:formatCode>
                <c:ptCount val="26"/>
                <c:pt idx="0">
                  <c:v>1.337</c:v>
                </c:pt>
                <c:pt idx="1">
                  <c:v>1.087</c:v>
                </c:pt>
                <c:pt idx="2">
                  <c:v>3.8919999999999999</c:v>
                </c:pt>
                <c:pt idx="3">
                  <c:v>-1.43</c:v>
                </c:pt>
                <c:pt idx="4">
                  <c:v>0.34899999999999998</c:v>
                </c:pt>
                <c:pt idx="5">
                  <c:v>4.6449999999999996</c:v>
                </c:pt>
                <c:pt idx="6">
                  <c:v>6.37</c:v>
                </c:pt>
                <c:pt idx="7">
                  <c:v>-3.1819999999999999</c:v>
                </c:pt>
                <c:pt idx="8">
                  <c:v>3.45</c:v>
                </c:pt>
                <c:pt idx="9">
                  <c:v>4.9660000000000002</c:v>
                </c:pt>
                <c:pt idx="10">
                  <c:v>6.6139999999999999</c:v>
                </c:pt>
                <c:pt idx="11">
                  <c:v>1.6160000000000001</c:v>
                </c:pt>
                <c:pt idx="12">
                  <c:v>3.3359999999999999</c:v>
                </c:pt>
                <c:pt idx="13">
                  <c:v>4.9089999999999998</c:v>
                </c:pt>
                <c:pt idx="14">
                  <c:v>5.3339999999999996</c:v>
                </c:pt>
                <c:pt idx="15">
                  <c:v>-2.1880000000000002</c:v>
                </c:pt>
                <c:pt idx="16">
                  <c:v>-4.07</c:v>
                </c:pt>
                <c:pt idx="17">
                  <c:v>-1.4410000000000001</c:v>
                </c:pt>
                <c:pt idx="18">
                  <c:v>4.4909999999999997</c:v>
                </c:pt>
                <c:pt idx="19">
                  <c:v>-10.641</c:v>
                </c:pt>
                <c:pt idx="20">
                  <c:v>4.1180000000000003</c:v>
                </c:pt>
                <c:pt idx="21">
                  <c:v>9.0719999999999992</c:v>
                </c:pt>
                <c:pt idx="22">
                  <c:v>-12.209</c:v>
                </c:pt>
                <c:pt idx="23">
                  <c:v>-10.253</c:v>
                </c:pt>
                <c:pt idx="24">
                  <c:v>3.3759999999999999</c:v>
                </c:pt>
                <c:pt idx="25">
                  <c:v>7.3010000000000002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D1-47B6-8D2D-B453D4683349}"/>
            </c:ext>
          </c:extLst>
        </c:ser>
        <c:ser>
          <c:idx val="2"/>
          <c:order val="2"/>
          <c:tx>
            <c:strRef>
              <c:f>VI!$E$6</c:f>
              <c:strCache>
                <c:ptCount val="1"/>
                <c:pt idx="0">
                  <c:v>Místní vládní instituce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VI!$A$15:$B$40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VI!$E$15:$E$40</c:f>
              <c:numCache>
                <c:formatCode>General</c:formatCode>
                <c:ptCount val="26"/>
                <c:pt idx="0">
                  <c:v>17.620999999999999</c:v>
                </c:pt>
                <c:pt idx="1">
                  <c:v>26.577999999999999</c:v>
                </c:pt>
                <c:pt idx="2">
                  <c:v>9.0079999999999991</c:v>
                </c:pt>
                <c:pt idx="3">
                  <c:v>-3.5289999999999999</c:v>
                </c:pt>
                <c:pt idx="4">
                  <c:v>16.695</c:v>
                </c:pt>
                <c:pt idx="5">
                  <c:v>26.521000000000001</c:v>
                </c:pt>
                <c:pt idx="6">
                  <c:v>5.6349999999999998</c:v>
                </c:pt>
                <c:pt idx="7">
                  <c:v>-6.9260000000000002</c:v>
                </c:pt>
                <c:pt idx="8">
                  <c:v>15.24</c:v>
                </c:pt>
                <c:pt idx="9">
                  <c:v>24.675000000000001</c:v>
                </c:pt>
                <c:pt idx="10">
                  <c:v>-5.1619999999999999</c:v>
                </c:pt>
                <c:pt idx="11">
                  <c:v>-11.194000000000001</c:v>
                </c:pt>
                <c:pt idx="12">
                  <c:v>20.981000000000002</c:v>
                </c:pt>
                <c:pt idx="13">
                  <c:v>28.152000000000001</c:v>
                </c:pt>
                <c:pt idx="14">
                  <c:v>-1.296</c:v>
                </c:pt>
                <c:pt idx="15">
                  <c:v>-10.241</c:v>
                </c:pt>
                <c:pt idx="16">
                  <c:v>14.45</c:v>
                </c:pt>
                <c:pt idx="17">
                  <c:v>14.35</c:v>
                </c:pt>
                <c:pt idx="18">
                  <c:v>14.858000000000001</c:v>
                </c:pt>
                <c:pt idx="19">
                  <c:v>-17.312000000000001</c:v>
                </c:pt>
                <c:pt idx="20">
                  <c:v>14.162000000000001</c:v>
                </c:pt>
                <c:pt idx="21">
                  <c:v>39.799999999999997</c:v>
                </c:pt>
                <c:pt idx="22">
                  <c:v>14.41</c:v>
                </c:pt>
                <c:pt idx="23">
                  <c:v>-13.44</c:v>
                </c:pt>
                <c:pt idx="24">
                  <c:v>5.77</c:v>
                </c:pt>
                <c:pt idx="25">
                  <c:v>62.930999999999997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D1-47B6-8D2D-B453D4683349}"/>
            </c:ext>
          </c:extLst>
        </c:ser>
        <c:ser>
          <c:idx val="1"/>
          <c:order val="3"/>
          <c:tx>
            <c:strRef>
              <c:f>VI!$D$6</c:f>
              <c:strCache>
                <c:ptCount val="1"/>
                <c:pt idx="0">
                  <c:v>Ústřední vládní instituce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VI!$A$15:$B$40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VI!$D$15:$D$40</c:f>
              <c:numCache>
                <c:formatCode>General</c:formatCode>
                <c:ptCount val="26"/>
                <c:pt idx="0">
                  <c:v>-21.896999999999998</c:v>
                </c:pt>
                <c:pt idx="1">
                  <c:v>2.395</c:v>
                </c:pt>
                <c:pt idx="2">
                  <c:v>13.132</c:v>
                </c:pt>
                <c:pt idx="3">
                  <c:v>-14.051</c:v>
                </c:pt>
                <c:pt idx="4">
                  <c:v>-15.212999999999999</c:v>
                </c:pt>
                <c:pt idx="5">
                  <c:v>10.332000000000001</c:v>
                </c:pt>
                <c:pt idx="6">
                  <c:v>20.634</c:v>
                </c:pt>
                <c:pt idx="7">
                  <c:v>10.872999999999999</c:v>
                </c:pt>
                <c:pt idx="8">
                  <c:v>-16.704000000000001</c:v>
                </c:pt>
                <c:pt idx="9">
                  <c:v>11.66</c:v>
                </c:pt>
                <c:pt idx="10">
                  <c:v>14.561999999999999</c:v>
                </c:pt>
                <c:pt idx="11">
                  <c:v>-1.431</c:v>
                </c:pt>
                <c:pt idx="12">
                  <c:v>-26.315000000000001</c:v>
                </c:pt>
                <c:pt idx="13">
                  <c:v>-6.0869999999999997</c:v>
                </c:pt>
                <c:pt idx="14">
                  <c:v>12.068</c:v>
                </c:pt>
                <c:pt idx="15">
                  <c:v>-11.944000000000001</c:v>
                </c:pt>
                <c:pt idx="16">
                  <c:v>-60.658000000000001</c:v>
                </c:pt>
                <c:pt idx="17">
                  <c:v>-111.324</c:v>
                </c:pt>
                <c:pt idx="18">
                  <c:v>-62.37</c:v>
                </c:pt>
                <c:pt idx="19">
                  <c:v>-109.54900000000001</c:v>
                </c:pt>
                <c:pt idx="20">
                  <c:v>-149.547</c:v>
                </c:pt>
                <c:pt idx="21">
                  <c:v>-89.224999999999994</c:v>
                </c:pt>
                <c:pt idx="22">
                  <c:v>-45.093000000000004</c:v>
                </c:pt>
                <c:pt idx="23">
                  <c:v>-73.316999999999993</c:v>
                </c:pt>
                <c:pt idx="24">
                  <c:v>-81.078000000000003</c:v>
                </c:pt>
                <c:pt idx="25">
                  <c:v>-69.757999999999996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D1-47B6-8D2D-B453D4683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836024223"/>
        <c:axId val="1836025471"/>
      </c:barChart>
      <c:lineChart>
        <c:grouping val="standard"/>
        <c:varyColors val="0"/>
        <c:ser>
          <c:idx val="0"/>
          <c:order val="1"/>
          <c:tx>
            <c:strRef>
              <c:f>VI!$C$6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VI!$A$15:$B$40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VI!$C$15:$C$40</c:f>
              <c:numCache>
                <c:formatCode>General</c:formatCode>
                <c:ptCount val="26"/>
                <c:pt idx="0">
                  <c:v>-2.9390000000000001</c:v>
                </c:pt>
                <c:pt idx="1">
                  <c:v>30.06</c:v>
                </c:pt>
                <c:pt idx="2">
                  <c:v>26.032</c:v>
                </c:pt>
                <c:pt idx="3">
                  <c:v>-19.010000000000002</c:v>
                </c:pt>
                <c:pt idx="4">
                  <c:v>1.831</c:v>
                </c:pt>
                <c:pt idx="5">
                  <c:v>41.497999999999998</c:v>
                </c:pt>
                <c:pt idx="6">
                  <c:v>32.639000000000003</c:v>
                </c:pt>
                <c:pt idx="7">
                  <c:v>0.76500000000000001</c:v>
                </c:pt>
                <c:pt idx="8">
                  <c:v>1.986</c:v>
                </c:pt>
                <c:pt idx="9">
                  <c:v>41.301000000000002</c:v>
                </c:pt>
                <c:pt idx="10">
                  <c:v>16.013999999999999</c:v>
                </c:pt>
                <c:pt idx="11">
                  <c:v>-11.009</c:v>
                </c:pt>
                <c:pt idx="12">
                  <c:v>-1.998</c:v>
                </c:pt>
                <c:pt idx="13">
                  <c:v>26.974</c:v>
                </c:pt>
                <c:pt idx="14">
                  <c:v>16.106000000000002</c:v>
                </c:pt>
                <c:pt idx="15">
                  <c:v>-24.373000000000001</c:v>
                </c:pt>
                <c:pt idx="16">
                  <c:v>-50.277999999999999</c:v>
                </c:pt>
                <c:pt idx="17">
                  <c:v>-98.415000000000006</c:v>
                </c:pt>
                <c:pt idx="18">
                  <c:v>-43.021000000000001</c:v>
                </c:pt>
                <c:pt idx="19">
                  <c:v>-137.50200000000001</c:v>
                </c:pt>
                <c:pt idx="20">
                  <c:v>-131.267</c:v>
                </c:pt>
                <c:pt idx="21">
                  <c:v>-40.353000000000002</c:v>
                </c:pt>
                <c:pt idx="22">
                  <c:v>-42.892000000000003</c:v>
                </c:pt>
                <c:pt idx="23">
                  <c:v>-97.01</c:v>
                </c:pt>
                <c:pt idx="24">
                  <c:v>-71.932000000000002</c:v>
                </c:pt>
                <c:pt idx="25">
                  <c:v>0.47399999999999998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D1-47B6-8D2D-B453D4683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024223"/>
        <c:axId val="1836025471"/>
      </c:lineChart>
      <c:catAx>
        <c:axId val="1836024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5471"/>
        <c:crosses val="autoZero"/>
        <c:auto val="1"/>
        <c:lblAlgn val="ctr"/>
        <c:lblOffset val="100"/>
        <c:noMultiLvlLbl val="0"/>
      </c:catAx>
      <c:valAx>
        <c:axId val="1836025471"/>
        <c:scaling>
          <c:orientation val="minMax"/>
          <c:max val="75"/>
          <c:min val="-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Saldo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4223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584979736575483E-2"/>
          <c:y val="0.84149411764705884"/>
          <c:w val="0.88776300236406624"/>
          <c:h val="0.14605490196078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204280648429587E-2"/>
          <c:y val="4.5653594771241833E-2"/>
          <c:w val="0.87830821513002355"/>
          <c:h val="0.67602516339869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'VI2'!$C$5</c:f>
              <c:strCache>
                <c:ptCount val="1"/>
                <c:pt idx="0">
                  <c:v>Dlouhodobé dluhové cenné papíry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'VI2'!$A$14:$B$39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'VI2'!$C$14:$C$39</c:f>
              <c:numCache>
                <c:formatCode>General</c:formatCode>
                <c:ptCount val="26"/>
                <c:pt idx="0">
                  <c:v>37.271000000000001</c:v>
                </c:pt>
                <c:pt idx="1">
                  <c:v>69.44</c:v>
                </c:pt>
                <c:pt idx="2">
                  <c:v>83.290999999999997</c:v>
                </c:pt>
                <c:pt idx="3">
                  <c:v>24.291</c:v>
                </c:pt>
                <c:pt idx="4">
                  <c:v>101.614</c:v>
                </c:pt>
                <c:pt idx="5">
                  <c:v>9.9260000000000002</c:v>
                </c:pt>
                <c:pt idx="6">
                  <c:v>-29.707000000000001</c:v>
                </c:pt>
                <c:pt idx="7">
                  <c:v>-30.15</c:v>
                </c:pt>
                <c:pt idx="8">
                  <c:v>-187.25800000000001</c:v>
                </c:pt>
                <c:pt idx="9">
                  <c:v>-61.563000000000002</c:v>
                </c:pt>
                <c:pt idx="10">
                  <c:v>-37.698</c:v>
                </c:pt>
                <c:pt idx="11">
                  <c:v>-8.4459999999999997</c:v>
                </c:pt>
                <c:pt idx="12">
                  <c:v>159.285</c:v>
                </c:pt>
                <c:pt idx="13">
                  <c:v>100.34699999999999</c:v>
                </c:pt>
                <c:pt idx="14">
                  <c:v>88.245999999999995</c:v>
                </c:pt>
                <c:pt idx="15">
                  <c:v>41.860999999999997</c:v>
                </c:pt>
                <c:pt idx="16">
                  <c:v>-24.57</c:v>
                </c:pt>
                <c:pt idx="17">
                  <c:v>303.31900000000002</c:v>
                </c:pt>
                <c:pt idx="18">
                  <c:v>288.69200000000001</c:v>
                </c:pt>
                <c:pt idx="19">
                  <c:v>396.11</c:v>
                </c:pt>
                <c:pt idx="20">
                  <c:v>539.68100000000004</c:v>
                </c:pt>
                <c:pt idx="21">
                  <c:v>310.03300000000002</c:v>
                </c:pt>
                <c:pt idx="22">
                  <c:v>298.214</c:v>
                </c:pt>
                <c:pt idx="23">
                  <c:v>336.67399999999998</c:v>
                </c:pt>
                <c:pt idx="24">
                  <c:v>267.20499999999998</c:v>
                </c:pt>
                <c:pt idx="25">
                  <c:v>177.137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DA-47E7-9FE6-237C304F6A01}"/>
            </c:ext>
          </c:extLst>
        </c:ser>
        <c:ser>
          <c:idx val="1"/>
          <c:order val="1"/>
          <c:tx>
            <c:strRef>
              <c:f>'VI2'!$D$5</c:f>
              <c:strCache>
                <c:ptCount val="1"/>
                <c:pt idx="0">
                  <c:v>Krátkodobé dluhové cenné papíry</c:v>
                </c:pt>
              </c:strCache>
            </c:strRef>
          </c:tx>
          <c:spPr>
            <a:solidFill>
              <a:srgbClr val="FE9090"/>
            </a:solidFill>
            <a:ln>
              <a:noFill/>
            </a:ln>
            <a:effectLst/>
          </c:spPr>
          <c:invertIfNegative val="0"/>
          <c:cat>
            <c:multiLvlStrRef>
              <c:f>'VI2'!$A$14:$B$39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'VI2'!$D$14:$D$39</c:f>
              <c:numCache>
                <c:formatCode>General</c:formatCode>
                <c:ptCount val="26"/>
                <c:pt idx="0">
                  <c:v>-2.016</c:v>
                </c:pt>
                <c:pt idx="1">
                  <c:v>-30.206</c:v>
                </c:pt>
                <c:pt idx="2">
                  <c:v>-86.369</c:v>
                </c:pt>
                <c:pt idx="3">
                  <c:v>-79.730999999999995</c:v>
                </c:pt>
                <c:pt idx="4">
                  <c:v>-8.9580000000000002</c:v>
                </c:pt>
                <c:pt idx="5">
                  <c:v>89.825000000000003</c:v>
                </c:pt>
                <c:pt idx="6">
                  <c:v>-17.864999999999998</c:v>
                </c:pt>
                <c:pt idx="7">
                  <c:v>39.607999999999997</c:v>
                </c:pt>
                <c:pt idx="8">
                  <c:v>110.06399999999999</c:v>
                </c:pt>
                <c:pt idx="9">
                  <c:v>-73.570999999999998</c:v>
                </c:pt>
                <c:pt idx="10">
                  <c:v>42.71</c:v>
                </c:pt>
                <c:pt idx="11">
                  <c:v>-40.204999999999998</c:v>
                </c:pt>
                <c:pt idx="12">
                  <c:v>-178.68899999999999</c:v>
                </c:pt>
                <c:pt idx="13">
                  <c:v>-72.613</c:v>
                </c:pt>
                <c:pt idx="14">
                  <c:v>-42.478000000000002</c:v>
                </c:pt>
                <c:pt idx="15">
                  <c:v>0.13200000000000001</c:v>
                </c:pt>
                <c:pt idx="16">
                  <c:v>65.55</c:v>
                </c:pt>
                <c:pt idx="17">
                  <c:v>130.24100000000001</c:v>
                </c:pt>
                <c:pt idx="18">
                  <c:v>100.735</c:v>
                </c:pt>
                <c:pt idx="19">
                  <c:v>19.956</c:v>
                </c:pt>
                <c:pt idx="20">
                  <c:v>-42.252000000000002</c:v>
                </c:pt>
                <c:pt idx="21">
                  <c:v>-110.548</c:v>
                </c:pt>
                <c:pt idx="22">
                  <c:v>-85.460999999999999</c:v>
                </c:pt>
                <c:pt idx="23">
                  <c:v>9.3879999999999999</c:v>
                </c:pt>
                <c:pt idx="24">
                  <c:v>12.73</c:v>
                </c:pt>
                <c:pt idx="25">
                  <c:v>28.120999999999999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DA-47E7-9FE6-237C304F6A01}"/>
            </c:ext>
          </c:extLst>
        </c:ser>
        <c:ser>
          <c:idx val="2"/>
          <c:order val="2"/>
          <c:tx>
            <c:strRef>
              <c:f>'VI2'!$E$5</c:f>
              <c:strCache>
                <c:ptCount val="1"/>
                <c:pt idx="0">
                  <c:v>Dlouhodobé půjčky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'VI2'!$A$14:$B$39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'VI2'!$E$14:$E$39</c:f>
              <c:numCache>
                <c:formatCode>General</c:formatCode>
                <c:ptCount val="26"/>
                <c:pt idx="0">
                  <c:v>-6.1390000000000002</c:v>
                </c:pt>
                <c:pt idx="1">
                  <c:v>-4.306</c:v>
                </c:pt>
                <c:pt idx="2">
                  <c:v>-5.09</c:v>
                </c:pt>
                <c:pt idx="3">
                  <c:v>-22.616</c:v>
                </c:pt>
                <c:pt idx="4">
                  <c:v>-22.443000000000001</c:v>
                </c:pt>
                <c:pt idx="5">
                  <c:v>-21.582999999999998</c:v>
                </c:pt>
                <c:pt idx="6">
                  <c:v>-23.733000000000001</c:v>
                </c:pt>
                <c:pt idx="7">
                  <c:v>-12.262</c:v>
                </c:pt>
                <c:pt idx="8">
                  <c:v>-12.497999999999999</c:v>
                </c:pt>
                <c:pt idx="9">
                  <c:v>-10.695</c:v>
                </c:pt>
                <c:pt idx="10">
                  <c:v>-8.8230000000000004</c:v>
                </c:pt>
                <c:pt idx="11">
                  <c:v>-11.949</c:v>
                </c:pt>
                <c:pt idx="12">
                  <c:v>-9.83</c:v>
                </c:pt>
                <c:pt idx="13">
                  <c:v>-9.6769999999999996</c:v>
                </c:pt>
                <c:pt idx="14">
                  <c:v>-6.806</c:v>
                </c:pt>
                <c:pt idx="15">
                  <c:v>-2.5350000000000001</c:v>
                </c:pt>
                <c:pt idx="16">
                  <c:v>1.1910000000000001</c:v>
                </c:pt>
                <c:pt idx="17">
                  <c:v>2.137</c:v>
                </c:pt>
                <c:pt idx="18">
                  <c:v>8.7710000000000008</c:v>
                </c:pt>
                <c:pt idx="19">
                  <c:v>2.0659999999999998</c:v>
                </c:pt>
                <c:pt idx="20">
                  <c:v>51.17</c:v>
                </c:pt>
                <c:pt idx="21">
                  <c:v>48.295000000000002</c:v>
                </c:pt>
                <c:pt idx="22">
                  <c:v>46.817</c:v>
                </c:pt>
                <c:pt idx="23">
                  <c:v>49.707999999999998</c:v>
                </c:pt>
                <c:pt idx="24">
                  <c:v>-5.2320000000000002</c:v>
                </c:pt>
                <c:pt idx="25">
                  <c:v>-79.108999999999995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DA-47E7-9FE6-237C304F6A01}"/>
            </c:ext>
          </c:extLst>
        </c:ser>
        <c:ser>
          <c:idx val="3"/>
          <c:order val="3"/>
          <c:tx>
            <c:strRef>
              <c:f>'VI2'!$F$5</c:f>
              <c:strCache>
                <c:ptCount val="1"/>
                <c:pt idx="0">
                  <c:v>Krátkodobé půjčky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'VI2'!$A$14:$B$39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'VI2'!$F$14:$F$39</c:f>
              <c:numCache>
                <c:formatCode>General</c:formatCode>
                <c:ptCount val="26"/>
                <c:pt idx="0">
                  <c:v>-3.3530000000000002</c:v>
                </c:pt>
                <c:pt idx="1">
                  <c:v>-12.811</c:v>
                </c:pt>
                <c:pt idx="2">
                  <c:v>-10.784000000000001</c:v>
                </c:pt>
                <c:pt idx="3">
                  <c:v>-5.4210000000000003</c:v>
                </c:pt>
                <c:pt idx="4">
                  <c:v>-2.968</c:v>
                </c:pt>
                <c:pt idx="5">
                  <c:v>-1.4670000000000001</c:v>
                </c:pt>
                <c:pt idx="6">
                  <c:v>0.63</c:v>
                </c:pt>
                <c:pt idx="7">
                  <c:v>1.002</c:v>
                </c:pt>
                <c:pt idx="8">
                  <c:v>1.8140000000000001</c:v>
                </c:pt>
                <c:pt idx="9">
                  <c:v>53.356999999999999</c:v>
                </c:pt>
                <c:pt idx="10">
                  <c:v>50.372</c:v>
                </c:pt>
                <c:pt idx="11">
                  <c:v>42.76</c:v>
                </c:pt>
                <c:pt idx="12">
                  <c:v>34.055</c:v>
                </c:pt>
                <c:pt idx="13">
                  <c:v>-27.446000000000002</c:v>
                </c:pt>
                <c:pt idx="14">
                  <c:v>-33.340000000000003</c:v>
                </c:pt>
                <c:pt idx="15">
                  <c:v>-30.263000000000002</c:v>
                </c:pt>
                <c:pt idx="16">
                  <c:v>5.1239999999999997</c:v>
                </c:pt>
                <c:pt idx="17">
                  <c:v>7.8109999999999999</c:v>
                </c:pt>
                <c:pt idx="18">
                  <c:v>-13.019</c:v>
                </c:pt>
                <c:pt idx="19">
                  <c:v>-14.334</c:v>
                </c:pt>
                <c:pt idx="20">
                  <c:v>76.912000000000006</c:v>
                </c:pt>
                <c:pt idx="21">
                  <c:v>0.82799999999999996</c:v>
                </c:pt>
                <c:pt idx="22">
                  <c:v>-4.3040000000000003</c:v>
                </c:pt>
                <c:pt idx="23">
                  <c:v>16.015000000000001</c:v>
                </c:pt>
                <c:pt idx="24">
                  <c:v>-102.806</c:v>
                </c:pt>
                <c:pt idx="25">
                  <c:v>75.534999999999997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DA-47E7-9FE6-237C304F6A01}"/>
            </c:ext>
          </c:extLst>
        </c:ser>
        <c:ser>
          <c:idx val="4"/>
          <c:order val="4"/>
          <c:tx>
            <c:strRef>
              <c:f>'VI2'!$G$5</c:f>
              <c:strCache>
                <c:ptCount val="1"/>
                <c:pt idx="0">
                  <c:v>Oběživo a vklady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'VI2'!$A$14:$B$39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'VI2'!$G$14:$G$39</c:f>
              <c:numCache>
                <c:formatCode>General</c:formatCode>
                <c:ptCount val="26"/>
                <c:pt idx="0">
                  <c:v>-2.9249999999999998</c:v>
                </c:pt>
                <c:pt idx="1">
                  <c:v>0.24399999999999999</c:v>
                </c:pt>
                <c:pt idx="2">
                  <c:v>3.173</c:v>
                </c:pt>
                <c:pt idx="3">
                  <c:v>2.1669999999999998</c:v>
                </c:pt>
                <c:pt idx="4">
                  <c:v>-0.40899999999999997</c:v>
                </c:pt>
                <c:pt idx="5">
                  <c:v>-3.468</c:v>
                </c:pt>
                <c:pt idx="6">
                  <c:v>-1.865</c:v>
                </c:pt>
                <c:pt idx="7">
                  <c:v>-3.258</c:v>
                </c:pt>
                <c:pt idx="8">
                  <c:v>-2.6560000000000001</c:v>
                </c:pt>
                <c:pt idx="9">
                  <c:v>-1.3320000000000001</c:v>
                </c:pt>
                <c:pt idx="10">
                  <c:v>-7.0730000000000004</c:v>
                </c:pt>
                <c:pt idx="11">
                  <c:v>2.7650000000000001</c:v>
                </c:pt>
                <c:pt idx="12">
                  <c:v>-2.7530000000000001</c:v>
                </c:pt>
                <c:pt idx="13">
                  <c:v>-3.827</c:v>
                </c:pt>
                <c:pt idx="14">
                  <c:v>0.35099999999999998</c:v>
                </c:pt>
                <c:pt idx="15">
                  <c:v>-3.5339999999999998</c:v>
                </c:pt>
                <c:pt idx="16">
                  <c:v>6.2709999999999999</c:v>
                </c:pt>
                <c:pt idx="17">
                  <c:v>4.931</c:v>
                </c:pt>
                <c:pt idx="18">
                  <c:v>3.0760000000000001</c:v>
                </c:pt>
                <c:pt idx="19">
                  <c:v>5.7610000000000001</c:v>
                </c:pt>
                <c:pt idx="20">
                  <c:v>-1.653</c:v>
                </c:pt>
                <c:pt idx="21">
                  <c:v>3.8149999999999999</c:v>
                </c:pt>
                <c:pt idx="22">
                  <c:v>5.4320000000000004</c:v>
                </c:pt>
                <c:pt idx="23">
                  <c:v>5.2249999999999996</c:v>
                </c:pt>
                <c:pt idx="24">
                  <c:v>-0.84</c:v>
                </c:pt>
                <c:pt idx="25">
                  <c:v>108.529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DA-47E7-9FE6-237C304F6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700462447"/>
        <c:axId val="1700462863"/>
      </c:barChart>
      <c:lineChart>
        <c:grouping val="standard"/>
        <c:varyColors val="0"/>
        <c:ser>
          <c:idx val="5"/>
          <c:order val="5"/>
          <c:tx>
            <c:strRef>
              <c:f>'VI2'!$H$5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'VI2'!$A$14:$B$39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'VI2'!$H$14:$H$39</c:f>
              <c:numCache>
                <c:formatCode>General</c:formatCode>
                <c:ptCount val="26"/>
                <c:pt idx="0">
                  <c:v>22.838000000000001</c:v>
                </c:pt>
                <c:pt idx="1">
                  <c:v>22.361000000000001</c:v>
                </c:pt>
                <c:pt idx="2">
                  <c:v>-15.779</c:v>
                </c:pt>
                <c:pt idx="3">
                  <c:v>-81.31</c:v>
                </c:pt>
                <c:pt idx="4">
                  <c:v>66.835999999999999</c:v>
                </c:pt>
                <c:pt idx="5">
                  <c:v>73.233000000000004</c:v>
                </c:pt>
                <c:pt idx="6">
                  <c:v>-72.540000000000006</c:v>
                </c:pt>
                <c:pt idx="7">
                  <c:v>-5.0599999999999996</c:v>
                </c:pt>
                <c:pt idx="8">
                  <c:v>-90.534000000000006</c:v>
                </c:pt>
                <c:pt idx="9">
                  <c:v>-93.804000000000002</c:v>
                </c:pt>
                <c:pt idx="10">
                  <c:v>39.488</c:v>
                </c:pt>
                <c:pt idx="11">
                  <c:v>-15.074999999999999</c:v>
                </c:pt>
                <c:pt idx="12">
                  <c:v>2.0680000000000001</c:v>
                </c:pt>
                <c:pt idx="13">
                  <c:v>-13.215999999999999</c:v>
                </c:pt>
                <c:pt idx="14">
                  <c:v>5.9729999999999999</c:v>
                </c:pt>
                <c:pt idx="15">
                  <c:v>5.6609999999999996</c:v>
                </c:pt>
                <c:pt idx="16">
                  <c:v>53.566000000000003</c:v>
                </c:pt>
                <c:pt idx="17">
                  <c:v>448.43900000000002</c:v>
                </c:pt>
                <c:pt idx="18">
                  <c:v>388.255</c:v>
                </c:pt>
                <c:pt idx="19">
                  <c:v>409.55900000000003</c:v>
                </c:pt>
                <c:pt idx="20">
                  <c:v>623.85799999999995</c:v>
                </c:pt>
                <c:pt idx="21">
                  <c:v>252.423</c:v>
                </c:pt>
                <c:pt idx="22">
                  <c:v>260.69799999999998</c:v>
                </c:pt>
                <c:pt idx="23">
                  <c:v>417.01</c:v>
                </c:pt>
                <c:pt idx="24">
                  <c:v>171.05699999999999</c:v>
                </c:pt>
                <c:pt idx="25">
                  <c:v>310.21300000000002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0DA-47E7-9FE6-237C304F6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462447"/>
        <c:axId val="1700462863"/>
      </c:lineChart>
      <c:catAx>
        <c:axId val="170046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863"/>
        <c:crosses val="autoZero"/>
        <c:auto val="1"/>
        <c:lblAlgn val="ctr"/>
        <c:lblOffset val="100"/>
        <c:noMultiLvlLbl val="0"/>
      </c:catAx>
      <c:valAx>
        <c:axId val="1700462863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dluhu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426925025329276E-2"/>
          <c:y val="0.86288660130718953"/>
          <c:w val="0.89207911178655863"/>
          <c:h val="0.11221143790849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16957953394123"/>
          <c:y val="4.5653594771241833E-2"/>
          <c:w val="0.80265725261735887"/>
          <c:h val="0.72662254901960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Dom!$C$4</c:f>
              <c:strCache>
                <c:ptCount val="1"/>
                <c:pt idx="0">
                  <c:v>Výdaje na tvorbu hrubého fixního kapitálu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Dom!$A$13:$B$38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Dom!$C$13:$C$38</c:f>
              <c:numCache>
                <c:formatCode>General</c:formatCode>
                <c:ptCount val="26"/>
                <c:pt idx="0">
                  <c:v>0.42799999999999999</c:v>
                </c:pt>
                <c:pt idx="1">
                  <c:v>4.4530000000000003</c:v>
                </c:pt>
                <c:pt idx="2">
                  <c:v>2.6150000000000002</c:v>
                </c:pt>
                <c:pt idx="3">
                  <c:v>10.651999999999999</c:v>
                </c:pt>
                <c:pt idx="4">
                  <c:v>-3.9460000000000002</c:v>
                </c:pt>
                <c:pt idx="5">
                  <c:v>-5.0069999999999997</c:v>
                </c:pt>
                <c:pt idx="6">
                  <c:v>-2.9910000000000001</c:v>
                </c:pt>
                <c:pt idx="7">
                  <c:v>-9.234</c:v>
                </c:pt>
                <c:pt idx="8">
                  <c:v>9.016</c:v>
                </c:pt>
                <c:pt idx="9">
                  <c:v>10.769</c:v>
                </c:pt>
                <c:pt idx="10">
                  <c:v>14.337999999999999</c:v>
                </c:pt>
                <c:pt idx="11">
                  <c:v>14.686</c:v>
                </c:pt>
                <c:pt idx="12">
                  <c:v>7.1550000000000002</c:v>
                </c:pt>
                <c:pt idx="13">
                  <c:v>7.4320000000000004</c:v>
                </c:pt>
                <c:pt idx="14">
                  <c:v>8.4429999999999996</c:v>
                </c:pt>
                <c:pt idx="15">
                  <c:v>8.8279999999999994</c:v>
                </c:pt>
                <c:pt idx="16">
                  <c:v>1.732</c:v>
                </c:pt>
                <c:pt idx="17">
                  <c:v>1.119</c:v>
                </c:pt>
                <c:pt idx="18">
                  <c:v>-4.2069999999999999</c:v>
                </c:pt>
                <c:pt idx="19">
                  <c:v>5.1470000000000002</c:v>
                </c:pt>
                <c:pt idx="20">
                  <c:v>-2.5150000000000001</c:v>
                </c:pt>
                <c:pt idx="21">
                  <c:v>7.3659999999999997</c:v>
                </c:pt>
                <c:pt idx="22">
                  <c:v>8.3930000000000007</c:v>
                </c:pt>
                <c:pt idx="23">
                  <c:v>5.3719999999999999</c:v>
                </c:pt>
                <c:pt idx="24">
                  <c:v>18.106999999999999</c:v>
                </c:pt>
                <c:pt idx="25">
                  <c:v>16.155999999999999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92-47F1-90E5-8D5302F43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043804271"/>
        <c:axId val="2043808015"/>
      </c:barChart>
      <c:lineChart>
        <c:grouping val="standard"/>
        <c:varyColors val="0"/>
        <c:ser>
          <c:idx val="1"/>
          <c:order val="1"/>
          <c:tx>
            <c:strRef>
              <c:f>Dom!$D$4</c:f>
              <c:strCache>
                <c:ptCount val="1"/>
                <c:pt idx="0">
                  <c:v>Míra úspor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multiLvlStrRef>
              <c:f>Dom!$A$13:$B$38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Dom!$D$13:$D$38</c:f>
              <c:numCache>
                <c:formatCode>0.0</c:formatCode>
                <c:ptCount val="26"/>
                <c:pt idx="0">
                  <c:v>11.595602055282217</c:v>
                </c:pt>
                <c:pt idx="1">
                  <c:v>11.632090083235305</c:v>
                </c:pt>
                <c:pt idx="2">
                  <c:v>11.58366970832475</c:v>
                </c:pt>
                <c:pt idx="3">
                  <c:v>10.621611820097417</c:v>
                </c:pt>
                <c:pt idx="4">
                  <c:v>11.593336207053566</c:v>
                </c:pt>
                <c:pt idx="5">
                  <c:v>11.732914220723686</c:v>
                </c:pt>
                <c:pt idx="6">
                  <c:v>11.33989290297836</c:v>
                </c:pt>
                <c:pt idx="7">
                  <c:v>11.74747779928501</c:v>
                </c:pt>
                <c:pt idx="8">
                  <c:v>11.577220195557684</c:v>
                </c:pt>
                <c:pt idx="9">
                  <c:v>12.391504485109937</c:v>
                </c:pt>
                <c:pt idx="10">
                  <c:v>11.324528532669127</c:v>
                </c:pt>
                <c:pt idx="11">
                  <c:v>13.168920063705059</c:v>
                </c:pt>
                <c:pt idx="12">
                  <c:v>12.680705384233907</c:v>
                </c:pt>
                <c:pt idx="13">
                  <c:v>13.252999452447195</c:v>
                </c:pt>
                <c:pt idx="14">
                  <c:v>12.856384724876765</c:v>
                </c:pt>
                <c:pt idx="15">
                  <c:v>13.742575424462791</c:v>
                </c:pt>
                <c:pt idx="16">
                  <c:v>16.249263237224245</c:v>
                </c:pt>
                <c:pt idx="17">
                  <c:v>19.295516901732029</c:v>
                </c:pt>
                <c:pt idx="18" formatCode="General">
                  <c:v>17.424609066498185</c:v>
                </c:pt>
                <c:pt idx="19" formatCode="General">
                  <c:v>24.110352597599935</c:v>
                </c:pt>
                <c:pt idx="20" formatCode="General">
                  <c:v>22.46534913181689</c:v>
                </c:pt>
                <c:pt idx="21" formatCode="General">
                  <c:v>19.382081304468731</c:v>
                </c:pt>
                <c:pt idx="22" formatCode="General">
                  <c:v>16.438872854037033</c:v>
                </c:pt>
                <c:pt idx="23" formatCode="General">
                  <c:v>20.168574392113307</c:v>
                </c:pt>
                <c:pt idx="24" formatCode="General">
                  <c:v>15.710111685161859</c:v>
                </c:pt>
                <c:pt idx="25" formatCode="General">
                  <c:v>13.81954459367887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92-47F1-90E5-8D5302F4316E}"/>
            </c:ext>
          </c:extLst>
        </c:ser>
        <c:ser>
          <c:idx val="2"/>
          <c:order val="2"/>
          <c:tx>
            <c:strRef>
              <c:f>Dom!$E$4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multiLvlStrRef>
              <c:f>Dom!$A$13:$B$38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  <c:pt idx="24">
                    <c:v>2022</c:v>
                  </c:pt>
                </c:lvl>
              </c:multiLvlStrCache>
            </c:multiLvlStrRef>
          </c:cat>
          <c:val>
            <c:numRef>
              <c:f>Dom!$E$13:$E$38</c:f>
              <c:numCache>
                <c:formatCode>0.0</c:formatCode>
                <c:ptCount val="26"/>
                <c:pt idx="0">
                  <c:v>9.1018724621690783</c:v>
                </c:pt>
                <c:pt idx="1">
                  <c:v>9.2626934237901111</c:v>
                </c:pt>
                <c:pt idx="2">
                  <c:v>9.1089351785604773</c:v>
                </c:pt>
                <c:pt idx="3">
                  <c:v>9.0925148970493535</c:v>
                </c:pt>
                <c:pt idx="4">
                  <c:v>7.9789752961247284</c:v>
                </c:pt>
                <c:pt idx="5">
                  <c:v>7.6691040273915769</c:v>
                </c:pt>
                <c:pt idx="6">
                  <c:v>7.6994792665476695</c:v>
                </c:pt>
                <c:pt idx="7">
                  <c:v>7.7654436456732645</c:v>
                </c:pt>
                <c:pt idx="8">
                  <c:v>8.530808389678409</c:v>
                </c:pt>
                <c:pt idx="9">
                  <c:v>8.8873770104762002</c:v>
                </c:pt>
                <c:pt idx="10">
                  <c:v>9.231141306765112</c:v>
                </c:pt>
                <c:pt idx="11">
                  <c:v>9.32520077259327</c:v>
                </c:pt>
                <c:pt idx="12">
                  <c:v>9.4046787430210799</c:v>
                </c:pt>
                <c:pt idx="13">
                  <c:v>9.4479648416213315</c:v>
                </c:pt>
                <c:pt idx="14">
                  <c:v>9.5943769941520021</c:v>
                </c:pt>
                <c:pt idx="15">
                  <c:v>9.4479805667020269</c:v>
                </c:pt>
                <c:pt idx="16">
                  <c:v>9.4408750259378689</c:v>
                </c:pt>
                <c:pt idx="17">
                  <c:v>9.6059035250561813</c:v>
                </c:pt>
                <c:pt idx="18" formatCode="General">
                  <c:v>9.1926078028747433</c:v>
                </c:pt>
                <c:pt idx="19" formatCode="General">
                  <c:v>9.2231042721358705</c:v>
                </c:pt>
                <c:pt idx="20" formatCode="General">
                  <c:v>9.0888521732860426</c:v>
                </c:pt>
                <c:pt idx="21" formatCode="General">
                  <c:v>9.0999236772197207</c:v>
                </c:pt>
                <c:pt idx="22" formatCode="General">
                  <c:v>9.3508696304070771</c:v>
                </c:pt>
                <c:pt idx="23" formatCode="General">
                  <c:v>9.5344583864956913</c:v>
                </c:pt>
                <c:pt idx="24" formatCode="General">
                  <c:v>10.031025515446377</c:v>
                </c:pt>
                <c:pt idx="25" formatCode="General">
                  <c:v>10.23990930099213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992-47F1-90E5-8D5302F43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22767"/>
        <c:axId val="161119023"/>
      </c:lineChart>
      <c:catAx>
        <c:axId val="204380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8015"/>
        <c:crosses val="autoZero"/>
        <c:auto val="1"/>
        <c:lblAlgn val="ctr"/>
        <c:lblOffset val="100"/>
        <c:noMultiLvlLbl val="0"/>
      </c:catAx>
      <c:valAx>
        <c:axId val="2043808015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výdajů na tvorbu hrubého fixního kapitálu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4271"/>
        <c:crosses val="autoZero"/>
        <c:crossBetween val="between"/>
      </c:valAx>
      <c:valAx>
        <c:axId val="161119023"/>
        <c:scaling>
          <c:orientation val="minMax"/>
          <c:max val="25"/>
          <c:min val="7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investic, míra úspor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1122767"/>
        <c:crosses val="max"/>
        <c:crossBetween val="between"/>
        <c:majorUnit val="3"/>
      </c:valAx>
      <c:catAx>
        <c:axId val="1611227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11902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8619-ECEB-45C8-A7EA-4446B99E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9485</TotalTime>
  <Pages>9</Pages>
  <Words>2725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18769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Zábojníková Karolína</cp:lastModifiedBy>
  <cp:revision>127</cp:revision>
  <dcterms:created xsi:type="dcterms:W3CDTF">2022-04-14T11:48:00Z</dcterms:created>
  <dcterms:modified xsi:type="dcterms:W3CDTF">2022-10-20T07:05:00Z</dcterms:modified>
</cp:coreProperties>
</file>