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BC1" w:rsidRDefault="00B51BC1" w:rsidP="00B51BC1">
      <w:pPr>
        <w:pStyle w:val="Nadpis1"/>
        <w:spacing w:before="0" w:after="0"/>
        <w:rPr>
          <w:rFonts w:cs="Times New Roman"/>
          <w:i/>
          <w:iCs/>
          <w:kern w:val="0"/>
          <w:szCs w:val="24"/>
          <w:lang w:val="en-GB"/>
        </w:rPr>
      </w:pPr>
      <w:r>
        <w:rPr>
          <w:rFonts w:cs="Times New Roman"/>
          <w:i/>
          <w:iCs/>
          <w:kern w:val="0"/>
          <w:szCs w:val="24"/>
          <w:lang w:val="en-GB"/>
        </w:rPr>
        <w:t>Methodical comments</w:t>
      </w:r>
    </w:p>
    <w:p w:rsidR="00B51BC1" w:rsidRDefault="00B51BC1" w:rsidP="00B51BC1">
      <w:pPr>
        <w:rPr>
          <w:i/>
          <w:iCs/>
          <w:lang w:val="en-GB"/>
        </w:rPr>
      </w:pPr>
    </w:p>
    <w:p w:rsidR="00B51BC1" w:rsidRDefault="00B51BC1" w:rsidP="00B51BC1">
      <w:pPr>
        <w:rPr>
          <w:i/>
          <w:iCs/>
          <w:lang w:val="en-GB"/>
        </w:rPr>
      </w:pPr>
    </w:p>
    <w:p w:rsidR="00B51BC1" w:rsidRDefault="00B51BC1" w:rsidP="00B51BC1">
      <w:pPr>
        <w:rPr>
          <w:i/>
          <w:iCs/>
          <w:lang w:val="en-GB"/>
        </w:rPr>
      </w:pPr>
      <w:r>
        <w:rPr>
          <w:rStyle w:val="longtext"/>
          <w:i/>
          <w:iCs/>
          <w:lang w:val="en-GB"/>
        </w:rPr>
        <w:t>The presented publicat</w:t>
      </w:r>
      <w:r w:rsidR="004C3B90">
        <w:rPr>
          <w:rStyle w:val="longtext"/>
          <w:i/>
          <w:iCs/>
          <w:lang w:val="en-GB"/>
        </w:rPr>
        <w:t>ion "Agricultural output</w:t>
      </w:r>
      <w:r>
        <w:rPr>
          <w:rStyle w:val="longtext"/>
          <w:i/>
          <w:iCs/>
          <w:lang w:val="en-GB"/>
        </w:rPr>
        <w:t>" replaces “Gross agricultural output</w:t>
      </w:r>
      <w:proofErr w:type="gramStart"/>
      <w:r>
        <w:rPr>
          <w:rStyle w:val="longtext"/>
          <w:i/>
          <w:iCs/>
          <w:lang w:val="en-GB"/>
        </w:rPr>
        <w:t>“ published</w:t>
      </w:r>
      <w:proofErr w:type="gramEnd"/>
      <w:r>
        <w:rPr>
          <w:rStyle w:val="longtext"/>
          <w:i/>
          <w:iCs/>
          <w:lang w:val="en-GB"/>
        </w:rPr>
        <w:t xml:space="preserve"> by the Czech Statistical Office until 2008. As a part of this change, internationally comparable methodology of Economic Accounts for Agriculture (EAA) has been taken into account. </w:t>
      </w:r>
      <w:r>
        <w:rPr>
          <w:rStyle w:val="mediumtext"/>
          <w:i/>
          <w:iCs/>
          <w:lang w:val="en-GB"/>
        </w:rPr>
        <w:t xml:space="preserve">EAA is used as a tool to obtain the aggregate output for the purpose of monitoring and evaluation of the common agricultural policy. </w:t>
      </w:r>
      <w:r>
        <w:rPr>
          <w:i/>
          <w:iCs/>
          <w:lang w:val="en-GB"/>
        </w:rPr>
        <w:t xml:space="preserve">The compilation of EAA is based on the Regulation (EC) No 138/2004 of the European Parliament and of the Council. The main basis for calculation of the production part of the production account are statistical surveys of CZSO, other data sources are outputs from CISTA, IAEI, FU CR, CBU, </w:t>
      </w:r>
      <w:proofErr w:type="spellStart"/>
      <w:r>
        <w:rPr>
          <w:i/>
          <w:iCs/>
          <w:lang w:val="en-GB"/>
        </w:rPr>
        <w:t>Bohemiaseed</w:t>
      </w:r>
      <w:proofErr w:type="spellEnd"/>
      <w:r>
        <w:rPr>
          <w:i/>
          <w:iCs/>
          <w:lang w:val="en-GB"/>
        </w:rPr>
        <w:t xml:space="preserve"> Ltd., ERO, SPA and others. Information on subsidy titles is obtained from MA CR, SAIF and PGRLF.</w:t>
      </w:r>
    </w:p>
    <w:p w:rsidR="00B51BC1" w:rsidRDefault="00B51BC1" w:rsidP="00B51BC1">
      <w:pPr>
        <w:rPr>
          <w:rStyle w:val="mediumtext"/>
          <w:i/>
          <w:iCs/>
          <w:lang w:val="en-GB"/>
        </w:rPr>
      </w:pPr>
    </w:p>
    <w:p w:rsidR="00B51BC1" w:rsidRDefault="00B51BC1" w:rsidP="00B51BC1">
      <w:pPr>
        <w:rPr>
          <w:i/>
          <w:iCs/>
          <w:lang w:val="en-GB"/>
        </w:rPr>
      </w:pPr>
      <w:r>
        <w:rPr>
          <w:i/>
          <w:iCs/>
          <w:lang w:val="en-GB"/>
        </w:rPr>
        <w:t>CZSO publishes EAA annually in two terms: a) preliminary data for the year n-1 in February of the year n, and b) semi-definitive data for the year n</w:t>
      </w:r>
      <w:r>
        <w:rPr>
          <w:i/>
          <w:iCs/>
          <w:lang w:val="en-GB"/>
        </w:rPr>
        <w:noBreakHyphen/>
        <w:t>1 and final data for the year n-</w:t>
      </w:r>
      <w:smartTag w:uri="urn:schemas-microsoft-com:office:smarttags" w:element="metricconverter">
        <w:smartTagPr>
          <w:attr w:name="ProductID" w:val="2 in"/>
        </w:smartTagPr>
        <w:r>
          <w:rPr>
            <w:i/>
            <w:iCs/>
            <w:lang w:val="en-GB"/>
          </w:rPr>
          <w:t>2 in</w:t>
        </w:r>
      </w:smartTag>
      <w:r>
        <w:rPr>
          <w:i/>
          <w:iCs/>
          <w:lang w:val="en-GB"/>
        </w:rPr>
        <w:t xml:space="preserve"> September of year n. From the above data outputs, the presented one differs in several aspects. Attention is paid only to the production of the EAA, but in a more detailed breakdown. Data are expressed in both volume and value simultaneously in two consecut</w:t>
      </w:r>
      <w:r w:rsidR="004C3B90">
        <w:rPr>
          <w:i/>
          <w:iCs/>
          <w:lang w:val="en-GB"/>
        </w:rPr>
        <w:t>ive years 2012 and 2013</w:t>
      </w:r>
      <w:r>
        <w:rPr>
          <w:i/>
          <w:iCs/>
          <w:lang w:val="en-GB"/>
        </w:rPr>
        <w:t>; the time series of basic indicators contains five years (ten years in the graphs).</w:t>
      </w:r>
    </w:p>
    <w:p w:rsidR="00B51BC1" w:rsidRDefault="00B51BC1" w:rsidP="00B51BC1">
      <w:pPr>
        <w:rPr>
          <w:i/>
          <w:iCs/>
          <w:lang w:val="en-GB"/>
        </w:rPr>
      </w:pPr>
    </w:p>
    <w:p w:rsidR="00B51BC1" w:rsidRDefault="00B51BC1" w:rsidP="00B51BC1">
      <w:pPr>
        <w:rPr>
          <w:rStyle w:val="longtext"/>
          <w:i/>
          <w:iCs/>
          <w:shd w:val="clear" w:color="auto" w:fill="FFFFFF"/>
          <w:lang w:val="en-GB"/>
        </w:rPr>
      </w:pPr>
      <w:r>
        <w:rPr>
          <w:i/>
          <w:iCs/>
          <w:lang w:val="en-GB"/>
        </w:rPr>
        <w:t xml:space="preserve">Agricultural output is a part of the production account contained in EAA, which is formed of further three accounts: a generation of income account, </w:t>
      </w:r>
      <w:r>
        <w:rPr>
          <w:rStyle w:val="longtext"/>
          <w:i/>
          <w:iCs/>
          <w:shd w:val="clear" w:color="auto" w:fill="FFFFFF"/>
          <w:lang w:val="en-GB"/>
        </w:rPr>
        <w:t xml:space="preserve">entrepreneurial income account and elements of the capital account. Production account consists of the production part, which is described in this publication, followed by intermediate consumption and fixed capital consumption. </w:t>
      </w:r>
      <w:r>
        <w:rPr>
          <w:rStyle w:val="longtext"/>
          <w:i/>
          <w:iCs/>
          <w:lang w:val="en-GB"/>
        </w:rPr>
        <w:t>Calculation of gross and net value added is also included in this account.</w:t>
      </w:r>
    </w:p>
    <w:p w:rsidR="00B51BC1" w:rsidRDefault="00B51BC1" w:rsidP="00B51BC1">
      <w:pPr>
        <w:pStyle w:val="Zpat"/>
        <w:tabs>
          <w:tab w:val="clear" w:pos="4536"/>
          <w:tab w:val="clear" w:pos="9072"/>
        </w:tabs>
        <w:rPr>
          <w:i/>
          <w:iCs/>
          <w:lang w:val="en-GB"/>
        </w:rPr>
      </w:pPr>
    </w:p>
    <w:p w:rsidR="00B51BC1" w:rsidRDefault="00B51BC1" w:rsidP="00B51BC1">
      <w:pPr>
        <w:rPr>
          <w:i/>
          <w:iCs/>
          <w:lang w:val="en-GB"/>
        </w:rPr>
      </w:pPr>
      <w:r>
        <w:rPr>
          <w:i/>
          <w:iCs/>
          <w:lang w:val="en-GB"/>
        </w:rPr>
        <w:t xml:space="preserve">EAA do not include units producing solely for own consumption (self-supply). </w:t>
      </w:r>
      <w:r>
        <w:rPr>
          <w:rStyle w:val="longtext"/>
          <w:i/>
          <w:iCs/>
          <w:lang w:val="en-GB"/>
        </w:rPr>
        <w:t>Thresholds, from which the EAA is compiled, are in accordance with the contents of Decree No 126/2001 Coll., which sets out criteria for inscription in the Farm Register.</w:t>
      </w:r>
    </w:p>
    <w:p w:rsidR="00B51BC1" w:rsidRDefault="00B51BC1" w:rsidP="00B51BC1">
      <w:pPr>
        <w:rPr>
          <w:i/>
          <w:iCs/>
          <w:lang w:val="en-GB"/>
        </w:rPr>
      </w:pPr>
    </w:p>
    <w:p w:rsidR="00B51BC1" w:rsidRDefault="00B51BC1" w:rsidP="00B51BC1">
      <w:pPr>
        <w:rPr>
          <w:i/>
          <w:iCs/>
          <w:lang w:val="en-GB"/>
        </w:rPr>
      </w:pPr>
      <w:r>
        <w:rPr>
          <w:i/>
          <w:iCs/>
          <w:lang w:val="en-GB"/>
        </w:rPr>
        <w:t>The final output of the production account is given in volume and both at current basic prices and constant prices of 2000 (i.e. including subsidies on products); it is obtained using a production method (volume x</w:t>
      </w:r>
      <w:r w:rsidR="004C3B90">
        <w:rPr>
          <w:i/>
          <w:iCs/>
          <w:lang w:val="en-GB"/>
        </w:rPr>
        <w:t xml:space="preserve"> price). In 2012 and 2013</w:t>
      </w:r>
      <w:r>
        <w:rPr>
          <w:i/>
          <w:iCs/>
          <w:lang w:val="en-GB"/>
        </w:rPr>
        <w:t xml:space="preserve"> grants were paid </w:t>
      </w:r>
      <w:r w:rsidRPr="00A864D7">
        <w:rPr>
          <w:i/>
          <w:iCs/>
          <w:lang w:val="en-GB"/>
        </w:rPr>
        <w:t>to the cultivation of potatoes, and to breeding of cattle, sheep and goats.</w:t>
      </w:r>
      <w:r>
        <w:rPr>
          <w:i/>
          <w:iCs/>
          <w:lang w:val="en-GB"/>
        </w:rPr>
        <w:t xml:space="preserve"> Part of the agricultural production (cereals, industrial crops and forage plants) is valued at average prices for the crop year, while seasonal crops at prices for the calendar year.</w:t>
      </w:r>
    </w:p>
    <w:p w:rsidR="00B51BC1" w:rsidRDefault="00B51BC1" w:rsidP="00B51BC1">
      <w:pPr>
        <w:rPr>
          <w:i/>
          <w:iCs/>
          <w:lang w:val="en-GB"/>
        </w:rPr>
      </w:pPr>
    </w:p>
    <w:p w:rsidR="00B51BC1" w:rsidRDefault="00B51BC1" w:rsidP="00B51BC1">
      <w:pPr>
        <w:rPr>
          <w:i/>
          <w:iCs/>
          <w:lang w:val="en-GB"/>
        </w:rPr>
      </w:pPr>
      <w:r>
        <w:rPr>
          <w:i/>
          <w:iCs/>
          <w:lang w:val="en-GB"/>
        </w:rPr>
        <w:t>The AWU measure unit is used to express the agricultural labour input (ALI) in graphic annex of this publication. 1 </w:t>
      </w:r>
      <w:proofErr w:type="gramStart"/>
      <w:r>
        <w:rPr>
          <w:i/>
          <w:iCs/>
          <w:lang w:val="en-GB"/>
        </w:rPr>
        <w:t>AWU,</w:t>
      </w:r>
      <w:proofErr w:type="gramEnd"/>
      <w:r>
        <w:rPr>
          <w:i/>
          <w:iCs/>
          <w:lang w:val="en-GB"/>
        </w:rPr>
        <w:t xml:space="preserve"> or Annual Work Unit should represent the number of hours actually worked in a full-time job within agriculture. 1 AWU corresponds to the number of 1 800 hours in the </w:t>
      </w:r>
      <w:smartTag w:uri="urn:schemas-microsoft-com:office:smarttags" w:element="place">
        <w:smartTag w:uri="urn:schemas-microsoft-com:office:smarttags" w:element="PlaceName">
          <w:r>
            <w:rPr>
              <w:i/>
              <w:iCs/>
              <w:lang w:val="en-GB"/>
            </w:rPr>
            <w:t>Czech</w:t>
          </w:r>
        </w:smartTag>
        <w:r>
          <w:rPr>
            <w:i/>
            <w:iCs/>
            <w:lang w:val="en-GB"/>
          </w:rPr>
          <w:t xml:space="preserve"> </w:t>
        </w:r>
        <w:smartTag w:uri="urn:schemas-microsoft-com:office:smarttags" w:element="PlaceType">
          <w:r>
            <w:rPr>
              <w:i/>
              <w:iCs/>
              <w:lang w:val="en-GB"/>
            </w:rPr>
            <w:t>Republic</w:t>
          </w:r>
        </w:smartTag>
      </w:smartTag>
      <w:r>
        <w:rPr>
          <w:i/>
          <w:iCs/>
          <w:lang w:val="en-GB"/>
        </w:rPr>
        <w:t>.</w:t>
      </w:r>
    </w:p>
    <w:p w:rsidR="00B51BC1" w:rsidRDefault="00B51BC1" w:rsidP="00B51BC1">
      <w:pPr>
        <w:rPr>
          <w:i/>
          <w:iCs/>
          <w:lang w:val="en-GB"/>
        </w:rPr>
      </w:pPr>
    </w:p>
    <w:p w:rsidR="00B51BC1" w:rsidRDefault="00B51BC1" w:rsidP="00B51BC1">
      <w:pPr>
        <w:rPr>
          <w:i/>
          <w:iCs/>
          <w:lang w:val="en-GB"/>
        </w:rPr>
      </w:pPr>
      <w:r>
        <w:rPr>
          <w:i/>
          <w:iCs/>
          <w:lang w:val="en-GB"/>
        </w:rPr>
        <w:t>All data in this publicat</w:t>
      </w:r>
      <w:r w:rsidR="004C3B90">
        <w:rPr>
          <w:i/>
          <w:iCs/>
          <w:lang w:val="en-GB"/>
        </w:rPr>
        <w:t>ion are semi-definitive for 2012, and preliminary for 2013</w:t>
      </w:r>
      <w:r>
        <w:rPr>
          <w:i/>
          <w:iCs/>
          <w:lang w:val="en-GB"/>
        </w:rPr>
        <w:t>.</w:t>
      </w:r>
    </w:p>
    <w:p w:rsidR="00B51BC1" w:rsidRDefault="00B51BC1" w:rsidP="00B51BC1">
      <w:pPr>
        <w:pStyle w:val="Zpat"/>
        <w:tabs>
          <w:tab w:val="clear" w:pos="4536"/>
          <w:tab w:val="clear" w:pos="9072"/>
        </w:tabs>
        <w:rPr>
          <w:i/>
          <w:iCs/>
          <w:lang w:val="en-GB"/>
        </w:rPr>
      </w:pPr>
    </w:p>
    <w:p w:rsidR="00B51BC1" w:rsidRDefault="00B51BC1" w:rsidP="00B51BC1">
      <w:pPr>
        <w:pStyle w:val="Zpat"/>
        <w:tabs>
          <w:tab w:val="clear" w:pos="4536"/>
          <w:tab w:val="clear" w:pos="9072"/>
        </w:tabs>
        <w:rPr>
          <w:b/>
          <w:bCs/>
          <w:i/>
          <w:iCs/>
          <w:sz w:val="24"/>
          <w:lang w:val="en-GB"/>
        </w:rPr>
      </w:pPr>
      <w:r>
        <w:rPr>
          <w:b/>
          <w:bCs/>
          <w:i/>
          <w:iCs/>
          <w:sz w:val="24"/>
          <w:lang w:val="en-GB"/>
        </w:rPr>
        <w:t>Symbols used in tables of publications</w:t>
      </w:r>
    </w:p>
    <w:p w:rsidR="00B51BC1" w:rsidRDefault="00B51BC1" w:rsidP="00B51BC1">
      <w:pPr>
        <w:pStyle w:val="Zpat"/>
        <w:tabs>
          <w:tab w:val="clear" w:pos="4536"/>
          <w:tab w:val="clear" w:pos="9072"/>
        </w:tabs>
        <w:rPr>
          <w:i/>
          <w:iCs/>
          <w:lang w:val="en-GB"/>
        </w:rPr>
      </w:pPr>
    </w:p>
    <w:tbl>
      <w:tblPr>
        <w:tblW w:w="0" w:type="auto"/>
        <w:tblCellMar>
          <w:left w:w="70" w:type="dxa"/>
          <w:right w:w="70" w:type="dxa"/>
        </w:tblCellMar>
        <w:tblLook w:val="0000"/>
      </w:tblPr>
      <w:tblGrid>
        <w:gridCol w:w="790"/>
        <w:gridCol w:w="8420"/>
      </w:tblGrid>
      <w:tr w:rsidR="00B51BC1" w:rsidTr="00B51BC1">
        <w:tblPrEx>
          <w:tblCellMar>
            <w:top w:w="0" w:type="dxa"/>
            <w:bottom w:w="0" w:type="dxa"/>
          </w:tblCellMar>
        </w:tblPrEx>
        <w:tc>
          <w:tcPr>
            <w:tcW w:w="790" w:type="dxa"/>
          </w:tcPr>
          <w:p w:rsidR="00B51BC1" w:rsidRDefault="00B51BC1" w:rsidP="00B51BC1">
            <w:pPr>
              <w:pStyle w:val="Zpat"/>
              <w:tabs>
                <w:tab w:val="clear" w:pos="4536"/>
                <w:tab w:val="clear" w:pos="9072"/>
              </w:tabs>
              <w:rPr>
                <w:i/>
                <w:iCs/>
                <w:lang w:val="en-GB"/>
              </w:rPr>
            </w:pPr>
            <w:r>
              <w:rPr>
                <w:i/>
                <w:iCs/>
                <w:lang w:val="en-GB"/>
              </w:rPr>
              <w:t>-</w:t>
            </w:r>
          </w:p>
        </w:tc>
        <w:tc>
          <w:tcPr>
            <w:tcW w:w="8420" w:type="dxa"/>
          </w:tcPr>
          <w:p w:rsidR="00B51BC1" w:rsidRDefault="00B51BC1" w:rsidP="00B51BC1">
            <w:pPr>
              <w:pStyle w:val="Zpat"/>
              <w:tabs>
                <w:tab w:val="clear" w:pos="4536"/>
                <w:tab w:val="clear" w:pos="9072"/>
              </w:tabs>
              <w:rPr>
                <w:i/>
                <w:iCs/>
                <w:lang w:val="en-GB"/>
              </w:rPr>
            </w:pPr>
            <w:r>
              <w:rPr>
                <w:i/>
                <w:iCs/>
                <w:lang w:val="en-GB"/>
              </w:rPr>
              <w:t>Dash (-) indicates that the phenomenon did not occur.</w:t>
            </w:r>
          </w:p>
          <w:p w:rsidR="00B51BC1" w:rsidRDefault="00B51BC1" w:rsidP="00B51BC1">
            <w:pPr>
              <w:pStyle w:val="Zpat"/>
              <w:tabs>
                <w:tab w:val="clear" w:pos="4536"/>
                <w:tab w:val="clear" w:pos="9072"/>
              </w:tabs>
              <w:rPr>
                <w:i/>
                <w:iCs/>
                <w:lang w:val="en-GB"/>
              </w:rPr>
            </w:pPr>
          </w:p>
        </w:tc>
      </w:tr>
      <w:tr w:rsidR="00B51BC1" w:rsidTr="00B51BC1">
        <w:tblPrEx>
          <w:tblCellMar>
            <w:top w:w="0" w:type="dxa"/>
            <w:bottom w:w="0" w:type="dxa"/>
          </w:tblCellMar>
        </w:tblPrEx>
        <w:tc>
          <w:tcPr>
            <w:tcW w:w="790" w:type="dxa"/>
          </w:tcPr>
          <w:p w:rsidR="00B51BC1" w:rsidRDefault="00B51BC1" w:rsidP="00B51BC1">
            <w:pPr>
              <w:pStyle w:val="Zpat"/>
              <w:tabs>
                <w:tab w:val="clear" w:pos="4536"/>
                <w:tab w:val="clear" w:pos="9072"/>
              </w:tabs>
              <w:rPr>
                <w:i/>
                <w:iCs/>
                <w:lang w:val="en-GB"/>
              </w:rPr>
            </w:pPr>
            <w:r>
              <w:rPr>
                <w:i/>
                <w:iCs/>
                <w:lang w:val="en-GB"/>
              </w:rPr>
              <w:t>0</w:t>
            </w:r>
          </w:p>
        </w:tc>
        <w:tc>
          <w:tcPr>
            <w:tcW w:w="8420" w:type="dxa"/>
          </w:tcPr>
          <w:p w:rsidR="00B51BC1" w:rsidRDefault="00B51BC1" w:rsidP="00B51BC1">
            <w:pPr>
              <w:pStyle w:val="Zpat"/>
              <w:tabs>
                <w:tab w:val="clear" w:pos="4536"/>
                <w:tab w:val="clear" w:pos="9072"/>
              </w:tabs>
              <w:rPr>
                <w:i/>
                <w:iCs/>
                <w:lang w:val="en-GB"/>
              </w:rPr>
            </w:pPr>
            <w:r>
              <w:rPr>
                <w:i/>
                <w:iCs/>
                <w:lang w:val="en-GB"/>
              </w:rPr>
              <w:t>Zero (0) indicates that there exist a figure, but its value is less than a half of a measure unit used in the table.</w:t>
            </w:r>
          </w:p>
          <w:p w:rsidR="00B51BC1" w:rsidRDefault="00B51BC1" w:rsidP="00B51BC1">
            <w:pPr>
              <w:pStyle w:val="Zpat"/>
              <w:tabs>
                <w:tab w:val="clear" w:pos="4536"/>
                <w:tab w:val="clear" w:pos="9072"/>
              </w:tabs>
              <w:rPr>
                <w:i/>
                <w:iCs/>
                <w:lang w:val="en-GB"/>
              </w:rPr>
            </w:pPr>
          </w:p>
        </w:tc>
      </w:tr>
      <w:tr w:rsidR="00B51BC1" w:rsidTr="00B51BC1">
        <w:tblPrEx>
          <w:tblCellMar>
            <w:top w:w="0" w:type="dxa"/>
            <w:bottom w:w="0" w:type="dxa"/>
          </w:tblCellMar>
        </w:tblPrEx>
        <w:tc>
          <w:tcPr>
            <w:tcW w:w="790" w:type="dxa"/>
          </w:tcPr>
          <w:p w:rsidR="00B51BC1" w:rsidRDefault="00B51BC1" w:rsidP="00B51BC1">
            <w:pPr>
              <w:pStyle w:val="Zpat"/>
              <w:tabs>
                <w:tab w:val="clear" w:pos="4536"/>
                <w:tab w:val="clear" w:pos="9072"/>
              </w:tabs>
              <w:rPr>
                <w:i/>
                <w:iCs/>
                <w:lang w:val="en-GB"/>
              </w:rPr>
            </w:pPr>
            <w:r>
              <w:rPr>
                <w:i/>
                <w:iCs/>
                <w:lang w:val="en-GB"/>
              </w:rPr>
              <w:t>x</w:t>
            </w:r>
          </w:p>
        </w:tc>
        <w:tc>
          <w:tcPr>
            <w:tcW w:w="8420" w:type="dxa"/>
          </w:tcPr>
          <w:p w:rsidR="00B51BC1" w:rsidRDefault="00B51BC1" w:rsidP="00B51BC1">
            <w:pPr>
              <w:pStyle w:val="Zpat"/>
              <w:tabs>
                <w:tab w:val="clear" w:pos="4536"/>
                <w:tab w:val="clear" w:pos="9072"/>
              </w:tabs>
              <w:rPr>
                <w:i/>
                <w:iCs/>
                <w:lang w:val="en-GB"/>
              </w:rPr>
            </w:pPr>
            <w:r>
              <w:rPr>
                <w:i/>
                <w:iCs/>
                <w:lang w:val="en-GB"/>
              </w:rPr>
              <w:t>Letter x (x) is used when the figure is not logically possible to achieve.</w:t>
            </w:r>
          </w:p>
          <w:p w:rsidR="00B51BC1" w:rsidRDefault="00B51BC1" w:rsidP="00B51BC1">
            <w:pPr>
              <w:pStyle w:val="Zpat"/>
              <w:tabs>
                <w:tab w:val="clear" w:pos="4536"/>
                <w:tab w:val="clear" w:pos="9072"/>
              </w:tabs>
              <w:rPr>
                <w:i/>
                <w:iCs/>
                <w:lang w:val="en-GB"/>
              </w:rPr>
            </w:pPr>
          </w:p>
        </w:tc>
      </w:tr>
      <w:tr w:rsidR="00B51BC1" w:rsidTr="00B51BC1">
        <w:tblPrEx>
          <w:tblCellMar>
            <w:top w:w="0" w:type="dxa"/>
            <w:bottom w:w="0" w:type="dxa"/>
          </w:tblCellMar>
        </w:tblPrEx>
        <w:tc>
          <w:tcPr>
            <w:tcW w:w="790" w:type="dxa"/>
          </w:tcPr>
          <w:p w:rsidR="00B51BC1" w:rsidRDefault="00B51BC1" w:rsidP="00B51BC1">
            <w:pPr>
              <w:pStyle w:val="Zpat"/>
              <w:tabs>
                <w:tab w:val="clear" w:pos="4536"/>
                <w:tab w:val="clear" w:pos="9072"/>
              </w:tabs>
              <w:rPr>
                <w:i/>
                <w:iCs/>
                <w:lang w:val="en-GB"/>
              </w:rPr>
            </w:pPr>
            <w:r>
              <w:rPr>
                <w:i/>
                <w:iCs/>
                <w:lang w:val="en-GB"/>
              </w:rPr>
              <w:t>.</w:t>
            </w:r>
          </w:p>
        </w:tc>
        <w:tc>
          <w:tcPr>
            <w:tcW w:w="8420" w:type="dxa"/>
          </w:tcPr>
          <w:p w:rsidR="00B51BC1" w:rsidRDefault="00B51BC1" w:rsidP="00B51BC1">
            <w:pPr>
              <w:pStyle w:val="Zpat"/>
              <w:tabs>
                <w:tab w:val="clear" w:pos="4536"/>
                <w:tab w:val="clear" w:pos="9072"/>
              </w:tabs>
              <w:rPr>
                <w:i/>
                <w:iCs/>
                <w:lang w:val="en-GB"/>
              </w:rPr>
            </w:pPr>
            <w:r>
              <w:rPr>
                <w:i/>
                <w:iCs/>
                <w:lang w:val="en-GB"/>
              </w:rPr>
              <w:t>Dot (.) shows that the figure is not available or cannot be relied on.</w:t>
            </w:r>
          </w:p>
          <w:p w:rsidR="00B51BC1" w:rsidRDefault="00B51BC1" w:rsidP="00B51BC1">
            <w:pPr>
              <w:pStyle w:val="Zpat"/>
              <w:tabs>
                <w:tab w:val="clear" w:pos="4536"/>
                <w:tab w:val="clear" w:pos="9072"/>
              </w:tabs>
              <w:rPr>
                <w:i/>
                <w:iCs/>
                <w:lang w:val="en-GB"/>
              </w:rPr>
            </w:pPr>
          </w:p>
        </w:tc>
      </w:tr>
    </w:tbl>
    <w:p w:rsidR="00B51BC1" w:rsidRDefault="00B51BC1" w:rsidP="00B51BC1">
      <w:pPr>
        <w:rPr>
          <w:i/>
          <w:iCs/>
          <w:lang w:val="en-GB"/>
        </w:rPr>
      </w:pPr>
    </w:p>
    <w:p w:rsidR="00B51BC1" w:rsidRDefault="00B51BC1" w:rsidP="00B51BC1">
      <w:pPr>
        <w:rPr>
          <w:i/>
          <w:iCs/>
          <w:lang w:val="en-GB"/>
        </w:rPr>
      </w:pPr>
      <w:r>
        <w:rPr>
          <w:i/>
          <w:iCs/>
          <w:lang w:val="en-GB"/>
        </w:rPr>
        <w:t>Note:</w:t>
      </w:r>
    </w:p>
    <w:p w:rsidR="000C39F2" w:rsidRPr="00B51BC1" w:rsidRDefault="00B51BC1">
      <w:pPr>
        <w:rPr>
          <w:i/>
          <w:iCs/>
          <w:lang w:val="en-GB"/>
        </w:rPr>
      </w:pPr>
      <w:r>
        <w:rPr>
          <w:i/>
          <w:iCs/>
          <w:lang w:val="en-GB"/>
        </w:rPr>
        <w:t>Published results are calculated from not rounded figures (data have been grossed up to the nearest 4 decimal places). Exhaustive sum may not always be exactly equal to the sum of its components, such as those quoted in tables in rounded form.</w:t>
      </w:r>
    </w:p>
    <w:sectPr w:rsidR="000C39F2" w:rsidRPr="00B51BC1" w:rsidSect="00914684">
      <w:pgSz w:w="11906" w:h="16838"/>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51BC1"/>
    <w:rsid w:val="000C39F2"/>
    <w:rsid w:val="004C3B90"/>
    <w:rsid w:val="007B09E4"/>
    <w:rsid w:val="00914684"/>
    <w:rsid w:val="00B51BC1"/>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51BC1"/>
    <w:pPr>
      <w:jc w:val="both"/>
    </w:pPr>
    <w:rPr>
      <w:rFonts w:ascii="Arial" w:hAnsi="Arial"/>
      <w:szCs w:val="24"/>
    </w:rPr>
  </w:style>
  <w:style w:type="paragraph" w:styleId="Nadpis1">
    <w:name w:val="heading 1"/>
    <w:basedOn w:val="Normln"/>
    <w:next w:val="Normln"/>
    <w:qFormat/>
    <w:rsid w:val="00B51BC1"/>
    <w:pPr>
      <w:keepNext/>
      <w:spacing w:before="240" w:after="240"/>
      <w:outlineLvl w:val="0"/>
    </w:pPr>
    <w:rPr>
      <w:rFonts w:cs="Arial"/>
      <w:b/>
      <w:bCs/>
      <w:kern w:val="32"/>
      <w:sz w:val="24"/>
      <w:szCs w:val="3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pat">
    <w:name w:val="footer"/>
    <w:basedOn w:val="Normln"/>
    <w:rsid w:val="00B51BC1"/>
    <w:pPr>
      <w:tabs>
        <w:tab w:val="center" w:pos="4536"/>
        <w:tab w:val="right" w:pos="9072"/>
      </w:tabs>
    </w:pPr>
  </w:style>
  <w:style w:type="character" w:customStyle="1" w:styleId="longtext">
    <w:name w:val="long_text"/>
    <w:basedOn w:val="Standardnpsmoodstavce"/>
    <w:rsid w:val="00B51BC1"/>
  </w:style>
  <w:style w:type="character" w:customStyle="1" w:styleId="mediumtext">
    <w:name w:val="medium_text"/>
    <w:basedOn w:val="Standardnpsmoodstavce"/>
    <w:rsid w:val="00B51B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523</Words>
  <Characters>3090</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Methodical comments</vt:lpstr>
    </vt:vector>
  </TitlesOfParts>
  <Company>CSU</Company>
  <LinksUpToDate>false</LinksUpToDate>
  <CharactersWithSpaces>3606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Methodical comments</dc:title>
  <dc:creator>zikova9715</dc:creator>
  <cp:lastModifiedBy>prikrylova9715</cp:lastModifiedBy>
  <cp:revision>3</cp:revision>
  <dcterms:created xsi:type="dcterms:W3CDTF">2014-05-14T06:28:00Z</dcterms:created>
  <dcterms:modified xsi:type="dcterms:W3CDTF">2014-05-14T06:32:00Z</dcterms:modified>
</cp:coreProperties>
</file>