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9.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0.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1.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2.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3.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4.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5.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6.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7.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8.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9.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B086B" w14:textId="6EF74FC1" w:rsidR="00796E73" w:rsidRDefault="003C629F" w:rsidP="00796E73">
      <w:pPr>
        <w:pStyle w:val="Nadpis1"/>
      </w:pPr>
      <w:bookmarkStart w:id="0" w:name="_Toc23318724"/>
      <w:r>
        <w:t>4</w:t>
      </w:r>
      <w:r w:rsidR="00796E73">
        <w:t xml:space="preserve">. </w:t>
      </w:r>
      <w:r>
        <w:t>Analytická část</w:t>
      </w:r>
      <w:bookmarkEnd w:id="0"/>
    </w:p>
    <w:p w14:paraId="38253565" w14:textId="51AA50E0" w:rsidR="00EE4B1B" w:rsidRDefault="003C629F" w:rsidP="00A247BC">
      <w:pPr>
        <w:pStyle w:val="Nadpis2"/>
        <w:spacing w:after="100"/>
      </w:pPr>
      <w:bookmarkStart w:id="1" w:name="_Toc23318725"/>
      <w:r>
        <w:t>4.1. Nemocensky</w:t>
      </w:r>
      <w:r w:rsidR="00315691">
        <w:t xml:space="preserve"> </w:t>
      </w:r>
      <w:r>
        <w:t>pojištěné osoby</w:t>
      </w:r>
      <w:bookmarkEnd w:id="1"/>
    </w:p>
    <w:p w14:paraId="067E240F" w14:textId="77777777" w:rsidR="00A247BC" w:rsidRPr="00B55F4A" w:rsidRDefault="00B55F4A" w:rsidP="00B55F4A">
      <w:pPr>
        <w:jc w:val="both"/>
      </w:pPr>
      <w:r w:rsidRPr="00B55F4A">
        <w:t>Základním ukazatelem</w:t>
      </w:r>
      <w:r>
        <w:t>, ke kterému se vztahují údaje o pracovní neschopnosti, je ukazatel průměrného počtu nemocensky pojištěných osob.</w:t>
      </w:r>
    </w:p>
    <w:p w14:paraId="303A080D" w14:textId="77777777" w:rsidR="00972D12" w:rsidRPr="00972D12" w:rsidRDefault="00972D12" w:rsidP="007508FD">
      <w:pPr>
        <w:pStyle w:val="Box1"/>
        <w:jc w:val="both"/>
        <w:rPr>
          <w:i/>
        </w:rPr>
      </w:pPr>
      <w:r w:rsidRPr="00972D12">
        <w:rPr>
          <w:b/>
          <w:i/>
        </w:rPr>
        <w:t>Průměrný počet nemocensky pojištěných</w:t>
      </w:r>
      <w:r w:rsidR="007A32F7">
        <w:rPr>
          <w:b/>
          <w:i/>
        </w:rPr>
        <w:t xml:space="preserve"> osob</w:t>
      </w:r>
      <w:r w:rsidRPr="00972D12">
        <w:rPr>
          <w:b/>
          <w:i/>
        </w:rPr>
        <w:t xml:space="preserve"> </w:t>
      </w:r>
      <w:r w:rsidR="00977F2A" w:rsidRPr="00F46EA8">
        <w:rPr>
          <w:i/>
        </w:rPr>
        <w:t xml:space="preserve">– </w:t>
      </w:r>
      <w:r>
        <w:rPr>
          <w:i/>
        </w:rPr>
        <w:t>u</w:t>
      </w:r>
      <w:r w:rsidRPr="00972D12">
        <w:rPr>
          <w:i/>
        </w:rPr>
        <w:t xml:space="preserve">kazatel </w:t>
      </w:r>
      <w:r>
        <w:rPr>
          <w:i/>
        </w:rPr>
        <w:t>udává</w:t>
      </w:r>
      <w:r w:rsidRPr="00972D12">
        <w:rPr>
          <w:i/>
        </w:rPr>
        <w:t xml:space="preserve"> průměrný počet osob, které jsou </w:t>
      </w:r>
      <w:r w:rsidR="00532E6C">
        <w:rPr>
          <w:i/>
        </w:rPr>
        <w:t xml:space="preserve">povinně či dobrovolně </w:t>
      </w:r>
      <w:r w:rsidRPr="00972D12">
        <w:rPr>
          <w:i/>
        </w:rPr>
        <w:t>nemocensky pojištěn</w:t>
      </w:r>
      <w:r w:rsidR="00532E6C">
        <w:rPr>
          <w:i/>
        </w:rPr>
        <w:t>é</w:t>
      </w:r>
      <w:r w:rsidRPr="00972D12">
        <w:rPr>
          <w:i/>
        </w:rPr>
        <w:t xml:space="preserve"> podle zákona č. </w:t>
      </w:r>
      <w:r w:rsidR="00532E6C">
        <w:rPr>
          <w:i/>
        </w:rPr>
        <w:t>187</w:t>
      </w:r>
      <w:r w:rsidRPr="00972D12">
        <w:rPr>
          <w:i/>
        </w:rPr>
        <w:t>/</w:t>
      </w:r>
      <w:r w:rsidR="00532E6C">
        <w:rPr>
          <w:i/>
        </w:rPr>
        <w:t>2006</w:t>
      </w:r>
      <w:r w:rsidRPr="00972D12">
        <w:rPr>
          <w:i/>
        </w:rPr>
        <w:t xml:space="preserve"> Sb., o nemocenském pojištění, ve znění pozdějších předpisů. Zahrnuje </w:t>
      </w:r>
      <w:r w:rsidR="00532E6C">
        <w:rPr>
          <w:i/>
        </w:rPr>
        <w:t>všechny</w:t>
      </w:r>
      <w:r w:rsidRPr="00972D12">
        <w:rPr>
          <w:i/>
        </w:rPr>
        <w:t xml:space="preserve"> osob</w:t>
      </w:r>
      <w:r w:rsidR="00532E6C">
        <w:rPr>
          <w:i/>
        </w:rPr>
        <w:t>y</w:t>
      </w:r>
      <w:r w:rsidRPr="00972D12">
        <w:rPr>
          <w:i/>
        </w:rPr>
        <w:t xml:space="preserve">, které byly alespoň po </w:t>
      </w:r>
      <w:r w:rsidR="00532E6C">
        <w:rPr>
          <w:i/>
        </w:rPr>
        <w:t>jeden</w:t>
      </w:r>
      <w:r w:rsidRPr="00972D12">
        <w:rPr>
          <w:i/>
        </w:rPr>
        <w:t xml:space="preserve"> den vykazovaného období nemocensky pojištěné. Do průměrného počtu nemocensky pojištěných nejsou započteni </w:t>
      </w:r>
      <w:r w:rsidR="00043077" w:rsidRPr="00972D12">
        <w:rPr>
          <w:i/>
        </w:rPr>
        <w:t xml:space="preserve">vojáci z povolání </w:t>
      </w:r>
      <w:r w:rsidR="00043077">
        <w:rPr>
          <w:i/>
        </w:rPr>
        <w:t xml:space="preserve">a </w:t>
      </w:r>
      <w:r w:rsidRPr="00972D12">
        <w:rPr>
          <w:i/>
        </w:rPr>
        <w:t>příslušníci Policie ČR, Hasičského záchranného sboru</w:t>
      </w:r>
      <w:r w:rsidR="00043077">
        <w:rPr>
          <w:i/>
        </w:rPr>
        <w:t xml:space="preserve"> ČR</w:t>
      </w:r>
      <w:r w:rsidRPr="00972D12">
        <w:rPr>
          <w:i/>
        </w:rPr>
        <w:t>, Celní správy</w:t>
      </w:r>
      <w:r w:rsidR="00043077">
        <w:rPr>
          <w:i/>
        </w:rPr>
        <w:t xml:space="preserve"> ČR</w:t>
      </w:r>
      <w:r w:rsidRPr="00972D12">
        <w:rPr>
          <w:i/>
        </w:rPr>
        <w:t>, Vězeňské služby</w:t>
      </w:r>
      <w:r w:rsidR="00043077">
        <w:rPr>
          <w:i/>
        </w:rPr>
        <w:t xml:space="preserve"> ČR</w:t>
      </w:r>
      <w:r w:rsidRPr="00972D12">
        <w:rPr>
          <w:i/>
        </w:rPr>
        <w:t>, Generální inspekce bezpečnostních sborů, Bezpečnostní informační služby a Úřadu pr</w:t>
      </w:r>
      <w:r w:rsidR="00043077">
        <w:rPr>
          <w:i/>
        </w:rPr>
        <w:t>o zahraniční styky a informace</w:t>
      </w:r>
      <w:r w:rsidRPr="00972D12">
        <w:rPr>
          <w:i/>
        </w:rPr>
        <w:t xml:space="preserve">. </w:t>
      </w:r>
    </w:p>
    <w:p w14:paraId="3D53A1D5" w14:textId="77777777" w:rsidR="00972D12" w:rsidRPr="005F2E14" w:rsidRDefault="00972D12" w:rsidP="007508FD">
      <w:pPr>
        <w:pStyle w:val="Box1"/>
        <w:jc w:val="both"/>
        <w:rPr>
          <w:i/>
        </w:rPr>
      </w:pPr>
      <w:r w:rsidRPr="00783112">
        <w:rPr>
          <w:i/>
        </w:rPr>
        <w:t xml:space="preserve">V případě více překrývajících se </w:t>
      </w:r>
      <w:r w:rsidR="006574B7" w:rsidRPr="00783112">
        <w:rPr>
          <w:i/>
        </w:rPr>
        <w:t>pojistných vztahů</w:t>
      </w:r>
      <w:r w:rsidRPr="00783112">
        <w:rPr>
          <w:i/>
        </w:rPr>
        <w:t xml:space="preserve"> pojištěnce v rámci jednoho zaměstnavatele a jedné mzdové účtárny se započítává pojištěnec pouze jedenkrát. V ostatních případech je pojištěnec započítáván tolikrát, kolik má </w:t>
      </w:r>
      <w:r w:rsidR="00783112" w:rsidRPr="00783112">
        <w:rPr>
          <w:i/>
        </w:rPr>
        <w:t>pracovně</w:t>
      </w:r>
      <w:r w:rsidR="00783112">
        <w:rPr>
          <w:i/>
        </w:rPr>
        <w:t xml:space="preserve"> </w:t>
      </w:r>
      <w:r w:rsidR="00783112" w:rsidRPr="00783112">
        <w:rPr>
          <w:i/>
        </w:rPr>
        <w:t>právních pojistných vztahů</w:t>
      </w:r>
      <w:r w:rsidRPr="00783112">
        <w:rPr>
          <w:i/>
        </w:rPr>
        <w:t>.</w:t>
      </w:r>
      <w:r w:rsidR="00F52952">
        <w:rPr>
          <w:i/>
        </w:rPr>
        <w:t xml:space="preserve"> </w:t>
      </w:r>
    </w:p>
    <w:p w14:paraId="4C742A51" w14:textId="77777777" w:rsidR="00972D12" w:rsidRPr="00972D12" w:rsidRDefault="00972D12" w:rsidP="007508FD">
      <w:pPr>
        <w:pStyle w:val="Box1"/>
        <w:jc w:val="both"/>
        <w:rPr>
          <w:i/>
          <w:u w:val="single"/>
        </w:rPr>
      </w:pPr>
      <w:r w:rsidRPr="00972D12">
        <w:rPr>
          <w:i/>
          <w:u w:val="single"/>
        </w:rPr>
        <w:t>Způsob výpočtu:</w:t>
      </w:r>
    </w:p>
    <w:p w14:paraId="1F883946" w14:textId="77777777" w:rsidR="00977F2A" w:rsidRPr="00F46EA8" w:rsidRDefault="00972D12" w:rsidP="007508FD">
      <w:pPr>
        <w:pStyle w:val="Box1"/>
        <w:jc w:val="both"/>
        <w:rPr>
          <w:i/>
        </w:rPr>
      </w:pPr>
      <w:r w:rsidRPr="00972D12">
        <w:rPr>
          <w:i/>
        </w:rPr>
        <w:t>Průměrný počet nemocensky pojištěných osob = počet dní nemocenského pojištění jednotlivých pojištěných osob ve vykazovaném období / počet kalendářních dní ve vykazovaném období.</w:t>
      </w:r>
    </w:p>
    <w:p w14:paraId="675EBE32" w14:textId="7AAC13BB" w:rsidR="00307CAA" w:rsidRDefault="00150CBE" w:rsidP="006E49D7">
      <w:pPr>
        <w:jc w:val="both"/>
        <w:rPr>
          <w:rFonts w:cs="Arial"/>
        </w:rPr>
      </w:pPr>
      <w:r w:rsidRPr="00155E6E">
        <w:rPr>
          <w:rFonts w:cs="Arial"/>
        </w:rPr>
        <w:t xml:space="preserve">Průměrný počet nemocensky pojištěných za </w:t>
      </w:r>
      <w:r w:rsidR="00397F8B" w:rsidRPr="00155E6E">
        <w:rPr>
          <w:rFonts w:cs="Arial"/>
        </w:rPr>
        <w:t xml:space="preserve">1. pol. </w:t>
      </w:r>
      <w:r w:rsidRPr="00155E6E">
        <w:rPr>
          <w:rFonts w:cs="Arial"/>
        </w:rPr>
        <w:t>201</w:t>
      </w:r>
      <w:r w:rsidR="003E0F4C">
        <w:rPr>
          <w:rFonts w:cs="Arial"/>
        </w:rPr>
        <w:t>9</w:t>
      </w:r>
      <w:r w:rsidRPr="00155E6E">
        <w:rPr>
          <w:rFonts w:cs="Arial"/>
        </w:rPr>
        <w:t xml:space="preserve"> činil </w:t>
      </w:r>
      <w:r w:rsidRPr="00307CAA">
        <w:rPr>
          <w:rFonts w:cs="Arial"/>
          <w:b/>
        </w:rPr>
        <w:t>celkem</w:t>
      </w:r>
      <w:r w:rsidRPr="00155E6E">
        <w:rPr>
          <w:rFonts w:cs="Arial"/>
        </w:rPr>
        <w:t xml:space="preserve"> </w:t>
      </w:r>
      <w:r w:rsidR="003E0F4C">
        <w:rPr>
          <w:rFonts w:cs="Arial"/>
        </w:rPr>
        <w:t xml:space="preserve">4 736,9 </w:t>
      </w:r>
      <w:r w:rsidR="006E49D7" w:rsidRPr="00155E6E">
        <w:rPr>
          <w:rFonts w:cs="Arial"/>
        </w:rPr>
        <w:t>tis. osob, z čehož 50,</w:t>
      </w:r>
      <w:r w:rsidR="003E0F4C">
        <w:rPr>
          <w:rFonts w:cs="Arial"/>
        </w:rPr>
        <w:t>4</w:t>
      </w:r>
      <w:r w:rsidRPr="00155E6E">
        <w:rPr>
          <w:rFonts w:cs="Arial"/>
        </w:rPr>
        <w:t> % tvořili muži a 49</w:t>
      </w:r>
      <w:r w:rsidR="006E49D7" w:rsidRPr="00155E6E">
        <w:rPr>
          <w:rFonts w:cs="Arial"/>
        </w:rPr>
        <w:t>,</w:t>
      </w:r>
      <w:r w:rsidR="003E0F4C">
        <w:rPr>
          <w:rFonts w:cs="Arial"/>
        </w:rPr>
        <w:t>6</w:t>
      </w:r>
      <w:r w:rsidRPr="00155E6E">
        <w:rPr>
          <w:rFonts w:cs="Arial"/>
          <w:lang w:val="en-US"/>
        </w:rPr>
        <w:t xml:space="preserve"> % </w:t>
      </w:r>
      <w:r w:rsidRPr="00155E6E">
        <w:rPr>
          <w:rFonts w:cs="Arial"/>
        </w:rPr>
        <w:t xml:space="preserve">ženy. Oproti </w:t>
      </w:r>
      <w:r w:rsidR="00397F8B" w:rsidRPr="00155E6E">
        <w:rPr>
          <w:rFonts w:cs="Arial"/>
        </w:rPr>
        <w:t>1. pol. 201</w:t>
      </w:r>
      <w:r w:rsidR="003E0F4C">
        <w:rPr>
          <w:rFonts w:cs="Arial"/>
        </w:rPr>
        <w:t>8</w:t>
      </w:r>
      <w:r w:rsidR="00397F8B" w:rsidRPr="00155E6E">
        <w:rPr>
          <w:rFonts w:cs="Arial"/>
        </w:rPr>
        <w:t xml:space="preserve"> </w:t>
      </w:r>
      <w:r w:rsidR="00CA271C" w:rsidRPr="00155E6E">
        <w:rPr>
          <w:rFonts w:cs="Arial"/>
        </w:rPr>
        <w:t>(4 </w:t>
      </w:r>
      <w:r w:rsidR="003E0F4C">
        <w:rPr>
          <w:rFonts w:cs="Arial"/>
        </w:rPr>
        <w:t>710</w:t>
      </w:r>
      <w:r w:rsidR="00CA271C" w:rsidRPr="00155E6E">
        <w:rPr>
          <w:rFonts w:cs="Arial"/>
        </w:rPr>
        <w:t>,</w:t>
      </w:r>
      <w:r w:rsidR="003E0F4C">
        <w:rPr>
          <w:rFonts w:cs="Arial"/>
        </w:rPr>
        <w:t>8</w:t>
      </w:r>
      <w:r w:rsidR="00814C52" w:rsidRPr="00155E6E">
        <w:rPr>
          <w:rFonts w:cs="Arial"/>
        </w:rPr>
        <w:t xml:space="preserve"> tis. osob</w:t>
      </w:r>
      <w:r w:rsidR="00CA271C" w:rsidRPr="00155E6E">
        <w:rPr>
          <w:rFonts w:cs="Arial"/>
        </w:rPr>
        <w:t xml:space="preserve">) </w:t>
      </w:r>
      <w:r w:rsidRPr="00155E6E">
        <w:rPr>
          <w:rFonts w:cs="Arial"/>
        </w:rPr>
        <w:t xml:space="preserve">průměrný počet pojištěnců vzrostl o </w:t>
      </w:r>
      <w:r w:rsidR="003E0F4C">
        <w:rPr>
          <w:rFonts w:cs="Arial"/>
        </w:rPr>
        <w:t>0,6</w:t>
      </w:r>
      <w:r w:rsidRPr="00155E6E">
        <w:rPr>
          <w:rFonts w:cs="Arial"/>
        </w:rPr>
        <w:t> </w:t>
      </w:r>
      <w:r w:rsidRPr="00155E6E">
        <w:rPr>
          <w:rFonts w:cs="Arial"/>
          <w:lang w:val="en-US"/>
        </w:rPr>
        <w:t>%, tj.</w:t>
      </w:r>
      <w:r w:rsidR="00A5761A">
        <w:rPr>
          <w:rFonts w:cs="Arial"/>
          <w:lang w:val="en-US"/>
        </w:rPr>
        <w:t> </w:t>
      </w:r>
      <w:r w:rsidRPr="00155E6E">
        <w:rPr>
          <w:rFonts w:cs="Arial"/>
          <w:lang w:val="en-US"/>
        </w:rPr>
        <w:t>o</w:t>
      </w:r>
      <w:r w:rsidR="00A5761A">
        <w:rPr>
          <w:rFonts w:cs="Arial"/>
          <w:lang w:val="en-US"/>
        </w:rPr>
        <w:t> </w:t>
      </w:r>
      <w:r w:rsidR="003E0F4C">
        <w:rPr>
          <w:rFonts w:cs="Arial"/>
          <w:lang w:val="en-US"/>
        </w:rPr>
        <w:t>26,1</w:t>
      </w:r>
      <w:r w:rsidR="00A5761A">
        <w:rPr>
          <w:rFonts w:cs="Arial"/>
          <w:lang w:val="en-US"/>
        </w:rPr>
        <w:t> </w:t>
      </w:r>
      <w:r w:rsidRPr="00155E6E">
        <w:rPr>
          <w:rFonts w:cs="Arial"/>
        </w:rPr>
        <w:t>tis. osob.</w:t>
      </w:r>
      <w:r w:rsidR="00F52952" w:rsidRPr="00155E6E">
        <w:rPr>
          <w:rFonts w:cs="Arial"/>
        </w:rPr>
        <w:t xml:space="preserve"> </w:t>
      </w:r>
      <w:r w:rsidR="00307CAA">
        <w:rPr>
          <w:rFonts w:cs="Arial"/>
        </w:rPr>
        <w:t xml:space="preserve">Počty nemocensky pojištěných podle pohlaví se k sobě již od roku 2016 neustále přibližují. Nemocensky pojištěných </w:t>
      </w:r>
      <w:r w:rsidR="00307CAA" w:rsidRPr="00307CAA">
        <w:rPr>
          <w:rFonts w:cs="Arial"/>
          <w:b/>
        </w:rPr>
        <w:t>mužů</w:t>
      </w:r>
      <w:r w:rsidR="00307CAA">
        <w:rPr>
          <w:rFonts w:cs="Arial"/>
        </w:rPr>
        <w:t xml:space="preserve"> přibylo </w:t>
      </w:r>
      <w:r w:rsidRPr="00155E6E">
        <w:rPr>
          <w:rFonts w:cs="Arial"/>
        </w:rPr>
        <w:t>z</w:t>
      </w:r>
      <w:r w:rsidR="0020632C" w:rsidRPr="00155E6E">
        <w:rPr>
          <w:rFonts w:cs="Arial"/>
        </w:rPr>
        <w:t> 2</w:t>
      </w:r>
      <w:r w:rsidR="0062633A">
        <w:rPr>
          <w:rFonts w:cs="Arial"/>
        </w:rPr>
        <w:t> 381,4</w:t>
      </w:r>
      <w:r w:rsidR="0020632C" w:rsidRPr="00155E6E">
        <w:rPr>
          <w:rFonts w:cs="Arial"/>
        </w:rPr>
        <w:t xml:space="preserve"> </w:t>
      </w:r>
      <w:r w:rsidRPr="00155E6E">
        <w:rPr>
          <w:rFonts w:cs="Arial"/>
        </w:rPr>
        <w:t xml:space="preserve">tis. </w:t>
      </w:r>
      <w:r w:rsidR="00A7608F">
        <w:rPr>
          <w:rFonts w:cs="Arial"/>
        </w:rPr>
        <w:t xml:space="preserve">v 1. pol. 2018 </w:t>
      </w:r>
      <w:r w:rsidR="00922112">
        <w:rPr>
          <w:rFonts w:cs="Arial"/>
        </w:rPr>
        <w:t xml:space="preserve">na </w:t>
      </w:r>
      <w:r w:rsidR="0020632C" w:rsidRPr="00155E6E">
        <w:rPr>
          <w:rFonts w:cs="Arial"/>
        </w:rPr>
        <w:t>2</w:t>
      </w:r>
      <w:r w:rsidR="0062633A">
        <w:rPr>
          <w:rFonts w:cs="Arial"/>
        </w:rPr>
        <w:t> 386,5</w:t>
      </w:r>
      <w:r w:rsidR="0020632C" w:rsidRPr="00155E6E">
        <w:rPr>
          <w:rFonts w:cs="Arial"/>
        </w:rPr>
        <w:t xml:space="preserve"> </w:t>
      </w:r>
      <w:r w:rsidRPr="00155E6E">
        <w:rPr>
          <w:rFonts w:cs="Arial"/>
        </w:rPr>
        <w:t xml:space="preserve">tis. (tj. o </w:t>
      </w:r>
      <w:r w:rsidR="0062633A">
        <w:rPr>
          <w:rFonts w:cs="Arial"/>
        </w:rPr>
        <w:t>0,2</w:t>
      </w:r>
      <w:r w:rsidRPr="00155E6E">
        <w:rPr>
          <w:rFonts w:cs="Arial"/>
        </w:rPr>
        <w:t> </w:t>
      </w:r>
      <w:r w:rsidRPr="00155E6E">
        <w:rPr>
          <w:rFonts w:cs="Arial"/>
          <w:lang w:val="en-US"/>
        </w:rPr>
        <w:t>%</w:t>
      </w:r>
      <w:r w:rsidRPr="00155E6E">
        <w:rPr>
          <w:rFonts w:cs="Arial"/>
        </w:rPr>
        <w:t>)</w:t>
      </w:r>
      <w:r w:rsidR="00A7608F">
        <w:rPr>
          <w:rFonts w:cs="Arial"/>
        </w:rPr>
        <w:t xml:space="preserve"> v 1. pol. 2019</w:t>
      </w:r>
      <w:r w:rsidRPr="00155E6E">
        <w:rPr>
          <w:rFonts w:cs="Arial"/>
        </w:rPr>
        <w:t xml:space="preserve">. </w:t>
      </w:r>
      <w:r w:rsidR="002C7B67" w:rsidRPr="00155E6E">
        <w:rPr>
          <w:rFonts w:cs="Arial"/>
        </w:rPr>
        <w:t>Meziroční nárůst průměrného poč</w:t>
      </w:r>
      <w:r w:rsidRPr="00155E6E">
        <w:rPr>
          <w:rFonts w:cs="Arial"/>
        </w:rPr>
        <w:t>t</w:t>
      </w:r>
      <w:r w:rsidR="002C7B67" w:rsidRPr="00155E6E">
        <w:rPr>
          <w:rFonts w:cs="Arial"/>
        </w:rPr>
        <w:t>u</w:t>
      </w:r>
      <w:r w:rsidRPr="00155E6E">
        <w:rPr>
          <w:rFonts w:cs="Arial"/>
        </w:rPr>
        <w:t xml:space="preserve"> nemocensky pojištěn</w:t>
      </w:r>
      <w:r w:rsidR="006E49D7" w:rsidRPr="00155E6E">
        <w:rPr>
          <w:rFonts w:cs="Arial"/>
        </w:rPr>
        <w:t>ých</w:t>
      </w:r>
      <w:r w:rsidRPr="00155E6E">
        <w:rPr>
          <w:rFonts w:cs="Arial"/>
        </w:rPr>
        <w:t xml:space="preserve"> </w:t>
      </w:r>
      <w:r w:rsidRPr="00307CAA">
        <w:rPr>
          <w:rFonts w:cs="Arial"/>
          <w:b/>
        </w:rPr>
        <w:t>žen</w:t>
      </w:r>
      <w:r w:rsidRPr="00155E6E">
        <w:rPr>
          <w:rFonts w:cs="Arial"/>
        </w:rPr>
        <w:t xml:space="preserve"> </w:t>
      </w:r>
      <w:r w:rsidR="002C7B67" w:rsidRPr="00155E6E">
        <w:rPr>
          <w:rFonts w:cs="Arial"/>
        </w:rPr>
        <w:t xml:space="preserve">byl </w:t>
      </w:r>
      <w:r w:rsidR="00225CCC">
        <w:rPr>
          <w:rFonts w:cs="Arial"/>
        </w:rPr>
        <w:t>vyšší</w:t>
      </w:r>
      <w:r w:rsidR="002C7B67" w:rsidRPr="00155E6E">
        <w:rPr>
          <w:rFonts w:cs="Arial"/>
        </w:rPr>
        <w:t xml:space="preserve"> než u mužů, a to</w:t>
      </w:r>
      <w:r w:rsidRPr="00155E6E">
        <w:rPr>
          <w:rFonts w:cs="Arial"/>
        </w:rPr>
        <w:t xml:space="preserve"> z </w:t>
      </w:r>
      <w:r w:rsidR="006E49D7" w:rsidRPr="00155E6E">
        <w:rPr>
          <w:rFonts w:cs="Arial"/>
        </w:rPr>
        <w:t>2</w:t>
      </w:r>
      <w:r w:rsidR="0062633A">
        <w:rPr>
          <w:rFonts w:cs="Arial"/>
        </w:rPr>
        <w:t> 329,4</w:t>
      </w:r>
      <w:r w:rsidR="006E49D7" w:rsidRPr="00155E6E">
        <w:rPr>
          <w:rFonts w:cs="Arial"/>
        </w:rPr>
        <w:t> </w:t>
      </w:r>
      <w:r w:rsidRPr="00155E6E">
        <w:rPr>
          <w:rFonts w:cs="Arial"/>
        </w:rPr>
        <w:t xml:space="preserve">tis. </w:t>
      </w:r>
      <w:r w:rsidR="004D334E">
        <w:rPr>
          <w:rFonts w:cs="Arial"/>
        </w:rPr>
        <w:t>v 1.</w:t>
      </w:r>
      <w:r w:rsidR="00A5761A">
        <w:rPr>
          <w:rFonts w:cs="Arial"/>
        </w:rPr>
        <w:t> </w:t>
      </w:r>
      <w:r w:rsidR="00BF7EA5">
        <w:rPr>
          <w:rFonts w:cs="Arial"/>
        </w:rPr>
        <w:t>p</w:t>
      </w:r>
      <w:r w:rsidR="004D334E">
        <w:rPr>
          <w:rFonts w:cs="Arial"/>
        </w:rPr>
        <w:t>ol. 201</w:t>
      </w:r>
      <w:r w:rsidR="0062633A">
        <w:rPr>
          <w:rFonts w:cs="Arial"/>
        </w:rPr>
        <w:t>8</w:t>
      </w:r>
      <w:r w:rsidR="004D334E">
        <w:rPr>
          <w:rFonts w:cs="Arial"/>
        </w:rPr>
        <w:t xml:space="preserve"> </w:t>
      </w:r>
      <w:r w:rsidR="004D3282">
        <w:rPr>
          <w:rFonts w:cs="Arial"/>
        </w:rPr>
        <w:t xml:space="preserve">na </w:t>
      </w:r>
      <w:r w:rsidR="0062633A">
        <w:rPr>
          <w:rFonts w:cs="Arial"/>
        </w:rPr>
        <w:t xml:space="preserve">2 350,4 </w:t>
      </w:r>
      <w:r w:rsidRPr="00155E6E">
        <w:rPr>
          <w:rFonts w:cs="Arial"/>
        </w:rPr>
        <w:t xml:space="preserve">tis. osob </w:t>
      </w:r>
      <w:r w:rsidR="004D334E">
        <w:rPr>
          <w:rFonts w:cs="Arial"/>
        </w:rPr>
        <w:t>v 1.</w:t>
      </w:r>
      <w:r w:rsidR="0062633A">
        <w:rPr>
          <w:rFonts w:cs="Arial"/>
        </w:rPr>
        <w:t xml:space="preserve"> </w:t>
      </w:r>
      <w:r w:rsidR="004D334E">
        <w:rPr>
          <w:rFonts w:cs="Arial"/>
        </w:rPr>
        <w:t>pol. 201</w:t>
      </w:r>
      <w:r w:rsidR="0062633A">
        <w:rPr>
          <w:rFonts w:cs="Arial"/>
        </w:rPr>
        <w:t>9</w:t>
      </w:r>
      <w:r w:rsidR="004D334E">
        <w:rPr>
          <w:rFonts w:cs="Arial"/>
        </w:rPr>
        <w:t xml:space="preserve"> </w:t>
      </w:r>
      <w:r w:rsidRPr="00155E6E">
        <w:rPr>
          <w:rFonts w:cs="Arial"/>
        </w:rPr>
        <w:t xml:space="preserve">(tj. o </w:t>
      </w:r>
      <w:r w:rsidR="0062633A">
        <w:rPr>
          <w:rFonts w:cs="Arial"/>
        </w:rPr>
        <w:t>0,9</w:t>
      </w:r>
      <w:r w:rsidRPr="00155E6E">
        <w:rPr>
          <w:rFonts w:cs="Arial"/>
        </w:rPr>
        <w:t> </w:t>
      </w:r>
      <w:r w:rsidRPr="00155E6E">
        <w:rPr>
          <w:rFonts w:cs="Arial"/>
          <w:lang w:val="en-US"/>
        </w:rPr>
        <w:t>%</w:t>
      </w:r>
      <w:r w:rsidRPr="00155E6E">
        <w:rPr>
          <w:rFonts w:cs="Arial"/>
        </w:rPr>
        <w:t>).</w:t>
      </w:r>
    </w:p>
    <w:p w14:paraId="4809EFB9" w14:textId="34AD80DE" w:rsidR="00150CBE" w:rsidRPr="00155E6E" w:rsidRDefault="00307CAA" w:rsidP="006E49D7">
      <w:pPr>
        <w:jc w:val="both"/>
        <w:rPr>
          <w:rFonts w:cs="Arial"/>
        </w:rPr>
      </w:pPr>
      <w:r>
        <w:rPr>
          <w:rFonts w:cs="Arial"/>
        </w:rPr>
        <w:t>S tím jak v</w:t>
      </w:r>
      <w:r w:rsidR="00922112">
        <w:rPr>
          <w:rFonts w:cs="Arial"/>
        </w:rPr>
        <w:t xml:space="preserve"> České republice v </w:t>
      </w:r>
      <w:r>
        <w:rPr>
          <w:rFonts w:cs="Arial"/>
        </w:rPr>
        <w:t xml:space="preserve">posledních letech roste počet zaměstnanců, roste od </w:t>
      </w:r>
      <w:r w:rsidR="00A91B0B">
        <w:rPr>
          <w:rFonts w:cs="Arial"/>
        </w:rPr>
        <w:t>1. pol.</w:t>
      </w:r>
      <w:r>
        <w:rPr>
          <w:rFonts w:cs="Arial"/>
        </w:rPr>
        <w:t xml:space="preserve"> </w:t>
      </w:r>
      <w:r w:rsidR="00A91B0B">
        <w:rPr>
          <w:rFonts w:cs="Arial"/>
        </w:rPr>
        <w:t>201</w:t>
      </w:r>
      <w:r w:rsidR="007E060F">
        <w:rPr>
          <w:rFonts w:cs="Arial"/>
        </w:rPr>
        <w:t>5</w:t>
      </w:r>
      <w:r w:rsidR="00150CBE" w:rsidRPr="00155E6E">
        <w:rPr>
          <w:rFonts w:cs="Arial"/>
        </w:rPr>
        <w:t xml:space="preserve"> </w:t>
      </w:r>
      <w:r w:rsidR="00A91B0B">
        <w:rPr>
          <w:rFonts w:cs="Arial"/>
        </w:rPr>
        <w:t xml:space="preserve">i průměrný počet nemocensky pojištěných. </w:t>
      </w:r>
      <w:r w:rsidR="000F2BFB">
        <w:rPr>
          <w:rFonts w:cs="Arial"/>
        </w:rPr>
        <w:t xml:space="preserve">Od té doby </w:t>
      </w:r>
      <w:r w:rsidR="00A91B0B">
        <w:rPr>
          <w:rFonts w:cs="Arial"/>
        </w:rPr>
        <w:t xml:space="preserve">vzrostl </w:t>
      </w:r>
      <w:r w:rsidR="000F2BFB">
        <w:rPr>
          <w:rFonts w:cs="Arial"/>
        </w:rPr>
        <w:t xml:space="preserve">sledovaný </w:t>
      </w:r>
      <w:r w:rsidR="00A91B0B">
        <w:rPr>
          <w:rFonts w:cs="Arial"/>
        </w:rPr>
        <w:t xml:space="preserve">ukazatel o </w:t>
      </w:r>
      <w:r w:rsidR="000F2BFB">
        <w:rPr>
          <w:rFonts w:cs="Arial"/>
        </w:rPr>
        <w:t>6</w:t>
      </w:r>
      <w:r w:rsidR="00A91B0B">
        <w:rPr>
          <w:rFonts w:cs="Arial"/>
        </w:rPr>
        <w:t xml:space="preserve"> % (</w:t>
      </w:r>
      <w:r w:rsidR="000F2BFB">
        <w:rPr>
          <w:rFonts w:cs="Arial"/>
        </w:rPr>
        <w:t>266</w:t>
      </w:r>
      <w:r w:rsidR="00A91B0B">
        <w:rPr>
          <w:rFonts w:cs="Arial"/>
        </w:rPr>
        <w:t xml:space="preserve"> tis.) na 4 737 tis. v 1.</w:t>
      </w:r>
      <w:r w:rsidR="00A5761A">
        <w:rPr>
          <w:rFonts w:cs="Arial"/>
        </w:rPr>
        <w:t> </w:t>
      </w:r>
      <w:r w:rsidR="00A91B0B">
        <w:rPr>
          <w:rFonts w:cs="Arial"/>
        </w:rPr>
        <w:t>pol. 2019, přičemž tento nárůst je rychlejší u žen.</w:t>
      </w:r>
    </w:p>
    <w:p w14:paraId="403E5603" w14:textId="5D956D95" w:rsidR="00DD3730" w:rsidRDefault="00150CBE" w:rsidP="006E49D7">
      <w:pPr>
        <w:jc w:val="both"/>
        <w:rPr>
          <w:rFonts w:cs="Arial"/>
        </w:rPr>
      </w:pPr>
      <w:r w:rsidRPr="003E6827">
        <w:rPr>
          <w:rFonts w:cs="Arial"/>
        </w:rPr>
        <w:t xml:space="preserve">Průměrný počet dobrovolně nemocensky pojištěných </w:t>
      </w:r>
      <w:r>
        <w:rPr>
          <w:rFonts w:cs="Arial"/>
        </w:rPr>
        <w:t xml:space="preserve">osob </w:t>
      </w:r>
      <w:r w:rsidRPr="00606E50">
        <w:rPr>
          <w:rFonts w:cs="Arial"/>
        </w:rPr>
        <w:t xml:space="preserve">samostatně výdělečně činných </w:t>
      </w:r>
      <w:r>
        <w:rPr>
          <w:rFonts w:cs="Arial"/>
        </w:rPr>
        <w:t>(</w:t>
      </w:r>
      <w:r w:rsidRPr="00CF4D3E">
        <w:rPr>
          <w:rFonts w:cs="Arial"/>
          <w:b/>
        </w:rPr>
        <w:t>OSVČ</w:t>
      </w:r>
      <w:r>
        <w:rPr>
          <w:rFonts w:cs="Arial"/>
        </w:rPr>
        <w:t>)</w:t>
      </w:r>
      <w:r w:rsidRPr="003E6827">
        <w:rPr>
          <w:rFonts w:cs="Arial"/>
        </w:rPr>
        <w:t xml:space="preserve"> v</w:t>
      </w:r>
      <w:r w:rsidR="0096136C">
        <w:rPr>
          <w:rFonts w:cs="Arial"/>
        </w:rPr>
        <w:t> 1.</w:t>
      </w:r>
      <w:r w:rsidR="00A5761A">
        <w:rPr>
          <w:rFonts w:cs="Arial"/>
        </w:rPr>
        <w:t> </w:t>
      </w:r>
      <w:r w:rsidR="0096136C">
        <w:rPr>
          <w:rFonts w:cs="Arial"/>
        </w:rPr>
        <w:t>pol.</w:t>
      </w:r>
      <w:r w:rsidR="00A5761A">
        <w:rPr>
          <w:rFonts w:cs="Arial"/>
        </w:rPr>
        <w:t> </w:t>
      </w:r>
      <w:r w:rsidR="0096136C">
        <w:rPr>
          <w:rFonts w:cs="Arial"/>
        </w:rPr>
        <w:t>201</w:t>
      </w:r>
      <w:r w:rsidR="00A91B0B">
        <w:rPr>
          <w:rFonts w:cs="Arial"/>
        </w:rPr>
        <w:t>9</w:t>
      </w:r>
      <w:r w:rsidRPr="003E6827">
        <w:rPr>
          <w:rFonts w:cs="Arial"/>
        </w:rPr>
        <w:t xml:space="preserve"> </w:t>
      </w:r>
      <w:r w:rsidR="002C7B67">
        <w:rPr>
          <w:rFonts w:cs="Arial"/>
        </w:rPr>
        <w:t>činil</w:t>
      </w:r>
      <w:r w:rsidRPr="003E6827">
        <w:rPr>
          <w:rFonts w:cs="Arial"/>
        </w:rPr>
        <w:t xml:space="preserve"> </w:t>
      </w:r>
      <w:r w:rsidR="00DF07F3">
        <w:rPr>
          <w:rFonts w:cs="Arial"/>
        </w:rPr>
        <w:t>9</w:t>
      </w:r>
      <w:r w:rsidR="00A91B0B">
        <w:rPr>
          <w:rFonts w:cs="Arial"/>
        </w:rPr>
        <w:t>2</w:t>
      </w:r>
      <w:r w:rsidR="00DF07F3">
        <w:rPr>
          <w:rFonts w:cs="Arial"/>
        </w:rPr>
        <w:t>,</w:t>
      </w:r>
      <w:r w:rsidR="00A91B0B">
        <w:rPr>
          <w:rFonts w:cs="Arial"/>
        </w:rPr>
        <w:t>6</w:t>
      </w:r>
      <w:r w:rsidRPr="003E6827">
        <w:rPr>
          <w:rFonts w:cs="Arial"/>
        </w:rPr>
        <w:t xml:space="preserve"> tis. </w:t>
      </w:r>
      <w:r w:rsidR="00DF07F3">
        <w:rPr>
          <w:rFonts w:cs="Arial"/>
        </w:rPr>
        <w:t>osob</w:t>
      </w:r>
      <w:r w:rsidR="0079652D">
        <w:rPr>
          <w:rFonts w:cs="Arial"/>
        </w:rPr>
        <w:t>, z</w:t>
      </w:r>
      <w:r w:rsidRPr="003E6827">
        <w:rPr>
          <w:rFonts w:cs="Arial"/>
        </w:rPr>
        <w:t xml:space="preserve"> tohoto počtu </w:t>
      </w:r>
      <w:r w:rsidR="002C7B67">
        <w:rPr>
          <w:rFonts w:cs="Arial"/>
        </w:rPr>
        <w:t>bylo</w:t>
      </w:r>
      <w:r w:rsidRPr="003E6827">
        <w:rPr>
          <w:rFonts w:cs="Arial"/>
        </w:rPr>
        <w:t xml:space="preserve"> </w:t>
      </w:r>
      <w:r w:rsidR="00A91B0B">
        <w:rPr>
          <w:rFonts w:cs="Arial"/>
        </w:rPr>
        <w:t>59</w:t>
      </w:r>
      <w:r w:rsidRPr="003E6827">
        <w:rPr>
          <w:rFonts w:cs="Arial"/>
        </w:rPr>
        <w:t xml:space="preserve"> % muž</w:t>
      </w:r>
      <w:r w:rsidR="002C7B67">
        <w:rPr>
          <w:rFonts w:cs="Arial"/>
        </w:rPr>
        <w:t>ů</w:t>
      </w:r>
      <w:r w:rsidRPr="003E6827">
        <w:rPr>
          <w:rFonts w:cs="Arial"/>
        </w:rPr>
        <w:t xml:space="preserve"> a</w:t>
      </w:r>
      <w:r>
        <w:rPr>
          <w:rFonts w:cs="Arial"/>
        </w:rPr>
        <w:t> </w:t>
      </w:r>
      <w:r w:rsidR="00A91B0B">
        <w:rPr>
          <w:rFonts w:cs="Arial"/>
        </w:rPr>
        <w:t>41</w:t>
      </w:r>
      <w:r w:rsidRPr="003E6827">
        <w:rPr>
          <w:rFonts w:cs="Arial"/>
        </w:rPr>
        <w:t xml:space="preserve"> % žen</w:t>
      </w:r>
      <w:r w:rsidR="00F90FA8">
        <w:rPr>
          <w:rFonts w:cs="Arial"/>
        </w:rPr>
        <w:t>.</w:t>
      </w:r>
      <w:r w:rsidR="00F67737">
        <w:rPr>
          <w:rFonts w:cs="Arial"/>
        </w:rPr>
        <w:t xml:space="preserve"> Podíl nemocensky pojištěných OSVČ na celkovém počtu osob samostatně výdělečně činných na hlavní činnost dosáhl necelých 16 %.</w:t>
      </w:r>
      <w:r w:rsidR="00F90FA8">
        <w:rPr>
          <w:rFonts w:cs="Arial"/>
        </w:rPr>
        <w:t xml:space="preserve"> M</w:t>
      </w:r>
      <w:r w:rsidR="00555319">
        <w:rPr>
          <w:rFonts w:cs="Arial"/>
        </w:rPr>
        <w:t xml:space="preserve">eziročně počet </w:t>
      </w:r>
      <w:r w:rsidR="00555319" w:rsidRPr="003E6827">
        <w:rPr>
          <w:rFonts w:cs="Arial"/>
        </w:rPr>
        <w:t xml:space="preserve">dobrovolně nemocensky pojištěných </w:t>
      </w:r>
      <w:r w:rsidR="00F540C6">
        <w:rPr>
          <w:rFonts w:cs="Arial"/>
        </w:rPr>
        <w:t xml:space="preserve">mírně vzrostl </w:t>
      </w:r>
      <w:r w:rsidR="00555319">
        <w:rPr>
          <w:rFonts w:cs="Arial"/>
        </w:rPr>
        <w:t xml:space="preserve">o </w:t>
      </w:r>
      <w:r w:rsidR="00A91B0B">
        <w:rPr>
          <w:rFonts w:cs="Arial"/>
        </w:rPr>
        <w:t>2,8</w:t>
      </w:r>
      <w:r w:rsidR="00F90FA8">
        <w:rPr>
          <w:rFonts w:cs="Arial"/>
        </w:rPr>
        <w:t xml:space="preserve"> %, stále však nedosahuje hodnot z období před deseti lety, kdy v 1.</w:t>
      </w:r>
      <w:r w:rsidR="00F67737">
        <w:rPr>
          <w:rFonts w:cs="Arial"/>
        </w:rPr>
        <w:t xml:space="preserve"> pol. 2008</w:t>
      </w:r>
      <w:r w:rsidR="00F90FA8">
        <w:rPr>
          <w:rFonts w:cs="Arial"/>
        </w:rPr>
        <w:t xml:space="preserve"> bylo pojištěno </w:t>
      </w:r>
      <w:r w:rsidR="00F67737">
        <w:rPr>
          <w:rFonts w:cs="Arial"/>
        </w:rPr>
        <w:t>200</w:t>
      </w:r>
      <w:r w:rsidR="00F90FA8">
        <w:rPr>
          <w:rFonts w:cs="Arial"/>
        </w:rPr>
        <w:t xml:space="preserve"> tis. OSVČ.</w:t>
      </w:r>
      <w:r w:rsidR="00AF5820">
        <w:rPr>
          <w:rFonts w:cs="Arial"/>
        </w:rPr>
        <w:t xml:space="preserve"> </w:t>
      </w:r>
    </w:p>
    <w:p w14:paraId="084103B3" w14:textId="57F0BB40" w:rsidR="000E5B2D" w:rsidRDefault="00CF4D3E" w:rsidP="000E5B2D">
      <w:pPr>
        <w:jc w:val="both"/>
        <w:rPr>
          <w:rFonts w:cs="Arial"/>
        </w:rPr>
      </w:pPr>
      <w:r w:rsidRPr="00CF4D3E">
        <w:rPr>
          <w:rFonts w:cs="Arial"/>
          <w:b/>
        </w:rPr>
        <w:t>Z regionálního pohledu</w:t>
      </w:r>
      <w:r>
        <w:rPr>
          <w:rFonts w:cs="Arial"/>
        </w:rPr>
        <w:t xml:space="preserve"> je dlouhodobě n</w:t>
      </w:r>
      <w:r w:rsidR="000E5B2D">
        <w:rPr>
          <w:rFonts w:cs="Arial"/>
        </w:rPr>
        <w:t xml:space="preserve">ejvyšší průměrný počet nemocensky pojištěných </w:t>
      </w:r>
      <w:r w:rsidR="00BE12EE">
        <w:rPr>
          <w:rFonts w:cs="Arial"/>
        </w:rPr>
        <w:t xml:space="preserve">v hlavním městě Praze, v 1. pol. 2019 jich bylo 1 274 tis. (27 % republikové hodnoty). Zásadní roli zde sehrává skutečnost, že data v krajském třídění jsou zpracována podle sídla zaměstnavatele, resp. jeho mzdové účtárny a není výjimkou, aby firma se sídlem v Praze působila v jiných regionech či dokonce celorepublikově. </w:t>
      </w:r>
      <w:r w:rsidR="000E5B2D">
        <w:rPr>
          <w:rFonts w:cs="Arial"/>
        </w:rPr>
        <w:t>Druhé a třetí místo obsadily Jihomoravský kraj s</w:t>
      </w:r>
      <w:r w:rsidR="00BE12EE">
        <w:rPr>
          <w:rFonts w:cs="Arial"/>
        </w:rPr>
        <w:t xml:space="preserve"> 505 </w:t>
      </w:r>
      <w:r w:rsidR="000E5B2D">
        <w:rPr>
          <w:rFonts w:cs="Arial"/>
        </w:rPr>
        <w:t>tis. pojištěnců (</w:t>
      </w:r>
      <w:r w:rsidR="00BE12EE">
        <w:rPr>
          <w:rFonts w:cs="Arial"/>
        </w:rPr>
        <w:t xml:space="preserve">11% </w:t>
      </w:r>
      <w:r w:rsidR="000E5B2D">
        <w:rPr>
          <w:rFonts w:cs="Arial"/>
        </w:rPr>
        <w:t>podíl) a Moravskoslezský kraj s 4</w:t>
      </w:r>
      <w:r w:rsidR="00933B68">
        <w:rPr>
          <w:rFonts w:cs="Arial"/>
        </w:rPr>
        <w:t>7</w:t>
      </w:r>
      <w:r w:rsidR="00BE12EE">
        <w:rPr>
          <w:rFonts w:cs="Arial"/>
        </w:rPr>
        <w:t>6</w:t>
      </w:r>
      <w:r w:rsidR="000E5B2D">
        <w:rPr>
          <w:rFonts w:cs="Arial"/>
        </w:rPr>
        <w:t xml:space="preserve"> tis. pojištěnců (</w:t>
      </w:r>
      <w:r w:rsidR="00BE12EE">
        <w:rPr>
          <w:rFonts w:cs="Arial"/>
        </w:rPr>
        <w:t>10</w:t>
      </w:r>
      <w:r w:rsidR="000E5B2D">
        <w:rPr>
          <w:rFonts w:cs="Arial"/>
        </w:rPr>
        <w:t>% podíl).</w:t>
      </w:r>
      <w:r w:rsidR="00177AF9">
        <w:rPr>
          <w:rFonts w:cs="Arial"/>
        </w:rPr>
        <w:t xml:space="preserve"> </w:t>
      </w:r>
      <w:r w:rsidR="00BE12EE">
        <w:rPr>
          <w:rFonts w:cs="Arial"/>
        </w:rPr>
        <w:t>Středočeský kraj, jakožto nejlidnatější kraj ČR, se umístil až na čtvrté příčce s 451 tis. pojištěnci (9,5 %). Jedním z faktorů, který toto ovlivňuje, je bezesporu dojížďka Středočechů za zaměstnáním do Prahy.</w:t>
      </w:r>
    </w:p>
    <w:p w14:paraId="41378E71" w14:textId="4DF99192" w:rsidR="007F39CF" w:rsidRDefault="004863D4" w:rsidP="007F39CF">
      <w:pPr>
        <w:jc w:val="both"/>
        <w:rPr>
          <w:rFonts w:cs="Arial"/>
        </w:rPr>
      </w:pPr>
      <w:r>
        <w:rPr>
          <w:rFonts w:cs="Arial"/>
        </w:rPr>
        <w:t xml:space="preserve">Třetina </w:t>
      </w:r>
      <w:r w:rsidR="007F39CF">
        <w:rPr>
          <w:rFonts w:cs="Arial"/>
        </w:rPr>
        <w:t xml:space="preserve">nemocensky pojištěných osob </w:t>
      </w:r>
      <w:r>
        <w:rPr>
          <w:rFonts w:cs="Arial"/>
        </w:rPr>
        <w:t xml:space="preserve">(1 562 tis.) pracovala v 1. pol. 2019 </w:t>
      </w:r>
      <w:r w:rsidRPr="008C2820">
        <w:rPr>
          <w:rFonts w:cs="Arial"/>
          <w:b/>
        </w:rPr>
        <w:t xml:space="preserve">ve velkých firmách s 500 </w:t>
      </w:r>
      <w:r w:rsidR="008C2820" w:rsidRPr="008C2820">
        <w:rPr>
          <w:rFonts w:cs="Arial"/>
          <w:b/>
        </w:rPr>
        <w:t>a více zaměstnanci</w:t>
      </w:r>
      <w:r w:rsidR="008C2820">
        <w:rPr>
          <w:rFonts w:cs="Arial"/>
        </w:rPr>
        <w:t xml:space="preserve">, obdobně jako </w:t>
      </w:r>
      <w:r w:rsidR="0095018E">
        <w:rPr>
          <w:rFonts w:cs="Arial"/>
        </w:rPr>
        <w:t xml:space="preserve">1 500 tis. </w:t>
      </w:r>
      <w:r>
        <w:rPr>
          <w:rFonts w:cs="Arial"/>
        </w:rPr>
        <w:t>(32 %</w:t>
      </w:r>
      <w:r w:rsidR="0095018E">
        <w:rPr>
          <w:rFonts w:cs="Arial"/>
        </w:rPr>
        <w:t>)</w:t>
      </w:r>
      <w:r>
        <w:rPr>
          <w:rFonts w:cs="Arial"/>
        </w:rPr>
        <w:t xml:space="preserve"> </w:t>
      </w:r>
      <w:r w:rsidR="008C2820">
        <w:rPr>
          <w:rFonts w:cs="Arial"/>
        </w:rPr>
        <w:t>pojištěn</w:t>
      </w:r>
      <w:r>
        <w:rPr>
          <w:rFonts w:cs="Arial"/>
        </w:rPr>
        <w:t>ých</w:t>
      </w:r>
      <w:r w:rsidR="008C2820">
        <w:rPr>
          <w:rFonts w:cs="Arial"/>
        </w:rPr>
        <w:t>, kteří pracovali</w:t>
      </w:r>
      <w:r>
        <w:rPr>
          <w:rFonts w:cs="Arial"/>
        </w:rPr>
        <w:t xml:space="preserve"> </w:t>
      </w:r>
      <w:r w:rsidRPr="008C2820">
        <w:rPr>
          <w:rFonts w:cs="Arial"/>
          <w:b/>
        </w:rPr>
        <w:t>ve firmách do 50 zaměstnanců</w:t>
      </w:r>
      <w:r>
        <w:rPr>
          <w:rFonts w:cs="Arial"/>
        </w:rPr>
        <w:t>.</w:t>
      </w:r>
      <w:r w:rsidR="00572EBF">
        <w:rPr>
          <w:rFonts w:cs="Arial"/>
        </w:rPr>
        <w:t xml:space="preserve"> </w:t>
      </w:r>
      <w:r w:rsidR="008C2820">
        <w:rPr>
          <w:rFonts w:cs="Arial"/>
        </w:rPr>
        <w:t xml:space="preserve">Nejnižší podíl mezi nemocensky pojištěnými představují </w:t>
      </w:r>
      <w:r w:rsidR="008C2820" w:rsidRPr="00602FBF">
        <w:rPr>
          <w:rFonts w:cs="Arial"/>
          <w:b/>
        </w:rPr>
        <w:t>OSVČ</w:t>
      </w:r>
      <w:r w:rsidR="008C2820">
        <w:rPr>
          <w:rFonts w:cs="Arial"/>
        </w:rPr>
        <w:t xml:space="preserve"> (2 %, 93 tis.), kteří jsou pojištěni dobrovolně.</w:t>
      </w:r>
    </w:p>
    <w:p w14:paraId="20D9B255" w14:textId="77777777" w:rsidR="00A7608F" w:rsidRDefault="00A7608F">
      <w:pPr>
        <w:spacing w:after="0" w:line="240" w:lineRule="auto"/>
        <w:rPr>
          <w:rFonts w:cs="Arial"/>
          <w:b/>
          <w:bCs/>
          <w:color w:val="000000"/>
          <w:szCs w:val="20"/>
        </w:rPr>
      </w:pPr>
      <w:r>
        <w:rPr>
          <w:rFonts w:cs="Arial"/>
          <w:b/>
          <w:bCs/>
          <w:color w:val="000000"/>
          <w:szCs w:val="20"/>
        </w:rPr>
        <w:br w:type="page"/>
      </w:r>
    </w:p>
    <w:p w14:paraId="257E1813" w14:textId="31999EB7" w:rsidR="00315691" w:rsidRPr="00315691" w:rsidRDefault="00315691" w:rsidP="0064109D">
      <w:pPr>
        <w:spacing w:after="120" w:line="240" w:lineRule="auto"/>
        <w:jc w:val="both"/>
        <w:rPr>
          <w:rFonts w:cs="Arial"/>
          <w:b/>
          <w:bCs/>
          <w:color w:val="000000"/>
          <w:szCs w:val="20"/>
        </w:rPr>
      </w:pPr>
      <w:r>
        <w:rPr>
          <w:rFonts w:cs="Arial"/>
          <w:b/>
          <w:bCs/>
          <w:color w:val="000000"/>
          <w:szCs w:val="20"/>
        </w:rPr>
        <w:lastRenderedPageBreak/>
        <w:t xml:space="preserve">Tab. 1.1: </w:t>
      </w:r>
      <w:r w:rsidRPr="00315691">
        <w:rPr>
          <w:rFonts w:cs="Arial"/>
          <w:b/>
          <w:bCs/>
          <w:color w:val="000000"/>
          <w:szCs w:val="20"/>
        </w:rPr>
        <w:t xml:space="preserve">Nemocensky pojištěné osoby </w:t>
      </w:r>
      <w:r w:rsidR="00105FD2">
        <w:rPr>
          <w:rFonts w:cs="Arial"/>
          <w:b/>
          <w:bCs/>
          <w:color w:val="000000"/>
          <w:szCs w:val="20"/>
        </w:rPr>
        <w:t>v</w:t>
      </w:r>
      <w:r w:rsidRPr="00315691">
        <w:rPr>
          <w:rFonts w:cs="Arial"/>
          <w:b/>
          <w:bCs/>
          <w:color w:val="000000"/>
          <w:szCs w:val="20"/>
        </w:rPr>
        <w:t xml:space="preserve"> 1. pol. 2008 – 1. pol. 2</w:t>
      </w:r>
      <w:r w:rsidR="00897D43">
        <w:rPr>
          <w:rFonts w:cs="Arial"/>
          <w:b/>
          <w:bCs/>
          <w:color w:val="000000"/>
          <w:szCs w:val="20"/>
        </w:rPr>
        <w:t>019</w:t>
      </w:r>
    </w:p>
    <w:tbl>
      <w:tblPr>
        <w:tblW w:w="9859" w:type="dxa"/>
        <w:tblCellMar>
          <w:left w:w="70" w:type="dxa"/>
          <w:right w:w="70" w:type="dxa"/>
        </w:tblCellMar>
        <w:tblLook w:val="04A0" w:firstRow="1" w:lastRow="0" w:firstColumn="1" w:lastColumn="0" w:noHBand="0" w:noVBand="1"/>
      </w:tblPr>
      <w:tblGrid>
        <w:gridCol w:w="980"/>
        <w:gridCol w:w="980"/>
        <w:gridCol w:w="980"/>
        <w:gridCol w:w="980"/>
        <w:gridCol w:w="1039"/>
        <w:gridCol w:w="980"/>
        <w:gridCol w:w="980"/>
        <w:gridCol w:w="980"/>
        <w:gridCol w:w="980"/>
        <w:gridCol w:w="980"/>
      </w:tblGrid>
      <w:tr w:rsidR="00315691" w:rsidRPr="00315691" w14:paraId="4F9599D1" w14:textId="77777777" w:rsidTr="00897D43">
        <w:trPr>
          <w:trHeight w:val="300"/>
        </w:trPr>
        <w:tc>
          <w:tcPr>
            <w:tcW w:w="980" w:type="dxa"/>
            <w:vMerge w:val="restart"/>
            <w:tcBorders>
              <w:top w:val="single" w:sz="4" w:space="0" w:color="auto"/>
              <w:left w:val="nil"/>
              <w:bottom w:val="single" w:sz="8" w:space="0" w:color="000000"/>
              <w:right w:val="single" w:sz="4" w:space="0" w:color="auto"/>
            </w:tcBorders>
            <w:shd w:val="clear" w:color="000000" w:fill="F5DADD"/>
            <w:vAlign w:val="center"/>
            <w:hideMark/>
          </w:tcPr>
          <w:p w14:paraId="5FC27AD0" w14:textId="77777777" w:rsidR="00315691" w:rsidRPr="00315691" w:rsidRDefault="00315691" w:rsidP="00315691">
            <w:pPr>
              <w:spacing w:after="0" w:line="240" w:lineRule="auto"/>
              <w:jc w:val="center"/>
              <w:rPr>
                <w:rFonts w:cs="Arial"/>
                <w:sz w:val="16"/>
                <w:szCs w:val="16"/>
              </w:rPr>
            </w:pPr>
            <w:r w:rsidRPr="00315691">
              <w:rPr>
                <w:rFonts w:cs="Arial"/>
                <w:sz w:val="16"/>
                <w:szCs w:val="16"/>
              </w:rPr>
              <w:t>Rok</w:t>
            </w:r>
          </w:p>
        </w:tc>
        <w:tc>
          <w:tcPr>
            <w:tcW w:w="8879" w:type="dxa"/>
            <w:gridSpan w:val="9"/>
            <w:tcBorders>
              <w:top w:val="single" w:sz="4" w:space="0" w:color="auto"/>
              <w:left w:val="nil"/>
              <w:bottom w:val="single" w:sz="4" w:space="0" w:color="auto"/>
            </w:tcBorders>
            <w:shd w:val="clear" w:color="000000" w:fill="F2DBDB"/>
            <w:vAlign w:val="center"/>
            <w:hideMark/>
          </w:tcPr>
          <w:p w14:paraId="42EE6B42" w14:textId="77777777" w:rsidR="00315691" w:rsidRPr="00315691" w:rsidRDefault="00315691" w:rsidP="00315691">
            <w:pPr>
              <w:spacing w:after="0" w:line="240" w:lineRule="auto"/>
              <w:jc w:val="center"/>
              <w:rPr>
                <w:rFonts w:cs="Arial"/>
                <w:sz w:val="16"/>
                <w:szCs w:val="16"/>
              </w:rPr>
            </w:pPr>
            <w:r w:rsidRPr="00315691">
              <w:rPr>
                <w:rFonts w:cs="Arial"/>
                <w:sz w:val="16"/>
                <w:szCs w:val="16"/>
              </w:rPr>
              <w:t>Průměrný počet nemocensky pojištěných osob (v tis.)</w:t>
            </w:r>
          </w:p>
        </w:tc>
      </w:tr>
      <w:tr w:rsidR="00315691" w:rsidRPr="00315691" w14:paraId="3C97D3F4" w14:textId="77777777" w:rsidTr="00897D43">
        <w:trPr>
          <w:trHeight w:val="300"/>
        </w:trPr>
        <w:tc>
          <w:tcPr>
            <w:tcW w:w="980" w:type="dxa"/>
            <w:vMerge/>
            <w:tcBorders>
              <w:top w:val="single" w:sz="4" w:space="0" w:color="auto"/>
              <w:left w:val="nil"/>
              <w:bottom w:val="single" w:sz="8" w:space="0" w:color="000000"/>
              <w:right w:val="single" w:sz="4" w:space="0" w:color="auto"/>
            </w:tcBorders>
            <w:vAlign w:val="center"/>
            <w:hideMark/>
          </w:tcPr>
          <w:p w14:paraId="393AD4C5" w14:textId="77777777" w:rsidR="00315691" w:rsidRPr="00315691" w:rsidRDefault="00315691" w:rsidP="00315691">
            <w:pPr>
              <w:spacing w:after="0" w:line="240" w:lineRule="auto"/>
              <w:rPr>
                <w:rFonts w:cs="Arial"/>
                <w:sz w:val="16"/>
                <w:szCs w:val="16"/>
              </w:rPr>
            </w:pPr>
          </w:p>
        </w:tc>
        <w:tc>
          <w:tcPr>
            <w:tcW w:w="980" w:type="dxa"/>
            <w:vMerge w:val="restart"/>
            <w:tcBorders>
              <w:top w:val="nil"/>
              <w:left w:val="single" w:sz="4" w:space="0" w:color="auto"/>
              <w:bottom w:val="single" w:sz="8" w:space="0" w:color="000000"/>
              <w:right w:val="single" w:sz="4" w:space="0" w:color="auto"/>
            </w:tcBorders>
            <w:shd w:val="clear" w:color="000000" w:fill="F2DBDB"/>
            <w:vAlign w:val="center"/>
            <w:hideMark/>
          </w:tcPr>
          <w:p w14:paraId="21016E59" w14:textId="77777777" w:rsidR="00315691" w:rsidRPr="00315691" w:rsidRDefault="00315691" w:rsidP="00315691">
            <w:pPr>
              <w:spacing w:after="0" w:line="240" w:lineRule="auto"/>
              <w:jc w:val="center"/>
              <w:rPr>
                <w:rFonts w:cs="Arial"/>
                <w:sz w:val="16"/>
                <w:szCs w:val="16"/>
              </w:rPr>
            </w:pPr>
            <w:r w:rsidRPr="00315691">
              <w:rPr>
                <w:rFonts w:cs="Arial"/>
                <w:sz w:val="16"/>
                <w:szCs w:val="16"/>
              </w:rPr>
              <w:t>Celkem</w:t>
            </w:r>
          </w:p>
        </w:tc>
        <w:tc>
          <w:tcPr>
            <w:tcW w:w="1960" w:type="dxa"/>
            <w:gridSpan w:val="2"/>
            <w:tcBorders>
              <w:top w:val="single" w:sz="4" w:space="0" w:color="auto"/>
              <w:left w:val="nil"/>
              <w:bottom w:val="single" w:sz="4" w:space="0" w:color="auto"/>
              <w:right w:val="single" w:sz="4" w:space="0" w:color="auto"/>
            </w:tcBorders>
            <w:shd w:val="clear" w:color="000000" w:fill="F2DBDB"/>
            <w:vAlign w:val="center"/>
            <w:hideMark/>
          </w:tcPr>
          <w:p w14:paraId="4EF30B92" w14:textId="77777777" w:rsidR="00315691" w:rsidRPr="00315691" w:rsidRDefault="00315691" w:rsidP="00315691">
            <w:pPr>
              <w:spacing w:after="0" w:line="240" w:lineRule="auto"/>
              <w:jc w:val="center"/>
              <w:rPr>
                <w:rFonts w:cs="Arial"/>
                <w:sz w:val="16"/>
                <w:szCs w:val="16"/>
              </w:rPr>
            </w:pPr>
            <w:r w:rsidRPr="00315691">
              <w:rPr>
                <w:rFonts w:cs="Arial"/>
                <w:sz w:val="16"/>
                <w:szCs w:val="16"/>
              </w:rPr>
              <w:t>podle pohlaví</w:t>
            </w:r>
          </w:p>
        </w:tc>
        <w:tc>
          <w:tcPr>
            <w:tcW w:w="1039" w:type="dxa"/>
            <w:vMerge w:val="restart"/>
            <w:tcBorders>
              <w:top w:val="nil"/>
              <w:left w:val="single" w:sz="4" w:space="0" w:color="auto"/>
              <w:bottom w:val="single" w:sz="8" w:space="0" w:color="000000"/>
              <w:right w:val="single" w:sz="4" w:space="0" w:color="auto"/>
            </w:tcBorders>
            <w:shd w:val="clear" w:color="000000" w:fill="F2DBDB"/>
            <w:vAlign w:val="center"/>
            <w:hideMark/>
          </w:tcPr>
          <w:p w14:paraId="5D0FC591" w14:textId="77777777" w:rsidR="00315691" w:rsidRPr="00315691" w:rsidRDefault="00315691" w:rsidP="00315691">
            <w:pPr>
              <w:spacing w:after="0" w:line="240" w:lineRule="auto"/>
              <w:jc w:val="center"/>
              <w:rPr>
                <w:rFonts w:cs="Arial"/>
                <w:sz w:val="16"/>
                <w:szCs w:val="16"/>
              </w:rPr>
            </w:pPr>
            <w:r w:rsidRPr="00315691">
              <w:rPr>
                <w:rFonts w:cs="Arial"/>
                <w:sz w:val="16"/>
                <w:szCs w:val="16"/>
              </w:rPr>
              <w:t>Celkem zaměstnanci</w:t>
            </w:r>
          </w:p>
        </w:tc>
        <w:tc>
          <w:tcPr>
            <w:tcW w:w="1960" w:type="dxa"/>
            <w:gridSpan w:val="2"/>
            <w:tcBorders>
              <w:top w:val="single" w:sz="4" w:space="0" w:color="auto"/>
              <w:left w:val="nil"/>
              <w:bottom w:val="single" w:sz="4" w:space="0" w:color="auto"/>
              <w:right w:val="single" w:sz="4" w:space="0" w:color="auto"/>
            </w:tcBorders>
            <w:shd w:val="clear" w:color="000000" w:fill="F2DBDB"/>
            <w:vAlign w:val="center"/>
            <w:hideMark/>
          </w:tcPr>
          <w:p w14:paraId="411B2A3C" w14:textId="77777777" w:rsidR="00315691" w:rsidRPr="00315691" w:rsidRDefault="00315691" w:rsidP="00315691">
            <w:pPr>
              <w:spacing w:after="0" w:line="240" w:lineRule="auto"/>
              <w:jc w:val="center"/>
              <w:rPr>
                <w:rFonts w:cs="Arial"/>
                <w:sz w:val="16"/>
                <w:szCs w:val="16"/>
              </w:rPr>
            </w:pPr>
            <w:r w:rsidRPr="00315691">
              <w:rPr>
                <w:rFonts w:cs="Arial"/>
                <w:sz w:val="16"/>
                <w:szCs w:val="16"/>
              </w:rPr>
              <w:t>podle pohlaví</w:t>
            </w:r>
          </w:p>
        </w:tc>
        <w:tc>
          <w:tcPr>
            <w:tcW w:w="980" w:type="dxa"/>
            <w:vMerge w:val="restart"/>
            <w:tcBorders>
              <w:top w:val="nil"/>
              <w:left w:val="single" w:sz="4" w:space="0" w:color="auto"/>
              <w:bottom w:val="single" w:sz="8" w:space="0" w:color="000000"/>
              <w:right w:val="single" w:sz="4" w:space="0" w:color="auto"/>
            </w:tcBorders>
            <w:shd w:val="clear" w:color="000000" w:fill="F2DBDB"/>
            <w:vAlign w:val="center"/>
            <w:hideMark/>
          </w:tcPr>
          <w:p w14:paraId="4A30227A" w14:textId="77777777" w:rsidR="00315691" w:rsidRPr="00315691" w:rsidRDefault="00315691" w:rsidP="00315691">
            <w:pPr>
              <w:spacing w:after="0" w:line="240" w:lineRule="auto"/>
              <w:jc w:val="center"/>
              <w:rPr>
                <w:rFonts w:cs="Arial"/>
                <w:sz w:val="16"/>
                <w:szCs w:val="16"/>
              </w:rPr>
            </w:pPr>
            <w:r w:rsidRPr="00315691">
              <w:rPr>
                <w:rFonts w:cs="Arial"/>
                <w:sz w:val="16"/>
                <w:szCs w:val="16"/>
              </w:rPr>
              <w:t>Celkem OSVČ</w:t>
            </w:r>
          </w:p>
        </w:tc>
        <w:tc>
          <w:tcPr>
            <w:tcW w:w="1960" w:type="dxa"/>
            <w:gridSpan w:val="2"/>
            <w:tcBorders>
              <w:top w:val="single" w:sz="4" w:space="0" w:color="auto"/>
              <w:left w:val="nil"/>
              <w:bottom w:val="single" w:sz="4" w:space="0" w:color="auto"/>
            </w:tcBorders>
            <w:shd w:val="clear" w:color="000000" w:fill="F2DBDB"/>
            <w:vAlign w:val="center"/>
            <w:hideMark/>
          </w:tcPr>
          <w:p w14:paraId="33A784A1" w14:textId="77777777" w:rsidR="00315691" w:rsidRPr="00315691" w:rsidRDefault="00315691" w:rsidP="00315691">
            <w:pPr>
              <w:spacing w:after="0" w:line="240" w:lineRule="auto"/>
              <w:jc w:val="center"/>
              <w:rPr>
                <w:rFonts w:cs="Arial"/>
                <w:sz w:val="16"/>
                <w:szCs w:val="16"/>
              </w:rPr>
            </w:pPr>
            <w:r w:rsidRPr="00315691">
              <w:rPr>
                <w:rFonts w:cs="Arial"/>
                <w:sz w:val="16"/>
                <w:szCs w:val="16"/>
              </w:rPr>
              <w:t>podle pohlaví</w:t>
            </w:r>
          </w:p>
        </w:tc>
      </w:tr>
      <w:tr w:rsidR="00315691" w:rsidRPr="00315691" w14:paraId="17C7F7A1" w14:textId="77777777" w:rsidTr="00922112">
        <w:trPr>
          <w:trHeight w:val="300"/>
        </w:trPr>
        <w:tc>
          <w:tcPr>
            <w:tcW w:w="980" w:type="dxa"/>
            <w:vMerge/>
            <w:tcBorders>
              <w:top w:val="single" w:sz="4" w:space="0" w:color="auto"/>
              <w:left w:val="nil"/>
              <w:bottom w:val="single" w:sz="4" w:space="0" w:color="auto"/>
              <w:right w:val="single" w:sz="4" w:space="0" w:color="auto"/>
            </w:tcBorders>
            <w:vAlign w:val="center"/>
            <w:hideMark/>
          </w:tcPr>
          <w:p w14:paraId="27AB0BB6" w14:textId="77777777" w:rsidR="00315691" w:rsidRPr="00315691" w:rsidRDefault="00315691" w:rsidP="00315691">
            <w:pPr>
              <w:spacing w:after="0" w:line="240" w:lineRule="auto"/>
              <w:rPr>
                <w:rFonts w:cs="Arial"/>
                <w:sz w:val="16"/>
                <w:szCs w:val="16"/>
              </w:rPr>
            </w:pPr>
          </w:p>
        </w:tc>
        <w:tc>
          <w:tcPr>
            <w:tcW w:w="980" w:type="dxa"/>
            <w:vMerge/>
            <w:tcBorders>
              <w:top w:val="nil"/>
              <w:left w:val="single" w:sz="4" w:space="0" w:color="auto"/>
              <w:bottom w:val="single" w:sz="4" w:space="0" w:color="auto"/>
              <w:right w:val="single" w:sz="4" w:space="0" w:color="auto"/>
            </w:tcBorders>
            <w:vAlign w:val="center"/>
            <w:hideMark/>
          </w:tcPr>
          <w:p w14:paraId="67ED1750" w14:textId="77777777" w:rsidR="00315691" w:rsidRPr="00315691" w:rsidRDefault="00315691" w:rsidP="00315691">
            <w:pPr>
              <w:spacing w:after="0" w:line="240" w:lineRule="auto"/>
              <w:rPr>
                <w:rFonts w:cs="Arial"/>
                <w:sz w:val="16"/>
                <w:szCs w:val="16"/>
              </w:rPr>
            </w:pPr>
          </w:p>
        </w:tc>
        <w:tc>
          <w:tcPr>
            <w:tcW w:w="980" w:type="dxa"/>
            <w:tcBorders>
              <w:top w:val="nil"/>
              <w:left w:val="nil"/>
              <w:bottom w:val="single" w:sz="4" w:space="0" w:color="auto"/>
              <w:right w:val="single" w:sz="4" w:space="0" w:color="auto"/>
            </w:tcBorders>
            <w:shd w:val="clear" w:color="000000" w:fill="F2DBDB"/>
            <w:vAlign w:val="center"/>
            <w:hideMark/>
          </w:tcPr>
          <w:p w14:paraId="0DA43BDF" w14:textId="77777777" w:rsidR="00315691" w:rsidRPr="00315691" w:rsidRDefault="00315691" w:rsidP="00315691">
            <w:pPr>
              <w:spacing w:after="0" w:line="240" w:lineRule="auto"/>
              <w:jc w:val="center"/>
              <w:rPr>
                <w:rFonts w:cs="Arial"/>
                <w:sz w:val="16"/>
                <w:szCs w:val="16"/>
              </w:rPr>
            </w:pPr>
            <w:r w:rsidRPr="00315691">
              <w:rPr>
                <w:rFonts w:cs="Arial"/>
                <w:sz w:val="16"/>
                <w:szCs w:val="16"/>
              </w:rPr>
              <w:t>muži</w:t>
            </w:r>
          </w:p>
        </w:tc>
        <w:tc>
          <w:tcPr>
            <w:tcW w:w="980" w:type="dxa"/>
            <w:tcBorders>
              <w:top w:val="nil"/>
              <w:left w:val="nil"/>
              <w:bottom w:val="single" w:sz="4" w:space="0" w:color="auto"/>
              <w:right w:val="single" w:sz="4" w:space="0" w:color="auto"/>
            </w:tcBorders>
            <w:shd w:val="clear" w:color="000000" w:fill="F2DBDB"/>
            <w:vAlign w:val="center"/>
            <w:hideMark/>
          </w:tcPr>
          <w:p w14:paraId="70998B63" w14:textId="77777777" w:rsidR="00315691" w:rsidRPr="00315691" w:rsidRDefault="00315691" w:rsidP="00315691">
            <w:pPr>
              <w:spacing w:after="0" w:line="240" w:lineRule="auto"/>
              <w:jc w:val="center"/>
              <w:rPr>
                <w:rFonts w:cs="Arial"/>
                <w:sz w:val="16"/>
                <w:szCs w:val="16"/>
              </w:rPr>
            </w:pPr>
            <w:r w:rsidRPr="00315691">
              <w:rPr>
                <w:rFonts w:cs="Arial"/>
                <w:sz w:val="16"/>
                <w:szCs w:val="16"/>
              </w:rPr>
              <w:t>ženy</w:t>
            </w:r>
          </w:p>
        </w:tc>
        <w:tc>
          <w:tcPr>
            <w:tcW w:w="1039" w:type="dxa"/>
            <w:vMerge/>
            <w:tcBorders>
              <w:top w:val="nil"/>
              <w:left w:val="single" w:sz="4" w:space="0" w:color="auto"/>
              <w:bottom w:val="single" w:sz="4" w:space="0" w:color="auto"/>
              <w:right w:val="single" w:sz="4" w:space="0" w:color="auto"/>
            </w:tcBorders>
            <w:vAlign w:val="center"/>
            <w:hideMark/>
          </w:tcPr>
          <w:p w14:paraId="4D8549B4" w14:textId="77777777" w:rsidR="00315691" w:rsidRPr="00315691" w:rsidRDefault="00315691" w:rsidP="00315691">
            <w:pPr>
              <w:spacing w:after="0" w:line="240" w:lineRule="auto"/>
              <w:rPr>
                <w:rFonts w:cs="Arial"/>
                <w:sz w:val="16"/>
                <w:szCs w:val="16"/>
              </w:rPr>
            </w:pPr>
          </w:p>
        </w:tc>
        <w:tc>
          <w:tcPr>
            <w:tcW w:w="980" w:type="dxa"/>
            <w:tcBorders>
              <w:top w:val="nil"/>
              <w:left w:val="nil"/>
              <w:bottom w:val="single" w:sz="4" w:space="0" w:color="auto"/>
              <w:right w:val="single" w:sz="4" w:space="0" w:color="auto"/>
            </w:tcBorders>
            <w:shd w:val="clear" w:color="000000" w:fill="F2DBDB"/>
            <w:vAlign w:val="center"/>
            <w:hideMark/>
          </w:tcPr>
          <w:p w14:paraId="0D69583C" w14:textId="77777777" w:rsidR="00315691" w:rsidRPr="00315691" w:rsidRDefault="00315691" w:rsidP="00315691">
            <w:pPr>
              <w:spacing w:after="0" w:line="240" w:lineRule="auto"/>
              <w:jc w:val="center"/>
              <w:rPr>
                <w:rFonts w:cs="Arial"/>
                <w:sz w:val="16"/>
                <w:szCs w:val="16"/>
              </w:rPr>
            </w:pPr>
            <w:r w:rsidRPr="00315691">
              <w:rPr>
                <w:rFonts w:cs="Arial"/>
                <w:sz w:val="16"/>
                <w:szCs w:val="16"/>
              </w:rPr>
              <w:t>muži</w:t>
            </w:r>
          </w:p>
        </w:tc>
        <w:tc>
          <w:tcPr>
            <w:tcW w:w="980" w:type="dxa"/>
            <w:tcBorders>
              <w:top w:val="nil"/>
              <w:left w:val="nil"/>
              <w:bottom w:val="single" w:sz="4" w:space="0" w:color="auto"/>
              <w:right w:val="single" w:sz="4" w:space="0" w:color="auto"/>
            </w:tcBorders>
            <w:shd w:val="clear" w:color="000000" w:fill="F2DBDB"/>
            <w:vAlign w:val="center"/>
            <w:hideMark/>
          </w:tcPr>
          <w:p w14:paraId="1D6AA11C" w14:textId="77777777" w:rsidR="00315691" w:rsidRPr="00315691" w:rsidRDefault="00315691" w:rsidP="00315691">
            <w:pPr>
              <w:spacing w:after="0" w:line="240" w:lineRule="auto"/>
              <w:jc w:val="center"/>
              <w:rPr>
                <w:rFonts w:cs="Arial"/>
                <w:sz w:val="16"/>
                <w:szCs w:val="16"/>
              </w:rPr>
            </w:pPr>
            <w:r w:rsidRPr="00315691">
              <w:rPr>
                <w:rFonts w:cs="Arial"/>
                <w:sz w:val="16"/>
                <w:szCs w:val="16"/>
              </w:rPr>
              <w:t>ženy</w:t>
            </w:r>
          </w:p>
        </w:tc>
        <w:tc>
          <w:tcPr>
            <w:tcW w:w="980" w:type="dxa"/>
            <w:vMerge/>
            <w:tcBorders>
              <w:top w:val="nil"/>
              <w:left w:val="single" w:sz="4" w:space="0" w:color="auto"/>
              <w:bottom w:val="single" w:sz="4" w:space="0" w:color="auto"/>
              <w:right w:val="single" w:sz="4" w:space="0" w:color="auto"/>
            </w:tcBorders>
            <w:vAlign w:val="center"/>
            <w:hideMark/>
          </w:tcPr>
          <w:p w14:paraId="1EB36233" w14:textId="77777777" w:rsidR="00315691" w:rsidRPr="00315691" w:rsidRDefault="00315691" w:rsidP="00315691">
            <w:pPr>
              <w:spacing w:after="0" w:line="240" w:lineRule="auto"/>
              <w:rPr>
                <w:rFonts w:cs="Arial"/>
                <w:sz w:val="16"/>
                <w:szCs w:val="16"/>
              </w:rPr>
            </w:pPr>
          </w:p>
        </w:tc>
        <w:tc>
          <w:tcPr>
            <w:tcW w:w="980" w:type="dxa"/>
            <w:tcBorders>
              <w:top w:val="nil"/>
              <w:left w:val="nil"/>
              <w:bottom w:val="single" w:sz="4" w:space="0" w:color="auto"/>
              <w:right w:val="single" w:sz="4" w:space="0" w:color="auto"/>
            </w:tcBorders>
            <w:shd w:val="clear" w:color="000000" w:fill="F2DBDB"/>
            <w:vAlign w:val="center"/>
            <w:hideMark/>
          </w:tcPr>
          <w:p w14:paraId="62CB0CC0" w14:textId="77777777" w:rsidR="00315691" w:rsidRPr="00315691" w:rsidRDefault="00315691" w:rsidP="00315691">
            <w:pPr>
              <w:spacing w:after="0" w:line="240" w:lineRule="auto"/>
              <w:jc w:val="center"/>
              <w:rPr>
                <w:rFonts w:cs="Arial"/>
                <w:sz w:val="16"/>
                <w:szCs w:val="16"/>
              </w:rPr>
            </w:pPr>
            <w:r w:rsidRPr="00315691">
              <w:rPr>
                <w:rFonts w:cs="Arial"/>
                <w:sz w:val="16"/>
                <w:szCs w:val="16"/>
              </w:rPr>
              <w:t>muži</w:t>
            </w:r>
          </w:p>
        </w:tc>
        <w:tc>
          <w:tcPr>
            <w:tcW w:w="980" w:type="dxa"/>
            <w:tcBorders>
              <w:top w:val="nil"/>
              <w:left w:val="nil"/>
              <w:bottom w:val="single" w:sz="4" w:space="0" w:color="auto"/>
              <w:right w:val="nil"/>
            </w:tcBorders>
            <w:shd w:val="clear" w:color="000000" w:fill="F2DBDB"/>
            <w:vAlign w:val="center"/>
            <w:hideMark/>
          </w:tcPr>
          <w:p w14:paraId="22B513DE" w14:textId="77777777" w:rsidR="00315691" w:rsidRPr="00315691" w:rsidRDefault="00315691" w:rsidP="00315691">
            <w:pPr>
              <w:spacing w:after="0" w:line="240" w:lineRule="auto"/>
              <w:jc w:val="center"/>
              <w:rPr>
                <w:rFonts w:cs="Arial"/>
                <w:sz w:val="16"/>
                <w:szCs w:val="16"/>
              </w:rPr>
            </w:pPr>
            <w:r w:rsidRPr="00315691">
              <w:rPr>
                <w:rFonts w:cs="Arial"/>
                <w:sz w:val="16"/>
                <w:szCs w:val="16"/>
              </w:rPr>
              <w:t>ženy</w:t>
            </w:r>
          </w:p>
        </w:tc>
      </w:tr>
      <w:tr w:rsidR="00315691" w:rsidRPr="00315691" w14:paraId="4A4011B9" w14:textId="77777777" w:rsidTr="00922112">
        <w:trPr>
          <w:trHeight w:val="300"/>
        </w:trPr>
        <w:tc>
          <w:tcPr>
            <w:tcW w:w="980" w:type="dxa"/>
            <w:tcBorders>
              <w:top w:val="single" w:sz="4" w:space="0" w:color="auto"/>
              <w:left w:val="nil"/>
              <w:bottom w:val="nil"/>
              <w:right w:val="single" w:sz="4" w:space="0" w:color="auto"/>
            </w:tcBorders>
            <w:shd w:val="clear" w:color="auto" w:fill="auto"/>
            <w:vAlign w:val="center"/>
            <w:hideMark/>
          </w:tcPr>
          <w:p w14:paraId="6D739601" w14:textId="77777777" w:rsidR="00315691" w:rsidRPr="00315691" w:rsidRDefault="00315691" w:rsidP="00315691">
            <w:pPr>
              <w:spacing w:after="0" w:line="240" w:lineRule="auto"/>
              <w:jc w:val="center"/>
              <w:rPr>
                <w:rFonts w:cs="Arial"/>
                <w:sz w:val="16"/>
                <w:szCs w:val="16"/>
              </w:rPr>
            </w:pPr>
            <w:r w:rsidRPr="00315691">
              <w:rPr>
                <w:rFonts w:cs="Arial"/>
                <w:sz w:val="16"/>
                <w:szCs w:val="16"/>
              </w:rPr>
              <w:t>1. pol. 2008</w:t>
            </w:r>
          </w:p>
        </w:tc>
        <w:tc>
          <w:tcPr>
            <w:tcW w:w="980" w:type="dxa"/>
            <w:tcBorders>
              <w:top w:val="single" w:sz="4" w:space="0" w:color="auto"/>
              <w:left w:val="single" w:sz="4" w:space="0" w:color="auto"/>
              <w:bottom w:val="nil"/>
              <w:right w:val="nil"/>
            </w:tcBorders>
            <w:shd w:val="clear" w:color="auto" w:fill="auto"/>
            <w:vAlign w:val="center"/>
            <w:hideMark/>
          </w:tcPr>
          <w:p w14:paraId="064E9F40" w14:textId="77777777" w:rsidR="00315691" w:rsidRPr="00315691" w:rsidRDefault="00315691" w:rsidP="00315691">
            <w:pPr>
              <w:spacing w:after="0" w:line="240" w:lineRule="auto"/>
              <w:jc w:val="right"/>
              <w:rPr>
                <w:rFonts w:cs="Arial"/>
                <w:sz w:val="16"/>
                <w:szCs w:val="16"/>
              </w:rPr>
            </w:pPr>
            <w:r w:rsidRPr="00315691">
              <w:rPr>
                <w:rFonts w:cs="Arial"/>
                <w:sz w:val="16"/>
                <w:szCs w:val="16"/>
              </w:rPr>
              <w:t>4 573,4</w:t>
            </w:r>
          </w:p>
        </w:tc>
        <w:tc>
          <w:tcPr>
            <w:tcW w:w="980" w:type="dxa"/>
            <w:tcBorders>
              <w:top w:val="single" w:sz="4" w:space="0" w:color="auto"/>
              <w:left w:val="nil"/>
              <w:bottom w:val="nil"/>
              <w:right w:val="nil"/>
            </w:tcBorders>
            <w:shd w:val="clear" w:color="auto" w:fill="auto"/>
            <w:vAlign w:val="center"/>
            <w:hideMark/>
          </w:tcPr>
          <w:p w14:paraId="11400988" w14:textId="77777777" w:rsidR="00315691" w:rsidRPr="00315691" w:rsidRDefault="00315691" w:rsidP="00315691">
            <w:pPr>
              <w:spacing w:after="0" w:line="240" w:lineRule="auto"/>
              <w:jc w:val="right"/>
              <w:rPr>
                <w:rFonts w:cs="Arial"/>
                <w:sz w:val="16"/>
                <w:szCs w:val="16"/>
              </w:rPr>
            </w:pPr>
            <w:r w:rsidRPr="00315691">
              <w:rPr>
                <w:rFonts w:cs="Arial"/>
                <w:sz w:val="16"/>
                <w:szCs w:val="16"/>
              </w:rPr>
              <w:t>2 423,8</w:t>
            </w:r>
          </w:p>
        </w:tc>
        <w:tc>
          <w:tcPr>
            <w:tcW w:w="980" w:type="dxa"/>
            <w:tcBorders>
              <w:top w:val="single" w:sz="4" w:space="0" w:color="auto"/>
              <w:left w:val="nil"/>
              <w:bottom w:val="nil"/>
              <w:right w:val="single" w:sz="4" w:space="0" w:color="auto"/>
            </w:tcBorders>
            <w:shd w:val="clear" w:color="auto" w:fill="auto"/>
            <w:vAlign w:val="center"/>
            <w:hideMark/>
          </w:tcPr>
          <w:p w14:paraId="60BA717C" w14:textId="77777777" w:rsidR="00315691" w:rsidRPr="00315691" w:rsidRDefault="00315691" w:rsidP="00315691">
            <w:pPr>
              <w:spacing w:after="0" w:line="240" w:lineRule="auto"/>
              <w:jc w:val="right"/>
              <w:rPr>
                <w:rFonts w:cs="Arial"/>
                <w:sz w:val="16"/>
                <w:szCs w:val="16"/>
              </w:rPr>
            </w:pPr>
            <w:r w:rsidRPr="00315691">
              <w:rPr>
                <w:rFonts w:cs="Arial"/>
                <w:sz w:val="16"/>
                <w:szCs w:val="16"/>
              </w:rPr>
              <w:t>2 149,6</w:t>
            </w:r>
          </w:p>
        </w:tc>
        <w:tc>
          <w:tcPr>
            <w:tcW w:w="1039" w:type="dxa"/>
            <w:tcBorders>
              <w:top w:val="single" w:sz="4" w:space="0" w:color="auto"/>
              <w:left w:val="nil"/>
              <w:bottom w:val="nil"/>
              <w:right w:val="nil"/>
            </w:tcBorders>
            <w:shd w:val="clear" w:color="auto" w:fill="auto"/>
            <w:noWrap/>
            <w:vAlign w:val="center"/>
            <w:hideMark/>
          </w:tcPr>
          <w:p w14:paraId="6BA07C09" w14:textId="77777777" w:rsidR="00315691" w:rsidRPr="00315691" w:rsidRDefault="00315691" w:rsidP="00315691">
            <w:pPr>
              <w:spacing w:after="0" w:line="240" w:lineRule="auto"/>
              <w:jc w:val="right"/>
              <w:rPr>
                <w:rFonts w:cs="Arial"/>
                <w:sz w:val="16"/>
                <w:szCs w:val="16"/>
              </w:rPr>
            </w:pPr>
            <w:r w:rsidRPr="00315691">
              <w:rPr>
                <w:rFonts w:cs="Arial"/>
                <w:sz w:val="16"/>
                <w:szCs w:val="16"/>
              </w:rPr>
              <w:t>4 372,8</w:t>
            </w:r>
          </w:p>
        </w:tc>
        <w:tc>
          <w:tcPr>
            <w:tcW w:w="980" w:type="dxa"/>
            <w:tcBorders>
              <w:top w:val="single" w:sz="4" w:space="0" w:color="auto"/>
              <w:left w:val="nil"/>
              <w:bottom w:val="nil"/>
              <w:right w:val="nil"/>
            </w:tcBorders>
            <w:shd w:val="clear" w:color="auto" w:fill="auto"/>
            <w:vAlign w:val="center"/>
            <w:hideMark/>
          </w:tcPr>
          <w:p w14:paraId="06C344E2" w14:textId="77777777" w:rsidR="00315691" w:rsidRPr="00315691" w:rsidRDefault="00315691" w:rsidP="00315691">
            <w:pPr>
              <w:spacing w:after="0" w:line="240" w:lineRule="auto"/>
              <w:jc w:val="right"/>
              <w:rPr>
                <w:rFonts w:cs="Arial"/>
                <w:sz w:val="16"/>
                <w:szCs w:val="16"/>
              </w:rPr>
            </w:pPr>
            <w:r w:rsidRPr="00315691">
              <w:rPr>
                <w:rFonts w:cs="Arial"/>
                <w:sz w:val="16"/>
                <w:szCs w:val="16"/>
              </w:rPr>
              <w:t>2 288,8</w:t>
            </w:r>
          </w:p>
        </w:tc>
        <w:tc>
          <w:tcPr>
            <w:tcW w:w="980" w:type="dxa"/>
            <w:tcBorders>
              <w:top w:val="single" w:sz="4" w:space="0" w:color="auto"/>
              <w:left w:val="nil"/>
              <w:bottom w:val="nil"/>
              <w:right w:val="single" w:sz="4" w:space="0" w:color="auto"/>
            </w:tcBorders>
            <w:shd w:val="clear" w:color="auto" w:fill="auto"/>
            <w:vAlign w:val="center"/>
            <w:hideMark/>
          </w:tcPr>
          <w:p w14:paraId="0C363CE4" w14:textId="77777777" w:rsidR="00315691" w:rsidRPr="00315691" w:rsidRDefault="00315691" w:rsidP="00315691">
            <w:pPr>
              <w:spacing w:after="0" w:line="240" w:lineRule="auto"/>
              <w:jc w:val="right"/>
              <w:rPr>
                <w:rFonts w:cs="Arial"/>
                <w:sz w:val="16"/>
                <w:szCs w:val="16"/>
              </w:rPr>
            </w:pPr>
            <w:r w:rsidRPr="00315691">
              <w:rPr>
                <w:rFonts w:cs="Arial"/>
                <w:sz w:val="16"/>
                <w:szCs w:val="16"/>
              </w:rPr>
              <w:t>2 083,9</w:t>
            </w:r>
          </w:p>
        </w:tc>
        <w:tc>
          <w:tcPr>
            <w:tcW w:w="980" w:type="dxa"/>
            <w:tcBorders>
              <w:top w:val="single" w:sz="4" w:space="0" w:color="auto"/>
              <w:left w:val="nil"/>
              <w:bottom w:val="nil"/>
              <w:right w:val="nil"/>
            </w:tcBorders>
            <w:shd w:val="clear" w:color="auto" w:fill="auto"/>
            <w:vAlign w:val="center"/>
            <w:hideMark/>
          </w:tcPr>
          <w:p w14:paraId="17CA9F71" w14:textId="77777777" w:rsidR="00315691" w:rsidRPr="00315691" w:rsidRDefault="00315691" w:rsidP="00315691">
            <w:pPr>
              <w:spacing w:after="0" w:line="240" w:lineRule="auto"/>
              <w:jc w:val="right"/>
              <w:rPr>
                <w:rFonts w:cs="Arial"/>
                <w:sz w:val="16"/>
                <w:szCs w:val="16"/>
              </w:rPr>
            </w:pPr>
            <w:r w:rsidRPr="00315691">
              <w:rPr>
                <w:rFonts w:cs="Arial"/>
                <w:sz w:val="16"/>
                <w:szCs w:val="16"/>
              </w:rPr>
              <w:t>200,6</w:t>
            </w:r>
          </w:p>
        </w:tc>
        <w:tc>
          <w:tcPr>
            <w:tcW w:w="980" w:type="dxa"/>
            <w:tcBorders>
              <w:top w:val="single" w:sz="4" w:space="0" w:color="auto"/>
              <w:left w:val="nil"/>
              <w:bottom w:val="nil"/>
              <w:right w:val="nil"/>
            </w:tcBorders>
            <w:shd w:val="clear" w:color="auto" w:fill="auto"/>
            <w:vAlign w:val="center"/>
            <w:hideMark/>
          </w:tcPr>
          <w:p w14:paraId="535376C2" w14:textId="77777777" w:rsidR="00315691" w:rsidRPr="00315691" w:rsidRDefault="00315691" w:rsidP="00315691">
            <w:pPr>
              <w:spacing w:after="0" w:line="240" w:lineRule="auto"/>
              <w:jc w:val="right"/>
              <w:rPr>
                <w:rFonts w:cs="Arial"/>
                <w:sz w:val="16"/>
                <w:szCs w:val="16"/>
              </w:rPr>
            </w:pPr>
            <w:r w:rsidRPr="00315691">
              <w:rPr>
                <w:rFonts w:cs="Arial"/>
                <w:sz w:val="16"/>
                <w:szCs w:val="16"/>
              </w:rPr>
              <w:t>135,0</w:t>
            </w:r>
          </w:p>
        </w:tc>
        <w:tc>
          <w:tcPr>
            <w:tcW w:w="980" w:type="dxa"/>
            <w:tcBorders>
              <w:top w:val="single" w:sz="4" w:space="0" w:color="auto"/>
              <w:left w:val="nil"/>
              <w:bottom w:val="nil"/>
              <w:right w:val="nil"/>
            </w:tcBorders>
            <w:shd w:val="clear" w:color="auto" w:fill="auto"/>
            <w:vAlign w:val="center"/>
            <w:hideMark/>
          </w:tcPr>
          <w:p w14:paraId="43FFDFF8" w14:textId="77777777" w:rsidR="00315691" w:rsidRPr="00315691" w:rsidRDefault="00315691" w:rsidP="00315691">
            <w:pPr>
              <w:spacing w:after="0" w:line="240" w:lineRule="auto"/>
              <w:jc w:val="right"/>
              <w:rPr>
                <w:rFonts w:cs="Arial"/>
                <w:sz w:val="16"/>
                <w:szCs w:val="16"/>
              </w:rPr>
            </w:pPr>
            <w:r w:rsidRPr="00315691">
              <w:rPr>
                <w:rFonts w:cs="Arial"/>
                <w:sz w:val="16"/>
                <w:szCs w:val="16"/>
              </w:rPr>
              <w:t>65,7</w:t>
            </w:r>
          </w:p>
        </w:tc>
      </w:tr>
      <w:tr w:rsidR="00315691" w:rsidRPr="00315691" w14:paraId="546CE464" w14:textId="77777777" w:rsidTr="00315691">
        <w:trPr>
          <w:trHeight w:val="300"/>
        </w:trPr>
        <w:tc>
          <w:tcPr>
            <w:tcW w:w="980" w:type="dxa"/>
            <w:tcBorders>
              <w:top w:val="nil"/>
              <w:left w:val="nil"/>
              <w:bottom w:val="nil"/>
              <w:right w:val="single" w:sz="4" w:space="0" w:color="auto"/>
            </w:tcBorders>
            <w:shd w:val="clear" w:color="auto" w:fill="auto"/>
            <w:vAlign w:val="center"/>
            <w:hideMark/>
          </w:tcPr>
          <w:p w14:paraId="16F4BDE0" w14:textId="77777777" w:rsidR="00315691" w:rsidRPr="00315691" w:rsidRDefault="00315691" w:rsidP="00315691">
            <w:pPr>
              <w:spacing w:after="0" w:line="240" w:lineRule="auto"/>
              <w:jc w:val="center"/>
              <w:rPr>
                <w:rFonts w:cs="Arial"/>
                <w:sz w:val="16"/>
                <w:szCs w:val="16"/>
              </w:rPr>
            </w:pPr>
            <w:r w:rsidRPr="00315691">
              <w:rPr>
                <w:rFonts w:cs="Arial"/>
                <w:sz w:val="16"/>
                <w:szCs w:val="16"/>
              </w:rPr>
              <w:t>1. pol. 2009</w:t>
            </w:r>
          </w:p>
        </w:tc>
        <w:tc>
          <w:tcPr>
            <w:tcW w:w="980" w:type="dxa"/>
            <w:tcBorders>
              <w:top w:val="nil"/>
              <w:left w:val="single" w:sz="4" w:space="0" w:color="auto"/>
              <w:bottom w:val="nil"/>
              <w:right w:val="nil"/>
            </w:tcBorders>
            <w:shd w:val="clear" w:color="auto" w:fill="auto"/>
            <w:vAlign w:val="center"/>
            <w:hideMark/>
          </w:tcPr>
          <w:p w14:paraId="462501C8" w14:textId="77777777" w:rsidR="00315691" w:rsidRPr="00315691" w:rsidRDefault="00315691" w:rsidP="00315691">
            <w:pPr>
              <w:spacing w:after="0" w:line="240" w:lineRule="auto"/>
              <w:jc w:val="right"/>
              <w:rPr>
                <w:rFonts w:cs="Arial"/>
                <w:sz w:val="16"/>
                <w:szCs w:val="16"/>
              </w:rPr>
            </w:pPr>
            <w:r w:rsidRPr="00315691">
              <w:rPr>
                <w:rFonts w:cs="Arial"/>
                <w:sz w:val="16"/>
                <w:szCs w:val="16"/>
              </w:rPr>
              <w:t>4 328,2</w:t>
            </w:r>
          </w:p>
        </w:tc>
        <w:tc>
          <w:tcPr>
            <w:tcW w:w="980" w:type="dxa"/>
            <w:tcBorders>
              <w:top w:val="nil"/>
              <w:left w:val="nil"/>
              <w:bottom w:val="nil"/>
              <w:right w:val="nil"/>
            </w:tcBorders>
            <w:shd w:val="clear" w:color="auto" w:fill="auto"/>
            <w:vAlign w:val="center"/>
            <w:hideMark/>
          </w:tcPr>
          <w:p w14:paraId="14C23378" w14:textId="77777777" w:rsidR="00315691" w:rsidRPr="00315691" w:rsidRDefault="00315691" w:rsidP="00315691">
            <w:pPr>
              <w:spacing w:after="0" w:line="240" w:lineRule="auto"/>
              <w:jc w:val="right"/>
              <w:rPr>
                <w:rFonts w:cs="Arial"/>
                <w:sz w:val="16"/>
                <w:szCs w:val="16"/>
              </w:rPr>
            </w:pPr>
            <w:r w:rsidRPr="00315691">
              <w:rPr>
                <w:rFonts w:cs="Arial"/>
                <w:sz w:val="16"/>
                <w:szCs w:val="16"/>
              </w:rPr>
              <w:t>2 268,5</w:t>
            </w:r>
          </w:p>
        </w:tc>
        <w:tc>
          <w:tcPr>
            <w:tcW w:w="980" w:type="dxa"/>
            <w:tcBorders>
              <w:top w:val="nil"/>
              <w:left w:val="nil"/>
              <w:bottom w:val="nil"/>
              <w:right w:val="single" w:sz="4" w:space="0" w:color="auto"/>
            </w:tcBorders>
            <w:shd w:val="clear" w:color="auto" w:fill="auto"/>
            <w:vAlign w:val="center"/>
            <w:hideMark/>
          </w:tcPr>
          <w:p w14:paraId="793D45F3" w14:textId="77777777" w:rsidR="00315691" w:rsidRPr="00315691" w:rsidRDefault="00315691" w:rsidP="00315691">
            <w:pPr>
              <w:spacing w:after="0" w:line="240" w:lineRule="auto"/>
              <w:jc w:val="right"/>
              <w:rPr>
                <w:rFonts w:cs="Arial"/>
                <w:sz w:val="16"/>
                <w:szCs w:val="16"/>
              </w:rPr>
            </w:pPr>
            <w:r w:rsidRPr="00315691">
              <w:rPr>
                <w:rFonts w:cs="Arial"/>
                <w:sz w:val="16"/>
                <w:szCs w:val="16"/>
              </w:rPr>
              <w:t>2 059,8</w:t>
            </w:r>
          </w:p>
        </w:tc>
        <w:tc>
          <w:tcPr>
            <w:tcW w:w="1039" w:type="dxa"/>
            <w:tcBorders>
              <w:top w:val="nil"/>
              <w:left w:val="nil"/>
              <w:bottom w:val="nil"/>
              <w:right w:val="nil"/>
            </w:tcBorders>
            <w:shd w:val="clear" w:color="auto" w:fill="auto"/>
            <w:noWrap/>
            <w:vAlign w:val="center"/>
            <w:hideMark/>
          </w:tcPr>
          <w:p w14:paraId="3EB186CB" w14:textId="77777777" w:rsidR="00315691" w:rsidRPr="00315691" w:rsidRDefault="00315691" w:rsidP="00315691">
            <w:pPr>
              <w:spacing w:after="0" w:line="240" w:lineRule="auto"/>
              <w:jc w:val="right"/>
              <w:rPr>
                <w:rFonts w:cs="Arial"/>
                <w:sz w:val="16"/>
                <w:szCs w:val="16"/>
              </w:rPr>
            </w:pPr>
            <w:r w:rsidRPr="00315691">
              <w:rPr>
                <w:rFonts w:cs="Arial"/>
                <w:sz w:val="16"/>
                <w:szCs w:val="16"/>
              </w:rPr>
              <w:t>4 171,8</w:t>
            </w:r>
          </w:p>
        </w:tc>
        <w:tc>
          <w:tcPr>
            <w:tcW w:w="980" w:type="dxa"/>
            <w:tcBorders>
              <w:top w:val="nil"/>
              <w:left w:val="nil"/>
              <w:bottom w:val="nil"/>
              <w:right w:val="nil"/>
            </w:tcBorders>
            <w:shd w:val="clear" w:color="auto" w:fill="auto"/>
            <w:vAlign w:val="center"/>
            <w:hideMark/>
          </w:tcPr>
          <w:p w14:paraId="3B8CFBFA" w14:textId="77777777" w:rsidR="00315691" w:rsidRPr="00315691" w:rsidRDefault="00315691" w:rsidP="00315691">
            <w:pPr>
              <w:spacing w:after="0" w:line="240" w:lineRule="auto"/>
              <w:jc w:val="right"/>
              <w:rPr>
                <w:rFonts w:cs="Arial"/>
                <w:sz w:val="16"/>
                <w:szCs w:val="16"/>
              </w:rPr>
            </w:pPr>
            <w:r w:rsidRPr="00315691">
              <w:rPr>
                <w:rFonts w:cs="Arial"/>
                <w:sz w:val="16"/>
                <w:szCs w:val="16"/>
              </w:rPr>
              <w:t>2 165,6</w:t>
            </w:r>
          </w:p>
        </w:tc>
        <w:tc>
          <w:tcPr>
            <w:tcW w:w="980" w:type="dxa"/>
            <w:tcBorders>
              <w:top w:val="nil"/>
              <w:left w:val="nil"/>
              <w:bottom w:val="nil"/>
              <w:right w:val="single" w:sz="4" w:space="0" w:color="auto"/>
            </w:tcBorders>
            <w:shd w:val="clear" w:color="auto" w:fill="auto"/>
            <w:vAlign w:val="center"/>
            <w:hideMark/>
          </w:tcPr>
          <w:p w14:paraId="2AAB84AE" w14:textId="77777777" w:rsidR="00315691" w:rsidRPr="00315691" w:rsidRDefault="00315691" w:rsidP="00315691">
            <w:pPr>
              <w:spacing w:after="0" w:line="240" w:lineRule="auto"/>
              <w:jc w:val="right"/>
              <w:rPr>
                <w:rFonts w:cs="Arial"/>
                <w:sz w:val="16"/>
                <w:szCs w:val="16"/>
              </w:rPr>
            </w:pPr>
            <w:r w:rsidRPr="00315691">
              <w:rPr>
                <w:rFonts w:cs="Arial"/>
                <w:sz w:val="16"/>
                <w:szCs w:val="16"/>
              </w:rPr>
              <w:t>2 006,3</w:t>
            </w:r>
          </w:p>
        </w:tc>
        <w:tc>
          <w:tcPr>
            <w:tcW w:w="980" w:type="dxa"/>
            <w:tcBorders>
              <w:top w:val="nil"/>
              <w:left w:val="nil"/>
              <w:bottom w:val="nil"/>
              <w:right w:val="nil"/>
            </w:tcBorders>
            <w:shd w:val="clear" w:color="auto" w:fill="auto"/>
            <w:vAlign w:val="center"/>
            <w:hideMark/>
          </w:tcPr>
          <w:p w14:paraId="110DDF68" w14:textId="77777777" w:rsidR="00315691" w:rsidRPr="00315691" w:rsidRDefault="00315691" w:rsidP="00315691">
            <w:pPr>
              <w:spacing w:after="0" w:line="240" w:lineRule="auto"/>
              <w:jc w:val="right"/>
              <w:rPr>
                <w:rFonts w:cs="Arial"/>
                <w:sz w:val="16"/>
                <w:szCs w:val="16"/>
              </w:rPr>
            </w:pPr>
            <w:r w:rsidRPr="00315691">
              <w:rPr>
                <w:rFonts w:cs="Arial"/>
                <w:sz w:val="16"/>
                <w:szCs w:val="16"/>
              </w:rPr>
              <w:t>156,4</w:t>
            </w:r>
          </w:p>
        </w:tc>
        <w:tc>
          <w:tcPr>
            <w:tcW w:w="980" w:type="dxa"/>
            <w:tcBorders>
              <w:top w:val="nil"/>
              <w:left w:val="nil"/>
              <w:bottom w:val="nil"/>
              <w:right w:val="nil"/>
            </w:tcBorders>
            <w:shd w:val="clear" w:color="auto" w:fill="auto"/>
            <w:vAlign w:val="center"/>
            <w:hideMark/>
          </w:tcPr>
          <w:p w14:paraId="5C40443D" w14:textId="77777777" w:rsidR="00315691" w:rsidRPr="00315691" w:rsidRDefault="00315691" w:rsidP="00315691">
            <w:pPr>
              <w:spacing w:after="0" w:line="240" w:lineRule="auto"/>
              <w:jc w:val="right"/>
              <w:rPr>
                <w:rFonts w:cs="Arial"/>
                <w:sz w:val="16"/>
                <w:szCs w:val="16"/>
              </w:rPr>
            </w:pPr>
            <w:r w:rsidRPr="00315691">
              <w:rPr>
                <w:rFonts w:cs="Arial"/>
                <w:sz w:val="16"/>
                <w:szCs w:val="16"/>
              </w:rPr>
              <w:t>102,9</w:t>
            </w:r>
          </w:p>
        </w:tc>
        <w:tc>
          <w:tcPr>
            <w:tcW w:w="980" w:type="dxa"/>
            <w:tcBorders>
              <w:top w:val="nil"/>
              <w:left w:val="nil"/>
              <w:bottom w:val="nil"/>
              <w:right w:val="nil"/>
            </w:tcBorders>
            <w:shd w:val="clear" w:color="auto" w:fill="auto"/>
            <w:vAlign w:val="center"/>
            <w:hideMark/>
          </w:tcPr>
          <w:p w14:paraId="2886BF7D" w14:textId="77777777" w:rsidR="00315691" w:rsidRPr="00315691" w:rsidRDefault="00315691" w:rsidP="00315691">
            <w:pPr>
              <w:spacing w:after="0" w:line="240" w:lineRule="auto"/>
              <w:jc w:val="right"/>
              <w:rPr>
                <w:rFonts w:cs="Arial"/>
                <w:sz w:val="16"/>
                <w:szCs w:val="16"/>
              </w:rPr>
            </w:pPr>
            <w:r w:rsidRPr="00315691">
              <w:rPr>
                <w:rFonts w:cs="Arial"/>
                <w:sz w:val="16"/>
                <w:szCs w:val="16"/>
              </w:rPr>
              <w:t>53,5</w:t>
            </w:r>
          </w:p>
        </w:tc>
      </w:tr>
      <w:tr w:rsidR="00315691" w:rsidRPr="00315691" w14:paraId="75480786" w14:textId="77777777" w:rsidTr="00315691">
        <w:trPr>
          <w:trHeight w:val="300"/>
        </w:trPr>
        <w:tc>
          <w:tcPr>
            <w:tcW w:w="980" w:type="dxa"/>
            <w:tcBorders>
              <w:top w:val="nil"/>
              <w:left w:val="nil"/>
              <w:bottom w:val="nil"/>
              <w:right w:val="single" w:sz="4" w:space="0" w:color="auto"/>
            </w:tcBorders>
            <w:shd w:val="clear" w:color="auto" w:fill="auto"/>
            <w:vAlign w:val="center"/>
            <w:hideMark/>
          </w:tcPr>
          <w:p w14:paraId="7082C331" w14:textId="77777777" w:rsidR="00315691" w:rsidRPr="00315691" w:rsidRDefault="00315691" w:rsidP="00315691">
            <w:pPr>
              <w:spacing w:after="0" w:line="240" w:lineRule="auto"/>
              <w:jc w:val="center"/>
              <w:rPr>
                <w:rFonts w:cs="Arial"/>
                <w:sz w:val="16"/>
                <w:szCs w:val="16"/>
              </w:rPr>
            </w:pPr>
            <w:r w:rsidRPr="00315691">
              <w:rPr>
                <w:rFonts w:cs="Arial"/>
                <w:sz w:val="16"/>
                <w:szCs w:val="16"/>
              </w:rPr>
              <w:t>1. pol. 2010</w:t>
            </w:r>
          </w:p>
        </w:tc>
        <w:tc>
          <w:tcPr>
            <w:tcW w:w="980" w:type="dxa"/>
            <w:tcBorders>
              <w:top w:val="nil"/>
              <w:left w:val="single" w:sz="4" w:space="0" w:color="auto"/>
              <w:bottom w:val="nil"/>
              <w:right w:val="nil"/>
            </w:tcBorders>
            <w:shd w:val="clear" w:color="auto" w:fill="auto"/>
            <w:vAlign w:val="center"/>
            <w:hideMark/>
          </w:tcPr>
          <w:p w14:paraId="63871A19" w14:textId="77777777" w:rsidR="00315691" w:rsidRPr="00315691" w:rsidRDefault="00315691" w:rsidP="00315691">
            <w:pPr>
              <w:spacing w:after="0" w:line="240" w:lineRule="auto"/>
              <w:jc w:val="right"/>
              <w:rPr>
                <w:rFonts w:cs="Arial"/>
                <w:sz w:val="16"/>
                <w:szCs w:val="16"/>
              </w:rPr>
            </w:pPr>
            <w:r w:rsidRPr="00315691">
              <w:rPr>
                <w:rFonts w:cs="Arial"/>
                <w:sz w:val="16"/>
                <w:szCs w:val="16"/>
              </w:rPr>
              <w:t>4 233,7</w:t>
            </w:r>
          </w:p>
        </w:tc>
        <w:tc>
          <w:tcPr>
            <w:tcW w:w="980" w:type="dxa"/>
            <w:tcBorders>
              <w:top w:val="nil"/>
              <w:left w:val="nil"/>
              <w:bottom w:val="nil"/>
              <w:right w:val="nil"/>
            </w:tcBorders>
            <w:shd w:val="clear" w:color="auto" w:fill="auto"/>
            <w:vAlign w:val="center"/>
            <w:hideMark/>
          </w:tcPr>
          <w:p w14:paraId="51010F1E" w14:textId="77777777" w:rsidR="00315691" w:rsidRPr="00315691" w:rsidRDefault="00315691" w:rsidP="00315691">
            <w:pPr>
              <w:spacing w:after="0" w:line="240" w:lineRule="auto"/>
              <w:jc w:val="right"/>
              <w:rPr>
                <w:rFonts w:cs="Arial"/>
                <w:sz w:val="16"/>
                <w:szCs w:val="16"/>
              </w:rPr>
            </w:pPr>
            <w:r w:rsidRPr="00315691">
              <w:rPr>
                <w:rFonts w:cs="Arial"/>
                <w:sz w:val="16"/>
                <w:szCs w:val="16"/>
              </w:rPr>
              <w:t>2 191,0</w:t>
            </w:r>
          </w:p>
        </w:tc>
        <w:tc>
          <w:tcPr>
            <w:tcW w:w="980" w:type="dxa"/>
            <w:tcBorders>
              <w:top w:val="nil"/>
              <w:left w:val="nil"/>
              <w:bottom w:val="nil"/>
              <w:right w:val="single" w:sz="4" w:space="0" w:color="auto"/>
            </w:tcBorders>
            <w:shd w:val="clear" w:color="auto" w:fill="auto"/>
            <w:vAlign w:val="center"/>
            <w:hideMark/>
          </w:tcPr>
          <w:p w14:paraId="30ADCA2A" w14:textId="77777777" w:rsidR="00315691" w:rsidRPr="00315691" w:rsidRDefault="00315691" w:rsidP="00315691">
            <w:pPr>
              <w:spacing w:after="0" w:line="240" w:lineRule="auto"/>
              <w:jc w:val="right"/>
              <w:rPr>
                <w:rFonts w:cs="Arial"/>
                <w:sz w:val="16"/>
                <w:szCs w:val="16"/>
              </w:rPr>
            </w:pPr>
            <w:r w:rsidRPr="00315691">
              <w:rPr>
                <w:rFonts w:cs="Arial"/>
                <w:sz w:val="16"/>
                <w:szCs w:val="16"/>
              </w:rPr>
              <w:t>2 042,7</w:t>
            </w:r>
          </w:p>
        </w:tc>
        <w:tc>
          <w:tcPr>
            <w:tcW w:w="1039" w:type="dxa"/>
            <w:tcBorders>
              <w:top w:val="nil"/>
              <w:left w:val="nil"/>
              <w:bottom w:val="nil"/>
              <w:right w:val="nil"/>
            </w:tcBorders>
            <w:shd w:val="clear" w:color="auto" w:fill="auto"/>
            <w:noWrap/>
            <w:vAlign w:val="center"/>
            <w:hideMark/>
          </w:tcPr>
          <w:p w14:paraId="1631860D" w14:textId="77777777" w:rsidR="00315691" w:rsidRPr="00315691" w:rsidRDefault="00315691" w:rsidP="00315691">
            <w:pPr>
              <w:spacing w:after="0" w:line="240" w:lineRule="auto"/>
              <w:jc w:val="right"/>
              <w:rPr>
                <w:rFonts w:cs="Arial"/>
                <w:sz w:val="16"/>
                <w:szCs w:val="16"/>
              </w:rPr>
            </w:pPr>
            <w:r w:rsidRPr="00315691">
              <w:rPr>
                <w:rFonts w:cs="Arial"/>
                <w:sz w:val="16"/>
                <w:szCs w:val="16"/>
              </w:rPr>
              <w:t>4 072,5</w:t>
            </w:r>
          </w:p>
        </w:tc>
        <w:tc>
          <w:tcPr>
            <w:tcW w:w="980" w:type="dxa"/>
            <w:tcBorders>
              <w:top w:val="nil"/>
              <w:left w:val="nil"/>
              <w:bottom w:val="nil"/>
              <w:right w:val="nil"/>
            </w:tcBorders>
            <w:shd w:val="clear" w:color="auto" w:fill="auto"/>
            <w:vAlign w:val="center"/>
            <w:hideMark/>
          </w:tcPr>
          <w:p w14:paraId="04F05D92" w14:textId="77777777" w:rsidR="00315691" w:rsidRPr="00315691" w:rsidRDefault="00315691" w:rsidP="00315691">
            <w:pPr>
              <w:spacing w:after="0" w:line="240" w:lineRule="auto"/>
              <w:jc w:val="right"/>
              <w:rPr>
                <w:rFonts w:cs="Arial"/>
                <w:sz w:val="16"/>
                <w:szCs w:val="16"/>
              </w:rPr>
            </w:pPr>
            <w:r w:rsidRPr="00315691">
              <w:rPr>
                <w:rFonts w:cs="Arial"/>
                <w:sz w:val="16"/>
                <w:szCs w:val="16"/>
              </w:rPr>
              <w:t>2 088,1</w:t>
            </w:r>
          </w:p>
        </w:tc>
        <w:tc>
          <w:tcPr>
            <w:tcW w:w="980" w:type="dxa"/>
            <w:tcBorders>
              <w:top w:val="nil"/>
              <w:left w:val="nil"/>
              <w:bottom w:val="nil"/>
              <w:right w:val="single" w:sz="4" w:space="0" w:color="auto"/>
            </w:tcBorders>
            <w:shd w:val="clear" w:color="auto" w:fill="auto"/>
            <w:vAlign w:val="center"/>
            <w:hideMark/>
          </w:tcPr>
          <w:p w14:paraId="14424A09" w14:textId="77777777" w:rsidR="00315691" w:rsidRPr="00315691" w:rsidRDefault="00315691" w:rsidP="00315691">
            <w:pPr>
              <w:spacing w:after="0" w:line="240" w:lineRule="auto"/>
              <w:jc w:val="right"/>
              <w:rPr>
                <w:rFonts w:cs="Arial"/>
                <w:sz w:val="16"/>
                <w:szCs w:val="16"/>
              </w:rPr>
            </w:pPr>
            <w:r w:rsidRPr="00315691">
              <w:rPr>
                <w:rFonts w:cs="Arial"/>
                <w:sz w:val="16"/>
                <w:szCs w:val="16"/>
              </w:rPr>
              <w:t>1 984,3</w:t>
            </w:r>
          </w:p>
        </w:tc>
        <w:tc>
          <w:tcPr>
            <w:tcW w:w="980" w:type="dxa"/>
            <w:tcBorders>
              <w:top w:val="nil"/>
              <w:left w:val="nil"/>
              <w:bottom w:val="nil"/>
              <w:right w:val="nil"/>
            </w:tcBorders>
            <w:shd w:val="clear" w:color="auto" w:fill="auto"/>
            <w:vAlign w:val="center"/>
            <w:hideMark/>
          </w:tcPr>
          <w:p w14:paraId="4E1F0440" w14:textId="77777777" w:rsidR="00315691" w:rsidRPr="00315691" w:rsidRDefault="00315691" w:rsidP="00315691">
            <w:pPr>
              <w:spacing w:after="0" w:line="240" w:lineRule="auto"/>
              <w:jc w:val="right"/>
              <w:rPr>
                <w:rFonts w:cs="Arial"/>
                <w:sz w:val="16"/>
                <w:szCs w:val="16"/>
              </w:rPr>
            </w:pPr>
            <w:r w:rsidRPr="00315691">
              <w:rPr>
                <w:rFonts w:cs="Arial"/>
                <w:sz w:val="16"/>
                <w:szCs w:val="16"/>
              </w:rPr>
              <w:t>161,2</w:t>
            </w:r>
          </w:p>
        </w:tc>
        <w:tc>
          <w:tcPr>
            <w:tcW w:w="980" w:type="dxa"/>
            <w:tcBorders>
              <w:top w:val="nil"/>
              <w:left w:val="nil"/>
              <w:bottom w:val="nil"/>
              <w:right w:val="nil"/>
            </w:tcBorders>
            <w:shd w:val="clear" w:color="auto" w:fill="auto"/>
            <w:vAlign w:val="center"/>
            <w:hideMark/>
          </w:tcPr>
          <w:p w14:paraId="16F2E1F2" w14:textId="77777777" w:rsidR="00315691" w:rsidRPr="00315691" w:rsidRDefault="00315691" w:rsidP="00315691">
            <w:pPr>
              <w:spacing w:after="0" w:line="240" w:lineRule="auto"/>
              <w:jc w:val="right"/>
              <w:rPr>
                <w:rFonts w:cs="Arial"/>
                <w:sz w:val="16"/>
                <w:szCs w:val="16"/>
              </w:rPr>
            </w:pPr>
            <w:r w:rsidRPr="00315691">
              <w:rPr>
                <w:rFonts w:cs="Arial"/>
                <w:sz w:val="16"/>
                <w:szCs w:val="16"/>
              </w:rPr>
              <w:t>102,9</w:t>
            </w:r>
          </w:p>
        </w:tc>
        <w:tc>
          <w:tcPr>
            <w:tcW w:w="980" w:type="dxa"/>
            <w:tcBorders>
              <w:top w:val="nil"/>
              <w:left w:val="nil"/>
              <w:bottom w:val="nil"/>
              <w:right w:val="nil"/>
            </w:tcBorders>
            <w:shd w:val="clear" w:color="auto" w:fill="auto"/>
            <w:vAlign w:val="center"/>
            <w:hideMark/>
          </w:tcPr>
          <w:p w14:paraId="7ED2BA75" w14:textId="77777777" w:rsidR="00315691" w:rsidRPr="00315691" w:rsidRDefault="00315691" w:rsidP="00315691">
            <w:pPr>
              <w:spacing w:after="0" w:line="240" w:lineRule="auto"/>
              <w:jc w:val="right"/>
              <w:rPr>
                <w:rFonts w:cs="Arial"/>
                <w:sz w:val="16"/>
                <w:szCs w:val="16"/>
              </w:rPr>
            </w:pPr>
            <w:r w:rsidRPr="00315691">
              <w:rPr>
                <w:rFonts w:cs="Arial"/>
                <w:sz w:val="16"/>
                <w:szCs w:val="16"/>
              </w:rPr>
              <w:t>58,3</w:t>
            </w:r>
          </w:p>
        </w:tc>
      </w:tr>
      <w:tr w:rsidR="00315691" w:rsidRPr="00315691" w14:paraId="688EA2C5" w14:textId="77777777" w:rsidTr="00315691">
        <w:trPr>
          <w:trHeight w:val="300"/>
        </w:trPr>
        <w:tc>
          <w:tcPr>
            <w:tcW w:w="980" w:type="dxa"/>
            <w:tcBorders>
              <w:top w:val="nil"/>
              <w:left w:val="nil"/>
              <w:bottom w:val="nil"/>
              <w:right w:val="single" w:sz="4" w:space="0" w:color="auto"/>
            </w:tcBorders>
            <w:shd w:val="clear" w:color="auto" w:fill="auto"/>
            <w:vAlign w:val="center"/>
            <w:hideMark/>
          </w:tcPr>
          <w:p w14:paraId="6755849B" w14:textId="77777777" w:rsidR="00315691" w:rsidRPr="00315691" w:rsidRDefault="00315691" w:rsidP="00315691">
            <w:pPr>
              <w:spacing w:after="0" w:line="240" w:lineRule="auto"/>
              <w:jc w:val="center"/>
              <w:rPr>
                <w:rFonts w:cs="Arial"/>
                <w:sz w:val="16"/>
                <w:szCs w:val="16"/>
              </w:rPr>
            </w:pPr>
            <w:r w:rsidRPr="00315691">
              <w:rPr>
                <w:rFonts w:cs="Arial"/>
                <w:sz w:val="16"/>
                <w:szCs w:val="16"/>
              </w:rPr>
              <w:t>1. pol. 2011</w:t>
            </w:r>
          </w:p>
        </w:tc>
        <w:tc>
          <w:tcPr>
            <w:tcW w:w="980" w:type="dxa"/>
            <w:tcBorders>
              <w:top w:val="nil"/>
              <w:left w:val="single" w:sz="4" w:space="0" w:color="auto"/>
              <w:bottom w:val="nil"/>
              <w:right w:val="nil"/>
            </w:tcBorders>
            <w:shd w:val="clear" w:color="auto" w:fill="auto"/>
            <w:vAlign w:val="center"/>
            <w:hideMark/>
          </w:tcPr>
          <w:p w14:paraId="56CD21EC" w14:textId="77777777" w:rsidR="00315691" w:rsidRPr="00315691" w:rsidRDefault="00315691" w:rsidP="00315691">
            <w:pPr>
              <w:spacing w:after="0" w:line="240" w:lineRule="auto"/>
              <w:jc w:val="right"/>
              <w:rPr>
                <w:rFonts w:cs="Arial"/>
                <w:sz w:val="16"/>
                <w:szCs w:val="16"/>
              </w:rPr>
            </w:pPr>
            <w:r w:rsidRPr="00315691">
              <w:rPr>
                <w:rFonts w:cs="Arial"/>
                <w:sz w:val="16"/>
                <w:szCs w:val="16"/>
              </w:rPr>
              <w:t>4 181,1</w:t>
            </w:r>
          </w:p>
        </w:tc>
        <w:tc>
          <w:tcPr>
            <w:tcW w:w="980" w:type="dxa"/>
            <w:tcBorders>
              <w:top w:val="nil"/>
              <w:left w:val="nil"/>
              <w:bottom w:val="nil"/>
              <w:right w:val="nil"/>
            </w:tcBorders>
            <w:shd w:val="clear" w:color="auto" w:fill="auto"/>
            <w:vAlign w:val="center"/>
            <w:hideMark/>
          </w:tcPr>
          <w:p w14:paraId="169B3EFE" w14:textId="77777777" w:rsidR="00315691" w:rsidRPr="00315691" w:rsidRDefault="00315691" w:rsidP="00315691">
            <w:pPr>
              <w:spacing w:after="0" w:line="240" w:lineRule="auto"/>
              <w:jc w:val="right"/>
              <w:rPr>
                <w:rFonts w:cs="Arial"/>
                <w:sz w:val="16"/>
                <w:szCs w:val="16"/>
              </w:rPr>
            </w:pPr>
            <w:r w:rsidRPr="00315691">
              <w:rPr>
                <w:rFonts w:cs="Arial"/>
                <w:sz w:val="16"/>
                <w:szCs w:val="16"/>
              </w:rPr>
              <w:t>2 143,5</w:t>
            </w:r>
          </w:p>
        </w:tc>
        <w:tc>
          <w:tcPr>
            <w:tcW w:w="980" w:type="dxa"/>
            <w:tcBorders>
              <w:top w:val="nil"/>
              <w:left w:val="nil"/>
              <w:bottom w:val="nil"/>
              <w:right w:val="single" w:sz="4" w:space="0" w:color="auto"/>
            </w:tcBorders>
            <w:shd w:val="clear" w:color="auto" w:fill="auto"/>
            <w:vAlign w:val="center"/>
            <w:hideMark/>
          </w:tcPr>
          <w:p w14:paraId="5CCC4B19" w14:textId="77777777" w:rsidR="00315691" w:rsidRPr="00315691" w:rsidRDefault="00315691" w:rsidP="00315691">
            <w:pPr>
              <w:spacing w:after="0" w:line="240" w:lineRule="auto"/>
              <w:jc w:val="right"/>
              <w:rPr>
                <w:rFonts w:cs="Arial"/>
                <w:sz w:val="16"/>
                <w:szCs w:val="16"/>
              </w:rPr>
            </w:pPr>
            <w:r w:rsidRPr="00315691">
              <w:rPr>
                <w:rFonts w:cs="Arial"/>
                <w:sz w:val="16"/>
                <w:szCs w:val="16"/>
              </w:rPr>
              <w:t>2 037,6</w:t>
            </w:r>
          </w:p>
        </w:tc>
        <w:tc>
          <w:tcPr>
            <w:tcW w:w="1039" w:type="dxa"/>
            <w:tcBorders>
              <w:top w:val="nil"/>
              <w:left w:val="nil"/>
              <w:bottom w:val="nil"/>
              <w:right w:val="nil"/>
            </w:tcBorders>
            <w:shd w:val="clear" w:color="auto" w:fill="auto"/>
            <w:noWrap/>
            <w:vAlign w:val="center"/>
            <w:hideMark/>
          </w:tcPr>
          <w:p w14:paraId="2469DA19" w14:textId="77777777" w:rsidR="00315691" w:rsidRPr="00315691" w:rsidRDefault="00315691" w:rsidP="00315691">
            <w:pPr>
              <w:spacing w:after="0" w:line="240" w:lineRule="auto"/>
              <w:jc w:val="right"/>
              <w:rPr>
                <w:rFonts w:cs="Arial"/>
                <w:sz w:val="16"/>
                <w:szCs w:val="16"/>
              </w:rPr>
            </w:pPr>
            <w:r w:rsidRPr="00315691">
              <w:rPr>
                <w:rFonts w:cs="Arial"/>
                <w:sz w:val="16"/>
                <w:szCs w:val="16"/>
              </w:rPr>
              <w:t>4 038,0</w:t>
            </w:r>
          </w:p>
        </w:tc>
        <w:tc>
          <w:tcPr>
            <w:tcW w:w="980" w:type="dxa"/>
            <w:tcBorders>
              <w:top w:val="nil"/>
              <w:left w:val="nil"/>
              <w:bottom w:val="nil"/>
              <w:right w:val="nil"/>
            </w:tcBorders>
            <w:shd w:val="clear" w:color="auto" w:fill="auto"/>
            <w:vAlign w:val="center"/>
            <w:hideMark/>
          </w:tcPr>
          <w:p w14:paraId="0BE0A6A9" w14:textId="77777777" w:rsidR="00315691" w:rsidRPr="00315691" w:rsidRDefault="00315691" w:rsidP="00315691">
            <w:pPr>
              <w:spacing w:after="0" w:line="240" w:lineRule="auto"/>
              <w:jc w:val="right"/>
              <w:rPr>
                <w:rFonts w:cs="Arial"/>
                <w:sz w:val="16"/>
                <w:szCs w:val="16"/>
              </w:rPr>
            </w:pPr>
            <w:r w:rsidRPr="00315691">
              <w:rPr>
                <w:rFonts w:cs="Arial"/>
                <w:sz w:val="16"/>
                <w:szCs w:val="16"/>
              </w:rPr>
              <w:t>2 052,3</w:t>
            </w:r>
          </w:p>
        </w:tc>
        <w:tc>
          <w:tcPr>
            <w:tcW w:w="980" w:type="dxa"/>
            <w:tcBorders>
              <w:top w:val="nil"/>
              <w:left w:val="nil"/>
              <w:bottom w:val="nil"/>
              <w:right w:val="single" w:sz="4" w:space="0" w:color="auto"/>
            </w:tcBorders>
            <w:shd w:val="clear" w:color="auto" w:fill="auto"/>
            <w:vAlign w:val="center"/>
            <w:hideMark/>
          </w:tcPr>
          <w:p w14:paraId="44665000" w14:textId="77777777" w:rsidR="00315691" w:rsidRPr="00315691" w:rsidRDefault="00315691" w:rsidP="00315691">
            <w:pPr>
              <w:spacing w:after="0" w:line="240" w:lineRule="auto"/>
              <w:jc w:val="right"/>
              <w:rPr>
                <w:rFonts w:cs="Arial"/>
                <w:sz w:val="16"/>
                <w:szCs w:val="16"/>
              </w:rPr>
            </w:pPr>
            <w:r w:rsidRPr="00315691">
              <w:rPr>
                <w:rFonts w:cs="Arial"/>
                <w:sz w:val="16"/>
                <w:szCs w:val="16"/>
              </w:rPr>
              <w:t>1 985,8</w:t>
            </w:r>
          </w:p>
        </w:tc>
        <w:tc>
          <w:tcPr>
            <w:tcW w:w="980" w:type="dxa"/>
            <w:tcBorders>
              <w:top w:val="nil"/>
              <w:left w:val="nil"/>
              <w:bottom w:val="nil"/>
              <w:right w:val="nil"/>
            </w:tcBorders>
            <w:shd w:val="clear" w:color="auto" w:fill="auto"/>
            <w:vAlign w:val="center"/>
            <w:hideMark/>
          </w:tcPr>
          <w:p w14:paraId="2417E917" w14:textId="77777777" w:rsidR="00315691" w:rsidRPr="00315691" w:rsidRDefault="00315691" w:rsidP="00315691">
            <w:pPr>
              <w:spacing w:after="0" w:line="240" w:lineRule="auto"/>
              <w:jc w:val="right"/>
              <w:rPr>
                <w:rFonts w:cs="Arial"/>
                <w:sz w:val="16"/>
                <w:szCs w:val="16"/>
              </w:rPr>
            </w:pPr>
            <w:r w:rsidRPr="00315691">
              <w:rPr>
                <w:rFonts w:cs="Arial"/>
                <w:sz w:val="16"/>
                <w:szCs w:val="16"/>
              </w:rPr>
              <w:t>143,1</w:t>
            </w:r>
          </w:p>
        </w:tc>
        <w:tc>
          <w:tcPr>
            <w:tcW w:w="980" w:type="dxa"/>
            <w:tcBorders>
              <w:top w:val="nil"/>
              <w:left w:val="nil"/>
              <w:bottom w:val="nil"/>
              <w:right w:val="nil"/>
            </w:tcBorders>
            <w:shd w:val="clear" w:color="auto" w:fill="auto"/>
            <w:vAlign w:val="center"/>
            <w:hideMark/>
          </w:tcPr>
          <w:p w14:paraId="4455F012" w14:textId="77777777" w:rsidR="00315691" w:rsidRPr="00315691" w:rsidRDefault="00315691" w:rsidP="00315691">
            <w:pPr>
              <w:spacing w:after="0" w:line="240" w:lineRule="auto"/>
              <w:jc w:val="right"/>
              <w:rPr>
                <w:rFonts w:cs="Arial"/>
                <w:sz w:val="16"/>
                <w:szCs w:val="16"/>
              </w:rPr>
            </w:pPr>
            <w:r w:rsidRPr="00315691">
              <w:rPr>
                <w:rFonts w:cs="Arial"/>
                <w:sz w:val="16"/>
                <w:szCs w:val="16"/>
              </w:rPr>
              <w:t>91,3</w:t>
            </w:r>
          </w:p>
        </w:tc>
        <w:tc>
          <w:tcPr>
            <w:tcW w:w="980" w:type="dxa"/>
            <w:tcBorders>
              <w:top w:val="nil"/>
              <w:left w:val="nil"/>
              <w:bottom w:val="nil"/>
              <w:right w:val="nil"/>
            </w:tcBorders>
            <w:shd w:val="clear" w:color="auto" w:fill="auto"/>
            <w:vAlign w:val="center"/>
            <w:hideMark/>
          </w:tcPr>
          <w:p w14:paraId="2FE7BEC7" w14:textId="77777777" w:rsidR="00315691" w:rsidRPr="00315691" w:rsidRDefault="00315691" w:rsidP="00315691">
            <w:pPr>
              <w:spacing w:after="0" w:line="240" w:lineRule="auto"/>
              <w:jc w:val="right"/>
              <w:rPr>
                <w:rFonts w:cs="Arial"/>
                <w:sz w:val="16"/>
                <w:szCs w:val="16"/>
              </w:rPr>
            </w:pPr>
            <w:r w:rsidRPr="00315691">
              <w:rPr>
                <w:rFonts w:cs="Arial"/>
                <w:sz w:val="16"/>
                <w:szCs w:val="16"/>
              </w:rPr>
              <w:t>51,8</w:t>
            </w:r>
          </w:p>
        </w:tc>
      </w:tr>
      <w:tr w:rsidR="00315691" w:rsidRPr="00315691" w14:paraId="52679A39" w14:textId="77777777" w:rsidTr="00315691">
        <w:trPr>
          <w:trHeight w:val="300"/>
        </w:trPr>
        <w:tc>
          <w:tcPr>
            <w:tcW w:w="980" w:type="dxa"/>
            <w:tcBorders>
              <w:top w:val="nil"/>
              <w:left w:val="nil"/>
              <w:bottom w:val="nil"/>
              <w:right w:val="single" w:sz="4" w:space="0" w:color="auto"/>
            </w:tcBorders>
            <w:shd w:val="clear" w:color="auto" w:fill="auto"/>
            <w:vAlign w:val="center"/>
            <w:hideMark/>
          </w:tcPr>
          <w:p w14:paraId="43074E89" w14:textId="77777777" w:rsidR="00315691" w:rsidRPr="00315691" w:rsidRDefault="00315691" w:rsidP="00315691">
            <w:pPr>
              <w:spacing w:after="0" w:line="240" w:lineRule="auto"/>
              <w:jc w:val="center"/>
              <w:rPr>
                <w:rFonts w:cs="Arial"/>
                <w:sz w:val="16"/>
                <w:szCs w:val="16"/>
              </w:rPr>
            </w:pPr>
            <w:r w:rsidRPr="00315691">
              <w:rPr>
                <w:rFonts w:cs="Arial"/>
                <w:sz w:val="16"/>
                <w:szCs w:val="16"/>
              </w:rPr>
              <w:t>1. pol. 2012</w:t>
            </w:r>
          </w:p>
        </w:tc>
        <w:tc>
          <w:tcPr>
            <w:tcW w:w="980" w:type="dxa"/>
            <w:tcBorders>
              <w:top w:val="nil"/>
              <w:left w:val="single" w:sz="4" w:space="0" w:color="auto"/>
              <w:bottom w:val="nil"/>
              <w:right w:val="nil"/>
            </w:tcBorders>
            <w:shd w:val="clear" w:color="auto" w:fill="auto"/>
            <w:noWrap/>
            <w:vAlign w:val="center"/>
            <w:hideMark/>
          </w:tcPr>
          <w:p w14:paraId="0A5CB7FD" w14:textId="77777777" w:rsidR="00315691" w:rsidRPr="00315691" w:rsidRDefault="00315691" w:rsidP="00315691">
            <w:pPr>
              <w:spacing w:after="0" w:line="240" w:lineRule="auto"/>
              <w:jc w:val="right"/>
              <w:rPr>
                <w:rFonts w:cs="Arial"/>
                <w:sz w:val="16"/>
                <w:szCs w:val="16"/>
              </w:rPr>
            </w:pPr>
            <w:r w:rsidRPr="00315691">
              <w:rPr>
                <w:rFonts w:cs="Arial"/>
                <w:sz w:val="16"/>
                <w:szCs w:val="16"/>
              </w:rPr>
              <w:t>4 459,0</w:t>
            </w:r>
          </w:p>
        </w:tc>
        <w:tc>
          <w:tcPr>
            <w:tcW w:w="980" w:type="dxa"/>
            <w:tcBorders>
              <w:top w:val="nil"/>
              <w:left w:val="nil"/>
              <w:bottom w:val="nil"/>
              <w:right w:val="nil"/>
            </w:tcBorders>
            <w:shd w:val="clear" w:color="auto" w:fill="auto"/>
            <w:vAlign w:val="center"/>
            <w:hideMark/>
          </w:tcPr>
          <w:p w14:paraId="220B0CB3" w14:textId="77777777" w:rsidR="00315691" w:rsidRPr="00315691" w:rsidRDefault="00315691" w:rsidP="00315691">
            <w:pPr>
              <w:spacing w:after="0" w:line="240" w:lineRule="auto"/>
              <w:jc w:val="right"/>
              <w:rPr>
                <w:rFonts w:cs="Arial"/>
                <w:sz w:val="16"/>
                <w:szCs w:val="16"/>
              </w:rPr>
            </w:pPr>
            <w:r w:rsidRPr="00315691">
              <w:rPr>
                <w:rFonts w:cs="Arial"/>
                <w:sz w:val="16"/>
                <w:szCs w:val="16"/>
              </w:rPr>
              <w:t>2 269,1</w:t>
            </w:r>
          </w:p>
        </w:tc>
        <w:tc>
          <w:tcPr>
            <w:tcW w:w="980" w:type="dxa"/>
            <w:tcBorders>
              <w:top w:val="nil"/>
              <w:left w:val="nil"/>
              <w:bottom w:val="nil"/>
              <w:right w:val="single" w:sz="4" w:space="0" w:color="auto"/>
            </w:tcBorders>
            <w:shd w:val="clear" w:color="auto" w:fill="auto"/>
            <w:noWrap/>
            <w:vAlign w:val="center"/>
            <w:hideMark/>
          </w:tcPr>
          <w:p w14:paraId="1CF2F3D0" w14:textId="77777777" w:rsidR="00315691" w:rsidRPr="00315691" w:rsidRDefault="00315691" w:rsidP="00315691">
            <w:pPr>
              <w:spacing w:after="0" w:line="240" w:lineRule="auto"/>
              <w:jc w:val="right"/>
              <w:rPr>
                <w:rFonts w:cs="Arial"/>
                <w:sz w:val="16"/>
                <w:szCs w:val="16"/>
              </w:rPr>
            </w:pPr>
            <w:r w:rsidRPr="00315691">
              <w:rPr>
                <w:rFonts w:cs="Arial"/>
                <w:sz w:val="16"/>
                <w:szCs w:val="16"/>
              </w:rPr>
              <w:t>2 189,9</w:t>
            </w:r>
          </w:p>
        </w:tc>
        <w:tc>
          <w:tcPr>
            <w:tcW w:w="1039" w:type="dxa"/>
            <w:tcBorders>
              <w:top w:val="nil"/>
              <w:left w:val="nil"/>
              <w:bottom w:val="nil"/>
              <w:right w:val="nil"/>
            </w:tcBorders>
            <w:shd w:val="clear" w:color="auto" w:fill="auto"/>
            <w:noWrap/>
            <w:vAlign w:val="center"/>
            <w:hideMark/>
          </w:tcPr>
          <w:p w14:paraId="2F8042AA" w14:textId="77777777" w:rsidR="00315691" w:rsidRPr="00315691" w:rsidRDefault="00315691" w:rsidP="00315691">
            <w:pPr>
              <w:spacing w:after="0" w:line="240" w:lineRule="auto"/>
              <w:jc w:val="right"/>
              <w:rPr>
                <w:rFonts w:cs="Arial"/>
                <w:sz w:val="16"/>
                <w:szCs w:val="16"/>
              </w:rPr>
            </w:pPr>
            <w:r w:rsidRPr="00315691">
              <w:rPr>
                <w:rFonts w:cs="Arial"/>
                <w:sz w:val="16"/>
                <w:szCs w:val="16"/>
              </w:rPr>
              <w:t>4 344,5</w:t>
            </w:r>
          </w:p>
        </w:tc>
        <w:tc>
          <w:tcPr>
            <w:tcW w:w="980" w:type="dxa"/>
            <w:tcBorders>
              <w:top w:val="nil"/>
              <w:left w:val="nil"/>
              <w:bottom w:val="nil"/>
              <w:right w:val="nil"/>
            </w:tcBorders>
            <w:shd w:val="clear" w:color="auto" w:fill="auto"/>
            <w:vAlign w:val="center"/>
            <w:hideMark/>
          </w:tcPr>
          <w:p w14:paraId="668A2DE6" w14:textId="77777777" w:rsidR="00315691" w:rsidRPr="00315691" w:rsidRDefault="00315691" w:rsidP="00315691">
            <w:pPr>
              <w:spacing w:after="0" w:line="240" w:lineRule="auto"/>
              <w:jc w:val="right"/>
              <w:rPr>
                <w:rFonts w:cs="Arial"/>
                <w:sz w:val="16"/>
                <w:szCs w:val="16"/>
              </w:rPr>
            </w:pPr>
            <w:r w:rsidRPr="00315691">
              <w:rPr>
                <w:rFonts w:cs="Arial"/>
                <w:sz w:val="16"/>
                <w:szCs w:val="16"/>
              </w:rPr>
              <w:t>2 196,1</w:t>
            </w:r>
          </w:p>
        </w:tc>
        <w:tc>
          <w:tcPr>
            <w:tcW w:w="980" w:type="dxa"/>
            <w:tcBorders>
              <w:top w:val="nil"/>
              <w:left w:val="nil"/>
              <w:bottom w:val="nil"/>
              <w:right w:val="single" w:sz="4" w:space="0" w:color="auto"/>
            </w:tcBorders>
            <w:shd w:val="clear" w:color="auto" w:fill="auto"/>
            <w:vAlign w:val="center"/>
            <w:hideMark/>
          </w:tcPr>
          <w:p w14:paraId="5E0FCEF5" w14:textId="77777777" w:rsidR="00315691" w:rsidRPr="00315691" w:rsidRDefault="00315691" w:rsidP="00315691">
            <w:pPr>
              <w:spacing w:after="0" w:line="240" w:lineRule="auto"/>
              <w:jc w:val="right"/>
              <w:rPr>
                <w:rFonts w:cs="Arial"/>
                <w:sz w:val="16"/>
                <w:szCs w:val="16"/>
              </w:rPr>
            </w:pPr>
            <w:r w:rsidRPr="00315691">
              <w:rPr>
                <w:rFonts w:cs="Arial"/>
                <w:sz w:val="16"/>
                <w:szCs w:val="16"/>
              </w:rPr>
              <w:t>2 148,4</w:t>
            </w:r>
          </w:p>
        </w:tc>
        <w:tc>
          <w:tcPr>
            <w:tcW w:w="980" w:type="dxa"/>
            <w:tcBorders>
              <w:top w:val="nil"/>
              <w:left w:val="nil"/>
              <w:bottom w:val="nil"/>
              <w:right w:val="nil"/>
            </w:tcBorders>
            <w:shd w:val="clear" w:color="auto" w:fill="auto"/>
            <w:noWrap/>
            <w:vAlign w:val="center"/>
            <w:hideMark/>
          </w:tcPr>
          <w:p w14:paraId="1F837741" w14:textId="77777777" w:rsidR="00315691" w:rsidRPr="00315691" w:rsidRDefault="00315691" w:rsidP="00315691">
            <w:pPr>
              <w:spacing w:after="0" w:line="240" w:lineRule="auto"/>
              <w:jc w:val="right"/>
              <w:rPr>
                <w:rFonts w:cs="Arial"/>
                <w:sz w:val="16"/>
                <w:szCs w:val="16"/>
              </w:rPr>
            </w:pPr>
            <w:r w:rsidRPr="00315691">
              <w:rPr>
                <w:rFonts w:cs="Arial"/>
                <w:sz w:val="16"/>
                <w:szCs w:val="16"/>
              </w:rPr>
              <w:t>114,5</w:t>
            </w:r>
          </w:p>
        </w:tc>
        <w:tc>
          <w:tcPr>
            <w:tcW w:w="980" w:type="dxa"/>
            <w:tcBorders>
              <w:top w:val="nil"/>
              <w:left w:val="nil"/>
              <w:bottom w:val="nil"/>
              <w:right w:val="nil"/>
            </w:tcBorders>
            <w:shd w:val="clear" w:color="auto" w:fill="auto"/>
            <w:vAlign w:val="center"/>
            <w:hideMark/>
          </w:tcPr>
          <w:p w14:paraId="1182C1D2" w14:textId="77777777" w:rsidR="00315691" w:rsidRPr="00315691" w:rsidRDefault="00315691" w:rsidP="00315691">
            <w:pPr>
              <w:spacing w:after="0" w:line="240" w:lineRule="auto"/>
              <w:jc w:val="right"/>
              <w:rPr>
                <w:rFonts w:cs="Arial"/>
                <w:sz w:val="16"/>
                <w:szCs w:val="16"/>
              </w:rPr>
            </w:pPr>
            <w:r w:rsidRPr="00315691">
              <w:rPr>
                <w:rFonts w:cs="Arial"/>
                <w:sz w:val="16"/>
                <w:szCs w:val="16"/>
              </w:rPr>
              <w:t>73,1</w:t>
            </w:r>
          </w:p>
        </w:tc>
        <w:tc>
          <w:tcPr>
            <w:tcW w:w="980" w:type="dxa"/>
            <w:tcBorders>
              <w:top w:val="nil"/>
              <w:left w:val="nil"/>
              <w:bottom w:val="nil"/>
              <w:right w:val="nil"/>
            </w:tcBorders>
            <w:shd w:val="clear" w:color="auto" w:fill="auto"/>
            <w:noWrap/>
            <w:vAlign w:val="center"/>
            <w:hideMark/>
          </w:tcPr>
          <w:p w14:paraId="60525A85" w14:textId="77777777" w:rsidR="00315691" w:rsidRPr="00315691" w:rsidRDefault="00315691" w:rsidP="00315691">
            <w:pPr>
              <w:spacing w:after="0" w:line="240" w:lineRule="auto"/>
              <w:jc w:val="right"/>
              <w:rPr>
                <w:rFonts w:cs="Arial"/>
                <w:sz w:val="16"/>
                <w:szCs w:val="16"/>
              </w:rPr>
            </w:pPr>
            <w:r w:rsidRPr="00315691">
              <w:rPr>
                <w:rFonts w:cs="Arial"/>
                <w:sz w:val="16"/>
                <w:szCs w:val="16"/>
              </w:rPr>
              <w:t>41,5</w:t>
            </w:r>
          </w:p>
        </w:tc>
      </w:tr>
      <w:tr w:rsidR="00315691" w:rsidRPr="00315691" w14:paraId="5CC61CEC" w14:textId="77777777" w:rsidTr="00315691">
        <w:trPr>
          <w:trHeight w:val="300"/>
        </w:trPr>
        <w:tc>
          <w:tcPr>
            <w:tcW w:w="980" w:type="dxa"/>
            <w:tcBorders>
              <w:top w:val="nil"/>
              <w:left w:val="nil"/>
              <w:bottom w:val="nil"/>
              <w:right w:val="single" w:sz="4" w:space="0" w:color="auto"/>
            </w:tcBorders>
            <w:shd w:val="clear" w:color="auto" w:fill="auto"/>
            <w:vAlign w:val="center"/>
            <w:hideMark/>
          </w:tcPr>
          <w:p w14:paraId="6B946AD9" w14:textId="77777777" w:rsidR="00315691" w:rsidRPr="00315691" w:rsidRDefault="00315691" w:rsidP="00315691">
            <w:pPr>
              <w:spacing w:after="0" w:line="240" w:lineRule="auto"/>
              <w:jc w:val="center"/>
              <w:rPr>
                <w:rFonts w:cs="Arial"/>
                <w:sz w:val="16"/>
                <w:szCs w:val="16"/>
              </w:rPr>
            </w:pPr>
            <w:r w:rsidRPr="00315691">
              <w:rPr>
                <w:rFonts w:cs="Arial"/>
                <w:sz w:val="16"/>
                <w:szCs w:val="16"/>
              </w:rPr>
              <w:t>1. pol. 2013</w:t>
            </w:r>
          </w:p>
        </w:tc>
        <w:tc>
          <w:tcPr>
            <w:tcW w:w="980" w:type="dxa"/>
            <w:tcBorders>
              <w:top w:val="nil"/>
              <w:left w:val="single" w:sz="4" w:space="0" w:color="auto"/>
              <w:bottom w:val="nil"/>
              <w:right w:val="nil"/>
            </w:tcBorders>
            <w:shd w:val="clear" w:color="auto" w:fill="auto"/>
            <w:noWrap/>
            <w:vAlign w:val="center"/>
            <w:hideMark/>
          </w:tcPr>
          <w:p w14:paraId="37D4077C" w14:textId="77777777" w:rsidR="00315691" w:rsidRPr="00315691" w:rsidRDefault="00315691" w:rsidP="00315691">
            <w:pPr>
              <w:spacing w:after="0" w:line="240" w:lineRule="auto"/>
              <w:jc w:val="right"/>
              <w:rPr>
                <w:rFonts w:cs="Arial"/>
                <w:sz w:val="16"/>
                <w:szCs w:val="16"/>
              </w:rPr>
            </w:pPr>
            <w:r w:rsidRPr="00315691">
              <w:rPr>
                <w:rFonts w:cs="Arial"/>
                <w:sz w:val="16"/>
                <w:szCs w:val="16"/>
              </w:rPr>
              <w:t>4 415,4</w:t>
            </w:r>
          </w:p>
        </w:tc>
        <w:tc>
          <w:tcPr>
            <w:tcW w:w="980" w:type="dxa"/>
            <w:tcBorders>
              <w:top w:val="nil"/>
              <w:left w:val="nil"/>
              <w:bottom w:val="nil"/>
              <w:right w:val="nil"/>
            </w:tcBorders>
            <w:shd w:val="clear" w:color="auto" w:fill="auto"/>
            <w:vAlign w:val="center"/>
            <w:hideMark/>
          </w:tcPr>
          <w:p w14:paraId="5C2FF53D" w14:textId="77777777" w:rsidR="00315691" w:rsidRPr="00315691" w:rsidRDefault="00315691" w:rsidP="00315691">
            <w:pPr>
              <w:spacing w:after="0" w:line="240" w:lineRule="auto"/>
              <w:jc w:val="right"/>
              <w:rPr>
                <w:rFonts w:cs="Arial"/>
                <w:sz w:val="16"/>
                <w:szCs w:val="16"/>
              </w:rPr>
            </w:pPr>
            <w:r w:rsidRPr="00315691">
              <w:rPr>
                <w:rFonts w:cs="Arial"/>
                <w:sz w:val="16"/>
                <w:szCs w:val="16"/>
              </w:rPr>
              <w:t>2 248,2</w:t>
            </w:r>
          </w:p>
        </w:tc>
        <w:tc>
          <w:tcPr>
            <w:tcW w:w="980" w:type="dxa"/>
            <w:tcBorders>
              <w:top w:val="nil"/>
              <w:left w:val="nil"/>
              <w:bottom w:val="nil"/>
              <w:right w:val="single" w:sz="4" w:space="0" w:color="auto"/>
            </w:tcBorders>
            <w:shd w:val="clear" w:color="auto" w:fill="auto"/>
            <w:noWrap/>
            <w:vAlign w:val="center"/>
            <w:hideMark/>
          </w:tcPr>
          <w:p w14:paraId="36E01328" w14:textId="77777777" w:rsidR="00315691" w:rsidRPr="00315691" w:rsidRDefault="00315691" w:rsidP="00315691">
            <w:pPr>
              <w:spacing w:after="0" w:line="240" w:lineRule="auto"/>
              <w:jc w:val="right"/>
              <w:rPr>
                <w:rFonts w:cs="Arial"/>
                <w:sz w:val="16"/>
                <w:szCs w:val="16"/>
              </w:rPr>
            </w:pPr>
            <w:r w:rsidRPr="00315691">
              <w:rPr>
                <w:rFonts w:cs="Arial"/>
                <w:sz w:val="16"/>
                <w:szCs w:val="16"/>
              </w:rPr>
              <w:t>2 167,3</w:t>
            </w:r>
          </w:p>
        </w:tc>
        <w:tc>
          <w:tcPr>
            <w:tcW w:w="1039" w:type="dxa"/>
            <w:tcBorders>
              <w:top w:val="nil"/>
              <w:left w:val="nil"/>
              <w:bottom w:val="nil"/>
              <w:right w:val="nil"/>
            </w:tcBorders>
            <w:shd w:val="clear" w:color="auto" w:fill="auto"/>
            <w:noWrap/>
            <w:vAlign w:val="center"/>
            <w:hideMark/>
          </w:tcPr>
          <w:p w14:paraId="4D4BB1E2" w14:textId="77777777" w:rsidR="00315691" w:rsidRPr="00315691" w:rsidRDefault="00315691" w:rsidP="00315691">
            <w:pPr>
              <w:spacing w:after="0" w:line="240" w:lineRule="auto"/>
              <w:jc w:val="right"/>
              <w:rPr>
                <w:rFonts w:cs="Arial"/>
                <w:sz w:val="16"/>
                <w:szCs w:val="16"/>
              </w:rPr>
            </w:pPr>
            <w:r w:rsidRPr="00315691">
              <w:rPr>
                <w:rFonts w:cs="Arial"/>
                <w:sz w:val="16"/>
                <w:szCs w:val="16"/>
              </w:rPr>
              <w:t>4 311,3</w:t>
            </w:r>
          </w:p>
        </w:tc>
        <w:tc>
          <w:tcPr>
            <w:tcW w:w="980" w:type="dxa"/>
            <w:tcBorders>
              <w:top w:val="nil"/>
              <w:left w:val="nil"/>
              <w:bottom w:val="nil"/>
              <w:right w:val="nil"/>
            </w:tcBorders>
            <w:shd w:val="clear" w:color="auto" w:fill="auto"/>
            <w:vAlign w:val="center"/>
            <w:hideMark/>
          </w:tcPr>
          <w:p w14:paraId="6BF40876" w14:textId="77777777" w:rsidR="00315691" w:rsidRPr="00315691" w:rsidRDefault="00315691" w:rsidP="00315691">
            <w:pPr>
              <w:spacing w:after="0" w:line="240" w:lineRule="auto"/>
              <w:jc w:val="right"/>
              <w:rPr>
                <w:rFonts w:cs="Arial"/>
                <w:sz w:val="16"/>
                <w:szCs w:val="16"/>
              </w:rPr>
            </w:pPr>
            <w:r w:rsidRPr="00315691">
              <w:rPr>
                <w:rFonts w:cs="Arial"/>
                <w:sz w:val="16"/>
                <w:szCs w:val="16"/>
              </w:rPr>
              <w:t>2 182,4</w:t>
            </w:r>
          </w:p>
        </w:tc>
        <w:tc>
          <w:tcPr>
            <w:tcW w:w="980" w:type="dxa"/>
            <w:tcBorders>
              <w:top w:val="nil"/>
              <w:left w:val="nil"/>
              <w:bottom w:val="nil"/>
              <w:right w:val="single" w:sz="4" w:space="0" w:color="auto"/>
            </w:tcBorders>
            <w:shd w:val="clear" w:color="auto" w:fill="auto"/>
            <w:vAlign w:val="center"/>
            <w:hideMark/>
          </w:tcPr>
          <w:p w14:paraId="0BF57D26" w14:textId="77777777" w:rsidR="00315691" w:rsidRPr="00315691" w:rsidRDefault="00315691" w:rsidP="00315691">
            <w:pPr>
              <w:spacing w:after="0" w:line="240" w:lineRule="auto"/>
              <w:jc w:val="right"/>
              <w:rPr>
                <w:rFonts w:cs="Arial"/>
                <w:sz w:val="16"/>
                <w:szCs w:val="16"/>
              </w:rPr>
            </w:pPr>
            <w:r w:rsidRPr="00315691">
              <w:rPr>
                <w:rFonts w:cs="Arial"/>
                <w:sz w:val="16"/>
                <w:szCs w:val="16"/>
              </w:rPr>
              <w:t>2 128,9</w:t>
            </w:r>
          </w:p>
        </w:tc>
        <w:tc>
          <w:tcPr>
            <w:tcW w:w="980" w:type="dxa"/>
            <w:tcBorders>
              <w:top w:val="nil"/>
              <w:left w:val="nil"/>
              <w:bottom w:val="nil"/>
              <w:right w:val="nil"/>
            </w:tcBorders>
            <w:shd w:val="clear" w:color="auto" w:fill="auto"/>
            <w:noWrap/>
            <w:vAlign w:val="center"/>
            <w:hideMark/>
          </w:tcPr>
          <w:p w14:paraId="63CECC08" w14:textId="77777777" w:rsidR="00315691" w:rsidRPr="00315691" w:rsidRDefault="00315691" w:rsidP="00315691">
            <w:pPr>
              <w:spacing w:after="0" w:line="240" w:lineRule="auto"/>
              <w:jc w:val="right"/>
              <w:rPr>
                <w:rFonts w:cs="Arial"/>
                <w:sz w:val="16"/>
                <w:szCs w:val="16"/>
              </w:rPr>
            </w:pPr>
            <w:r w:rsidRPr="00315691">
              <w:rPr>
                <w:rFonts w:cs="Arial"/>
                <w:sz w:val="16"/>
                <w:szCs w:val="16"/>
              </w:rPr>
              <w:t>104,1</w:t>
            </w:r>
          </w:p>
        </w:tc>
        <w:tc>
          <w:tcPr>
            <w:tcW w:w="980" w:type="dxa"/>
            <w:tcBorders>
              <w:top w:val="nil"/>
              <w:left w:val="nil"/>
              <w:bottom w:val="nil"/>
              <w:right w:val="nil"/>
            </w:tcBorders>
            <w:shd w:val="clear" w:color="auto" w:fill="auto"/>
            <w:vAlign w:val="center"/>
            <w:hideMark/>
          </w:tcPr>
          <w:p w14:paraId="0F7635B6" w14:textId="77777777" w:rsidR="00315691" w:rsidRPr="00315691" w:rsidRDefault="00315691" w:rsidP="00315691">
            <w:pPr>
              <w:spacing w:after="0" w:line="240" w:lineRule="auto"/>
              <w:jc w:val="right"/>
              <w:rPr>
                <w:rFonts w:cs="Arial"/>
                <w:sz w:val="16"/>
                <w:szCs w:val="16"/>
              </w:rPr>
            </w:pPr>
            <w:r w:rsidRPr="00315691">
              <w:rPr>
                <w:rFonts w:cs="Arial"/>
                <w:sz w:val="16"/>
                <w:szCs w:val="16"/>
              </w:rPr>
              <w:t>65,8</w:t>
            </w:r>
          </w:p>
        </w:tc>
        <w:tc>
          <w:tcPr>
            <w:tcW w:w="980" w:type="dxa"/>
            <w:tcBorders>
              <w:top w:val="nil"/>
              <w:left w:val="nil"/>
              <w:bottom w:val="nil"/>
              <w:right w:val="nil"/>
            </w:tcBorders>
            <w:shd w:val="clear" w:color="auto" w:fill="auto"/>
            <w:noWrap/>
            <w:vAlign w:val="center"/>
            <w:hideMark/>
          </w:tcPr>
          <w:p w14:paraId="44F742AF" w14:textId="77777777" w:rsidR="00315691" w:rsidRPr="00315691" w:rsidRDefault="00315691" w:rsidP="00315691">
            <w:pPr>
              <w:spacing w:after="0" w:line="240" w:lineRule="auto"/>
              <w:jc w:val="right"/>
              <w:rPr>
                <w:rFonts w:cs="Arial"/>
                <w:sz w:val="16"/>
                <w:szCs w:val="16"/>
              </w:rPr>
            </w:pPr>
            <w:r w:rsidRPr="00315691">
              <w:rPr>
                <w:rFonts w:cs="Arial"/>
                <w:sz w:val="16"/>
                <w:szCs w:val="16"/>
              </w:rPr>
              <w:t>38,3</w:t>
            </w:r>
          </w:p>
        </w:tc>
      </w:tr>
      <w:tr w:rsidR="00315691" w:rsidRPr="00315691" w14:paraId="3DAC5621" w14:textId="77777777" w:rsidTr="00315691">
        <w:trPr>
          <w:trHeight w:val="300"/>
        </w:trPr>
        <w:tc>
          <w:tcPr>
            <w:tcW w:w="980" w:type="dxa"/>
            <w:tcBorders>
              <w:top w:val="nil"/>
              <w:left w:val="nil"/>
              <w:bottom w:val="nil"/>
              <w:right w:val="single" w:sz="4" w:space="0" w:color="auto"/>
            </w:tcBorders>
            <w:shd w:val="clear" w:color="auto" w:fill="auto"/>
            <w:vAlign w:val="center"/>
            <w:hideMark/>
          </w:tcPr>
          <w:p w14:paraId="37507269" w14:textId="77777777" w:rsidR="00315691" w:rsidRPr="00315691" w:rsidRDefault="00315691" w:rsidP="00315691">
            <w:pPr>
              <w:spacing w:after="0" w:line="240" w:lineRule="auto"/>
              <w:jc w:val="center"/>
              <w:rPr>
                <w:rFonts w:cs="Arial"/>
                <w:sz w:val="16"/>
                <w:szCs w:val="16"/>
              </w:rPr>
            </w:pPr>
            <w:r w:rsidRPr="00315691">
              <w:rPr>
                <w:rFonts w:cs="Arial"/>
                <w:sz w:val="16"/>
                <w:szCs w:val="16"/>
              </w:rPr>
              <w:t>1. pol. 2014</w:t>
            </w:r>
          </w:p>
        </w:tc>
        <w:tc>
          <w:tcPr>
            <w:tcW w:w="980" w:type="dxa"/>
            <w:tcBorders>
              <w:top w:val="nil"/>
              <w:left w:val="single" w:sz="4" w:space="0" w:color="auto"/>
              <w:bottom w:val="nil"/>
              <w:right w:val="nil"/>
            </w:tcBorders>
            <w:shd w:val="clear" w:color="auto" w:fill="auto"/>
            <w:noWrap/>
            <w:vAlign w:val="center"/>
            <w:hideMark/>
          </w:tcPr>
          <w:p w14:paraId="2441F678" w14:textId="77777777" w:rsidR="00315691" w:rsidRPr="00315691" w:rsidRDefault="00315691" w:rsidP="00315691">
            <w:pPr>
              <w:spacing w:after="0" w:line="240" w:lineRule="auto"/>
              <w:jc w:val="right"/>
              <w:rPr>
                <w:rFonts w:cs="Arial"/>
                <w:sz w:val="16"/>
                <w:szCs w:val="16"/>
              </w:rPr>
            </w:pPr>
            <w:r w:rsidRPr="00315691">
              <w:rPr>
                <w:rFonts w:cs="Arial"/>
                <w:sz w:val="16"/>
                <w:szCs w:val="16"/>
              </w:rPr>
              <w:t>4 413,5</w:t>
            </w:r>
          </w:p>
        </w:tc>
        <w:tc>
          <w:tcPr>
            <w:tcW w:w="980" w:type="dxa"/>
            <w:tcBorders>
              <w:top w:val="nil"/>
              <w:left w:val="nil"/>
              <w:bottom w:val="nil"/>
              <w:right w:val="nil"/>
            </w:tcBorders>
            <w:shd w:val="clear" w:color="auto" w:fill="auto"/>
            <w:vAlign w:val="center"/>
            <w:hideMark/>
          </w:tcPr>
          <w:p w14:paraId="119928A5" w14:textId="77777777" w:rsidR="00315691" w:rsidRPr="00315691" w:rsidRDefault="00315691" w:rsidP="00315691">
            <w:pPr>
              <w:spacing w:after="0" w:line="240" w:lineRule="auto"/>
              <w:jc w:val="right"/>
              <w:rPr>
                <w:rFonts w:cs="Arial"/>
                <w:sz w:val="16"/>
                <w:szCs w:val="16"/>
              </w:rPr>
            </w:pPr>
            <w:r w:rsidRPr="00315691">
              <w:rPr>
                <w:rFonts w:cs="Arial"/>
                <w:sz w:val="16"/>
                <w:szCs w:val="16"/>
              </w:rPr>
              <w:t>2 247,8</w:t>
            </w:r>
          </w:p>
        </w:tc>
        <w:tc>
          <w:tcPr>
            <w:tcW w:w="980" w:type="dxa"/>
            <w:tcBorders>
              <w:top w:val="nil"/>
              <w:left w:val="nil"/>
              <w:bottom w:val="nil"/>
              <w:right w:val="single" w:sz="4" w:space="0" w:color="auto"/>
            </w:tcBorders>
            <w:shd w:val="clear" w:color="auto" w:fill="auto"/>
            <w:noWrap/>
            <w:vAlign w:val="center"/>
            <w:hideMark/>
          </w:tcPr>
          <w:p w14:paraId="3BB90D9F" w14:textId="77777777" w:rsidR="00315691" w:rsidRPr="00315691" w:rsidRDefault="00315691" w:rsidP="00315691">
            <w:pPr>
              <w:spacing w:after="0" w:line="240" w:lineRule="auto"/>
              <w:jc w:val="right"/>
              <w:rPr>
                <w:rFonts w:cs="Arial"/>
                <w:sz w:val="16"/>
                <w:szCs w:val="16"/>
              </w:rPr>
            </w:pPr>
            <w:r w:rsidRPr="00315691">
              <w:rPr>
                <w:rFonts w:cs="Arial"/>
                <w:sz w:val="16"/>
                <w:szCs w:val="16"/>
              </w:rPr>
              <w:t>2 165,7</w:t>
            </w:r>
          </w:p>
        </w:tc>
        <w:tc>
          <w:tcPr>
            <w:tcW w:w="1039" w:type="dxa"/>
            <w:tcBorders>
              <w:top w:val="nil"/>
              <w:left w:val="nil"/>
              <w:bottom w:val="nil"/>
              <w:right w:val="nil"/>
            </w:tcBorders>
            <w:shd w:val="clear" w:color="auto" w:fill="auto"/>
            <w:noWrap/>
            <w:vAlign w:val="center"/>
            <w:hideMark/>
          </w:tcPr>
          <w:p w14:paraId="454C51C5" w14:textId="77777777" w:rsidR="00315691" w:rsidRPr="00315691" w:rsidRDefault="00315691" w:rsidP="00315691">
            <w:pPr>
              <w:spacing w:after="0" w:line="240" w:lineRule="auto"/>
              <w:jc w:val="right"/>
              <w:rPr>
                <w:rFonts w:cs="Arial"/>
                <w:sz w:val="16"/>
                <w:szCs w:val="16"/>
              </w:rPr>
            </w:pPr>
            <w:r w:rsidRPr="00315691">
              <w:rPr>
                <w:rFonts w:cs="Arial"/>
                <w:sz w:val="16"/>
                <w:szCs w:val="16"/>
              </w:rPr>
              <w:t>4 314,2</w:t>
            </w:r>
          </w:p>
        </w:tc>
        <w:tc>
          <w:tcPr>
            <w:tcW w:w="980" w:type="dxa"/>
            <w:tcBorders>
              <w:top w:val="nil"/>
              <w:left w:val="nil"/>
              <w:bottom w:val="nil"/>
              <w:right w:val="nil"/>
            </w:tcBorders>
            <w:shd w:val="clear" w:color="auto" w:fill="auto"/>
            <w:vAlign w:val="center"/>
            <w:hideMark/>
          </w:tcPr>
          <w:p w14:paraId="1BE9D793" w14:textId="77777777" w:rsidR="00315691" w:rsidRPr="00315691" w:rsidRDefault="00315691" w:rsidP="00315691">
            <w:pPr>
              <w:spacing w:after="0" w:line="240" w:lineRule="auto"/>
              <w:jc w:val="right"/>
              <w:rPr>
                <w:rFonts w:cs="Arial"/>
                <w:sz w:val="16"/>
                <w:szCs w:val="16"/>
              </w:rPr>
            </w:pPr>
            <w:r w:rsidRPr="00315691">
              <w:rPr>
                <w:rFonts w:cs="Arial"/>
                <w:sz w:val="16"/>
                <w:szCs w:val="16"/>
              </w:rPr>
              <w:t>2 185,7</w:t>
            </w:r>
          </w:p>
        </w:tc>
        <w:tc>
          <w:tcPr>
            <w:tcW w:w="980" w:type="dxa"/>
            <w:tcBorders>
              <w:top w:val="nil"/>
              <w:left w:val="nil"/>
              <w:bottom w:val="nil"/>
              <w:right w:val="single" w:sz="4" w:space="0" w:color="auto"/>
            </w:tcBorders>
            <w:shd w:val="clear" w:color="auto" w:fill="auto"/>
            <w:vAlign w:val="center"/>
            <w:hideMark/>
          </w:tcPr>
          <w:p w14:paraId="74FFD02E" w14:textId="77777777" w:rsidR="00315691" w:rsidRPr="00315691" w:rsidRDefault="00315691" w:rsidP="00315691">
            <w:pPr>
              <w:spacing w:after="0" w:line="240" w:lineRule="auto"/>
              <w:jc w:val="right"/>
              <w:rPr>
                <w:rFonts w:cs="Arial"/>
                <w:sz w:val="16"/>
                <w:szCs w:val="16"/>
              </w:rPr>
            </w:pPr>
            <w:r w:rsidRPr="00315691">
              <w:rPr>
                <w:rFonts w:cs="Arial"/>
                <w:sz w:val="16"/>
                <w:szCs w:val="16"/>
              </w:rPr>
              <w:t>2 128,6</w:t>
            </w:r>
          </w:p>
        </w:tc>
        <w:tc>
          <w:tcPr>
            <w:tcW w:w="980" w:type="dxa"/>
            <w:tcBorders>
              <w:top w:val="nil"/>
              <w:left w:val="nil"/>
              <w:bottom w:val="nil"/>
              <w:right w:val="nil"/>
            </w:tcBorders>
            <w:shd w:val="clear" w:color="auto" w:fill="auto"/>
            <w:noWrap/>
            <w:vAlign w:val="center"/>
            <w:hideMark/>
          </w:tcPr>
          <w:p w14:paraId="14E2743E" w14:textId="77777777" w:rsidR="00315691" w:rsidRPr="00315691" w:rsidRDefault="00315691" w:rsidP="00315691">
            <w:pPr>
              <w:spacing w:after="0" w:line="240" w:lineRule="auto"/>
              <w:jc w:val="right"/>
              <w:rPr>
                <w:rFonts w:cs="Arial"/>
                <w:sz w:val="16"/>
                <w:szCs w:val="16"/>
              </w:rPr>
            </w:pPr>
            <w:r w:rsidRPr="00315691">
              <w:rPr>
                <w:rFonts w:cs="Arial"/>
                <w:sz w:val="16"/>
                <w:szCs w:val="16"/>
              </w:rPr>
              <w:t>99,3</w:t>
            </w:r>
          </w:p>
        </w:tc>
        <w:tc>
          <w:tcPr>
            <w:tcW w:w="980" w:type="dxa"/>
            <w:tcBorders>
              <w:top w:val="nil"/>
              <w:left w:val="nil"/>
              <w:bottom w:val="nil"/>
              <w:right w:val="nil"/>
            </w:tcBorders>
            <w:shd w:val="clear" w:color="auto" w:fill="auto"/>
            <w:vAlign w:val="center"/>
            <w:hideMark/>
          </w:tcPr>
          <w:p w14:paraId="4E9227FE" w14:textId="77777777" w:rsidR="00315691" w:rsidRPr="00315691" w:rsidRDefault="00315691" w:rsidP="00315691">
            <w:pPr>
              <w:spacing w:after="0" w:line="240" w:lineRule="auto"/>
              <w:jc w:val="right"/>
              <w:rPr>
                <w:rFonts w:cs="Arial"/>
                <w:sz w:val="16"/>
                <w:szCs w:val="16"/>
              </w:rPr>
            </w:pPr>
            <w:r w:rsidRPr="00315691">
              <w:rPr>
                <w:rFonts w:cs="Arial"/>
                <w:sz w:val="16"/>
                <w:szCs w:val="16"/>
              </w:rPr>
              <w:t>62,1</w:t>
            </w:r>
          </w:p>
        </w:tc>
        <w:tc>
          <w:tcPr>
            <w:tcW w:w="980" w:type="dxa"/>
            <w:tcBorders>
              <w:top w:val="nil"/>
              <w:left w:val="nil"/>
              <w:bottom w:val="nil"/>
              <w:right w:val="nil"/>
            </w:tcBorders>
            <w:shd w:val="clear" w:color="auto" w:fill="auto"/>
            <w:vAlign w:val="center"/>
            <w:hideMark/>
          </w:tcPr>
          <w:p w14:paraId="58152153" w14:textId="77777777" w:rsidR="00315691" w:rsidRPr="00315691" w:rsidRDefault="00315691" w:rsidP="00315691">
            <w:pPr>
              <w:spacing w:after="0" w:line="240" w:lineRule="auto"/>
              <w:jc w:val="right"/>
              <w:rPr>
                <w:rFonts w:cs="Arial"/>
                <w:sz w:val="16"/>
                <w:szCs w:val="16"/>
              </w:rPr>
            </w:pPr>
            <w:r w:rsidRPr="00315691">
              <w:rPr>
                <w:rFonts w:cs="Arial"/>
                <w:sz w:val="16"/>
                <w:szCs w:val="16"/>
              </w:rPr>
              <w:t>37,2</w:t>
            </w:r>
          </w:p>
        </w:tc>
      </w:tr>
      <w:tr w:rsidR="00315691" w:rsidRPr="00315691" w14:paraId="33ED240B" w14:textId="77777777" w:rsidTr="00315691">
        <w:trPr>
          <w:trHeight w:val="300"/>
        </w:trPr>
        <w:tc>
          <w:tcPr>
            <w:tcW w:w="980" w:type="dxa"/>
            <w:tcBorders>
              <w:top w:val="nil"/>
              <w:left w:val="nil"/>
              <w:bottom w:val="nil"/>
              <w:right w:val="single" w:sz="4" w:space="0" w:color="auto"/>
            </w:tcBorders>
            <w:shd w:val="clear" w:color="auto" w:fill="auto"/>
            <w:vAlign w:val="center"/>
            <w:hideMark/>
          </w:tcPr>
          <w:p w14:paraId="1770F5D3" w14:textId="77777777" w:rsidR="00315691" w:rsidRPr="00315691" w:rsidRDefault="00315691" w:rsidP="00315691">
            <w:pPr>
              <w:spacing w:after="0" w:line="240" w:lineRule="auto"/>
              <w:jc w:val="center"/>
              <w:rPr>
                <w:rFonts w:cs="Arial"/>
                <w:sz w:val="16"/>
                <w:szCs w:val="16"/>
              </w:rPr>
            </w:pPr>
            <w:r w:rsidRPr="00315691">
              <w:rPr>
                <w:rFonts w:cs="Arial"/>
                <w:sz w:val="16"/>
                <w:szCs w:val="16"/>
              </w:rPr>
              <w:t>1. pol. 2015</w:t>
            </w:r>
          </w:p>
        </w:tc>
        <w:tc>
          <w:tcPr>
            <w:tcW w:w="980" w:type="dxa"/>
            <w:tcBorders>
              <w:top w:val="nil"/>
              <w:left w:val="single" w:sz="4" w:space="0" w:color="auto"/>
              <w:bottom w:val="nil"/>
              <w:right w:val="nil"/>
            </w:tcBorders>
            <w:shd w:val="clear" w:color="auto" w:fill="auto"/>
            <w:noWrap/>
            <w:vAlign w:val="center"/>
            <w:hideMark/>
          </w:tcPr>
          <w:p w14:paraId="63935E37" w14:textId="77777777" w:rsidR="00315691" w:rsidRPr="00315691" w:rsidRDefault="00315691" w:rsidP="00315691">
            <w:pPr>
              <w:spacing w:after="0" w:line="240" w:lineRule="auto"/>
              <w:jc w:val="right"/>
              <w:rPr>
                <w:rFonts w:cs="Arial"/>
                <w:sz w:val="16"/>
                <w:szCs w:val="16"/>
              </w:rPr>
            </w:pPr>
            <w:r w:rsidRPr="00315691">
              <w:rPr>
                <w:rFonts w:cs="Arial"/>
                <w:sz w:val="16"/>
                <w:szCs w:val="16"/>
              </w:rPr>
              <w:t>4 471,4</w:t>
            </w:r>
          </w:p>
        </w:tc>
        <w:tc>
          <w:tcPr>
            <w:tcW w:w="980" w:type="dxa"/>
            <w:tcBorders>
              <w:top w:val="nil"/>
              <w:left w:val="nil"/>
              <w:bottom w:val="nil"/>
              <w:right w:val="nil"/>
            </w:tcBorders>
            <w:shd w:val="clear" w:color="auto" w:fill="auto"/>
            <w:vAlign w:val="center"/>
            <w:hideMark/>
          </w:tcPr>
          <w:p w14:paraId="27925786" w14:textId="77777777" w:rsidR="00315691" w:rsidRPr="00315691" w:rsidRDefault="00315691" w:rsidP="00315691">
            <w:pPr>
              <w:spacing w:after="0" w:line="240" w:lineRule="auto"/>
              <w:jc w:val="right"/>
              <w:rPr>
                <w:rFonts w:cs="Arial"/>
                <w:sz w:val="16"/>
                <w:szCs w:val="16"/>
              </w:rPr>
            </w:pPr>
            <w:r w:rsidRPr="00315691">
              <w:rPr>
                <w:rFonts w:cs="Arial"/>
                <w:sz w:val="16"/>
                <w:szCs w:val="16"/>
              </w:rPr>
              <w:t>2 280,3</w:t>
            </w:r>
          </w:p>
        </w:tc>
        <w:tc>
          <w:tcPr>
            <w:tcW w:w="980" w:type="dxa"/>
            <w:tcBorders>
              <w:top w:val="nil"/>
              <w:left w:val="nil"/>
              <w:bottom w:val="nil"/>
              <w:right w:val="single" w:sz="4" w:space="0" w:color="auto"/>
            </w:tcBorders>
            <w:shd w:val="clear" w:color="auto" w:fill="auto"/>
            <w:noWrap/>
            <w:vAlign w:val="center"/>
            <w:hideMark/>
          </w:tcPr>
          <w:p w14:paraId="3434669A" w14:textId="77777777" w:rsidR="00315691" w:rsidRPr="00315691" w:rsidRDefault="00315691" w:rsidP="00315691">
            <w:pPr>
              <w:spacing w:after="0" w:line="240" w:lineRule="auto"/>
              <w:jc w:val="right"/>
              <w:rPr>
                <w:rFonts w:cs="Arial"/>
                <w:sz w:val="16"/>
                <w:szCs w:val="16"/>
              </w:rPr>
            </w:pPr>
            <w:r w:rsidRPr="00315691">
              <w:rPr>
                <w:rFonts w:cs="Arial"/>
                <w:sz w:val="16"/>
                <w:szCs w:val="16"/>
              </w:rPr>
              <w:t>2 191,1</w:t>
            </w:r>
          </w:p>
        </w:tc>
        <w:tc>
          <w:tcPr>
            <w:tcW w:w="1039" w:type="dxa"/>
            <w:tcBorders>
              <w:top w:val="nil"/>
              <w:left w:val="nil"/>
              <w:bottom w:val="nil"/>
              <w:right w:val="nil"/>
            </w:tcBorders>
            <w:shd w:val="clear" w:color="auto" w:fill="auto"/>
            <w:noWrap/>
            <w:vAlign w:val="center"/>
            <w:hideMark/>
          </w:tcPr>
          <w:p w14:paraId="59510141" w14:textId="77777777" w:rsidR="00315691" w:rsidRPr="00315691" w:rsidRDefault="00315691" w:rsidP="00315691">
            <w:pPr>
              <w:spacing w:after="0" w:line="240" w:lineRule="auto"/>
              <w:jc w:val="right"/>
              <w:rPr>
                <w:rFonts w:cs="Arial"/>
                <w:sz w:val="16"/>
                <w:szCs w:val="16"/>
              </w:rPr>
            </w:pPr>
            <w:r w:rsidRPr="00315691">
              <w:rPr>
                <w:rFonts w:cs="Arial"/>
                <w:sz w:val="16"/>
                <w:szCs w:val="16"/>
              </w:rPr>
              <w:t>4 382,9</w:t>
            </w:r>
          </w:p>
        </w:tc>
        <w:tc>
          <w:tcPr>
            <w:tcW w:w="980" w:type="dxa"/>
            <w:tcBorders>
              <w:top w:val="nil"/>
              <w:left w:val="nil"/>
              <w:bottom w:val="nil"/>
              <w:right w:val="nil"/>
            </w:tcBorders>
            <w:shd w:val="clear" w:color="auto" w:fill="auto"/>
            <w:vAlign w:val="center"/>
            <w:hideMark/>
          </w:tcPr>
          <w:p w14:paraId="13A9F641" w14:textId="77777777" w:rsidR="00315691" w:rsidRPr="00315691" w:rsidRDefault="00315691" w:rsidP="00315691">
            <w:pPr>
              <w:spacing w:after="0" w:line="240" w:lineRule="auto"/>
              <w:jc w:val="right"/>
              <w:rPr>
                <w:rFonts w:cs="Arial"/>
                <w:sz w:val="16"/>
                <w:szCs w:val="16"/>
              </w:rPr>
            </w:pPr>
            <w:r w:rsidRPr="00315691">
              <w:rPr>
                <w:rFonts w:cs="Arial"/>
                <w:sz w:val="16"/>
                <w:szCs w:val="16"/>
              </w:rPr>
              <w:t>2 230,2</w:t>
            </w:r>
          </w:p>
        </w:tc>
        <w:tc>
          <w:tcPr>
            <w:tcW w:w="980" w:type="dxa"/>
            <w:tcBorders>
              <w:top w:val="nil"/>
              <w:left w:val="nil"/>
              <w:bottom w:val="nil"/>
              <w:right w:val="single" w:sz="4" w:space="0" w:color="auto"/>
            </w:tcBorders>
            <w:shd w:val="clear" w:color="auto" w:fill="auto"/>
            <w:vAlign w:val="center"/>
            <w:hideMark/>
          </w:tcPr>
          <w:p w14:paraId="7A58D4B5" w14:textId="77777777" w:rsidR="00315691" w:rsidRPr="00315691" w:rsidRDefault="00315691" w:rsidP="00315691">
            <w:pPr>
              <w:spacing w:after="0" w:line="240" w:lineRule="auto"/>
              <w:jc w:val="right"/>
              <w:rPr>
                <w:rFonts w:cs="Arial"/>
                <w:sz w:val="16"/>
                <w:szCs w:val="16"/>
              </w:rPr>
            </w:pPr>
            <w:r w:rsidRPr="00315691">
              <w:rPr>
                <w:rFonts w:cs="Arial"/>
                <w:sz w:val="16"/>
                <w:szCs w:val="16"/>
              </w:rPr>
              <w:t>2 152,6</w:t>
            </w:r>
          </w:p>
        </w:tc>
        <w:tc>
          <w:tcPr>
            <w:tcW w:w="980" w:type="dxa"/>
            <w:tcBorders>
              <w:top w:val="nil"/>
              <w:left w:val="nil"/>
              <w:bottom w:val="nil"/>
              <w:right w:val="nil"/>
            </w:tcBorders>
            <w:shd w:val="clear" w:color="auto" w:fill="auto"/>
            <w:noWrap/>
            <w:vAlign w:val="center"/>
            <w:hideMark/>
          </w:tcPr>
          <w:p w14:paraId="3CE50D54" w14:textId="77777777" w:rsidR="00315691" w:rsidRPr="00315691" w:rsidRDefault="00315691" w:rsidP="00315691">
            <w:pPr>
              <w:spacing w:after="0" w:line="240" w:lineRule="auto"/>
              <w:jc w:val="right"/>
              <w:rPr>
                <w:rFonts w:cs="Arial"/>
                <w:sz w:val="16"/>
                <w:szCs w:val="16"/>
              </w:rPr>
            </w:pPr>
            <w:r w:rsidRPr="00315691">
              <w:rPr>
                <w:rFonts w:cs="Arial"/>
                <w:sz w:val="16"/>
                <w:szCs w:val="16"/>
              </w:rPr>
              <w:t>88,5</w:t>
            </w:r>
          </w:p>
        </w:tc>
        <w:tc>
          <w:tcPr>
            <w:tcW w:w="980" w:type="dxa"/>
            <w:tcBorders>
              <w:top w:val="nil"/>
              <w:left w:val="nil"/>
              <w:bottom w:val="nil"/>
              <w:right w:val="nil"/>
            </w:tcBorders>
            <w:shd w:val="clear" w:color="auto" w:fill="auto"/>
            <w:vAlign w:val="center"/>
            <w:hideMark/>
          </w:tcPr>
          <w:p w14:paraId="3A3D26CF" w14:textId="77777777" w:rsidR="00315691" w:rsidRPr="00315691" w:rsidRDefault="00315691" w:rsidP="00315691">
            <w:pPr>
              <w:spacing w:after="0" w:line="240" w:lineRule="auto"/>
              <w:jc w:val="right"/>
              <w:rPr>
                <w:rFonts w:cs="Arial"/>
                <w:sz w:val="16"/>
                <w:szCs w:val="16"/>
              </w:rPr>
            </w:pPr>
            <w:r w:rsidRPr="00315691">
              <w:rPr>
                <w:rFonts w:cs="Arial"/>
                <w:sz w:val="16"/>
                <w:szCs w:val="16"/>
              </w:rPr>
              <w:t>50,0</w:t>
            </w:r>
          </w:p>
        </w:tc>
        <w:tc>
          <w:tcPr>
            <w:tcW w:w="980" w:type="dxa"/>
            <w:tcBorders>
              <w:top w:val="nil"/>
              <w:left w:val="nil"/>
              <w:bottom w:val="nil"/>
              <w:right w:val="nil"/>
            </w:tcBorders>
            <w:shd w:val="clear" w:color="auto" w:fill="auto"/>
            <w:noWrap/>
            <w:vAlign w:val="center"/>
            <w:hideMark/>
          </w:tcPr>
          <w:p w14:paraId="57069E20" w14:textId="77777777" w:rsidR="00315691" w:rsidRPr="00315691" w:rsidRDefault="00315691" w:rsidP="00315691">
            <w:pPr>
              <w:spacing w:after="0" w:line="240" w:lineRule="auto"/>
              <w:jc w:val="right"/>
              <w:rPr>
                <w:rFonts w:cs="Arial"/>
                <w:sz w:val="16"/>
                <w:szCs w:val="16"/>
              </w:rPr>
            </w:pPr>
            <w:r w:rsidRPr="00315691">
              <w:rPr>
                <w:rFonts w:cs="Arial"/>
                <w:sz w:val="16"/>
                <w:szCs w:val="16"/>
              </w:rPr>
              <w:t>38,4</w:t>
            </w:r>
          </w:p>
        </w:tc>
      </w:tr>
      <w:tr w:rsidR="00315691" w:rsidRPr="00315691" w14:paraId="2680109E" w14:textId="77777777" w:rsidTr="00315691">
        <w:trPr>
          <w:trHeight w:val="300"/>
        </w:trPr>
        <w:tc>
          <w:tcPr>
            <w:tcW w:w="980" w:type="dxa"/>
            <w:tcBorders>
              <w:top w:val="nil"/>
              <w:left w:val="nil"/>
              <w:bottom w:val="nil"/>
              <w:right w:val="single" w:sz="4" w:space="0" w:color="auto"/>
            </w:tcBorders>
            <w:shd w:val="clear" w:color="auto" w:fill="auto"/>
            <w:vAlign w:val="center"/>
            <w:hideMark/>
          </w:tcPr>
          <w:p w14:paraId="2B8C7B7C" w14:textId="77777777" w:rsidR="00315691" w:rsidRPr="00315691" w:rsidRDefault="00315691" w:rsidP="00315691">
            <w:pPr>
              <w:spacing w:after="0" w:line="240" w:lineRule="auto"/>
              <w:jc w:val="center"/>
              <w:rPr>
                <w:rFonts w:cs="Arial"/>
                <w:sz w:val="16"/>
                <w:szCs w:val="16"/>
              </w:rPr>
            </w:pPr>
            <w:r w:rsidRPr="00315691">
              <w:rPr>
                <w:rFonts w:cs="Arial"/>
                <w:sz w:val="16"/>
                <w:szCs w:val="16"/>
              </w:rPr>
              <w:t>1. pol. 2016</w:t>
            </w:r>
          </w:p>
        </w:tc>
        <w:tc>
          <w:tcPr>
            <w:tcW w:w="980" w:type="dxa"/>
            <w:tcBorders>
              <w:top w:val="nil"/>
              <w:left w:val="single" w:sz="4" w:space="0" w:color="auto"/>
              <w:bottom w:val="nil"/>
              <w:right w:val="nil"/>
            </w:tcBorders>
            <w:shd w:val="clear" w:color="auto" w:fill="auto"/>
            <w:noWrap/>
            <w:vAlign w:val="center"/>
            <w:hideMark/>
          </w:tcPr>
          <w:p w14:paraId="476A1472" w14:textId="77777777" w:rsidR="00315691" w:rsidRPr="00315691" w:rsidRDefault="00315691" w:rsidP="00315691">
            <w:pPr>
              <w:spacing w:after="0" w:line="240" w:lineRule="auto"/>
              <w:jc w:val="right"/>
              <w:rPr>
                <w:rFonts w:cs="Arial"/>
                <w:sz w:val="16"/>
                <w:szCs w:val="16"/>
              </w:rPr>
            </w:pPr>
            <w:r w:rsidRPr="00315691">
              <w:rPr>
                <w:rFonts w:cs="Arial"/>
                <w:sz w:val="16"/>
                <w:szCs w:val="16"/>
              </w:rPr>
              <w:t>4 539,5</w:t>
            </w:r>
          </w:p>
        </w:tc>
        <w:tc>
          <w:tcPr>
            <w:tcW w:w="980" w:type="dxa"/>
            <w:tcBorders>
              <w:top w:val="nil"/>
              <w:left w:val="nil"/>
              <w:bottom w:val="nil"/>
              <w:right w:val="nil"/>
            </w:tcBorders>
            <w:shd w:val="clear" w:color="auto" w:fill="auto"/>
            <w:vAlign w:val="center"/>
            <w:hideMark/>
          </w:tcPr>
          <w:p w14:paraId="4B9F2F6E" w14:textId="77777777" w:rsidR="00315691" w:rsidRPr="00315691" w:rsidRDefault="00315691" w:rsidP="00315691">
            <w:pPr>
              <w:spacing w:after="0" w:line="240" w:lineRule="auto"/>
              <w:jc w:val="right"/>
              <w:rPr>
                <w:rFonts w:cs="Arial"/>
                <w:sz w:val="16"/>
                <w:szCs w:val="16"/>
              </w:rPr>
            </w:pPr>
            <w:r w:rsidRPr="00315691">
              <w:rPr>
                <w:rFonts w:cs="Arial"/>
                <w:sz w:val="16"/>
                <w:szCs w:val="16"/>
              </w:rPr>
              <w:t>2 312,2</w:t>
            </w:r>
          </w:p>
        </w:tc>
        <w:tc>
          <w:tcPr>
            <w:tcW w:w="980" w:type="dxa"/>
            <w:tcBorders>
              <w:top w:val="nil"/>
              <w:left w:val="nil"/>
              <w:bottom w:val="nil"/>
              <w:right w:val="single" w:sz="4" w:space="0" w:color="auto"/>
            </w:tcBorders>
            <w:shd w:val="clear" w:color="auto" w:fill="auto"/>
            <w:noWrap/>
            <w:vAlign w:val="center"/>
            <w:hideMark/>
          </w:tcPr>
          <w:p w14:paraId="34EB7CE2" w14:textId="77777777" w:rsidR="00315691" w:rsidRPr="00315691" w:rsidRDefault="00315691" w:rsidP="00315691">
            <w:pPr>
              <w:spacing w:after="0" w:line="240" w:lineRule="auto"/>
              <w:jc w:val="right"/>
              <w:rPr>
                <w:rFonts w:cs="Arial"/>
                <w:color w:val="000000"/>
                <w:sz w:val="16"/>
                <w:szCs w:val="16"/>
              </w:rPr>
            </w:pPr>
            <w:r w:rsidRPr="00315691">
              <w:rPr>
                <w:rFonts w:cs="Arial"/>
                <w:color w:val="000000"/>
                <w:sz w:val="16"/>
                <w:szCs w:val="16"/>
              </w:rPr>
              <w:t>2 227,3</w:t>
            </w:r>
          </w:p>
        </w:tc>
        <w:tc>
          <w:tcPr>
            <w:tcW w:w="1039" w:type="dxa"/>
            <w:tcBorders>
              <w:top w:val="nil"/>
              <w:left w:val="nil"/>
              <w:bottom w:val="nil"/>
              <w:right w:val="nil"/>
            </w:tcBorders>
            <w:shd w:val="clear" w:color="auto" w:fill="auto"/>
            <w:noWrap/>
            <w:vAlign w:val="center"/>
            <w:hideMark/>
          </w:tcPr>
          <w:p w14:paraId="4922AF7C" w14:textId="77777777" w:rsidR="00315691" w:rsidRPr="00315691" w:rsidRDefault="00315691" w:rsidP="00315691">
            <w:pPr>
              <w:spacing w:after="0" w:line="240" w:lineRule="auto"/>
              <w:jc w:val="right"/>
              <w:rPr>
                <w:rFonts w:cs="Arial"/>
                <w:sz w:val="16"/>
                <w:szCs w:val="16"/>
              </w:rPr>
            </w:pPr>
            <w:r w:rsidRPr="00315691">
              <w:rPr>
                <w:rFonts w:cs="Arial"/>
                <w:sz w:val="16"/>
                <w:szCs w:val="16"/>
              </w:rPr>
              <w:t>4 451,0</w:t>
            </w:r>
          </w:p>
        </w:tc>
        <w:tc>
          <w:tcPr>
            <w:tcW w:w="980" w:type="dxa"/>
            <w:tcBorders>
              <w:top w:val="nil"/>
              <w:left w:val="nil"/>
              <w:bottom w:val="nil"/>
              <w:right w:val="nil"/>
            </w:tcBorders>
            <w:shd w:val="clear" w:color="auto" w:fill="auto"/>
            <w:vAlign w:val="center"/>
            <w:hideMark/>
          </w:tcPr>
          <w:p w14:paraId="52B30987" w14:textId="77777777" w:rsidR="00315691" w:rsidRPr="00315691" w:rsidRDefault="00315691" w:rsidP="00315691">
            <w:pPr>
              <w:spacing w:after="0" w:line="240" w:lineRule="auto"/>
              <w:jc w:val="right"/>
              <w:rPr>
                <w:rFonts w:cs="Arial"/>
                <w:sz w:val="16"/>
                <w:szCs w:val="16"/>
              </w:rPr>
            </w:pPr>
            <w:r w:rsidRPr="00315691">
              <w:rPr>
                <w:rFonts w:cs="Arial"/>
                <w:sz w:val="16"/>
                <w:szCs w:val="16"/>
              </w:rPr>
              <w:t>2 262,7</w:t>
            </w:r>
          </w:p>
        </w:tc>
        <w:tc>
          <w:tcPr>
            <w:tcW w:w="980" w:type="dxa"/>
            <w:tcBorders>
              <w:top w:val="nil"/>
              <w:left w:val="nil"/>
              <w:bottom w:val="nil"/>
              <w:right w:val="single" w:sz="4" w:space="0" w:color="auto"/>
            </w:tcBorders>
            <w:shd w:val="clear" w:color="auto" w:fill="auto"/>
            <w:vAlign w:val="center"/>
            <w:hideMark/>
          </w:tcPr>
          <w:p w14:paraId="398165F2" w14:textId="77777777" w:rsidR="00315691" w:rsidRPr="00315691" w:rsidRDefault="00315691" w:rsidP="00315691">
            <w:pPr>
              <w:spacing w:after="0" w:line="240" w:lineRule="auto"/>
              <w:jc w:val="right"/>
              <w:rPr>
                <w:rFonts w:cs="Arial"/>
                <w:sz w:val="16"/>
                <w:szCs w:val="16"/>
              </w:rPr>
            </w:pPr>
            <w:r w:rsidRPr="00315691">
              <w:rPr>
                <w:rFonts w:cs="Arial"/>
                <w:sz w:val="16"/>
                <w:szCs w:val="16"/>
              </w:rPr>
              <w:t>2 188,3</w:t>
            </w:r>
          </w:p>
        </w:tc>
        <w:tc>
          <w:tcPr>
            <w:tcW w:w="980" w:type="dxa"/>
            <w:tcBorders>
              <w:top w:val="nil"/>
              <w:left w:val="nil"/>
              <w:bottom w:val="nil"/>
              <w:right w:val="nil"/>
            </w:tcBorders>
            <w:shd w:val="clear" w:color="auto" w:fill="auto"/>
            <w:noWrap/>
            <w:vAlign w:val="center"/>
            <w:hideMark/>
          </w:tcPr>
          <w:p w14:paraId="3430CFF4" w14:textId="77777777" w:rsidR="00315691" w:rsidRPr="00315691" w:rsidRDefault="00315691" w:rsidP="00315691">
            <w:pPr>
              <w:spacing w:after="0" w:line="240" w:lineRule="auto"/>
              <w:jc w:val="right"/>
              <w:rPr>
                <w:rFonts w:cs="Arial"/>
                <w:color w:val="000000"/>
                <w:sz w:val="16"/>
                <w:szCs w:val="16"/>
              </w:rPr>
            </w:pPr>
            <w:r w:rsidRPr="00315691">
              <w:rPr>
                <w:rFonts w:cs="Arial"/>
                <w:color w:val="000000"/>
                <w:sz w:val="16"/>
                <w:szCs w:val="16"/>
              </w:rPr>
              <w:t>88,6</w:t>
            </w:r>
          </w:p>
        </w:tc>
        <w:tc>
          <w:tcPr>
            <w:tcW w:w="980" w:type="dxa"/>
            <w:tcBorders>
              <w:top w:val="nil"/>
              <w:left w:val="nil"/>
              <w:bottom w:val="nil"/>
              <w:right w:val="nil"/>
            </w:tcBorders>
            <w:shd w:val="clear" w:color="auto" w:fill="auto"/>
            <w:vAlign w:val="center"/>
            <w:hideMark/>
          </w:tcPr>
          <w:p w14:paraId="4FA691B7" w14:textId="77777777" w:rsidR="00315691" w:rsidRPr="00315691" w:rsidRDefault="00315691" w:rsidP="00315691">
            <w:pPr>
              <w:spacing w:after="0" w:line="240" w:lineRule="auto"/>
              <w:jc w:val="right"/>
              <w:rPr>
                <w:rFonts w:cs="Arial"/>
                <w:sz w:val="16"/>
                <w:szCs w:val="16"/>
              </w:rPr>
            </w:pPr>
            <w:r w:rsidRPr="00315691">
              <w:rPr>
                <w:rFonts w:cs="Arial"/>
                <w:sz w:val="16"/>
                <w:szCs w:val="16"/>
              </w:rPr>
              <w:t>49,5</w:t>
            </w:r>
          </w:p>
        </w:tc>
        <w:tc>
          <w:tcPr>
            <w:tcW w:w="980" w:type="dxa"/>
            <w:tcBorders>
              <w:top w:val="nil"/>
              <w:left w:val="nil"/>
              <w:bottom w:val="nil"/>
              <w:right w:val="nil"/>
            </w:tcBorders>
            <w:shd w:val="clear" w:color="auto" w:fill="auto"/>
            <w:noWrap/>
            <w:vAlign w:val="center"/>
            <w:hideMark/>
          </w:tcPr>
          <w:p w14:paraId="4430FDA9" w14:textId="77777777" w:rsidR="00315691" w:rsidRPr="00315691" w:rsidRDefault="00315691" w:rsidP="00315691">
            <w:pPr>
              <w:spacing w:after="0" w:line="240" w:lineRule="auto"/>
              <w:jc w:val="right"/>
              <w:rPr>
                <w:rFonts w:cs="Arial"/>
                <w:color w:val="000000"/>
                <w:sz w:val="16"/>
                <w:szCs w:val="16"/>
              </w:rPr>
            </w:pPr>
            <w:r w:rsidRPr="00315691">
              <w:rPr>
                <w:rFonts w:cs="Arial"/>
                <w:color w:val="000000"/>
                <w:sz w:val="16"/>
                <w:szCs w:val="16"/>
              </w:rPr>
              <w:t>39,0</w:t>
            </w:r>
          </w:p>
        </w:tc>
      </w:tr>
      <w:tr w:rsidR="00315691" w:rsidRPr="00315691" w14:paraId="390F2B3A" w14:textId="77777777" w:rsidTr="00315691">
        <w:trPr>
          <w:trHeight w:val="300"/>
        </w:trPr>
        <w:tc>
          <w:tcPr>
            <w:tcW w:w="980" w:type="dxa"/>
            <w:tcBorders>
              <w:top w:val="nil"/>
              <w:left w:val="nil"/>
              <w:bottom w:val="nil"/>
              <w:right w:val="single" w:sz="4" w:space="0" w:color="auto"/>
            </w:tcBorders>
            <w:shd w:val="clear" w:color="auto" w:fill="auto"/>
            <w:vAlign w:val="center"/>
            <w:hideMark/>
          </w:tcPr>
          <w:p w14:paraId="1A0A372C" w14:textId="77777777" w:rsidR="00315691" w:rsidRPr="00315691" w:rsidRDefault="00315691" w:rsidP="00315691">
            <w:pPr>
              <w:spacing w:after="0" w:line="240" w:lineRule="auto"/>
              <w:jc w:val="center"/>
              <w:rPr>
                <w:rFonts w:cs="Arial"/>
                <w:sz w:val="16"/>
                <w:szCs w:val="16"/>
              </w:rPr>
            </w:pPr>
            <w:r w:rsidRPr="00315691">
              <w:rPr>
                <w:rFonts w:cs="Arial"/>
                <w:sz w:val="16"/>
                <w:szCs w:val="16"/>
              </w:rPr>
              <w:t>1. pol. 2017</w:t>
            </w:r>
          </w:p>
        </w:tc>
        <w:tc>
          <w:tcPr>
            <w:tcW w:w="980" w:type="dxa"/>
            <w:tcBorders>
              <w:top w:val="nil"/>
              <w:left w:val="single" w:sz="4" w:space="0" w:color="auto"/>
              <w:bottom w:val="nil"/>
              <w:right w:val="nil"/>
            </w:tcBorders>
            <w:shd w:val="clear" w:color="auto" w:fill="auto"/>
            <w:noWrap/>
            <w:vAlign w:val="center"/>
            <w:hideMark/>
          </w:tcPr>
          <w:p w14:paraId="14F34830" w14:textId="77777777" w:rsidR="00315691" w:rsidRPr="00315691" w:rsidRDefault="00315691" w:rsidP="00315691">
            <w:pPr>
              <w:spacing w:after="0" w:line="240" w:lineRule="auto"/>
              <w:jc w:val="right"/>
              <w:rPr>
                <w:rFonts w:cs="Arial"/>
                <w:color w:val="000000"/>
                <w:sz w:val="16"/>
                <w:szCs w:val="16"/>
              </w:rPr>
            </w:pPr>
            <w:r w:rsidRPr="00315691">
              <w:rPr>
                <w:rFonts w:cs="Arial"/>
                <w:color w:val="000000"/>
                <w:sz w:val="16"/>
                <w:szCs w:val="16"/>
              </w:rPr>
              <w:t>4 632,1</w:t>
            </w:r>
          </w:p>
        </w:tc>
        <w:tc>
          <w:tcPr>
            <w:tcW w:w="980" w:type="dxa"/>
            <w:tcBorders>
              <w:top w:val="nil"/>
              <w:left w:val="nil"/>
              <w:bottom w:val="nil"/>
              <w:right w:val="nil"/>
            </w:tcBorders>
            <w:shd w:val="clear" w:color="auto" w:fill="auto"/>
            <w:vAlign w:val="center"/>
            <w:hideMark/>
          </w:tcPr>
          <w:p w14:paraId="54250B90" w14:textId="77777777" w:rsidR="00315691" w:rsidRPr="00315691" w:rsidRDefault="00315691" w:rsidP="00315691">
            <w:pPr>
              <w:spacing w:after="0" w:line="240" w:lineRule="auto"/>
              <w:jc w:val="right"/>
              <w:rPr>
                <w:rFonts w:cs="Arial"/>
                <w:sz w:val="16"/>
                <w:szCs w:val="16"/>
              </w:rPr>
            </w:pPr>
            <w:r w:rsidRPr="00315691">
              <w:rPr>
                <w:rFonts w:cs="Arial"/>
                <w:sz w:val="16"/>
                <w:szCs w:val="16"/>
              </w:rPr>
              <w:t>2 351,8</w:t>
            </w:r>
          </w:p>
        </w:tc>
        <w:tc>
          <w:tcPr>
            <w:tcW w:w="980" w:type="dxa"/>
            <w:tcBorders>
              <w:top w:val="nil"/>
              <w:left w:val="nil"/>
              <w:bottom w:val="nil"/>
              <w:right w:val="single" w:sz="4" w:space="0" w:color="auto"/>
            </w:tcBorders>
            <w:shd w:val="clear" w:color="auto" w:fill="auto"/>
            <w:noWrap/>
            <w:vAlign w:val="center"/>
            <w:hideMark/>
          </w:tcPr>
          <w:p w14:paraId="2C398102" w14:textId="77777777" w:rsidR="00315691" w:rsidRPr="00315691" w:rsidRDefault="00315691" w:rsidP="00315691">
            <w:pPr>
              <w:spacing w:after="0" w:line="240" w:lineRule="auto"/>
              <w:jc w:val="right"/>
              <w:rPr>
                <w:rFonts w:cs="Arial"/>
                <w:color w:val="000000"/>
                <w:sz w:val="16"/>
                <w:szCs w:val="16"/>
              </w:rPr>
            </w:pPr>
            <w:r w:rsidRPr="00315691">
              <w:rPr>
                <w:rFonts w:cs="Arial"/>
                <w:color w:val="000000"/>
                <w:sz w:val="16"/>
                <w:szCs w:val="16"/>
              </w:rPr>
              <w:t>2 280,3</w:t>
            </w:r>
          </w:p>
        </w:tc>
        <w:tc>
          <w:tcPr>
            <w:tcW w:w="1039" w:type="dxa"/>
            <w:tcBorders>
              <w:top w:val="nil"/>
              <w:left w:val="nil"/>
              <w:bottom w:val="nil"/>
              <w:right w:val="nil"/>
            </w:tcBorders>
            <w:shd w:val="clear" w:color="auto" w:fill="auto"/>
            <w:noWrap/>
            <w:vAlign w:val="center"/>
            <w:hideMark/>
          </w:tcPr>
          <w:p w14:paraId="35170092" w14:textId="77777777" w:rsidR="00315691" w:rsidRPr="00315691" w:rsidRDefault="00315691" w:rsidP="00315691">
            <w:pPr>
              <w:spacing w:after="0" w:line="240" w:lineRule="auto"/>
              <w:jc w:val="right"/>
              <w:rPr>
                <w:rFonts w:cs="Arial"/>
                <w:sz w:val="16"/>
                <w:szCs w:val="16"/>
              </w:rPr>
            </w:pPr>
            <w:r w:rsidRPr="00315691">
              <w:rPr>
                <w:rFonts w:cs="Arial"/>
                <w:sz w:val="16"/>
                <w:szCs w:val="16"/>
              </w:rPr>
              <w:t>4 544,0</w:t>
            </w:r>
          </w:p>
        </w:tc>
        <w:tc>
          <w:tcPr>
            <w:tcW w:w="980" w:type="dxa"/>
            <w:tcBorders>
              <w:top w:val="nil"/>
              <w:left w:val="nil"/>
              <w:bottom w:val="nil"/>
              <w:right w:val="nil"/>
            </w:tcBorders>
            <w:shd w:val="clear" w:color="auto" w:fill="auto"/>
            <w:vAlign w:val="center"/>
            <w:hideMark/>
          </w:tcPr>
          <w:p w14:paraId="4E7DA885" w14:textId="77777777" w:rsidR="00315691" w:rsidRPr="00315691" w:rsidRDefault="00315691" w:rsidP="00315691">
            <w:pPr>
              <w:spacing w:after="0" w:line="240" w:lineRule="auto"/>
              <w:jc w:val="right"/>
              <w:rPr>
                <w:rFonts w:cs="Arial"/>
                <w:sz w:val="16"/>
                <w:szCs w:val="16"/>
              </w:rPr>
            </w:pPr>
            <w:r w:rsidRPr="00315691">
              <w:rPr>
                <w:rFonts w:cs="Arial"/>
                <w:sz w:val="16"/>
                <w:szCs w:val="16"/>
              </w:rPr>
              <w:t>2 298,4</w:t>
            </w:r>
          </w:p>
        </w:tc>
        <w:tc>
          <w:tcPr>
            <w:tcW w:w="980" w:type="dxa"/>
            <w:tcBorders>
              <w:top w:val="nil"/>
              <w:left w:val="nil"/>
              <w:bottom w:val="nil"/>
              <w:right w:val="single" w:sz="4" w:space="0" w:color="auto"/>
            </w:tcBorders>
            <w:shd w:val="clear" w:color="auto" w:fill="auto"/>
            <w:vAlign w:val="center"/>
            <w:hideMark/>
          </w:tcPr>
          <w:p w14:paraId="45B6DB18" w14:textId="77777777" w:rsidR="00315691" w:rsidRPr="00315691" w:rsidRDefault="00315691" w:rsidP="00315691">
            <w:pPr>
              <w:spacing w:after="0" w:line="240" w:lineRule="auto"/>
              <w:jc w:val="right"/>
              <w:rPr>
                <w:rFonts w:cs="Arial"/>
                <w:sz w:val="16"/>
                <w:szCs w:val="16"/>
              </w:rPr>
            </w:pPr>
            <w:r w:rsidRPr="00315691">
              <w:rPr>
                <w:rFonts w:cs="Arial"/>
                <w:sz w:val="16"/>
                <w:szCs w:val="16"/>
              </w:rPr>
              <w:t>2 245,6</w:t>
            </w:r>
          </w:p>
        </w:tc>
        <w:tc>
          <w:tcPr>
            <w:tcW w:w="980" w:type="dxa"/>
            <w:tcBorders>
              <w:top w:val="nil"/>
              <w:left w:val="nil"/>
              <w:bottom w:val="nil"/>
              <w:right w:val="nil"/>
            </w:tcBorders>
            <w:shd w:val="clear" w:color="auto" w:fill="auto"/>
            <w:noWrap/>
            <w:vAlign w:val="center"/>
            <w:hideMark/>
          </w:tcPr>
          <w:p w14:paraId="13000D53" w14:textId="77777777" w:rsidR="00315691" w:rsidRPr="00315691" w:rsidRDefault="00315691" w:rsidP="00315691">
            <w:pPr>
              <w:spacing w:after="0" w:line="240" w:lineRule="auto"/>
              <w:jc w:val="right"/>
              <w:rPr>
                <w:rFonts w:cs="Arial"/>
                <w:color w:val="000000"/>
                <w:sz w:val="16"/>
                <w:szCs w:val="16"/>
              </w:rPr>
            </w:pPr>
            <w:r w:rsidRPr="00315691">
              <w:rPr>
                <w:rFonts w:cs="Arial"/>
                <w:color w:val="000000"/>
                <w:sz w:val="16"/>
                <w:szCs w:val="16"/>
              </w:rPr>
              <w:t>88,1</w:t>
            </w:r>
          </w:p>
        </w:tc>
        <w:tc>
          <w:tcPr>
            <w:tcW w:w="980" w:type="dxa"/>
            <w:tcBorders>
              <w:top w:val="nil"/>
              <w:left w:val="nil"/>
              <w:bottom w:val="nil"/>
              <w:right w:val="nil"/>
            </w:tcBorders>
            <w:shd w:val="clear" w:color="auto" w:fill="auto"/>
            <w:vAlign w:val="center"/>
            <w:hideMark/>
          </w:tcPr>
          <w:p w14:paraId="040BE852" w14:textId="77777777" w:rsidR="00315691" w:rsidRPr="00315691" w:rsidRDefault="00315691" w:rsidP="00315691">
            <w:pPr>
              <w:spacing w:after="0" w:line="240" w:lineRule="auto"/>
              <w:jc w:val="right"/>
              <w:rPr>
                <w:rFonts w:cs="Arial"/>
                <w:sz w:val="16"/>
                <w:szCs w:val="16"/>
              </w:rPr>
            </w:pPr>
            <w:r w:rsidRPr="00315691">
              <w:rPr>
                <w:rFonts w:cs="Arial"/>
                <w:sz w:val="16"/>
                <w:szCs w:val="16"/>
              </w:rPr>
              <w:t>53,4</w:t>
            </w:r>
          </w:p>
        </w:tc>
        <w:tc>
          <w:tcPr>
            <w:tcW w:w="980" w:type="dxa"/>
            <w:tcBorders>
              <w:top w:val="nil"/>
              <w:left w:val="nil"/>
              <w:bottom w:val="nil"/>
              <w:right w:val="nil"/>
            </w:tcBorders>
            <w:shd w:val="clear" w:color="auto" w:fill="auto"/>
            <w:noWrap/>
            <w:vAlign w:val="center"/>
            <w:hideMark/>
          </w:tcPr>
          <w:p w14:paraId="57DC49FC" w14:textId="77777777" w:rsidR="00315691" w:rsidRPr="00315691" w:rsidRDefault="00315691" w:rsidP="00315691">
            <w:pPr>
              <w:spacing w:after="0" w:line="240" w:lineRule="auto"/>
              <w:jc w:val="right"/>
              <w:rPr>
                <w:rFonts w:cs="Arial"/>
                <w:color w:val="000000"/>
                <w:sz w:val="16"/>
                <w:szCs w:val="16"/>
              </w:rPr>
            </w:pPr>
            <w:r w:rsidRPr="00315691">
              <w:rPr>
                <w:rFonts w:cs="Arial"/>
                <w:color w:val="000000"/>
                <w:sz w:val="16"/>
                <w:szCs w:val="16"/>
              </w:rPr>
              <w:t>34,7</w:t>
            </w:r>
          </w:p>
        </w:tc>
      </w:tr>
      <w:tr w:rsidR="00315691" w:rsidRPr="00315691" w14:paraId="1508F01A" w14:textId="77777777" w:rsidTr="00315691">
        <w:trPr>
          <w:trHeight w:val="300"/>
        </w:trPr>
        <w:tc>
          <w:tcPr>
            <w:tcW w:w="980" w:type="dxa"/>
            <w:tcBorders>
              <w:top w:val="nil"/>
              <w:left w:val="nil"/>
              <w:bottom w:val="nil"/>
              <w:right w:val="single" w:sz="4" w:space="0" w:color="auto"/>
            </w:tcBorders>
            <w:shd w:val="clear" w:color="auto" w:fill="auto"/>
            <w:vAlign w:val="center"/>
            <w:hideMark/>
          </w:tcPr>
          <w:p w14:paraId="15FA3261" w14:textId="77777777" w:rsidR="00315691" w:rsidRPr="00315691" w:rsidRDefault="00315691" w:rsidP="00315691">
            <w:pPr>
              <w:spacing w:after="0" w:line="240" w:lineRule="auto"/>
              <w:jc w:val="center"/>
              <w:rPr>
                <w:rFonts w:cs="Arial"/>
                <w:sz w:val="16"/>
                <w:szCs w:val="16"/>
              </w:rPr>
            </w:pPr>
            <w:r w:rsidRPr="00315691">
              <w:rPr>
                <w:rFonts w:cs="Arial"/>
                <w:sz w:val="16"/>
                <w:szCs w:val="16"/>
              </w:rPr>
              <w:t>1. pol. 2018</w:t>
            </w:r>
          </w:p>
        </w:tc>
        <w:tc>
          <w:tcPr>
            <w:tcW w:w="980" w:type="dxa"/>
            <w:tcBorders>
              <w:top w:val="nil"/>
              <w:left w:val="single" w:sz="4" w:space="0" w:color="auto"/>
              <w:bottom w:val="nil"/>
              <w:right w:val="nil"/>
            </w:tcBorders>
            <w:shd w:val="clear" w:color="auto" w:fill="auto"/>
            <w:noWrap/>
            <w:vAlign w:val="center"/>
            <w:hideMark/>
          </w:tcPr>
          <w:p w14:paraId="3A6B72B4" w14:textId="77777777" w:rsidR="00315691" w:rsidRPr="00315691" w:rsidRDefault="00315691" w:rsidP="00315691">
            <w:pPr>
              <w:spacing w:after="0" w:line="240" w:lineRule="auto"/>
              <w:jc w:val="right"/>
              <w:rPr>
                <w:rFonts w:cs="Arial"/>
                <w:color w:val="000000"/>
                <w:sz w:val="16"/>
                <w:szCs w:val="16"/>
              </w:rPr>
            </w:pPr>
            <w:r w:rsidRPr="00315691">
              <w:rPr>
                <w:rFonts w:cs="Arial"/>
                <w:color w:val="000000"/>
                <w:sz w:val="16"/>
                <w:szCs w:val="16"/>
              </w:rPr>
              <w:t>4 710,8</w:t>
            </w:r>
          </w:p>
        </w:tc>
        <w:tc>
          <w:tcPr>
            <w:tcW w:w="980" w:type="dxa"/>
            <w:tcBorders>
              <w:top w:val="nil"/>
              <w:left w:val="nil"/>
              <w:bottom w:val="nil"/>
              <w:right w:val="nil"/>
            </w:tcBorders>
            <w:shd w:val="clear" w:color="auto" w:fill="auto"/>
            <w:vAlign w:val="center"/>
            <w:hideMark/>
          </w:tcPr>
          <w:p w14:paraId="471C3776" w14:textId="77777777" w:rsidR="00315691" w:rsidRPr="00315691" w:rsidRDefault="00315691" w:rsidP="00315691">
            <w:pPr>
              <w:spacing w:after="0" w:line="240" w:lineRule="auto"/>
              <w:jc w:val="right"/>
              <w:rPr>
                <w:rFonts w:cs="Arial"/>
                <w:sz w:val="16"/>
                <w:szCs w:val="16"/>
              </w:rPr>
            </w:pPr>
            <w:r w:rsidRPr="00315691">
              <w:rPr>
                <w:rFonts w:cs="Arial"/>
                <w:sz w:val="16"/>
                <w:szCs w:val="16"/>
              </w:rPr>
              <w:t>2 381,4</w:t>
            </w:r>
          </w:p>
        </w:tc>
        <w:tc>
          <w:tcPr>
            <w:tcW w:w="980" w:type="dxa"/>
            <w:tcBorders>
              <w:top w:val="nil"/>
              <w:left w:val="nil"/>
              <w:bottom w:val="nil"/>
              <w:right w:val="single" w:sz="4" w:space="0" w:color="auto"/>
            </w:tcBorders>
            <w:shd w:val="clear" w:color="auto" w:fill="auto"/>
            <w:noWrap/>
            <w:vAlign w:val="center"/>
            <w:hideMark/>
          </w:tcPr>
          <w:p w14:paraId="20887C11" w14:textId="77777777" w:rsidR="00315691" w:rsidRPr="00315691" w:rsidRDefault="00315691" w:rsidP="00315691">
            <w:pPr>
              <w:spacing w:after="0" w:line="240" w:lineRule="auto"/>
              <w:jc w:val="right"/>
              <w:rPr>
                <w:rFonts w:cs="Arial"/>
                <w:color w:val="000000"/>
                <w:sz w:val="16"/>
                <w:szCs w:val="16"/>
              </w:rPr>
            </w:pPr>
            <w:r w:rsidRPr="00315691">
              <w:rPr>
                <w:rFonts w:cs="Arial"/>
                <w:color w:val="000000"/>
                <w:sz w:val="16"/>
                <w:szCs w:val="16"/>
              </w:rPr>
              <w:t>2 329,4</w:t>
            </w:r>
          </w:p>
        </w:tc>
        <w:tc>
          <w:tcPr>
            <w:tcW w:w="1039" w:type="dxa"/>
            <w:tcBorders>
              <w:top w:val="nil"/>
              <w:left w:val="nil"/>
              <w:bottom w:val="nil"/>
              <w:right w:val="nil"/>
            </w:tcBorders>
            <w:shd w:val="clear" w:color="auto" w:fill="auto"/>
            <w:noWrap/>
            <w:vAlign w:val="center"/>
            <w:hideMark/>
          </w:tcPr>
          <w:p w14:paraId="2F0C559E" w14:textId="77777777" w:rsidR="00315691" w:rsidRPr="00315691" w:rsidRDefault="00315691" w:rsidP="00315691">
            <w:pPr>
              <w:spacing w:after="0" w:line="240" w:lineRule="auto"/>
              <w:jc w:val="right"/>
              <w:rPr>
                <w:rFonts w:cs="Arial"/>
                <w:sz w:val="16"/>
                <w:szCs w:val="16"/>
              </w:rPr>
            </w:pPr>
            <w:r w:rsidRPr="00315691">
              <w:rPr>
                <w:rFonts w:cs="Arial"/>
                <w:sz w:val="16"/>
                <w:szCs w:val="16"/>
              </w:rPr>
              <w:t>4 620,7</w:t>
            </w:r>
          </w:p>
        </w:tc>
        <w:tc>
          <w:tcPr>
            <w:tcW w:w="980" w:type="dxa"/>
            <w:tcBorders>
              <w:top w:val="nil"/>
              <w:left w:val="nil"/>
              <w:bottom w:val="nil"/>
              <w:right w:val="nil"/>
            </w:tcBorders>
            <w:shd w:val="clear" w:color="auto" w:fill="auto"/>
            <w:vAlign w:val="center"/>
            <w:hideMark/>
          </w:tcPr>
          <w:p w14:paraId="073D6625" w14:textId="77777777" w:rsidR="00315691" w:rsidRPr="00315691" w:rsidRDefault="00315691" w:rsidP="00315691">
            <w:pPr>
              <w:spacing w:after="0" w:line="240" w:lineRule="auto"/>
              <w:jc w:val="right"/>
              <w:rPr>
                <w:rFonts w:cs="Arial"/>
                <w:sz w:val="16"/>
                <w:szCs w:val="16"/>
              </w:rPr>
            </w:pPr>
            <w:r w:rsidRPr="00315691">
              <w:rPr>
                <w:rFonts w:cs="Arial"/>
                <w:sz w:val="16"/>
                <w:szCs w:val="16"/>
              </w:rPr>
              <w:t>2 327,6</w:t>
            </w:r>
          </w:p>
        </w:tc>
        <w:tc>
          <w:tcPr>
            <w:tcW w:w="980" w:type="dxa"/>
            <w:tcBorders>
              <w:top w:val="nil"/>
              <w:left w:val="nil"/>
              <w:bottom w:val="nil"/>
              <w:right w:val="single" w:sz="4" w:space="0" w:color="auto"/>
            </w:tcBorders>
            <w:shd w:val="clear" w:color="auto" w:fill="auto"/>
            <w:vAlign w:val="center"/>
            <w:hideMark/>
          </w:tcPr>
          <w:p w14:paraId="59844174" w14:textId="77777777" w:rsidR="00315691" w:rsidRPr="00315691" w:rsidRDefault="00315691" w:rsidP="00315691">
            <w:pPr>
              <w:spacing w:after="0" w:line="240" w:lineRule="auto"/>
              <w:jc w:val="right"/>
              <w:rPr>
                <w:rFonts w:cs="Arial"/>
                <w:sz w:val="16"/>
                <w:szCs w:val="16"/>
              </w:rPr>
            </w:pPr>
            <w:r w:rsidRPr="00315691">
              <w:rPr>
                <w:rFonts w:cs="Arial"/>
                <w:sz w:val="16"/>
                <w:szCs w:val="16"/>
              </w:rPr>
              <w:t>2 293,1</w:t>
            </w:r>
          </w:p>
        </w:tc>
        <w:tc>
          <w:tcPr>
            <w:tcW w:w="980" w:type="dxa"/>
            <w:tcBorders>
              <w:top w:val="nil"/>
              <w:left w:val="nil"/>
              <w:bottom w:val="nil"/>
              <w:right w:val="nil"/>
            </w:tcBorders>
            <w:shd w:val="clear" w:color="auto" w:fill="auto"/>
            <w:noWrap/>
            <w:vAlign w:val="center"/>
            <w:hideMark/>
          </w:tcPr>
          <w:p w14:paraId="41CFD8D4" w14:textId="77777777" w:rsidR="00315691" w:rsidRPr="00315691" w:rsidRDefault="00315691" w:rsidP="00315691">
            <w:pPr>
              <w:spacing w:after="0" w:line="240" w:lineRule="auto"/>
              <w:jc w:val="right"/>
              <w:rPr>
                <w:rFonts w:cs="Arial"/>
                <w:color w:val="000000"/>
                <w:sz w:val="16"/>
                <w:szCs w:val="16"/>
              </w:rPr>
            </w:pPr>
            <w:r w:rsidRPr="00315691">
              <w:rPr>
                <w:rFonts w:cs="Arial"/>
                <w:color w:val="000000"/>
                <w:sz w:val="16"/>
                <w:szCs w:val="16"/>
              </w:rPr>
              <w:t>90,1</w:t>
            </w:r>
          </w:p>
        </w:tc>
        <w:tc>
          <w:tcPr>
            <w:tcW w:w="980" w:type="dxa"/>
            <w:tcBorders>
              <w:top w:val="nil"/>
              <w:left w:val="nil"/>
              <w:bottom w:val="nil"/>
              <w:right w:val="nil"/>
            </w:tcBorders>
            <w:shd w:val="clear" w:color="auto" w:fill="auto"/>
            <w:vAlign w:val="center"/>
            <w:hideMark/>
          </w:tcPr>
          <w:p w14:paraId="5DBE271D" w14:textId="77777777" w:rsidR="00315691" w:rsidRPr="00315691" w:rsidRDefault="00315691" w:rsidP="00315691">
            <w:pPr>
              <w:spacing w:after="0" w:line="240" w:lineRule="auto"/>
              <w:jc w:val="right"/>
              <w:rPr>
                <w:rFonts w:cs="Arial"/>
                <w:sz w:val="16"/>
                <w:szCs w:val="16"/>
              </w:rPr>
            </w:pPr>
            <w:r w:rsidRPr="00315691">
              <w:rPr>
                <w:rFonts w:cs="Arial"/>
                <w:sz w:val="16"/>
                <w:szCs w:val="16"/>
              </w:rPr>
              <w:t>53,8</w:t>
            </w:r>
          </w:p>
        </w:tc>
        <w:tc>
          <w:tcPr>
            <w:tcW w:w="980" w:type="dxa"/>
            <w:tcBorders>
              <w:top w:val="nil"/>
              <w:left w:val="nil"/>
              <w:bottom w:val="nil"/>
              <w:right w:val="nil"/>
            </w:tcBorders>
            <w:shd w:val="clear" w:color="auto" w:fill="auto"/>
            <w:noWrap/>
            <w:vAlign w:val="center"/>
            <w:hideMark/>
          </w:tcPr>
          <w:p w14:paraId="62EF652A" w14:textId="77777777" w:rsidR="00315691" w:rsidRPr="00315691" w:rsidRDefault="00315691" w:rsidP="00315691">
            <w:pPr>
              <w:spacing w:after="0" w:line="240" w:lineRule="auto"/>
              <w:jc w:val="right"/>
              <w:rPr>
                <w:rFonts w:cs="Arial"/>
                <w:color w:val="000000"/>
                <w:sz w:val="16"/>
                <w:szCs w:val="16"/>
              </w:rPr>
            </w:pPr>
            <w:r w:rsidRPr="00315691">
              <w:rPr>
                <w:rFonts w:cs="Arial"/>
                <w:color w:val="000000"/>
                <w:sz w:val="16"/>
                <w:szCs w:val="16"/>
              </w:rPr>
              <w:t>36,3</w:t>
            </w:r>
          </w:p>
        </w:tc>
      </w:tr>
      <w:tr w:rsidR="00315691" w:rsidRPr="00315691" w14:paraId="20604BF7" w14:textId="77777777" w:rsidTr="00315691">
        <w:trPr>
          <w:trHeight w:val="300"/>
        </w:trPr>
        <w:tc>
          <w:tcPr>
            <w:tcW w:w="980" w:type="dxa"/>
            <w:tcBorders>
              <w:top w:val="nil"/>
              <w:left w:val="nil"/>
              <w:bottom w:val="nil"/>
              <w:right w:val="single" w:sz="4" w:space="0" w:color="auto"/>
            </w:tcBorders>
            <w:shd w:val="clear" w:color="auto" w:fill="auto"/>
            <w:vAlign w:val="center"/>
            <w:hideMark/>
          </w:tcPr>
          <w:p w14:paraId="12EFC1E2" w14:textId="77777777" w:rsidR="00315691" w:rsidRPr="00315691" w:rsidRDefault="00315691" w:rsidP="00315691">
            <w:pPr>
              <w:spacing w:after="0" w:line="240" w:lineRule="auto"/>
              <w:jc w:val="center"/>
              <w:rPr>
                <w:rFonts w:cs="Arial"/>
                <w:sz w:val="16"/>
                <w:szCs w:val="16"/>
              </w:rPr>
            </w:pPr>
            <w:r w:rsidRPr="00315691">
              <w:rPr>
                <w:rFonts w:cs="Arial"/>
                <w:sz w:val="16"/>
                <w:szCs w:val="16"/>
              </w:rPr>
              <w:t>1. pol. 2019</w:t>
            </w:r>
          </w:p>
        </w:tc>
        <w:tc>
          <w:tcPr>
            <w:tcW w:w="980" w:type="dxa"/>
            <w:tcBorders>
              <w:top w:val="nil"/>
              <w:left w:val="nil"/>
              <w:bottom w:val="nil"/>
              <w:right w:val="nil"/>
            </w:tcBorders>
            <w:shd w:val="clear" w:color="auto" w:fill="auto"/>
            <w:noWrap/>
            <w:vAlign w:val="center"/>
            <w:hideMark/>
          </w:tcPr>
          <w:p w14:paraId="12EDA391" w14:textId="77777777" w:rsidR="00315691" w:rsidRPr="00315691" w:rsidRDefault="00315691" w:rsidP="00315691">
            <w:pPr>
              <w:spacing w:after="0" w:line="240" w:lineRule="auto"/>
              <w:jc w:val="right"/>
              <w:rPr>
                <w:rFonts w:cs="Arial"/>
                <w:color w:val="000000"/>
                <w:sz w:val="16"/>
                <w:szCs w:val="16"/>
              </w:rPr>
            </w:pPr>
            <w:r w:rsidRPr="00315691">
              <w:rPr>
                <w:rFonts w:cs="Arial"/>
                <w:color w:val="000000"/>
                <w:sz w:val="16"/>
                <w:szCs w:val="16"/>
              </w:rPr>
              <w:t>4 736,9</w:t>
            </w:r>
          </w:p>
        </w:tc>
        <w:tc>
          <w:tcPr>
            <w:tcW w:w="980" w:type="dxa"/>
            <w:tcBorders>
              <w:top w:val="nil"/>
              <w:left w:val="nil"/>
              <w:bottom w:val="nil"/>
              <w:right w:val="nil"/>
            </w:tcBorders>
            <w:shd w:val="clear" w:color="auto" w:fill="auto"/>
            <w:noWrap/>
            <w:vAlign w:val="center"/>
            <w:hideMark/>
          </w:tcPr>
          <w:p w14:paraId="41A8A873" w14:textId="77777777" w:rsidR="00315691" w:rsidRPr="00315691" w:rsidRDefault="00315691" w:rsidP="00315691">
            <w:pPr>
              <w:spacing w:after="0" w:line="240" w:lineRule="auto"/>
              <w:jc w:val="right"/>
              <w:rPr>
                <w:rFonts w:cs="Arial"/>
                <w:color w:val="000000"/>
                <w:sz w:val="16"/>
                <w:szCs w:val="16"/>
              </w:rPr>
            </w:pPr>
            <w:r w:rsidRPr="00315691">
              <w:rPr>
                <w:rFonts w:cs="Arial"/>
                <w:color w:val="000000"/>
                <w:sz w:val="16"/>
                <w:szCs w:val="16"/>
              </w:rPr>
              <w:t>2 386,5</w:t>
            </w:r>
          </w:p>
        </w:tc>
        <w:tc>
          <w:tcPr>
            <w:tcW w:w="980" w:type="dxa"/>
            <w:tcBorders>
              <w:top w:val="nil"/>
              <w:left w:val="nil"/>
              <w:bottom w:val="nil"/>
              <w:right w:val="single" w:sz="4" w:space="0" w:color="auto"/>
            </w:tcBorders>
            <w:shd w:val="clear" w:color="auto" w:fill="auto"/>
            <w:noWrap/>
            <w:vAlign w:val="center"/>
            <w:hideMark/>
          </w:tcPr>
          <w:p w14:paraId="7E531525" w14:textId="77777777" w:rsidR="00315691" w:rsidRPr="00315691" w:rsidRDefault="00315691" w:rsidP="00315691">
            <w:pPr>
              <w:spacing w:after="0" w:line="240" w:lineRule="auto"/>
              <w:jc w:val="right"/>
              <w:rPr>
                <w:rFonts w:cs="Arial"/>
                <w:color w:val="000000"/>
                <w:sz w:val="16"/>
                <w:szCs w:val="16"/>
              </w:rPr>
            </w:pPr>
            <w:r w:rsidRPr="00315691">
              <w:rPr>
                <w:rFonts w:cs="Arial"/>
                <w:color w:val="000000"/>
                <w:sz w:val="16"/>
                <w:szCs w:val="16"/>
              </w:rPr>
              <w:t>2 350,4</w:t>
            </w:r>
          </w:p>
        </w:tc>
        <w:tc>
          <w:tcPr>
            <w:tcW w:w="1039" w:type="dxa"/>
            <w:tcBorders>
              <w:top w:val="nil"/>
              <w:left w:val="nil"/>
              <w:bottom w:val="nil"/>
              <w:right w:val="nil"/>
            </w:tcBorders>
            <w:shd w:val="clear" w:color="auto" w:fill="auto"/>
            <w:noWrap/>
            <w:vAlign w:val="center"/>
            <w:hideMark/>
          </w:tcPr>
          <w:p w14:paraId="545F36AF" w14:textId="77777777" w:rsidR="00315691" w:rsidRPr="00315691" w:rsidRDefault="00315691" w:rsidP="00315691">
            <w:pPr>
              <w:spacing w:after="0" w:line="240" w:lineRule="auto"/>
              <w:jc w:val="right"/>
              <w:rPr>
                <w:rFonts w:cs="Arial"/>
                <w:color w:val="000000"/>
                <w:sz w:val="16"/>
                <w:szCs w:val="16"/>
              </w:rPr>
            </w:pPr>
            <w:r w:rsidRPr="00315691">
              <w:rPr>
                <w:rFonts w:cs="Arial"/>
                <w:color w:val="000000"/>
                <w:sz w:val="16"/>
                <w:szCs w:val="16"/>
              </w:rPr>
              <w:t>4 644,3</w:t>
            </w:r>
          </w:p>
        </w:tc>
        <w:tc>
          <w:tcPr>
            <w:tcW w:w="980" w:type="dxa"/>
            <w:tcBorders>
              <w:top w:val="nil"/>
              <w:left w:val="nil"/>
              <w:bottom w:val="nil"/>
              <w:right w:val="nil"/>
            </w:tcBorders>
            <w:shd w:val="clear" w:color="auto" w:fill="auto"/>
            <w:noWrap/>
            <w:vAlign w:val="center"/>
            <w:hideMark/>
          </w:tcPr>
          <w:p w14:paraId="63C1B65B" w14:textId="77777777" w:rsidR="00315691" w:rsidRPr="00315691" w:rsidRDefault="00315691" w:rsidP="00315691">
            <w:pPr>
              <w:spacing w:after="0" w:line="240" w:lineRule="auto"/>
              <w:jc w:val="right"/>
              <w:rPr>
                <w:rFonts w:cs="Arial"/>
                <w:color w:val="000000"/>
                <w:sz w:val="16"/>
                <w:szCs w:val="16"/>
              </w:rPr>
            </w:pPr>
            <w:r w:rsidRPr="00315691">
              <w:rPr>
                <w:rFonts w:cs="Arial"/>
                <w:color w:val="000000"/>
                <w:sz w:val="16"/>
                <w:szCs w:val="16"/>
              </w:rPr>
              <w:t>2 332,0</w:t>
            </w:r>
          </w:p>
        </w:tc>
        <w:tc>
          <w:tcPr>
            <w:tcW w:w="980" w:type="dxa"/>
            <w:tcBorders>
              <w:top w:val="nil"/>
              <w:left w:val="nil"/>
              <w:bottom w:val="nil"/>
              <w:right w:val="single" w:sz="4" w:space="0" w:color="auto"/>
            </w:tcBorders>
            <w:shd w:val="clear" w:color="auto" w:fill="auto"/>
            <w:noWrap/>
            <w:vAlign w:val="center"/>
            <w:hideMark/>
          </w:tcPr>
          <w:p w14:paraId="197DB8A6" w14:textId="77777777" w:rsidR="00315691" w:rsidRPr="00315691" w:rsidRDefault="00315691" w:rsidP="00315691">
            <w:pPr>
              <w:spacing w:after="0" w:line="240" w:lineRule="auto"/>
              <w:jc w:val="right"/>
              <w:rPr>
                <w:rFonts w:cs="Arial"/>
                <w:color w:val="000000"/>
                <w:sz w:val="16"/>
                <w:szCs w:val="16"/>
              </w:rPr>
            </w:pPr>
            <w:r w:rsidRPr="00315691">
              <w:rPr>
                <w:rFonts w:cs="Arial"/>
                <w:color w:val="000000"/>
                <w:sz w:val="16"/>
                <w:szCs w:val="16"/>
              </w:rPr>
              <w:t>2 312,3</w:t>
            </w:r>
          </w:p>
        </w:tc>
        <w:tc>
          <w:tcPr>
            <w:tcW w:w="980" w:type="dxa"/>
            <w:tcBorders>
              <w:top w:val="nil"/>
              <w:left w:val="nil"/>
              <w:bottom w:val="nil"/>
              <w:right w:val="nil"/>
            </w:tcBorders>
            <w:shd w:val="clear" w:color="auto" w:fill="auto"/>
            <w:noWrap/>
            <w:vAlign w:val="center"/>
            <w:hideMark/>
          </w:tcPr>
          <w:p w14:paraId="072167E3" w14:textId="77777777" w:rsidR="00315691" w:rsidRPr="00315691" w:rsidRDefault="00315691" w:rsidP="00315691">
            <w:pPr>
              <w:spacing w:after="0" w:line="240" w:lineRule="auto"/>
              <w:jc w:val="right"/>
              <w:rPr>
                <w:rFonts w:cs="Arial"/>
                <w:color w:val="000000"/>
                <w:sz w:val="16"/>
                <w:szCs w:val="16"/>
              </w:rPr>
            </w:pPr>
            <w:r w:rsidRPr="00315691">
              <w:rPr>
                <w:rFonts w:cs="Arial"/>
                <w:color w:val="000000"/>
                <w:sz w:val="16"/>
                <w:szCs w:val="16"/>
              </w:rPr>
              <w:t>92,6</w:t>
            </w:r>
          </w:p>
        </w:tc>
        <w:tc>
          <w:tcPr>
            <w:tcW w:w="980" w:type="dxa"/>
            <w:tcBorders>
              <w:top w:val="nil"/>
              <w:left w:val="nil"/>
              <w:bottom w:val="nil"/>
              <w:right w:val="nil"/>
            </w:tcBorders>
            <w:shd w:val="clear" w:color="auto" w:fill="auto"/>
            <w:noWrap/>
            <w:vAlign w:val="center"/>
            <w:hideMark/>
          </w:tcPr>
          <w:p w14:paraId="279B300E" w14:textId="77777777" w:rsidR="00315691" w:rsidRPr="00315691" w:rsidRDefault="00315691" w:rsidP="00315691">
            <w:pPr>
              <w:spacing w:after="0" w:line="240" w:lineRule="auto"/>
              <w:jc w:val="right"/>
              <w:rPr>
                <w:rFonts w:cs="Arial"/>
                <w:color w:val="000000"/>
                <w:sz w:val="16"/>
                <w:szCs w:val="16"/>
              </w:rPr>
            </w:pPr>
            <w:r w:rsidRPr="00315691">
              <w:rPr>
                <w:rFonts w:cs="Arial"/>
                <w:color w:val="000000"/>
                <w:sz w:val="16"/>
                <w:szCs w:val="16"/>
              </w:rPr>
              <w:t>54,5</w:t>
            </w:r>
          </w:p>
        </w:tc>
        <w:tc>
          <w:tcPr>
            <w:tcW w:w="980" w:type="dxa"/>
            <w:tcBorders>
              <w:top w:val="nil"/>
              <w:left w:val="nil"/>
              <w:bottom w:val="nil"/>
              <w:right w:val="nil"/>
            </w:tcBorders>
            <w:shd w:val="clear" w:color="auto" w:fill="auto"/>
            <w:noWrap/>
            <w:vAlign w:val="center"/>
            <w:hideMark/>
          </w:tcPr>
          <w:p w14:paraId="078F5298" w14:textId="77777777" w:rsidR="00315691" w:rsidRPr="00315691" w:rsidRDefault="00315691" w:rsidP="00315691">
            <w:pPr>
              <w:spacing w:after="0" w:line="240" w:lineRule="auto"/>
              <w:jc w:val="right"/>
              <w:rPr>
                <w:rFonts w:cs="Arial"/>
                <w:color w:val="000000"/>
                <w:sz w:val="16"/>
                <w:szCs w:val="16"/>
              </w:rPr>
            </w:pPr>
            <w:r w:rsidRPr="00315691">
              <w:rPr>
                <w:rFonts w:cs="Arial"/>
                <w:color w:val="000000"/>
                <w:sz w:val="16"/>
                <w:szCs w:val="16"/>
              </w:rPr>
              <w:t>38,1</w:t>
            </w:r>
          </w:p>
        </w:tc>
      </w:tr>
      <w:tr w:rsidR="00315691" w:rsidRPr="00315691" w14:paraId="622F4E64" w14:textId="77777777" w:rsidTr="00315691">
        <w:trPr>
          <w:trHeight w:val="255"/>
        </w:trPr>
        <w:tc>
          <w:tcPr>
            <w:tcW w:w="980" w:type="dxa"/>
            <w:tcBorders>
              <w:top w:val="nil"/>
              <w:left w:val="nil"/>
              <w:bottom w:val="nil"/>
              <w:right w:val="nil"/>
            </w:tcBorders>
            <w:shd w:val="clear" w:color="auto" w:fill="auto"/>
            <w:noWrap/>
            <w:vAlign w:val="bottom"/>
            <w:hideMark/>
          </w:tcPr>
          <w:p w14:paraId="612CD6AA" w14:textId="77777777" w:rsidR="00315691" w:rsidRPr="00315691" w:rsidRDefault="00315691" w:rsidP="00A61EC3">
            <w:pPr>
              <w:spacing w:before="120" w:line="240" w:lineRule="auto"/>
              <w:jc w:val="both"/>
              <w:rPr>
                <w:rFonts w:cs="Arial"/>
                <w:color w:val="000000"/>
                <w:sz w:val="16"/>
                <w:szCs w:val="16"/>
              </w:rPr>
            </w:pPr>
            <w:r w:rsidRPr="00315691">
              <w:rPr>
                <w:rFonts w:cs="Arial"/>
                <w:color w:val="000000"/>
                <w:sz w:val="16"/>
                <w:szCs w:val="16"/>
              </w:rPr>
              <w:t>Zdroj: ČSÚ</w:t>
            </w:r>
          </w:p>
        </w:tc>
        <w:tc>
          <w:tcPr>
            <w:tcW w:w="980" w:type="dxa"/>
            <w:tcBorders>
              <w:top w:val="nil"/>
              <w:left w:val="nil"/>
              <w:bottom w:val="nil"/>
              <w:right w:val="nil"/>
            </w:tcBorders>
            <w:shd w:val="clear" w:color="auto" w:fill="auto"/>
            <w:noWrap/>
            <w:vAlign w:val="bottom"/>
            <w:hideMark/>
          </w:tcPr>
          <w:p w14:paraId="10342109" w14:textId="77777777" w:rsidR="00315691" w:rsidRPr="00315691" w:rsidRDefault="00315691" w:rsidP="00315691">
            <w:pPr>
              <w:spacing w:after="0" w:line="240" w:lineRule="auto"/>
              <w:jc w:val="both"/>
              <w:rPr>
                <w:rFonts w:cs="Arial"/>
                <w:color w:val="000000"/>
                <w:sz w:val="16"/>
                <w:szCs w:val="16"/>
              </w:rPr>
            </w:pPr>
          </w:p>
        </w:tc>
        <w:tc>
          <w:tcPr>
            <w:tcW w:w="980" w:type="dxa"/>
            <w:tcBorders>
              <w:top w:val="nil"/>
              <w:left w:val="nil"/>
              <w:bottom w:val="nil"/>
              <w:right w:val="nil"/>
            </w:tcBorders>
            <w:shd w:val="clear" w:color="auto" w:fill="auto"/>
            <w:noWrap/>
            <w:vAlign w:val="bottom"/>
            <w:hideMark/>
          </w:tcPr>
          <w:p w14:paraId="3AE4119D" w14:textId="77777777" w:rsidR="00315691" w:rsidRPr="00315691" w:rsidRDefault="00315691" w:rsidP="00315691">
            <w:pPr>
              <w:spacing w:after="0" w:line="240" w:lineRule="auto"/>
              <w:rPr>
                <w:rFonts w:ascii="Times New Roman" w:hAnsi="Times New Roman"/>
                <w:szCs w:val="20"/>
              </w:rPr>
            </w:pPr>
          </w:p>
        </w:tc>
        <w:tc>
          <w:tcPr>
            <w:tcW w:w="980" w:type="dxa"/>
            <w:tcBorders>
              <w:top w:val="nil"/>
              <w:left w:val="nil"/>
              <w:bottom w:val="nil"/>
              <w:right w:val="nil"/>
            </w:tcBorders>
            <w:shd w:val="clear" w:color="auto" w:fill="auto"/>
            <w:noWrap/>
            <w:vAlign w:val="bottom"/>
            <w:hideMark/>
          </w:tcPr>
          <w:p w14:paraId="5A84887A" w14:textId="77777777" w:rsidR="00315691" w:rsidRPr="00315691" w:rsidRDefault="00315691" w:rsidP="00315691">
            <w:pPr>
              <w:spacing w:after="0" w:line="240" w:lineRule="auto"/>
              <w:rPr>
                <w:rFonts w:ascii="Times New Roman" w:hAnsi="Times New Roman"/>
                <w:szCs w:val="20"/>
              </w:rPr>
            </w:pPr>
          </w:p>
        </w:tc>
        <w:tc>
          <w:tcPr>
            <w:tcW w:w="1039" w:type="dxa"/>
            <w:tcBorders>
              <w:top w:val="nil"/>
              <w:left w:val="nil"/>
              <w:bottom w:val="nil"/>
              <w:right w:val="nil"/>
            </w:tcBorders>
            <w:shd w:val="clear" w:color="auto" w:fill="auto"/>
            <w:noWrap/>
            <w:vAlign w:val="bottom"/>
            <w:hideMark/>
          </w:tcPr>
          <w:p w14:paraId="2974A55C" w14:textId="77777777" w:rsidR="00315691" w:rsidRPr="00315691" w:rsidRDefault="00315691" w:rsidP="00315691">
            <w:pPr>
              <w:spacing w:after="0" w:line="240" w:lineRule="auto"/>
              <w:rPr>
                <w:rFonts w:ascii="Times New Roman" w:hAnsi="Times New Roman"/>
                <w:szCs w:val="20"/>
              </w:rPr>
            </w:pPr>
          </w:p>
        </w:tc>
        <w:tc>
          <w:tcPr>
            <w:tcW w:w="980" w:type="dxa"/>
            <w:tcBorders>
              <w:top w:val="nil"/>
              <w:left w:val="nil"/>
              <w:bottom w:val="nil"/>
              <w:right w:val="nil"/>
            </w:tcBorders>
            <w:shd w:val="clear" w:color="auto" w:fill="auto"/>
            <w:noWrap/>
            <w:vAlign w:val="bottom"/>
            <w:hideMark/>
          </w:tcPr>
          <w:p w14:paraId="7AF8899E" w14:textId="77777777" w:rsidR="00315691" w:rsidRPr="00315691" w:rsidRDefault="00315691" w:rsidP="00315691">
            <w:pPr>
              <w:spacing w:after="0" w:line="240" w:lineRule="auto"/>
              <w:rPr>
                <w:rFonts w:ascii="Times New Roman" w:hAnsi="Times New Roman"/>
                <w:szCs w:val="20"/>
              </w:rPr>
            </w:pPr>
          </w:p>
        </w:tc>
        <w:tc>
          <w:tcPr>
            <w:tcW w:w="980" w:type="dxa"/>
            <w:tcBorders>
              <w:top w:val="nil"/>
              <w:left w:val="nil"/>
              <w:bottom w:val="nil"/>
              <w:right w:val="nil"/>
            </w:tcBorders>
            <w:shd w:val="clear" w:color="auto" w:fill="auto"/>
            <w:noWrap/>
            <w:vAlign w:val="bottom"/>
            <w:hideMark/>
          </w:tcPr>
          <w:p w14:paraId="2BC47261" w14:textId="77777777" w:rsidR="00315691" w:rsidRPr="00315691" w:rsidRDefault="00315691" w:rsidP="00315691">
            <w:pPr>
              <w:spacing w:after="0" w:line="240" w:lineRule="auto"/>
              <w:rPr>
                <w:rFonts w:ascii="Times New Roman" w:hAnsi="Times New Roman"/>
                <w:szCs w:val="20"/>
              </w:rPr>
            </w:pPr>
          </w:p>
        </w:tc>
        <w:tc>
          <w:tcPr>
            <w:tcW w:w="980" w:type="dxa"/>
            <w:tcBorders>
              <w:top w:val="nil"/>
              <w:left w:val="nil"/>
              <w:bottom w:val="nil"/>
              <w:right w:val="nil"/>
            </w:tcBorders>
            <w:shd w:val="clear" w:color="auto" w:fill="auto"/>
            <w:noWrap/>
            <w:vAlign w:val="bottom"/>
            <w:hideMark/>
          </w:tcPr>
          <w:p w14:paraId="2A64B002" w14:textId="77777777" w:rsidR="00315691" w:rsidRPr="00315691" w:rsidRDefault="00315691" w:rsidP="00315691">
            <w:pPr>
              <w:spacing w:after="0" w:line="240" w:lineRule="auto"/>
              <w:rPr>
                <w:rFonts w:ascii="Times New Roman" w:hAnsi="Times New Roman"/>
                <w:szCs w:val="20"/>
              </w:rPr>
            </w:pPr>
          </w:p>
        </w:tc>
        <w:tc>
          <w:tcPr>
            <w:tcW w:w="980" w:type="dxa"/>
            <w:tcBorders>
              <w:top w:val="nil"/>
              <w:left w:val="nil"/>
              <w:bottom w:val="nil"/>
              <w:right w:val="nil"/>
            </w:tcBorders>
            <w:shd w:val="clear" w:color="auto" w:fill="auto"/>
            <w:noWrap/>
            <w:vAlign w:val="bottom"/>
            <w:hideMark/>
          </w:tcPr>
          <w:p w14:paraId="73C0FC1D" w14:textId="77777777" w:rsidR="00315691" w:rsidRPr="00315691" w:rsidRDefault="00315691" w:rsidP="00315691">
            <w:pPr>
              <w:spacing w:after="0" w:line="240" w:lineRule="auto"/>
              <w:rPr>
                <w:rFonts w:ascii="Times New Roman" w:hAnsi="Times New Roman"/>
                <w:szCs w:val="20"/>
              </w:rPr>
            </w:pPr>
          </w:p>
        </w:tc>
        <w:tc>
          <w:tcPr>
            <w:tcW w:w="980" w:type="dxa"/>
            <w:tcBorders>
              <w:top w:val="nil"/>
              <w:left w:val="nil"/>
              <w:bottom w:val="nil"/>
              <w:right w:val="nil"/>
            </w:tcBorders>
            <w:shd w:val="clear" w:color="auto" w:fill="auto"/>
            <w:noWrap/>
            <w:vAlign w:val="bottom"/>
            <w:hideMark/>
          </w:tcPr>
          <w:p w14:paraId="4D94D800" w14:textId="77777777" w:rsidR="00315691" w:rsidRPr="00315691" w:rsidRDefault="00315691" w:rsidP="00315691">
            <w:pPr>
              <w:spacing w:after="0" w:line="240" w:lineRule="auto"/>
              <w:rPr>
                <w:rFonts w:ascii="Times New Roman" w:hAnsi="Times New Roman"/>
                <w:szCs w:val="20"/>
              </w:rPr>
            </w:pPr>
          </w:p>
        </w:tc>
      </w:tr>
    </w:tbl>
    <w:p w14:paraId="06E8A577" w14:textId="09D175B8" w:rsidR="00897D43" w:rsidRPr="00897D43" w:rsidRDefault="00897D43" w:rsidP="00897D43">
      <w:pPr>
        <w:jc w:val="both"/>
      </w:pPr>
      <w:r w:rsidRPr="006C66F4">
        <w:t xml:space="preserve">Nejvíce zastoupenými </w:t>
      </w:r>
      <w:r w:rsidRPr="00602FBF">
        <w:rPr>
          <w:b/>
        </w:rPr>
        <w:t>odvětvími</w:t>
      </w:r>
      <w:r w:rsidRPr="006C66F4">
        <w:t>, co do počtu nemocensky pojištěných, jsou Zpracovatelský průmysl a</w:t>
      </w:r>
      <w:r w:rsidR="006C66F4">
        <w:t> </w:t>
      </w:r>
      <w:r w:rsidRPr="006C66F4">
        <w:t xml:space="preserve">Velkoobchod a maloobchod; opravy a údržba motorových vozidel, což kopíruje strukturu české ekonomiky. Tato dvě odvětví dohromady zaměstnávají </w:t>
      </w:r>
      <w:r w:rsidR="006C66F4" w:rsidRPr="006C66F4">
        <w:t>39</w:t>
      </w:r>
      <w:r w:rsidRPr="006C66F4">
        <w:t xml:space="preserve"> % všech nemocensky pojištěných osob.</w:t>
      </w:r>
    </w:p>
    <w:p w14:paraId="0EF3AC5F" w14:textId="0F8FF90B" w:rsidR="00E7195D" w:rsidRDefault="00315691" w:rsidP="0064109D">
      <w:pPr>
        <w:spacing w:after="120"/>
        <w:jc w:val="both"/>
        <w:rPr>
          <w:rFonts w:cs="Arial"/>
          <w:b/>
        </w:rPr>
      </w:pPr>
      <w:r w:rsidRPr="00315691">
        <w:rPr>
          <w:rFonts w:cs="Arial"/>
          <w:b/>
        </w:rPr>
        <w:t>Graf 1.1: Struktura nemocensky pojištěných osob podle velikosti podniku v 1. pol. 2009</w:t>
      </w:r>
      <w:r w:rsidR="00EB091A">
        <w:rPr>
          <w:rFonts w:cs="Arial"/>
          <w:b/>
        </w:rPr>
        <w:t>, 2014,</w:t>
      </w:r>
      <w:r w:rsidR="00897D43">
        <w:rPr>
          <w:rFonts w:cs="Arial"/>
          <w:b/>
        </w:rPr>
        <w:t xml:space="preserve"> 2019</w:t>
      </w:r>
    </w:p>
    <w:p w14:paraId="35286F23" w14:textId="18C45D8C" w:rsidR="001338A0" w:rsidRDefault="00315691" w:rsidP="001338A0">
      <w:pPr>
        <w:jc w:val="both"/>
        <w:rPr>
          <w:rFonts w:cs="Arial"/>
          <w:sz w:val="16"/>
          <w:szCs w:val="16"/>
        </w:rPr>
      </w:pPr>
      <w:r>
        <w:rPr>
          <w:noProof/>
        </w:rPr>
        <w:drawing>
          <wp:inline distT="0" distB="0" distL="0" distR="0" wp14:anchorId="7712096F" wp14:editId="5221DDBD">
            <wp:extent cx="6124575" cy="3524250"/>
            <wp:effectExtent l="0" t="0" r="0" b="0"/>
            <wp:docPr id="28" name="Graf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1338A0">
        <w:rPr>
          <w:rFonts w:cs="Arial"/>
          <w:sz w:val="16"/>
          <w:szCs w:val="16"/>
        </w:rPr>
        <w:t>Zdroj: ČSÚ</w:t>
      </w:r>
    </w:p>
    <w:p w14:paraId="7328C5F7" w14:textId="77777777" w:rsidR="00A7608F" w:rsidRDefault="00A7608F">
      <w:pPr>
        <w:spacing w:after="0" w:line="240" w:lineRule="auto"/>
        <w:rPr>
          <w:rFonts w:eastAsia="Calibri" w:cs="Arial"/>
          <w:b/>
          <w:i/>
          <w:szCs w:val="20"/>
        </w:rPr>
      </w:pPr>
      <w:r>
        <w:rPr>
          <w:b/>
          <w:i/>
        </w:rPr>
        <w:br w:type="page"/>
      </w:r>
    </w:p>
    <w:p w14:paraId="049B7EEE" w14:textId="25D59EEA" w:rsidR="00B55F4A" w:rsidRPr="008E048A" w:rsidRDefault="00B55F4A" w:rsidP="00B55F4A">
      <w:pPr>
        <w:pStyle w:val="Box1"/>
        <w:jc w:val="both"/>
        <w:rPr>
          <w:i/>
        </w:rPr>
      </w:pPr>
      <w:r w:rsidRPr="008E048A">
        <w:rPr>
          <w:b/>
          <w:i/>
        </w:rPr>
        <w:lastRenderedPageBreak/>
        <w:t xml:space="preserve">Průměrný počet nemocensky pojištěných mladistvých </w:t>
      </w:r>
      <w:r w:rsidRPr="00F46EA8">
        <w:rPr>
          <w:i/>
        </w:rPr>
        <w:t xml:space="preserve">– </w:t>
      </w:r>
      <w:r>
        <w:rPr>
          <w:i/>
        </w:rPr>
        <w:t>u</w:t>
      </w:r>
      <w:r w:rsidRPr="008E048A">
        <w:rPr>
          <w:i/>
        </w:rPr>
        <w:t xml:space="preserve">kazatel </w:t>
      </w:r>
      <w:r>
        <w:rPr>
          <w:i/>
        </w:rPr>
        <w:t>udává</w:t>
      </w:r>
      <w:r w:rsidRPr="008E048A">
        <w:rPr>
          <w:i/>
        </w:rPr>
        <w:t xml:space="preserve"> průměrný počet nemocensky pojištěných </w:t>
      </w:r>
      <w:r w:rsidR="00736C37">
        <w:rPr>
          <w:i/>
        </w:rPr>
        <w:t xml:space="preserve">osob mladších </w:t>
      </w:r>
      <w:r w:rsidRPr="008E048A">
        <w:rPr>
          <w:i/>
        </w:rPr>
        <w:t xml:space="preserve">18 let </w:t>
      </w:r>
      <w:r w:rsidRPr="002C394F">
        <w:rPr>
          <w:i/>
        </w:rPr>
        <w:t>(</w:t>
      </w:r>
      <w:r>
        <w:rPr>
          <w:i/>
        </w:rPr>
        <w:t xml:space="preserve">viz </w:t>
      </w:r>
      <w:r w:rsidRPr="002C394F">
        <w:rPr>
          <w:i/>
        </w:rPr>
        <w:t>§ 350 odst. 2 zákona č. 262/2006 Sb., zákoník práce, ve znění pozdějších předpisů).</w:t>
      </w:r>
    </w:p>
    <w:p w14:paraId="5C612822" w14:textId="77777777" w:rsidR="00B55F4A" w:rsidRPr="008E048A" w:rsidRDefault="00B55F4A" w:rsidP="00B55F4A">
      <w:pPr>
        <w:pStyle w:val="Box1"/>
        <w:jc w:val="both"/>
        <w:rPr>
          <w:i/>
          <w:u w:val="single"/>
        </w:rPr>
      </w:pPr>
      <w:r w:rsidRPr="008E048A">
        <w:rPr>
          <w:i/>
          <w:u w:val="single"/>
        </w:rPr>
        <w:t>Způsob výpočtu:</w:t>
      </w:r>
    </w:p>
    <w:p w14:paraId="164D789F" w14:textId="206490EF" w:rsidR="00B55F4A" w:rsidRPr="00F46EA8" w:rsidRDefault="00B55F4A" w:rsidP="006C66F4">
      <w:pPr>
        <w:pStyle w:val="Box1"/>
        <w:jc w:val="both"/>
        <w:rPr>
          <w:i/>
        </w:rPr>
      </w:pPr>
      <w:r w:rsidRPr="008E048A">
        <w:rPr>
          <w:i/>
        </w:rPr>
        <w:t xml:space="preserve">Průměrný počet nemocensky pojištěných mladistvých = počet dní nemocenského pojištění </w:t>
      </w:r>
      <w:r>
        <w:rPr>
          <w:i/>
        </w:rPr>
        <w:t xml:space="preserve">jednotlivých pojištěných </w:t>
      </w:r>
      <w:r w:rsidRPr="008E048A">
        <w:rPr>
          <w:i/>
        </w:rPr>
        <w:t xml:space="preserve">mladistvých ve vykazovaném období / počet kalendářních dní </w:t>
      </w:r>
      <w:r w:rsidR="006C66F4">
        <w:rPr>
          <w:i/>
        </w:rPr>
        <w:br/>
      </w:r>
      <w:r w:rsidRPr="008E048A">
        <w:rPr>
          <w:i/>
        </w:rPr>
        <w:t>ve vykazovaném období.</w:t>
      </w:r>
    </w:p>
    <w:p w14:paraId="29F9045E" w14:textId="25139851" w:rsidR="0034374C" w:rsidRDefault="0034374C" w:rsidP="006E49D7">
      <w:pPr>
        <w:jc w:val="both"/>
        <w:rPr>
          <w:rFonts w:cs="Arial"/>
        </w:rPr>
      </w:pPr>
      <w:r>
        <w:rPr>
          <w:rFonts w:cs="Arial"/>
        </w:rPr>
        <w:t xml:space="preserve">V 1. pol. 2019 bylo evidováno 6,2 tis. nemocensky pojištěných </w:t>
      </w:r>
      <w:r w:rsidRPr="00602FBF">
        <w:rPr>
          <w:rFonts w:cs="Arial"/>
          <w:b/>
        </w:rPr>
        <w:t>mladistvých</w:t>
      </w:r>
      <w:r>
        <w:rPr>
          <w:rFonts w:cs="Arial"/>
        </w:rPr>
        <w:t xml:space="preserve">, tedy osob mladších 18 let. Na celkovém počtu pojištěnců se podíleli </w:t>
      </w:r>
      <w:r w:rsidR="00104554">
        <w:rPr>
          <w:rFonts w:cs="Arial"/>
        </w:rPr>
        <w:t xml:space="preserve">0,13 %. </w:t>
      </w:r>
      <w:r w:rsidR="00D02FB3" w:rsidRPr="00D02FB3">
        <w:rPr>
          <w:rFonts w:cs="Arial"/>
        </w:rPr>
        <w:t>Počet</w:t>
      </w:r>
      <w:r w:rsidR="006E49D7" w:rsidRPr="00D02FB3">
        <w:rPr>
          <w:rFonts w:cs="Arial"/>
        </w:rPr>
        <w:t xml:space="preserve"> mladistvých</w:t>
      </w:r>
      <w:r w:rsidR="006E49D7" w:rsidRPr="003E6827">
        <w:rPr>
          <w:rFonts w:cs="Arial"/>
        </w:rPr>
        <w:t xml:space="preserve"> (tj. nemocensky pojištěných osob do 18 let) na celkovém počtu nemocensky pojištěných </w:t>
      </w:r>
      <w:r w:rsidR="00104554">
        <w:rPr>
          <w:rFonts w:cs="Arial"/>
        </w:rPr>
        <w:t xml:space="preserve">za pět let </w:t>
      </w:r>
      <w:r w:rsidR="006E49D7" w:rsidRPr="003E6827">
        <w:rPr>
          <w:rFonts w:cs="Arial"/>
        </w:rPr>
        <w:t xml:space="preserve">vzrostl </w:t>
      </w:r>
      <w:r w:rsidR="00A97D8C">
        <w:rPr>
          <w:rFonts w:cs="Arial"/>
        </w:rPr>
        <w:t xml:space="preserve">téměř na dvojnásobek, </w:t>
      </w:r>
      <w:r w:rsidR="006E49D7" w:rsidRPr="003E6827">
        <w:rPr>
          <w:rFonts w:cs="Arial"/>
        </w:rPr>
        <w:t>z</w:t>
      </w:r>
      <w:r w:rsidR="00E04833">
        <w:rPr>
          <w:rFonts w:cs="Arial"/>
        </w:rPr>
        <w:t> </w:t>
      </w:r>
      <w:r w:rsidR="00104554">
        <w:rPr>
          <w:rFonts w:cs="Arial"/>
        </w:rPr>
        <w:t>3,2</w:t>
      </w:r>
      <w:r w:rsidR="00E7195D" w:rsidRPr="003E6827">
        <w:rPr>
          <w:rFonts w:cs="Arial"/>
        </w:rPr>
        <w:t xml:space="preserve"> </w:t>
      </w:r>
      <w:r w:rsidR="006E49D7" w:rsidRPr="003E6827">
        <w:rPr>
          <w:rFonts w:cs="Arial"/>
        </w:rPr>
        <w:t>tis. osob v</w:t>
      </w:r>
      <w:r w:rsidR="00E04833">
        <w:rPr>
          <w:rFonts w:cs="Arial"/>
        </w:rPr>
        <w:t> 1. pol. 20</w:t>
      </w:r>
      <w:r w:rsidR="00104554">
        <w:rPr>
          <w:rFonts w:cs="Arial"/>
        </w:rPr>
        <w:t>14</w:t>
      </w:r>
      <w:r w:rsidR="00E04833">
        <w:rPr>
          <w:rFonts w:cs="Arial"/>
        </w:rPr>
        <w:t xml:space="preserve"> </w:t>
      </w:r>
      <w:r w:rsidR="006E49D7" w:rsidRPr="003E6827">
        <w:rPr>
          <w:rFonts w:cs="Arial"/>
        </w:rPr>
        <w:t xml:space="preserve">na </w:t>
      </w:r>
      <w:r w:rsidR="00E04833">
        <w:rPr>
          <w:rFonts w:cs="Arial"/>
        </w:rPr>
        <w:t>6,2</w:t>
      </w:r>
      <w:r w:rsidR="006E49D7" w:rsidRPr="003E6827">
        <w:rPr>
          <w:rFonts w:cs="Arial"/>
        </w:rPr>
        <w:t xml:space="preserve"> tis. </w:t>
      </w:r>
      <w:r w:rsidR="004E7C48">
        <w:rPr>
          <w:rFonts w:cs="Arial"/>
        </w:rPr>
        <w:t xml:space="preserve">osob </w:t>
      </w:r>
      <w:r w:rsidR="006E49D7" w:rsidRPr="003E6827">
        <w:rPr>
          <w:rFonts w:cs="Arial"/>
        </w:rPr>
        <w:t>v</w:t>
      </w:r>
      <w:r w:rsidR="00104554">
        <w:rPr>
          <w:rFonts w:cs="Arial"/>
        </w:rPr>
        <w:t> 1. pol. 2019.</w:t>
      </w:r>
    </w:p>
    <w:p w14:paraId="0A47524D" w14:textId="77777777" w:rsidR="003C629F" w:rsidRDefault="003C629F" w:rsidP="007A30B2">
      <w:pPr>
        <w:pStyle w:val="Nadpis2"/>
        <w:spacing w:after="100"/>
      </w:pPr>
      <w:bookmarkStart w:id="2" w:name="_Toc23318726"/>
      <w:bookmarkStart w:id="3" w:name="_Toc444112496"/>
      <w:r>
        <w:t>4.2. Nově hlášené případy dočasné pracovní neschopnosti</w:t>
      </w:r>
      <w:bookmarkEnd w:id="2"/>
    </w:p>
    <w:p w14:paraId="3B6D03DD" w14:textId="3D2C74DF" w:rsidR="003C629F" w:rsidRPr="003C629F" w:rsidRDefault="008C667A" w:rsidP="00A210D8">
      <w:pPr>
        <w:jc w:val="both"/>
      </w:pPr>
      <w:r>
        <w:rPr>
          <w:rFonts w:cs="Arial"/>
        </w:rPr>
        <w:t>Vstupním zdrojem a podkladem pro zpracování dat této kapitoly jsou údaje o dočasné pracovní neschopnosti pro nemoc a úraz nahlášené České správě sociálního zabezpečení prostřednictvím formuláře „</w:t>
      </w:r>
      <w:r w:rsidRPr="006D66F2">
        <w:rPr>
          <w:rFonts w:cs="Arial"/>
          <w:i/>
        </w:rPr>
        <w:t>Rozhodnutí o</w:t>
      </w:r>
      <w:r w:rsidR="00FF0024">
        <w:rPr>
          <w:rFonts w:cs="Arial"/>
          <w:i/>
        </w:rPr>
        <w:t> </w:t>
      </w:r>
      <w:r w:rsidRPr="006D66F2">
        <w:rPr>
          <w:rFonts w:cs="Arial"/>
          <w:i/>
        </w:rPr>
        <w:t>dočasné pracovní neschopnosti</w:t>
      </w:r>
      <w:r>
        <w:rPr>
          <w:rFonts w:cs="Arial"/>
        </w:rPr>
        <w:t>“ (tzv. „neschopenka“), k</w:t>
      </w:r>
      <w:r w:rsidR="00FF0024">
        <w:rPr>
          <w:rFonts w:cs="Arial"/>
        </w:rPr>
        <w:t>terý vyplňuje ošetřující lékař.</w:t>
      </w:r>
    </w:p>
    <w:p w14:paraId="603A02FC" w14:textId="77777777" w:rsidR="00EE4B1B" w:rsidRDefault="003C629F" w:rsidP="006701EE">
      <w:pPr>
        <w:pStyle w:val="Nadpis3"/>
        <w:spacing w:after="100"/>
        <w:rPr>
          <w:szCs w:val="20"/>
        </w:rPr>
      </w:pPr>
      <w:bookmarkStart w:id="4" w:name="_Toc23318727"/>
      <w:bookmarkEnd w:id="3"/>
      <w:r>
        <w:t>4.2.1. Počet případů dočasné pracovní neschopnosti</w:t>
      </w:r>
      <w:bookmarkEnd w:id="4"/>
    </w:p>
    <w:p w14:paraId="2C916540" w14:textId="01CBF986" w:rsidR="00B32CA3" w:rsidRPr="00644534" w:rsidRDefault="00B32CA3" w:rsidP="00B32CA3">
      <w:pPr>
        <w:jc w:val="both"/>
        <w:rPr>
          <w:bCs/>
        </w:rPr>
      </w:pPr>
      <w:r w:rsidRPr="00644534">
        <w:rPr>
          <w:bCs/>
        </w:rPr>
        <w:t xml:space="preserve">Četnost výskytu dočasné pracovní neschopnosti odráží ukazatel počet nově hlášených případů pracovní neschopnosti. Tento absolutní ukazatel je rovněž vhodný pro posouzení trendů vývoje pracovní neschopnosti. </w:t>
      </w:r>
      <w:r w:rsidR="00644534" w:rsidRPr="00644534">
        <w:rPr>
          <w:bCs/>
        </w:rPr>
        <w:t>Avšak z pohledu porovnání regionů, jednotlivých odvětví ekonomických činností či velikosti zaměstnavatele má vyšší vypovídací schopnost ukazatel relativní – počet nově hlášených případů pracovní neschopnosti na 100 pojištěnců</w:t>
      </w:r>
      <w:r w:rsidR="00A210D8">
        <w:rPr>
          <w:bCs/>
        </w:rPr>
        <w:t xml:space="preserve"> v dané kategorii, např. ve zpracovatelském průmyslu, v malých podnicích či konkrétním kraji</w:t>
      </w:r>
      <w:r w:rsidR="00644534" w:rsidRPr="00644534">
        <w:rPr>
          <w:bCs/>
        </w:rPr>
        <w:t>.</w:t>
      </w:r>
    </w:p>
    <w:p w14:paraId="60E60AB6" w14:textId="77777777" w:rsidR="00A2036D" w:rsidRDefault="00A2036D" w:rsidP="007508FD">
      <w:pPr>
        <w:pStyle w:val="Box1"/>
        <w:jc w:val="both"/>
        <w:rPr>
          <w:i/>
        </w:rPr>
      </w:pPr>
      <w:r w:rsidRPr="00A2036D">
        <w:rPr>
          <w:b/>
          <w:i/>
        </w:rPr>
        <w:t xml:space="preserve">Počet nově hlášených případů dočasné pracovní neschopnosti </w:t>
      </w:r>
      <w:r w:rsidR="003C629F" w:rsidRPr="00F46EA8">
        <w:rPr>
          <w:i/>
        </w:rPr>
        <w:t xml:space="preserve">– </w:t>
      </w:r>
      <w:r w:rsidR="00C53647">
        <w:rPr>
          <w:i/>
        </w:rPr>
        <w:t>ukazatel zahrnuje</w:t>
      </w:r>
      <w:r w:rsidRPr="00A2036D">
        <w:rPr>
          <w:i/>
        </w:rPr>
        <w:t xml:space="preserve"> nově hlášené případy pracovní neschopnosti ve sledovaném období na základě hlášení o vzniku pracovní neschopnosti nemocensky pojištěných osob.</w:t>
      </w:r>
    </w:p>
    <w:p w14:paraId="7435C660" w14:textId="77777777" w:rsidR="00A2036D" w:rsidRDefault="00A2036D" w:rsidP="007508FD">
      <w:pPr>
        <w:pStyle w:val="Box1"/>
        <w:jc w:val="both"/>
        <w:rPr>
          <w:i/>
        </w:rPr>
      </w:pPr>
    </w:p>
    <w:p w14:paraId="4E083E0C" w14:textId="77777777" w:rsidR="00A2036D" w:rsidRPr="00A2036D" w:rsidRDefault="00A2036D" w:rsidP="007508FD">
      <w:pPr>
        <w:pStyle w:val="Box1"/>
        <w:jc w:val="both"/>
        <w:rPr>
          <w:i/>
        </w:rPr>
      </w:pPr>
      <w:r w:rsidRPr="00A2036D">
        <w:rPr>
          <w:b/>
          <w:i/>
        </w:rPr>
        <w:t xml:space="preserve">Počet případů pracovní neschopnosti na 100 pojištěnců </w:t>
      </w:r>
      <w:r>
        <w:rPr>
          <w:i/>
        </w:rPr>
        <w:t>– u</w:t>
      </w:r>
      <w:r w:rsidRPr="00A2036D">
        <w:rPr>
          <w:i/>
        </w:rPr>
        <w:t>kazatel vyjadřuje počet nově hlášených případů pracovní neschopnosti, které připadají v průměru na 100 nemocensky pojištěných</w:t>
      </w:r>
      <w:r>
        <w:rPr>
          <w:i/>
        </w:rPr>
        <w:t xml:space="preserve"> osob</w:t>
      </w:r>
      <w:r w:rsidRPr="00A2036D">
        <w:rPr>
          <w:i/>
        </w:rPr>
        <w:t xml:space="preserve">. </w:t>
      </w:r>
    </w:p>
    <w:p w14:paraId="2D411EDD" w14:textId="77777777" w:rsidR="00A2036D" w:rsidRPr="00A2036D" w:rsidRDefault="00A2036D" w:rsidP="007508FD">
      <w:pPr>
        <w:pStyle w:val="Box1"/>
        <w:jc w:val="both"/>
        <w:rPr>
          <w:i/>
          <w:u w:val="single"/>
        </w:rPr>
      </w:pPr>
      <w:r w:rsidRPr="00A2036D">
        <w:rPr>
          <w:i/>
          <w:u w:val="single"/>
        </w:rPr>
        <w:t>Způsob výpočtu:</w:t>
      </w:r>
    </w:p>
    <w:p w14:paraId="3649C938" w14:textId="77777777" w:rsidR="003C629F" w:rsidRDefault="00A2036D" w:rsidP="007508FD">
      <w:pPr>
        <w:pStyle w:val="Box1"/>
        <w:jc w:val="both"/>
        <w:rPr>
          <w:i/>
        </w:rPr>
      </w:pPr>
      <w:r w:rsidRPr="00A2036D">
        <w:rPr>
          <w:i/>
        </w:rPr>
        <w:t>Počet případů pracovní neschopnosti na 100 pojištěnců = nově hlášené případy dočasné pracovní neschopnosti x 100 / průměrný počet osob nemocensky pojištěných.</w:t>
      </w:r>
    </w:p>
    <w:p w14:paraId="71B92CB1" w14:textId="72D33EDC" w:rsidR="00A210D8" w:rsidRDefault="00A210D8" w:rsidP="00644534">
      <w:pPr>
        <w:jc w:val="both"/>
        <w:rPr>
          <w:bCs/>
        </w:rPr>
      </w:pPr>
      <w:r>
        <w:rPr>
          <w:bCs/>
        </w:rPr>
        <w:t>Za 1. pol. 2019 bylo nahlášeno 975 tis. případů pracovní neschopnosti, což bylo o 65 tis. (6,3 %) méně než za stejné období v předchozím roce. Jedná se o první pokles v pololetních datech od roku 201</w:t>
      </w:r>
      <w:r w:rsidR="006B4B80">
        <w:rPr>
          <w:bCs/>
        </w:rPr>
        <w:t>5</w:t>
      </w:r>
      <w:r>
        <w:rPr>
          <w:bCs/>
        </w:rPr>
        <w:t>.</w:t>
      </w:r>
      <w:r w:rsidR="0062392E">
        <w:rPr>
          <w:bCs/>
        </w:rPr>
        <w:t xml:space="preserve"> V převážné většině případů se jednalo o neschopnost z důvodu nemoci 872,7 tis., tj. 89,5 % všech hlášení. Meziročně jich ubylo </w:t>
      </w:r>
      <w:r w:rsidR="00B821AC">
        <w:rPr>
          <w:bCs/>
        </w:rPr>
        <w:t xml:space="preserve">rovněž </w:t>
      </w:r>
      <w:r w:rsidR="0062392E">
        <w:rPr>
          <w:bCs/>
        </w:rPr>
        <w:t xml:space="preserve">o 65 tis. (o 7 %). Relativně na stejné úrovni </w:t>
      </w:r>
      <w:r w:rsidR="00602FBF">
        <w:rPr>
          <w:bCs/>
        </w:rPr>
        <w:t xml:space="preserve">okolo 24 tis. </w:t>
      </w:r>
      <w:r w:rsidR="0062392E">
        <w:rPr>
          <w:bCs/>
        </w:rPr>
        <w:t xml:space="preserve">se již </w:t>
      </w:r>
      <w:r w:rsidR="00602FBF">
        <w:rPr>
          <w:bCs/>
        </w:rPr>
        <w:t xml:space="preserve">pět let </w:t>
      </w:r>
      <w:r w:rsidR="0062392E">
        <w:rPr>
          <w:bCs/>
        </w:rPr>
        <w:t xml:space="preserve">po sobě drží počty </w:t>
      </w:r>
      <w:r w:rsidR="00602FBF">
        <w:rPr>
          <w:bCs/>
        </w:rPr>
        <w:t xml:space="preserve">pracovních úrazů. Za 1. pol. 2019 se jich událo 23,2 tis. a způsobily 2 % všech pracovních neschopností. Ve stejném období došlo k 79 tis. </w:t>
      </w:r>
      <w:r w:rsidR="00922112">
        <w:rPr>
          <w:bCs/>
        </w:rPr>
        <w:t>ostatních</w:t>
      </w:r>
      <w:r w:rsidR="00B821AC">
        <w:rPr>
          <w:bCs/>
        </w:rPr>
        <w:t xml:space="preserve"> – mimopracovní</w:t>
      </w:r>
      <w:r w:rsidR="00922112">
        <w:rPr>
          <w:bCs/>
        </w:rPr>
        <w:t>ch</w:t>
      </w:r>
      <w:r w:rsidR="00602FBF">
        <w:rPr>
          <w:bCs/>
        </w:rPr>
        <w:t xml:space="preserve"> úrazů, což představuje 8 % neschopenek. Jejich pololetní počet od roku 2017 víceméně stagnuje.</w:t>
      </w:r>
    </w:p>
    <w:p w14:paraId="6EADB7EE" w14:textId="00B5E8E0" w:rsidR="00602FBF" w:rsidRDefault="00602FBF" w:rsidP="00644534">
      <w:pPr>
        <w:jc w:val="both"/>
        <w:rPr>
          <w:bCs/>
        </w:rPr>
      </w:pPr>
      <w:r>
        <w:rPr>
          <w:bCs/>
        </w:rPr>
        <w:t xml:space="preserve">Častěji nastupovaly na pracovní neschopnost tradičně </w:t>
      </w:r>
      <w:r w:rsidRPr="00602FBF">
        <w:rPr>
          <w:b/>
          <w:bCs/>
        </w:rPr>
        <w:t>ženy</w:t>
      </w:r>
      <w:r>
        <w:rPr>
          <w:bCs/>
        </w:rPr>
        <w:t xml:space="preserve"> – 521 tis., tj. 53 % za 1. pol. 2019, přestože podíl žen na celkovém počtu </w:t>
      </w:r>
      <w:r w:rsidR="00922112">
        <w:rPr>
          <w:bCs/>
        </w:rPr>
        <w:t xml:space="preserve">pojištěných osob činil 49,6 %. </w:t>
      </w:r>
      <w:r>
        <w:rPr>
          <w:bCs/>
        </w:rPr>
        <w:t>Muži šli na neschopenku v 453,9 tis. případ</w:t>
      </w:r>
      <w:r w:rsidR="003364AA">
        <w:rPr>
          <w:bCs/>
        </w:rPr>
        <w:t>ech</w:t>
      </w:r>
      <w:r>
        <w:rPr>
          <w:bCs/>
        </w:rPr>
        <w:t xml:space="preserve"> a</w:t>
      </w:r>
      <w:r w:rsidR="005A0510">
        <w:rPr>
          <w:bCs/>
        </w:rPr>
        <w:t> </w:t>
      </w:r>
      <w:r>
        <w:rPr>
          <w:bCs/>
        </w:rPr>
        <w:t xml:space="preserve">zaujímali tak 47 % všech pracovních neschopností. Ženy vykazovaly o </w:t>
      </w:r>
      <w:r w:rsidR="003364AA">
        <w:rPr>
          <w:bCs/>
        </w:rPr>
        <w:t>93</w:t>
      </w:r>
      <w:r>
        <w:rPr>
          <w:bCs/>
        </w:rPr>
        <w:t xml:space="preserve"> tis. případů dočasné pracovní neschopnost </w:t>
      </w:r>
      <w:r w:rsidRPr="00602FBF">
        <w:rPr>
          <w:b/>
          <w:bCs/>
        </w:rPr>
        <w:t>pro</w:t>
      </w:r>
      <w:r>
        <w:rPr>
          <w:bCs/>
        </w:rPr>
        <w:t xml:space="preserve"> </w:t>
      </w:r>
      <w:r w:rsidRPr="00602FBF">
        <w:rPr>
          <w:b/>
          <w:bCs/>
        </w:rPr>
        <w:t>nemoc</w:t>
      </w:r>
      <w:r>
        <w:rPr>
          <w:b/>
          <w:bCs/>
        </w:rPr>
        <w:t xml:space="preserve"> </w:t>
      </w:r>
      <w:r w:rsidRPr="00602FBF">
        <w:rPr>
          <w:bCs/>
        </w:rPr>
        <w:t>v</w:t>
      </w:r>
      <w:r>
        <w:rPr>
          <w:bCs/>
        </w:rPr>
        <w:t>íce než muži. Vyšší podíl žen na pracovní neschopnosti pro nemoc může souviset s mateřskou úlohou žen, u nichž mohou být důvodem pracovní neschopnosti také komplikace v těhotenství, potraty apod.</w:t>
      </w:r>
      <w:r w:rsidR="00913D94">
        <w:rPr>
          <w:bCs/>
        </w:rPr>
        <w:t xml:space="preserve"> </w:t>
      </w:r>
    </w:p>
    <w:p w14:paraId="30044E5F" w14:textId="2069F6ED" w:rsidR="00913D94" w:rsidRDefault="00913D94" w:rsidP="00644534">
      <w:pPr>
        <w:jc w:val="both"/>
        <w:rPr>
          <w:bCs/>
        </w:rPr>
      </w:pPr>
      <w:r>
        <w:rPr>
          <w:bCs/>
        </w:rPr>
        <w:lastRenderedPageBreak/>
        <w:t xml:space="preserve">Z celkového počtu nově hlášených případů </w:t>
      </w:r>
      <w:r w:rsidRPr="00913D94">
        <w:rPr>
          <w:b/>
          <w:bCs/>
        </w:rPr>
        <w:t>pro pracovní úrazy</w:t>
      </w:r>
      <w:r>
        <w:rPr>
          <w:bCs/>
        </w:rPr>
        <w:t xml:space="preserve"> připadalo v 1. pol. 2019 na ženy pouze 33 % úrazů, což je dáno i odlišnou strukturou zaměstnanosti žen a mužů. Odvětví, kde převládají muži a vyskytují se zvýšená rizika pracovního úrazu, jsou např. Těžba a dobývání, Zpracovatelský průmysl, Stavebnictví, Doprava a skladování</w:t>
      </w:r>
      <w:r w:rsidR="003364AA">
        <w:rPr>
          <w:bCs/>
        </w:rPr>
        <w:t>,</w:t>
      </w:r>
      <w:r>
        <w:rPr>
          <w:bCs/>
        </w:rPr>
        <w:t xml:space="preserve"> </w:t>
      </w:r>
      <w:r w:rsidR="003364AA" w:rsidRPr="003364AA">
        <w:rPr>
          <w:bCs/>
        </w:rPr>
        <w:t>Zásobování vodou; činnosti související s odpady a sanacemi</w:t>
      </w:r>
      <w:r w:rsidR="003364AA">
        <w:rPr>
          <w:bCs/>
        </w:rPr>
        <w:t xml:space="preserve"> </w:t>
      </w:r>
      <w:r>
        <w:rPr>
          <w:bCs/>
        </w:rPr>
        <w:t xml:space="preserve">či Zemědělství, lesnictví, rybářství. Naopak odvětví, kde převažují v zaměstnání ženy a rizika pracovních úrazů bývají méně častá, jsou </w:t>
      </w:r>
      <w:r w:rsidR="00203029">
        <w:rPr>
          <w:bCs/>
        </w:rPr>
        <w:t xml:space="preserve">např. </w:t>
      </w:r>
      <w:r>
        <w:rPr>
          <w:bCs/>
        </w:rPr>
        <w:t>Peněžnictví a</w:t>
      </w:r>
      <w:r w:rsidR="00203029">
        <w:rPr>
          <w:bCs/>
        </w:rPr>
        <w:t xml:space="preserve"> pojišťovnictví, Veřejná správa, Vzdělávání a Zdravotní a sociální péče.</w:t>
      </w:r>
    </w:p>
    <w:p w14:paraId="4BF2C2A6" w14:textId="41D564A8" w:rsidR="009F76B9" w:rsidRDefault="00E35A83" w:rsidP="00644534">
      <w:pPr>
        <w:jc w:val="both"/>
        <w:rPr>
          <w:bCs/>
        </w:rPr>
      </w:pPr>
      <w:r>
        <w:rPr>
          <w:bCs/>
        </w:rPr>
        <w:t>Zatímco u počtu pracovních neschopností celkem a u neschopností z důvodu nemoc</w:t>
      </w:r>
      <w:r w:rsidR="00922112">
        <w:rPr>
          <w:bCs/>
        </w:rPr>
        <w:t>i</w:t>
      </w:r>
      <w:r>
        <w:rPr>
          <w:bCs/>
        </w:rPr>
        <w:t xml:space="preserve"> zůstávají podíly podle pohlaví dlouhodobě relativně konstantní, u pracovních neschopností zapříčiněných úrazem podíl u žen v čase roste.</w:t>
      </w:r>
      <w:r w:rsidR="009F76B9">
        <w:rPr>
          <w:bCs/>
        </w:rPr>
        <w:t xml:space="preserve"> Toto je zřejmé zejména u jiných než pracovních úrazů, kdy za 1. pol. 2011 nahlásily ženy 13 tis. případů, ale za 1. pol. 2019 to bylo 30,5 tis. Velký nárůst je patrný i u mužů, počet nově hlášených případů pracovní neschopnosti z důvodu </w:t>
      </w:r>
      <w:r w:rsidR="009F76B9" w:rsidRPr="009F76B9">
        <w:rPr>
          <w:b/>
          <w:bCs/>
        </w:rPr>
        <w:t>nepracovních (ostatních) úrazů</w:t>
      </w:r>
      <w:r w:rsidR="009F76B9">
        <w:rPr>
          <w:bCs/>
        </w:rPr>
        <w:t xml:space="preserve"> činil za 1. pol. 2011 </w:t>
      </w:r>
      <w:r w:rsidR="00A61EC3">
        <w:rPr>
          <w:bCs/>
        </w:rPr>
        <w:t>25,7</w:t>
      </w:r>
      <w:r w:rsidR="009F76B9">
        <w:rPr>
          <w:bCs/>
        </w:rPr>
        <w:t xml:space="preserve"> tis., v současné době se blíží </w:t>
      </w:r>
      <w:r w:rsidR="00A61EC3">
        <w:rPr>
          <w:bCs/>
        </w:rPr>
        <w:t>49</w:t>
      </w:r>
      <w:r w:rsidR="009F76B9">
        <w:rPr>
          <w:bCs/>
        </w:rPr>
        <w:t xml:space="preserve"> tis. </w:t>
      </w:r>
    </w:p>
    <w:p w14:paraId="5BCE2DD2" w14:textId="156E46B7" w:rsidR="009F76B9" w:rsidRDefault="009F76B9" w:rsidP="00644534">
      <w:pPr>
        <w:jc w:val="both"/>
        <w:rPr>
          <w:bCs/>
        </w:rPr>
      </w:pPr>
      <w:r>
        <w:rPr>
          <w:bCs/>
        </w:rPr>
        <w:t>V období mezi 1. pol. 2008 a 1. pol. 2019 významně poklesl podíl pracovních úrazů na celkové úrazovosti. Zatímco v roce 2008 činil podíl 40 %, dnes je to necelých 23 %.</w:t>
      </w:r>
    </w:p>
    <w:p w14:paraId="40864E47" w14:textId="37A42535" w:rsidR="0021605D" w:rsidRPr="0021605D" w:rsidRDefault="00D70250" w:rsidP="0064109D">
      <w:pPr>
        <w:spacing w:after="120"/>
        <w:jc w:val="both"/>
        <w:rPr>
          <w:b/>
        </w:rPr>
      </w:pPr>
      <w:r>
        <w:rPr>
          <w:b/>
        </w:rPr>
        <w:t xml:space="preserve">Tab. 2.1: </w:t>
      </w:r>
      <w:r w:rsidRPr="00D70250">
        <w:rPr>
          <w:b/>
        </w:rPr>
        <w:t>Nově hlášené případy dočasné pracovní neschopnosti podle příčin</w:t>
      </w:r>
      <w:r w:rsidR="00BE4A84">
        <w:rPr>
          <w:b/>
        </w:rPr>
        <w:t>y</w:t>
      </w:r>
      <w:r w:rsidRPr="00D70250">
        <w:rPr>
          <w:b/>
        </w:rPr>
        <w:t xml:space="preserve"> a pohlaví </w:t>
      </w:r>
      <w:r w:rsidR="00105FD2">
        <w:rPr>
          <w:b/>
        </w:rPr>
        <w:br/>
      </w:r>
      <w:r w:rsidRPr="00D70250">
        <w:rPr>
          <w:b/>
        </w:rPr>
        <w:t>v</w:t>
      </w:r>
      <w:r w:rsidR="00105FD2">
        <w:rPr>
          <w:b/>
        </w:rPr>
        <w:t xml:space="preserve"> </w:t>
      </w:r>
      <w:r w:rsidR="009F76B9">
        <w:rPr>
          <w:b/>
        </w:rPr>
        <w:t>1. pol. 2008 – 1. pol. 2019</w:t>
      </w:r>
    </w:p>
    <w:tbl>
      <w:tblPr>
        <w:tblW w:w="9625" w:type="dxa"/>
        <w:tblCellMar>
          <w:left w:w="70" w:type="dxa"/>
          <w:right w:w="70" w:type="dxa"/>
        </w:tblCellMar>
        <w:tblLook w:val="04A0" w:firstRow="1" w:lastRow="0" w:firstColumn="1" w:lastColumn="0" w:noHBand="0" w:noVBand="1"/>
      </w:tblPr>
      <w:tblGrid>
        <w:gridCol w:w="1009"/>
        <w:gridCol w:w="850"/>
        <w:gridCol w:w="652"/>
        <w:gridCol w:w="652"/>
        <w:gridCol w:w="850"/>
        <w:gridCol w:w="652"/>
        <w:gridCol w:w="652"/>
        <w:gridCol w:w="850"/>
        <w:gridCol w:w="652"/>
        <w:gridCol w:w="652"/>
        <w:gridCol w:w="850"/>
        <w:gridCol w:w="652"/>
        <w:gridCol w:w="652"/>
      </w:tblGrid>
      <w:tr w:rsidR="002D687B" w:rsidRPr="002D687B" w14:paraId="2081385F" w14:textId="77777777" w:rsidTr="00D70250">
        <w:trPr>
          <w:trHeight w:val="300"/>
        </w:trPr>
        <w:tc>
          <w:tcPr>
            <w:tcW w:w="1009" w:type="dxa"/>
            <w:vMerge w:val="restart"/>
            <w:tcBorders>
              <w:top w:val="single" w:sz="4" w:space="0" w:color="auto"/>
              <w:left w:val="nil"/>
              <w:bottom w:val="single" w:sz="8" w:space="0" w:color="000000"/>
              <w:right w:val="single" w:sz="4" w:space="0" w:color="auto"/>
            </w:tcBorders>
            <w:shd w:val="clear" w:color="000000" w:fill="F5DADD"/>
            <w:vAlign w:val="center"/>
            <w:hideMark/>
          </w:tcPr>
          <w:p w14:paraId="5AFF876D" w14:textId="77777777" w:rsidR="002D687B" w:rsidRPr="002D687B" w:rsidRDefault="002D687B" w:rsidP="002D687B">
            <w:pPr>
              <w:spacing w:after="0" w:line="240" w:lineRule="auto"/>
              <w:jc w:val="center"/>
              <w:rPr>
                <w:rFonts w:cs="Arial"/>
                <w:sz w:val="16"/>
                <w:szCs w:val="16"/>
              </w:rPr>
            </w:pPr>
            <w:r w:rsidRPr="002D687B">
              <w:rPr>
                <w:rFonts w:cs="Arial"/>
                <w:sz w:val="16"/>
                <w:szCs w:val="16"/>
              </w:rPr>
              <w:t>Rok</w:t>
            </w:r>
          </w:p>
        </w:tc>
        <w:tc>
          <w:tcPr>
            <w:tcW w:w="8616" w:type="dxa"/>
            <w:gridSpan w:val="12"/>
            <w:tcBorders>
              <w:top w:val="single" w:sz="4" w:space="0" w:color="auto"/>
              <w:left w:val="nil"/>
              <w:bottom w:val="single" w:sz="4" w:space="0" w:color="auto"/>
              <w:right w:val="nil"/>
            </w:tcBorders>
            <w:shd w:val="clear" w:color="000000" w:fill="F2DBDB"/>
            <w:vAlign w:val="center"/>
            <w:hideMark/>
          </w:tcPr>
          <w:p w14:paraId="17FB5890" w14:textId="77777777" w:rsidR="002D687B" w:rsidRPr="002D687B" w:rsidRDefault="002D687B" w:rsidP="002D687B">
            <w:pPr>
              <w:spacing w:after="0" w:line="240" w:lineRule="auto"/>
              <w:jc w:val="center"/>
              <w:rPr>
                <w:rFonts w:cs="Arial"/>
                <w:sz w:val="16"/>
                <w:szCs w:val="16"/>
              </w:rPr>
            </w:pPr>
            <w:r w:rsidRPr="002D687B">
              <w:rPr>
                <w:rFonts w:cs="Arial"/>
                <w:sz w:val="16"/>
                <w:szCs w:val="16"/>
              </w:rPr>
              <w:t>Počet nově hlášených případů pracovní neschopnosti (v tis.)</w:t>
            </w:r>
          </w:p>
        </w:tc>
      </w:tr>
      <w:tr w:rsidR="00D70250" w:rsidRPr="002D687B" w14:paraId="7E47C714" w14:textId="77777777" w:rsidTr="00D70250">
        <w:trPr>
          <w:trHeight w:val="480"/>
        </w:trPr>
        <w:tc>
          <w:tcPr>
            <w:tcW w:w="1009" w:type="dxa"/>
            <w:vMerge/>
            <w:tcBorders>
              <w:top w:val="single" w:sz="4" w:space="0" w:color="auto"/>
              <w:left w:val="nil"/>
              <w:bottom w:val="single" w:sz="8" w:space="0" w:color="000000"/>
              <w:right w:val="single" w:sz="4" w:space="0" w:color="auto"/>
            </w:tcBorders>
            <w:vAlign w:val="center"/>
            <w:hideMark/>
          </w:tcPr>
          <w:p w14:paraId="185C66DC" w14:textId="77777777" w:rsidR="00D70250" w:rsidRPr="002D687B" w:rsidRDefault="00D70250" w:rsidP="002D687B">
            <w:pPr>
              <w:spacing w:after="0" w:line="240" w:lineRule="auto"/>
              <w:rPr>
                <w:rFonts w:cs="Arial"/>
                <w:sz w:val="16"/>
                <w:szCs w:val="16"/>
              </w:rPr>
            </w:pPr>
          </w:p>
        </w:tc>
        <w:tc>
          <w:tcPr>
            <w:tcW w:w="850" w:type="dxa"/>
            <w:vMerge w:val="restart"/>
            <w:tcBorders>
              <w:top w:val="nil"/>
              <w:left w:val="single" w:sz="4" w:space="0" w:color="auto"/>
              <w:bottom w:val="single" w:sz="8" w:space="0" w:color="000000"/>
              <w:right w:val="single" w:sz="4" w:space="0" w:color="auto"/>
            </w:tcBorders>
            <w:shd w:val="clear" w:color="000000" w:fill="F2DBDB"/>
            <w:vAlign w:val="center"/>
            <w:hideMark/>
          </w:tcPr>
          <w:p w14:paraId="2BE2D14D" w14:textId="77777777" w:rsidR="00D70250" w:rsidRPr="002D687B" w:rsidRDefault="00D70250" w:rsidP="002D687B">
            <w:pPr>
              <w:spacing w:after="0" w:line="240" w:lineRule="auto"/>
              <w:jc w:val="center"/>
              <w:rPr>
                <w:rFonts w:cs="Arial"/>
                <w:sz w:val="16"/>
                <w:szCs w:val="16"/>
              </w:rPr>
            </w:pPr>
            <w:r w:rsidRPr="002D687B">
              <w:rPr>
                <w:rFonts w:cs="Arial"/>
                <w:sz w:val="16"/>
                <w:szCs w:val="16"/>
              </w:rPr>
              <w:t>Celkem</w:t>
            </w:r>
          </w:p>
        </w:tc>
        <w:tc>
          <w:tcPr>
            <w:tcW w:w="1304" w:type="dxa"/>
            <w:gridSpan w:val="2"/>
            <w:tcBorders>
              <w:top w:val="single" w:sz="4" w:space="0" w:color="auto"/>
              <w:left w:val="nil"/>
              <w:bottom w:val="single" w:sz="4" w:space="0" w:color="auto"/>
              <w:right w:val="single" w:sz="4" w:space="0" w:color="auto"/>
            </w:tcBorders>
            <w:shd w:val="clear" w:color="000000" w:fill="F2DBDB"/>
            <w:vAlign w:val="center"/>
            <w:hideMark/>
          </w:tcPr>
          <w:p w14:paraId="37844679" w14:textId="77777777" w:rsidR="00D70250" w:rsidRPr="002D687B" w:rsidRDefault="00D70250" w:rsidP="002D687B">
            <w:pPr>
              <w:spacing w:after="0" w:line="240" w:lineRule="auto"/>
              <w:jc w:val="center"/>
              <w:rPr>
                <w:rFonts w:cs="Arial"/>
                <w:sz w:val="16"/>
                <w:szCs w:val="16"/>
              </w:rPr>
            </w:pPr>
            <w:r w:rsidRPr="002D687B">
              <w:rPr>
                <w:rFonts w:cs="Arial"/>
                <w:sz w:val="16"/>
                <w:szCs w:val="16"/>
              </w:rPr>
              <w:t>podle pohlaví</w:t>
            </w:r>
          </w:p>
        </w:tc>
        <w:tc>
          <w:tcPr>
            <w:tcW w:w="850" w:type="dxa"/>
            <w:vMerge w:val="restart"/>
            <w:tcBorders>
              <w:top w:val="nil"/>
              <w:left w:val="single" w:sz="4" w:space="0" w:color="auto"/>
              <w:right w:val="single" w:sz="4" w:space="0" w:color="auto"/>
            </w:tcBorders>
            <w:shd w:val="clear" w:color="000000" w:fill="F2DBDB"/>
            <w:vAlign w:val="center"/>
            <w:hideMark/>
          </w:tcPr>
          <w:p w14:paraId="68905F14" w14:textId="6EB20DAE" w:rsidR="00D70250" w:rsidRPr="002D687B" w:rsidRDefault="00D70250" w:rsidP="002D687B">
            <w:pPr>
              <w:spacing w:after="0" w:line="240" w:lineRule="auto"/>
              <w:jc w:val="center"/>
              <w:rPr>
                <w:rFonts w:cs="Arial"/>
                <w:sz w:val="16"/>
                <w:szCs w:val="16"/>
              </w:rPr>
            </w:pPr>
            <w:r w:rsidRPr="002D687B">
              <w:rPr>
                <w:rFonts w:cs="Arial"/>
                <w:sz w:val="16"/>
                <w:szCs w:val="16"/>
              </w:rPr>
              <w:t>Celkem pro nemoc</w:t>
            </w:r>
          </w:p>
        </w:tc>
        <w:tc>
          <w:tcPr>
            <w:tcW w:w="1304" w:type="dxa"/>
            <w:gridSpan w:val="2"/>
            <w:tcBorders>
              <w:top w:val="single" w:sz="4" w:space="0" w:color="auto"/>
              <w:left w:val="nil"/>
              <w:bottom w:val="single" w:sz="4" w:space="0" w:color="auto"/>
              <w:right w:val="single" w:sz="4" w:space="0" w:color="auto"/>
            </w:tcBorders>
            <w:shd w:val="clear" w:color="000000" w:fill="F2DBDB"/>
            <w:vAlign w:val="center"/>
            <w:hideMark/>
          </w:tcPr>
          <w:p w14:paraId="059C7B47" w14:textId="77777777" w:rsidR="00D70250" w:rsidRPr="002D687B" w:rsidRDefault="00D70250" w:rsidP="002D687B">
            <w:pPr>
              <w:spacing w:after="0" w:line="240" w:lineRule="auto"/>
              <w:jc w:val="center"/>
              <w:rPr>
                <w:rFonts w:cs="Arial"/>
                <w:sz w:val="16"/>
                <w:szCs w:val="16"/>
              </w:rPr>
            </w:pPr>
            <w:r w:rsidRPr="002D687B">
              <w:rPr>
                <w:rFonts w:cs="Arial"/>
                <w:sz w:val="16"/>
                <w:szCs w:val="16"/>
              </w:rPr>
              <w:t>podle pohlaví</w:t>
            </w:r>
          </w:p>
        </w:tc>
        <w:tc>
          <w:tcPr>
            <w:tcW w:w="850" w:type="dxa"/>
            <w:vMerge w:val="restart"/>
            <w:tcBorders>
              <w:top w:val="nil"/>
              <w:left w:val="single" w:sz="4" w:space="0" w:color="auto"/>
              <w:right w:val="single" w:sz="4" w:space="0" w:color="auto"/>
            </w:tcBorders>
            <w:shd w:val="clear" w:color="000000" w:fill="F2DBDB"/>
            <w:vAlign w:val="center"/>
            <w:hideMark/>
          </w:tcPr>
          <w:p w14:paraId="5F3213AE" w14:textId="77777777" w:rsidR="00D70250" w:rsidRPr="002D687B" w:rsidRDefault="00D70250" w:rsidP="002D687B">
            <w:pPr>
              <w:spacing w:after="0" w:line="240" w:lineRule="auto"/>
              <w:jc w:val="center"/>
              <w:rPr>
                <w:rFonts w:cs="Arial"/>
                <w:sz w:val="16"/>
                <w:szCs w:val="16"/>
              </w:rPr>
            </w:pPr>
            <w:r w:rsidRPr="002D687B">
              <w:rPr>
                <w:rFonts w:cs="Arial"/>
                <w:sz w:val="16"/>
                <w:szCs w:val="16"/>
              </w:rPr>
              <w:t>Celkem pro pracovní úrazy</w:t>
            </w:r>
          </w:p>
        </w:tc>
        <w:tc>
          <w:tcPr>
            <w:tcW w:w="1304" w:type="dxa"/>
            <w:gridSpan w:val="2"/>
            <w:tcBorders>
              <w:top w:val="single" w:sz="4" w:space="0" w:color="auto"/>
              <w:left w:val="nil"/>
              <w:bottom w:val="single" w:sz="4" w:space="0" w:color="auto"/>
              <w:right w:val="single" w:sz="4" w:space="0" w:color="auto"/>
            </w:tcBorders>
            <w:shd w:val="clear" w:color="000000" w:fill="F2DBDB"/>
            <w:vAlign w:val="center"/>
            <w:hideMark/>
          </w:tcPr>
          <w:p w14:paraId="1F29DF97" w14:textId="77777777" w:rsidR="00D70250" w:rsidRPr="002D687B" w:rsidRDefault="00D70250" w:rsidP="002D687B">
            <w:pPr>
              <w:spacing w:after="0" w:line="240" w:lineRule="auto"/>
              <w:jc w:val="center"/>
              <w:rPr>
                <w:rFonts w:cs="Arial"/>
                <w:sz w:val="16"/>
                <w:szCs w:val="16"/>
              </w:rPr>
            </w:pPr>
            <w:r w:rsidRPr="002D687B">
              <w:rPr>
                <w:rFonts w:cs="Arial"/>
                <w:sz w:val="16"/>
                <w:szCs w:val="16"/>
              </w:rPr>
              <w:t>podle pohlaví</w:t>
            </w:r>
          </w:p>
        </w:tc>
        <w:tc>
          <w:tcPr>
            <w:tcW w:w="850" w:type="dxa"/>
            <w:vMerge w:val="restart"/>
            <w:tcBorders>
              <w:top w:val="nil"/>
              <w:left w:val="single" w:sz="4" w:space="0" w:color="auto"/>
              <w:right w:val="single" w:sz="4" w:space="0" w:color="auto"/>
            </w:tcBorders>
            <w:shd w:val="clear" w:color="000000" w:fill="F2DBDB"/>
            <w:vAlign w:val="center"/>
            <w:hideMark/>
          </w:tcPr>
          <w:p w14:paraId="2473747B" w14:textId="77777777" w:rsidR="00D70250" w:rsidRPr="002D687B" w:rsidRDefault="00D70250" w:rsidP="002D687B">
            <w:pPr>
              <w:spacing w:after="0" w:line="240" w:lineRule="auto"/>
              <w:jc w:val="center"/>
              <w:rPr>
                <w:rFonts w:cs="Arial"/>
                <w:sz w:val="16"/>
                <w:szCs w:val="16"/>
              </w:rPr>
            </w:pPr>
            <w:r w:rsidRPr="002D687B">
              <w:rPr>
                <w:rFonts w:cs="Arial"/>
                <w:sz w:val="16"/>
                <w:szCs w:val="16"/>
              </w:rPr>
              <w:t>Celkem pro ostatní úrazy</w:t>
            </w:r>
          </w:p>
        </w:tc>
        <w:tc>
          <w:tcPr>
            <w:tcW w:w="1304" w:type="dxa"/>
            <w:gridSpan w:val="2"/>
            <w:tcBorders>
              <w:top w:val="single" w:sz="4" w:space="0" w:color="auto"/>
              <w:left w:val="nil"/>
              <w:bottom w:val="single" w:sz="4" w:space="0" w:color="auto"/>
            </w:tcBorders>
            <w:shd w:val="clear" w:color="000000" w:fill="F2DBDB"/>
            <w:vAlign w:val="center"/>
            <w:hideMark/>
          </w:tcPr>
          <w:p w14:paraId="7C48573D" w14:textId="77777777" w:rsidR="00D70250" w:rsidRPr="002D687B" w:rsidRDefault="00D70250" w:rsidP="002D687B">
            <w:pPr>
              <w:spacing w:after="0" w:line="240" w:lineRule="auto"/>
              <w:jc w:val="center"/>
              <w:rPr>
                <w:rFonts w:cs="Arial"/>
                <w:sz w:val="16"/>
                <w:szCs w:val="16"/>
              </w:rPr>
            </w:pPr>
            <w:r w:rsidRPr="002D687B">
              <w:rPr>
                <w:rFonts w:cs="Arial"/>
                <w:sz w:val="16"/>
                <w:szCs w:val="16"/>
              </w:rPr>
              <w:t>podle pohlaví</w:t>
            </w:r>
          </w:p>
        </w:tc>
      </w:tr>
      <w:tr w:rsidR="00D70250" w:rsidRPr="002D687B" w14:paraId="071F2F08" w14:textId="77777777" w:rsidTr="00922112">
        <w:trPr>
          <w:trHeight w:val="525"/>
        </w:trPr>
        <w:tc>
          <w:tcPr>
            <w:tcW w:w="1009" w:type="dxa"/>
            <w:vMerge/>
            <w:tcBorders>
              <w:top w:val="single" w:sz="4" w:space="0" w:color="auto"/>
              <w:left w:val="nil"/>
              <w:bottom w:val="single" w:sz="4" w:space="0" w:color="auto"/>
              <w:right w:val="single" w:sz="4" w:space="0" w:color="auto"/>
            </w:tcBorders>
            <w:vAlign w:val="center"/>
            <w:hideMark/>
          </w:tcPr>
          <w:p w14:paraId="22AD374A" w14:textId="77777777" w:rsidR="00D70250" w:rsidRPr="002D687B" w:rsidRDefault="00D70250" w:rsidP="002D687B">
            <w:pPr>
              <w:spacing w:after="0" w:line="240" w:lineRule="auto"/>
              <w:rPr>
                <w:rFonts w:cs="Arial"/>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A2ED072" w14:textId="77777777" w:rsidR="00D70250" w:rsidRPr="002D687B" w:rsidRDefault="00D70250" w:rsidP="002D687B">
            <w:pPr>
              <w:spacing w:after="0" w:line="240" w:lineRule="auto"/>
              <w:rPr>
                <w:rFonts w:cs="Arial"/>
                <w:sz w:val="16"/>
                <w:szCs w:val="16"/>
              </w:rPr>
            </w:pPr>
          </w:p>
        </w:tc>
        <w:tc>
          <w:tcPr>
            <w:tcW w:w="652" w:type="dxa"/>
            <w:tcBorders>
              <w:top w:val="nil"/>
              <w:left w:val="nil"/>
              <w:bottom w:val="single" w:sz="4" w:space="0" w:color="auto"/>
              <w:right w:val="single" w:sz="4" w:space="0" w:color="auto"/>
            </w:tcBorders>
            <w:shd w:val="clear" w:color="000000" w:fill="F2DBDB"/>
            <w:vAlign w:val="center"/>
            <w:hideMark/>
          </w:tcPr>
          <w:p w14:paraId="20FF98F5" w14:textId="77777777" w:rsidR="00D70250" w:rsidRPr="002D687B" w:rsidRDefault="00D70250" w:rsidP="002D687B">
            <w:pPr>
              <w:spacing w:after="0" w:line="240" w:lineRule="auto"/>
              <w:jc w:val="center"/>
              <w:rPr>
                <w:rFonts w:cs="Arial"/>
                <w:sz w:val="16"/>
                <w:szCs w:val="16"/>
              </w:rPr>
            </w:pPr>
            <w:r w:rsidRPr="002D687B">
              <w:rPr>
                <w:rFonts w:cs="Arial"/>
                <w:sz w:val="16"/>
                <w:szCs w:val="16"/>
              </w:rPr>
              <w:t>muži</w:t>
            </w:r>
          </w:p>
        </w:tc>
        <w:tc>
          <w:tcPr>
            <w:tcW w:w="652" w:type="dxa"/>
            <w:tcBorders>
              <w:top w:val="nil"/>
              <w:left w:val="nil"/>
              <w:bottom w:val="single" w:sz="4" w:space="0" w:color="auto"/>
              <w:right w:val="single" w:sz="4" w:space="0" w:color="auto"/>
            </w:tcBorders>
            <w:shd w:val="clear" w:color="000000" w:fill="F2DBDB"/>
            <w:vAlign w:val="center"/>
            <w:hideMark/>
          </w:tcPr>
          <w:p w14:paraId="089BA5EE" w14:textId="77777777" w:rsidR="00D70250" w:rsidRPr="002D687B" w:rsidRDefault="00D70250" w:rsidP="002D687B">
            <w:pPr>
              <w:spacing w:after="0" w:line="240" w:lineRule="auto"/>
              <w:jc w:val="center"/>
              <w:rPr>
                <w:rFonts w:cs="Arial"/>
                <w:sz w:val="16"/>
                <w:szCs w:val="16"/>
              </w:rPr>
            </w:pPr>
            <w:r w:rsidRPr="002D687B">
              <w:rPr>
                <w:rFonts w:cs="Arial"/>
                <w:sz w:val="16"/>
                <w:szCs w:val="16"/>
              </w:rPr>
              <w:t>ženy</w:t>
            </w:r>
          </w:p>
        </w:tc>
        <w:tc>
          <w:tcPr>
            <w:tcW w:w="850" w:type="dxa"/>
            <w:vMerge/>
            <w:tcBorders>
              <w:left w:val="single" w:sz="4" w:space="0" w:color="auto"/>
              <w:bottom w:val="single" w:sz="4" w:space="0" w:color="auto"/>
              <w:right w:val="single" w:sz="4" w:space="0" w:color="auto"/>
            </w:tcBorders>
            <w:vAlign w:val="center"/>
            <w:hideMark/>
          </w:tcPr>
          <w:p w14:paraId="56395468" w14:textId="77777777" w:rsidR="00D70250" w:rsidRPr="002D687B" w:rsidRDefault="00D70250" w:rsidP="002D687B">
            <w:pPr>
              <w:spacing w:after="0" w:line="240" w:lineRule="auto"/>
              <w:rPr>
                <w:rFonts w:cs="Arial"/>
                <w:sz w:val="16"/>
                <w:szCs w:val="16"/>
              </w:rPr>
            </w:pPr>
          </w:p>
        </w:tc>
        <w:tc>
          <w:tcPr>
            <w:tcW w:w="652" w:type="dxa"/>
            <w:tcBorders>
              <w:top w:val="nil"/>
              <w:left w:val="nil"/>
              <w:bottom w:val="single" w:sz="4" w:space="0" w:color="auto"/>
              <w:right w:val="single" w:sz="4" w:space="0" w:color="auto"/>
            </w:tcBorders>
            <w:shd w:val="clear" w:color="000000" w:fill="F2DBDB"/>
            <w:vAlign w:val="center"/>
            <w:hideMark/>
          </w:tcPr>
          <w:p w14:paraId="7067F56A" w14:textId="77777777" w:rsidR="00D70250" w:rsidRPr="002D687B" w:rsidRDefault="00D70250" w:rsidP="002D687B">
            <w:pPr>
              <w:spacing w:after="0" w:line="240" w:lineRule="auto"/>
              <w:jc w:val="center"/>
              <w:rPr>
                <w:rFonts w:cs="Arial"/>
                <w:sz w:val="16"/>
                <w:szCs w:val="16"/>
              </w:rPr>
            </w:pPr>
            <w:r w:rsidRPr="002D687B">
              <w:rPr>
                <w:rFonts w:cs="Arial"/>
                <w:sz w:val="16"/>
                <w:szCs w:val="16"/>
              </w:rPr>
              <w:t>muži</w:t>
            </w:r>
          </w:p>
        </w:tc>
        <w:tc>
          <w:tcPr>
            <w:tcW w:w="652" w:type="dxa"/>
            <w:tcBorders>
              <w:top w:val="nil"/>
              <w:left w:val="nil"/>
              <w:bottom w:val="single" w:sz="4" w:space="0" w:color="auto"/>
              <w:right w:val="single" w:sz="4" w:space="0" w:color="auto"/>
            </w:tcBorders>
            <w:shd w:val="clear" w:color="000000" w:fill="F2DBDB"/>
            <w:vAlign w:val="center"/>
            <w:hideMark/>
          </w:tcPr>
          <w:p w14:paraId="5F3EE954" w14:textId="77777777" w:rsidR="00D70250" w:rsidRPr="002D687B" w:rsidRDefault="00D70250" w:rsidP="002D687B">
            <w:pPr>
              <w:spacing w:after="0" w:line="240" w:lineRule="auto"/>
              <w:jc w:val="center"/>
              <w:rPr>
                <w:rFonts w:cs="Arial"/>
                <w:sz w:val="16"/>
                <w:szCs w:val="16"/>
              </w:rPr>
            </w:pPr>
            <w:r w:rsidRPr="002D687B">
              <w:rPr>
                <w:rFonts w:cs="Arial"/>
                <w:sz w:val="16"/>
                <w:szCs w:val="16"/>
              </w:rPr>
              <w:t>ženy</w:t>
            </w:r>
          </w:p>
        </w:tc>
        <w:tc>
          <w:tcPr>
            <w:tcW w:w="850" w:type="dxa"/>
            <w:vMerge/>
            <w:tcBorders>
              <w:left w:val="single" w:sz="4" w:space="0" w:color="auto"/>
              <w:bottom w:val="single" w:sz="4" w:space="0" w:color="auto"/>
              <w:right w:val="single" w:sz="4" w:space="0" w:color="auto"/>
            </w:tcBorders>
            <w:vAlign w:val="center"/>
            <w:hideMark/>
          </w:tcPr>
          <w:p w14:paraId="0B8A253E" w14:textId="77777777" w:rsidR="00D70250" w:rsidRPr="002D687B" w:rsidRDefault="00D70250" w:rsidP="002D687B">
            <w:pPr>
              <w:spacing w:after="0" w:line="240" w:lineRule="auto"/>
              <w:rPr>
                <w:rFonts w:cs="Arial"/>
                <w:sz w:val="16"/>
                <w:szCs w:val="16"/>
              </w:rPr>
            </w:pPr>
          </w:p>
        </w:tc>
        <w:tc>
          <w:tcPr>
            <w:tcW w:w="652" w:type="dxa"/>
            <w:tcBorders>
              <w:top w:val="nil"/>
              <w:left w:val="nil"/>
              <w:bottom w:val="single" w:sz="4" w:space="0" w:color="auto"/>
              <w:right w:val="single" w:sz="4" w:space="0" w:color="auto"/>
            </w:tcBorders>
            <w:shd w:val="clear" w:color="000000" w:fill="F2DBDB"/>
            <w:vAlign w:val="center"/>
            <w:hideMark/>
          </w:tcPr>
          <w:p w14:paraId="4DC37A50" w14:textId="77777777" w:rsidR="00D70250" w:rsidRPr="002D687B" w:rsidRDefault="00D70250" w:rsidP="002D687B">
            <w:pPr>
              <w:spacing w:after="0" w:line="240" w:lineRule="auto"/>
              <w:jc w:val="center"/>
              <w:rPr>
                <w:rFonts w:cs="Arial"/>
                <w:sz w:val="16"/>
                <w:szCs w:val="16"/>
              </w:rPr>
            </w:pPr>
            <w:r w:rsidRPr="002D687B">
              <w:rPr>
                <w:rFonts w:cs="Arial"/>
                <w:sz w:val="16"/>
                <w:szCs w:val="16"/>
              </w:rPr>
              <w:t>muži</w:t>
            </w:r>
          </w:p>
        </w:tc>
        <w:tc>
          <w:tcPr>
            <w:tcW w:w="652" w:type="dxa"/>
            <w:tcBorders>
              <w:top w:val="nil"/>
              <w:left w:val="nil"/>
              <w:bottom w:val="single" w:sz="4" w:space="0" w:color="auto"/>
              <w:right w:val="nil"/>
            </w:tcBorders>
            <w:shd w:val="clear" w:color="000000" w:fill="F2DBDB"/>
            <w:vAlign w:val="center"/>
            <w:hideMark/>
          </w:tcPr>
          <w:p w14:paraId="5F383124" w14:textId="77777777" w:rsidR="00D70250" w:rsidRPr="002D687B" w:rsidRDefault="00D70250" w:rsidP="002D687B">
            <w:pPr>
              <w:spacing w:after="0" w:line="240" w:lineRule="auto"/>
              <w:jc w:val="center"/>
              <w:rPr>
                <w:rFonts w:cs="Arial"/>
                <w:sz w:val="16"/>
                <w:szCs w:val="16"/>
              </w:rPr>
            </w:pPr>
            <w:r w:rsidRPr="002D687B">
              <w:rPr>
                <w:rFonts w:cs="Arial"/>
                <w:sz w:val="16"/>
                <w:szCs w:val="16"/>
              </w:rPr>
              <w:t>ženy</w:t>
            </w:r>
          </w:p>
        </w:tc>
        <w:tc>
          <w:tcPr>
            <w:tcW w:w="850" w:type="dxa"/>
            <w:vMerge/>
            <w:tcBorders>
              <w:left w:val="single" w:sz="4" w:space="0" w:color="auto"/>
              <w:bottom w:val="single" w:sz="4" w:space="0" w:color="auto"/>
              <w:right w:val="single" w:sz="4" w:space="0" w:color="auto"/>
            </w:tcBorders>
            <w:vAlign w:val="center"/>
            <w:hideMark/>
          </w:tcPr>
          <w:p w14:paraId="09C2295E" w14:textId="77777777" w:rsidR="00D70250" w:rsidRPr="002D687B" w:rsidRDefault="00D70250" w:rsidP="002D687B">
            <w:pPr>
              <w:spacing w:after="0" w:line="240" w:lineRule="auto"/>
              <w:rPr>
                <w:rFonts w:cs="Arial"/>
                <w:sz w:val="16"/>
                <w:szCs w:val="16"/>
              </w:rPr>
            </w:pPr>
          </w:p>
        </w:tc>
        <w:tc>
          <w:tcPr>
            <w:tcW w:w="652" w:type="dxa"/>
            <w:tcBorders>
              <w:top w:val="nil"/>
              <w:left w:val="nil"/>
              <w:bottom w:val="single" w:sz="4" w:space="0" w:color="auto"/>
              <w:right w:val="single" w:sz="4" w:space="0" w:color="auto"/>
            </w:tcBorders>
            <w:shd w:val="clear" w:color="000000" w:fill="F2DBDB"/>
            <w:vAlign w:val="center"/>
            <w:hideMark/>
          </w:tcPr>
          <w:p w14:paraId="78B9B537" w14:textId="77777777" w:rsidR="00D70250" w:rsidRPr="002D687B" w:rsidRDefault="00D70250" w:rsidP="002D687B">
            <w:pPr>
              <w:spacing w:after="0" w:line="240" w:lineRule="auto"/>
              <w:jc w:val="center"/>
              <w:rPr>
                <w:rFonts w:cs="Arial"/>
                <w:sz w:val="16"/>
                <w:szCs w:val="16"/>
              </w:rPr>
            </w:pPr>
            <w:r w:rsidRPr="002D687B">
              <w:rPr>
                <w:rFonts w:cs="Arial"/>
                <w:sz w:val="16"/>
                <w:szCs w:val="16"/>
              </w:rPr>
              <w:t>muži</w:t>
            </w:r>
          </w:p>
        </w:tc>
        <w:tc>
          <w:tcPr>
            <w:tcW w:w="652" w:type="dxa"/>
            <w:tcBorders>
              <w:top w:val="nil"/>
              <w:left w:val="nil"/>
              <w:bottom w:val="single" w:sz="4" w:space="0" w:color="auto"/>
              <w:right w:val="nil"/>
            </w:tcBorders>
            <w:shd w:val="clear" w:color="000000" w:fill="F2DBDB"/>
            <w:vAlign w:val="center"/>
            <w:hideMark/>
          </w:tcPr>
          <w:p w14:paraId="0769F66C" w14:textId="77777777" w:rsidR="00D70250" w:rsidRPr="002D687B" w:rsidRDefault="00D70250" w:rsidP="002D687B">
            <w:pPr>
              <w:spacing w:after="0" w:line="240" w:lineRule="auto"/>
              <w:jc w:val="center"/>
              <w:rPr>
                <w:rFonts w:cs="Arial"/>
                <w:sz w:val="16"/>
                <w:szCs w:val="16"/>
              </w:rPr>
            </w:pPr>
            <w:r w:rsidRPr="002D687B">
              <w:rPr>
                <w:rFonts w:cs="Arial"/>
                <w:sz w:val="16"/>
                <w:szCs w:val="16"/>
              </w:rPr>
              <w:t>ženy</w:t>
            </w:r>
          </w:p>
        </w:tc>
      </w:tr>
      <w:tr w:rsidR="00D70250" w:rsidRPr="002D687B" w14:paraId="42DF6F49" w14:textId="77777777" w:rsidTr="00922112">
        <w:trPr>
          <w:trHeight w:val="300"/>
        </w:trPr>
        <w:tc>
          <w:tcPr>
            <w:tcW w:w="1009" w:type="dxa"/>
            <w:tcBorders>
              <w:top w:val="single" w:sz="4" w:space="0" w:color="auto"/>
              <w:left w:val="nil"/>
              <w:bottom w:val="nil"/>
              <w:right w:val="single" w:sz="4" w:space="0" w:color="auto"/>
            </w:tcBorders>
            <w:shd w:val="clear" w:color="auto" w:fill="auto"/>
            <w:vAlign w:val="center"/>
            <w:hideMark/>
          </w:tcPr>
          <w:p w14:paraId="525BF64F" w14:textId="77777777" w:rsidR="002D687B" w:rsidRPr="002D687B" w:rsidRDefault="002D687B" w:rsidP="002D687B">
            <w:pPr>
              <w:spacing w:after="0" w:line="240" w:lineRule="auto"/>
              <w:jc w:val="center"/>
              <w:rPr>
                <w:rFonts w:cs="Arial"/>
                <w:sz w:val="16"/>
                <w:szCs w:val="16"/>
              </w:rPr>
            </w:pPr>
            <w:r w:rsidRPr="002D687B">
              <w:rPr>
                <w:rFonts w:cs="Arial"/>
                <w:sz w:val="16"/>
                <w:szCs w:val="16"/>
              </w:rPr>
              <w:t>1. pol. 2008</w:t>
            </w:r>
          </w:p>
        </w:tc>
        <w:tc>
          <w:tcPr>
            <w:tcW w:w="850" w:type="dxa"/>
            <w:tcBorders>
              <w:top w:val="single" w:sz="4" w:space="0" w:color="auto"/>
              <w:left w:val="nil"/>
              <w:bottom w:val="nil"/>
              <w:right w:val="nil"/>
            </w:tcBorders>
            <w:shd w:val="clear" w:color="auto" w:fill="auto"/>
            <w:vAlign w:val="center"/>
            <w:hideMark/>
          </w:tcPr>
          <w:p w14:paraId="2D051B94" w14:textId="77777777" w:rsidR="002D687B" w:rsidRPr="002D687B" w:rsidRDefault="002D687B" w:rsidP="002D687B">
            <w:pPr>
              <w:spacing w:after="0" w:line="240" w:lineRule="auto"/>
              <w:jc w:val="right"/>
              <w:rPr>
                <w:rFonts w:cs="Arial"/>
                <w:sz w:val="16"/>
                <w:szCs w:val="16"/>
              </w:rPr>
            </w:pPr>
            <w:r w:rsidRPr="002D687B">
              <w:rPr>
                <w:rFonts w:cs="Arial"/>
                <w:sz w:val="16"/>
                <w:szCs w:val="16"/>
              </w:rPr>
              <w:t>1 125,6</w:t>
            </w:r>
          </w:p>
        </w:tc>
        <w:tc>
          <w:tcPr>
            <w:tcW w:w="652" w:type="dxa"/>
            <w:tcBorders>
              <w:top w:val="single" w:sz="4" w:space="0" w:color="auto"/>
              <w:left w:val="nil"/>
              <w:bottom w:val="nil"/>
              <w:right w:val="nil"/>
            </w:tcBorders>
            <w:shd w:val="clear" w:color="auto" w:fill="auto"/>
            <w:vAlign w:val="center"/>
            <w:hideMark/>
          </w:tcPr>
          <w:p w14:paraId="37FFBF4E" w14:textId="77777777" w:rsidR="002D687B" w:rsidRPr="002D687B" w:rsidRDefault="002D687B" w:rsidP="002D687B">
            <w:pPr>
              <w:spacing w:after="0" w:line="240" w:lineRule="auto"/>
              <w:jc w:val="right"/>
              <w:rPr>
                <w:rFonts w:cs="Arial"/>
                <w:sz w:val="16"/>
                <w:szCs w:val="16"/>
              </w:rPr>
            </w:pPr>
            <w:r w:rsidRPr="002D687B">
              <w:rPr>
                <w:rFonts w:cs="Arial"/>
                <w:sz w:val="16"/>
                <w:szCs w:val="16"/>
              </w:rPr>
              <w:t>546,7</w:t>
            </w:r>
          </w:p>
        </w:tc>
        <w:tc>
          <w:tcPr>
            <w:tcW w:w="652" w:type="dxa"/>
            <w:tcBorders>
              <w:top w:val="single" w:sz="4" w:space="0" w:color="auto"/>
              <w:left w:val="nil"/>
              <w:bottom w:val="nil"/>
              <w:right w:val="single" w:sz="4" w:space="0" w:color="auto"/>
            </w:tcBorders>
            <w:shd w:val="clear" w:color="auto" w:fill="auto"/>
            <w:vAlign w:val="center"/>
            <w:hideMark/>
          </w:tcPr>
          <w:p w14:paraId="695AD233" w14:textId="77777777" w:rsidR="002D687B" w:rsidRPr="002D687B" w:rsidRDefault="002D687B" w:rsidP="002D687B">
            <w:pPr>
              <w:spacing w:after="0" w:line="240" w:lineRule="auto"/>
              <w:jc w:val="right"/>
              <w:rPr>
                <w:rFonts w:cs="Arial"/>
                <w:sz w:val="16"/>
                <w:szCs w:val="16"/>
              </w:rPr>
            </w:pPr>
            <w:r w:rsidRPr="002D687B">
              <w:rPr>
                <w:rFonts w:cs="Arial"/>
                <w:sz w:val="16"/>
                <w:szCs w:val="16"/>
              </w:rPr>
              <w:t>578,9</w:t>
            </w:r>
          </w:p>
        </w:tc>
        <w:tc>
          <w:tcPr>
            <w:tcW w:w="850" w:type="dxa"/>
            <w:tcBorders>
              <w:top w:val="single" w:sz="4" w:space="0" w:color="auto"/>
              <w:left w:val="nil"/>
              <w:bottom w:val="nil"/>
              <w:right w:val="nil"/>
            </w:tcBorders>
            <w:shd w:val="clear" w:color="auto" w:fill="auto"/>
            <w:vAlign w:val="center"/>
            <w:hideMark/>
          </w:tcPr>
          <w:p w14:paraId="5C3ED793" w14:textId="77777777" w:rsidR="002D687B" w:rsidRPr="002D687B" w:rsidRDefault="002D687B" w:rsidP="002D687B">
            <w:pPr>
              <w:spacing w:after="0" w:line="240" w:lineRule="auto"/>
              <w:jc w:val="right"/>
              <w:rPr>
                <w:rFonts w:cs="Arial"/>
                <w:sz w:val="16"/>
                <w:szCs w:val="16"/>
              </w:rPr>
            </w:pPr>
            <w:r w:rsidRPr="002D687B">
              <w:rPr>
                <w:rFonts w:cs="Arial"/>
                <w:sz w:val="16"/>
                <w:szCs w:val="16"/>
              </w:rPr>
              <w:t>1 038,4</w:t>
            </w:r>
          </w:p>
        </w:tc>
        <w:tc>
          <w:tcPr>
            <w:tcW w:w="652" w:type="dxa"/>
            <w:tcBorders>
              <w:top w:val="single" w:sz="4" w:space="0" w:color="auto"/>
              <w:left w:val="nil"/>
              <w:bottom w:val="nil"/>
              <w:right w:val="nil"/>
            </w:tcBorders>
            <w:shd w:val="clear" w:color="auto" w:fill="auto"/>
            <w:vAlign w:val="center"/>
            <w:hideMark/>
          </w:tcPr>
          <w:p w14:paraId="71E11590" w14:textId="77777777" w:rsidR="002D687B" w:rsidRPr="002D687B" w:rsidRDefault="002D687B" w:rsidP="002D687B">
            <w:pPr>
              <w:spacing w:after="0" w:line="240" w:lineRule="auto"/>
              <w:jc w:val="right"/>
              <w:rPr>
                <w:rFonts w:cs="Arial"/>
                <w:sz w:val="16"/>
                <w:szCs w:val="16"/>
              </w:rPr>
            </w:pPr>
            <w:r w:rsidRPr="002D687B">
              <w:rPr>
                <w:rFonts w:cs="Arial"/>
                <w:sz w:val="16"/>
                <w:szCs w:val="16"/>
              </w:rPr>
              <w:t>484,7</w:t>
            </w:r>
          </w:p>
        </w:tc>
        <w:tc>
          <w:tcPr>
            <w:tcW w:w="652" w:type="dxa"/>
            <w:tcBorders>
              <w:top w:val="single" w:sz="4" w:space="0" w:color="auto"/>
              <w:left w:val="nil"/>
              <w:bottom w:val="nil"/>
              <w:right w:val="single" w:sz="4" w:space="0" w:color="auto"/>
            </w:tcBorders>
            <w:shd w:val="clear" w:color="auto" w:fill="auto"/>
            <w:vAlign w:val="center"/>
            <w:hideMark/>
          </w:tcPr>
          <w:p w14:paraId="63053C7B" w14:textId="77777777" w:rsidR="002D687B" w:rsidRPr="002D687B" w:rsidRDefault="002D687B" w:rsidP="002D687B">
            <w:pPr>
              <w:spacing w:after="0" w:line="240" w:lineRule="auto"/>
              <w:jc w:val="right"/>
              <w:rPr>
                <w:rFonts w:cs="Arial"/>
                <w:sz w:val="16"/>
                <w:szCs w:val="16"/>
              </w:rPr>
            </w:pPr>
            <w:r w:rsidRPr="002D687B">
              <w:rPr>
                <w:rFonts w:cs="Arial"/>
                <w:sz w:val="16"/>
                <w:szCs w:val="16"/>
              </w:rPr>
              <w:t>553,7</w:t>
            </w:r>
          </w:p>
        </w:tc>
        <w:tc>
          <w:tcPr>
            <w:tcW w:w="850" w:type="dxa"/>
            <w:tcBorders>
              <w:top w:val="single" w:sz="4" w:space="0" w:color="auto"/>
              <w:left w:val="nil"/>
              <w:bottom w:val="nil"/>
              <w:right w:val="nil"/>
            </w:tcBorders>
            <w:shd w:val="clear" w:color="auto" w:fill="auto"/>
            <w:vAlign w:val="center"/>
            <w:hideMark/>
          </w:tcPr>
          <w:p w14:paraId="5AEE2E99" w14:textId="77777777" w:rsidR="002D687B" w:rsidRPr="002D687B" w:rsidRDefault="002D687B" w:rsidP="002D687B">
            <w:pPr>
              <w:spacing w:after="0" w:line="240" w:lineRule="auto"/>
              <w:jc w:val="right"/>
              <w:rPr>
                <w:rFonts w:cs="Arial"/>
                <w:sz w:val="16"/>
                <w:szCs w:val="16"/>
              </w:rPr>
            </w:pPr>
            <w:r w:rsidRPr="002D687B">
              <w:rPr>
                <w:rFonts w:cs="Arial"/>
                <w:sz w:val="16"/>
                <w:szCs w:val="16"/>
              </w:rPr>
              <w:t>35,1</w:t>
            </w:r>
          </w:p>
        </w:tc>
        <w:tc>
          <w:tcPr>
            <w:tcW w:w="652" w:type="dxa"/>
            <w:tcBorders>
              <w:top w:val="single" w:sz="4" w:space="0" w:color="auto"/>
              <w:left w:val="nil"/>
              <w:bottom w:val="nil"/>
              <w:right w:val="nil"/>
            </w:tcBorders>
            <w:shd w:val="clear" w:color="auto" w:fill="auto"/>
            <w:vAlign w:val="center"/>
            <w:hideMark/>
          </w:tcPr>
          <w:p w14:paraId="7E7E7D58" w14:textId="77777777" w:rsidR="002D687B" w:rsidRPr="002D687B" w:rsidRDefault="002D687B" w:rsidP="002D687B">
            <w:pPr>
              <w:spacing w:after="0" w:line="240" w:lineRule="auto"/>
              <w:jc w:val="right"/>
              <w:rPr>
                <w:rFonts w:cs="Arial"/>
                <w:sz w:val="16"/>
                <w:szCs w:val="16"/>
              </w:rPr>
            </w:pPr>
            <w:r w:rsidRPr="002D687B">
              <w:rPr>
                <w:rFonts w:cs="Arial"/>
                <w:sz w:val="16"/>
                <w:szCs w:val="16"/>
              </w:rPr>
              <w:t>25,7</w:t>
            </w:r>
          </w:p>
        </w:tc>
        <w:tc>
          <w:tcPr>
            <w:tcW w:w="652" w:type="dxa"/>
            <w:tcBorders>
              <w:top w:val="single" w:sz="4" w:space="0" w:color="auto"/>
              <w:left w:val="nil"/>
              <w:bottom w:val="nil"/>
              <w:right w:val="single" w:sz="4" w:space="0" w:color="auto"/>
            </w:tcBorders>
            <w:shd w:val="clear" w:color="auto" w:fill="auto"/>
            <w:vAlign w:val="center"/>
            <w:hideMark/>
          </w:tcPr>
          <w:p w14:paraId="559B8A09" w14:textId="77777777" w:rsidR="002D687B" w:rsidRPr="002D687B" w:rsidRDefault="002D687B" w:rsidP="002D687B">
            <w:pPr>
              <w:spacing w:after="0" w:line="240" w:lineRule="auto"/>
              <w:jc w:val="right"/>
              <w:rPr>
                <w:rFonts w:cs="Arial"/>
                <w:sz w:val="16"/>
                <w:szCs w:val="16"/>
              </w:rPr>
            </w:pPr>
            <w:r w:rsidRPr="002D687B">
              <w:rPr>
                <w:rFonts w:cs="Arial"/>
                <w:sz w:val="16"/>
                <w:szCs w:val="16"/>
              </w:rPr>
              <w:t>9,4</w:t>
            </w:r>
          </w:p>
        </w:tc>
        <w:tc>
          <w:tcPr>
            <w:tcW w:w="850" w:type="dxa"/>
            <w:tcBorders>
              <w:top w:val="single" w:sz="4" w:space="0" w:color="auto"/>
              <w:left w:val="nil"/>
              <w:bottom w:val="nil"/>
              <w:right w:val="nil"/>
            </w:tcBorders>
            <w:shd w:val="clear" w:color="auto" w:fill="auto"/>
            <w:vAlign w:val="center"/>
            <w:hideMark/>
          </w:tcPr>
          <w:p w14:paraId="4B0B58DB" w14:textId="77777777" w:rsidR="002D687B" w:rsidRPr="002D687B" w:rsidRDefault="002D687B" w:rsidP="002D687B">
            <w:pPr>
              <w:spacing w:after="0" w:line="240" w:lineRule="auto"/>
              <w:jc w:val="right"/>
              <w:rPr>
                <w:rFonts w:cs="Arial"/>
                <w:sz w:val="16"/>
                <w:szCs w:val="16"/>
              </w:rPr>
            </w:pPr>
            <w:r w:rsidRPr="002D687B">
              <w:rPr>
                <w:rFonts w:cs="Arial"/>
                <w:sz w:val="16"/>
                <w:szCs w:val="16"/>
              </w:rPr>
              <w:t>52,0</w:t>
            </w:r>
          </w:p>
        </w:tc>
        <w:tc>
          <w:tcPr>
            <w:tcW w:w="652" w:type="dxa"/>
            <w:tcBorders>
              <w:top w:val="single" w:sz="4" w:space="0" w:color="auto"/>
              <w:left w:val="nil"/>
              <w:bottom w:val="nil"/>
              <w:right w:val="nil"/>
            </w:tcBorders>
            <w:shd w:val="clear" w:color="auto" w:fill="auto"/>
            <w:vAlign w:val="center"/>
            <w:hideMark/>
          </w:tcPr>
          <w:p w14:paraId="0D5C9E61" w14:textId="77777777" w:rsidR="002D687B" w:rsidRPr="002D687B" w:rsidRDefault="002D687B" w:rsidP="002D687B">
            <w:pPr>
              <w:spacing w:after="0" w:line="240" w:lineRule="auto"/>
              <w:jc w:val="right"/>
              <w:rPr>
                <w:rFonts w:cs="Arial"/>
                <w:sz w:val="16"/>
                <w:szCs w:val="16"/>
              </w:rPr>
            </w:pPr>
            <w:r w:rsidRPr="002D687B">
              <w:rPr>
                <w:rFonts w:cs="Arial"/>
                <w:sz w:val="16"/>
                <w:szCs w:val="16"/>
              </w:rPr>
              <w:t>36,3</w:t>
            </w:r>
          </w:p>
        </w:tc>
        <w:tc>
          <w:tcPr>
            <w:tcW w:w="652" w:type="dxa"/>
            <w:tcBorders>
              <w:top w:val="single" w:sz="4" w:space="0" w:color="auto"/>
              <w:left w:val="nil"/>
              <w:bottom w:val="nil"/>
              <w:right w:val="nil"/>
            </w:tcBorders>
            <w:shd w:val="clear" w:color="auto" w:fill="auto"/>
            <w:vAlign w:val="center"/>
            <w:hideMark/>
          </w:tcPr>
          <w:p w14:paraId="3534BA64" w14:textId="77777777" w:rsidR="002D687B" w:rsidRPr="002D687B" w:rsidRDefault="002D687B" w:rsidP="002D687B">
            <w:pPr>
              <w:spacing w:after="0" w:line="240" w:lineRule="auto"/>
              <w:jc w:val="right"/>
              <w:rPr>
                <w:rFonts w:cs="Arial"/>
                <w:sz w:val="16"/>
                <w:szCs w:val="16"/>
              </w:rPr>
            </w:pPr>
            <w:r w:rsidRPr="002D687B">
              <w:rPr>
                <w:rFonts w:cs="Arial"/>
                <w:sz w:val="16"/>
                <w:szCs w:val="16"/>
              </w:rPr>
              <w:t>15,8</w:t>
            </w:r>
          </w:p>
        </w:tc>
      </w:tr>
      <w:tr w:rsidR="00D70250" w:rsidRPr="002D687B" w14:paraId="4AC8D639" w14:textId="77777777" w:rsidTr="00D70250">
        <w:trPr>
          <w:trHeight w:val="300"/>
        </w:trPr>
        <w:tc>
          <w:tcPr>
            <w:tcW w:w="1009" w:type="dxa"/>
            <w:tcBorders>
              <w:top w:val="nil"/>
              <w:left w:val="nil"/>
              <w:bottom w:val="nil"/>
              <w:right w:val="single" w:sz="4" w:space="0" w:color="auto"/>
            </w:tcBorders>
            <w:shd w:val="clear" w:color="auto" w:fill="auto"/>
            <w:vAlign w:val="center"/>
            <w:hideMark/>
          </w:tcPr>
          <w:p w14:paraId="10BD1F03" w14:textId="77777777" w:rsidR="002D687B" w:rsidRPr="002D687B" w:rsidRDefault="002D687B" w:rsidP="002D687B">
            <w:pPr>
              <w:spacing w:after="0" w:line="240" w:lineRule="auto"/>
              <w:jc w:val="center"/>
              <w:rPr>
                <w:rFonts w:cs="Arial"/>
                <w:sz w:val="16"/>
                <w:szCs w:val="16"/>
              </w:rPr>
            </w:pPr>
            <w:r w:rsidRPr="002D687B">
              <w:rPr>
                <w:rFonts w:cs="Arial"/>
                <w:sz w:val="16"/>
                <w:szCs w:val="16"/>
              </w:rPr>
              <w:t>1. pol. 2009</w:t>
            </w:r>
          </w:p>
        </w:tc>
        <w:tc>
          <w:tcPr>
            <w:tcW w:w="850" w:type="dxa"/>
            <w:tcBorders>
              <w:top w:val="nil"/>
              <w:left w:val="nil"/>
              <w:bottom w:val="nil"/>
              <w:right w:val="nil"/>
            </w:tcBorders>
            <w:shd w:val="clear" w:color="auto" w:fill="auto"/>
            <w:vAlign w:val="center"/>
            <w:hideMark/>
          </w:tcPr>
          <w:p w14:paraId="425B6140" w14:textId="77777777" w:rsidR="002D687B" w:rsidRPr="002D687B" w:rsidRDefault="002D687B" w:rsidP="002D687B">
            <w:pPr>
              <w:spacing w:after="0" w:line="240" w:lineRule="auto"/>
              <w:jc w:val="right"/>
              <w:rPr>
                <w:rFonts w:cs="Arial"/>
                <w:sz w:val="16"/>
                <w:szCs w:val="16"/>
              </w:rPr>
            </w:pPr>
            <w:r w:rsidRPr="002D687B">
              <w:rPr>
                <w:rFonts w:cs="Arial"/>
                <w:sz w:val="16"/>
                <w:szCs w:val="16"/>
              </w:rPr>
              <w:t>767,7</w:t>
            </w:r>
          </w:p>
        </w:tc>
        <w:tc>
          <w:tcPr>
            <w:tcW w:w="652" w:type="dxa"/>
            <w:tcBorders>
              <w:top w:val="nil"/>
              <w:left w:val="nil"/>
              <w:bottom w:val="nil"/>
              <w:right w:val="nil"/>
            </w:tcBorders>
            <w:shd w:val="clear" w:color="auto" w:fill="auto"/>
            <w:vAlign w:val="center"/>
            <w:hideMark/>
          </w:tcPr>
          <w:p w14:paraId="46AE9FB4" w14:textId="77777777" w:rsidR="002D687B" w:rsidRPr="002D687B" w:rsidRDefault="002D687B" w:rsidP="002D687B">
            <w:pPr>
              <w:spacing w:after="0" w:line="240" w:lineRule="auto"/>
              <w:jc w:val="right"/>
              <w:rPr>
                <w:rFonts w:cs="Arial"/>
                <w:sz w:val="16"/>
                <w:szCs w:val="16"/>
              </w:rPr>
            </w:pPr>
            <w:r w:rsidRPr="002D687B">
              <w:rPr>
                <w:rFonts w:cs="Arial"/>
                <w:sz w:val="16"/>
                <w:szCs w:val="16"/>
              </w:rPr>
              <w:t>364,9</w:t>
            </w:r>
          </w:p>
        </w:tc>
        <w:tc>
          <w:tcPr>
            <w:tcW w:w="652" w:type="dxa"/>
            <w:tcBorders>
              <w:top w:val="nil"/>
              <w:left w:val="nil"/>
              <w:bottom w:val="nil"/>
              <w:right w:val="single" w:sz="4" w:space="0" w:color="auto"/>
            </w:tcBorders>
            <w:shd w:val="clear" w:color="auto" w:fill="auto"/>
            <w:vAlign w:val="center"/>
            <w:hideMark/>
          </w:tcPr>
          <w:p w14:paraId="343192DC" w14:textId="77777777" w:rsidR="002D687B" w:rsidRPr="002D687B" w:rsidRDefault="002D687B" w:rsidP="002D687B">
            <w:pPr>
              <w:spacing w:after="0" w:line="240" w:lineRule="auto"/>
              <w:jc w:val="right"/>
              <w:rPr>
                <w:rFonts w:cs="Arial"/>
                <w:sz w:val="16"/>
                <w:szCs w:val="16"/>
              </w:rPr>
            </w:pPr>
            <w:r w:rsidRPr="002D687B">
              <w:rPr>
                <w:rFonts w:cs="Arial"/>
                <w:sz w:val="16"/>
                <w:szCs w:val="16"/>
              </w:rPr>
              <w:t>402,9</w:t>
            </w:r>
          </w:p>
        </w:tc>
        <w:tc>
          <w:tcPr>
            <w:tcW w:w="850" w:type="dxa"/>
            <w:tcBorders>
              <w:top w:val="nil"/>
              <w:left w:val="nil"/>
              <w:bottom w:val="nil"/>
              <w:right w:val="nil"/>
            </w:tcBorders>
            <w:shd w:val="clear" w:color="auto" w:fill="auto"/>
            <w:vAlign w:val="center"/>
            <w:hideMark/>
          </w:tcPr>
          <w:p w14:paraId="6CDBCCEC" w14:textId="77777777" w:rsidR="002D687B" w:rsidRPr="002D687B" w:rsidRDefault="002D687B" w:rsidP="002D687B">
            <w:pPr>
              <w:spacing w:after="0" w:line="240" w:lineRule="auto"/>
              <w:jc w:val="right"/>
              <w:rPr>
                <w:rFonts w:cs="Arial"/>
                <w:sz w:val="16"/>
                <w:szCs w:val="16"/>
              </w:rPr>
            </w:pPr>
            <w:r w:rsidRPr="002D687B">
              <w:rPr>
                <w:rFonts w:cs="Arial"/>
                <w:sz w:val="16"/>
                <w:szCs w:val="16"/>
              </w:rPr>
              <w:t>697,3</w:t>
            </w:r>
          </w:p>
        </w:tc>
        <w:tc>
          <w:tcPr>
            <w:tcW w:w="652" w:type="dxa"/>
            <w:tcBorders>
              <w:top w:val="nil"/>
              <w:left w:val="nil"/>
              <w:bottom w:val="nil"/>
              <w:right w:val="nil"/>
            </w:tcBorders>
            <w:shd w:val="clear" w:color="auto" w:fill="auto"/>
            <w:vAlign w:val="center"/>
            <w:hideMark/>
          </w:tcPr>
          <w:p w14:paraId="4751731E" w14:textId="77777777" w:rsidR="002D687B" w:rsidRPr="002D687B" w:rsidRDefault="002D687B" w:rsidP="002D687B">
            <w:pPr>
              <w:spacing w:after="0" w:line="240" w:lineRule="auto"/>
              <w:jc w:val="right"/>
              <w:rPr>
                <w:rFonts w:cs="Arial"/>
                <w:sz w:val="16"/>
                <w:szCs w:val="16"/>
              </w:rPr>
            </w:pPr>
            <w:r w:rsidRPr="002D687B">
              <w:rPr>
                <w:rFonts w:cs="Arial"/>
                <w:sz w:val="16"/>
                <w:szCs w:val="16"/>
              </w:rPr>
              <w:t>316,2</w:t>
            </w:r>
          </w:p>
        </w:tc>
        <w:tc>
          <w:tcPr>
            <w:tcW w:w="652" w:type="dxa"/>
            <w:tcBorders>
              <w:top w:val="nil"/>
              <w:left w:val="nil"/>
              <w:bottom w:val="nil"/>
              <w:right w:val="single" w:sz="4" w:space="0" w:color="auto"/>
            </w:tcBorders>
            <w:shd w:val="clear" w:color="auto" w:fill="auto"/>
            <w:vAlign w:val="center"/>
            <w:hideMark/>
          </w:tcPr>
          <w:p w14:paraId="1ABA29A1" w14:textId="77777777" w:rsidR="002D687B" w:rsidRPr="002D687B" w:rsidRDefault="002D687B" w:rsidP="002D687B">
            <w:pPr>
              <w:spacing w:after="0" w:line="240" w:lineRule="auto"/>
              <w:jc w:val="right"/>
              <w:rPr>
                <w:rFonts w:cs="Arial"/>
                <w:sz w:val="16"/>
                <w:szCs w:val="16"/>
              </w:rPr>
            </w:pPr>
            <w:r w:rsidRPr="002D687B">
              <w:rPr>
                <w:rFonts w:cs="Arial"/>
                <w:sz w:val="16"/>
                <w:szCs w:val="16"/>
              </w:rPr>
              <w:t>381,1</w:t>
            </w:r>
          </w:p>
        </w:tc>
        <w:tc>
          <w:tcPr>
            <w:tcW w:w="850" w:type="dxa"/>
            <w:tcBorders>
              <w:top w:val="nil"/>
              <w:left w:val="nil"/>
              <w:bottom w:val="nil"/>
              <w:right w:val="nil"/>
            </w:tcBorders>
            <w:shd w:val="clear" w:color="auto" w:fill="auto"/>
            <w:vAlign w:val="center"/>
            <w:hideMark/>
          </w:tcPr>
          <w:p w14:paraId="72DBD642" w14:textId="77777777" w:rsidR="002D687B" w:rsidRPr="002D687B" w:rsidRDefault="002D687B" w:rsidP="002D687B">
            <w:pPr>
              <w:spacing w:after="0" w:line="240" w:lineRule="auto"/>
              <w:jc w:val="right"/>
              <w:rPr>
                <w:rFonts w:cs="Arial"/>
                <w:sz w:val="16"/>
                <w:szCs w:val="16"/>
              </w:rPr>
            </w:pPr>
            <w:r w:rsidRPr="002D687B">
              <w:rPr>
                <w:rFonts w:cs="Arial"/>
                <w:sz w:val="16"/>
                <w:szCs w:val="16"/>
              </w:rPr>
              <w:t>26,0</w:t>
            </w:r>
          </w:p>
        </w:tc>
        <w:tc>
          <w:tcPr>
            <w:tcW w:w="652" w:type="dxa"/>
            <w:tcBorders>
              <w:top w:val="nil"/>
              <w:left w:val="nil"/>
              <w:bottom w:val="nil"/>
              <w:right w:val="nil"/>
            </w:tcBorders>
            <w:shd w:val="clear" w:color="auto" w:fill="auto"/>
            <w:vAlign w:val="center"/>
            <w:hideMark/>
          </w:tcPr>
          <w:p w14:paraId="76B79AD5" w14:textId="77777777" w:rsidR="002D687B" w:rsidRPr="002D687B" w:rsidRDefault="002D687B" w:rsidP="002D687B">
            <w:pPr>
              <w:spacing w:after="0" w:line="240" w:lineRule="auto"/>
              <w:jc w:val="right"/>
              <w:rPr>
                <w:rFonts w:cs="Arial"/>
                <w:sz w:val="16"/>
                <w:szCs w:val="16"/>
              </w:rPr>
            </w:pPr>
            <w:r w:rsidRPr="002D687B">
              <w:rPr>
                <w:rFonts w:cs="Arial"/>
                <w:sz w:val="16"/>
                <w:szCs w:val="16"/>
              </w:rPr>
              <w:t>18,6</w:t>
            </w:r>
          </w:p>
        </w:tc>
        <w:tc>
          <w:tcPr>
            <w:tcW w:w="652" w:type="dxa"/>
            <w:tcBorders>
              <w:top w:val="nil"/>
              <w:left w:val="nil"/>
              <w:bottom w:val="nil"/>
              <w:right w:val="single" w:sz="4" w:space="0" w:color="auto"/>
            </w:tcBorders>
            <w:shd w:val="clear" w:color="auto" w:fill="auto"/>
            <w:vAlign w:val="center"/>
            <w:hideMark/>
          </w:tcPr>
          <w:p w14:paraId="7CBBDD21" w14:textId="77777777" w:rsidR="002D687B" w:rsidRPr="002D687B" w:rsidRDefault="002D687B" w:rsidP="002D687B">
            <w:pPr>
              <w:spacing w:after="0" w:line="240" w:lineRule="auto"/>
              <w:jc w:val="right"/>
              <w:rPr>
                <w:rFonts w:cs="Arial"/>
                <w:sz w:val="16"/>
                <w:szCs w:val="16"/>
              </w:rPr>
            </w:pPr>
            <w:r w:rsidRPr="002D687B">
              <w:rPr>
                <w:rFonts w:cs="Arial"/>
                <w:sz w:val="16"/>
                <w:szCs w:val="16"/>
              </w:rPr>
              <w:t>7,4</w:t>
            </w:r>
          </w:p>
        </w:tc>
        <w:tc>
          <w:tcPr>
            <w:tcW w:w="850" w:type="dxa"/>
            <w:tcBorders>
              <w:top w:val="nil"/>
              <w:left w:val="nil"/>
              <w:bottom w:val="nil"/>
              <w:right w:val="nil"/>
            </w:tcBorders>
            <w:shd w:val="clear" w:color="auto" w:fill="auto"/>
            <w:vAlign w:val="center"/>
            <w:hideMark/>
          </w:tcPr>
          <w:p w14:paraId="4E1F2FA7" w14:textId="77777777" w:rsidR="002D687B" w:rsidRPr="002D687B" w:rsidRDefault="002D687B" w:rsidP="002D687B">
            <w:pPr>
              <w:spacing w:after="0" w:line="240" w:lineRule="auto"/>
              <w:jc w:val="right"/>
              <w:rPr>
                <w:rFonts w:cs="Arial"/>
                <w:sz w:val="16"/>
                <w:szCs w:val="16"/>
              </w:rPr>
            </w:pPr>
            <w:r w:rsidRPr="002D687B">
              <w:rPr>
                <w:rFonts w:cs="Arial"/>
                <w:sz w:val="16"/>
                <w:szCs w:val="16"/>
              </w:rPr>
              <w:t>44,4</w:t>
            </w:r>
          </w:p>
        </w:tc>
        <w:tc>
          <w:tcPr>
            <w:tcW w:w="652" w:type="dxa"/>
            <w:tcBorders>
              <w:top w:val="nil"/>
              <w:left w:val="nil"/>
              <w:bottom w:val="nil"/>
              <w:right w:val="nil"/>
            </w:tcBorders>
            <w:shd w:val="clear" w:color="auto" w:fill="auto"/>
            <w:vAlign w:val="center"/>
            <w:hideMark/>
          </w:tcPr>
          <w:p w14:paraId="1D73EC77" w14:textId="77777777" w:rsidR="002D687B" w:rsidRPr="002D687B" w:rsidRDefault="002D687B" w:rsidP="002D687B">
            <w:pPr>
              <w:spacing w:after="0" w:line="240" w:lineRule="auto"/>
              <w:jc w:val="right"/>
              <w:rPr>
                <w:rFonts w:cs="Arial"/>
                <w:sz w:val="16"/>
                <w:szCs w:val="16"/>
              </w:rPr>
            </w:pPr>
            <w:r w:rsidRPr="002D687B">
              <w:rPr>
                <w:rFonts w:cs="Arial"/>
                <w:sz w:val="16"/>
                <w:szCs w:val="16"/>
              </w:rPr>
              <w:t>30,0</w:t>
            </w:r>
          </w:p>
        </w:tc>
        <w:tc>
          <w:tcPr>
            <w:tcW w:w="652" w:type="dxa"/>
            <w:tcBorders>
              <w:top w:val="nil"/>
              <w:left w:val="nil"/>
              <w:bottom w:val="nil"/>
              <w:right w:val="nil"/>
            </w:tcBorders>
            <w:shd w:val="clear" w:color="auto" w:fill="auto"/>
            <w:vAlign w:val="center"/>
            <w:hideMark/>
          </w:tcPr>
          <w:p w14:paraId="0343600F" w14:textId="77777777" w:rsidR="002D687B" w:rsidRPr="002D687B" w:rsidRDefault="002D687B" w:rsidP="002D687B">
            <w:pPr>
              <w:spacing w:after="0" w:line="240" w:lineRule="auto"/>
              <w:jc w:val="right"/>
              <w:rPr>
                <w:rFonts w:cs="Arial"/>
                <w:sz w:val="16"/>
                <w:szCs w:val="16"/>
              </w:rPr>
            </w:pPr>
            <w:r w:rsidRPr="002D687B">
              <w:rPr>
                <w:rFonts w:cs="Arial"/>
                <w:sz w:val="16"/>
                <w:szCs w:val="16"/>
              </w:rPr>
              <w:t>14,3</w:t>
            </w:r>
          </w:p>
        </w:tc>
      </w:tr>
      <w:tr w:rsidR="00D70250" w:rsidRPr="002D687B" w14:paraId="1A3DD36F" w14:textId="77777777" w:rsidTr="00D70250">
        <w:trPr>
          <w:trHeight w:val="300"/>
        </w:trPr>
        <w:tc>
          <w:tcPr>
            <w:tcW w:w="1009" w:type="dxa"/>
            <w:tcBorders>
              <w:top w:val="nil"/>
              <w:left w:val="nil"/>
              <w:bottom w:val="nil"/>
              <w:right w:val="single" w:sz="4" w:space="0" w:color="auto"/>
            </w:tcBorders>
            <w:shd w:val="clear" w:color="auto" w:fill="auto"/>
            <w:vAlign w:val="center"/>
            <w:hideMark/>
          </w:tcPr>
          <w:p w14:paraId="15CF1A16" w14:textId="77777777" w:rsidR="002D687B" w:rsidRPr="002D687B" w:rsidRDefault="002D687B" w:rsidP="002D687B">
            <w:pPr>
              <w:spacing w:after="0" w:line="240" w:lineRule="auto"/>
              <w:jc w:val="center"/>
              <w:rPr>
                <w:rFonts w:cs="Arial"/>
                <w:sz w:val="16"/>
                <w:szCs w:val="16"/>
              </w:rPr>
            </w:pPr>
            <w:r w:rsidRPr="002D687B">
              <w:rPr>
                <w:rFonts w:cs="Arial"/>
                <w:sz w:val="16"/>
                <w:szCs w:val="16"/>
              </w:rPr>
              <w:t>1. pol. 2010</w:t>
            </w:r>
          </w:p>
        </w:tc>
        <w:tc>
          <w:tcPr>
            <w:tcW w:w="850" w:type="dxa"/>
            <w:tcBorders>
              <w:top w:val="nil"/>
              <w:left w:val="nil"/>
              <w:bottom w:val="nil"/>
              <w:right w:val="nil"/>
            </w:tcBorders>
            <w:shd w:val="clear" w:color="auto" w:fill="auto"/>
            <w:vAlign w:val="center"/>
            <w:hideMark/>
          </w:tcPr>
          <w:p w14:paraId="45286C26" w14:textId="77777777" w:rsidR="002D687B" w:rsidRPr="002D687B" w:rsidRDefault="002D687B" w:rsidP="002D687B">
            <w:pPr>
              <w:spacing w:after="0" w:line="240" w:lineRule="auto"/>
              <w:jc w:val="right"/>
              <w:rPr>
                <w:rFonts w:cs="Arial"/>
                <w:sz w:val="16"/>
                <w:szCs w:val="16"/>
              </w:rPr>
            </w:pPr>
            <w:r w:rsidRPr="002D687B">
              <w:rPr>
                <w:rFonts w:cs="Arial"/>
                <w:sz w:val="16"/>
                <w:szCs w:val="16"/>
              </w:rPr>
              <w:t>702,8</w:t>
            </w:r>
          </w:p>
        </w:tc>
        <w:tc>
          <w:tcPr>
            <w:tcW w:w="652" w:type="dxa"/>
            <w:tcBorders>
              <w:top w:val="nil"/>
              <w:left w:val="nil"/>
              <w:bottom w:val="nil"/>
              <w:right w:val="nil"/>
            </w:tcBorders>
            <w:shd w:val="clear" w:color="auto" w:fill="auto"/>
            <w:vAlign w:val="center"/>
            <w:hideMark/>
          </w:tcPr>
          <w:p w14:paraId="3AC9C373" w14:textId="77777777" w:rsidR="002D687B" w:rsidRPr="002D687B" w:rsidRDefault="002D687B" w:rsidP="002D687B">
            <w:pPr>
              <w:spacing w:after="0" w:line="240" w:lineRule="auto"/>
              <w:jc w:val="right"/>
              <w:rPr>
                <w:rFonts w:cs="Arial"/>
                <w:sz w:val="16"/>
                <w:szCs w:val="16"/>
              </w:rPr>
            </w:pPr>
            <w:r w:rsidRPr="002D687B">
              <w:rPr>
                <w:rFonts w:cs="Arial"/>
                <w:sz w:val="16"/>
                <w:szCs w:val="16"/>
              </w:rPr>
              <w:t>334,2</w:t>
            </w:r>
          </w:p>
        </w:tc>
        <w:tc>
          <w:tcPr>
            <w:tcW w:w="652" w:type="dxa"/>
            <w:tcBorders>
              <w:top w:val="nil"/>
              <w:left w:val="nil"/>
              <w:bottom w:val="nil"/>
              <w:right w:val="single" w:sz="4" w:space="0" w:color="auto"/>
            </w:tcBorders>
            <w:shd w:val="clear" w:color="auto" w:fill="auto"/>
            <w:vAlign w:val="center"/>
            <w:hideMark/>
          </w:tcPr>
          <w:p w14:paraId="695BDDDA" w14:textId="77777777" w:rsidR="002D687B" w:rsidRPr="002D687B" w:rsidRDefault="002D687B" w:rsidP="002D687B">
            <w:pPr>
              <w:spacing w:after="0" w:line="240" w:lineRule="auto"/>
              <w:jc w:val="right"/>
              <w:rPr>
                <w:rFonts w:cs="Arial"/>
                <w:sz w:val="16"/>
                <w:szCs w:val="16"/>
              </w:rPr>
            </w:pPr>
            <w:r w:rsidRPr="002D687B">
              <w:rPr>
                <w:rFonts w:cs="Arial"/>
                <w:sz w:val="16"/>
                <w:szCs w:val="16"/>
              </w:rPr>
              <w:t>368,6</w:t>
            </w:r>
          </w:p>
        </w:tc>
        <w:tc>
          <w:tcPr>
            <w:tcW w:w="850" w:type="dxa"/>
            <w:tcBorders>
              <w:top w:val="nil"/>
              <w:left w:val="nil"/>
              <w:bottom w:val="nil"/>
              <w:right w:val="nil"/>
            </w:tcBorders>
            <w:shd w:val="clear" w:color="auto" w:fill="auto"/>
            <w:vAlign w:val="center"/>
            <w:hideMark/>
          </w:tcPr>
          <w:p w14:paraId="045AF48D" w14:textId="77777777" w:rsidR="002D687B" w:rsidRPr="002D687B" w:rsidRDefault="002D687B" w:rsidP="002D687B">
            <w:pPr>
              <w:spacing w:after="0" w:line="240" w:lineRule="auto"/>
              <w:jc w:val="right"/>
              <w:rPr>
                <w:rFonts w:cs="Arial"/>
                <w:sz w:val="16"/>
                <w:szCs w:val="16"/>
              </w:rPr>
            </w:pPr>
            <w:r w:rsidRPr="002D687B">
              <w:rPr>
                <w:rFonts w:cs="Arial"/>
                <w:sz w:val="16"/>
                <w:szCs w:val="16"/>
              </w:rPr>
              <w:t>633,1</w:t>
            </w:r>
          </w:p>
        </w:tc>
        <w:tc>
          <w:tcPr>
            <w:tcW w:w="652" w:type="dxa"/>
            <w:tcBorders>
              <w:top w:val="nil"/>
              <w:left w:val="nil"/>
              <w:bottom w:val="nil"/>
              <w:right w:val="nil"/>
            </w:tcBorders>
            <w:shd w:val="clear" w:color="auto" w:fill="auto"/>
            <w:vAlign w:val="center"/>
            <w:hideMark/>
          </w:tcPr>
          <w:p w14:paraId="30647E78" w14:textId="77777777" w:rsidR="002D687B" w:rsidRPr="002D687B" w:rsidRDefault="002D687B" w:rsidP="002D687B">
            <w:pPr>
              <w:spacing w:after="0" w:line="240" w:lineRule="auto"/>
              <w:jc w:val="right"/>
              <w:rPr>
                <w:rFonts w:cs="Arial"/>
                <w:sz w:val="16"/>
                <w:szCs w:val="16"/>
              </w:rPr>
            </w:pPr>
            <w:r w:rsidRPr="002D687B">
              <w:rPr>
                <w:rFonts w:cs="Arial"/>
                <w:sz w:val="16"/>
                <w:szCs w:val="16"/>
              </w:rPr>
              <w:t>286,9</w:t>
            </w:r>
          </w:p>
        </w:tc>
        <w:tc>
          <w:tcPr>
            <w:tcW w:w="652" w:type="dxa"/>
            <w:tcBorders>
              <w:top w:val="nil"/>
              <w:left w:val="nil"/>
              <w:bottom w:val="nil"/>
              <w:right w:val="single" w:sz="4" w:space="0" w:color="auto"/>
            </w:tcBorders>
            <w:shd w:val="clear" w:color="auto" w:fill="auto"/>
            <w:vAlign w:val="center"/>
            <w:hideMark/>
          </w:tcPr>
          <w:p w14:paraId="1A5492BE" w14:textId="77777777" w:rsidR="002D687B" w:rsidRPr="002D687B" w:rsidRDefault="002D687B" w:rsidP="002D687B">
            <w:pPr>
              <w:spacing w:after="0" w:line="240" w:lineRule="auto"/>
              <w:jc w:val="right"/>
              <w:rPr>
                <w:rFonts w:cs="Arial"/>
                <w:sz w:val="16"/>
                <w:szCs w:val="16"/>
              </w:rPr>
            </w:pPr>
            <w:r w:rsidRPr="002D687B">
              <w:rPr>
                <w:rFonts w:cs="Arial"/>
                <w:sz w:val="16"/>
                <w:szCs w:val="16"/>
              </w:rPr>
              <w:t>346,1</w:t>
            </w:r>
          </w:p>
        </w:tc>
        <w:tc>
          <w:tcPr>
            <w:tcW w:w="850" w:type="dxa"/>
            <w:tcBorders>
              <w:top w:val="nil"/>
              <w:left w:val="nil"/>
              <w:bottom w:val="nil"/>
              <w:right w:val="nil"/>
            </w:tcBorders>
            <w:shd w:val="clear" w:color="auto" w:fill="auto"/>
            <w:vAlign w:val="center"/>
            <w:hideMark/>
          </w:tcPr>
          <w:p w14:paraId="398E5200" w14:textId="77777777" w:rsidR="002D687B" w:rsidRPr="002D687B" w:rsidRDefault="002D687B" w:rsidP="002D687B">
            <w:pPr>
              <w:spacing w:after="0" w:line="240" w:lineRule="auto"/>
              <w:jc w:val="right"/>
              <w:rPr>
                <w:rFonts w:cs="Arial"/>
                <w:sz w:val="16"/>
                <w:szCs w:val="16"/>
              </w:rPr>
            </w:pPr>
            <w:r w:rsidRPr="002D687B">
              <w:rPr>
                <w:rFonts w:cs="Arial"/>
                <w:sz w:val="16"/>
                <w:szCs w:val="16"/>
              </w:rPr>
              <w:t>26,3</w:t>
            </w:r>
          </w:p>
        </w:tc>
        <w:tc>
          <w:tcPr>
            <w:tcW w:w="652" w:type="dxa"/>
            <w:tcBorders>
              <w:top w:val="nil"/>
              <w:left w:val="nil"/>
              <w:bottom w:val="nil"/>
              <w:right w:val="nil"/>
            </w:tcBorders>
            <w:shd w:val="clear" w:color="auto" w:fill="auto"/>
            <w:vAlign w:val="center"/>
            <w:hideMark/>
          </w:tcPr>
          <w:p w14:paraId="23EC8EB6" w14:textId="77777777" w:rsidR="002D687B" w:rsidRPr="002D687B" w:rsidRDefault="002D687B" w:rsidP="002D687B">
            <w:pPr>
              <w:spacing w:after="0" w:line="240" w:lineRule="auto"/>
              <w:jc w:val="right"/>
              <w:rPr>
                <w:rFonts w:cs="Arial"/>
                <w:sz w:val="16"/>
                <w:szCs w:val="16"/>
              </w:rPr>
            </w:pPr>
            <w:r w:rsidRPr="002D687B">
              <w:rPr>
                <w:rFonts w:cs="Arial"/>
                <w:sz w:val="16"/>
                <w:szCs w:val="16"/>
              </w:rPr>
              <w:t>18,5</w:t>
            </w:r>
          </w:p>
        </w:tc>
        <w:tc>
          <w:tcPr>
            <w:tcW w:w="652" w:type="dxa"/>
            <w:tcBorders>
              <w:top w:val="nil"/>
              <w:left w:val="nil"/>
              <w:bottom w:val="nil"/>
              <w:right w:val="single" w:sz="4" w:space="0" w:color="auto"/>
            </w:tcBorders>
            <w:shd w:val="clear" w:color="auto" w:fill="auto"/>
            <w:vAlign w:val="center"/>
            <w:hideMark/>
          </w:tcPr>
          <w:p w14:paraId="452BA53F" w14:textId="77777777" w:rsidR="002D687B" w:rsidRPr="002D687B" w:rsidRDefault="002D687B" w:rsidP="002D687B">
            <w:pPr>
              <w:spacing w:after="0" w:line="240" w:lineRule="auto"/>
              <w:jc w:val="right"/>
              <w:rPr>
                <w:rFonts w:cs="Arial"/>
                <w:sz w:val="16"/>
                <w:szCs w:val="16"/>
              </w:rPr>
            </w:pPr>
            <w:r w:rsidRPr="002D687B">
              <w:rPr>
                <w:rFonts w:cs="Arial"/>
                <w:sz w:val="16"/>
                <w:szCs w:val="16"/>
              </w:rPr>
              <w:t>7,7</w:t>
            </w:r>
          </w:p>
        </w:tc>
        <w:tc>
          <w:tcPr>
            <w:tcW w:w="850" w:type="dxa"/>
            <w:tcBorders>
              <w:top w:val="nil"/>
              <w:left w:val="nil"/>
              <w:bottom w:val="nil"/>
              <w:right w:val="nil"/>
            </w:tcBorders>
            <w:shd w:val="clear" w:color="auto" w:fill="auto"/>
            <w:vAlign w:val="center"/>
            <w:hideMark/>
          </w:tcPr>
          <w:p w14:paraId="366F4684" w14:textId="77777777" w:rsidR="002D687B" w:rsidRPr="002D687B" w:rsidRDefault="002D687B" w:rsidP="002D687B">
            <w:pPr>
              <w:spacing w:after="0" w:line="240" w:lineRule="auto"/>
              <w:jc w:val="right"/>
              <w:rPr>
                <w:rFonts w:cs="Arial"/>
                <w:sz w:val="16"/>
                <w:szCs w:val="16"/>
              </w:rPr>
            </w:pPr>
            <w:r w:rsidRPr="002D687B">
              <w:rPr>
                <w:rFonts w:cs="Arial"/>
                <w:sz w:val="16"/>
                <w:szCs w:val="16"/>
              </w:rPr>
              <w:t>43,5</w:t>
            </w:r>
          </w:p>
        </w:tc>
        <w:tc>
          <w:tcPr>
            <w:tcW w:w="652" w:type="dxa"/>
            <w:tcBorders>
              <w:top w:val="nil"/>
              <w:left w:val="nil"/>
              <w:bottom w:val="nil"/>
              <w:right w:val="nil"/>
            </w:tcBorders>
            <w:shd w:val="clear" w:color="auto" w:fill="auto"/>
            <w:vAlign w:val="center"/>
            <w:hideMark/>
          </w:tcPr>
          <w:p w14:paraId="65F10D9E" w14:textId="77777777" w:rsidR="002D687B" w:rsidRPr="002D687B" w:rsidRDefault="002D687B" w:rsidP="002D687B">
            <w:pPr>
              <w:spacing w:after="0" w:line="240" w:lineRule="auto"/>
              <w:jc w:val="right"/>
              <w:rPr>
                <w:rFonts w:cs="Arial"/>
                <w:sz w:val="16"/>
                <w:szCs w:val="16"/>
              </w:rPr>
            </w:pPr>
            <w:r w:rsidRPr="002D687B">
              <w:rPr>
                <w:rFonts w:cs="Arial"/>
                <w:sz w:val="16"/>
                <w:szCs w:val="16"/>
              </w:rPr>
              <w:t>28,8</w:t>
            </w:r>
          </w:p>
        </w:tc>
        <w:tc>
          <w:tcPr>
            <w:tcW w:w="652" w:type="dxa"/>
            <w:tcBorders>
              <w:top w:val="nil"/>
              <w:left w:val="nil"/>
              <w:bottom w:val="nil"/>
              <w:right w:val="nil"/>
            </w:tcBorders>
            <w:shd w:val="clear" w:color="auto" w:fill="auto"/>
            <w:vAlign w:val="center"/>
            <w:hideMark/>
          </w:tcPr>
          <w:p w14:paraId="6BA4542B" w14:textId="77777777" w:rsidR="002D687B" w:rsidRPr="002D687B" w:rsidRDefault="002D687B" w:rsidP="002D687B">
            <w:pPr>
              <w:spacing w:after="0" w:line="240" w:lineRule="auto"/>
              <w:jc w:val="right"/>
              <w:rPr>
                <w:rFonts w:cs="Arial"/>
                <w:sz w:val="16"/>
                <w:szCs w:val="16"/>
              </w:rPr>
            </w:pPr>
            <w:r w:rsidRPr="002D687B">
              <w:rPr>
                <w:rFonts w:cs="Arial"/>
                <w:sz w:val="16"/>
                <w:szCs w:val="16"/>
              </w:rPr>
              <w:t>14,7</w:t>
            </w:r>
          </w:p>
        </w:tc>
      </w:tr>
      <w:tr w:rsidR="00D70250" w:rsidRPr="002D687B" w14:paraId="4723EDDA" w14:textId="77777777" w:rsidTr="00D70250">
        <w:trPr>
          <w:trHeight w:val="300"/>
        </w:trPr>
        <w:tc>
          <w:tcPr>
            <w:tcW w:w="1009" w:type="dxa"/>
            <w:tcBorders>
              <w:top w:val="nil"/>
              <w:left w:val="nil"/>
              <w:bottom w:val="nil"/>
              <w:right w:val="single" w:sz="4" w:space="0" w:color="auto"/>
            </w:tcBorders>
            <w:shd w:val="clear" w:color="auto" w:fill="auto"/>
            <w:vAlign w:val="center"/>
            <w:hideMark/>
          </w:tcPr>
          <w:p w14:paraId="50E50CAF" w14:textId="77777777" w:rsidR="002D687B" w:rsidRPr="002D687B" w:rsidRDefault="002D687B" w:rsidP="002D687B">
            <w:pPr>
              <w:spacing w:after="0" w:line="240" w:lineRule="auto"/>
              <w:jc w:val="center"/>
              <w:rPr>
                <w:rFonts w:cs="Arial"/>
                <w:sz w:val="16"/>
                <w:szCs w:val="16"/>
              </w:rPr>
            </w:pPr>
            <w:r w:rsidRPr="002D687B">
              <w:rPr>
                <w:rFonts w:cs="Arial"/>
                <w:sz w:val="16"/>
                <w:szCs w:val="16"/>
              </w:rPr>
              <w:t>1. pol. 2011</w:t>
            </w:r>
          </w:p>
        </w:tc>
        <w:tc>
          <w:tcPr>
            <w:tcW w:w="850" w:type="dxa"/>
            <w:tcBorders>
              <w:top w:val="nil"/>
              <w:left w:val="nil"/>
              <w:bottom w:val="nil"/>
              <w:right w:val="nil"/>
            </w:tcBorders>
            <w:shd w:val="clear" w:color="auto" w:fill="auto"/>
            <w:vAlign w:val="center"/>
            <w:hideMark/>
          </w:tcPr>
          <w:p w14:paraId="7E247AB9" w14:textId="77777777" w:rsidR="002D687B" w:rsidRPr="002D687B" w:rsidRDefault="002D687B" w:rsidP="002D687B">
            <w:pPr>
              <w:spacing w:after="0" w:line="240" w:lineRule="auto"/>
              <w:jc w:val="right"/>
              <w:rPr>
                <w:rFonts w:cs="Arial"/>
                <w:sz w:val="16"/>
                <w:szCs w:val="16"/>
              </w:rPr>
            </w:pPr>
            <w:r w:rsidRPr="002D687B">
              <w:rPr>
                <w:rFonts w:cs="Arial"/>
                <w:sz w:val="16"/>
                <w:szCs w:val="16"/>
              </w:rPr>
              <w:t>710,5</w:t>
            </w:r>
          </w:p>
        </w:tc>
        <w:tc>
          <w:tcPr>
            <w:tcW w:w="652" w:type="dxa"/>
            <w:tcBorders>
              <w:top w:val="nil"/>
              <w:left w:val="nil"/>
              <w:bottom w:val="nil"/>
              <w:right w:val="nil"/>
            </w:tcBorders>
            <w:shd w:val="clear" w:color="auto" w:fill="auto"/>
            <w:vAlign w:val="center"/>
            <w:hideMark/>
          </w:tcPr>
          <w:p w14:paraId="588513A6" w14:textId="77777777" w:rsidR="002D687B" w:rsidRPr="002D687B" w:rsidRDefault="002D687B" w:rsidP="002D687B">
            <w:pPr>
              <w:spacing w:after="0" w:line="240" w:lineRule="auto"/>
              <w:jc w:val="right"/>
              <w:rPr>
                <w:rFonts w:cs="Arial"/>
                <w:sz w:val="16"/>
                <w:szCs w:val="16"/>
              </w:rPr>
            </w:pPr>
            <w:r w:rsidRPr="002D687B">
              <w:rPr>
                <w:rFonts w:cs="Arial"/>
                <w:sz w:val="16"/>
                <w:szCs w:val="16"/>
              </w:rPr>
              <w:t>332,5</w:t>
            </w:r>
          </w:p>
        </w:tc>
        <w:tc>
          <w:tcPr>
            <w:tcW w:w="652" w:type="dxa"/>
            <w:tcBorders>
              <w:top w:val="nil"/>
              <w:left w:val="nil"/>
              <w:bottom w:val="nil"/>
              <w:right w:val="single" w:sz="4" w:space="0" w:color="auto"/>
            </w:tcBorders>
            <w:shd w:val="clear" w:color="auto" w:fill="auto"/>
            <w:vAlign w:val="center"/>
            <w:hideMark/>
          </w:tcPr>
          <w:p w14:paraId="044FBEAB" w14:textId="77777777" w:rsidR="002D687B" w:rsidRPr="002D687B" w:rsidRDefault="002D687B" w:rsidP="002D687B">
            <w:pPr>
              <w:spacing w:after="0" w:line="240" w:lineRule="auto"/>
              <w:jc w:val="right"/>
              <w:rPr>
                <w:rFonts w:cs="Arial"/>
                <w:sz w:val="16"/>
                <w:szCs w:val="16"/>
              </w:rPr>
            </w:pPr>
            <w:r w:rsidRPr="002D687B">
              <w:rPr>
                <w:rFonts w:cs="Arial"/>
                <w:sz w:val="16"/>
                <w:szCs w:val="16"/>
              </w:rPr>
              <w:t>378,0</w:t>
            </w:r>
          </w:p>
        </w:tc>
        <w:tc>
          <w:tcPr>
            <w:tcW w:w="850" w:type="dxa"/>
            <w:tcBorders>
              <w:top w:val="nil"/>
              <w:left w:val="nil"/>
              <w:bottom w:val="nil"/>
              <w:right w:val="nil"/>
            </w:tcBorders>
            <w:shd w:val="clear" w:color="auto" w:fill="auto"/>
            <w:vAlign w:val="center"/>
            <w:hideMark/>
          </w:tcPr>
          <w:p w14:paraId="0252672A" w14:textId="77777777" w:rsidR="002D687B" w:rsidRPr="002D687B" w:rsidRDefault="002D687B" w:rsidP="002D687B">
            <w:pPr>
              <w:spacing w:after="0" w:line="240" w:lineRule="auto"/>
              <w:jc w:val="right"/>
              <w:rPr>
                <w:rFonts w:cs="Arial"/>
                <w:sz w:val="16"/>
                <w:szCs w:val="16"/>
              </w:rPr>
            </w:pPr>
            <w:r w:rsidRPr="002D687B">
              <w:rPr>
                <w:rFonts w:cs="Arial"/>
                <w:sz w:val="16"/>
                <w:szCs w:val="16"/>
              </w:rPr>
              <w:t>647,6</w:t>
            </w:r>
          </w:p>
        </w:tc>
        <w:tc>
          <w:tcPr>
            <w:tcW w:w="652" w:type="dxa"/>
            <w:tcBorders>
              <w:top w:val="nil"/>
              <w:left w:val="nil"/>
              <w:bottom w:val="nil"/>
              <w:right w:val="nil"/>
            </w:tcBorders>
            <w:shd w:val="clear" w:color="auto" w:fill="auto"/>
            <w:vAlign w:val="center"/>
            <w:hideMark/>
          </w:tcPr>
          <w:p w14:paraId="2E4C5CD9" w14:textId="77777777" w:rsidR="002D687B" w:rsidRPr="002D687B" w:rsidRDefault="002D687B" w:rsidP="002D687B">
            <w:pPr>
              <w:spacing w:after="0" w:line="240" w:lineRule="auto"/>
              <w:jc w:val="right"/>
              <w:rPr>
                <w:rFonts w:cs="Arial"/>
                <w:sz w:val="16"/>
                <w:szCs w:val="16"/>
              </w:rPr>
            </w:pPr>
            <w:r w:rsidRPr="002D687B">
              <w:rPr>
                <w:rFonts w:cs="Arial"/>
                <w:sz w:val="16"/>
                <w:szCs w:val="16"/>
              </w:rPr>
              <w:t>289,6</w:t>
            </w:r>
          </w:p>
        </w:tc>
        <w:tc>
          <w:tcPr>
            <w:tcW w:w="652" w:type="dxa"/>
            <w:tcBorders>
              <w:top w:val="nil"/>
              <w:left w:val="nil"/>
              <w:bottom w:val="nil"/>
              <w:right w:val="single" w:sz="4" w:space="0" w:color="auto"/>
            </w:tcBorders>
            <w:shd w:val="clear" w:color="auto" w:fill="auto"/>
            <w:vAlign w:val="center"/>
            <w:hideMark/>
          </w:tcPr>
          <w:p w14:paraId="4292B937" w14:textId="77777777" w:rsidR="002D687B" w:rsidRPr="002D687B" w:rsidRDefault="002D687B" w:rsidP="002D687B">
            <w:pPr>
              <w:spacing w:after="0" w:line="240" w:lineRule="auto"/>
              <w:jc w:val="right"/>
              <w:rPr>
                <w:rFonts w:cs="Arial"/>
                <w:sz w:val="16"/>
                <w:szCs w:val="16"/>
              </w:rPr>
            </w:pPr>
            <w:r w:rsidRPr="002D687B">
              <w:rPr>
                <w:rFonts w:cs="Arial"/>
                <w:sz w:val="16"/>
                <w:szCs w:val="16"/>
              </w:rPr>
              <w:t>358,0</w:t>
            </w:r>
          </w:p>
        </w:tc>
        <w:tc>
          <w:tcPr>
            <w:tcW w:w="850" w:type="dxa"/>
            <w:tcBorders>
              <w:top w:val="nil"/>
              <w:left w:val="nil"/>
              <w:bottom w:val="nil"/>
              <w:right w:val="nil"/>
            </w:tcBorders>
            <w:shd w:val="clear" w:color="auto" w:fill="auto"/>
            <w:vAlign w:val="center"/>
            <w:hideMark/>
          </w:tcPr>
          <w:p w14:paraId="11D84F4C" w14:textId="77777777" w:rsidR="002D687B" w:rsidRPr="002D687B" w:rsidRDefault="002D687B" w:rsidP="002D687B">
            <w:pPr>
              <w:spacing w:after="0" w:line="240" w:lineRule="auto"/>
              <w:jc w:val="right"/>
              <w:rPr>
                <w:rFonts w:cs="Arial"/>
                <w:sz w:val="16"/>
                <w:szCs w:val="16"/>
              </w:rPr>
            </w:pPr>
            <w:r w:rsidRPr="002D687B">
              <w:rPr>
                <w:rFonts w:cs="Arial"/>
                <w:sz w:val="16"/>
                <w:szCs w:val="16"/>
              </w:rPr>
              <w:t>24,3</w:t>
            </w:r>
          </w:p>
        </w:tc>
        <w:tc>
          <w:tcPr>
            <w:tcW w:w="652" w:type="dxa"/>
            <w:tcBorders>
              <w:top w:val="nil"/>
              <w:left w:val="nil"/>
              <w:bottom w:val="nil"/>
              <w:right w:val="nil"/>
            </w:tcBorders>
            <w:shd w:val="clear" w:color="auto" w:fill="auto"/>
            <w:vAlign w:val="center"/>
            <w:hideMark/>
          </w:tcPr>
          <w:p w14:paraId="3266C1B2" w14:textId="77777777" w:rsidR="002D687B" w:rsidRPr="002D687B" w:rsidRDefault="002D687B" w:rsidP="002D687B">
            <w:pPr>
              <w:spacing w:after="0" w:line="240" w:lineRule="auto"/>
              <w:jc w:val="right"/>
              <w:rPr>
                <w:rFonts w:cs="Arial"/>
                <w:sz w:val="16"/>
                <w:szCs w:val="16"/>
              </w:rPr>
            </w:pPr>
            <w:r w:rsidRPr="002D687B">
              <w:rPr>
                <w:rFonts w:cs="Arial"/>
                <w:sz w:val="16"/>
                <w:szCs w:val="16"/>
              </w:rPr>
              <w:t>17,2</w:t>
            </w:r>
          </w:p>
        </w:tc>
        <w:tc>
          <w:tcPr>
            <w:tcW w:w="652" w:type="dxa"/>
            <w:tcBorders>
              <w:top w:val="nil"/>
              <w:left w:val="nil"/>
              <w:bottom w:val="nil"/>
              <w:right w:val="single" w:sz="4" w:space="0" w:color="auto"/>
            </w:tcBorders>
            <w:shd w:val="clear" w:color="auto" w:fill="auto"/>
            <w:vAlign w:val="center"/>
            <w:hideMark/>
          </w:tcPr>
          <w:p w14:paraId="2B218E26" w14:textId="77777777" w:rsidR="002D687B" w:rsidRPr="002D687B" w:rsidRDefault="002D687B" w:rsidP="002D687B">
            <w:pPr>
              <w:spacing w:after="0" w:line="240" w:lineRule="auto"/>
              <w:jc w:val="right"/>
              <w:rPr>
                <w:rFonts w:cs="Arial"/>
                <w:sz w:val="16"/>
                <w:szCs w:val="16"/>
              </w:rPr>
            </w:pPr>
            <w:r w:rsidRPr="002D687B">
              <w:rPr>
                <w:rFonts w:cs="Arial"/>
                <w:sz w:val="16"/>
                <w:szCs w:val="16"/>
              </w:rPr>
              <w:t>7,1</w:t>
            </w:r>
          </w:p>
        </w:tc>
        <w:tc>
          <w:tcPr>
            <w:tcW w:w="850" w:type="dxa"/>
            <w:tcBorders>
              <w:top w:val="nil"/>
              <w:left w:val="nil"/>
              <w:bottom w:val="nil"/>
              <w:right w:val="nil"/>
            </w:tcBorders>
            <w:shd w:val="clear" w:color="auto" w:fill="auto"/>
            <w:vAlign w:val="center"/>
            <w:hideMark/>
          </w:tcPr>
          <w:p w14:paraId="41572265" w14:textId="77777777" w:rsidR="002D687B" w:rsidRPr="002D687B" w:rsidRDefault="002D687B" w:rsidP="002D687B">
            <w:pPr>
              <w:spacing w:after="0" w:line="240" w:lineRule="auto"/>
              <w:jc w:val="right"/>
              <w:rPr>
                <w:rFonts w:cs="Arial"/>
                <w:sz w:val="16"/>
                <w:szCs w:val="16"/>
              </w:rPr>
            </w:pPr>
            <w:r w:rsidRPr="002D687B">
              <w:rPr>
                <w:rFonts w:cs="Arial"/>
                <w:sz w:val="16"/>
                <w:szCs w:val="16"/>
              </w:rPr>
              <w:t>38,5</w:t>
            </w:r>
          </w:p>
        </w:tc>
        <w:tc>
          <w:tcPr>
            <w:tcW w:w="652" w:type="dxa"/>
            <w:tcBorders>
              <w:top w:val="nil"/>
              <w:left w:val="nil"/>
              <w:bottom w:val="nil"/>
              <w:right w:val="nil"/>
            </w:tcBorders>
            <w:shd w:val="clear" w:color="auto" w:fill="auto"/>
            <w:vAlign w:val="center"/>
            <w:hideMark/>
          </w:tcPr>
          <w:p w14:paraId="46CF4752" w14:textId="77777777" w:rsidR="002D687B" w:rsidRPr="002D687B" w:rsidRDefault="002D687B" w:rsidP="002D687B">
            <w:pPr>
              <w:spacing w:after="0" w:line="240" w:lineRule="auto"/>
              <w:jc w:val="right"/>
              <w:rPr>
                <w:rFonts w:cs="Arial"/>
                <w:sz w:val="16"/>
                <w:szCs w:val="16"/>
              </w:rPr>
            </w:pPr>
            <w:r w:rsidRPr="002D687B">
              <w:rPr>
                <w:rFonts w:cs="Arial"/>
                <w:sz w:val="16"/>
                <w:szCs w:val="16"/>
              </w:rPr>
              <w:t>25,7</w:t>
            </w:r>
          </w:p>
        </w:tc>
        <w:tc>
          <w:tcPr>
            <w:tcW w:w="652" w:type="dxa"/>
            <w:tcBorders>
              <w:top w:val="nil"/>
              <w:left w:val="nil"/>
              <w:bottom w:val="nil"/>
              <w:right w:val="nil"/>
            </w:tcBorders>
            <w:shd w:val="clear" w:color="auto" w:fill="auto"/>
            <w:vAlign w:val="center"/>
            <w:hideMark/>
          </w:tcPr>
          <w:p w14:paraId="18EFEB55" w14:textId="77777777" w:rsidR="002D687B" w:rsidRPr="002D687B" w:rsidRDefault="002D687B" w:rsidP="002D687B">
            <w:pPr>
              <w:spacing w:after="0" w:line="240" w:lineRule="auto"/>
              <w:jc w:val="right"/>
              <w:rPr>
                <w:rFonts w:cs="Arial"/>
                <w:sz w:val="16"/>
                <w:szCs w:val="16"/>
              </w:rPr>
            </w:pPr>
            <w:r w:rsidRPr="002D687B">
              <w:rPr>
                <w:rFonts w:cs="Arial"/>
                <w:sz w:val="16"/>
                <w:szCs w:val="16"/>
              </w:rPr>
              <w:t>12,8</w:t>
            </w:r>
          </w:p>
        </w:tc>
      </w:tr>
      <w:tr w:rsidR="00D70250" w:rsidRPr="002D687B" w14:paraId="69EC2260" w14:textId="77777777" w:rsidTr="00D70250">
        <w:trPr>
          <w:trHeight w:val="300"/>
        </w:trPr>
        <w:tc>
          <w:tcPr>
            <w:tcW w:w="1009" w:type="dxa"/>
            <w:tcBorders>
              <w:top w:val="nil"/>
              <w:left w:val="nil"/>
              <w:bottom w:val="nil"/>
              <w:right w:val="single" w:sz="4" w:space="0" w:color="auto"/>
            </w:tcBorders>
            <w:shd w:val="clear" w:color="auto" w:fill="auto"/>
            <w:vAlign w:val="center"/>
            <w:hideMark/>
          </w:tcPr>
          <w:p w14:paraId="48689318" w14:textId="77777777" w:rsidR="002D687B" w:rsidRPr="002D687B" w:rsidRDefault="002D687B" w:rsidP="002D687B">
            <w:pPr>
              <w:spacing w:after="0" w:line="240" w:lineRule="auto"/>
              <w:jc w:val="center"/>
              <w:rPr>
                <w:rFonts w:cs="Arial"/>
                <w:sz w:val="16"/>
                <w:szCs w:val="16"/>
              </w:rPr>
            </w:pPr>
            <w:r w:rsidRPr="002D687B">
              <w:rPr>
                <w:rFonts w:cs="Arial"/>
                <w:sz w:val="16"/>
                <w:szCs w:val="16"/>
              </w:rPr>
              <w:t>1. pol. 2012</w:t>
            </w:r>
          </w:p>
        </w:tc>
        <w:tc>
          <w:tcPr>
            <w:tcW w:w="850" w:type="dxa"/>
            <w:tcBorders>
              <w:top w:val="nil"/>
              <w:left w:val="nil"/>
              <w:bottom w:val="nil"/>
              <w:right w:val="nil"/>
            </w:tcBorders>
            <w:shd w:val="clear" w:color="auto" w:fill="auto"/>
            <w:vAlign w:val="center"/>
            <w:hideMark/>
          </w:tcPr>
          <w:p w14:paraId="6EDFE3D2" w14:textId="77777777" w:rsidR="002D687B" w:rsidRPr="002D687B" w:rsidRDefault="002D687B" w:rsidP="002D687B">
            <w:pPr>
              <w:spacing w:after="0" w:line="240" w:lineRule="auto"/>
              <w:jc w:val="right"/>
              <w:rPr>
                <w:rFonts w:cs="Arial"/>
                <w:sz w:val="16"/>
                <w:szCs w:val="16"/>
              </w:rPr>
            </w:pPr>
            <w:r w:rsidRPr="002D687B">
              <w:rPr>
                <w:rFonts w:cs="Arial"/>
                <w:sz w:val="16"/>
                <w:szCs w:val="16"/>
              </w:rPr>
              <w:t>607,4</w:t>
            </w:r>
          </w:p>
        </w:tc>
        <w:tc>
          <w:tcPr>
            <w:tcW w:w="652" w:type="dxa"/>
            <w:tcBorders>
              <w:top w:val="nil"/>
              <w:left w:val="nil"/>
              <w:bottom w:val="nil"/>
              <w:right w:val="nil"/>
            </w:tcBorders>
            <w:shd w:val="clear" w:color="auto" w:fill="auto"/>
            <w:vAlign w:val="center"/>
            <w:hideMark/>
          </w:tcPr>
          <w:p w14:paraId="1E33E2E8" w14:textId="77777777" w:rsidR="002D687B" w:rsidRPr="002D687B" w:rsidRDefault="002D687B" w:rsidP="002D687B">
            <w:pPr>
              <w:spacing w:after="0" w:line="240" w:lineRule="auto"/>
              <w:jc w:val="right"/>
              <w:rPr>
                <w:rFonts w:cs="Arial"/>
                <w:sz w:val="16"/>
                <w:szCs w:val="16"/>
              </w:rPr>
            </w:pPr>
            <w:r w:rsidRPr="002D687B">
              <w:rPr>
                <w:rFonts w:cs="Arial"/>
                <w:sz w:val="16"/>
                <w:szCs w:val="16"/>
              </w:rPr>
              <w:t>289,6</w:t>
            </w:r>
          </w:p>
        </w:tc>
        <w:tc>
          <w:tcPr>
            <w:tcW w:w="652" w:type="dxa"/>
            <w:tcBorders>
              <w:top w:val="nil"/>
              <w:left w:val="nil"/>
              <w:bottom w:val="nil"/>
              <w:right w:val="single" w:sz="4" w:space="0" w:color="auto"/>
            </w:tcBorders>
            <w:shd w:val="clear" w:color="auto" w:fill="auto"/>
            <w:vAlign w:val="center"/>
            <w:hideMark/>
          </w:tcPr>
          <w:p w14:paraId="47949C3F" w14:textId="77777777" w:rsidR="002D687B" w:rsidRPr="002D687B" w:rsidRDefault="002D687B" w:rsidP="002D687B">
            <w:pPr>
              <w:spacing w:after="0" w:line="240" w:lineRule="auto"/>
              <w:jc w:val="right"/>
              <w:rPr>
                <w:rFonts w:cs="Arial"/>
                <w:sz w:val="16"/>
                <w:szCs w:val="16"/>
              </w:rPr>
            </w:pPr>
            <w:r w:rsidRPr="002D687B">
              <w:rPr>
                <w:rFonts w:cs="Arial"/>
                <w:sz w:val="16"/>
                <w:szCs w:val="16"/>
              </w:rPr>
              <w:t>317,8</w:t>
            </w:r>
          </w:p>
        </w:tc>
        <w:tc>
          <w:tcPr>
            <w:tcW w:w="850" w:type="dxa"/>
            <w:tcBorders>
              <w:top w:val="nil"/>
              <w:left w:val="nil"/>
              <w:bottom w:val="nil"/>
              <w:right w:val="nil"/>
            </w:tcBorders>
            <w:shd w:val="clear" w:color="auto" w:fill="auto"/>
            <w:vAlign w:val="center"/>
            <w:hideMark/>
          </w:tcPr>
          <w:p w14:paraId="2B3AFF0B" w14:textId="77777777" w:rsidR="002D687B" w:rsidRPr="002D687B" w:rsidRDefault="002D687B" w:rsidP="002D687B">
            <w:pPr>
              <w:spacing w:after="0" w:line="240" w:lineRule="auto"/>
              <w:jc w:val="right"/>
              <w:rPr>
                <w:rFonts w:cs="Arial"/>
                <w:sz w:val="16"/>
                <w:szCs w:val="16"/>
              </w:rPr>
            </w:pPr>
            <w:r w:rsidRPr="002D687B">
              <w:rPr>
                <w:rFonts w:cs="Arial"/>
                <w:sz w:val="16"/>
                <w:szCs w:val="16"/>
              </w:rPr>
              <w:t>532,1</w:t>
            </w:r>
          </w:p>
        </w:tc>
        <w:tc>
          <w:tcPr>
            <w:tcW w:w="652" w:type="dxa"/>
            <w:tcBorders>
              <w:top w:val="nil"/>
              <w:left w:val="nil"/>
              <w:bottom w:val="nil"/>
              <w:right w:val="nil"/>
            </w:tcBorders>
            <w:shd w:val="clear" w:color="auto" w:fill="auto"/>
            <w:vAlign w:val="center"/>
            <w:hideMark/>
          </w:tcPr>
          <w:p w14:paraId="115720E4" w14:textId="77777777" w:rsidR="002D687B" w:rsidRPr="002D687B" w:rsidRDefault="002D687B" w:rsidP="002D687B">
            <w:pPr>
              <w:spacing w:after="0" w:line="240" w:lineRule="auto"/>
              <w:jc w:val="right"/>
              <w:rPr>
                <w:rFonts w:cs="Arial"/>
                <w:sz w:val="16"/>
                <w:szCs w:val="16"/>
              </w:rPr>
            </w:pPr>
            <w:r w:rsidRPr="002D687B">
              <w:rPr>
                <w:rFonts w:cs="Arial"/>
                <w:sz w:val="16"/>
                <w:szCs w:val="16"/>
              </w:rPr>
              <w:t>239,3</w:t>
            </w:r>
          </w:p>
        </w:tc>
        <w:tc>
          <w:tcPr>
            <w:tcW w:w="652" w:type="dxa"/>
            <w:tcBorders>
              <w:top w:val="nil"/>
              <w:left w:val="nil"/>
              <w:bottom w:val="nil"/>
              <w:right w:val="single" w:sz="4" w:space="0" w:color="auto"/>
            </w:tcBorders>
            <w:shd w:val="clear" w:color="auto" w:fill="auto"/>
            <w:vAlign w:val="center"/>
            <w:hideMark/>
          </w:tcPr>
          <w:p w14:paraId="569580C7" w14:textId="77777777" w:rsidR="002D687B" w:rsidRPr="002D687B" w:rsidRDefault="002D687B" w:rsidP="002D687B">
            <w:pPr>
              <w:spacing w:after="0" w:line="240" w:lineRule="auto"/>
              <w:jc w:val="right"/>
              <w:rPr>
                <w:rFonts w:cs="Arial"/>
                <w:sz w:val="16"/>
                <w:szCs w:val="16"/>
              </w:rPr>
            </w:pPr>
            <w:r w:rsidRPr="002D687B">
              <w:rPr>
                <w:rFonts w:cs="Arial"/>
                <w:sz w:val="16"/>
                <w:szCs w:val="16"/>
              </w:rPr>
              <w:t>292,8</w:t>
            </w:r>
          </w:p>
        </w:tc>
        <w:tc>
          <w:tcPr>
            <w:tcW w:w="850" w:type="dxa"/>
            <w:tcBorders>
              <w:top w:val="nil"/>
              <w:left w:val="nil"/>
              <w:bottom w:val="nil"/>
              <w:right w:val="nil"/>
            </w:tcBorders>
            <w:shd w:val="clear" w:color="auto" w:fill="auto"/>
            <w:vAlign w:val="center"/>
            <w:hideMark/>
          </w:tcPr>
          <w:p w14:paraId="407A23BE" w14:textId="77777777" w:rsidR="002D687B" w:rsidRPr="002D687B" w:rsidRDefault="002D687B" w:rsidP="002D687B">
            <w:pPr>
              <w:spacing w:after="0" w:line="240" w:lineRule="auto"/>
              <w:jc w:val="right"/>
              <w:rPr>
                <w:rFonts w:cs="Arial"/>
                <w:sz w:val="16"/>
                <w:szCs w:val="16"/>
              </w:rPr>
            </w:pPr>
            <w:r w:rsidRPr="002D687B">
              <w:rPr>
                <w:rFonts w:cs="Arial"/>
                <w:sz w:val="16"/>
                <w:szCs w:val="16"/>
              </w:rPr>
              <w:t>21,8</w:t>
            </w:r>
          </w:p>
        </w:tc>
        <w:tc>
          <w:tcPr>
            <w:tcW w:w="652" w:type="dxa"/>
            <w:tcBorders>
              <w:top w:val="nil"/>
              <w:left w:val="nil"/>
              <w:bottom w:val="nil"/>
              <w:right w:val="nil"/>
            </w:tcBorders>
            <w:shd w:val="clear" w:color="auto" w:fill="auto"/>
            <w:vAlign w:val="center"/>
            <w:hideMark/>
          </w:tcPr>
          <w:p w14:paraId="28B9F482" w14:textId="77777777" w:rsidR="002D687B" w:rsidRPr="002D687B" w:rsidRDefault="002D687B" w:rsidP="002D687B">
            <w:pPr>
              <w:spacing w:after="0" w:line="240" w:lineRule="auto"/>
              <w:jc w:val="right"/>
              <w:rPr>
                <w:rFonts w:cs="Arial"/>
                <w:sz w:val="16"/>
                <w:szCs w:val="16"/>
              </w:rPr>
            </w:pPr>
            <w:r w:rsidRPr="002D687B">
              <w:rPr>
                <w:rFonts w:cs="Arial"/>
                <w:sz w:val="16"/>
                <w:szCs w:val="16"/>
              </w:rPr>
              <w:t>15,5</w:t>
            </w:r>
          </w:p>
        </w:tc>
        <w:tc>
          <w:tcPr>
            <w:tcW w:w="652" w:type="dxa"/>
            <w:tcBorders>
              <w:top w:val="nil"/>
              <w:left w:val="nil"/>
              <w:bottom w:val="nil"/>
              <w:right w:val="single" w:sz="4" w:space="0" w:color="auto"/>
            </w:tcBorders>
            <w:shd w:val="clear" w:color="auto" w:fill="auto"/>
            <w:vAlign w:val="center"/>
            <w:hideMark/>
          </w:tcPr>
          <w:p w14:paraId="00E5F9D2" w14:textId="77777777" w:rsidR="002D687B" w:rsidRPr="002D687B" w:rsidRDefault="002D687B" w:rsidP="002D687B">
            <w:pPr>
              <w:spacing w:after="0" w:line="240" w:lineRule="auto"/>
              <w:jc w:val="right"/>
              <w:rPr>
                <w:rFonts w:cs="Arial"/>
                <w:sz w:val="16"/>
                <w:szCs w:val="16"/>
              </w:rPr>
            </w:pPr>
            <w:r w:rsidRPr="002D687B">
              <w:rPr>
                <w:rFonts w:cs="Arial"/>
                <w:sz w:val="16"/>
                <w:szCs w:val="16"/>
              </w:rPr>
              <w:t>6,3</w:t>
            </w:r>
          </w:p>
        </w:tc>
        <w:tc>
          <w:tcPr>
            <w:tcW w:w="850" w:type="dxa"/>
            <w:tcBorders>
              <w:top w:val="nil"/>
              <w:left w:val="nil"/>
              <w:bottom w:val="nil"/>
              <w:right w:val="nil"/>
            </w:tcBorders>
            <w:shd w:val="clear" w:color="auto" w:fill="auto"/>
            <w:vAlign w:val="center"/>
            <w:hideMark/>
          </w:tcPr>
          <w:p w14:paraId="11AD918F" w14:textId="77777777" w:rsidR="002D687B" w:rsidRPr="002D687B" w:rsidRDefault="002D687B" w:rsidP="002D687B">
            <w:pPr>
              <w:spacing w:after="0" w:line="240" w:lineRule="auto"/>
              <w:jc w:val="right"/>
              <w:rPr>
                <w:rFonts w:cs="Arial"/>
                <w:sz w:val="16"/>
                <w:szCs w:val="16"/>
              </w:rPr>
            </w:pPr>
            <w:r w:rsidRPr="002D687B">
              <w:rPr>
                <w:rFonts w:cs="Arial"/>
                <w:sz w:val="16"/>
                <w:szCs w:val="16"/>
              </w:rPr>
              <w:t>53,4</w:t>
            </w:r>
          </w:p>
        </w:tc>
        <w:tc>
          <w:tcPr>
            <w:tcW w:w="652" w:type="dxa"/>
            <w:tcBorders>
              <w:top w:val="nil"/>
              <w:left w:val="nil"/>
              <w:bottom w:val="nil"/>
              <w:right w:val="nil"/>
            </w:tcBorders>
            <w:shd w:val="clear" w:color="auto" w:fill="auto"/>
            <w:vAlign w:val="center"/>
            <w:hideMark/>
          </w:tcPr>
          <w:p w14:paraId="4AB5CB21" w14:textId="77777777" w:rsidR="002D687B" w:rsidRPr="002D687B" w:rsidRDefault="002D687B" w:rsidP="002D687B">
            <w:pPr>
              <w:spacing w:after="0" w:line="240" w:lineRule="auto"/>
              <w:jc w:val="right"/>
              <w:rPr>
                <w:rFonts w:cs="Arial"/>
                <w:sz w:val="16"/>
                <w:szCs w:val="16"/>
              </w:rPr>
            </w:pPr>
            <w:r w:rsidRPr="002D687B">
              <w:rPr>
                <w:rFonts w:cs="Arial"/>
                <w:sz w:val="16"/>
                <w:szCs w:val="16"/>
              </w:rPr>
              <w:t>34,8</w:t>
            </w:r>
          </w:p>
        </w:tc>
        <w:tc>
          <w:tcPr>
            <w:tcW w:w="652" w:type="dxa"/>
            <w:tcBorders>
              <w:top w:val="nil"/>
              <w:left w:val="nil"/>
              <w:bottom w:val="nil"/>
              <w:right w:val="nil"/>
            </w:tcBorders>
            <w:shd w:val="clear" w:color="auto" w:fill="auto"/>
            <w:vAlign w:val="center"/>
            <w:hideMark/>
          </w:tcPr>
          <w:p w14:paraId="3B3E8E76" w14:textId="77777777" w:rsidR="002D687B" w:rsidRPr="002D687B" w:rsidRDefault="002D687B" w:rsidP="002D687B">
            <w:pPr>
              <w:spacing w:after="0" w:line="240" w:lineRule="auto"/>
              <w:jc w:val="right"/>
              <w:rPr>
                <w:rFonts w:cs="Arial"/>
                <w:sz w:val="16"/>
                <w:szCs w:val="16"/>
              </w:rPr>
            </w:pPr>
            <w:r w:rsidRPr="002D687B">
              <w:rPr>
                <w:rFonts w:cs="Arial"/>
                <w:sz w:val="16"/>
                <w:szCs w:val="16"/>
              </w:rPr>
              <w:t>18,6</w:t>
            </w:r>
          </w:p>
        </w:tc>
      </w:tr>
      <w:tr w:rsidR="00D70250" w:rsidRPr="002D687B" w14:paraId="57653176" w14:textId="77777777" w:rsidTr="00D70250">
        <w:trPr>
          <w:trHeight w:val="300"/>
        </w:trPr>
        <w:tc>
          <w:tcPr>
            <w:tcW w:w="1009" w:type="dxa"/>
            <w:tcBorders>
              <w:top w:val="nil"/>
              <w:left w:val="nil"/>
              <w:bottom w:val="nil"/>
              <w:right w:val="single" w:sz="4" w:space="0" w:color="auto"/>
            </w:tcBorders>
            <w:shd w:val="clear" w:color="auto" w:fill="auto"/>
            <w:vAlign w:val="center"/>
            <w:hideMark/>
          </w:tcPr>
          <w:p w14:paraId="22EFB117" w14:textId="77777777" w:rsidR="002D687B" w:rsidRPr="002D687B" w:rsidRDefault="002D687B" w:rsidP="002D687B">
            <w:pPr>
              <w:spacing w:after="0" w:line="240" w:lineRule="auto"/>
              <w:jc w:val="center"/>
              <w:rPr>
                <w:rFonts w:cs="Arial"/>
                <w:sz w:val="16"/>
                <w:szCs w:val="16"/>
              </w:rPr>
            </w:pPr>
            <w:r w:rsidRPr="002D687B">
              <w:rPr>
                <w:rFonts w:cs="Arial"/>
                <w:sz w:val="16"/>
                <w:szCs w:val="16"/>
              </w:rPr>
              <w:t>1. pol. 2013</w:t>
            </w:r>
          </w:p>
        </w:tc>
        <w:tc>
          <w:tcPr>
            <w:tcW w:w="850" w:type="dxa"/>
            <w:tcBorders>
              <w:top w:val="nil"/>
              <w:left w:val="nil"/>
              <w:bottom w:val="nil"/>
              <w:right w:val="nil"/>
            </w:tcBorders>
            <w:shd w:val="clear" w:color="auto" w:fill="auto"/>
            <w:vAlign w:val="center"/>
            <w:hideMark/>
          </w:tcPr>
          <w:p w14:paraId="60698EA1" w14:textId="77777777" w:rsidR="002D687B" w:rsidRPr="002D687B" w:rsidRDefault="002D687B" w:rsidP="002D687B">
            <w:pPr>
              <w:spacing w:after="0" w:line="240" w:lineRule="auto"/>
              <w:jc w:val="right"/>
              <w:rPr>
                <w:rFonts w:cs="Arial"/>
                <w:sz w:val="16"/>
                <w:szCs w:val="16"/>
              </w:rPr>
            </w:pPr>
            <w:r w:rsidRPr="002D687B">
              <w:rPr>
                <w:rFonts w:cs="Arial"/>
                <w:sz w:val="16"/>
                <w:szCs w:val="16"/>
              </w:rPr>
              <w:t>754,6</w:t>
            </w:r>
          </w:p>
        </w:tc>
        <w:tc>
          <w:tcPr>
            <w:tcW w:w="652" w:type="dxa"/>
            <w:tcBorders>
              <w:top w:val="nil"/>
              <w:left w:val="nil"/>
              <w:bottom w:val="nil"/>
              <w:right w:val="nil"/>
            </w:tcBorders>
            <w:shd w:val="clear" w:color="auto" w:fill="auto"/>
            <w:vAlign w:val="center"/>
            <w:hideMark/>
          </w:tcPr>
          <w:p w14:paraId="4C919712" w14:textId="77777777" w:rsidR="002D687B" w:rsidRPr="002D687B" w:rsidRDefault="002D687B" w:rsidP="002D687B">
            <w:pPr>
              <w:spacing w:after="0" w:line="240" w:lineRule="auto"/>
              <w:jc w:val="right"/>
              <w:rPr>
                <w:rFonts w:cs="Arial"/>
                <w:sz w:val="16"/>
                <w:szCs w:val="16"/>
              </w:rPr>
            </w:pPr>
            <w:r w:rsidRPr="002D687B">
              <w:rPr>
                <w:rFonts w:cs="Arial"/>
                <w:sz w:val="16"/>
                <w:szCs w:val="16"/>
              </w:rPr>
              <w:t>354,7</w:t>
            </w:r>
          </w:p>
        </w:tc>
        <w:tc>
          <w:tcPr>
            <w:tcW w:w="652" w:type="dxa"/>
            <w:tcBorders>
              <w:top w:val="nil"/>
              <w:left w:val="nil"/>
              <w:bottom w:val="nil"/>
              <w:right w:val="single" w:sz="4" w:space="0" w:color="auto"/>
            </w:tcBorders>
            <w:shd w:val="clear" w:color="auto" w:fill="auto"/>
            <w:vAlign w:val="center"/>
            <w:hideMark/>
          </w:tcPr>
          <w:p w14:paraId="085D6C8D" w14:textId="77777777" w:rsidR="002D687B" w:rsidRPr="002D687B" w:rsidRDefault="002D687B" w:rsidP="002D687B">
            <w:pPr>
              <w:spacing w:after="0" w:line="240" w:lineRule="auto"/>
              <w:jc w:val="right"/>
              <w:rPr>
                <w:rFonts w:cs="Arial"/>
                <w:sz w:val="16"/>
                <w:szCs w:val="16"/>
              </w:rPr>
            </w:pPr>
            <w:r w:rsidRPr="002D687B">
              <w:rPr>
                <w:rFonts w:cs="Arial"/>
                <w:sz w:val="16"/>
                <w:szCs w:val="16"/>
              </w:rPr>
              <w:t>399,9</w:t>
            </w:r>
          </w:p>
        </w:tc>
        <w:tc>
          <w:tcPr>
            <w:tcW w:w="850" w:type="dxa"/>
            <w:tcBorders>
              <w:top w:val="nil"/>
              <w:left w:val="nil"/>
              <w:bottom w:val="nil"/>
              <w:right w:val="nil"/>
            </w:tcBorders>
            <w:shd w:val="clear" w:color="auto" w:fill="auto"/>
            <w:vAlign w:val="center"/>
            <w:hideMark/>
          </w:tcPr>
          <w:p w14:paraId="031A1CFE" w14:textId="77777777" w:rsidR="002D687B" w:rsidRPr="002D687B" w:rsidRDefault="002D687B" w:rsidP="002D687B">
            <w:pPr>
              <w:spacing w:after="0" w:line="240" w:lineRule="auto"/>
              <w:jc w:val="right"/>
              <w:rPr>
                <w:rFonts w:cs="Arial"/>
                <w:sz w:val="16"/>
                <w:szCs w:val="16"/>
              </w:rPr>
            </w:pPr>
            <w:r w:rsidRPr="002D687B">
              <w:rPr>
                <w:rFonts w:cs="Arial"/>
                <w:sz w:val="16"/>
                <w:szCs w:val="16"/>
              </w:rPr>
              <w:t>672,2</w:t>
            </w:r>
          </w:p>
        </w:tc>
        <w:tc>
          <w:tcPr>
            <w:tcW w:w="652" w:type="dxa"/>
            <w:tcBorders>
              <w:top w:val="nil"/>
              <w:left w:val="nil"/>
              <w:bottom w:val="nil"/>
              <w:right w:val="nil"/>
            </w:tcBorders>
            <w:shd w:val="clear" w:color="auto" w:fill="auto"/>
            <w:vAlign w:val="center"/>
            <w:hideMark/>
          </w:tcPr>
          <w:p w14:paraId="1BD6DF7E" w14:textId="77777777" w:rsidR="002D687B" w:rsidRPr="002D687B" w:rsidRDefault="002D687B" w:rsidP="002D687B">
            <w:pPr>
              <w:spacing w:after="0" w:line="240" w:lineRule="auto"/>
              <w:jc w:val="right"/>
              <w:rPr>
                <w:rFonts w:cs="Arial"/>
                <w:sz w:val="16"/>
                <w:szCs w:val="16"/>
              </w:rPr>
            </w:pPr>
            <w:r w:rsidRPr="002D687B">
              <w:rPr>
                <w:rFonts w:cs="Arial"/>
                <w:sz w:val="16"/>
                <w:szCs w:val="16"/>
              </w:rPr>
              <w:t>300,7</w:t>
            </w:r>
          </w:p>
        </w:tc>
        <w:tc>
          <w:tcPr>
            <w:tcW w:w="652" w:type="dxa"/>
            <w:tcBorders>
              <w:top w:val="nil"/>
              <w:left w:val="nil"/>
              <w:bottom w:val="nil"/>
              <w:right w:val="single" w:sz="4" w:space="0" w:color="auto"/>
            </w:tcBorders>
            <w:shd w:val="clear" w:color="auto" w:fill="auto"/>
            <w:vAlign w:val="center"/>
            <w:hideMark/>
          </w:tcPr>
          <w:p w14:paraId="1D48A67E" w14:textId="77777777" w:rsidR="002D687B" w:rsidRPr="002D687B" w:rsidRDefault="002D687B" w:rsidP="002D687B">
            <w:pPr>
              <w:spacing w:after="0" w:line="240" w:lineRule="auto"/>
              <w:jc w:val="right"/>
              <w:rPr>
                <w:rFonts w:cs="Arial"/>
                <w:sz w:val="16"/>
                <w:szCs w:val="16"/>
              </w:rPr>
            </w:pPr>
            <w:r w:rsidRPr="002D687B">
              <w:rPr>
                <w:rFonts w:cs="Arial"/>
                <w:sz w:val="16"/>
                <w:szCs w:val="16"/>
              </w:rPr>
              <w:t>371,5</w:t>
            </w:r>
          </w:p>
        </w:tc>
        <w:tc>
          <w:tcPr>
            <w:tcW w:w="850" w:type="dxa"/>
            <w:tcBorders>
              <w:top w:val="nil"/>
              <w:left w:val="nil"/>
              <w:bottom w:val="nil"/>
              <w:right w:val="nil"/>
            </w:tcBorders>
            <w:shd w:val="clear" w:color="auto" w:fill="auto"/>
            <w:vAlign w:val="center"/>
            <w:hideMark/>
          </w:tcPr>
          <w:p w14:paraId="0727DF5B" w14:textId="77777777" w:rsidR="002D687B" w:rsidRPr="002D687B" w:rsidRDefault="002D687B" w:rsidP="002D687B">
            <w:pPr>
              <w:spacing w:after="0" w:line="240" w:lineRule="auto"/>
              <w:jc w:val="right"/>
              <w:rPr>
                <w:rFonts w:cs="Arial"/>
                <w:sz w:val="16"/>
                <w:szCs w:val="16"/>
              </w:rPr>
            </w:pPr>
            <w:r w:rsidRPr="002D687B">
              <w:rPr>
                <w:rFonts w:cs="Arial"/>
                <w:sz w:val="16"/>
                <w:szCs w:val="16"/>
              </w:rPr>
              <w:t>21,9</w:t>
            </w:r>
          </w:p>
        </w:tc>
        <w:tc>
          <w:tcPr>
            <w:tcW w:w="652" w:type="dxa"/>
            <w:tcBorders>
              <w:top w:val="nil"/>
              <w:left w:val="nil"/>
              <w:bottom w:val="nil"/>
              <w:right w:val="nil"/>
            </w:tcBorders>
            <w:shd w:val="clear" w:color="auto" w:fill="auto"/>
            <w:vAlign w:val="center"/>
            <w:hideMark/>
          </w:tcPr>
          <w:p w14:paraId="1FB066A6" w14:textId="77777777" w:rsidR="002D687B" w:rsidRPr="002D687B" w:rsidRDefault="002D687B" w:rsidP="002D687B">
            <w:pPr>
              <w:spacing w:after="0" w:line="240" w:lineRule="auto"/>
              <w:jc w:val="right"/>
              <w:rPr>
                <w:rFonts w:cs="Arial"/>
                <w:sz w:val="16"/>
                <w:szCs w:val="16"/>
              </w:rPr>
            </w:pPr>
            <w:r w:rsidRPr="002D687B">
              <w:rPr>
                <w:rFonts w:cs="Arial"/>
                <w:sz w:val="16"/>
                <w:szCs w:val="16"/>
              </w:rPr>
              <w:t>15,3</w:t>
            </w:r>
          </w:p>
        </w:tc>
        <w:tc>
          <w:tcPr>
            <w:tcW w:w="652" w:type="dxa"/>
            <w:tcBorders>
              <w:top w:val="nil"/>
              <w:left w:val="nil"/>
              <w:bottom w:val="nil"/>
              <w:right w:val="single" w:sz="4" w:space="0" w:color="auto"/>
            </w:tcBorders>
            <w:shd w:val="clear" w:color="auto" w:fill="auto"/>
            <w:vAlign w:val="center"/>
            <w:hideMark/>
          </w:tcPr>
          <w:p w14:paraId="4D5EB7CF" w14:textId="77777777" w:rsidR="002D687B" w:rsidRPr="002D687B" w:rsidRDefault="002D687B" w:rsidP="002D687B">
            <w:pPr>
              <w:spacing w:after="0" w:line="240" w:lineRule="auto"/>
              <w:jc w:val="right"/>
              <w:rPr>
                <w:rFonts w:cs="Arial"/>
                <w:sz w:val="16"/>
                <w:szCs w:val="16"/>
              </w:rPr>
            </w:pPr>
            <w:r w:rsidRPr="002D687B">
              <w:rPr>
                <w:rFonts w:cs="Arial"/>
                <w:sz w:val="16"/>
                <w:szCs w:val="16"/>
              </w:rPr>
              <w:t>6,6</w:t>
            </w:r>
          </w:p>
        </w:tc>
        <w:tc>
          <w:tcPr>
            <w:tcW w:w="850" w:type="dxa"/>
            <w:tcBorders>
              <w:top w:val="nil"/>
              <w:left w:val="nil"/>
              <w:bottom w:val="nil"/>
              <w:right w:val="nil"/>
            </w:tcBorders>
            <w:shd w:val="clear" w:color="auto" w:fill="auto"/>
            <w:vAlign w:val="center"/>
            <w:hideMark/>
          </w:tcPr>
          <w:p w14:paraId="45BE614E" w14:textId="77777777" w:rsidR="002D687B" w:rsidRPr="002D687B" w:rsidRDefault="002D687B" w:rsidP="002D687B">
            <w:pPr>
              <w:spacing w:after="0" w:line="240" w:lineRule="auto"/>
              <w:jc w:val="right"/>
              <w:rPr>
                <w:rFonts w:cs="Arial"/>
                <w:sz w:val="16"/>
                <w:szCs w:val="16"/>
              </w:rPr>
            </w:pPr>
            <w:r w:rsidRPr="002D687B">
              <w:rPr>
                <w:rFonts w:cs="Arial"/>
                <w:sz w:val="16"/>
                <w:szCs w:val="16"/>
              </w:rPr>
              <w:t>60,5</w:t>
            </w:r>
          </w:p>
        </w:tc>
        <w:tc>
          <w:tcPr>
            <w:tcW w:w="652" w:type="dxa"/>
            <w:tcBorders>
              <w:top w:val="nil"/>
              <w:left w:val="nil"/>
              <w:bottom w:val="nil"/>
              <w:right w:val="nil"/>
            </w:tcBorders>
            <w:shd w:val="clear" w:color="auto" w:fill="auto"/>
            <w:vAlign w:val="center"/>
            <w:hideMark/>
          </w:tcPr>
          <w:p w14:paraId="33A7D6C3" w14:textId="77777777" w:rsidR="002D687B" w:rsidRPr="002D687B" w:rsidRDefault="002D687B" w:rsidP="002D687B">
            <w:pPr>
              <w:spacing w:after="0" w:line="240" w:lineRule="auto"/>
              <w:jc w:val="right"/>
              <w:rPr>
                <w:rFonts w:cs="Arial"/>
                <w:sz w:val="16"/>
                <w:szCs w:val="16"/>
              </w:rPr>
            </w:pPr>
            <w:r w:rsidRPr="002D687B">
              <w:rPr>
                <w:rFonts w:cs="Arial"/>
                <w:sz w:val="16"/>
                <w:szCs w:val="16"/>
              </w:rPr>
              <w:t>38,8</w:t>
            </w:r>
          </w:p>
        </w:tc>
        <w:tc>
          <w:tcPr>
            <w:tcW w:w="652" w:type="dxa"/>
            <w:tcBorders>
              <w:top w:val="nil"/>
              <w:left w:val="nil"/>
              <w:bottom w:val="nil"/>
              <w:right w:val="nil"/>
            </w:tcBorders>
            <w:shd w:val="clear" w:color="auto" w:fill="auto"/>
            <w:vAlign w:val="center"/>
            <w:hideMark/>
          </w:tcPr>
          <w:p w14:paraId="48E6C01F" w14:textId="77777777" w:rsidR="002D687B" w:rsidRPr="002D687B" w:rsidRDefault="002D687B" w:rsidP="002D687B">
            <w:pPr>
              <w:spacing w:after="0" w:line="240" w:lineRule="auto"/>
              <w:jc w:val="right"/>
              <w:rPr>
                <w:rFonts w:cs="Arial"/>
                <w:sz w:val="16"/>
                <w:szCs w:val="16"/>
              </w:rPr>
            </w:pPr>
            <w:r w:rsidRPr="002D687B">
              <w:rPr>
                <w:rFonts w:cs="Arial"/>
                <w:sz w:val="16"/>
                <w:szCs w:val="16"/>
              </w:rPr>
              <w:t>21,7</w:t>
            </w:r>
          </w:p>
        </w:tc>
      </w:tr>
      <w:tr w:rsidR="00D70250" w:rsidRPr="002D687B" w14:paraId="63126610" w14:textId="77777777" w:rsidTr="00D70250">
        <w:trPr>
          <w:trHeight w:val="300"/>
        </w:trPr>
        <w:tc>
          <w:tcPr>
            <w:tcW w:w="1009" w:type="dxa"/>
            <w:tcBorders>
              <w:top w:val="nil"/>
              <w:left w:val="nil"/>
              <w:bottom w:val="nil"/>
              <w:right w:val="single" w:sz="4" w:space="0" w:color="auto"/>
            </w:tcBorders>
            <w:shd w:val="clear" w:color="auto" w:fill="auto"/>
            <w:vAlign w:val="center"/>
            <w:hideMark/>
          </w:tcPr>
          <w:p w14:paraId="602771A7" w14:textId="77777777" w:rsidR="002D687B" w:rsidRPr="002D687B" w:rsidRDefault="002D687B" w:rsidP="002D687B">
            <w:pPr>
              <w:spacing w:after="0" w:line="240" w:lineRule="auto"/>
              <w:jc w:val="center"/>
              <w:rPr>
                <w:rFonts w:cs="Arial"/>
                <w:sz w:val="16"/>
                <w:szCs w:val="16"/>
              </w:rPr>
            </w:pPr>
            <w:r w:rsidRPr="002D687B">
              <w:rPr>
                <w:rFonts w:cs="Arial"/>
                <w:sz w:val="16"/>
                <w:szCs w:val="16"/>
              </w:rPr>
              <w:t>1. pol. 2014</w:t>
            </w:r>
          </w:p>
        </w:tc>
        <w:tc>
          <w:tcPr>
            <w:tcW w:w="850" w:type="dxa"/>
            <w:tcBorders>
              <w:top w:val="nil"/>
              <w:left w:val="nil"/>
              <w:bottom w:val="nil"/>
              <w:right w:val="nil"/>
            </w:tcBorders>
            <w:shd w:val="clear" w:color="auto" w:fill="auto"/>
            <w:vAlign w:val="center"/>
            <w:hideMark/>
          </w:tcPr>
          <w:p w14:paraId="6440022F" w14:textId="77777777" w:rsidR="002D687B" w:rsidRPr="002D687B" w:rsidRDefault="002D687B" w:rsidP="002D687B">
            <w:pPr>
              <w:spacing w:after="0" w:line="240" w:lineRule="auto"/>
              <w:jc w:val="right"/>
              <w:rPr>
                <w:rFonts w:cs="Arial"/>
                <w:sz w:val="16"/>
                <w:szCs w:val="16"/>
              </w:rPr>
            </w:pPr>
            <w:r w:rsidRPr="002D687B">
              <w:rPr>
                <w:rFonts w:cs="Arial"/>
                <w:sz w:val="16"/>
                <w:szCs w:val="16"/>
              </w:rPr>
              <w:t>664,1</w:t>
            </w:r>
          </w:p>
        </w:tc>
        <w:tc>
          <w:tcPr>
            <w:tcW w:w="652" w:type="dxa"/>
            <w:tcBorders>
              <w:top w:val="nil"/>
              <w:left w:val="nil"/>
              <w:bottom w:val="nil"/>
              <w:right w:val="nil"/>
            </w:tcBorders>
            <w:shd w:val="clear" w:color="auto" w:fill="auto"/>
            <w:vAlign w:val="center"/>
            <w:hideMark/>
          </w:tcPr>
          <w:p w14:paraId="06A0C235" w14:textId="77777777" w:rsidR="002D687B" w:rsidRPr="002D687B" w:rsidRDefault="002D687B" w:rsidP="002D687B">
            <w:pPr>
              <w:spacing w:after="0" w:line="240" w:lineRule="auto"/>
              <w:jc w:val="right"/>
              <w:rPr>
                <w:rFonts w:cs="Arial"/>
                <w:sz w:val="16"/>
                <w:szCs w:val="16"/>
              </w:rPr>
            </w:pPr>
            <w:r w:rsidRPr="002D687B">
              <w:rPr>
                <w:rFonts w:cs="Arial"/>
                <w:sz w:val="16"/>
                <w:szCs w:val="16"/>
              </w:rPr>
              <w:t>313,5</w:t>
            </w:r>
          </w:p>
        </w:tc>
        <w:tc>
          <w:tcPr>
            <w:tcW w:w="652" w:type="dxa"/>
            <w:tcBorders>
              <w:top w:val="nil"/>
              <w:left w:val="nil"/>
              <w:bottom w:val="nil"/>
              <w:right w:val="single" w:sz="4" w:space="0" w:color="auto"/>
            </w:tcBorders>
            <w:shd w:val="clear" w:color="auto" w:fill="auto"/>
            <w:vAlign w:val="center"/>
            <w:hideMark/>
          </w:tcPr>
          <w:p w14:paraId="60472BC4" w14:textId="77777777" w:rsidR="002D687B" w:rsidRPr="002D687B" w:rsidRDefault="002D687B" w:rsidP="002D687B">
            <w:pPr>
              <w:spacing w:after="0" w:line="240" w:lineRule="auto"/>
              <w:jc w:val="right"/>
              <w:rPr>
                <w:rFonts w:cs="Arial"/>
                <w:sz w:val="16"/>
                <w:szCs w:val="16"/>
              </w:rPr>
            </w:pPr>
            <w:r w:rsidRPr="002D687B">
              <w:rPr>
                <w:rFonts w:cs="Arial"/>
                <w:sz w:val="16"/>
                <w:szCs w:val="16"/>
              </w:rPr>
              <w:t>350,6</w:t>
            </w:r>
          </w:p>
        </w:tc>
        <w:tc>
          <w:tcPr>
            <w:tcW w:w="850" w:type="dxa"/>
            <w:tcBorders>
              <w:top w:val="nil"/>
              <w:left w:val="nil"/>
              <w:bottom w:val="nil"/>
              <w:right w:val="nil"/>
            </w:tcBorders>
            <w:shd w:val="clear" w:color="auto" w:fill="auto"/>
            <w:vAlign w:val="center"/>
            <w:hideMark/>
          </w:tcPr>
          <w:p w14:paraId="2566E71B" w14:textId="77777777" w:rsidR="002D687B" w:rsidRPr="002D687B" w:rsidRDefault="002D687B" w:rsidP="002D687B">
            <w:pPr>
              <w:spacing w:after="0" w:line="240" w:lineRule="auto"/>
              <w:jc w:val="right"/>
              <w:rPr>
                <w:rFonts w:cs="Arial"/>
                <w:sz w:val="16"/>
                <w:szCs w:val="16"/>
              </w:rPr>
            </w:pPr>
            <w:r w:rsidRPr="002D687B">
              <w:rPr>
                <w:rFonts w:cs="Arial"/>
                <w:sz w:val="16"/>
                <w:szCs w:val="16"/>
              </w:rPr>
              <w:t>579,3</w:t>
            </w:r>
          </w:p>
        </w:tc>
        <w:tc>
          <w:tcPr>
            <w:tcW w:w="652" w:type="dxa"/>
            <w:tcBorders>
              <w:top w:val="nil"/>
              <w:left w:val="nil"/>
              <w:bottom w:val="nil"/>
              <w:right w:val="nil"/>
            </w:tcBorders>
            <w:shd w:val="clear" w:color="auto" w:fill="auto"/>
            <w:vAlign w:val="center"/>
            <w:hideMark/>
          </w:tcPr>
          <w:p w14:paraId="77BCB5AC" w14:textId="77777777" w:rsidR="002D687B" w:rsidRPr="002D687B" w:rsidRDefault="002D687B" w:rsidP="002D687B">
            <w:pPr>
              <w:spacing w:after="0" w:line="240" w:lineRule="auto"/>
              <w:jc w:val="right"/>
              <w:rPr>
                <w:rFonts w:cs="Arial"/>
                <w:sz w:val="16"/>
                <w:szCs w:val="16"/>
              </w:rPr>
            </w:pPr>
            <w:r w:rsidRPr="002D687B">
              <w:rPr>
                <w:rFonts w:cs="Arial"/>
                <w:sz w:val="16"/>
                <w:szCs w:val="16"/>
              </w:rPr>
              <w:t>256,8</w:t>
            </w:r>
          </w:p>
        </w:tc>
        <w:tc>
          <w:tcPr>
            <w:tcW w:w="652" w:type="dxa"/>
            <w:tcBorders>
              <w:top w:val="nil"/>
              <w:left w:val="nil"/>
              <w:bottom w:val="nil"/>
              <w:right w:val="single" w:sz="4" w:space="0" w:color="auto"/>
            </w:tcBorders>
            <w:shd w:val="clear" w:color="auto" w:fill="auto"/>
            <w:vAlign w:val="center"/>
            <w:hideMark/>
          </w:tcPr>
          <w:p w14:paraId="1D927089" w14:textId="77777777" w:rsidR="002D687B" w:rsidRPr="002D687B" w:rsidRDefault="002D687B" w:rsidP="002D687B">
            <w:pPr>
              <w:spacing w:after="0" w:line="240" w:lineRule="auto"/>
              <w:jc w:val="right"/>
              <w:rPr>
                <w:rFonts w:cs="Arial"/>
                <w:sz w:val="16"/>
                <w:szCs w:val="16"/>
              </w:rPr>
            </w:pPr>
            <w:r w:rsidRPr="002D687B">
              <w:rPr>
                <w:rFonts w:cs="Arial"/>
                <w:sz w:val="16"/>
                <w:szCs w:val="16"/>
              </w:rPr>
              <w:t>322,4</w:t>
            </w:r>
          </w:p>
        </w:tc>
        <w:tc>
          <w:tcPr>
            <w:tcW w:w="850" w:type="dxa"/>
            <w:tcBorders>
              <w:top w:val="nil"/>
              <w:left w:val="nil"/>
              <w:bottom w:val="nil"/>
              <w:right w:val="nil"/>
            </w:tcBorders>
            <w:shd w:val="clear" w:color="auto" w:fill="auto"/>
            <w:vAlign w:val="center"/>
            <w:hideMark/>
          </w:tcPr>
          <w:p w14:paraId="15F404B9" w14:textId="77777777" w:rsidR="002D687B" w:rsidRPr="002D687B" w:rsidRDefault="002D687B" w:rsidP="002D687B">
            <w:pPr>
              <w:spacing w:after="0" w:line="240" w:lineRule="auto"/>
              <w:jc w:val="right"/>
              <w:rPr>
                <w:rFonts w:cs="Arial"/>
                <w:sz w:val="16"/>
                <w:szCs w:val="16"/>
              </w:rPr>
            </w:pPr>
            <w:r w:rsidRPr="002D687B">
              <w:rPr>
                <w:rFonts w:cs="Arial"/>
                <w:sz w:val="16"/>
                <w:szCs w:val="16"/>
              </w:rPr>
              <w:t>22,2</w:t>
            </w:r>
          </w:p>
        </w:tc>
        <w:tc>
          <w:tcPr>
            <w:tcW w:w="652" w:type="dxa"/>
            <w:tcBorders>
              <w:top w:val="nil"/>
              <w:left w:val="nil"/>
              <w:bottom w:val="nil"/>
              <w:right w:val="nil"/>
            </w:tcBorders>
            <w:shd w:val="clear" w:color="auto" w:fill="auto"/>
            <w:vAlign w:val="center"/>
            <w:hideMark/>
          </w:tcPr>
          <w:p w14:paraId="4D65F596" w14:textId="77777777" w:rsidR="002D687B" w:rsidRPr="002D687B" w:rsidRDefault="002D687B" w:rsidP="002D687B">
            <w:pPr>
              <w:spacing w:after="0" w:line="240" w:lineRule="auto"/>
              <w:jc w:val="right"/>
              <w:rPr>
                <w:rFonts w:cs="Arial"/>
                <w:sz w:val="16"/>
                <w:szCs w:val="16"/>
              </w:rPr>
            </w:pPr>
            <w:r w:rsidRPr="002D687B">
              <w:rPr>
                <w:rFonts w:cs="Arial"/>
                <w:sz w:val="16"/>
                <w:szCs w:val="16"/>
              </w:rPr>
              <w:t>15,6</w:t>
            </w:r>
          </w:p>
        </w:tc>
        <w:tc>
          <w:tcPr>
            <w:tcW w:w="652" w:type="dxa"/>
            <w:tcBorders>
              <w:top w:val="nil"/>
              <w:left w:val="nil"/>
              <w:bottom w:val="nil"/>
              <w:right w:val="single" w:sz="4" w:space="0" w:color="auto"/>
            </w:tcBorders>
            <w:shd w:val="clear" w:color="auto" w:fill="auto"/>
            <w:vAlign w:val="center"/>
            <w:hideMark/>
          </w:tcPr>
          <w:p w14:paraId="5B8B672A" w14:textId="77777777" w:rsidR="002D687B" w:rsidRPr="002D687B" w:rsidRDefault="002D687B" w:rsidP="002D687B">
            <w:pPr>
              <w:spacing w:after="0" w:line="240" w:lineRule="auto"/>
              <w:jc w:val="right"/>
              <w:rPr>
                <w:rFonts w:cs="Arial"/>
                <w:sz w:val="16"/>
                <w:szCs w:val="16"/>
              </w:rPr>
            </w:pPr>
            <w:r w:rsidRPr="002D687B">
              <w:rPr>
                <w:rFonts w:cs="Arial"/>
                <w:sz w:val="16"/>
                <w:szCs w:val="16"/>
              </w:rPr>
              <w:t>6,6</w:t>
            </w:r>
          </w:p>
        </w:tc>
        <w:tc>
          <w:tcPr>
            <w:tcW w:w="850" w:type="dxa"/>
            <w:tcBorders>
              <w:top w:val="nil"/>
              <w:left w:val="nil"/>
              <w:bottom w:val="nil"/>
              <w:right w:val="nil"/>
            </w:tcBorders>
            <w:shd w:val="clear" w:color="auto" w:fill="auto"/>
            <w:vAlign w:val="center"/>
            <w:hideMark/>
          </w:tcPr>
          <w:p w14:paraId="0E0190C6" w14:textId="77777777" w:rsidR="002D687B" w:rsidRPr="002D687B" w:rsidRDefault="002D687B" w:rsidP="002D687B">
            <w:pPr>
              <w:spacing w:after="0" w:line="240" w:lineRule="auto"/>
              <w:jc w:val="right"/>
              <w:rPr>
                <w:rFonts w:cs="Arial"/>
                <w:sz w:val="16"/>
                <w:szCs w:val="16"/>
              </w:rPr>
            </w:pPr>
            <w:r w:rsidRPr="002D687B">
              <w:rPr>
                <w:rFonts w:cs="Arial"/>
                <w:sz w:val="16"/>
                <w:szCs w:val="16"/>
              </w:rPr>
              <w:t>62,6</w:t>
            </w:r>
          </w:p>
        </w:tc>
        <w:tc>
          <w:tcPr>
            <w:tcW w:w="652" w:type="dxa"/>
            <w:tcBorders>
              <w:top w:val="nil"/>
              <w:left w:val="nil"/>
              <w:bottom w:val="nil"/>
              <w:right w:val="nil"/>
            </w:tcBorders>
            <w:shd w:val="clear" w:color="auto" w:fill="auto"/>
            <w:vAlign w:val="center"/>
            <w:hideMark/>
          </w:tcPr>
          <w:p w14:paraId="6D1BBF96" w14:textId="77777777" w:rsidR="002D687B" w:rsidRPr="002D687B" w:rsidRDefault="002D687B" w:rsidP="002D687B">
            <w:pPr>
              <w:spacing w:after="0" w:line="240" w:lineRule="auto"/>
              <w:jc w:val="right"/>
              <w:rPr>
                <w:rFonts w:cs="Arial"/>
                <w:sz w:val="16"/>
                <w:szCs w:val="16"/>
              </w:rPr>
            </w:pPr>
            <w:r w:rsidRPr="002D687B">
              <w:rPr>
                <w:rFonts w:cs="Arial"/>
                <w:sz w:val="16"/>
                <w:szCs w:val="16"/>
              </w:rPr>
              <w:t>41,1</w:t>
            </w:r>
          </w:p>
        </w:tc>
        <w:tc>
          <w:tcPr>
            <w:tcW w:w="652" w:type="dxa"/>
            <w:tcBorders>
              <w:top w:val="nil"/>
              <w:left w:val="nil"/>
              <w:bottom w:val="nil"/>
              <w:right w:val="nil"/>
            </w:tcBorders>
            <w:shd w:val="clear" w:color="auto" w:fill="auto"/>
            <w:vAlign w:val="center"/>
            <w:hideMark/>
          </w:tcPr>
          <w:p w14:paraId="5C91DE84" w14:textId="77777777" w:rsidR="002D687B" w:rsidRPr="002D687B" w:rsidRDefault="002D687B" w:rsidP="002D687B">
            <w:pPr>
              <w:spacing w:after="0" w:line="240" w:lineRule="auto"/>
              <w:jc w:val="right"/>
              <w:rPr>
                <w:rFonts w:cs="Arial"/>
                <w:sz w:val="16"/>
                <w:szCs w:val="16"/>
              </w:rPr>
            </w:pPr>
            <w:r w:rsidRPr="002D687B">
              <w:rPr>
                <w:rFonts w:cs="Arial"/>
                <w:sz w:val="16"/>
                <w:szCs w:val="16"/>
              </w:rPr>
              <w:t>21,6</w:t>
            </w:r>
          </w:p>
        </w:tc>
      </w:tr>
      <w:tr w:rsidR="00D70250" w:rsidRPr="002D687B" w14:paraId="54AE0C07" w14:textId="77777777" w:rsidTr="00D70250">
        <w:trPr>
          <w:trHeight w:val="300"/>
        </w:trPr>
        <w:tc>
          <w:tcPr>
            <w:tcW w:w="1009" w:type="dxa"/>
            <w:tcBorders>
              <w:top w:val="nil"/>
              <w:left w:val="nil"/>
              <w:bottom w:val="nil"/>
              <w:right w:val="single" w:sz="4" w:space="0" w:color="auto"/>
            </w:tcBorders>
            <w:shd w:val="clear" w:color="auto" w:fill="auto"/>
            <w:vAlign w:val="center"/>
            <w:hideMark/>
          </w:tcPr>
          <w:p w14:paraId="53E2542B" w14:textId="77777777" w:rsidR="002D687B" w:rsidRPr="002D687B" w:rsidRDefault="002D687B" w:rsidP="002D687B">
            <w:pPr>
              <w:spacing w:after="0" w:line="240" w:lineRule="auto"/>
              <w:jc w:val="center"/>
              <w:rPr>
                <w:rFonts w:cs="Arial"/>
                <w:sz w:val="16"/>
                <w:szCs w:val="16"/>
              </w:rPr>
            </w:pPr>
            <w:r w:rsidRPr="002D687B">
              <w:rPr>
                <w:rFonts w:cs="Arial"/>
                <w:sz w:val="16"/>
                <w:szCs w:val="16"/>
              </w:rPr>
              <w:t>1. pol. 2015</w:t>
            </w:r>
          </w:p>
        </w:tc>
        <w:tc>
          <w:tcPr>
            <w:tcW w:w="850" w:type="dxa"/>
            <w:tcBorders>
              <w:top w:val="nil"/>
              <w:left w:val="nil"/>
              <w:bottom w:val="nil"/>
              <w:right w:val="nil"/>
            </w:tcBorders>
            <w:shd w:val="clear" w:color="auto" w:fill="auto"/>
            <w:vAlign w:val="center"/>
            <w:hideMark/>
          </w:tcPr>
          <w:p w14:paraId="2CC3E617" w14:textId="77777777" w:rsidR="002D687B" w:rsidRPr="002D687B" w:rsidRDefault="002D687B" w:rsidP="002D687B">
            <w:pPr>
              <w:spacing w:after="0" w:line="240" w:lineRule="auto"/>
              <w:jc w:val="right"/>
              <w:rPr>
                <w:rFonts w:cs="Arial"/>
                <w:sz w:val="16"/>
                <w:szCs w:val="16"/>
              </w:rPr>
            </w:pPr>
            <w:r w:rsidRPr="002D687B">
              <w:rPr>
                <w:rFonts w:cs="Arial"/>
                <w:sz w:val="16"/>
                <w:szCs w:val="16"/>
              </w:rPr>
              <w:t>873,9</w:t>
            </w:r>
          </w:p>
        </w:tc>
        <w:tc>
          <w:tcPr>
            <w:tcW w:w="652" w:type="dxa"/>
            <w:tcBorders>
              <w:top w:val="nil"/>
              <w:left w:val="nil"/>
              <w:bottom w:val="nil"/>
              <w:right w:val="nil"/>
            </w:tcBorders>
            <w:shd w:val="clear" w:color="auto" w:fill="auto"/>
            <w:vAlign w:val="center"/>
            <w:hideMark/>
          </w:tcPr>
          <w:p w14:paraId="725ECC7B" w14:textId="77777777" w:rsidR="002D687B" w:rsidRPr="002D687B" w:rsidRDefault="002D687B" w:rsidP="002D687B">
            <w:pPr>
              <w:spacing w:after="0" w:line="240" w:lineRule="auto"/>
              <w:jc w:val="right"/>
              <w:rPr>
                <w:rFonts w:cs="Arial"/>
                <w:sz w:val="16"/>
                <w:szCs w:val="16"/>
              </w:rPr>
            </w:pPr>
            <w:r w:rsidRPr="002D687B">
              <w:rPr>
                <w:rFonts w:cs="Arial"/>
                <w:sz w:val="16"/>
                <w:szCs w:val="16"/>
              </w:rPr>
              <w:t>412,5</w:t>
            </w:r>
          </w:p>
        </w:tc>
        <w:tc>
          <w:tcPr>
            <w:tcW w:w="652" w:type="dxa"/>
            <w:tcBorders>
              <w:top w:val="nil"/>
              <w:left w:val="nil"/>
              <w:bottom w:val="nil"/>
              <w:right w:val="single" w:sz="4" w:space="0" w:color="auto"/>
            </w:tcBorders>
            <w:shd w:val="clear" w:color="auto" w:fill="auto"/>
            <w:vAlign w:val="center"/>
            <w:hideMark/>
          </w:tcPr>
          <w:p w14:paraId="39D77981" w14:textId="77777777" w:rsidR="002D687B" w:rsidRPr="002D687B" w:rsidRDefault="002D687B" w:rsidP="002D687B">
            <w:pPr>
              <w:spacing w:after="0" w:line="240" w:lineRule="auto"/>
              <w:jc w:val="right"/>
              <w:rPr>
                <w:rFonts w:cs="Arial"/>
                <w:sz w:val="16"/>
                <w:szCs w:val="16"/>
              </w:rPr>
            </w:pPr>
            <w:r w:rsidRPr="002D687B">
              <w:rPr>
                <w:rFonts w:cs="Arial"/>
                <w:sz w:val="16"/>
                <w:szCs w:val="16"/>
              </w:rPr>
              <w:t>461,4</w:t>
            </w:r>
          </w:p>
        </w:tc>
        <w:tc>
          <w:tcPr>
            <w:tcW w:w="850" w:type="dxa"/>
            <w:tcBorders>
              <w:top w:val="nil"/>
              <w:left w:val="nil"/>
              <w:bottom w:val="nil"/>
              <w:right w:val="nil"/>
            </w:tcBorders>
            <w:shd w:val="clear" w:color="auto" w:fill="auto"/>
            <w:vAlign w:val="center"/>
            <w:hideMark/>
          </w:tcPr>
          <w:p w14:paraId="1A5D1638" w14:textId="77777777" w:rsidR="002D687B" w:rsidRPr="002D687B" w:rsidRDefault="002D687B" w:rsidP="002D687B">
            <w:pPr>
              <w:spacing w:after="0" w:line="240" w:lineRule="auto"/>
              <w:jc w:val="right"/>
              <w:rPr>
                <w:rFonts w:cs="Arial"/>
                <w:sz w:val="16"/>
                <w:szCs w:val="16"/>
              </w:rPr>
            </w:pPr>
            <w:r w:rsidRPr="002D687B">
              <w:rPr>
                <w:rFonts w:cs="Arial"/>
                <w:sz w:val="16"/>
                <w:szCs w:val="16"/>
              </w:rPr>
              <w:t>783,8</w:t>
            </w:r>
          </w:p>
        </w:tc>
        <w:tc>
          <w:tcPr>
            <w:tcW w:w="652" w:type="dxa"/>
            <w:tcBorders>
              <w:top w:val="nil"/>
              <w:left w:val="nil"/>
              <w:bottom w:val="nil"/>
              <w:right w:val="nil"/>
            </w:tcBorders>
            <w:shd w:val="clear" w:color="auto" w:fill="auto"/>
            <w:vAlign w:val="center"/>
            <w:hideMark/>
          </w:tcPr>
          <w:p w14:paraId="002A1958" w14:textId="77777777" w:rsidR="002D687B" w:rsidRPr="002D687B" w:rsidRDefault="002D687B" w:rsidP="002D687B">
            <w:pPr>
              <w:spacing w:after="0" w:line="240" w:lineRule="auto"/>
              <w:jc w:val="right"/>
              <w:rPr>
                <w:rFonts w:cs="Arial"/>
                <w:sz w:val="16"/>
                <w:szCs w:val="16"/>
              </w:rPr>
            </w:pPr>
            <w:r w:rsidRPr="002D687B">
              <w:rPr>
                <w:rFonts w:cs="Arial"/>
                <w:sz w:val="16"/>
                <w:szCs w:val="16"/>
              </w:rPr>
              <w:t>353,4</w:t>
            </w:r>
          </w:p>
        </w:tc>
        <w:tc>
          <w:tcPr>
            <w:tcW w:w="652" w:type="dxa"/>
            <w:tcBorders>
              <w:top w:val="nil"/>
              <w:left w:val="nil"/>
              <w:bottom w:val="nil"/>
              <w:right w:val="single" w:sz="4" w:space="0" w:color="auto"/>
            </w:tcBorders>
            <w:shd w:val="clear" w:color="auto" w:fill="auto"/>
            <w:vAlign w:val="center"/>
            <w:hideMark/>
          </w:tcPr>
          <w:p w14:paraId="6A1B04E1" w14:textId="77777777" w:rsidR="002D687B" w:rsidRPr="002D687B" w:rsidRDefault="002D687B" w:rsidP="002D687B">
            <w:pPr>
              <w:spacing w:after="0" w:line="240" w:lineRule="auto"/>
              <w:jc w:val="right"/>
              <w:rPr>
                <w:rFonts w:cs="Arial"/>
                <w:sz w:val="16"/>
                <w:szCs w:val="16"/>
              </w:rPr>
            </w:pPr>
            <w:r w:rsidRPr="002D687B">
              <w:rPr>
                <w:rFonts w:cs="Arial"/>
                <w:sz w:val="16"/>
                <w:szCs w:val="16"/>
              </w:rPr>
              <w:t>430,4</w:t>
            </w:r>
          </w:p>
        </w:tc>
        <w:tc>
          <w:tcPr>
            <w:tcW w:w="850" w:type="dxa"/>
            <w:tcBorders>
              <w:top w:val="nil"/>
              <w:left w:val="nil"/>
              <w:bottom w:val="nil"/>
              <w:right w:val="nil"/>
            </w:tcBorders>
            <w:shd w:val="clear" w:color="auto" w:fill="auto"/>
            <w:vAlign w:val="center"/>
            <w:hideMark/>
          </w:tcPr>
          <w:p w14:paraId="2997299F" w14:textId="77777777" w:rsidR="002D687B" w:rsidRPr="002D687B" w:rsidRDefault="002D687B" w:rsidP="002D687B">
            <w:pPr>
              <w:spacing w:after="0" w:line="240" w:lineRule="auto"/>
              <w:jc w:val="right"/>
              <w:rPr>
                <w:rFonts w:cs="Arial"/>
                <w:sz w:val="16"/>
                <w:szCs w:val="16"/>
              </w:rPr>
            </w:pPr>
            <w:r w:rsidRPr="002D687B">
              <w:rPr>
                <w:rFonts w:cs="Arial"/>
                <w:sz w:val="16"/>
                <w:szCs w:val="16"/>
              </w:rPr>
              <w:t>23,5</w:t>
            </w:r>
          </w:p>
        </w:tc>
        <w:tc>
          <w:tcPr>
            <w:tcW w:w="652" w:type="dxa"/>
            <w:tcBorders>
              <w:top w:val="nil"/>
              <w:left w:val="nil"/>
              <w:bottom w:val="nil"/>
              <w:right w:val="nil"/>
            </w:tcBorders>
            <w:shd w:val="clear" w:color="auto" w:fill="auto"/>
            <w:vAlign w:val="center"/>
            <w:hideMark/>
          </w:tcPr>
          <w:p w14:paraId="2724809F" w14:textId="77777777" w:rsidR="002D687B" w:rsidRPr="002D687B" w:rsidRDefault="002D687B" w:rsidP="002D687B">
            <w:pPr>
              <w:spacing w:after="0" w:line="240" w:lineRule="auto"/>
              <w:jc w:val="right"/>
              <w:rPr>
                <w:rFonts w:cs="Arial"/>
                <w:sz w:val="16"/>
                <w:szCs w:val="16"/>
              </w:rPr>
            </w:pPr>
            <w:r w:rsidRPr="002D687B">
              <w:rPr>
                <w:rFonts w:cs="Arial"/>
                <w:sz w:val="16"/>
                <w:szCs w:val="16"/>
              </w:rPr>
              <w:t>16,1</w:t>
            </w:r>
          </w:p>
        </w:tc>
        <w:tc>
          <w:tcPr>
            <w:tcW w:w="652" w:type="dxa"/>
            <w:tcBorders>
              <w:top w:val="nil"/>
              <w:left w:val="nil"/>
              <w:bottom w:val="nil"/>
              <w:right w:val="single" w:sz="4" w:space="0" w:color="auto"/>
            </w:tcBorders>
            <w:shd w:val="clear" w:color="auto" w:fill="auto"/>
            <w:vAlign w:val="center"/>
            <w:hideMark/>
          </w:tcPr>
          <w:p w14:paraId="3E670EA8" w14:textId="77777777" w:rsidR="002D687B" w:rsidRPr="002D687B" w:rsidRDefault="002D687B" w:rsidP="002D687B">
            <w:pPr>
              <w:spacing w:after="0" w:line="240" w:lineRule="auto"/>
              <w:jc w:val="right"/>
              <w:rPr>
                <w:rFonts w:cs="Arial"/>
                <w:sz w:val="16"/>
                <w:szCs w:val="16"/>
              </w:rPr>
            </w:pPr>
            <w:r w:rsidRPr="002D687B">
              <w:rPr>
                <w:rFonts w:cs="Arial"/>
                <w:sz w:val="16"/>
                <w:szCs w:val="16"/>
              </w:rPr>
              <w:t>7,3</w:t>
            </w:r>
          </w:p>
        </w:tc>
        <w:tc>
          <w:tcPr>
            <w:tcW w:w="850" w:type="dxa"/>
            <w:tcBorders>
              <w:top w:val="nil"/>
              <w:left w:val="nil"/>
              <w:bottom w:val="nil"/>
              <w:right w:val="nil"/>
            </w:tcBorders>
            <w:shd w:val="clear" w:color="auto" w:fill="auto"/>
            <w:vAlign w:val="center"/>
            <w:hideMark/>
          </w:tcPr>
          <w:p w14:paraId="12AA1408" w14:textId="77777777" w:rsidR="002D687B" w:rsidRPr="002D687B" w:rsidRDefault="002D687B" w:rsidP="002D687B">
            <w:pPr>
              <w:spacing w:after="0" w:line="240" w:lineRule="auto"/>
              <w:jc w:val="right"/>
              <w:rPr>
                <w:rFonts w:cs="Arial"/>
                <w:sz w:val="16"/>
                <w:szCs w:val="16"/>
              </w:rPr>
            </w:pPr>
            <w:r w:rsidRPr="002D687B">
              <w:rPr>
                <w:rFonts w:cs="Arial"/>
                <w:sz w:val="16"/>
                <w:szCs w:val="16"/>
              </w:rPr>
              <w:t>66,6</w:t>
            </w:r>
          </w:p>
        </w:tc>
        <w:tc>
          <w:tcPr>
            <w:tcW w:w="652" w:type="dxa"/>
            <w:tcBorders>
              <w:top w:val="nil"/>
              <w:left w:val="nil"/>
              <w:bottom w:val="nil"/>
              <w:right w:val="nil"/>
            </w:tcBorders>
            <w:shd w:val="clear" w:color="auto" w:fill="auto"/>
            <w:vAlign w:val="center"/>
            <w:hideMark/>
          </w:tcPr>
          <w:p w14:paraId="21CF37F2" w14:textId="77777777" w:rsidR="002D687B" w:rsidRPr="002D687B" w:rsidRDefault="002D687B" w:rsidP="002D687B">
            <w:pPr>
              <w:spacing w:after="0" w:line="240" w:lineRule="auto"/>
              <w:jc w:val="right"/>
              <w:rPr>
                <w:rFonts w:cs="Arial"/>
                <w:sz w:val="16"/>
                <w:szCs w:val="16"/>
              </w:rPr>
            </w:pPr>
            <w:r w:rsidRPr="002D687B">
              <w:rPr>
                <w:rFonts w:cs="Arial"/>
                <w:sz w:val="16"/>
                <w:szCs w:val="16"/>
              </w:rPr>
              <w:t>42,9</w:t>
            </w:r>
          </w:p>
        </w:tc>
        <w:tc>
          <w:tcPr>
            <w:tcW w:w="652" w:type="dxa"/>
            <w:tcBorders>
              <w:top w:val="nil"/>
              <w:left w:val="nil"/>
              <w:bottom w:val="nil"/>
              <w:right w:val="nil"/>
            </w:tcBorders>
            <w:shd w:val="clear" w:color="auto" w:fill="auto"/>
            <w:vAlign w:val="center"/>
            <w:hideMark/>
          </w:tcPr>
          <w:p w14:paraId="25A20BDE" w14:textId="77777777" w:rsidR="002D687B" w:rsidRPr="002D687B" w:rsidRDefault="002D687B" w:rsidP="002D687B">
            <w:pPr>
              <w:spacing w:after="0" w:line="240" w:lineRule="auto"/>
              <w:jc w:val="right"/>
              <w:rPr>
                <w:rFonts w:cs="Arial"/>
                <w:sz w:val="16"/>
                <w:szCs w:val="16"/>
              </w:rPr>
            </w:pPr>
            <w:r w:rsidRPr="002D687B">
              <w:rPr>
                <w:rFonts w:cs="Arial"/>
                <w:sz w:val="16"/>
                <w:szCs w:val="16"/>
              </w:rPr>
              <w:t>23,7</w:t>
            </w:r>
          </w:p>
        </w:tc>
      </w:tr>
      <w:tr w:rsidR="00D70250" w:rsidRPr="002D687B" w14:paraId="2077D498" w14:textId="77777777" w:rsidTr="00D70250">
        <w:trPr>
          <w:trHeight w:val="300"/>
        </w:trPr>
        <w:tc>
          <w:tcPr>
            <w:tcW w:w="1009" w:type="dxa"/>
            <w:tcBorders>
              <w:top w:val="nil"/>
              <w:left w:val="nil"/>
              <w:bottom w:val="nil"/>
              <w:right w:val="single" w:sz="4" w:space="0" w:color="auto"/>
            </w:tcBorders>
            <w:shd w:val="clear" w:color="auto" w:fill="auto"/>
            <w:vAlign w:val="center"/>
            <w:hideMark/>
          </w:tcPr>
          <w:p w14:paraId="34105437" w14:textId="77777777" w:rsidR="002D687B" w:rsidRPr="002D687B" w:rsidRDefault="002D687B" w:rsidP="002D687B">
            <w:pPr>
              <w:spacing w:after="0" w:line="240" w:lineRule="auto"/>
              <w:jc w:val="center"/>
              <w:rPr>
                <w:rFonts w:cs="Arial"/>
                <w:sz w:val="16"/>
                <w:szCs w:val="16"/>
              </w:rPr>
            </w:pPr>
            <w:r w:rsidRPr="002D687B">
              <w:rPr>
                <w:rFonts w:cs="Arial"/>
                <w:sz w:val="16"/>
                <w:szCs w:val="16"/>
              </w:rPr>
              <w:t>1. pol. 2016</w:t>
            </w:r>
          </w:p>
        </w:tc>
        <w:tc>
          <w:tcPr>
            <w:tcW w:w="850" w:type="dxa"/>
            <w:tcBorders>
              <w:top w:val="nil"/>
              <w:left w:val="nil"/>
              <w:bottom w:val="nil"/>
              <w:right w:val="nil"/>
            </w:tcBorders>
            <w:shd w:val="clear" w:color="auto" w:fill="auto"/>
            <w:vAlign w:val="center"/>
            <w:hideMark/>
          </w:tcPr>
          <w:p w14:paraId="717B9C7E" w14:textId="77777777" w:rsidR="002D687B" w:rsidRPr="002D687B" w:rsidRDefault="002D687B" w:rsidP="002D687B">
            <w:pPr>
              <w:spacing w:after="0" w:line="240" w:lineRule="auto"/>
              <w:jc w:val="right"/>
              <w:rPr>
                <w:rFonts w:cs="Arial"/>
                <w:sz w:val="16"/>
                <w:szCs w:val="16"/>
              </w:rPr>
            </w:pPr>
            <w:r w:rsidRPr="002D687B">
              <w:rPr>
                <w:rFonts w:cs="Arial"/>
                <w:sz w:val="16"/>
                <w:szCs w:val="16"/>
              </w:rPr>
              <w:t>876,5</w:t>
            </w:r>
          </w:p>
        </w:tc>
        <w:tc>
          <w:tcPr>
            <w:tcW w:w="652" w:type="dxa"/>
            <w:tcBorders>
              <w:top w:val="nil"/>
              <w:left w:val="nil"/>
              <w:bottom w:val="nil"/>
              <w:right w:val="nil"/>
            </w:tcBorders>
            <w:shd w:val="clear" w:color="auto" w:fill="auto"/>
            <w:vAlign w:val="center"/>
            <w:hideMark/>
          </w:tcPr>
          <w:p w14:paraId="2E2F77CC" w14:textId="77777777" w:rsidR="002D687B" w:rsidRPr="002D687B" w:rsidRDefault="002D687B" w:rsidP="002D687B">
            <w:pPr>
              <w:spacing w:after="0" w:line="240" w:lineRule="auto"/>
              <w:jc w:val="right"/>
              <w:rPr>
                <w:rFonts w:cs="Arial"/>
                <w:sz w:val="16"/>
                <w:szCs w:val="16"/>
              </w:rPr>
            </w:pPr>
            <w:r w:rsidRPr="002D687B">
              <w:rPr>
                <w:rFonts w:cs="Arial"/>
                <w:sz w:val="16"/>
                <w:szCs w:val="16"/>
              </w:rPr>
              <w:t>414,3</w:t>
            </w:r>
          </w:p>
        </w:tc>
        <w:tc>
          <w:tcPr>
            <w:tcW w:w="652" w:type="dxa"/>
            <w:tcBorders>
              <w:top w:val="nil"/>
              <w:left w:val="nil"/>
              <w:bottom w:val="nil"/>
              <w:right w:val="single" w:sz="4" w:space="0" w:color="auto"/>
            </w:tcBorders>
            <w:shd w:val="clear" w:color="auto" w:fill="auto"/>
            <w:vAlign w:val="center"/>
            <w:hideMark/>
          </w:tcPr>
          <w:p w14:paraId="6E13A7D8" w14:textId="77777777" w:rsidR="002D687B" w:rsidRPr="002D687B" w:rsidRDefault="002D687B" w:rsidP="002D687B">
            <w:pPr>
              <w:spacing w:after="0" w:line="240" w:lineRule="auto"/>
              <w:jc w:val="right"/>
              <w:rPr>
                <w:rFonts w:cs="Arial"/>
                <w:sz w:val="16"/>
                <w:szCs w:val="16"/>
              </w:rPr>
            </w:pPr>
            <w:r w:rsidRPr="002D687B">
              <w:rPr>
                <w:rFonts w:cs="Arial"/>
                <w:sz w:val="16"/>
                <w:szCs w:val="16"/>
              </w:rPr>
              <w:t>462,1</w:t>
            </w:r>
          </w:p>
        </w:tc>
        <w:tc>
          <w:tcPr>
            <w:tcW w:w="850" w:type="dxa"/>
            <w:tcBorders>
              <w:top w:val="nil"/>
              <w:left w:val="nil"/>
              <w:bottom w:val="nil"/>
              <w:right w:val="nil"/>
            </w:tcBorders>
            <w:shd w:val="clear" w:color="auto" w:fill="auto"/>
            <w:vAlign w:val="center"/>
            <w:hideMark/>
          </w:tcPr>
          <w:p w14:paraId="031B0867" w14:textId="77777777" w:rsidR="002D687B" w:rsidRPr="002D687B" w:rsidRDefault="002D687B" w:rsidP="002D687B">
            <w:pPr>
              <w:spacing w:after="0" w:line="240" w:lineRule="auto"/>
              <w:jc w:val="right"/>
              <w:rPr>
                <w:rFonts w:cs="Arial"/>
                <w:sz w:val="16"/>
                <w:szCs w:val="16"/>
              </w:rPr>
            </w:pPr>
            <w:r w:rsidRPr="002D687B">
              <w:rPr>
                <w:rFonts w:cs="Arial"/>
                <w:sz w:val="16"/>
                <w:szCs w:val="16"/>
              </w:rPr>
              <w:t>777,1</w:t>
            </w:r>
          </w:p>
        </w:tc>
        <w:tc>
          <w:tcPr>
            <w:tcW w:w="652" w:type="dxa"/>
            <w:tcBorders>
              <w:top w:val="nil"/>
              <w:left w:val="nil"/>
              <w:bottom w:val="nil"/>
              <w:right w:val="nil"/>
            </w:tcBorders>
            <w:shd w:val="clear" w:color="auto" w:fill="auto"/>
            <w:vAlign w:val="center"/>
            <w:hideMark/>
          </w:tcPr>
          <w:p w14:paraId="3F1DFF81" w14:textId="77777777" w:rsidR="002D687B" w:rsidRPr="002D687B" w:rsidRDefault="002D687B" w:rsidP="002D687B">
            <w:pPr>
              <w:spacing w:after="0" w:line="240" w:lineRule="auto"/>
              <w:jc w:val="right"/>
              <w:rPr>
                <w:rFonts w:cs="Arial"/>
                <w:sz w:val="16"/>
                <w:szCs w:val="16"/>
              </w:rPr>
            </w:pPr>
            <w:r w:rsidRPr="002D687B">
              <w:rPr>
                <w:rFonts w:cs="Arial"/>
                <w:sz w:val="16"/>
                <w:szCs w:val="16"/>
              </w:rPr>
              <w:t>349,5</w:t>
            </w:r>
          </w:p>
        </w:tc>
        <w:tc>
          <w:tcPr>
            <w:tcW w:w="652" w:type="dxa"/>
            <w:tcBorders>
              <w:top w:val="nil"/>
              <w:left w:val="nil"/>
              <w:bottom w:val="nil"/>
              <w:right w:val="single" w:sz="4" w:space="0" w:color="auto"/>
            </w:tcBorders>
            <w:shd w:val="clear" w:color="auto" w:fill="auto"/>
            <w:vAlign w:val="center"/>
            <w:hideMark/>
          </w:tcPr>
          <w:p w14:paraId="7CDFD885" w14:textId="77777777" w:rsidR="002D687B" w:rsidRPr="002D687B" w:rsidRDefault="002D687B" w:rsidP="002D687B">
            <w:pPr>
              <w:spacing w:after="0" w:line="240" w:lineRule="auto"/>
              <w:jc w:val="right"/>
              <w:rPr>
                <w:rFonts w:cs="Arial"/>
                <w:sz w:val="16"/>
                <w:szCs w:val="16"/>
              </w:rPr>
            </w:pPr>
            <w:r w:rsidRPr="002D687B">
              <w:rPr>
                <w:rFonts w:cs="Arial"/>
                <w:sz w:val="16"/>
                <w:szCs w:val="16"/>
              </w:rPr>
              <w:t>427,5</w:t>
            </w:r>
          </w:p>
        </w:tc>
        <w:tc>
          <w:tcPr>
            <w:tcW w:w="850" w:type="dxa"/>
            <w:tcBorders>
              <w:top w:val="nil"/>
              <w:left w:val="nil"/>
              <w:bottom w:val="nil"/>
              <w:right w:val="nil"/>
            </w:tcBorders>
            <w:shd w:val="clear" w:color="auto" w:fill="auto"/>
            <w:vAlign w:val="center"/>
            <w:hideMark/>
          </w:tcPr>
          <w:p w14:paraId="3282634C" w14:textId="77777777" w:rsidR="002D687B" w:rsidRPr="002D687B" w:rsidRDefault="002D687B" w:rsidP="002D687B">
            <w:pPr>
              <w:spacing w:after="0" w:line="240" w:lineRule="auto"/>
              <w:jc w:val="right"/>
              <w:rPr>
                <w:rFonts w:cs="Arial"/>
                <w:sz w:val="16"/>
                <w:szCs w:val="16"/>
              </w:rPr>
            </w:pPr>
            <w:r w:rsidRPr="002D687B">
              <w:rPr>
                <w:rFonts w:cs="Arial"/>
                <w:sz w:val="16"/>
                <w:szCs w:val="16"/>
              </w:rPr>
              <w:t>24,9</w:t>
            </w:r>
          </w:p>
        </w:tc>
        <w:tc>
          <w:tcPr>
            <w:tcW w:w="652" w:type="dxa"/>
            <w:tcBorders>
              <w:top w:val="nil"/>
              <w:left w:val="nil"/>
              <w:bottom w:val="nil"/>
              <w:right w:val="nil"/>
            </w:tcBorders>
            <w:shd w:val="clear" w:color="auto" w:fill="auto"/>
            <w:vAlign w:val="center"/>
            <w:hideMark/>
          </w:tcPr>
          <w:p w14:paraId="4F28338C" w14:textId="77777777" w:rsidR="002D687B" w:rsidRPr="002D687B" w:rsidRDefault="002D687B" w:rsidP="002D687B">
            <w:pPr>
              <w:spacing w:after="0" w:line="240" w:lineRule="auto"/>
              <w:jc w:val="right"/>
              <w:rPr>
                <w:rFonts w:cs="Arial"/>
                <w:sz w:val="16"/>
                <w:szCs w:val="16"/>
              </w:rPr>
            </w:pPr>
            <w:r w:rsidRPr="002D687B">
              <w:rPr>
                <w:rFonts w:cs="Arial"/>
                <w:sz w:val="16"/>
                <w:szCs w:val="16"/>
              </w:rPr>
              <w:t>17,1</w:t>
            </w:r>
          </w:p>
        </w:tc>
        <w:tc>
          <w:tcPr>
            <w:tcW w:w="652" w:type="dxa"/>
            <w:tcBorders>
              <w:top w:val="nil"/>
              <w:left w:val="nil"/>
              <w:bottom w:val="nil"/>
              <w:right w:val="single" w:sz="4" w:space="0" w:color="auto"/>
            </w:tcBorders>
            <w:shd w:val="clear" w:color="auto" w:fill="auto"/>
            <w:vAlign w:val="center"/>
            <w:hideMark/>
          </w:tcPr>
          <w:p w14:paraId="544E7300" w14:textId="77777777" w:rsidR="002D687B" w:rsidRPr="002D687B" w:rsidRDefault="002D687B" w:rsidP="002D687B">
            <w:pPr>
              <w:spacing w:after="0" w:line="240" w:lineRule="auto"/>
              <w:jc w:val="right"/>
              <w:rPr>
                <w:rFonts w:cs="Arial"/>
                <w:sz w:val="16"/>
                <w:szCs w:val="16"/>
              </w:rPr>
            </w:pPr>
            <w:r w:rsidRPr="002D687B">
              <w:rPr>
                <w:rFonts w:cs="Arial"/>
                <w:sz w:val="16"/>
                <w:szCs w:val="16"/>
              </w:rPr>
              <w:t>7,8</w:t>
            </w:r>
          </w:p>
        </w:tc>
        <w:tc>
          <w:tcPr>
            <w:tcW w:w="850" w:type="dxa"/>
            <w:tcBorders>
              <w:top w:val="nil"/>
              <w:left w:val="nil"/>
              <w:bottom w:val="nil"/>
              <w:right w:val="nil"/>
            </w:tcBorders>
            <w:shd w:val="clear" w:color="auto" w:fill="auto"/>
            <w:vAlign w:val="center"/>
            <w:hideMark/>
          </w:tcPr>
          <w:p w14:paraId="609EAB7A" w14:textId="77777777" w:rsidR="002D687B" w:rsidRPr="002D687B" w:rsidRDefault="002D687B" w:rsidP="002D687B">
            <w:pPr>
              <w:spacing w:after="0" w:line="240" w:lineRule="auto"/>
              <w:jc w:val="right"/>
              <w:rPr>
                <w:rFonts w:cs="Arial"/>
                <w:sz w:val="16"/>
                <w:szCs w:val="16"/>
              </w:rPr>
            </w:pPr>
            <w:r w:rsidRPr="002D687B">
              <w:rPr>
                <w:rFonts w:cs="Arial"/>
                <w:sz w:val="16"/>
                <w:szCs w:val="16"/>
              </w:rPr>
              <w:t>74,5</w:t>
            </w:r>
          </w:p>
        </w:tc>
        <w:tc>
          <w:tcPr>
            <w:tcW w:w="652" w:type="dxa"/>
            <w:tcBorders>
              <w:top w:val="nil"/>
              <w:left w:val="nil"/>
              <w:bottom w:val="nil"/>
              <w:right w:val="nil"/>
            </w:tcBorders>
            <w:shd w:val="clear" w:color="auto" w:fill="auto"/>
            <w:vAlign w:val="center"/>
            <w:hideMark/>
          </w:tcPr>
          <w:p w14:paraId="4225576A" w14:textId="77777777" w:rsidR="002D687B" w:rsidRPr="002D687B" w:rsidRDefault="002D687B" w:rsidP="002D687B">
            <w:pPr>
              <w:spacing w:after="0" w:line="240" w:lineRule="auto"/>
              <w:jc w:val="right"/>
              <w:rPr>
                <w:rFonts w:cs="Arial"/>
                <w:sz w:val="16"/>
                <w:szCs w:val="16"/>
              </w:rPr>
            </w:pPr>
            <w:r w:rsidRPr="002D687B">
              <w:rPr>
                <w:rFonts w:cs="Arial"/>
                <w:sz w:val="16"/>
                <w:szCs w:val="16"/>
              </w:rPr>
              <w:t>47,7</w:t>
            </w:r>
          </w:p>
        </w:tc>
        <w:tc>
          <w:tcPr>
            <w:tcW w:w="652" w:type="dxa"/>
            <w:tcBorders>
              <w:top w:val="nil"/>
              <w:left w:val="nil"/>
              <w:bottom w:val="nil"/>
              <w:right w:val="nil"/>
            </w:tcBorders>
            <w:shd w:val="clear" w:color="auto" w:fill="auto"/>
            <w:vAlign w:val="center"/>
            <w:hideMark/>
          </w:tcPr>
          <w:p w14:paraId="2D974D28" w14:textId="77777777" w:rsidR="002D687B" w:rsidRPr="002D687B" w:rsidRDefault="002D687B" w:rsidP="002D687B">
            <w:pPr>
              <w:spacing w:after="0" w:line="240" w:lineRule="auto"/>
              <w:jc w:val="right"/>
              <w:rPr>
                <w:rFonts w:cs="Arial"/>
                <w:sz w:val="16"/>
                <w:szCs w:val="16"/>
              </w:rPr>
            </w:pPr>
            <w:r w:rsidRPr="002D687B">
              <w:rPr>
                <w:rFonts w:cs="Arial"/>
                <w:sz w:val="16"/>
                <w:szCs w:val="16"/>
              </w:rPr>
              <w:t>26,8</w:t>
            </w:r>
          </w:p>
        </w:tc>
      </w:tr>
      <w:tr w:rsidR="00D70250" w:rsidRPr="002D687B" w14:paraId="4DD6D613" w14:textId="77777777" w:rsidTr="00D70250">
        <w:trPr>
          <w:trHeight w:val="300"/>
        </w:trPr>
        <w:tc>
          <w:tcPr>
            <w:tcW w:w="1009" w:type="dxa"/>
            <w:tcBorders>
              <w:top w:val="nil"/>
              <w:left w:val="nil"/>
              <w:bottom w:val="nil"/>
              <w:right w:val="single" w:sz="4" w:space="0" w:color="auto"/>
            </w:tcBorders>
            <w:shd w:val="clear" w:color="auto" w:fill="auto"/>
            <w:vAlign w:val="center"/>
            <w:hideMark/>
          </w:tcPr>
          <w:p w14:paraId="302395A0" w14:textId="77777777" w:rsidR="002D687B" w:rsidRPr="002D687B" w:rsidRDefault="002D687B" w:rsidP="002D687B">
            <w:pPr>
              <w:spacing w:after="0" w:line="240" w:lineRule="auto"/>
              <w:jc w:val="center"/>
              <w:rPr>
                <w:rFonts w:cs="Arial"/>
                <w:sz w:val="16"/>
                <w:szCs w:val="16"/>
              </w:rPr>
            </w:pPr>
            <w:r w:rsidRPr="002D687B">
              <w:rPr>
                <w:rFonts w:cs="Arial"/>
                <w:sz w:val="16"/>
                <w:szCs w:val="16"/>
              </w:rPr>
              <w:t>1. pol. 2017</w:t>
            </w:r>
          </w:p>
        </w:tc>
        <w:tc>
          <w:tcPr>
            <w:tcW w:w="850" w:type="dxa"/>
            <w:tcBorders>
              <w:top w:val="nil"/>
              <w:left w:val="nil"/>
              <w:bottom w:val="nil"/>
              <w:right w:val="nil"/>
            </w:tcBorders>
            <w:shd w:val="clear" w:color="auto" w:fill="auto"/>
            <w:vAlign w:val="center"/>
            <w:hideMark/>
          </w:tcPr>
          <w:p w14:paraId="602FDCC3" w14:textId="77777777" w:rsidR="002D687B" w:rsidRPr="002D687B" w:rsidRDefault="002D687B" w:rsidP="002D687B">
            <w:pPr>
              <w:spacing w:after="0" w:line="240" w:lineRule="auto"/>
              <w:jc w:val="right"/>
              <w:rPr>
                <w:rFonts w:cs="Arial"/>
                <w:sz w:val="16"/>
                <w:szCs w:val="16"/>
              </w:rPr>
            </w:pPr>
            <w:r w:rsidRPr="002D687B">
              <w:rPr>
                <w:rFonts w:cs="Arial"/>
                <w:sz w:val="16"/>
                <w:szCs w:val="16"/>
              </w:rPr>
              <w:t>944,7</w:t>
            </w:r>
          </w:p>
        </w:tc>
        <w:tc>
          <w:tcPr>
            <w:tcW w:w="652" w:type="dxa"/>
            <w:tcBorders>
              <w:top w:val="nil"/>
              <w:left w:val="nil"/>
              <w:bottom w:val="nil"/>
              <w:right w:val="nil"/>
            </w:tcBorders>
            <w:shd w:val="clear" w:color="auto" w:fill="auto"/>
            <w:vAlign w:val="center"/>
            <w:hideMark/>
          </w:tcPr>
          <w:p w14:paraId="2735032D" w14:textId="77777777" w:rsidR="002D687B" w:rsidRPr="002D687B" w:rsidRDefault="002D687B" w:rsidP="002D687B">
            <w:pPr>
              <w:spacing w:after="0" w:line="240" w:lineRule="auto"/>
              <w:jc w:val="right"/>
              <w:rPr>
                <w:rFonts w:cs="Arial"/>
                <w:sz w:val="16"/>
                <w:szCs w:val="16"/>
              </w:rPr>
            </w:pPr>
            <w:r w:rsidRPr="002D687B">
              <w:rPr>
                <w:rFonts w:cs="Arial"/>
                <w:sz w:val="16"/>
                <w:szCs w:val="16"/>
              </w:rPr>
              <w:t>444,1</w:t>
            </w:r>
          </w:p>
        </w:tc>
        <w:tc>
          <w:tcPr>
            <w:tcW w:w="652" w:type="dxa"/>
            <w:tcBorders>
              <w:top w:val="nil"/>
              <w:left w:val="nil"/>
              <w:bottom w:val="nil"/>
              <w:right w:val="single" w:sz="4" w:space="0" w:color="auto"/>
            </w:tcBorders>
            <w:shd w:val="clear" w:color="auto" w:fill="auto"/>
            <w:vAlign w:val="center"/>
            <w:hideMark/>
          </w:tcPr>
          <w:p w14:paraId="37C7A320" w14:textId="77777777" w:rsidR="002D687B" w:rsidRPr="002D687B" w:rsidRDefault="002D687B" w:rsidP="002D687B">
            <w:pPr>
              <w:spacing w:after="0" w:line="240" w:lineRule="auto"/>
              <w:jc w:val="right"/>
              <w:rPr>
                <w:rFonts w:cs="Arial"/>
                <w:sz w:val="16"/>
                <w:szCs w:val="16"/>
              </w:rPr>
            </w:pPr>
            <w:r w:rsidRPr="002D687B">
              <w:rPr>
                <w:rFonts w:cs="Arial"/>
                <w:sz w:val="16"/>
                <w:szCs w:val="16"/>
              </w:rPr>
              <w:t>500,6</w:t>
            </w:r>
          </w:p>
        </w:tc>
        <w:tc>
          <w:tcPr>
            <w:tcW w:w="850" w:type="dxa"/>
            <w:tcBorders>
              <w:top w:val="nil"/>
              <w:left w:val="nil"/>
              <w:bottom w:val="nil"/>
              <w:right w:val="nil"/>
            </w:tcBorders>
            <w:shd w:val="clear" w:color="auto" w:fill="auto"/>
            <w:vAlign w:val="center"/>
            <w:hideMark/>
          </w:tcPr>
          <w:p w14:paraId="00C9CAEF" w14:textId="77777777" w:rsidR="002D687B" w:rsidRPr="002D687B" w:rsidRDefault="002D687B" w:rsidP="002D687B">
            <w:pPr>
              <w:spacing w:after="0" w:line="240" w:lineRule="auto"/>
              <w:jc w:val="right"/>
              <w:rPr>
                <w:rFonts w:cs="Arial"/>
                <w:sz w:val="16"/>
                <w:szCs w:val="16"/>
              </w:rPr>
            </w:pPr>
            <w:r w:rsidRPr="002D687B">
              <w:rPr>
                <w:rFonts w:cs="Arial"/>
                <w:sz w:val="16"/>
                <w:szCs w:val="16"/>
              </w:rPr>
              <w:t>841,6</w:t>
            </w:r>
          </w:p>
        </w:tc>
        <w:tc>
          <w:tcPr>
            <w:tcW w:w="652" w:type="dxa"/>
            <w:tcBorders>
              <w:top w:val="nil"/>
              <w:left w:val="nil"/>
              <w:bottom w:val="nil"/>
              <w:right w:val="nil"/>
            </w:tcBorders>
            <w:shd w:val="clear" w:color="auto" w:fill="auto"/>
            <w:vAlign w:val="center"/>
            <w:hideMark/>
          </w:tcPr>
          <w:p w14:paraId="587AF12A" w14:textId="77777777" w:rsidR="002D687B" w:rsidRPr="002D687B" w:rsidRDefault="002D687B" w:rsidP="002D687B">
            <w:pPr>
              <w:spacing w:after="0" w:line="240" w:lineRule="auto"/>
              <w:jc w:val="right"/>
              <w:rPr>
                <w:rFonts w:cs="Arial"/>
                <w:sz w:val="16"/>
                <w:szCs w:val="16"/>
              </w:rPr>
            </w:pPr>
            <w:r w:rsidRPr="002D687B">
              <w:rPr>
                <w:rFonts w:cs="Arial"/>
                <w:sz w:val="16"/>
                <w:szCs w:val="16"/>
              </w:rPr>
              <w:t>378,5</w:t>
            </w:r>
          </w:p>
        </w:tc>
        <w:tc>
          <w:tcPr>
            <w:tcW w:w="652" w:type="dxa"/>
            <w:tcBorders>
              <w:top w:val="nil"/>
              <w:left w:val="nil"/>
              <w:bottom w:val="nil"/>
              <w:right w:val="single" w:sz="4" w:space="0" w:color="auto"/>
            </w:tcBorders>
            <w:shd w:val="clear" w:color="auto" w:fill="auto"/>
            <w:vAlign w:val="center"/>
            <w:hideMark/>
          </w:tcPr>
          <w:p w14:paraId="7F82B6E4" w14:textId="77777777" w:rsidR="002D687B" w:rsidRPr="002D687B" w:rsidRDefault="002D687B" w:rsidP="002D687B">
            <w:pPr>
              <w:spacing w:after="0" w:line="240" w:lineRule="auto"/>
              <w:jc w:val="right"/>
              <w:rPr>
                <w:rFonts w:cs="Arial"/>
                <w:sz w:val="16"/>
                <w:szCs w:val="16"/>
              </w:rPr>
            </w:pPr>
            <w:r w:rsidRPr="002D687B">
              <w:rPr>
                <w:rFonts w:cs="Arial"/>
                <w:sz w:val="16"/>
                <w:szCs w:val="16"/>
              </w:rPr>
              <w:t>463,1</w:t>
            </w:r>
          </w:p>
        </w:tc>
        <w:tc>
          <w:tcPr>
            <w:tcW w:w="850" w:type="dxa"/>
            <w:tcBorders>
              <w:top w:val="nil"/>
              <w:left w:val="nil"/>
              <w:bottom w:val="nil"/>
              <w:right w:val="nil"/>
            </w:tcBorders>
            <w:shd w:val="clear" w:color="auto" w:fill="auto"/>
            <w:vAlign w:val="center"/>
            <w:hideMark/>
          </w:tcPr>
          <w:p w14:paraId="54AF3DF1" w14:textId="77777777" w:rsidR="002D687B" w:rsidRPr="002D687B" w:rsidRDefault="002D687B" w:rsidP="002D687B">
            <w:pPr>
              <w:spacing w:after="0" w:line="240" w:lineRule="auto"/>
              <w:jc w:val="right"/>
              <w:rPr>
                <w:rFonts w:cs="Arial"/>
                <w:sz w:val="16"/>
                <w:szCs w:val="16"/>
              </w:rPr>
            </w:pPr>
            <w:r w:rsidRPr="002D687B">
              <w:rPr>
                <w:rFonts w:cs="Arial"/>
                <w:sz w:val="16"/>
                <w:szCs w:val="16"/>
              </w:rPr>
              <w:t>24,7</w:t>
            </w:r>
          </w:p>
        </w:tc>
        <w:tc>
          <w:tcPr>
            <w:tcW w:w="652" w:type="dxa"/>
            <w:tcBorders>
              <w:top w:val="nil"/>
              <w:left w:val="nil"/>
              <w:bottom w:val="nil"/>
              <w:right w:val="nil"/>
            </w:tcBorders>
            <w:shd w:val="clear" w:color="auto" w:fill="auto"/>
            <w:vAlign w:val="center"/>
            <w:hideMark/>
          </w:tcPr>
          <w:p w14:paraId="61E81CCB" w14:textId="77777777" w:rsidR="002D687B" w:rsidRPr="002D687B" w:rsidRDefault="002D687B" w:rsidP="002D687B">
            <w:pPr>
              <w:spacing w:after="0" w:line="240" w:lineRule="auto"/>
              <w:jc w:val="right"/>
              <w:rPr>
                <w:rFonts w:cs="Arial"/>
                <w:sz w:val="16"/>
                <w:szCs w:val="16"/>
              </w:rPr>
            </w:pPr>
            <w:r w:rsidRPr="002D687B">
              <w:rPr>
                <w:rFonts w:cs="Arial"/>
                <w:sz w:val="16"/>
                <w:szCs w:val="16"/>
              </w:rPr>
              <w:t>16,9</w:t>
            </w:r>
          </w:p>
        </w:tc>
        <w:tc>
          <w:tcPr>
            <w:tcW w:w="652" w:type="dxa"/>
            <w:tcBorders>
              <w:top w:val="nil"/>
              <w:left w:val="nil"/>
              <w:bottom w:val="nil"/>
              <w:right w:val="single" w:sz="4" w:space="0" w:color="auto"/>
            </w:tcBorders>
            <w:shd w:val="clear" w:color="auto" w:fill="auto"/>
            <w:vAlign w:val="center"/>
            <w:hideMark/>
          </w:tcPr>
          <w:p w14:paraId="20A57436" w14:textId="77777777" w:rsidR="002D687B" w:rsidRPr="002D687B" w:rsidRDefault="002D687B" w:rsidP="002D687B">
            <w:pPr>
              <w:spacing w:after="0" w:line="240" w:lineRule="auto"/>
              <w:jc w:val="right"/>
              <w:rPr>
                <w:rFonts w:cs="Arial"/>
                <w:sz w:val="16"/>
                <w:szCs w:val="16"/>
              </w:rPr>
            </w:pPr>
            <w:r w:rsidRPr="002D687B">
              <w:rPr>
                <w:rFonts w:cs="Arial"/>
                <w:sz w:val="16"/>
                <w:szCs w:val="16"/>
              </w:rPr>
              <w:t>7,8</w:t>
            </w:r>
          </w:p>
        </w:tc>
        <w:tc>
          <w:tcPr>
            <w:tcW w:w="850" w:type="dxa"/>
            <w:tcBorders>
              <w:top w:val="nil"/>
              <w:left w:val="nil"/>
              <w:bottom w:val="nil"/>
              <w:right w:val="nil"/>
            </w:tcBorders>
            <w:shd w:val="clear" w:color="auto" w:fill="auto"/>
            <w:vAlign w:val="center"/>
            <w:hideMark/>
          </w:tcPr>
          <w:p w14:paraId="0667F4A4" w14:textId="77777777" w:rsidR="002D687B" w:rsidRPr="002D687B" w:rsidRDefault="002D687B" w:rsidP="002D687B">
            <w:pPr>
              <w:spacing w:after="0" w:line="240" w:lineRule="auto"/>
              <w:jc w:val="right"/>
              <w:rPr>
                <w:rFonts w:cs="Arial"/>
                <w:sz w:val="16"/>
                <w:szCs w:val="16"/>
              </w:rPr>
            </w:pPr>
            <w:r w:rsidRPr="002D687B">
              <w:rPr>
                <w:rFonts w:cs="Arial"/>
                <w:sz w:val="16"/>
                <w:szCs w:val="16"/>
              </w:rPr>
              <w:t>78,4</w:t>
            </w:r>
          </w:p>
        </w:tc>
        <w:tc>
          <w:tcPr>
            <w:tcW w:w="652" w:type="dxa"/>
            <w:tcBorders>
              <w:top w:val="nil"/>
              <w:left w:val="nil"/>
              <w:bottom w:val="nil"/>
              <w:right w:val="nil"/>
            </w:tcBorders>
            <w:shd w:val="clear" w:color="auto" w:fill="auto"/>
            <w:vAlign w:val="center"/>
            <w:hideMark/>
          </w:tcPr>
          <w:p w14:paraId="5D20F3D2" w14:textId="77777777" w:rsidR="002D687B" w:rsidRPr="002D687B" w:rsidRDefault="002D687B" w:rsidP="002D687B">
            <w:pPr>
              <w:spacing w:after="0" w:line="240" w:lineRule="auto"/>
              <w:jc w:val="right"/>
              <w:rPr>
                <w:rFonts w:cs="Arial"/>
                <w:sz w:val="16"/>
                <w:szCs w:val="16"/>
              </w:rPr>
            </w:pPr>
            <w:r w:rsidRPr="002D687B">
              <w:rPr>
                <w:rFonts w:cs="Arial"/>
                <w:sz w:val="16"/>
                <w:szCs w:val="16"/>
              </w:rPr>
              <w:t>48,7</w:t>
            </w:r>
          </w:p>
        </w:tc>
        <w:tc>
          <w:tcPr>
            <w:tcW w:w="652" w:type="dxa"/>
            <w:tcBorders>
              <w:top w:val="nil"/>
              <w:left w:val="nil"/>
              <w:bottom w:val="nil"/>
              <w:right w:val="nil"/>
            </w:tcBorders>
            <w:shd w:val="clear" w:color="auto" w:fill="auto"/>
            <w:vAlign w:val="center"/>
            <w:hideMark/>
          </w:tcPr>
          <w:p w14:paraId="54369AA0" w14:textId="77777777" w:rsidR="002D687B" w:rsidRPr="002D687B" w:rsidRDefault="002D687B" w:rsidP="002D687B">
            <w:pPr>
              <w:spacing w:after="0" w:line="240" w:lineRule="auto"/>
              <w:jc w:val="right"/>
              <w:rPr>
                <w:rFonts w:cs="Arial"/>
                <w:sz w:val="16"/>
                <w:szCs w:val="16"/>
              </w:rPr>
            </w:pPr>
            <w:r w:rsidRPr="002D687B">
              <w:rPr>
                <w:rFonts w:cs="Arial"/>
                <w:sz w:val="16"/>
                <w:szCs w:val="16"/>
              </w:rPr>
              <w:t>29,7</w:t>
            </w:r>
          </w:p>
        </w:tc>
      </w:tr>
      <w:tr w:rsidR="00D70250" w:rsidRPr="002D687B" w14:paraId="028B1C6C" w14:textId="77777777" w:rsidTr="00D70250">
        <w:trPr>
          <w:trHeight w:val="300"/>
        </w:trPr>
        <w:tc>
          <w:tcPr>
            <w:tcW w:w="1009" w:type="dxa"/>
            <w:tcBorders>
              <w:top w:val="nil"/>
              <w:left w:val="nil"/>
              <w:bottom w:val="nil"/>
              <w:right w:val="single" w:sz="4" w:space="0" w:color="auto"/>
            </w:tcBorders>
            <w:shd w:val="clear" w:color="auto" w:fill="auto"/>
            <w:vAlign w:val="center"/>
            <w:hideMark/>
          </w:tcPr>
          <w:p w14:paraId="45DF6A99" w14:textId="77777777" w:rsidR="002D687B" w:rsidRPr="002D687B" w:rsidRDefault="002D687B" w:rsidP="002D687B">
            <w:pPr>
              <w:spacing w:after="0" w:line="240" w:lineRule="auto"/>
              <w:jc w:val="center"/>
              <w:rPr>
                <w:rFonts w:cs="Arial"/>
                <w:sz w:val="16"/>
                <w:szCs w:val="16"/>
              </w:rPr>
            </w:pPr>
            <w:r w:rsidRPr="002D687B">
              <w:rPr>
                <w:rFonts w:cs="Arial"/>
                <w:sz w:val="16"/>
                <w:szCs w:val="16"/>
              </w:rPr>
              <w:t>1. pol. 2018</w:t>
            </w:r>
          </w:p>
        </w:tc>
        <w:tc>
          <w:tcPr>
            <w:tcW w:w="850" w:type="dxa"/>
            <w:tcBorders>
              <w:top w:val="nil"/>
              <w:left w:val="nil"/>
              <w:bottom w:val="nil"/>
              <w:right w:val="nil"/>
            </w:tcBorders>
            <w:shd w:val="clear" w:color="auto" w:fill="auto"/>
            <w:vAlign w:val="center"/>
            <w:hideMark/>
          </w:tcPr>
          <w:p w14:paraId="2709454D" w14:textId="77777777" w:rsidR="002D687B" w:rsidRPr="002D687B" w:rsidRDefault="002D687B" w:rsidP="002D687B">
            <w:pPr>
              <w:spacing w:after="0" w:line="240" w:lineRule="auto"/>
              <w:jc w:val="right"/>
              <w:rPr>
                <w:rFonts w:cs="Arial"/>
                <w:sz w:val="16"/>
                <w:szCs w:val="16"/>
              </w:rPr>
            </w:pPr>
            <w:r w:rsidRPr="002D687B">
              <w:rPr>
                <w:rFonts w:cs="Arial"/>
                <w:sz w:val="16"/>
                <w:szCs w:val="16"/>
              </w:rPr>
              <w:t>1 040,2</w:t>
            </w:r>
          </w:p>
        </w:tc>
        <w:tc>
          <w:tcPr>
            <w:tcW w:w="652" w:type="dxa"/>
            <w:tcBorders>
              <w:top w:val="nil"/>
              <w:left w:val="nil"/>
              <w:bottom w:val="nil"/>
              <w:right w:val="nil"/>
            </w:tcBorders>
            <w:shd w:val="clear" w:color="auto" w:fill="auto"/>
            <w:vAlign w:val="center"/>
            <w:hideMark/>
          </w:tcPr>
          <w:p w14:paraId="29B46D05" w14:textId="77777777" w:rsidR="002D687B" w:rsidRPr="002D687B" w:rsidRDefault="002D687B" w:rsidP="002D687B">
            <w:pPr>
              <w:spacing w:after="0" w:line="240" w:lineRule="auto"/>
              <w:jc w:val="right"/>
              <w:rPr>
                <w:rFonts w:cs="Arial"/>
                <w:sz w:val="16"/>
                <w:szCs w:val="16"/>
              </w:rPr>
            </w:pPr>
            <w:r w:rsidRPr="002D687B">
              <w:rPr>
                <w:rFonts w:cs="Arial"/>
                <w:sz w:val="16"/>
                <w:szCs w:val="16"/>
              </w:rPr>
              <w:t>484,2</w:t>
            </w:r>
          </w:p>
        </w:tc>
        <w:tc>
          <w:tcPr>
            <w:tcW w:w="652" w:type="dxa"/>
            <w:tcBorders>
              <w:top w:val="nil"/>
              <w:left w:val="nil"/>
              <w:bottom w:val="nil"/>
              <w:right w:val="single" w:sz="4" w:space="0" w:color="auto"/>
            </w:tcBorders>
            <w:shd w:val="clear" w:color="auto" w:fill="auto"/>
            <w:vAlign w:val="center"/>
            <w:hideMark/>
          </w:tcPr>
          <w:p w14:paraId="09C72EB0" w14:textId="77777777" w:rsidR="002D687B" w:rsidRPr="002D687B" w:rsidRDefault="002D687B" w:rsidP="002D687B">
            <w:pPr>
              <w:spacing w:after="0" w:line="240" w:lineRule="auto"/>
              <w:jc w:val="right"/>
              <w:rPr>
                <w:rFonts w:cs="Arial"/>
                <w:sz w:val="16"/>
                <w:szCs w:val="16"/>
              </w:rPr>
            </w:pPr>
            <w:r w:rsidRPr="002D687B">
              <w:rPr>
                <w:rFonts w:cs="Arial"/>
                <w:sz w:val="16"/>
                <w:szCs w:val="16"/>
              </w:rPr>
              <w:t>556,1</w:t>
            </w:r>
          </w:p>
        </w:tc>
        <w:tc>
          <w:tcPr>
            <w:tcW w:w="850" w:type="dxa"/>
            <w:tcBorders>
              <w:top w:val="nil"/>
              <w:left w:val="nil"/>
              <w:bottom w:val="nil"/>
              <w:right w:val="nil"/>
            </w:tcBorders>
            <w:shd w:val="clear" w:color="auto" w:fill="auto"/>
            <w:vAlign w:val="center"/>
            <w:hideMark/>
          </w:tcPr>
          <w:p w14:paraId="3956CF8F" w14:textId="77777777" w:rsidR="002D687B" w:rsidRPr="002D687B" w:rsidRDefault="002D687B" w:rsidP="002D687B">
            <w:pPr>
              <w:spacing w:after="0" w:line="240" w:lineRule="auto"/>
              <w:jc w:val="right"/>
              <w:rPr>
                <w:rFonts w:cs="Arial"/>
                <w:sz w:val="16"/>
                <w:szCs w:val="16"/>
              </w:rPr>
            </w:pPr>
            <w:r w:rsidRPr="002D687B">
              <w:rPr>
                <w:rFonts w:cs="Arial"/>
                <w:sz w:val="16"/>
                <w:szCs w:val="16"/>
              </w:rPr>
              <w:t>937,8</w:t>
            </w:r>
          </w:p>
        </w:tc>
        <w:tc>
          <w:tcPr>
            <w:tcW w:w="652" w:type="dxa"/>
            <w:tcBorders>
              <w:top w:val="nil"/>
              <w:left w:val="nil"/>
              <w:bottom w:val="nil"/>
              <w:right w:val="nil"/>
            </w:tcBorders>
            <w:shd w:val="clear" w:color="auto" w:fill="auto"/>
            <w:vAlign w:val="center"/>
            <w:hideMark/>
          </w:tcPr>
          <w:p w14:paraId="52656E93" w14:textId="77777777" w:rsidR="002D687B" w:rsidRPr="002D687B" w:rsidRDefault="002D687B" w:rsidP="002D687B">
            <w:pPr>
              <w:spacing w:after="0" w:line="240" w:lineRule="auto"/>
              <w:jc w:val="right"/>
              <w:rPr>
                <w:rFonts w:cs="Arial"/>
                <w:sz w:val="16"/>
                <w:szCs w:val="16"/>
              </w:rPr>
            </w:pPr>
            <w:r w:rsidRPr="002D687B">
              <w:rPr>
                <w:rFonts w:cs="Arial"/>
                <w:sz w:val="16"/>
                <w:szCs w:val="16"/>
              </w:rPr>
              <w:t>419,5</w:t>
            </w:r>
          </w:p>
        </w:tc>
        <w:tc>
          <w:tcPr>
            <w:tcW w:w="652" w:type="dxa"/>
            <w:tcBorders>
              <w:top w:val="nil"/>
              <w:left w:val="nil"/>
              <w:bottom w:val="nil"/>
              <w:right w:val="single" w:sz="4" w:space="0" w:color="auto"/>
            </w:tcBorders>
            <w:shd w:val="clear" w:color="auto" w:fill="auto"/>
            <w:vAlign w:val="center"/>
            <w:hideMark/>
          </w:tcPr>
          <w:p w14:paraId="184FDE23" w14:textId="77777777" w:rsidR="002D687B" w:rsidRPr="002D687B" w:rsidRDefault="002D687B" w:rsidP="002D687B">
            <w:pPr>
              <w:spacing w:after="0" w:line="240" w:lineRule="auto"/>
              <w:jc w:val="right"/>
              <w:rPr>
                <w:rFonts w:cs="Arial"/>
                <w:sz w:val="16"/>
                <w:szCs w:val="16"/>
              </w:rPr>
            </w:pPr>
            <w:r w:rsidRPr="002D687B">
              <w:rPr>
                <w:rFonts w:cs="Arial"/>
                <w:sz w:val="16"/>
                <w:szCs w:val="16"/>
              </w:rPr>
              <w:t>518,3</w:t>
            </w:r>
          </w:p>
        </w:tc>
        <w:tc>
          <w:tcPr>
            <w:tcW w:w="850" w:type="dxa"/>
            <w:tcBorders>
              <w:top w:val="nil"/>
              <w:left w:val="nil"/>
              <w:bottom w:val="nil"/>
              <w:right w:val="nil"/>
            </w:tcBorders>
            <w:shd w:val="clear" w:color="auto" w:fill="auto"/>
            <w:vAlign w:val="center"/>
            <w:hideMark/>
          </w:tcPr>
          <w:p w14:paraId="4B09AB4C" w14:textId="77777777" w:rsidR="002D687B" w:rsidRPr="002D687B" w:rsidRDefault="002D687B" w:rsidP="002D687B">
            <w:pPr>
              <w:spacing w:after="0" w:line="240" w:lineRule="auto"/>
              <w:jc w:val="right"/>
              <w:rPr>
                <w:rFonts w:cs="Arial"/>
                <w:sz w:val="16"/>
                <w:szCs w:val="16"/>
              </w:rPr>
            </w:pPr>
            <w:r w:rsidRPr="002D687B">
              <w:rPr>
                <w:rFonts w:cs="Arial"/>
                <w:sz w:val="16"/>
                <w:szCs w:val="16"/>
              </w:rPr>
              <w:t>24,1</w:t>
            </w:r>
          </w:p>
        </w:tc>
        <w:tc>
          <w:tcPr>
            <w:tcW w:w="652" w:type="dxa"/>
            <w:tcBorders>
              <w:top w:val="nil"/>
              <w:left w:val="nil"/>
              <w:bottom w:val="nil"/>
              <w:right w:val="nil"/>
            </w:tcBorders>
            <w:shd w:val="clear" w:color="auto" w:fill="auto"/>
            <w:vAlign w:val="center"/>
            <w:hideMark/>
          </w:tcPr>
          <w:p w14:paraId="4CFD607E" w14:textId="77777777" w:rsidR="002D687B" w:rsidRPr="002D687B" w:rsidRDefault="002D687B" w:rsidP="002D687B">
            <w:pPr>
              <w:spacing w:after="0" w:line="240" w:lineRule="auto"/>
              <w:jc w:val="right"/>
              <w:rPr>
                <w:rFonts w:cs="Arial"/>
                <w:sz w:val="16"/>
                <w:szCs w:val="16"/>
              </w:rPr>
            </w:pPr>
            <w:r w:rsidRPr="002D687B">
              <w:rPr>
                <w:rFonts w:cs="Arial"/>
                <w:sz w:val="16"/>
                <w:szCs w:val="16"/>
              </w:rPr>
              <w:t>16,2</w:t>
            </w:r>
          </w:p>
        </w:tc>
        <w:tc>
          <w:tcPr>
            <w:tcW w:w="652" w:type="dxa"/>
            <w:tcBorders>
              <w:top w:val="nil"/>
              <w:left w:val="nil"/>
              <w:bottom w:val="nil"/>
              <w:right w:val="single" w:sz="4" w:space="0" w:color="auto"/>
            </w:tcBorders>
            <w:shd w:val="clear" w:color="auto" w:fill="auto"/>
            <w:vAlign w:val="center"/>
            <w:hideMark/>
          </w:tcPr>
          <w:p w14:paraId="2F6BB278" w14:textId="77777777" w:rsidR="002D687B" w:rsidRPr="002D687B" w:rsidRDefault="002D687B" w:rsidP="002D687B">
            <w:pPr>
              <w:spacing w:after="0" w:line="240" w:lineRule="auto"/>
              <w:jc w:val="right"/>
              <w:rPr>
                <w:rFonts w:cs="Arial"/>
                <w:sz w:val="16"/>
                <w:szCs w:val="16"/>
              </w:rPr>
            </w:pPr>
            <w:r w:rsidRPr="002D687B">
              <w:rPr>
                <w:rFonts w:cs="Arial"/>
                <w:sz w:val="16"/>
                <w:szCs w:val="16"/>
              </w:rPr>
              <w:t>7,9</w:t>
            </w:r>
          </w:p>
        </w:tc>
        <w:tc>
          <w:tcPr>
            <w:tcW w:w="850" w:type="dxa"/>
            <w:tcBorders>
              <w:top w:val="nil"/>
              <w:left w:val="nil"/>
              <w:bottom w:val="nil"/>
              <w:right w:val="nil"/>
            </w:tcBorders>
            <w:shd w:val="clear" w:color="auto" w:fill="auto"/>
            <w:vAlign w:val="center"/>
            <w:hideMark/>
          </w:tcPr>
          <w:p w14:paraId="51AA6043" w14:textId="77777777" w:rsidR="002D687B" w:rsidRPr="002D687B" w:rsidRDefault="002D687B" w:rsidP="002D687B">
            <w:pPr>
              <w:spacing w:after="0" w:line="240" w:lineRule="auto"/>
              <w:jc w:val="right"/>
              <w:rPr>
                <w:rFonts w:cs="Arial"/>
                <w:sz w:val="16"/>
                <w:szCs w:val="16"/>
              </w:rPr>
            </w:pPr>
            <w:r w:rsidRPr="002D687B">
              <w:rPr>
                <w:rFonts w:cs="Arial"/>
                <w:sz w:val="16"/>
                <w:szCs w:val="16"/>
              </w:rPr>
              <w:t>78,4</w:t>
            </w:r>
          </w:p>
        </w:tc>
        <w:tc>
          <w:tcPr>
            <w:tcW w:w="652" w:type="dxa"/>
            <w:tcBorders>
              <w:top w:val="nil"/>
              <w:left w:val="nil"/>
              <w:bottom w:val="nil"/>
              <w:right w:val="nil"/>
            </w:tcBorders>
            <w:shd w:val="clear" w:color="auto" w:fill="auto"/>
            <w:vAlign w:val="center"/>
            <w:hideMark/>
          </w:tcPr>
          <w:p w14:paraId="103BCCCD" w14:textId="77777777" w:rsidR="002D687B" w:rsidRPr="002D687B" w:rsidRDefault="002D687B" w:rsidP="002D687B">
            <w:pPr>
              <w:spacing w:after="0" w:line="240" w:lineRule="auto"/>
              <w:jc w:val="right"/>
              <w:rPr>
                <w:rFonts w:cs="Arial"/>
                <w:sz w:val="16"/>
                <w:szCs w:val="16"/>
              </w:rPr>
            </w:pPr>
            <w:r w:rsidRPr="002D687B">
              <w:rPr>
                <w:rFonts w:cs="Arial"/>
                <w:sz w:val="16"/>
                <w:szCs w:val="16"/>
              </w:rPr>
              <w:t>48,5</w:t>
            </w:r>
          </w:p>
        </w:tc>
        <w:tc>
          <w:tcPr>
            <w:tcW w:w="652" w:type="dxa"/>
            <w:tcBorders>
              <w:top w:val="nil"/>
              <w:left w:val="nil"/>
              <w:bottom w:val="nil"/>
              <w:right w:val="nil"/>
            </w:tcBorders>
            <w:shd w:val="clear" w:color="auto" w:fill="auto"/>
            <w:vAlign w:val="center"/>
            <w:hideMark/>
          </w:tcPr>
          <w:p w14:paraId="612C7B82" w14:textId="77777777" w:rsidR="002D687B" w:rsidRPr="002D687B" w:rsidRDefault="002D687B" w:rsidP="002D687B">
            <w:pPr>
              <w:spacing w:after="0" w:line="240" w:lineRule="auto"/>
              <w:jc w:val="right"/>
              <w:rPr>
                <w:rFonts w:cs="Arial"/>
                <w:sz w:val="16"/>
                <w:szCs w:val="16"/>
              </w:rPr>
            </w:pPr>
            <w:r w:rsidRPr="002D687B">
              <w:rPr>
                <w:rFonts w:cs="Arial"/>
                <w:sz w:val="16"/>
                <w:szCs w:val="16"/>
              </w:rPr>
              <w:t>29,9</w:t>
            </w:r>
          </w:p>
        </w:tc>
      </w:tr>
      <w:tr w:rsidR="00D70250" w:rsidRPr="002D687B" w14:paraId="0ABF3B8F" w14:textId="77777777" w:rsidTr="00D70250">
        <w:trPr>
          <w:trHeight w:val="300"/>
        </w:trPr>
        <w:tc>
          <w:tcPr>
            <w:tcW w:w="1009" w:type="dxa"/>
            <w:tcBorders>
              <w:top w:val="nil"/>
              <w:left w:val="nil"/>
              <w:bottom w:val="nil"/>
              <w:right w:val="single" w:sz="4" w:space="0" w:color="auto"/>
            </w:tcBorders>
            <w:shd w:val="clear" w:color="auto" w:fill="auto"/>
            <w:vAlign w:val="center"/>
            <w:hideMark/>
          </w:tcPr>
          <w:p w14:paraId="2DCE07D1" w14:textId="77777777" w:rsidR="002D687B" w:rsidRPr="002D687B" w:rsidRDefault="002D687B" w:rsidP="002D687B">
            <w:pPr>
              <w:spacing w:after="0" w:line="240" w:lineRule="auto"/>
              <w:jc w:val="center"/>
              <w:rPr>
                <w:rFonts w:cs="Arial"/>
                <w:sz w:val="16"/>
                <w:szCs w:val="16"/>
              </w:rPr>
            </w:pPr>
            <w:r w:rsidRPr="002D687B">
              <w:rPr>
                <w:rFonts w:cs="Arial"/>
                <w:sz w:val="16"/>
                <w:szCs w:val="16"/>
              </w:rPr>
              <w:t>1. pol. 2019</w:t>
            </w:r>
          </w:p>
        </w:tc>
        <w:tc>
          <w:tcPr>
            <w:tcW w:w="850" w:type="dxa"/>
            <w:tcBorders>
              <w:top w:val="nil"/>
              <w:left w:val="nil"/>
              <w:bottom w:val="nil"/>
              <w:right w:val="nil"/>
            </w:tcBorders>
            <w:shd w:val="clear" w:color="auto" w:fill="auto"/>
            <w:noWrap/>
            <w:vAlign w:val="center"/>
            <w:hideMark/>
          </w:tcPr>
          <w:p w14:paraId="540EB9B0" w14:textId="77777777" w:rsidR="002D687B" w:rsidRPr="002D687B" w:rsidRDefault="002D687B" w:rsidP="002D687B">
            <w:pPr>
              <w:spacing w:after="0" w:line="240" w:lineRule="auto"/>
              <w:jc w:val="right"/>
              <w:rPr>
                <w:rFonts w:cs="Arial"/>
                <w:color w:val="000000"/>
                <w:sz w:val="16"/>
                <w:szCs w:val="16"/>
              </w:rPr>
            </w:pPr>
            <w:r w:rsidRPr="002D687B">
              <w:rPr>
                <w:rFonts w:cs="Arial"/>
                <w:color w:val="000000"/>
                <w:sz w:val="16"/>
                <w:szCs w:val="16"/>
              </w:rPr>
              <w:t>975,0</w:t>
            </w:r>
          </w:p>
        </w:tc>
        <w:tc>
          <w:tcPr>
            <w:tcW w:w="652" w:type="dxa"/>
            <w:tcBorders>
              <w:top w:val="nil"/>
              <w:left w:val="nil"/>
              <w:bottom w:val="nil"/>
              <w:right w:val="nil"/>
            </w:tcBorders>
            <w:shd w:val="clear" w:color="auto" w:fill="auto"/>
            <w:noWrap/>
            <w:vAlign w:val="center"/>
            <w:hideMark/>
          </w:tcPr>
          <w:p w14:paraId="53F680D5" w14:textId="77777777" w:rsidR="002D687B" w:rsidRPr="002D687B" w:rsidRDefault="002D687B" w:rsidP="002D687B">
            <w:pPr>
              <w:spacing w:after="0" w:line="240" w:lineRule="auto"/>
              <w:jc w:val="right"/>
              <w:rPr>
                <w:rFonts w:cs="Arial"/>
                <w:color w:val="000000"/>
                <w:sz w:val="16"/>
                <w:szCs w:val="16"/>
              </w:rPr>
            </w:pPr>
            <w:r w:rsidRPr="002D687B">
              <w:rPr>
                <w:rFonts w:cs="Arial"/>
                <w:color w:val="000000"/>
                <w:sz w:val="16"/>
                <w:szCs w:val="16"/>
              </w:rPr>
              <w:t>453,9</w:t>
            </w:r>
          </w:p>
        </w:tc>
        <w:tc>
          <w:tcPr>
            <w:tcW w:w="652" w:type="dxa"/>
            <w:tcBorders>
              <w:top w:val="nil"/>
              <w:left w:val="nil"/>
              <w:bottom w:val="nil"/>
              <w:right w:val="single" w:sz="4" w:space="0" w:color="auto"/>
            </w:tcBorders>
            <w:shd w:val="clear" w:color="auto" w:fill="auto"/>
            <w:noWrap/>
            <w:vAlign w:val="center"/>
            <w:hideMark/>
          </w:tcPr>
          <w:p w14:paraId="32B95ACC" w14:textId="77777777" w:rsidR="002D687B" w:rsidRPr="002D687B" w:rsidRDefault="002D687B" w:rsidP="002D687B">
            <w:pPr>
              <w:spacing w:after="0" w:line="240" w:lineRule="auto"/>
              <w:jc w:val="right"/>
              <w:rPr>
                <w:rFonts w:cs="Arial"/>
                <w:color w:val="000000"/>
                <w:sz w:val="16"/>
                <w:szCs w:val="16"/>
              </w:rPr>
            </w:pPr>
            <w:r w:rsidRPr="002D687B">
              <w:rPr>
                <w:rFonts w:cs="Arial"/>
                <w:color w:val="000000"/>
                <w:sz w:val="16"/>
                <w:szCs w:val="16"/>
              </w:rPr>
              <w:t>521,0</w:t>
            </w:r>
          </w:p>
        </w:tc>
        <w:tc>
          <w:tcPr>
            <w:tcW w:w="850" w:type="dxa"/>
            <w:tcBorders>
              <w:top w:val="nil"/>
              <w:left w:val="nil"/>
              <w:bottom w:val="nil"/>
              <w:right w:val="nil"/>
            </w:tcBorders>
            <w:shd w:val="clear" w:color="auto" w:fill="auto"/>
            <w:noWrap/>
            <w:vAlign w:val="center"/>
            <w:hideMark/>
          </w:tcPr>
          <w:p w14:paraId="0BDD21C6" w14:textId="77777777" w:rsidR="002D687B" w:rsidRPr="002D687B" w:rsidRDefault="002D687B" w:rsidP="002D687B">
            <w:pPr>
              <w:spacing w:after="0" w:line="240" w:lineRule="auto"/>
              <w:jc w:val="right"/>
              <w:rPr>
                <w:rFonts w:cs="Arial"/>
                <w:color w:val="000000"/>
                <w:sz w:val="16"/>
                <w:szCs w:val="16"/>
              </w:rPr>
            </w:pPr>
            <w:r w:rsidRPr="002D687B">
              <w:rPr>
                <w:rFonts w:cs="Arial"/>
                <w:color w:val="000000"/>
                <w:sz w:val="16"/>
                <w:szCs w:val="16"/>
              </w:rPr>
              <w:t>872,7</w:t>
            </w:r>
          </w:p>
        </w:tc>
        <w:tc>
          <w:tcPr>
            <w:tcW w:w="652" w:type="dxa"/>
            <w:tcBorders>
              <w:top w:val="nil"/>
              <w:left w:val="nil"/>
              <w:bottom w:val="nil"/>
              <w:right w:val="nil"/>
            </w:tcBorders>
            <w:shd w:val="clear" w:color="auto" w:fill="auto"/>
            <w:noWrap/>
            <w:vAlign w:val="center"/>
            <w:hideMark/>
          </w:tcPr>
          <w:p w14:paraId="3D655E5B" w14:textId="77777777" w:rsidR="002D687B" w:rsidRPr="002D687B" w:rsidRDefault="002D687B" w:rsidP="002D687B">
            <w:pPr>
              <w:spacing w:after="0" w:line="240" w:lineRule="auto"/>
              <w:jc w:val="right"/>
              <w:rPr>
                <w:rFonts w:cs="Arial"/>
                <w:color w:val="000000"/>
                <w:sz w:val="16"/>
                <w:szCs w:val="16"/>
              </w:rPr>
            </w:pPr>
            <w:r w:rsidRPr="002D687B">
              <w:rPr>
                <w:rFonts w:cs="Arial"/>
                <w:color w:val="000000"/>
                <w:sz w:val="16"/>
                <w:szCs w:val="16"/>
              </w:rPr>
              <w:t>389,8</w:t>
            </w:r>
          </w:p>
        </w:tc>
        <w:tc>
          <w:tcPr>
            <w:tcW w:w="652" w:type="dxa"/>
            <w:tcBorders>
              <w:top w:val="nil"/>
              <w:left w:val="nil"/>
              <w:bottom w:val="nil"/>
              <w:right w:val="single" w:sz="4" w:space="0" w:color="auto"/>
            </w:tcBorders>
            <w:shd w:val="clear" w:color="auto" w:fill="auto"/>
            <w:noWrap/>
            <w:vAlign w:val="center"/>
            <w:hideMark/>
          </w:tcPr>
          <w:p w14:paraId="74E19016" w14:textId="77777777" w:rsidR="002D687B" w:rsidRPr="002D687B" w:rsidRDefault="002D687B" w:rsidP="002D687B">
            <w:pPr>
              <w:spacing w:after="0" w:line="240" w:lineRule="auto"/>
              <w:jc w:val="right"/>
              <w:rPr>
                <w:rFonts w:cs="Arial"/>
                <w:color w:val="000000"/>
                <w:sz w:val="16"/>
                <w:szCs w:val="16"/>
              </w:rPr>
            </w:pPr>
            <w:r w:rsidRPr="002D687B">
              <w:rPr>
                <w:rFonts w:cs="Arial"/>
                <w:color w:val="000000"/>
                <w:sz w:val="16"/>
                <w:szCs w:val="16"/>
              </w:rPr>
              <w:t>483,0</w:t>
            </w:r>
          </w:p>
        </w:tc>
        <w:tc>
          <w:tcPr>
            <w:tcW w:w="850" w:type="dxa"/>
            <w:tcBorders>
              <w:top w:val="nil"/>
              <w:left w:val="nil"/>
              <w:bottom w:val="nil"/>
              <w:right w:val="nil"/>
            </w:tcBorders>
            <w:shd w:val="clear" w:color="auto" w:fill="auto"/>
            <w:noWrap/>
            <w:vAlign w:val="center"/>
            <w:hideMark/>
          </w:tcPr>
          <w:p w14:paraId="0C61A3B1" w14:textId="77777777" w:rsidR="002D687B" w:rsidRPr="002D687B" w:rsidRDefault="002D687B" w:rsidP="002D687B">
            <w:pPr>
              <w:spacing w:after="0" w:line="240" w:lineRule="auto"/>
              <w:jc w:val="right"/>
              <w:rPr>
                <w:rFonts w:cs="Arial"/>
                <w:color w:val="000000"/>
                <w:sz w:val="16"/>
                <w:szCs w:val="16"/>
              </w:rPr>
            </w:pPr>
            <w:r w:rsidRPr="002D687B">
              <w:rPr>
                <w:rFonts w:cs="Arial"/>
                <w:color w:val="000000"/>
                <w:sz w:val="16"/>
                <w:szCs w:val="16"/>
              </w:rPr>
              <w:t>23,2</w:t>
            </w:r>
          </w:p>
        </w:tc>
        <w:tc>
          <w:tcPr>
            <w:tcW w:w="652" w:type="dxa"/>
            <w:tcBorders>
              <w:top w:val="nil"/>
              <w:left w:val="nil"/>
              <w:bottom w:val="nil"/>
              <w:right w:val="nil"/>
            </w:tcBorders>
            <w:shd w:val="clear" w:color="auto" w:fill="auto"/>
            <w:noWrap/>
            <w:vAlign w:val="center"/>
            <w:hideMark/>
          </w:tcPr>
          <w:p w14:paraId="18D16EFB" w14:textId="77777777" w:rsidR="002D687B" w:rsidRPr="002D687B" w:rsidRDefault="002D687B" w:rsidP="002D687B">
            <w:pPr>
              <w:spacing w:after="0" w:line="240" w:lineRule="auto"/>
              <w:jc w:val="right"/>
              <w:rPr>
                <w:rFonts w:cs="Arial"/>
                <w:color w:val="000000"/>
                <w:sz w:val="16"/>
                <w:szCs w:val="16"/>
              </w:rPr>
            </w:pPr>
            <w:r w:rsidRPr="002D687B">
              <w:rPr>
                <w:rFonts w:cs="Arial"/>
                <w:color w:val="000000"/>
                <w:sz w:val="16"/>
                <w:szCs w:val="16"/>
              </w:rPr>
              <w:t>15,6</w:t>
            </w:r>
          </w:p>
        </w:tc>
        <w:tc>
          <w:tcPr>
            <w:tcW w:w="652" w:type="dxa"/>
            <w:tcBorders>
              <w:top w:val="nil"/>
              <w:left w:val="nil"/>
              <w:bottom w:val="nil"/>
              <w:right w:val="single" w:sz="4" w:space="0" w:color="auto"/>
            </w:tcBorders>
            <w:shd w:val="clear" w:color="auto" w:fill="auto"/>
            <w:noWrap/>
            <w:vAlign w:val="center"/>
            <w:hideMark/>
          </w:tcPr>
          <w:p w14:paraId="359B5712" w14:textId="77777777" w:rsidR="002D687B" w:rsidRPr="002D687B" w:rsidRDefault="002D687B" w:rsidP="002D687B">
            <w:pPr>
              <w:spacing w:after="0" w:line="240" w:lineRule="auto"/>
              <w:jc w:val="right"/>
              <w:rPr>
                <w:rFonts w:cs="Arial"/>
                <w:color w:val="000000"/>
                <w:sz w:val="16"/>
                <w:szCs w:val="16"/>
              </w:rPr>
            </w:pPr>
            <w:r w:rsidRPr="002D687B">
              <w:rPr>
                <w:rFonts w:cs="Arial"/>
                <w:color w:val="000000"/>
                <w:sz w:val="16"/>
                <w:szCs w:val="16"/>
              </w:rPr>
              <w:t>7,6</w:t>
            </w:r>
          </w:p>
        </w:tc>
        <w:tc>
          <w:tcPr>
            <w:tcW w:w="850" w:type="dxa"/>
            <w:tcBorders>
              <w:top w:val="nil"/>
              <w:left w:val="nil"/>
              <w:bottom w:val="nil"/>
              <w:right w:val="nil"/>
            </w:tcBorders>
            <w:shd w:val="clear" w:color="auto" w:fill="auto"/>
            <w:noWrap/>
            <w:vAlign w:val="center"/>
            <w:hideMark/>
          </w:tcPr>
          <w:p w14:paraId="236816BF" w14:textId="77777777" w:rsidR="002D687B" w:rsidRPr="002D687B" w:rsidRDefault="002D687B" w:rsidP="002D687B">
            <w:pPr>
              <w:spacing w:after="0" w:line="240" w:lineRule="auto"/>
              <w:jc w:val="right"/>
              <w:rPr>
                <w:rFonts w:cs="Arial"/>
                <w:color w:val="000000"/>
                <w:sz w:val="16"/>
                <w:szCs w:val="16"/>
              </w:rPr>
            </w:pPr>
            <w:r w:rsidRPr="002D687B">
              <w:rPr>
                <w:rFonts w:cs="Arial"/>
                <w:color w:val="000000"/>
                <w:sz w:val="16"/>
                <w:szCs w:val="16"/>
              </w:rPr>
              <w:t>79,0</w:t>
            </w:r>
          </w:p>
        </w:tc>
        <w:tc>
          <w:tcPr>
            <w:tcW w:w="652" w:type="dxa"/>
            <w:tcBorders>
              <w:top w:val="nil"/>
              <w:left w:val="nil"/>
              <w:bottom w:val="nil"/>
              <w:right w:val="nil"/>
            </w:tcBorders>
            <w:shd w:val="clear" w:color="auto" w:fill="auto"/>
            <w:noWrap/>
            <w:vAlign w:val="center"/>
            <w:hideMark/>
          </w:tcPr>
          <w:p w14:paraId="6B3D629E" w14:textId="77777777" w:rsidR="002D687B" w:rsidRPr="002D687B" w:rsidRDefault="002D687B" w:rsidP="002D687B">
            <w:pPr>
              <w:spacing w:after="0" w:line="240" w:lineRule="auto"/>
              <w:jc w:val="right"/>
              <w:rPr>
                <w:rFonts w:cs="Arial"/>
                <w:color w:val="000000"/>
                <w:sz w:val="16"/>
                <w:szCs w:val="16"/>
              </w:rPr>
            </w:pPr>
            <w:r w:rsidRPr="002D687B">
              <w:rPr>
                <w:rFonts w:cs="Arial"/>
                <w:color w:val="000000"/>
                <w:sz w:val="16"/>
                <w:szCs w:val="16"/>
              </w:rPr>
              <w:t>48,6</w:t>
            </w:r>
          </w:p>
        </w:tc>
        <w:tc>
          <w:tcPr>
            <w:tcW w:w="652" w:type="dxa"/>
            <w:tcBorders>
              <w:top w:val="nil"/>
              <w:left w:val="nil"/>
              <w:bottom w:val="nil"/>
              <w:right w:val="nil"/>
            </w:tcBorders>
            <w:shd w:val="clear" w:color="auto" w:fill="auto"/>
            <w:noWrap/>
            <w:vAlign w:val="center"/>
            <w:hideMark/>
          </w:tcPr>
          <w:p w14:paraId="2CFD414F" w14:textId="77777777" w:rsidR="002D687B" w:rsidRPr="002D687B" w:rsidRDefault="002D687B" w:rsidP="002D687B">
            <w:pPr>
              <w:spacing w:after="0" w:line="240" w:lineRule="auto"/>
              <w:jc w:val="right"/>
              <w:rPr>
                <w:rFonts w:cs="Arial"/>
                <w:color w:val="000000"/>
                <w:sz w:val="16"/>
                <w:szCs w:val="16"/>
              </w:rPr>
            </w:pPr>
            <w:r w:rsidRPr="002D687B">
              <w:rPr>
                <w:rFonts w:cs="Arial"/>
                <w:color w:val="000000"/>
                <w:sz w:val="16"/>
                <w:szCs w:val="16"/>
              </w:rPr>
              <w:t>30,5</w:t>
            </w:r>
          </w:p>
        </w:tc>
      </w:tr>
    </w:tbl>
    <w:p w14:paraId="14CD6EE6" w14:textId="77777777" w:rsidR="00A61EC3" w:rsidRDefault="0021605D" w:rsidP="00A61EC3">
      <w:pPr>
        <w:spacing w:before="120"/>
        <w:jc w:val="both"/>
        <w:rPr>
          <w:rFonts w:cs="Arial"/>
          <w:sz w:val="16"/>
          <w:szCs w:val="16"/>
        </w:rPr>
      </w:pPr>
      <w:r>
        <w:rPr>
          <w:rFonts w:cs="Arial"/>
          <w:sz w:val="16"/>
          <w:szCs w:val="16"/>
        </w:rPr>
        <w:t>Zdroj: ČSÚ</w:t>
      </w:r>
    </w:p>
    <w:p w14:paraId="3AE6F1A9" w14:textId="6420348E" w:rsidR="00157C82" w:rsidRDefault="00C1393C" w:rsidP="00A61EC3">
      <w:pPr>
        <w:spacing w:before="120"/>
        <w:jc w:val="both"/>
        <w:rPr>
          <w:rFonts w:cs="Arial"/>
        </w:rPr>
      </w:pPr>
      <w:r>
        <w:rPr>
          <w:rFonts w:cs="Arial"/>
        </w:rPr>
        <w:t xml:space="preserve">Meziroční </w:t>
      </w:r>
      <w:r w:rsidR="006012AD">
        <w:rPr>
          <w:rFonts w:cs="Arial"/>
        </w:rPr>
        <w:t>pokles</w:t>
      </w:r>
      <w:r>
        <w:rPr>
          <w:rFonts w:cs="Arial"/>
        </w:rPr>
        <w:t xml:space="preserve"> pracovní neschopnosti </w:t>
      </w:r>
      <w:r w:rsidRPr="006012AD">
        <w:rPr>
          <w:rFonts w:cs="Arial"/>
          <w:b/>
        </w:rPr>
        <w:t>žen</w:t>
      </w:r>
      <w:r>
        <w:rPr>
          <w:rFonts w:cs="Arial"/>
        </w:rPr>
        <w:t xml:space="preserve"> byl </w:t>
      </w:r>
      <w:r w:rsidR="006012AD">
        <w:rPr>
          <w:rFonts w:cs="Arial"/>
        </w:rPr>
        <w:t>nepatrně větší</w:t>
      </w:r>
      <w:r>
        <w:rPr>
          <w:rFonts w:cs="Arial"/>
        </w:rPr>
        <w:t xml:space="preserve"> než u mužů. </w:t>
      </w:r>
      <w:r w:rsidR="00157C82" w:rsidRPr="003E6827">
        <w:rPr>
          <w:rFonts w:cs="Arial"/>
        </w:rPr>
        <w:t xml:space="preserve">Absolutní počet nově hlášených případů pracovní neschopnosti žen se meziročně </w:t>
      </w:r>
      <w:r w:rsidR="006012AD">
        <w:rPr>
          <w:rFonts w:cs="Arial"/>
        </w:rPr>
        <w:t>snížil</w:t>
      </w:r>
      <w:r w:rsidR="00157C82" w:rsidRPr="003E6827">
        <w:rPr>
          <w:rFonts w:cs="Arial"/>
        </w:rPr>
        <w:t xml:space="preserve"> z</w:t>
      </w:r>
      <w:r w:rsidR="006012AD">
        <w:rPr>
          <w:rFonts w:cs="Arial"/>
        </w:rPr>
        <w:t> 556,1</w:t>
      </w:r>
      <w:r w:rsidR="00157C82" w:rsidRPr="003E6827">
        <w:rPr>
          <w:rFonts w:cs="Arial"/>
        </w:rPr>
        <w:t xml:space="preserve"> tis. případů (muži </w:t>
      </w:r>
      <w:r w:rsidR="007E6BAD">
        <w:rPr>
          <w:rFonts w:cs="Arial"/>
        </w:rPr>
        <w:t>4</w:t>
      </w:r>
      <w:r w:rsidR="006012AD">
        <w:rPr>
          <w:rFonts w:cs="Arial"/>
        </w:rPr>
        <w:t>8</w:t>
      </w:r>
      <w:r w:rsidR="007E6BAD">
        <w:rPr>
          <w:rFonts w:cs="Arial"/>
        </w:rPr>
        <w:t>4,</w:t>
      </w:r>
      <w:r w:rsidR="006012AD">
        <w:rPr>
          <w:rFonts w:cs="Arial"/>
        </w:rPr>
        <w:t>2</w:t>
      </w:r>
      <w:r w:rsidR="00157C82" w:rsidRPr="003E6827">
        <w:rPr>
          <w:rFonts w:cs="Arial"/>
        </w:rPr>
        <w:t xml:space="preserve"> tis. případů) v</w:t>
      </w:r>
      <w:r w:rsidR="007E6BAD">
        <w:rPr>
          <w:rFonts w:cs="Arial"/>
        </w:rPr>
        <w:t> 1.</w:t>
      </w:r>
      <w:r w:rsidR="005A0510">
        <w:rPr>
          <w:rFonts w:cs="Arial"/>
        </w:rPr>
        <w:t> </w:t>
      </w:r>
      <w:r w:rsidR="00321281">
        <w:rPr>
          <w:rFonts w:cs="Arial"/>
        </w:rPr>
        <w:t>p</w:t>
      </w:r>
      <w:r w:rsidR="006012AD">
        <w:rPr>
          <w:rFonts w:cs="Arial"/>
        </w:rPr>
        <w:t>ol.</w:t>
      </w:r>
      <w:r w:rsidR="005A0510">
        <w:rPr>
          <w:rFonts w:cs="Arial"/>
        </w:rPr>
        <w:t> </w:t>
      </w:r>
      <w:r w:rsidR="006012AD">
        <w:rPr>
          <w:rFonts w:cs="Arial"/>
        </w:rPr>
        <w:t>2018</w:t>
      </w:r>
      <w:r w:rsidR="007E6BAD">
        <w:rPr>
          <w:rFonts w:cs="Arial"/>
        </w:rPr>
        <w:t xml:space="preserve"> </w:t>
      </w:r>
      <w:r w:rsidR="00157C82" w:rsidRPr="003E6827">
        <w:rPr>
          <w:rFonts w:cs="Arial"/>
        </w:rPr>
        <w:t xml:space="preserve">na </w:t>
      </w:r>
      <w:r w:rsidR="007E6BAD">
        <w:rPr>
          <w:rFonts w:cs="Arial"/>
        </w:rPr>
        <w:t>5</w:t>
      </w:r>
      <w:r w:rsidR="006012AD">
        <w:rPr>
          <w:rFonts w:cs="Arial"/>
        </w:rPr>
        <w:t>21</w:t>
      </w:r>
      <w:r w:rsidR="007E6BAD">
        <w:rPr>
          <w:rFonts w:cs="Arial"/>
        </w:rPr>
        <w:t xml:space="preserve"> </w:t>
      </w:r>
      <w:r w:rsidR="00157C82" w:rsidRPr="003E6827">
        <w:rPr>
          <w:rFonts w:cs="Arial"/>
        </w:rPr>
        <w:t xml:space="preserve">tis. případů (muži </w:t>
      </w:r>
      <w:r w:rsidR="006012AD">
        <w:rPr>
          <w:rFonts w:cs="Arial"/>
        </w:rPr>
        <w:t>453,9</w:t>
      </w:r>
      <w:r w:rsidR="00DF08CD">
        <w:rPr>
          <w:rFonts w:cs="Arial"/>
        </w:rPr>
        <w:t xml:space="preserve"> </w:t>
      </w:r>
      <w:r w:rsidR="00157C82" w:rsidRPr="003E6827">
        <w:rPr>
          <w:rFonts w:cs="Arial"/>
        </w:rPr>
        <w:t>tis. případů) v</w:t>
      </w:r>
      <w:r w:rsidR="00A61EC3">
        <w:rPr>
          <w:rFonts w:cs="Arial"/>
        </w:rPr>
        <w:t> 1. pol. 2019</w:t>
      </w:r>
      <w:r w:rsidR="006012AD">
        <w:rPr>
          <w:rFonts w:cs="Arial"/>
        </w:rPr>
        <w:t>,</w:t>
      </w:r>
      <w:r>
        <w:rPr>
          <w:rFonts w:cs="Arial"/>
        </w:rPr>
        <w:t xml:space="preserve"> </w:t>
      </w:r>
      <w:r w:rsidR="00157C82" w:rsidRPr="003E6827">
        <w:rPr>
          <w:rFonts w:cs="Arial"/>
        </w:rPr>
        <w:t xml:space="preserve">tj. </w:t>
      </w:r>
      <w:r w:rsidR="006012AD">
        <w:rPr>
          <w:rFonts w:cs="Arial"/>
        </w:rPr>
        <w:t>klesl</w:t>
      </w:r>
      <w:r w:rsidR="00157C82" w:rsidRPr="003E6827">
        <w:rPr>
          <w:rFonts w:cs="Arial"/>
        </w:rPr>
        <w:t xml:space="preserve"> o </w:t>
      </w:r>
      <w:r w:rsidR="006012AD">
        <w:rPr>
          <w:rFonts w:cs="Arial"/>
        </w:rPr>
        <w:t>6,3</w:t>
      </w:r>
      <w:r w:rsidR="00157C82" w:rsidRPr="003E6827">
        <w:rPr>
          <w:rFonts w:cs="Arial"/>
        </w:rPr>
        <w:t xml:space="preserve"> </w:t>
      </w:r>
      <w:r w:rsidR="00157C82" w:rsidRPr="003E6827">
        <w:rPr>
          <w:rFonts w:cs="Arial"/>
          <w:lang w:val="en-US"/>
        </w:rPr>
        <w:t xml:space="preserve">% </w:t>
      </w:r>
      <w:r>
        <w:rPr>
          <w:rFonts w:cs="Arial"/>
        </w:rPr>
        <w:t>(</w:t>
      </w:r>
      <w:r w:rsidR="00157C82" w:rsidRPr="003E6827">
        <w:rPr>
          <w:rFonts w:cs="Arial"/>
        </w:rPr>
        <w:t>o</w:t>
      </w:r>
      <w:r w:rsidR="00157C82">
        <w:rPr>
          <w:rFonts w:cs="Arial"/>
        </w:rPr>
        <w:t> </w:t>
      </w:r>
      <w:r w:rsidR="006012AD">
        <w:rPr>
          <w:rFonts w:cs="Arial"/>
        </w:rPr>
        <w:t>6,2</w:t>
      </w:r>
      <w:r w:rsidR="00157C82" w:rsidRPr="003E6827">
        <w:rPr>
          <w:rFonts w:cs="Arial"/>
        </w:rPr>
        <w:t xml:space="preserve"> </w:t>
      </w:r>
      <w:r w:rsidR="00157C82" w:rsidRPr="003E6827">
        <w:rPr>
          <w:rFonts w:cs="Arial"/>
          <w:lang w:val="en-US"/>
        </w:rPr>
        <w:t>%</w:t>
      </w:r>
      <w:r w:rsidR="00157C82" w:rsidRPr="003E6827">
        <w:rPr>
          <w:rFonts w:cs="Arial"/>
        </w:rPr>
        <w:t xml:space="preserve"> u mužů). Z hlediska příčin </w:t>
      </w:r>
      <w:r w:rsidR="006012AD">
        <w:rPr>
          <w:rFonts w:cs="Arial"/>
        </w:rPr>
        <w:t xml:space="preserve">se 483 tis. případů (92,7 %) </w:t>
      </w:r>
      <w:r w:rsidR="00157C82" w:rsidRPr="003E6827">
        <w:rPr>
          <w:rFonts w:cs="Arial"/>
        </w:rPr>
        <w:t xml:space="preserve">nově hlášených případů dočasné pracovní neschopnosti žen týkalo </w:t>
      </w:r>
      <w:r>
        <w:rPr>
          <w:rFonts w:cs="Arial"/>
        </w:rPr>
        <w:t xml:space="preserve">nemoci, </w:t>
      </w:r>
      <w:r w:rsidR="006012AD">
        <w:rPr>
          <w:rFonts w:cs="Arial"/>
        </w:rPr>
        <w:t>7,6</w:t>
      </w:r>
      <w:r w:rsidR="00157C82" w:rsidRPr="003E6827">
        <w:rPr>
          <w:rFonts w:cs="Arial"/>
        </w:rPr>
        <w:t xml:space="preserve"> tis. případů </w:t>
      </w:r>
      <w:r w:rsidR="000D0984" w:rsidRPr="003E6827">
        <w:rPr>
          <w:rFonts w:cs="Arial"/>
        </w:rPr>
        <w:t>(</w:t>
      </w:r>
      <w:r w:rsidR="00AE2563">
        <w:rPr>
          <w:rFonts w:cs="Arial"/>
        </w:rPr>
        <w:t>1,</w:t>
      </w:r>
      <w:r w:rsidR="006012AD">
        <w:rPr>
          <w:rFonts w:cs="Arial"/>
        </w:rPr>
        <w:t>5</w:t>
      </w:r>
      <w:r w:rsidR="000D0984" w:rsidRPr="003E6827">
        <w:rPr>
          <w:rFonts w:cs="Arial"/>
        </w:rPr>
        <w:t xml:space="preserve"> %) </w:t>
      </w:r>
      <w:r w:rsidR="00157C82" w:rsidRPr="003E6827">
        <w:rPr>
          <w:rFonts w:cs="Arial"/>
        </w:rPr>
        <w:t>pracovní</w:t>
      </w:r>
      <w:r w:rsidR="0026326E">
        <w:rPr>
          <w:rFonts w:cs="Arial"/>
        </w:rPr>
        <w:t>ch</w:t>
      </w:r>
      <w:r w:rsidR="00157C82" w:rsidRPr="003E6827">
        <w:rPr>
          <w:rFonts w:cs="Arial"/>
        </w:rPr>
        <w:t xml:space="preserve"> úraz</w:t>
      </w:r>
      <w:r w:rsidR="0026326E">
        <w:rPr>
          <w:rFonts w:cs="Arial"/>
        </w:rPr>
        <w:t>ů</w:t>
      </w:r>
      <w:r w:rsidR="00157C82" w:rsidRPr="003E6827">
        <w:rPr>
          <w:rFonts w:cs="Arial"/>
        </w:rPr>
        <w:t xml:space="preserve"> a </w:t>
      </w:r>
      <w:r w:rsidR="006012AD">
        <w:rPr>
          <w:rFonts w:cs="Arial"/>
        </w:rPr>
        <w:t>30,5</w:t>
      </w:r>
      <w:r w:rsidR="000D0984">
        <w:rPr>
          <w:rFonts w:cs="Arial"/>
        </w:rPr>
        <w:t xml:space="preserve"> tis. </w:t>
      </w:r>
      <w:r w:rsidR="00157C82" w:rsidRPr="003E6827">
        <w:rPr>
          <w:rFonts w:cs="Arial"/>
        </w:rPr>
        <w:t>případů</w:t>
      </w:r>
      <w:r w:rsidR="000D0984">
        <w:rPr>
          <w:rFonts w:cs="Arial"/>
        </w:rPr>
        <w:t xml:space="preserve"> (</w:t>
      </w:r>
      <w:r w:rsidR="00AE2563">
        <w:rPr>
          <w:rFonts w:cs="Arial"/>
        </w:rPr>
        <w:t>5,</w:t>
      </w:r>
      <w:r w:rsidR="006012AD">
        <w:rPr>
          <w:rFonts w:cs="Arial"/>
        </w:rPr>
        <w:t>8</w:t>
      </w:r>
      <w:r w:rsidR="000D0984" w:rsidRPr="003E6827">
        <w:rPr>
          <w:rFonts w:cs="Arial"/>
        </w:rPr>
        <w:t xml:space="preserve"> %) </w:t>
      </w:r>
      <w:r w:rsidR="00157C82" w:rsidRPr="003E6827">
        <w:rPr>
          <w:rFonts w:cs="Arial"/>
        </w:rPr>
        <w:t xml:space="preserve">ostatních úrazů. </w:t>
      </w:r>
      <w:r w:rsidR="00157C82" w:rsidRPr="003C0597">
        <w:rPr>
          <w:rFonts w:cs="Arial"/>
          <w:b/>
        </w:rPr>
        <w:t>Muži</w:t>
      </w:r>
      <w:r w:rsidR="00157C82" w:rsidRPr="003E6827">
        <w:rPr>
          <w:rFonts w:cs="Arial"/>
        </w:rPr>
        <w:t xml:space="preserve"> čerpali pracovní neschopnost z důvodu nemoci v</w:t>
      </w:r>
      <w:r w:rsidR="00A61EC3">
        <w:rPr>
          <w:rFonts w:cs="Arial"/>
        </w:rPr>
        <w:t> 390</w:t>
      </w:r>
      <w:r w:rsidR="00157C82" w:rsidRPr="003E6827">
        <w:rPr>
          <w:rFonts w:cs="Arial"/>
        </w:rPr>
        <w:t xml:space="preserve"> tis. případech</w:t>
      </w:r>
      <w:r w:rsidR="000D0984">
        <w:rPr>
          <w:rFonts w:cs="Arial"/>
        </w:rPr>
        <w:t xml:space="preserve"> </w:t>
      </w:r>
      <w:r w:rsidR="000D0984" w:rsidRPr="003E6827">
        <w:rPr>
          <w:rFonts w:cs="Arial"/>
        </w:rPr>
        <w:t>(</w:t>
      </w:r>
      <w:r w:rsidR="006012AD">
        <w:rPr>
          <w:rFonts w:cs="Arial"/>
        </w:rPr>
        <w:t>85,9</w:t>
      </w:r>
      <w:r w:rsidR="000D0984" w:rsidRPr="003E6827">
        <w:rPr>
          <w:rFonts w:cs="Arial"/>
        </w:rPr>
        <w:t xml:space="preserve"> %)</w:t>
      </w:r>
      <w:r w:rsidR="00157C82" w:rsidRPr="003E6827">
        <w:rPr>
          <w:rFonts w:cs="Arial"/>
        </w:rPr>
        <w:t>, z důvodu</w:t>
      </w:r>
      <w:r w:rsidR="00157C82" w:rsidRPr="00821C6F">
        <w:rPr>
          <w:rFonts w:cs="Arial"/>
        </w:rPr>
        <w:t xml:space="preserve"> pracovního úrazu v</w:t>
      </w:r>
      <w:r w:rsidR="006012AD">
        <w:rPr>
          <w:rFonts w:cs="Arial"/>
        </w:rPr>
        <w:t> 15,6</w:t>
      </w:r>
      <w:r w:rsidR="00157C82" w:rsidRPr="00821C6F">
        <w:rPr>
          <w:rFonts w:cs="Arial"/>
        </w:rPr>
        <w:t xml:space="preserve"> tis. případech </w:t>
      </w:r>
      <w:r w:rsidR="000D0984" w:rsidRPr="00821C6F">
        <w:rPr>
          <w:rFonts w:cs="Arial"/>
        </w:rPr>
        <w:t>(</w:t>
      </w:r>
      <w:r w:rsidR="00C065FE">
        <w:rPr>
          <w:rFonts w:cs="Arial"/>
        </w:rPr>
        <w:t>3,</w:t>
      </w:r>
      <w:r w:rsidR="006012AD">
        <w:rPr>
          <w:rFonts w:cs="Arial"/>
        </w:rPr>
        <w:t>4</w:t>
      </w:r>
      <w:r w:rsidR="000D0984" w:rsidRPr="00821C6F">
        <w:rPr>
          <w:rFonts w:cs="Arial"/>
        </w:rPr>
        <w:t xml:space="preserve"> %) </w:t>
      </w:r>
      <w:r w:rsidR="00157C82" w:rsidRPr="00821C6F">
        <w:rPr>
          <w:rFonts w:cs="Arial"/>
        </w:rPr>
        <w:t>a z důvodu ostatních úrazů v</w:t>
      </w:r>
      <w:r w:rsidR="001B5429">
        <w:rPr>
          <w:rFonts w:cs="Arial"/>
        </w:rPr>
        <w:t> 48,</w:t>
      </w:r>
      <w:r w:rsidR="006012AD">
        <w:rPr>
          <w:rFonts w:cs="Arial"/>
        </w:rPr>
        <w:t xml:space="preserve">6 </w:t>
      </w:r>
      <w:r w:rsidR="00157C82" w:rsidRPr="00821C6F">
        <w:rPr>
          <w:rFonts w:cs="Arial"/>
        </w:rPr>
        <w:t>tis. případech</w:t>
      </w:r>
      <w:r w:rsidR="000D0984">
        <w:rPr>
          <w:rFonts w:cs="Arial"/>
        </w:rPr>
        <w:t xml:space="preserve"> </w:t>
      </w:r>
      <w:r w:rsidR="000D0984" w:rsidRPr="00821C6F">
        <w:rPr>
          <w:rFonts w:cs="Arial"/>
        </w:rPr>
        <w:t>(</w:t>
      </w:r>
      <w:r w:rsidR="00C065FE">
        <w:rPr>
          <w:rFonts w:cs="Arial"/>
        </w:rPr>
        <w:t>10</w:t>
      </w:r>
      <w:r w:rsidR="006012AD">
        <w:rPr>
          <w:rFonts w:cs="Arial"/>
        </w:rPr>
        <w:t>,7</w:t>
      </w:r>
      <w:r w:rsidR="000D0984" w:rsidRPr="00821C6F">
        <w:rPr>
          <w:rFonts w:cs="Arial"/>
        </w:rPr>
        <w:t xml:space="preserve"> %)</w:t>
      </w:r>
      <w:r w:rsidR="00157C82">
        <w:rPr>
          <w:rFonts w:cs="Arial"/>
          <w:lang w:val="en-US"/>
        </w:rPr>
        <w:t>.</w:t>
      </w:r>
    </w:p>
    <w:p w14:paraId="3EAE6530" w14:textId="77777777" w:rsidR="00105FD2" w:rsidRDefault="006012AD" w:rsidP="00E25EE7">
      <w:pPr>
        <w:jc w:val="both"/>
        <w:rPr>
          <w:noProof/>
        </w:rPr>
      </w:pPr>
      <w:r>
        <w:rPr>
          <w:noProof/>
        </w:rPr>
        <w:t>Za posledních pět let  počet nově hlášených případů pracovní neschopnosti výrazně vzrostl – o 311 tis. případů (o 47 %) z 664,1 tis. případů za 1. pol. 2014 na 975 tis.</w:t>
      </w:r>
      <w:r w:rsidR="003C0597">
        <w:rPr>
          <w:noProof/>
        </w:rPr>
        <w:t xml:space="preserve"> za 1. pol. 2019. Oproti 1. pol. 2012, kdy bylo nechopenek od roku 2008 nejméně, došlo k nárůstu o 60,5 %. Na tomto nárůstu se podílely především výše</w:t>
      </w:r>
    </w:p>
    <w:p w14:paraId="6CD0D526" w14:textId="77777777" w:rsidR="00105FD2" w:rsidRDefault="00105FD2" w:rsidP="00E25EE7">
      <w:pPr>
        <w:jc w:val="both"/>
        <w:rPr>
          <w:noProof/>
        </w:rPr>
      </w:pPr>
    </w:p>
    <w:p w14:paraId="12C5D6AE" w14:textId="584F21DD" w:rsidR="00AB4EBB" w:rsidRDefault="003C0597" w:rsidP="00E25EE7">
      <w:pPr>
        <w:jc w:val="both"/>
        <w:rPr>
          <w:noProof/>
        </w:rPr>
      </w:pPr>
      <w:r>
        <w:rPr>
          <w:noProof/>
        </w:rPr>
        <w:lastRenderedPageBreak/>
        <w:t xml:space="preserve">zmíněné případy z důvodu nemoci. Zvýšení bylo výraznější v případě žen – mezi </w:t>
      </w:r>
      <w:r w:rsidR="0026326E">
        <w:rPr>
          <w:noProof/>
        </w:rPr>
        <w:t>1. pol. let</w:t>
      </w:r>
      <w:r>
        <w:rPr>
          <w:noProof/>
        </w:rPr>
        <w:t xml:space="preserve"> 201</w:t>
      </w:r>
      <w:r w:rsidR="004E7C23">
        <w:rPr>
          <w:noProof/>
        </w:rPr>
        <w:t>2</w:t>
      </w:r>
      <w:r>
        <w:rPr>
          <w:noProof/>
        </w:rPr>
        <w:t xml:space="preserve"> a 2019 vzrostl počet nově hlášených případů pracovní neschopnosti </w:t>
      </w:r>
      <w:r w:rsidR="00657DC4">
        <w:rPr>
          <w:noProof/>
        </w:rPr>
        <w:t xml:space="preserve">za 1. pololetí </w:t>
      </w:r>
      <w:r>
        <w:rPr>
          <w:noProof/>
        </w:rPr>
        <w:t xml:space="preserve">u mužů o </w:t>
      </w:r>
      <w:r w:rsidR="004E7C23">
        <w:rPr>
          <w:noProof/>
        </w:rPr>
        <w:t>57</w:t>
      </w:r>
      <w:r>
        <w:rPr>
          <w:noProof/>
        </w:rPr>
        <w:t xml:space="preserve"> %, u žen o </w:t>
      </w:r>
      <w:r w:rsidR="004E7C23">
        <w:rPr>
          <w:noProof/>
        </w:rPr>
        <w:t>64</w:t>
      </w:r>
      <w:r>
        <w:rPr>
          <w:noProof/>
        </w:rPr>
        <w:t>%.</w:t>
      </w:r>
    </w:p>
    <w:p w14:paraId="387749CD" w14:textId="74A40FE8" w:rsidR="006701EE" w:rsidRPr="00AB4EBB" w:rsidRDefault="00643042" w:rsidP="0064109D">
      <w:pPr>
        <w:spacing w:after="120"/>
        <w:jc w:val="both"/>
        <w:rPr>
          <w:b/>
        </w:rPr>
      </w:pPr>
      <w:r>
        <w:rPr>
          <w:noProof/>
        </w:rPr>
        <mc:AlternateContent>
          <mc:Choice Requires="wpg">
            <w:drawing>
              <wp:anchor distT="0" distB="0" distL="114300" distR="114300" simplePos="0" relativeHeight="251650559" behindDoc="1" locked="0" layoutInCell="1" allowOverlap="1" wp14:anchorId="5F9CB027" wp14:editId="17CC5FB3">
                <wp:simplePos x="0" y="0"/>
                <wp:positionH relativeFrom="margin">
                  <wp:align>right</wp:align>
                </wp:positionH>
                <wp:positionV relativeFrom="paragraph">
                  <wp:posOffset>323850</wp:posOffset>
                </wp:positionV>
                <wp:extent cx="6115050" cy="2647950"/>
                <wp:effectExtent l="0" t="0" r="0" b="0"/>
                <wp:wrapNone/>
                <wp:docPr id="47" name="Skupina 2"/>
                <wp:cNvGraphicFramePr/>
                <a:graphic xmlns:a="http://schemas.openxmlformats.org/drawingml/2006/main">
                  <a:graphicData uri="http://schemas.microsoft.com/office/word/2010/wordprocessingGroup">
                    <wpg:wgp>
                      <wpg:cNvGrpSpPr/>
                      <wpg:grpSpPr>
                        <a:xfrm>
                          <a:off x="0" y="0"/>
                          <a:ext cx="6115050" cy="2647950"/>
                          <a:chOff x="0" y="0"/>
                          <a:chExt cx="6343650" cy="2847975"/>
                        </a:xfrm>
                      </wpg:grpSpPr>
                      <wpg:graphicFrame>
                        <wpg:cNvPr id="50" name="Graf 50"/>
                        <wpg:cNvFrPr>
                          <a:graphicFrameLocks/>
                        </wpg:cNvFrPr>
                        <wpg:xfrm>
                          <a:off x="0" y="0"/>
                          <a:ext cx="3640174" cy="2838120"/>
                        </wpg:xfrm>
                        <a:graphic>
                          <a:graphicData uri="http://schemas.openxmlformats.org/drawingml/2006/chart">
                            <c:chart xmlns:c="http://schemas.openxmlformats.org/drawingml/2006/chart" xmlns:r="http://schemas.openxmlformats.org/officeDocument/2006/relationships" r:id="rId9"/>
                          </a:graphicData>
                        </a:graphic>
                      </wpg:graphicFrame>
                      <wpg:graphicFrame>
                        <wpg:cNvPr id="55" name="Graf 55"/>
                        <wpg:cNvFrPr>
                          <a:graphicFrameLocks/>
                        </wpg:cNvFrPr>
                        <wpg:xfrm>
                          <a:off x="2688245" y="9855"/>
                          <a:ext cx="3655405" cy="2838120"/>
                        </wpg:xfrm>
                        <a:graphic>
                          <a:graphicData uri="http://schemas.openxmlformats.org/drawingml/2006/chart">
                            <c:chart xmlns:c="http://schemas.openxmlformats.org/drawingml/2006/chart" xmlns:r="http://schemas.openxmlformats.org/officeDocument/2006/relationships" r:id="rId10"/>
                          </a:graphicData>
                        </a:graphic>
                      </wpg:graphicFrame>
                    </wpg:wgp>
                  </a:graphicData>
                </a:graphic>
                <wp14:sizeRelH relativeFrom="margin">
                  <wp14:pctWidth>0</wp14:pctWidth>
                </wp14:sizeRelH>
                <wp14:sizeRelV relativeFrom="margin">
                  <wp14:pctHeight>0</wp14:pctHeight>
                </wp14:sizeRelV>
              </wp:anchor>
            </w:drawing>
          </mc:Choice>
          <mc:Fallback>
            <w:pict>
              <v:group w14:anchorId="2E84040C" id="Skupina 2" o:spid="_x0000_s1026" style="position:absolute;margin-left:430.3pt;margin-top:25.5pt;width:481.5pt;height:208.5pt;z-index:-251665921;mso-position-horizontal:right;mso-position-horizontal-relative:margin;mso-width-relative:margin;mso-height-relative:margin" coordsize="63436,28479" o:gfxdata="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">
                <v:shape id="Graf 50" o:spid="_x0000_s1027" type="#_x0000_t75" style="position:absolute;width:36425;height:283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">
                  <v:imagedata r:id="rId22" o:title=""/>
                  <o:lock v:ext="edit" aspectratio="f"/>
                </v:shape>
                <v:shape id="Graf 55" o:spid="_x0000_s1028" type="#_x0000_t75" style="position:absolute;left:26876;top:131;width:36552;height:283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">
                  <v:imagedata r:id="rId23" o:title=""/>
                  <o:lock v:ext="edit" aspectratio="f"/>
                </v:shape>
                <w10:wrap anchorx="margin"/>
              </v:group>
            </w:pict>
          </mc:Fallback>
        </mc:AlternateContent>
      </w:r>
      <w:r w:rsidR="00AB4EBB" w:rsidRPr="00AB4EBB">
        <w:rPr>
          <w:b/>
          <w:noProof/>
        </w:rPr>
        <w:t xml:space="preserve">Graf 2.1: Nově hlášené případy dočasné pracovní neschopnosti podle </w:t>
      </w:r>
      <w:r w:rsidR="00AB4EBB">
        <w:rPr>
          <w:b/>
          <w:noProof/>
        </w:rPr>
        <w:t xml:space="preserve">pohlaví a </w:t>
      </w:r>
      <w:r w:rsidR="00AB4EBB" w:rsidRPr="00AB4EBB">
        <w:rPr>
          <w:b/>
          <w:noProof/>
        </w:rPr>
        <w:t>příčin</w:t>
      </w:r>
      <w:r w:rsidR="00BE4A84">
        <w:rPr>
          <w:b/>
          <w:noProof/>
        </w:rPr>
        <w:t>y</w:t>
      </w:r>
      <w:r w:rsidR="00AB4EBB" w:rsidRPr="00AB4EBB">
        <w:rPr>
          <w:b/>
          <w:noProof/>
        </w:rPr>
        <w:t xml:space="preserve"> v 1. pol. 2019</w:t>
      </w:r>
    </w:p>
    <w:p w14:paraId="43443671" w14:textId="77777777" w:rsidR="00643042" w:rsidRDefault="00643042" w:rsidP="005D6703">
      <w:pPr>
        <w:jc w:val="both"/>
        <w:rPr>
          <w:rFonts w:cs="Arial"/>
          <w:sz w:val="16"/>
          <w:szCs w:val="16"/>
        </w:rPr>
      </w:pPr>
    </w:p>
    <w:p w14:paraId="2E0A18E1" w14:textId="77777777" w:rsidR="00643042" w:rsidRDefault="00643042" w:rsidP="005D6703">
      <w:pPr>
        <w:jc w:val="both"/>
        <w:rPr>
          <w:rFonts w:cs="Arial"/>
          <w:sz w:val="16"/>
          <w:szCs w:val="16"/>
        </w:rPr>
      </w:pPr>
    </w:p>
    <w:p w14:paraId="49698690" w14:textId="77777777" w:rsidR="00643042" w:rsidRDefault="00643042" w:rsidP="005D6703">
      <w:pPr>
        <w:jc w:val="both"/>
        <w:rPr>
          <w:rFonts w:cs="Arial"/>
          <w:sz w:val="16"/>
          <w:szCs w:val="16"/>
        </w:rPr>
      </w:pPr>
    </w:p>
    <w:p w14:paraId="24BF6529" w14:textId="77777777" w:rsidR="00643042" w:rsidRDefault="00643042" w:rsidP="005D6703">
      <w:pPr>
        <w:jc w:val="both"/>
        <w:rPr>
          <w:rFonts w:cs="Arial"/>
          <w:sz w:val="16"/>
          <w:szCs w:val="16"/>
        </w:rPr>
      </w:pPr>
    </w:p>
    <w:p w14:paraId="629A314C" w14:textId="0B5034EC" w:rsidR="00643042" w:rsidRDefault="0064109D" w:rsidP="005D6703">
      <w:pPr>
        <w:jc w:val="both"/>
        <w:rPr>
          <w:rFonts w:cs="Arial"/>
          <w:sz w:val="16"/>
          <w:szCs w:val="16"/>
        </w:rPr>
      </w:pPr>
      <w:r>
        <w:rPr>
          <w:b/>
          <w:noProof/>
        </w:rPr>
        <mc:AlternateContent>
          <mc:Choice Requires="wps">
            <w:drawing>
              <wp:anchor distT="0" distB="0" distL="114300" distR="114300" simplePos="0" relativeHeight="251664896" behindDoc="0" locked="0" layoutInCell="1" allowOverlap="1" wp14:anchorId="455110AC" wp14:editId="149B1473">
                <wp:simplePos x="0" y="0"/>
                <wp:positionH relativeFrom="column">
                  <wp:posOffset>4289425</wp:posOffset>
                </wp:positionH>
                <wp:positionV relativeFrom="paragraph">
                  <wp:posOffset>225425</wp:posOffset>
                </wp:positionV>
                <wp:extent cx="752475" cy="295275"/>
                <wp:effectExtent l="0" t="0" r="9525" b="9525"/>
                <wp:wrapNone/>
                <wp:docPr id="38" name="Textové pole 38"/>
                <wp:cNvGraphicFramePr/>
                <a:graphic xmlns:a="http://schemas.openxmlformats.org/drawingml/2006/main">
                  <a:graphicData uri="http://schemas.microsoft.com/office/word/2010/wordprocessingShape">
                    <wps:wsp>
                      <wps:cNvSpPr txBox="1"/>
                      <wps:spPr>
                        <a:xfrm>
                          <a:off x="0" y="0"/>
                          <a:ext cx="752475" cy="295275"/>
                        </a:xfrm>
                        <a:prstGeom prst="rect">
                          <a:avLst/>
                        </a:prstGeom>
                        <a:solidFill>
                          <a:schemeClr val="lt1"/>
                        </a:solidFill>
                        <a:ln w="6350">
                          <a:noFill/>
                        </a:ln>
                      </wps:spPr>
                      <wps:txbx>
                        <w:txbxContent>
                          <w:p w14:paraId="33DC9DD9" w14:textId="08C511B3" w:rsidR="00C81EB1" w:rsidRPr="00AB4EBB" w:rsidRDefault="00C81EB1">
                            <w:pPr>
                              <w:rPr>
                                <w:b/>
                              </w:rPr>
                            </w:pPr>
                            <w:r w:rsidRPr="00AB4EBB">
                              <w:rPr>
                                <w:b/>
                              </w:rPr>
                              <w:t>521</w:t>
                            </w:r>
                            <w:r>
                              <w:rPr>
                                <w:b/>
                              </w:rPr>
                              <w:t>,0</w:t>
                            </w:r>
                            <w:r w:rsidRPr="00AB4EBB">
                              <w:rPr>
                                <w:b/>
                              </w:rPr>
                              <w:t xml:space="preserve"> tis.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110AC" id="Textové pole 38" o:spid="_x0000_s1033" type="#_x0000_t202" style="position:absolute;left:0;text-align:left;margin-left:337.75pt;margin-top:17.75pt;width:59.25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" fillcolor="white [3201]" stroked="f" strokeweight=".5pt">
                <v:textbox>
                  <w:txbxContent>
                    <w:p w14:paraId="33DC9DD9" w14:textId="08C511B3" w:rsidR="00C81EB1" w:rsidRPr="00AB4EBB" w:rsidRDefault="00C81EB1">
                      <w:pPr>
                        <w:rPr>
                          <w:b/>
                        </w:rPr>
                      </w:pPr>
                      <w:r w:rsidRPr="00AB4EBB">
                        <w:rPr>
                          <w:b/>
                        </w:rPr>
                        <w:t>521</w:t>
                      </w:r>
                      <w:r>
                        <w:rPr>
                          <w:b/>
                        </w:rPr>
                        <w:t>,0</w:t>
                      </w:r>
                      <w:r w:rsidRPr="00AB4EBB">
                        <w:rPr>
                          <w:b/>
                        </w:rPr>
                        <w:t xml:space="preserve"> tis.</w:t>
                      </w:r>
                    </w:p>
                  </w:txbxContent>
                </v:textbox>
              </v:shape>
            </w:pict>
          </mc:Fallback>
        </mc:AlternateContent>
      </w:r>
      <w:r w:rsidR="00643042">
        <w:rPr>
          <w:b/>
          <w:noProof/>
        </w:rPr>
        <mc:AlternateContent>
          <mc:Choice Requires="wps">
            <w:drawing>
              <wp:anchor distT="0" distB="0" distL="114300" distR="114300" simplePos="0" relativeHeight="251666944" behindDoc="0" locked="0" layoutInCell="1" allowOverlap="1" wp14:anchorId="477B5CF3" wp14:editId="6D13C77F">
                <wp:simplePos x="0" y="0"/>
                <wp:positionH relativeFrom="column">
                  <wp:posOffset>1280731</wp:posOffset>
                </wp:positionH>
                <wp:positionV relativeFrom="paragraph">
                  <wp:posOffset>207010</wp:posOffset>
                </wp:positionV>
                <wp:extent cx="752475" cy="295275"/>
                <wp:effectExtent l="0" t="0" r="9525" b="9525"/>
                <wp:wrapNone/>
                <wp:docPr id="56" name="Textové pole 56"/>
                <wp:cNvGraphicFramePr/>
                <a:graphic xmlns:a="http://schemas.openxmlformats.org/drawingml/2006/main">
                  <a:graphicData uri="http://schemas.microsoft.com/office/word/2010/wordprocessingShape">
                    <wps:wsp>
                      <wps:cNvSpPr txBox="1"/>
                      <wps:spPr>
                        <a:xfrm>
                          <a:off x="0" y="0"/>
                          <a:ext cx="752475" cy="295275"/>
                        </a:xfrm>
                        <a:prstGeom prst="rect">
                          <a:avLst/>
                        </a:prstGeom>
                        <a:solidFill>
                          <a:schemeClr val="lt1"/>
                        </a:solidFill>
                        <a:ln w="6350">
                          <a:noFill/>
                        </a:ln>
                      </wps:spPr>
                      <wps:txbx>
                        <w:txbxContent>
                          <w:p w14:paraId="25257C47" w14:textId="6472E7D5" w:rsidR="00C81EB1" w:rsidRPr="00AB4EBB" w:rsidRDefault="00C81EB1" w:rsidP="00643042">
                            <w:pPr>
                              <w:rPr>
                                <w:b/>
                              </w:rPr>
                            </w:pPr>
                            <w:r>
                              <w:rPr>
                                <w:b/>
                              </w:rPr>
                              <w:t>453,9</w:t>
                            </w:r>
                            <w:r w:rsidRPr="00AB4EBB">
                              <w:rPr>
                                <w:b/>
                              </w:rPr>
                              <w:t xml:space="preserve"> tis.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B5CF3" id="Textové pole 56" o:spid="_x0000_s1034" type="#_x0000_t202" style="position:absolute;left:0;text-align:left;margin-left:100.85pt;margin-top:16.3pt;width:59.25pt;height:2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" fillcolor="white [3201]" stroked="f" strokeweight=".5pt">
                <v:textbox>
                  <w:txbxContent>
                    <w:p w14:paraId="25257C47" w14:textId="6472E7D5" w:rsidR="00C81EB1" w:rsidRPr="00AB4EBB" w:rsidRDefault="00C81EB1" w:rsidP="00643042">
                      <w:pPr>
                        <w:rPr>
                          <w:b/>
                        </w:rPr>
                      </w:pPr>
                      <w:r>
                        <w:rPr>
                          <w:b/>
                        </w:rPr>
                        <w:t>453,9</w:t>
                      </w:r>
                      <w:r w:rsidRPr="00AB4EBB">
                        <w:rPr>
                          <w:b/>
                        </w:rPr>
                        <w:t xml:space="preserve"> tis.</w:t>
                      </w:r>
                    </w:p>
                  </w:txbxContent>
                </v:textbox>
              </v:shape>
            </w:pict>
          </mc:Fallback>
        </mc:AlternateContent>
      </w:r>
    </w:p>
    <w:p w14:paraId="6C481E5E" w14:textId="10600EB4" w:rsidR="00643042" w:rsidRDefault="00643042" w:rsidP="005D6703">
      <w:pPr>
        <w:jc w:val="both"/>
        <w:rPr>
          <w:rFonts w:cs="Arial"/>
          <w:sz w:val="16"/>
          <w:szCs w:val="16"/>
        </w:rPr>
      </w:pPr>
    </w:p>
    <w:p w14:paraId="5590D5DC" w14:textId="77777777" w:rsidR="00643042" w:rsidRDefault="00643042" w:rsidP="005D6703">
      <w:pPr>
        <w:jc w:val="both"/>
        <w:rPr>
          <w:rFonts w:cs="Arial"/>
          <w:sz w:val="16"/>
          <w:szCs w:val="16"/>
        </w:rPr>
      </w:pPr>
    </w:p>
    <w:p w14:paraId="79ECD882" w14:textId="10A5C909" w:rsidR="00643042" w:rsidRDefault="00643042" w:rsidP="005D6703">
      <w:pPr>
        <w:jc w:val="both"/>
        <w:rPr>
          <w:rFonts w:cs="Arial"/>
          <w:sz w:val="16"/>
          <w:szCs w:val="16"/>
        </w:rPr>
      </w:pPr>
    </w:p>
    <w:p w14:paraId="11583EFB" w14:textId="038D40EE" w:rsidR="00643042" w:rsidRDefault="00643042" w:rsidP="005D6703">
      <w:pPr>
        <w:jc w:val="both"/>
        <w:rPr>
          <w:rFonts w:cs="Arial"/>
          <w:sz w:val="16"/>
          <w:szCs w:val="16"/>
        </w:rPr>
      </w:pPr>
    </w:p>
    <w:p w14:paraId="4FF8004B" w14:textId="5671E04C" w:rsidR="005D6703" w:rsidRDefault="005D6703" w:rsidP="003366E8">
      <w:pPr>
        <w:jc w:val="both"/>
        <w:rPr>
          <w:rFonts w:cs="Arial"/>
          <w:sz w:val="16"/>
          <w:szCs w:val="16"/>
        </w:rPr>
      </w:pPr>
      <w:r>
        <w:rPr>
          <w:rFonts w:cs="Arial"/>
          <w:sz w:val="16"/>
          <w:szCs w:val="16"/>
        </w:rPr>
        <w:t>Zdroj: ČSÚ</w:t>
      </w:r>
    </w:p>
    <w:p w14:paraId="3ED701F6" w14:textId="51EEDA88" w:rsidR="00907B59" w:rsidRDefault="00907B59" w:rsidP="00907B59">
      <w:pPr>
        <w:jc w:val="both"/>
        <w:rPr>
          <w:noProof/>
        </w:rPr>
      </w:pPr>
      <w:r>
        <w:rPr>
          <w:noProof/>
        </w:rPr>
        <w:t>Při srovnání současného stavu počtu nově hlášených případů s 1. pol. 2008 je zde patrný pokles pracovní neschopno</w:t>
      </w:r>
      <w:r w:rsidR="009975B3">
        <w:rPr>
          <w:noProof/>
        </w:rPr>
        <w:t xml:space="preserve">sti o 151 tis. případů (13 %). </w:t>
      </w:r>
      <w:r>
        <w:rPr>
          <w:noProof/>
        </w:rPr>
        <w:t>To potvrzuje i relativní ukazatel. Zatímco v 1. pol. 2008 připadalo na 100 pojištěnců téměř 25 případů pracovní neschopnosti, mezi roky 2009–2016 počet nepřekročil hranici 20 případů na 100 pojištěnců. V 1. pol. 2019 připadalo na 100 pojištěnců 20,6 hlášení pracovní neschopnosti.</w:t>
      </w:r>
      <w:r w:rsidR="009975B3">
        <w:rPr>
          <w:noProof/>
        </w:rPr>
        <w:t xml:space="preserve"> </w:t>
      </w:r>
      <w:r>
        <w:rPr>
          <w:noProof/>
        </w:rPr>
        <w:t xml:space="preserve">To je o 1,5 </w:t>
      </w:r>
      <w:r w:rsidR="00F25CD1">
        <w:rPr>
          <w:noProof/>
        </w:rPr>
        <w:t>případů</w:t>
      </w:r>
      <w:r>
        <w:rPr>
          <w:noProof/>
        </w:rPr>
        <w:t xml:space="preserve"> méně než za stejné období předchozího roku a o 7 více než v 1. pol. 2012. To byl vzhledem ke 100 pojištěncům zaznamenán vůbec nejnižší poměr neschopenek, a sice 13,6 případů. </w:t>
      </w:r>
    </w:p>
    <w:p w14:paraId="182DF6F9" w14:textId="0346BCCF" w:rsidR="00907B59" w:rsidRDefault="00AB4EBB" w:rsidP="0064109D">
      <w:pPr>
        <w:spacing w:after="120"/>
        <w:jc w:val="both"/>
        <w:rPr>
          <w:b/>
        </w:rPr>
      </w:pPr>
      <w:r w:rsidRPr="00AB4EBB">
        <w:rPr>
          <w:b/>
        </w:rPr>
        <w:t>Graf 2.2</w:t>
      </w:r>
      <w:r>
        <w:rPr>
          <w:b/>
        </w:rPr>
        <w:t>:</w:t>
      </w:r>
      <w:r w:rsidRPr="00AB4EBB">
        <w:rPr>
          <w:b/>
        </w:rPr>
        <w:t xml:space="preserve"> Nově hlášené případy dočasné pracovní n</w:t>
      </w:r>
      <w:r w:rsidR="00105FD2">
        <w:rPr>
          <w:b/>
        </w:rPr>
        <w:t>eschopnosti na 100 pojištěnců v </w:t>
      </w:r>
      <w:r w:rsidRPr="00AB4EBB">
        <w:rPr>
          <w:b/>
        </w:rPr>
        <w:t xml:space="preserve">1. pol. </w:t>
      </w:r>
      <w:r w:rsidR="0069663C">
        <w:rPr>
          <w:b/>
        </w:rPr>
        <w:br/>
      </w:r>
      <w:r w:rsidRPr="00AB4EBB">
        <w:rPr>
          <w:b/>
        </w:rPr>
        <w:t>2008 –</w:t>
      </w:r>
      <w:r w:rsidR="00105FD2">
        <w:rPr>
          <w:b/>
        </w:rPr>
        <w:t> 1</w:t>
      </w:r>
      <w:r w:rsidRPr="00AB4EBB">
        <w:rPr>
          <w:b/>
        </w:rPr>
        <w:t>.</w:t>
      </w:r>
      <w:r w:rsidR="00105FD2">
        <w:rPr>
          <w:b/>
        </w:rPr>
        <w:t> </w:t>
      </w:r>
      <w:r w:rsidRPr="00AB4EBB">
        <w:rPr>
          <w:b/>
        </w:rPr>
        <w:t>pol. 2019</w:t>
      </w:r>
    </w:p>
    <w:p w14:paraId="176A4C80" w14:textId="400F7839" w:rsidR="00DB4336" w:rsidRPr="00E91FAA" w:rsidRDefault="00AB4EBB" w:rsidP="00EB091A">
      <w:pPr>
        <w:rPr>
          <w:b/>
        </w:rPr>
      </w:pPr>
      <w:r>
        <w:rPr>
          <w:noProof/>
        </w:rPr>
        <w:drawing>
          <wp:inline distT="0" distB="0" distL="0" distR="0" wp14:anchorId="1751E008" wp14:editId="10D1C394">
            <wp:extent cx="6153150" cy="3352800"/>
            <wp:effectExtent l="0" t="0" r="0" b="0"/>
            <wp:docPr id="41" name="Graf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6D36FB">
        <w:rPr>
          <w:rFonts w:cs="Arial"/>
          <w:sz w:val="16"/>
          <w:szCs w:val="16"/>
        </w:rPr>
        <w:t>Zdroj: ČSÚ</w:t>
      </w:r>
    </w:p>
    <w:p w14:paraId="58D78B77" w14:textId="5B2507DA" w:rsidR="00907B59" w:rsidRDefault="00907B59" w:rsidP="00907B59">
      <w:pPr>
        <w:jc w:val="both"/>
        <w:rPr>
          <w:rFonts w:cs="Arial"/>
        </w:rPr>
      </w:pPr>
      <w:r w:rsidRPr="00F66ABA">
        <w:rPr>
          <w:rFonts w:cs="Arial"/>
          <w:b/>
        </w:rPr>
        <w:lastRenderedPageBreak/>
        <w:t>Dopad legislativních změn</w:t>
      </w:r>
      <w:r>
        <w:rPr>
          <w:rFonts w:cs="Arial"/>
        </w:rPr>
        <w:t xml:space="preserve"> na četnost</w:t>
      </w:r>
      <w:r w:rsidRPr="00AD787C">
        <w:rPr>
          <w:rFonts w:cs="Arial"/>
        </w:rPr>
        <w:t xml:space="preserve"> případů pracovní neschopnosti </w:t>
      </w:r>
      <w:r>
        <w:rPr>
          <w:rFonts w:cs="Arial"/>
        </w:rPr>
        <w:t>je zřejmý na vývoji počtu</w:t>
      </w:r>
      <w:r w:rsidRPr="00AD787C">
        <w:rPr>
          <w:rFonts w:cs="Arial"/>
        </w:rPr>
        <w:t xml:space="preserve"> případ</w:t>
      </w:r>
      <w:r>
        <w:rPr>
          <w:rFonts w:cs="Arial"/>
        </w:rPr>
        <w:t>ů</w:t>
      </w:r>
      <w:r w:rsidRPr="00AD787C">
        <w:rPr>
          <w:rFonts w:cs="Arial"/>
        </w:rPr>
        <w:t xml:space="preserve"> pracovní neschopnosti pro nemoc, počty případů pracovní neschopnosti pro pracovní i ostatní úrazy jsou </w:t>
      </w:r>
      <w:r>
        <w:rPr>
          <w:rFonts w:cs="Arial"/>
        </w:rPr>
        <w:t>těmito změnami</w:t>
      </w:r>
      <w:r w:rsidRPr="00AD787C">
        <w:rPr>
          <w:rFonts w:cs="Arial"/>
        </w:rPr>
        <w:t xml:space="preserve"> ovlivněny méně. Legislativní úpravy ve vyplácení dávek nemocenského se nejvíce projevují v četnosti případů méně závažných a krátkodobých pracovních neschopností, například u nemoc</w:t>
      </w:r>
      <w:r>
        <w:rPr>
          <w:rFonts w:cs="Arial"/>
        </w:rPr>
        <w:t>í</w:t>
      </w:r>
      <w:r w:rsidRPr="00AD787C">
        <w:rPr>
          <w:rFonts w:cs="Arial"/>
        </w:rPr>
        <w:t xml:space="preserve"> dýchacích cest (běžná nachlazení, záněty</w:t>
      </w:r>
      <w:r w:rsidR="00922112">
        <w:rPr>
          <w:rFonts w:cs="Arial"/>
        </w:rPr>
        <w:t xml:space="preserve"> horních cest dýchacích apod.). </w:t>
      </w:r>
      <w:r w:rsidRPr="00AD787C">
        <w:rPr>
          <w:rFonts w:cs="Arial"/>
        </w:rPr>
        <w:t>Vzhledem k</w:t>
      </w:r>
      <w:r>
        <w:rPr>
          <w:rFonts w:cs="Arial"/>
        </w:rPr>
        <w:t> </w:t>
      </w:r>
      <w:r w:rsidRPr="00AD787C">
        <w:rPr>
          <w:rFonts w:cs="Arial"/>
        </w:rPr>
        <w:t>tomu,</w:t>
      </w:r>
      <w:r w:rsidRPr="00AD787C">
        <w:rPr>
          <w:rFonts w:cs="Arial"/>
          <w:b/>
        </w:rPr>
        <w:t xml:space="preserve"> </w:t>
      </w:r>
      <w:r w:rsidRPr="00AD787C">
        <w:rPr>
          <w:rFonts w:cs="Arial"/>
        </w:rPr>
        <w:t>že</w:t>
      </w:r>
      <w:r w:rsidRPr="00AD787C">
        <w:rPr>
          <w:rFonts w:cs="Arial"/>
          <w:b/>
        </w:rPr>
        <w:t xml:space="preserve"> </w:t>
      </w:r>
      <w:r>
        <w:rPr>
          <w:rFonts w:cs="Arial"/>
        </w:rPr>
        <w:t>v</w:t>
      </w:r>
      <w:r w:rsidRPr="00AD787C">
        <w:rPr>
          <w:rFonts w:cs="Arial"/>
        </w:rPr>
        <w:t xml:space="preserve"> </w:t>
      </w:r>
      <w:r>
        <w:rPr>
          <w:rFonts w:cs="Arial"/>
        </w:rPr>
        <w:t xml:space="preserve">1. pol. </w:t>
      </w:r>
      <w:r w:rsidRPr="00AD787C">
        <w:rPr>
          <w:rFonts w:cs="Arial"/>
        </w:rPr>
        <w:t xml:space="preserve">2008, resp. </w:t>
      </w:r>
      <w:r>
        <w:rPr>
          <w:rFonts w:cs="Arial"/>
        </w:rPr>
        <w:t xml:space="preserve">od 1. 1. </w:t>
      </w:r>
      <w:r w:rsidRPr="00AD787C">
        <w:rPr>
          <w:rFonts w:cs="Arial"/>
        </w:rPr>
        <w:t>2009,</w:t>
      </w:r>
      <w:r w:rsidRPr="00AD787C">
        <w:rPr>
          <w:rFonts w:cs="Arial"/>
          <w:b/>
        </w:rPr>
        <w:t xml:space="preserve"> </w:t>
      </w:r>
      <w:r w:rsidRPr="00AD787C">
        <w:rPr>
          <w:rFonts w:cs="Arial"/>
        </w:rPr>
        <w:t>b</w:t>
      </w:r>
      <w:r>
        <w:rPr>
          <w:rFonts w:cs="Arial"/>
        </w:rPr>
        <w:t>yla zavedena tzv. karenční doba</w:t>
      </w:r>
      <w:r>
        <w:rPr>
          <w:rStyle w:val="Znakapoznpodarou"/>
          <w:rFonts w:cs="Arial"/>
        </w:rPr>
        <w:footnoteReference w:id="1"/>
      </w:r>
      <w:r w:rsidRPr="00AD787C">
        <w:rPr>
          <w:rFonts w:cs="Arial"/>
        </w:rPr>
        <w:t xml:space="preserve"> </w:t>
      </w:r>
      <w:r>
        <w:rPr>
          <w:rFonts w:cs="Arial"/>
        </w:rPr>
        <w:t>(</w:t>
      </w:r>
      <w:r w:rsidRPr="00AD787C">
        <w:rPr>
          <w:rFonts w:cs="Arial"/>
        </w:rPr>
        <w:t>za první tři dny pracovní neschopnost</w:t>
      </w:r>
      <w:r>
        <w:rPr>
          <w:rFonts w:cs="Arial"/>
        </w:rPr>
        <w:t>i nepřísluší zaměstnanci náhrada</w:t>
      </w:r>
      <w:r w:rsidRPr="00AD787C">
        <w:rPr>
          <w:rFonts w:cs="Arial"/>
        </w:rPr>
        <w:t xml:space="preserve"> mzdy nebo platu</w:t>
      </w:r>
      <w:r>
        <w:rPr>
          <w:rFonts w:cs="Arial"/>
        </w:rPr>
        <w:t>)</w:t>
      </w:r>
      <w:r w:rsidRPr="00AD787C">
        <w:rPr>
          <w:rFonts w:cs="Arial"/>
        </w:rPr>
        <w:t xml:space="preserve">, v některých případech lidé raději </w:t>
      </w:r>
      <w:r>
        <w:rPr>
          <w:rFonts w:cs="Arial"/>
        </w:rPr>
        <w:t>situaci řeší</w:t>
      </w:r>
      <w:r w:rsidRPr="00AD787C">
        <w:rPr>
          <w:rFonts w:cs="Arial"/>
        </w:rPr>
        <w:t xml:space="preserve"> </w:t>
      </w:r>
      <w:r>
        <w:rPr>
          <w:rFonts w:cs="Arial"/>
        </w:rPr>
        <w:t xml:space="preserve">krátkodobou </w:t>
      </w:r>
      <w:r w:rsidRPr="00AD787C">
        <w:rPr>
          <w:rFonts w:cs="Arial"/>
        </w:rPr>
        <w:t>dovolenou</w:t>
      </w:r>
      <w:r>
        <w:rPr>
          <w:rFonts w:cs="Arial"/>
        </w:rPr>
        <w:t>, příp.</w:t>
      </w:r>
      <w:r w:rsidRPr="00AD787C">
        <w:rPr>
          <w:rFonts w:cs="Arial"/>
        </w:rPr>
        <w:t xml:space="preserve"> </w:t>
      </w:r>
      <w:r>
        <w:rPr>
          <w:rFonts w:cs="Arial"/>
        </w:rPr>
        <w:t xml:space="preserve">pomocí tzv. </w:t>
      </w:r>
      <w:r w:rsidRPr="00AD787C">
        <w:rPr>
          <w:rFonts w:cs="Arial"/>
          <w:lang w:val="en-US"/>
        </w:rPr>
        <w:t>sick days</w:t>
      </w:r>
      <w:r>
        <w:rPr>
          <w:rFonts w:cs="Arial"/>
          <w:lang w:val="en-US"/>
        </w:rPr>
        <w:t xml:space="preserve"> (</w:t>
      </w:r>
      <w:r w:rsidRPr="00A07459">
        <w:rPr>
          <w:rFonts w:cs="Arial"/>
        </w:rPr>
        <w:t>česky</w:t>
      </w:r>
      <w:r>
        <w:rPr>
          <w:rFonts w:cs="Arial"/>
          <w:lang w:val="en-US"/>
        </w:rPr>
        <w:t xml:space="preserve"> </w:t>
      </w:r>
      <w:r w:rsidRPr="00A07459">
        <w:rPr>
          <w:rFonts w:cs="Arial"/>
        </w:rPr>
        <w:t>indispoziční volno</w:t>
      </w:r>
      <w:r>
        <w:rPr>
          <w:rFonts w:cs="Arial"/>
          <w:lang w:val="en-US"/>
        </w:rPr>
        <w:t xml:space="preserve">) – </w:t>
      </w:r>
      <w:r>
        <w:t>krátké placené pracovní volno, které si zaměstnanec může čerpat bez lékařského potvrzení.</w:t>
      </w:r>
      <w:r>
        <w:rPr>
          <w:rFonts w:cs="Arial"/>
        </w:rPr>
        <w:t xml:space="preserve"> Tyto placené dny zdravotního volna patří k zaměstnaneckým benefitům u stále většího počtu zaměstnavatelů a objevila se i snaha uzákonit je jako povinné</w:t>
      </w:r>
      <w:r w:rsidRPr="00AD787C">
        <w:rPr>
          <w:rFonts w:cs="Arial"/>
        </w:rPr>
        <w:t>.</w:t>
      </w:r>
      <w:r>
        <w:rPr>
          <w:rFonts w:cs="Arial"/>
        </w:rPr>
        <w:t xml:space="preserve"> </w:t>
      </w:r>
    </w:p>
    <w:p w14:paraId="6A27FE6B" w14:textId="77777777" w:rsidR="00152E1E" w:rsidRDefault="00152E1E" w:rsidP="0064109D">
      <w:pPr>
        <w:spacing w:after="120"/>
        <w:jc w:val="both"/>
        <w:rPr>
          <w:b/>
        </w:rPr>
      </w:pPr>
      <w:r w:rsidRPr="00152E1E">
        <w:rPr>
          <w:b/>
        </w:rPr>
        <w:t>Graf 2.3: Nově hlášené případy dočasné pracovní neschopnosti na 100 pojištěnců dle odvětví ekonomické činnosti (sekcí CZ-NACE) v 1. pol. 2019</w:t>
      </w:r>
    </w:p>
    <w:p w14:paraId="749F8AAA" w14:textId="4E8C73CC" w:rsidR="001E36E8" w:rsidRDefault="00152E1E" w:rsidP="001E36E8">
      <w:pPr>
        <w:jc w:val="both"/>
        <w:rPr>
          <w:rFonts w:cs="Arial"/>
          <w:sz w:val="16"/>
          <w:szCs w:val="16"/>
        </w:rPr>
      </w:pPr>
      <w:r>
        <w:rPr>
          <w:noProof/>
        </w:rPr>
        <w:drawing>
          <wp:inline distT="0" distB="0" distL="0" distR="0" wp14:anchorId="32913AAC" wp14:editId="67AD9C10">
            <wp:extent cx="6057900" cy="5400675"/>
            <wp:effectExtent l="0" t="0" r="0" b="0"/>
            <wp:docPr id="45" name="Graf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1E36E8">
        <w:rPr>
          <w:rFonts w:cs="Arial"/>
          <w:sz w:val="16"/>
          <w:szCs w:val="16"/>
        </w:rPr>
        <w:t>Zdroj: ČSÚ</w:t>
      </w:r>
    </w:p>
    <w:p w14:paraId="5A5E156E" w14:textId="77777777" w:rsidR="00907B59" w:rsidRDefault="00907B59" w:rsidP="00907B59">
      <w:pPr>
        <w:jc w:val="both"/>
        <w:rPr>
          <w:rFonts w:cs="Arial"/>
        </w:rPr>
      </w:pPr>
      <w:r>
        <w:rPr>
          <w:rFonts w:cs="Arial"/>
        </w:rPr>
        <w:t xml:space="preserve">Vliv uvedených legislativních změn na vývoj pracovní neschopnosti je patrný z grafu 2.2 – kdy už v 1. pololetí roku 2009 došlo k významnému poklesu počtu nově hlášených případů dočasné pracovní neschopnosti, který </w:t>
      </w:r>
      <w:r>
        <w:rPr>
          <w:rFonts w:cs="Arial"/>
        </w:rPr>
        <w:lastRenderedPageBreak/>
        <w:t>se zastavil až v roce 2013, kdy hodnoty pomalu nabraly vzrůstající tendenci. Počet hlášených případů v relaci na 100 pojištěnců je v 1. pol. 2019 (20,6 případů) na podobné úrovni jako v 1. pol. 2017 (20,4 případů).</w:t>
      </w:r>
    </w:p>
    <w:p w14:paraId="6668FB38" w14:textId="09D9A1A5" w:rsidR="00907B59" w:rsidRDefault="00907B59" w:rsidP="00907B59">
      <w:pPr>
        <w:jc w:val="both"/>
        <w:rPr>
          <w:rFonts w:cs="Arial"/>
        </w:rPr>
      </w:pPr>
      <w:r w:rsidRPr="00B31DCA">
        <w:rPr>
          <w:rFonts w:cs="Arial"/>
        </w:rPr>
        <w:t xml:space="preserve">Nejvíce nových případů dočasné pracovní neschopnosti bylo v 1. pol. 2019 nahlášeno v subjektech, které dle </w:t>
      </w:r>
      <w:r w:rsidRPr="00B31DCA">
        <w:rPr>
          <w:rFonts w:cs="Arial"/>
          <w:b/>
        </w:rPr>
        <w:t>převažující ekonomické činnosti</w:t>
      </w:r>
      <w:r w:rsidRPr="00B31DCA">
        <w:rPr>
          <w:rFonts w:cs="Arial"/>
        </w:rPr>
        <w:t xml:space="preserve"> spadají do odvětvové sekce Zpracovatelský průmysl (</w:t>
      </w:r>
      <w:r w:rsidR="00B564BA">
        <w:rPr>
          <w:rFonts w:cs="Arial"/>
        </w:rPr>
        <w:t>335</w:t>
      </w:r>
      <w:r w:rsidRPr="00B31DCA">
        <w:rPr>
          <w:rFonts w:cs="Arial"/>
        </w:rPr>
        <w:t xml:space="preserve"> tis. příp</w:t>
      </w:r>
      <w:r>
        <w:rPr>
          <w:rFonts w:cs="Arial"/>
        </w:rPr>
        <w:t>adů) a Velkoobchod a maloobchod;</w:t>
      </w:r>
      <w:r w:rsidRPr="00B31DCA">
        <w:rPr>
          <w:rFonts w:cs="Arial"/>
        </w:rPr>
        <w:t xml:space="preserve"> opravy a údržba motorových vozidel (1</w:t>
      </w:r>
      <w:r w:rsidR="00B564BA">
        <w:rPr>
          <w:rFonts w:cs="Arial"/>
        </w:rPr>
        <w:t>28</w:t>
      </w:r>
      <w:r w:rsidRPr="00B31DCA">
        <w:rPr>
          <w:rFonts w:cs="Arial"/>
        </w:rPr>
        <w:t xml:space="preserve"> tis. případů). Naopak nejméně bylo v absolutních číslech hlášeno v odvětvové sekci Těžba a dobývání (5 tis.) a Výroba a rozvod elektřiny a jiných energií (</w:t>
      </w:r>
      <w:r w:rsidR="00B564BA">
        <w:rPr>
          <w:rFonts w:cs="Arial"/>
        </w:rPr>
        <w:t>6</w:t>
      </w:r>
      <w:r w:rsidRPr="00B31DCA">
        <w:rPr>
          <w:rFonts w:cs="Arial"/>
        </w:rPr>
        <w:t xml:space="preserve"> tis.). Absolutní počty nově hlášených případů jsou ovšem ovlivněny odvětvovou strukturou národního hospodářství a zaměstnaností v jednotlivých odvětvích. Z toho důvodu má vyšší vypovídací schopnosti již zmíněný relativní ukazatel – počet nově hlášených případů na 100 pojištěnců v daném odvětví.</w:t>
      </w:r>
    </w:p>
    <w:p w14:paraId="4469276D" w14:textId="15557F91" w:rsidR="00355A67" w:rsidRPr="00152E1E" w:rsidRDefault="00355A67" w:rsidP="00905115">
      <w:pPr>
        <w:spacing w:after="120"/>
        <w:jc w:val="both"/>
        <w:rPr>
          <w:rFonts w:cs="Arial"/>
          <w:b/>
          <w:bCs/>
          <w:color w:val="000000"/>
          <w:szCs w:val="20"/>
        </w:rPr>
      </w:pPr>
      <w:r w:rsidRPr="00355A67">
        <w:rPr>
          <w:rFonts w:cs="Arial"/>
          <w:b/>
          <w:bCs/>
          <w:color w:val="000000"/>
          <w:szCs w:val="20"/>
        </w:rPr>
        <w:t>Tab. 2.2</w:t>
      </w:r>
      <w:r w:rsidR="00905115">
        <w:rPr>
          <w:rFonts w:cs="Arial"/>
          <w:b/>
          <w:bCs/>
          <w:color w:val="000000"/>
          <w:szCs w:val="20"/>
        </w:rPr>
        <w:t xml:space="preserve">: </w:t>
      </w:r>
      <w:r w:rsidRPr="00355A67">
        <w:rPr>
          <w:rFonts w:cs="Arial"/>
          <w:b/>
          <w:bCs/>
          <w:color w:val="000000"/>
          <w:szCs w:val="20"/>
        </w:rPr>
        <w:t xml:space="preserve">Nově hlášené případy dočasné pracovní neschopnosti na 100 pojištěnců dle odvětví ekonomické činnosti </w:t>
      </w:r>
      <w:r w:rsidR="006E5D1E">
        <w:rPr>
          <w:rFonts w:cs="Arial"/>
          <w:b/>
          <w:bCs/>
          <w:color w:val="000000"/>
          <w:szCs w:val="20"/>
        </w:rPr>
        <w:t xml:space="preserve">(sekcí CZ-NACE) </w:t>
      </w:r>
      <w:r w:rsidRPr="00355A67">
        <w:rPr>
          <w:rFonts w:cs="Arial"/>
          <w:b/>
          <w:bCs/>
          <w:color w:val="000000"/>
          <w:szCs w:val="20"/>
        </w:rPr>
        <w:t xml:space="preserve">v </w:t>
      </w:r>
      <w:r w:rsidR="006E5D1E">
        <w:rPr>
          <w:rFonts w:cs="Arial"/>
          <w:b/>
          <w:bCs/>
          <w:color w:val="000000"/>
          <w:szCs w:val="20"/>
        </w:rPr>
        <w:t>1. pol. 2010 – 1. pol. 2019</w:t>
      </w:r>
    </w:p>
    <w:tbl>
      <w:tblPr>
        <w:tblW w:w="9575" w:type="dxa"/>
        <w:tblCellMar>
          <w:left w:w="70" w:type="dxa"/>
          <w:right w:w="70" w:type="dxa"/>
        </w:tblCellMar>
        <w:tblLook w:val="04A0" w:firstRow="1" w:lastRow="0" w:firstColumn="1" w:lastColumn="0" w:noHBand="0" w:noVBand="1"/>
      </w:tblPr>
      <w:tblGrid>
        <w:gridCol w:w="3289"/>
        <w:gridCol w:w="628"/>
        <w:gridCol w:w="628"/>
        <w:gridCol w:w="628"/>
        <w:gridCol w:w="628"/>
        <w:gridCol w:w="628"/>
        <w:gridCol w:w="628"/>
        <w:gridCol w:w="628"/>
        <w:gridCol w:w="628"/>
        <w:gridCol w:w="628"/>
        <w:gridCol w:w="628"/>
        <w:gridCol w:w="6"/>
      </w:tblGrid>
      <w:tr w:rsidR="00170240" w:rsidRPr="00170240" w14:paraId="0BABD675" w14:textId="77777777" w:rsidTr="00905115">
        <w:trPr>
          <w:trHeight w:val="306"/>
        </w:trPr>
        <w:tc>
          <w:tcPr>
            <w:tcW w:w="3289" w:type="dxa"/>
            <w:vMerge w:val="restart"/>
            <w:tcBorders>
              <w:top w:val="single" w:sz="4" w:space="0" w:color="auto"/>
              <w:left w:val="nil"/>
              <w:bottom w:val="single" w:sz="4" w:space="0" w:color="000000"/>
              <w:right w:val="nil"/>
            </w:tcBorders>
            <w:shd w:val="clear" w:color="000000" w:fill="F2DCDB"/>
            <w:vAlign w:val="center"/>
            <w:hideMark/>
          </w:tcPr>
          <w:p w14:paraId="759E78C0" w14:textId="77777777" w:rsidR="00170240" w:rsidRPr="00170240" w:rsidRDefault="00170240" w:rsidP="00170240">
            <w:pPr>
              <w:spacing w:after="0" w:line="240" w:lineRule="auto"/>
              <w:jc w:val="center"/>
              <w:rPr>
                <w:rFonts w:ascii="Arial CE" w:hAnsi="Arial CE" w:cs="Arial CE"/>
                <w:sz w:val="16"/>
                <w:szCs w:val="16"/>
              </w:rPr>
            </w:pPr>
            <w:r w:rsidRPr="00170240">
              <w:rPr>
                <w:rFonts w:ascii="Arial CE" w:hAnsi="Arial CE" w:cs="Arial CE"/>
                <w:sz w:val="16"/>
                <w:szCs w:val="16"/>
              </w:rPr>
              <w:t>Sekce CZ-NACE</w:t>
            </w:r>
          </w:p>
        </w:tc>
        <w:tc>
          <w:tcPr>
            <w:tcW w:w="6286" w:type="dxa"/>
            <w:gridSpan w:val="11"/>
            <w:tcBorders>
              <w:top w:val="single" w:sz="4" w:space="0" w:color="auto"/>
              <w:left w:val="single" w:sz="4" w:space="0" w:color="auto"/>
              <w:bottom w:val="single" w:sz="4" w:space="0" w:color="auto"/>
              <w:right w:val="nil"/>
            </w:tcBorders>
            <w:shd w:val="clear" w:color="000000" w:fill="F2DCDB"/>
            <w:vAlign w:val="center"/>
            <w:hideMark/>
          </w:tcPr>
          <w:p w14:paraId="5B8B5795" w14:textId="77777777" w:rsidR="00170240" w:rsidRPr="00170240" w:rsidRDefault="00170240" w:rsidP="00905115">
            <w:pPr>
              <w:spacing w:after="0" w:line="240" w:lineRule="auto"/>
              <w:jc w:val="center"/>
              <w:rPr>
                <w:rFonts w:ascii="Arial CE" w:hAnsi="Arial CE" w:cs="Arial CE"/>
                <w:sz w:val="16"/>
                <w:szCs w:val="16"/>
              </w:rPr>
            </w:pPr>
            <w:r w:rsidRPr="00170240">
              <w:rPr>
                <w:rFonts w:ascii="Arial CE" w:hAnsi="Arial CE" w:cs="Arial CE"/>
                <w:sz w:val="16"/>
                <w:szCs w:val="16"/>
              </w:rPr>
              <w:t>Počet nově hlášených případů dočasné pracovní neschopnosti na 100 pojištěnců</w:t>
            </w:r>
          </w:p>
        </w:tc>
      </w:tr>
      <w:tr w:rsidR="00170240" w:rsidRPr="00170240" w14:paraId="66201AFE" w14:textId="77777777" w:rsidTr="00905115">
        <w:trPr>
          <w:gridAfter w:val="1"/>
          <w:wAfter w:w="6" w:type="dxa"/>
          <w:trHeight w:val="459"/>
        </w:trPr>
        <w:tc>
          <w:tcPr>
            <w:tcW w:w="3289" w:type="dxa"/>
            <w:vMerge/>
            <w:tcBorders>
              <w:top w:val="single" w:sz="4" w:space="0" w:color="auto"/>
              <w:left w:val="nil"/>
              <w:bottom w:val="single" w:sz="4" w:space="0" w:color="000000"/>
              <w:right w:val="nil"/>
            </w:tcBorders>
            <w:vAlign w:val="center"/>
            <w:hideMark/>
          </w:tcPr>
          <w:p w14:paraId="5A4F0C7C" w14:textId="77777777" w:rsidR="00170240" w:rsidRPr="00170240" w:rsidRDefault="00170240" w:rsidP="00170240">
            <w:pPr>
              <w:spacing w:after="0" w:line="240" w:lineRule="auto"/>
              <w:rPr>
                <w:rFonts w:ascii="Arial CE" w:hAnsi="Arial CE" w:cs="Arial CE"/>
                <w:sz w:val="16"/>
                <w:szCs w:val="16"/>
              </w:rPr>
            </w:pPr>
          </w:p>
        </w:tc>
        <w:tc>
          <w:tcPr>
            <w:tcW w:w="628" w:type="dxa"/>
            <w:tcBorders>
              <w:top w:val="nil"/>
              <w:left w:val="single" w:sz="4" w:space="0" w:color="auto"/>
              <w:bottom w:val="single" w:sz="4" w:space="0" w:color="auto"/>
              <w:right w:val="single" w:sz="4" w:space="0" w:color="auto"/>
            </w:tcBorders>
            <w:shd w:val="clear" w:color="000000" w:fill="F2DCDB"/>
            <w:vAlign w:val="center"/>
            <w:hideMark/>
          </w:tcPr>
          <w:p w14:paraId="259EE3EA" w14:textId="77777777" w:rsidR="00170240" w:rsidRPr="00170240" w:rsidRDefault="00170240" w:rsidP="00905115">
            <w:pPr>
              <w:spacing w:after="0" w:line="240" w:lineRule="auto"/>
              <w:jc w:val="center"/>
              <w:rPr>
                <w:rFonts w:cs="Arial"/>
                <w:sz w:val="16"/>
                <w:szCs w:val="16"/>
              </w:rPr>
            </w:pPr>
            <w:r w:rsidRPr="00170240">
              <w:rPr>
                <w:rFonts w:cs="Arial"/>
                <w:sz w:val="16"/>
                <w:szCs w:val="16"/>
              </w:rPr>
              <w:t xml:space="preserve">1. pol. </w:t>
            </w:r>
            <w:r w:rsidRPr="00170240">
              <w:rPr>
                <w:rFonts w:cs="Arial"/>
                <w:sz w:val="16"/>
                <w:szCs w:val="16"/>
              </w:rPr>
              <w:br/>
              <w:t>2010</w:t>
            </w:r>
          </w:p>
        </w:tc>
        <w:tc>
          <w:tcPr>
            <w:tcW w:w="628" w:type="dxa"/>
            <w:tcBorders>
              <w:top w:val="nil"/>
              <w:left w:val="nil"/>
              <w:bottom w:val="single" w:sz="4" w:space="0" w:color="auto"/>
              <w:right w:val="single" w:sz="4" w:space="0" w:color="auto"/>
            </w:tcBorders>
            <w:shd w:val="clear" w:color="000000" w:fill="F2DCDB"/>
            <w:vAlign w:val="center"/>
            <w:hideMark/>
          </w:tcPr>
          <w:p w14:paraId="5B9A4CF1" w14:textId="77777777" w:rsidR="00170240" w:rsidRPr="00170240" w:rsidRDefault="00170240" w:rsidP="00905115">
            <w:pPr>
              <w:spacing w:after="0" w:line="240" w:lineRule="auto"/>
              <w:jc w:val="center"/>
              <w:rPr>
                <w:rFonts w:cs="Arial"/>
                <w:sz w:val="16"/>
                <w:szCs w:val="16"/>
              </w:rPr>
            </w:pPr>
            <w:r w:rsidRPr="00170240">
              <w:rPr>
                <w:rFonts w:cs="Arial"/>
                <w:sz w:val="16"/>
                <w:szCs w:val="16"/>
              </w:rPr>
              <w:t xml:space="preserve">1. pol. </w:t>
            </w:r>
            <w:r w:rsidRPr="00170240">
              <w:rPr>
                <w:rFonts w:cs="Arial"/>
                <w:sz w:val="16"/>
                <w:szCs w:val="16"/>
              </w:rPr>
              <w:br/>
              <w:t>2011</w:t>
            </w:r>
          </w:p>
        </w:tc>
        <w:tc>
          <w:tcPr>
            <w:tcW w:w="628" w:type="dxa"/>
            <w:tcBorders>
              <w:top w:val="nil"/>
              <w:left w:val="nil"/>
              <w:bottom w:val="single" w:sz="4" w:space="0" w:color="auto"/>
              <w:right w:val="single" w:sz="4" w:space="0" w:color="auto"/>
            </w:tcBorders>
            <w:shd w:val="clear" w:color="000000" w:fill="F2DCDB"/>
            <w:vAlign w:val="center"/>
            <w:hideMark/>
          </w:tcPr>
          <w:p w14:paraId="49869796" w14:textId="77777777" w:rsidR="00170240" w:rsidRPr="00170240" w:rsidRDefault="00170240" w:rsidP="00905115">
            <w:pPr>
              <w:spacing w:after="0" w:line="240" w:lineRule="auto"/>
              <w:jc w:val="center"/>
              <w:rPr>
                <w:rFonts w:cs="Arial"/>
                <w:sz w:val="16"/>
                <w:szCs w:val="16"/>
              </w:rPr>
            </w:pPr>
            <w:r w:rsidRPr="00170240">
              <w:rPr>
                <w:rFonts w:cs="Arial"/>
                <w:sz w:val="16"/>
                <w:szCs w:val="16"/>
              </w:rPr>
              <w:t xml:space="preserve">1. pol. </w:t>
            </w:r>
            <w:r w:rsidRPr="00170240">
              <w:rPr>
                <w:rFonts w:cs="Arial"/>
                <w:sz w:val="16"/>
                <w:szCs w:val="16"/>
              </w:rPr>
              <w:br/>
              <w:t>2012</w:t>
            </w:r>
          </w:p>
        </w:tc>
        <w:tc>
          <w:tcPr>
            <w:tcW w:w="628" w:type="dxa"/>
            <w:tcBorders>
              <w:top w:val="nil"/>
              <w:left w:val="nil"/>
              <w:bottom w:val="single" w:sz="4" w:space="0" w:color="auto"/>
              <w:right w:val="single" w:sz="4" w:space="0" w:color="auto"/>
            </w:tcBorders>
            <w:shd w:val="clear" w:color="000000" w:fill="F2DCDB"/>
            <w:vAlign w:val="center"/>
            <w:hideMark/>
          </w:tcPr>
          <w:p w14:paraId="4B722DC2" w14:textId="77777777" w:rsidR="00170240" w:rsidRPr="00170240" w:rsidRDefault="00170240" w:rsidP="00905115">
            <w:pPr>
              <w:spacing w:after="0" w:line="240" w:lineRule="auto"/>
              <w:jc w:val="center"/>
              <w:rPr>
                <w:rFonts w:cs="Arial"/>
                <w:sz w:val="16"/>
                <w:szCs w:val="16"/>
              </w:rPr>
            </w:pPr>
            <w:r w:rsidRPr="00170240">
              <w:rPr>
                <w:rFonts w:cs="Arial"/>
                <w:sz w:val="16"/>
                <w:szCs w:val="16"/>
              </w:rPr>
              <w:t xml:space="preserve">1. pol. </w:t>
            </w:r>
            <w:r w:rsidRPr="00170240">
              <w:rPr>
                <w:rFonts w:cs="Arial"/>
                <w:sz w:val="16"/>
                <w:szCs w:val="16"/>
              </w:rPr>
              <w:br/>
              <w:t>2013</w:t>
            </w:r>
          </w:p>
        </w:tc>
        <w:tc>
          <w:tcPr>
            <w:tcW w:w="628" w:type="dxa"/>
            <w:tcBorders>
              <w:top w:val="nil"/>
              <w:left w:val="nil"/>
              <w:bottom w:val="single" w:sz="4" w:space="0" w:color="auto"/>
              <w:right w:val="single" w:sz="4" w:space="0" w:color="auto"/>
            </w:tcBorders>
            <w:shd w:val="clear" w:color="000000" w:fill="F2DCDB"/>
            <w:vAlign w:val="center"/>
            <w:hideMark/>
          </w:tcPr>
          <w:p w14:paraId="76524443" w14:textId="77777777" w:rsidR="00170240" w:rsidRPr="00170240" w:rsidRDefault="00170240" w:rsidP="00905115">
            <w:pPr>
              <w:spacing w:after="0" w:line="240" w:lineRule="auto"/>
              <w:jc w:val="center"/>
              <w:rPr>
                <w:rFonts w:cs="Arial"/>
                <w:sz w:val="16"/>
                <w:szCs w:val="16"/>
              </w:rPr>
            </w:pPr>
            <w:r w:rsidRPr="00170240">
              <w:rPr>
                <w:rFonts w:cs="Arial"/>
                <w:sz w:val="16"/>
                <w:szCs w:val="16"/>
              </w:rPr>
              <w:t xml:space="preserve">1. pol. </w:t>
            </w:r>
            <w:r w:rsidRPr="00170240">
              <w:rPr>
                <w:rFonts w:cs="Arial"/>
                <w:sz w:val="16"/>
                <w:szCs w:val="16"/>
              </w:rPr>
              <w:br/>
              <w:t>2014</w:t>
            </w:r>
          </w:p>
        </w:tc>
        <w:tc>
          <w:tcPr>
            <w:tcW w:w="628" w:type="dxa"/>
            <w:tcBorders>
              <w:top w:val="nil"/>
              <w:left w:val="nil"/>
              <w:bottom w:val="single" w:sz="4" w:space="0" w:color="auto"/>
              <w:right w:val="single" w:sz="4" w:space="0" w:color="auto"/>
            </w:tcBorders>
            <w:shd w:val="clear" w:color="000000" w:fill="F2DCDB"/>
            <w:vAlign w:val="center"/>
            <w:hideMark/>
          </w:tcPr>
          <w:p w14:paraId="4D11C7E8" w14:textId="77777777" w:rsidR="00170240" w:rsidRPr="00170240" w:rsidRDefault="00170240" w:rsidP="00905115">
            <w:pPr>
              <w:spacing w:after="0" w:line="240" w:lineRule="auto"/>
              <w:jc w:val="center"/>
              <w:rPr>
                <w:rFonts w:cs="Arial"/>
                <w:sz w:val="16"/>
                <w:szCs w:val="16"/>
              </w:rPr>
            </w:pPr>
            <w:r w:rsidRPr="00170240">
              <w:rPr>
                <w:rFonts w:cs="Arial"/>
                <w:sz w:val="16"/>
                <w:szCs w:val="16"/>
              </w:rPr>
              <w:t xml:space="preserve">1. pol. </w:t>
            </w:r>
            <w:r w:rsidRPr="00170240">
              <w:rPr>
                <w:rFonts w:cs="Arial"/>
                <w:sz w:val="16"/>
                <w:szCs w:val="16"/>
              </w:rPr>
              <w:br/>
              <w:t>2015</w:t>
            </w:r>
          </w:p>
        </w:tc>
        <w:tc>
          <w:tcPr>
            <w:tcW w:w="628" w:type="dxa"/>
            <w:tcBorders>
              <w:top w:val="nil"/>
              <w:left w:val="nil"/>
              <w:bottom w:val="single" w:sz="4" w:space="0" w:color="auto"/>
              <w:right w:val="single" w:sz="4" w:space="0" w:color="auto"/>
            </w:tcBorders>
            <w:shd w:val="clear" w:color="000000" w:fill="F2DCDB"/>
            <w:vAlign w:val="center"/>
            <w:hideMark/>
          </w:tcPr>
          <w:p w14:paraId="3E2EFC01" w14:textId="77777777" w:rsidR="00170240" w:rsidRPr="00170240" w:rsidRDefault="00170240" w:rsidP="00905115">
            <w:pPr>
              <w:spacing w:after="0" w:line="240" w:lineRule="auto"/>
              <w:jc w:val="center"/>
              <w:rPr>
                <w:rFonts w:cs="Arial"/>
                <w:sz w:val="16"/>
                <w:szCs w:val="16"/>
              </w:rPr>
            </w:pPr>
            <w:r w:rsidRPr="00170240">
              <w:rPr>
                <w:rFonts w:cs="Arial"/>
                <w:sz w:val="16"/>
                <w:szCs w:val="16"/>
              </w:rPr>
              <w:t xml:space="preserve">1. pol. </w:t>
            </w:r>
            <w:r w:rsidRPr="00170240">
              <w:rPr>
                <w:rFonts w:cs="Arial"/>
                <w:sz w:val="16"/>
                <w:szCs w:val="16"/>
              </w:rPr>
              <w:br/>
              <w:t>2016</w:t>
            </w:r>
          </w:p>
        </w:tc>
        <w:tc>
          <w:tcPr>
            <w:tcW w:w="628" w:type="dxa"/>
            <w:tcBorders>
              <w:top w:val="nil"/>
              <w:left w:val="nil"/>
              <w:bottom w:val="single" w:sz="4" w:space="0" w:color="auto"/>
              <w:right w:val="single" w:sz="4" w:space="0" w:color="auto"/>
            </w:tcBorders>
            <w:shd w:val="clear" w:color="000000" w:fill="F2DCDB"/>
            <w:vAlign w:val="center"/>
            <w:hideMark/>
          </w:tcPr>
          <w:p w14:paraId="2B867B58" w14:textId="77777777" w:rsidR="00170240" w:rsidRPr="00170240" w:rsidRDefault="00170240" w:rsidP="00905115">
            <w:pPr>
              <w:spacing w:after="0" w:line="240" w:lineRule="auto"/>
              <w:jc w:val="center"/>
              <w:rPr>
                <w:rFonts w:cs="Arial"/>
                <w:sz w:val="16"/>
                <w:szCs w:val="16"/>
              </w:rPr>
            </w:pPr>
            <w:r w:rsidRPr="00170240">
              <w:rPr>
                <w:rFonts w:cs="Arial"/>
                <w:sz w:val="16"/>
                <w:szCs w:val="16"/>
              </w:rPr>
              <w:t xml:space="preserve">1. pol. </w:t>
            </w:r>
            <w:r w:rsidRPr="00170240">
              <w:rPr>
                <w:rFonts w:cs="Arial"/>
                <w:sz w:val="16"/>
                <w:szCs w:val="16"/>
              </w:rPr>
              <w:br/>
              <w:t>2017</w:t>
            </w:r>
          </w:p>
        </w:tc>
        <w:tc>
          <w:tcPr>
            <w:tcW w:w="628" w:type="dxa"/>
            <w:tcBorders>
              <w:top w:val="nil"/>
              <w:left w:val="nil"/>
              <w:bottom w:val="single" w:sz="4" w:space="0" w:color="auto"/>
              <w:right w:val="nil"/>
            </w:tcBorders>
            <w:shd w:val="clear" w:color="000000" w:fill="F2DCDB"/>
            <w:vAlign w:val="center"/>
            <w:hideMark/>
          </w:tcPr>
          <w:p w14:paraId="6136B5A9" w14:textId="77777777" w:rsidR="00170240" w:rsidRPr="00170240" w:rsidRDefault="00170240" w:rsidP="00905115">
            <w:pPr>
              <w:spacing w:after="0" w:line="240" w:lineRule="auto"/>
              <w:jc w:val="center"/>
              <w:rPr>
                <w:rFonts w:cs="Arial"/>
                <w:sz w:val="16"/>
                <w:szCs w:val="16"/>
              </w:rPr>
            </w:pPr>
            <w:r w:rsidRPr="00170240">
              <w:rPr>
                <w:rFonts w:cs="Arial"/>
                <w:sz w:val="16"/>
                <w:szCs w:val="16"/>
              </w:rPr>
              <w:t xml:space="preserve">1. pol. </w:t>
            </w:r>
            <w:r w:rsidRPr="00170240">
              <w:rPr>
                <w:rFonts w:cs="Arial"/>
                <w:sz w:val="16"/>
                <w:szCs w:val="16"/>
              </w:rPr>
              <w:br/>
              <w:t>2018</w:t>
            </w:r>
          </w:p>
        </w:tc>
        <w:tc>
          <w:tcPr>
            <w:tcW w:w="628" w:type="dxa"/>
            <w:tcBorders>
              <w:top w:val="nil"/>
              <w:left w:val="single" w:sz="4" w:space="0" w:color="auto"/>
              <w:bottom w:val="single" w:sz="4" w:space="0" w:color="auto"/>
              <w:right w:val="nil"/>
            </w:tcBorders>
            <w:shd w:val="clear" w:color="000000" w:fill="F2DCDB"/>
            <w:vAlign w:val="center"/>
            <w:hideMark/>
          </w:tcPr>
          <w:p w14:paraId="0AE3F44E" w14:textId="77777777" w:rsidR="00170240" w:rsidRPr="00170240" w:rsidRDefault="00170240" w:rsidP="00905115">
            <w:pPr>
              <w:spacing w:after="0" w:line="240" w:lineRule="auto"/>
              <w:jc w:val="center"/>
              <w:rPr>
                <w:rFonts w:cs="Arial"/>
                <w:sz w:val="16"/>
                <w:szCs w:val="16"/>
              </w:rPr>
            </w:pPr>
            <w:r w:rsidRPr="00170240">
              <w:rPr>
                <w:rFonts w:cs="Arial"/>
                <w:sz w:val="16"/>
                <w:szCs w:val="16"/>
              </w:rPr>
              <w:t>1. pol. 2019</w:t>
            </w:r>
          </w:p>
        </w:tc>
      </w:tr>
      <w:tr w:rsidR="00170240" w:rsidRPr="00170240" w14:paraId="2C74B8BB" w14:textId="77777777" w:rsidTr="00355A67">
        <w:trPr>
          <w:gridAfter w:val="1"/>
          <w:wAfter w:w="6" w:type="dxa"/>
          <w:trHeight w:val="290"/>
        </w:trPr>
        <w:tc>
          <w:tcPr>
            <w:tcW w:w="3289" w:type="dxa"/>
            <w:tcBorders>
              <w:top w:val="nil"/>
              <w:left w:val="nil"/>
              <w:bottom w:val="nil"/>
              <w:right w:val="nil"/>
            </w:tcBorders>
            <w:shd w:val="clear" w:color="auto" w:fill="auto"/>
            <w:vAlign w:val="center"/>
            <w:hideMark/>
          </w:tcPr>
          <w:p w14:paraId="78B86720" w14:textId="47DA2782" w:rsidR="00170240" w:rsidRPr="00170240" w:rsidRDefault="00740581" w:rsidP="00740581">
            <w:pPr>
              <w:spacing w:after="0" w:line="240" w:lineRule="auto"/>
              <w:rPr>
                <w:rFonts w:ascii="Arial CE" w:hAnsi="Arial CE" w:cs="Arial CE"/>
                <w:b/>
                <w:bCs/>
                <w:sz w:val="16"/>
                <w:szCs w:val="16"/>
              </w:rPr>
            </w:pPr>
            <w:r>
              <w:rPr>
                <w:rFonts w:ascii="Arial CE" w:hAnsi="Arial CE" w:cs="Arial CE"/>
                <w:b/>
                <w:bCs/>
                <w:sz w:val="16"/>
                <w:szCs w:val="16"/>
              </w:rPr>
              <w:t>Celkem</w:t>
            </w:r>
          </w:p>
        </w:tc>
        <w:tc>
          <w:tcPr>
            <w:tcW w:w="628" w:type="dxa"/>
            <w:tcBorders>
              <w:top w:val="nil"/>
              <w:left w:val="nil"/>
              <w:bottom w:val="nil"/>
              <w:right w:val="nil"/>
            </w:tcBorders>
            <w:shd w:val="clear" w:color="auto" w:fill="auto"/>
            <w:noWrap/>
            <w:vAlign w:val="center"/>
            <w:hideMark/>
          </w:tcPr>
          <w:p w14:paraId="55592332" w14:textId="77777777" w:rsidR="00170240" w:rsidRPr="00170240" w:rsidRDefault="00170240" w:rsidP="00170240">
            <w:pPr>
              <w:spacing w:after="0" w:line="240" w:lineRule="auto"/>
              <w:jc w:val="right"/>
              <w:rPr>
                <w:rFonts w:ascii="Arial CE" w:hAnsi="Arial CE" w:cs="Arial CE"/>
                <w:b/>
                <w:bCs/>
                <w:sz w:val="16"/>
                <w:szCs w:val="16"/>
              </w:rPr>
            </w:pPr>
            <w:r w:rsidRPr="00170240">
              <w:rPr>
                <w:rFonts w:ascii="Arial CE" w:hAnsi="Arial CE" w:cs="Arial CE"/>
                <w:b/>
                <w:bCs/>
                <w:sz w:val="16"/>
                <w:szCs w:val="16"/>
              </w:rPr>
              <w:t>16,60</w:t>
            </w:r>
          </w:p>
        </w:tc>
        <w:tc>
          <w:tcPr>
            <w:tcW w:w="628" w:type="dxa"/>
            <w:tcBorders>
              <w:top w:val="nil"/>
              <w:left w:val="nil"/>
              <w:bottom w:val="nil"/>
              <w:right w:val="nil"/>
            </w:tcBorders>
            <w:shd w:val="clear" w:color="auto" w:fill="auto"/>
            <w:noWrap/>
            <w:vAlign w:val="center"/>
            <w:hideMark/>
          </w:tcPr>
          <w:p w14:paraId="57A816A5" w14:textId="77777777" w:rsidR="00170240" w:rsidRPr="00170240" w:rsidRDefault="00170240" w:rsidP="00170240">
            <w:pPr>
              <w:spacing w:after="0" w:line="240" w:lineRule="auto"/>
              <w:jc w:val="right"/>
              <w:rPr>
                <w:rFonts w:ascii="Arial CE" w:hAnsi="Arial CE" w:cs="Arial CE"/>
                <w:b/>
                <w:bCs/>
                <w:sz w:val="16"/>
                <w:szCs w:val="16"/>
              </w:rPr>
            </w:pPr>
            <w:r w:rsidRPr="00170240">
              <w:rPr>
                <w:rFonts w:ascii="Arial CE" w:hAnsi="Arial CE" w:cs="Arial CE"/>
                <w:b/>
                <w:bCs/>
                <w:sz w:val="16"/>
                <w:szCs w:val="16"/>
              </w:rPr>
              <w:t>16,99</w:t>
            </w:r>
          </w:p>
        </w:tc>
        <w:tc>
          <w:tcPr>
            <w:tcW w:w="628" w:type="dxa"/>
            <w:tcBorders>
              <w:top w:val="nil"/>
              <w:left w:val="nil"/>
              <w:bottom w:val="nil"/>
              <w:right w:val="nil"/>
            </w:tcBorders>
            <w:shd w:val="clear" w:color="auto" w:fill="auto"/>
            <w:noWrap/>
            <w:vAlign w:val="center"/>
            <w:hideMark/>
          </w:tcPr>
          <w:p w14:paraId="66799DD8" w14:textId="77777777" w:rsidR="00170240" w:rsidRPr="00170240" w:rsidRDefault="00170240" w:rsidP="00170240">
            <w:pPr>
              <w:spacing w:after="0" w:line="240" w:lineRule="auto"/>
              <w:jc w:val="right"/>
              <w:rPr>
                <w:rFonts w:ascii="Arial CE" w:hAnsi="Arial CE" w:cs="Arial CE"/>
                <w:b/>
                <w:bCs/>
                <w:sz w:val="16"/>
                <w:szCs w:val="16"/>
              </w:rPr>
            </w:pPr>
            <w:r w:rsidRPr="00170240">
              <w:rPr>
                <w:rFonts w:ascii="Arial CE" w:hAnsi="Arial CE" w:cs="Arial CE"/>
                <w:b/>
                <w:bCs/>
                <w:sz w:val="16"/>
                <w:szCs w:val="16"/>
              </w:rPr>
              <w:t>13,62</w:t>
            </w:r>
          </w:p>
        </w:tc>
        <w:tc>
          <w:tcPr>
            <w:tcW w:w="628" w:type="dxa"/>
            <w:tcBorders>
              <w:top w:val="nil"/>
              <w:left w:val="nil"/>
              <w:bottom w:val="nil"/>
              <w:right w:val="nil"/>
            </w:tcBorders>
            <w:shd w:val="clear" w:color="auto" w:fill="auto"/>
            <w:noWrap/>
            <w:vAlign w:val="center"/>
            <w:hideMark/>
          </w:tcPr>
          <w:p w14:paraId="62A94281" w14:textId="77777777" w:rsidR="00170240" w:rsidRPr="00170240" w:rsidRDefault="00170240" w:rsidP="00170240">
            <w:pPr>
              <w:spacing w:after="0" w:line="240" w:lineRule="auto"/>
              <w:jc w:val="right"/>
              <w:rPr>
                <w:rFonts w:ascii="Arial CE" w:hAnsi="Arial CE" w:cs="Arial CE"/>
                <w:b/>
                <w:bCs/>
                <w:sz w:val="16"/>
                <w:szCs w:val="16"/>
              </w:rPr>
            </w:pPr>
            <w:r w:rsidRPr="00170240">
              <w:rPr>
                <w:rFonts w:ascii="Arial CE" w:hAnsi="Arial CE" w:cs="Arial CE"/>
                <w:b/>
                <w:bCs/>
                <w:sz w:val="16"/>
                <w:szCs w:val="16"/>
              </w:rPr>
              <w:t>17,09</w:t>
            </w:r>
          </w:p>
        </w:tc>
        <w:tc>
          <w:tcPr>
            <w:tcW w:w="628" w:type="dxa"/>
            <w:tcBorders>
              <w:top w:val="nil"/>
              <w:left w:val="nil"/>
              <w:bottom w:val="nil"/>
              <w:right w:val="nil"/>
            </w:tcBorders>
            <w:shd w:val="clear" w:color="auto" w:fill="auto"/>
            <w:noWrap/>
            <w:vAlign w:val="center"/>
            <w:hideMark/>
          </w:tcPr>
          <w:p w14:paraId="1269434E" w14:textId="77777777" w:rsidR="00170240" w:rsidRPr="00170240" w:rsidRDefault="00170240" w:rsidP="00170240">
            <w:pPr>
              <w:spacing w:after="0" w:line="240" w:lineRule="auto"/>
              <w:jc w:val="right"/>
              <w:rPr>
                <w:rFonts w:ascii="Arial CE" w:hAnsi="Arial CE" w:cs="Arial CE"/>
                <w:b/>
                <w:bCs/>
                <w:sz w:val="16"/>
                <w:szCs w:val="16"/>
              </w:rPr>
            </w:pPr>
            <w:r w:rsidRPr="00170240">
              <w:rPr>
                <w:rFonts w:ascii="Arial CE" w:hAnsi="Arial CE" w:cs="Arial CE"/>
                <w:b/>
                <w:bCs/>
                <w:sz w:val="16"/>
                <w:szCs w:val="16"/>
              </w:rPr>
              <w:t>15,05</w:t>
            </w:r>
          </w:p>
        </w:tc>
        <w:tc>
          <w:tcPr>
            <w:tcW w:w="628" w:type="dxa"/>
            <w:tcBorders>
              <w:top w:val="nil"/>
              <w:left w:val="nil"/>
              <w:bottom w:val="nil"/>
              <w:right w:val="nil"/>
            </w:tcBorders>
            <w:shd w:val="clear" w:color="auto" w:fill="auto"/>
            <w:noWrap/>
            <w:vAlign w:val="center"/>
            <w:hideMark/>
          </w:tcPr>
          <w:p w14:paraId="6B47C526" w14:textId="77777777" w:rsidR="00170240" w:rsidRPr="00170240" w:rsidRDefault="00170240" w:rsidP="00170240">
            <w:pPr>
              <w:spacing w:after="0" w:line="240" w:lineRule="auto"/>
              <w:jc w:val="right"/>
              <w:rPr>
                <w:rFonts w:ascii="Arial CE" w:hAnsi="Arial CE" w:cs="Arial CE"/>
                <w:b/>
                <w:bCs/>
                <w:sz w:val="16"/>
                <w:szCs w:val="16"/>
              </w:rPr>
            </w:pPr>
            <w:r w:rsidRPr="00170240">
              <w:rPr>
                <w:rFonts w:ascii="Arial CE" w:hAnsi="Arial CE" w:cs="Arial CE"/>
                <w:b/>
                <w:bCs/>
                <w:sz w:val="16"/>
                <w:szCs w:val="16"/>
              </w:rPr>
              <w:t>19,54</w:t>
            </w:r>
          </w:p>
        </w:tc>
        <w:tc>
          <w:tcPr>
            <w:tcW w:w="628" w:type="dxa"/>
            <w:tcBorders>
              <w:top w:val="nil"/>
              <w:left w:val="nil"/>
              <w:bottom w:val="nil"/>
              <w:right w:val="nil"/>
            </w:tcBorders>
            <w:shd w:val="clear" w:color="auto" w:fill="auto"/>
            <w:noWrap/>
            <w:vAlign w:val="center"/>
            <w:hideMark/>
          </w:tcPr>
          <w:p w14:paraId="3B633D63" w14:textId="77777777" w:rsidR="00170240" w:rsidRPr="00170240" w:rsidRDefault="00170240" w:rsidP="00170240">
            <w:pPr>
              <w:spacing w:after="0" w:line="240" w:lineRule="auto"/>
              <w:jc w:val="right"/>
              <w:rPr>
                <w:rFonts w:ascii="Arial CE" w:hAnsi="Arial CE" w:cs="Arial CE"/>
                <w:b/>
                <w:bCs/>
                <w:sz w:val="16"/>
                <w:szCs w:val="16"/>
              </w:rPr>
            </w:pPr>
            <w:r w:rsidRPr="00170240">
              <w:rPr>
                <w:rFonts w:ascii="Arial CE" w:hAnsi="Arial CE" w:cs="Arial CE"/>
                <w:b/>
                <w:bCs/>
                <w:sz w:val="16"/>
                <w:szCs w:val="16"/>
              </w:rPr>
              <w:t>19,31</w:t>
            </w:r>
          </w:p>
        </w:tc>
        <w:tc>
          <w:tcPr>
            <w:tcW w:w="628" w:type="dxa"/>
            <w:tcBorders>
              <w:top w:val="nil"/>
              <w:left w:val="nil"/>
              <w:bottom w:val="nil"/>
              <w:right w:val="nil"/>
            </w:tcBorders>
            <w:shd w:val="clear" w:color="auto" w:fill="auto"/>
            <w:noWrap/>
            <w:vAlign w:val="center"/>
            <w:hideMark/>
          </w:tcPr>
          <w:p w14:paraId="6936DF18" w14:textId="77777777" w:rsidR="00170240" w:rsidRPr="00170240" w:rsidRDefault="00170240" w:rsidP="00170240">
            <w:pPr>
              <w:spacing w:after="0" w:line="240" w:lineRule="auto"/>
              <w:jc w:val="right"/>
              <w:rPr>
                <w:rFonts w:ascii="Arial CE" w:hAnsi="Arial CE" w:cs="Arial CE"/>
                <w:b/>
                <w:bCs/>
                <w:sz w:val="16"/>
                <w:szCs w:val="16"/>
              </w:rPr>
            </w:pPr>
            <w:r w:rsidRPr="00170240">
              <w:rPr>
                <w:rFonts w:ascii="Arial CE" w:hAnsi="Arial CE" w:cs="Arial CE"/>
                <w:b/>
                <w:bCs/>
                <w:sz w:val="16"/>
                <w:szCs w:val="16"/>
              </w:rPr>
              <w:t>20,40</w:t>
            </w:r>
          </w:p>
        </w:tc>
        <w:tc>
          <w:tcPr>
            <w:tcW w:w="628" w:type="dxa"/>
            <w:tcBorders>
              <w:top w:val="nil"/>
              <w:left w:val="nil"/>
              <w:bottom w:val="nil"/>
              <w:right w:val="nil"/>
            </w:tcBorders>
            <w:shd w:val="clear" w:color="auto" w:fill="auto"/>
            <w:noWrap/>
            <w:vAlign w:val="center"/>
            <w:hideMark/>
          </w:tcPr>
          <w:p w14:paraId="79199DA4" w14:textId="77777777" w:rsidR="00170240" w:rsidRPr="00170240" w:rsidRDefault="00170240" w:rsidP="00170240">
            <w:pPr>
              <w:spacing w:after="0" w:line="240" w:lineRule="auto"/>
              <w:jc w:val="right"/>
              <w:rPr>
                <w:rFonts w:ascii="Arial CE" w:hAnsi="Arial CE" w:cs="Arial CE"/>
                <w:b/>
                <w:bCs/>
                <w:sz w:val="16"/>
                <w:szCs w:val="16"/>
              </w:rPr>
            </w:pPr>
            <w:r w:rsidRPr="00170240">
              <w:rPr>
                <w:rFonts w:ascii="Arial CE" w:hAnsi="Arial CE" w:cs="Arial CE"/>
                <w:b/>
                <w:bCs/>
                <w:sz w:val="16"/>
                <w:szCs w:val="16"/>
              </w:rPr>
              <w:t>22,08</w:t>
            </w:r>
          </w:p>
        </w:tc>
        <w:tc>
          <w:tcPr>
            <w:tcW w:w="628" w:type="dxa"/>
            <w:tcBorders>
              <w:top w:val="nil"/>
              <w:left w:val="nil"/>
              <w:bottom w:val="nil"/>
              <w:right w:val="nil"/>
            </w:tcBorders>
            <w:shd w:val="clear" w:color="auto" w:fill="auto"/>
            <w:noWrap/>
            <w:vAlign w:val="center"/>
            <w:hideMark/>
          </w:tcPr>
          <w:p w14:paraId="66C19B6E" w14:textId="77777777" w:rsidR="00170240" w:rsidRPr="00170240" w:rsidRDefault="00170240" w:rsidP="00170240">
            <w:pPr>
              <w:spacing w:after="0" w:line="240" w:lineRule="auto"/>
              <w:jc w:val="right"/>
              <w:rPr>
                <w:rFonts w:cs="Arial"/>
                <w:b/>
                <w:bCs/>
                <w:color w:val="000000"/>
                <w:sz w:val="16"/>
                <w:szCs w:val="16"/>
              </w:rPr>
            </w:pPr>
            <w:r w:rsidRPr="00170240">
              <w:rPr>
                <w:rFonts w:cs="Arial"/>
                <w:b/>
                <w:bCs/>
                <w:color w:val="000000"/>
                <w:sz w:val="16"/>
                <w:szCs w:val="16"/>
              </w:rPr>
              <w:t>20,58</w:t>
            </w:r>
          </w:p>
        </w:tc>
      </w:tr>
      <w:tr w:rsidR="00170240" w:rsidRPr="00170240" w14:paraId="50E90DC4" w14:textId="77777777" w:rsidTr="00355A67">
        <w:trPr>
          <w:gridAfter w:val="1"/>
          <w:wAfter w:w="6" w:type="dxa"/>
          <w:trHeight w:val="290"/>
        </w:trPr>
        <w:tc>
          <w:tcPr>
            <w:tcW w:w="3289" w:type="dxa"/>
            <w:tcBorders>
              <w:top w:val="nil"/>
              <w:left w:val="nil"/>
              <w:bottom w:val="nil"/>
              <w:right w:val="nil"/>
            </w:tcBorders>
            <w:shd w:val="clear" w:color="auto" w:fill="auto"/>
            <w:vAlign w:val="center"/>
            <w:hideMark/>
          </w:tcPr>
          <w:p w14:paraId="14DFBBBF" w14:textId="77777777" w:rsidR="00170240" w:rsidRPr="00170240" w:rsidRDefault="00170240" w:rsidP="00170240">
            <w:pPr>
              <w:spacing w:after="0" w:line="240" w:lineRule="auto"/>
              <w:ind w:firstLineChars="100" w:firstLine="160"/>
              <w:rPr>
                <w:rFonts w:ascii="Arial CE" w:hAnsi="Arial CE" w:cs="Arial CE"/>
                <w:sz w:val="16"/>
                <w:szCs w:val="16"/>
              </w:rPr>
            </w:pPr>
            <w:r w:rsidRPr="00170240">
              <w:rPr>
                <w:rFonts w:ascii="Arial CE" w:hAnsi="Arial CE" w:cs="Arial CE"/>
                <w:sz w:val="16"/>
                <w:szCs w:val="16"/>
              </w:rPr>
              <w:t>A – Zemědělství, lesnictví a rybářství</w:t>
            </w:r>
          </w:p>
        </w:tc>
        <w:tc>
          <w:tcPr>
            <w:tcW w:w="628" w:type="dxa"/>
            <w:tcBorders>
              <w:top w:val="nil"/>
              <w:left w:val="nil"/>
              <w:bottom w:val="nil"/>
              <w:right w:val="nil"/>
            </w:tcBorders>
            <w:shd w:val="clear" w:color="auto" w:fill="auto"/>
            <w:noWrap/>
            <w:vAlign w:val="center"/>
            <w:hideMark/>
          </w:tcPr>
          <w:p w14:paraId="663251BF"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16,08</w:t>
            </w:r>
          </w:p>
        </w:tc>
        <w:tc>
          <w:tcPr>
            <w:tcW w:w="628" w:type="dxa"/>
            <w:tcBorders>
              <w:top w:val="nil"/>
              <w:left w:val="nil"/>
              <w:bottom w:val="nil"/>
              <w:right w:val="nil"/>
            </w:tcBorders>
            <w:shd w:val="clear" w:color="auto" w:fill="auto"/>
            <w:noWrap/>
            <w:vAlign w:val="center"/>
            <w:hideMark/>
          </w:tcPr>
          <w:p w14:paraId="3376F18A"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15,23</w:t>
            </w:r>
          </w:p>
        </w:tc>
        <w:tc>
          <w:tcPr>
            <w:tcW w:w="628" w:type="dxa"/>
            <w:tcBorders>
              <w:top w:val="nil"/>
              <w:left w:val="nil"/>
              <w:bottom w:val="nil"/>
              <w:right w:val="nil"/>
            </w:tcBorders>
            <w:shd w:val="clear" w:color="auto" w:fill="auto"/>
            <w:noWrap/>
            <w:vAlign w:val="center"/>
            <w:hideMark/>
          </w:tcPr>
          <w:p w14:paraId="751D1D36"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12,97</w:t>
            </w:r>
          </w:p>
        </w:tc>
        <w:tc>
          <w:tcPr>
            <w:tcW w:w="628" w:type="dxa"/>
            <w:tcBorders>
              <w:top w:val="nil"/>
              <w:left w:val="nil"/>
              <w:bottom w:val="nil"/>
              <w:right w:val="nil"/>
            </w:tcBorders>
            <w:shd w:val="clear" w:color="auto" w:fill="auto"/>
            <w:noWrap/>
            <w:vAlign w:val="center"/>
            <w:hideMark/>
          </w:tcPr>
          <w:p w14:paraId="78F697E6"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15,70</w:t>
            </w:r>
          </w:p>
        </w:tc>
        <w:tc>
          <w:tcPr>
            <w:tcW w:w="628" w:type="dxa"/>
            <w:tcBorders>
              <w:top w:val="nil"/>
              <w:left w:val="nil"/>
              <w:bottom w:val="nil"/>
              <w:right w:val="nil"/>
            </w:tcBorders>
            <w:shd w:val="clear" w:color="auto" w:fill="auto"/>
            <w:noWrap/>
            <w:vAlign w:val="center"/>
            <w:hideMark/>
          </w:tcPr>
          <w:p w14:paraId="272E595A"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13,86</w:t>
            </w:r>
          </w:p>
        </w:tc>
        <w:tc>
          <w:tcPr>
            <w:tcW w:w="628" w:type="dxa"/>
            <w:tcBorders>
              <w:top w:val="nil"/>
              <w:left w:val="nil"/>
              <w:bottom w:val="nil"/>
              <w:right w:val="nil"/>
            </w:tcBorders>
            <w:shd w:val="clear" w:color="auto" w:fill="auto"/>
            <w:noWrap/>
            <w:vAlign w:val="center"/>
            <w:hideMark/>
          </w:tcPr>
          <w:p w14:paraId="3826A2D8"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17,53</w:t>
            </w:r>
          </w:p>
        </w:tc>
        <w:tc>
          <w:tcPr>
            <w:tcW w:w="628" w:type="dxa"/>
            <w:tcBorders>
              <w:top w:val="nil"/>
              <w:left w:val="nil"/>
              <w:bottom w:val="nil"/>
              <w:right w:val="nil"/>
            </w:tcBorders>
            <w:shd w:val="clear" w:color="auto" w:fill="auto"/>
            <w:noWrap/>
            <w:vAlign w:val="center"/>
            <w:hideMark/>
          </w:tcPr>
          <w:p w14:paraId="3D420772"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16,89</w:t>
            </w:r>
          </w:p>
        </w:tc>
        <w:tc>
          <w:tcPr>
            <w:tcW w:w="628" w:type="dxa"/>
            <w:tcBorders>
              <w:top w:val="nil"/>
              <w:left w:val="nil"/>
              <w:bottom w:val="nil"/>
              <w:right w:val="nil"/>
            </w:tcBorders>
            <w:shd w:val="clear" w:color="auto" w:fill="auto"/>
            <w:noWrap/>
            <w:vAlign w:val="center"/>
            <w:hideMark/>
          </w:tcPr>
          <w:p w14:paraId="29246520"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18,31</w:t>
            </w:r>
          </w:p>
        </w:tc>
        <w:tc>
          <w:tcPr>
            <w:tcW w:w="628" w:type="dxa"/>
            <w:tcBorders>
              <w:top w:val="nil"/>
              <w:left w:val="nil"/>
              <w:bottom w:val="nil"/>
              <w:right w:val="nil"/>
            </w:tcBorders>
            <w:shd w:val="clear" w:color="auto" w:fill="auto"/>
            <w:noWrap/>
            <w:vAlign w:val="center"/>
            <w:hideMark/>
          </w:tcPr>
          <w:p w14:paraId="744845C1"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19,65</w:t>
            </w:r>
          </w:p>
        </w:tc>
        <w:tc>
          <w:tcPr>
            <w:tcW w:w="628" w:type="dxa"/>
            <w:tcBorders>
              <w:top w:val="nil"/>
              <w:left w:val="nil"/>
              <w:bottom w:val="nil"/>
              <w:right w:val="nil"/>
            </w:tcBorders>
            <w:shd w:val="clear" w:color="auto" w:fill="auto"/>
            <w:noWrap/>
            <w:vAlign w:val="center"/>
            <w:hideMark/>
          </w:tcPr>
          <w:p w14:paraId="13A8E1BF" w14:textId="77777777" w:rsidR="00170240" w:rsidRPr="00170240" w:rsidRDefault="00170240" w:rsidP="00170240">
            <w:pPr>
              <w:spacing w:after="0" w:line="240" w:lineRule="auto"/>
              <w:jc w:val="right"/>
              <w:rPr>
                <w:rFonts w:cs="Arial"/>
                <w:color w:val="000000"/>
                <w:sz w:val="16"/>
                <w:szCs w:val="16"/>
              </w:rPr>
            </w:pPr>
            <w:r w:rsidRPr="00170240">
              <w:rPr>
                <w:rFonts w:cs="Arial"/>
                <w:color w:val="000000"/>
                <w:sz w:val="16"/>
                <w:szCs w:val="16"/>
              </w:rPr>
              <w:t>18,11</w:t>
            </w:r>
          </w:p>
        </w:tc>
      </w:tr>
      <w:tr w:rsidR="00170240" w:rsidRPr="00170240" w14:paraId="6195F644" w14:textId="77777777" w:rsidTr="00355A67">
        <w:trPr>
          <w:gridAfter w:val="1"/>
          <w:wAfter w:w="6" w:type="dxa"/>
          <w:trHeight w:val="290"/>
        </w:trPr>
        <w:tc>
          <w:tcPr>
            <w:tcW w:w="3289" w:type="dxa"/>
            <w:tcBorders>
              <w:top w:val="nil"/>
              <w:left w:val="nil"/>
              <w:bottom w:val="nil"/>
              <w:right w:val="nil"/>
            </w:tcBorders>
            <w:shd w:val="clear" w:color="auto" w:fill="auto"/>
            <w:vAlign w:val="center"/>
            <w:hideMark/>
          </w:tcPr>
          <w:p w14:paraId="17C1E695" w14:textId="77777777" w:rsidR="00170240" w:rsidRPr="00170240" w:rsidRDefault="00170240" w:rsidP="00170240">
            <w:pPr>
              <w:spacing w:after="0" w:line="240" w:lineRule="auto"/>
              <w:ind w:firstLineChars="100" w:firstLine="160"/>
              <w:rPr>
                <w:rFonts w:ascii="Arial CE" w:hAnsi="Arial CE" w:cs="Arial CE"/>
                <w:sz w:val="16"/>
                <w:szCs w:val="16"/>
              </w:rPr>
            </w:pPr>
            <w:r w:rsidRPr="00170240">
              <w:rPr>
                <w:rFonts w:ascii="Arial CE" w:hAnsi="Arial CE" w:cs="Arial CE"/>
                <w:sz w:val="16"/>
                <w:szCs w:val="16"/>
              </w:rPr>
              <w:t>B – Těžba a dobývání</w:t>
            </w:r>
          </w:p>
        </w:tc>
        <w:tc>
          <w:tcPr>
            <w:tcW w:w="628" w:type="dxa"/>
            <w:tcBorders>
              <w:top w:val="nil"/>
              <w:left w:val="nil"/>
              <w:bottom w:val="nil"/>
              <w:right w:val="nil"/>
            </w:tcBorders>
            <w:shd w:val="clear" w:color="auto" w:fill="auto"/>
            <w:noWrap/>
            <w:vAlign w:val="center"/>
            <w:hideMark/>
          </w:tcPr>
          <w:p w14:paraId="04B79575"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20,05</w:t>
            </w:r>
          </w:p>
        </w:tc>
        <w:tc>
          <w:tcPr>
            <w:tcW w:w="628" w:type="dxa"/>
            <w:tcBorders>
              <w:top w:val="nil"/>
              <w:left w:val="nil"/>
              <w:bottom w:val="nil"/>
              <w:right w:val="nil"/>
            </w:tcBorders>
            <w:shd w:val="clear" w:color="auto" w:fill="auto"/>
            <w:noWrap/>
            <w:vAlign w:val="center"/>
            <w:hideMark/>
          </w:tcPr>
          <w:p w14:paraId="11ED6D3E"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19,06</w:t>
            </w:r>
          </w:p>
        </w:tc>
        <w:tc>
          <w:tcPr>
            <w:tcW w:w="628" w:type="dxa"/>
            <w:tcBorders>
              <w:top w:val="nil"/>
              <w:left w:val="nil"/>
              <w:bottom w:val="nil"/>
              <w:right w:val="nil"/>
            </w:tcBorders>
            <w:shd w:val="clear" w:color="auto" w:fill="auto"/>
            <w:noWrap/>
            <w:vAlign w:val="center"/>
            <w:hideMark/>
          </w:tcPr>
          <w:p w14:paraId="5C849ECA"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18,12</w:t>
            </w:r>
          </w:p>
        </w:tc>
        <w:tc>
          <w:tcPr>
            <w:tcW w:w="628" w:type="dxa"/>
            <w:tcBorders>
              <w:top w:val="nil"/>
              <w:left w:val="nil"/>
              <w:bottom w:val="nil"/>
              <w:right w:val="nil"/>
            </w:tcBorders>
            <w:shd w:val="clear" w:color="auto" w:fill="auto"/>
            <w:noWrap/>
            <w:vAlign w:val="center"/>
            <w:hideMark/>
          </w:tcPr>
          <w:p w14:paraId="66CC9F38"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21,27</w:t>
            </w:r>
          </w:p>
        </w:tc>
        <w:tc>
          <w:tcPr>
            <w:tcW w:w="628" w:type="dxa"/>
            <w:tcBorders>
              <w:top w:val="nil"/>
              <w:left w:val="nil"/>
              <w:bottom w:val="nil"/>
              <w:right w:val="nil"/>
            </w:tcBorders>
            <w:shd w:val="clear" w:color="auto" w:fill="auto"/>
            <w:noWrap/>
            <w:vAlign w:val="center"/>
            <w:hideMark/>
          </w:tcPr>
          <w:p w14:paraId="53052081"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17,49</w:t>
            </w:r>
          </w:p>
        </w:tc>
        <w:tc>
          <w:tcPr>
            <w:tcW w:w="628" w:type="dxa"/>
            <w:tcBorders>
              <w:top w:val="nil"/>
              <w:left w:val="nil"/>
              <w:bottom w:val="nil"/>
              <w:right w:val="nil"/>
            </w:tcBorders>
            <w:shd w:val="clear" w:color="auto" w:fill="auto"/>
            <w:noWrap/>
            <w:vAlign w:val="center"/>
            <w:hideMark/>
          </w:tcPr>
          <w:p w14:paraId="06BCC3B1"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20,96</w:t>
            </w:r>
          </w:p>
        </w:tc>
        <w:tc>
          <w:tcPr>
            <w:tcW w:w="628" w:type="dxa"/>
            <w:tcBorders>
              <w:top w:val="nil"/>
              <w:left w:val="nil"/>
              <w:bottom w:val="nil"/>
              <w:right w:val="nil"/>
            </w:tcBorders>
            <w:shd w:val="clear" w:color="auto" w:fill="auto"/>
            <w:noWrap/>
            <w:vAlign w:val="center"/>
            <w:hideMark/>
          </w:tcPr>
          <w:p w14:paraId="12AC1414"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20,44</w:t>
            </w:r>
          </w:p>
        </w:tc>
        <w:tc>
          <w:tcPr>
            <w:tcW w:w="628" w:type="dxa"/>
            <w:tcBorders>
              <w:top w:val="nil"/>
              <w:left w:val="nil"/>
              <w:bottom w:val="nil"/>
              <w:right w:val="nil"/>
            </w:tcBorders>
            <w:shd w:val="clear" w:color="auto" w:fill="auto"/>
            <w:noWrap/>
            <w:vAlign w:val="center"/>
            <w:hideMark/>
          </w:tcPr>
          <w:p w14:paraId="6E8AEE46"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21,59</w:t>
            </w:r>
          </w:p>
        </w:tc>
        <w:tc>
          <w:tcPr>
            <w:tcW w:w="628" w:type="dxa"/>
            <w:tcBorders>
              <w:top w:val="nil"/>
              <w:left w:val="nil"/>
              <w:bottom w:val="nil"/>
              <w:right w:val="nil"/>
            </w:tcBorders>
            <w:shd w:val="clear" w:color="auto" w:fill="auto"/>
            <w:noWrap/>
            <w:vAlign w:val="center"/>
            <w:hideMark/>
          </w:tcPr>
          <w:p w14:paraId="62E3D74F"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23,39</w:t>
            </w:r>
          </w:p>
        </w:tc>
        <w:tc>
          <w:tcPr>
            <w:tcW w:w="628" w:type="dxa"/>
            <w:tcBorders>
              <w:top w:val="nil"/>
              <w:left w:val="nil"/>
              <w:bottom w:val="nil"/>
              <w:right w:val="nil"/>
            </w:tcBorders>
            <w:shd w:val="clear" w:color="auto" w:fill="auto"/>
            <w:noWrap/>
            <w:vAlign w:val="center"/>
            <w:hideMark/>
          </w:tcPr>
          <w:p w14:paraId="59C7D07B" w14:textId="77777777" w:rsidR="00170240" w:rsidRPr="00170240" w:rsidRDefault="00170240" w:rsidP="00170240">
            <w:pPr>
              <w:spacing w:after="0" w:line="240" w:lineRule="auto"/>
              <w:jc w:val="right"/>
              <w:rPr>
                <w:rFonts w:cs="Arial"/>
                <w:color w:val="000000"/>
                <w:sz w:val="16"/>
                <w:szCs w:val="16"/>
              </w:rPr>
            </w:pPr>
            <w:r w:rsidRPr="00170240">
              <w:rPr>
                <w:rFonts w:cs="Arial"/>
                <w:color w:val="000000"/>
                <w:sz w:val="16"/>
                <w:szCs w:val="16"/>
              </w:rPr>
              <w:t>22,00</w:t>
            </w:r>
          </w:p>
        </w:tc>
      </w:tr>
      <w:tr w:rsidR="00170240" w:rsidRPr="00170240" w14:paraId="68996E20" w14:textId="77777777" w:rsidTr="00355A67">
        <w:trPr>
          <w:gridAfter w:val="1"/>
          <w:wAfter w:w="6" w:type="dxa"/>
          <w:trHeight w:val="290"/>
        </w:trPr>
        <w:tc>
          <w:tcPr>
            <w:tcW w:w="3289" w:type="dxa"/>
            <w:tcBorders>
              <w:top w:val="nil"/>
              <w:left w:val="nil"/>
              <w:bottom w:val="nil"/>
              <w:right w:val="nil"/>
            </w:tcBorders>
            <w:shd w:val="clear" w:color="auto" w:fill="auto"/>
            <w:vAlign w:val="center"/>
            <w:hideMark/>
          </w:tcPr>
          <w:p w14:paraId="51158B02" w14:textId="77777777" w:rsidR="00170240" w:rsidRPr="00170240" w:rsidRDefault="00170240" w:rsidP="00170240">
            <w:pPr>
              <w:spacing w:after="0" w:line="240" w:lineRule="auto"/>
              <w:ind w:firstLineChars="100" w:firstLine="160"/>
              <w:rPr>
                <w:rFonts w:ascii="Arial CE" w:hAnsi="Arial CE" w:cs="Arial CE"/>
                <w:sz w:val="16"/>
                <w:szCs w:val="16"/>
              </w:rPr>
            </w:pPr>
            <w:r w:rsidRPr="00170240">
              <w:rPr>
                <w:rFonts w:ascii="Arial CE" w:hAnsi="Arial CE" w:cs="Arial CE"/>
                <w:sz w:val="16"/>
                <w:szCs w:val="16"/>
              </w:rPr>
              <w:t>C – Zpracovatelský průmysl</w:t>
            </w:r>
          </w:p>
        </w:tc>
        <w:tc>
          <w:tcPr>
            <w:tcW w:w="628" w:type="dxa"/>
            <w:tcBorders>
              <w:top w:val="nil"/>
              <w:left w:val="nil"/>
              <w:bottom w:val="nil"/>
              <w:right w:val="nil"/>
            </w:tcBorders>
            <w:shd w:val="clear" w:color="auto" w:fill="auto"/>
            <w:noWrap/>
            <w:vAlign w:val="center"/>
            <w:hideMark/>
          </w:tcPr>
          <w:p w14:paraId="4282B2AE"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19,66</w:t>
            </w:r>
          </w:p>
        </w:tc>
        <w:tc>
          <w:tcPr>
            <w:tcW w:w="628" w:type="dxa"/>
            <w:tcBorders>
              <w:top w:val="nil"/>
              <w:left w:val="nil"/>
              <w:bottom w:val="nil"/>
              <w:right w:val="nil"/>
            </w:tcBorders>
            <w:shd w:val="clear" w:color="auto" w:fill="auto"/>
            <w:noWrap/>
            <w:vAlign w:val="center"/>
            <w:hideMark/>
          </w:tcPr>
          <w:p w14:paraId="2B0D86B8"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20,92</w:t>
            </w:r>
          </w:p>
        </w:tc>
        <w:tc>
          <w:tcPr>
            <w:tcW w:w="628" w:type="dxa"/>
            <w:tcBorders>
              <w:top w:val="nil"/>
              <w:left w:val="nil"/>
              <w:bottom w:val="nil"/>
              <w:right w:val="nil"/>
            </w:tcBorders>
            <w:shd w:val="clear" w:color="auto" w:fill="auto"/>
            <w:noWrap/>
            <w:vAlign w:val="center"/>
            <w:hideMark/>
          </w:tcPr>
          <w:p w14:paraId="40F5FB96"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17,58</w:t>
            </w:r>
          </w:p>
        </w:tc>
        <w:tc>
          <w:tcPr>
            <w:tcW w:w="628" w:type="dxa"/>
            <w:tcBorders>
              <w:top w:val="nil"/>
              <w:left w:val="nil"/>
              <w:bottom w:val="nil"/>
              <w:right w:val="nil"/>
            </w:tcBorders>
            <w:shd w:val="clear" w:color="auto" w:fill="auto"/>
            <w:noWrap/>
            <w:vAlign w:val="center"/>
            <w:hideMark/>
          </w:tcPr>
          <w:p w14:paraId="37C192EB"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21,15</w:t>
            </w:r>
          </w:p>
        </w:tc>
        <w:tc>
          <w:tcPr>
            <w:tcW w:w="628" w:type="dxa"/>
            <w:tcBorders>
              <w:top w:val="nil"/>
              <w:left w:val="nil"/>
              <w:bottom w:val="nil"/>
              <w:right w:val="nil"/>
            </w:tcBorders>
            <w:shd w:val="clear" w:color="auto" w:fill="auto"/>
            <w:noWrap/>
            <w:vAlign w:val="center"/>
            <w:hideMark/>
          </w:tcPr>
          <w:p w14:paraId="182E0AA7"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18,95</w:t>
            </w:r>
          </w:p>
        </w:tc>
        <w:tc>
          <w:tcPr>
            <w:tcW w:w="628" w:type="dxa"/>
            <w:tcBorders>
              <w:top w:val="nil"/>
              <w:left w:val="nil"/>
              <w:bottom w:val="nil"/>
              <w:right w:val="nil"/>
            </w:tcBorders>
            <w:shd w:val="clear" w:color="auto" w:fill="auto"/>
            <w:noWrap/>
            <w:vAlign w:val="center"/>
            <w:hideMark/>
          </w:tcPr>
          <w:p w14:paraId="395B74DF"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24,88</w:t>
            </w:r>
          </w:p>
        </w:tc>
        <w:tc>
          <w:tcPr>
            <w:tcW w:w="628" w:type="dxa"/>
            <w:tcBorders>
              <w:top w:val="nil"/>
              <w:left w:val="nil"/>
              <w:bottom w:val="nil"/>
              <w:right w:val="nil"/>
            </w:tcBorders>
            <w:shd w:val="clear" w:color="auto" w:fill="auto"/>
            <w:noWrap/>
            <w:vAlign w:val="center"/>
            <w:hideMark/>
          </w:tcPr>
          <w:p w14:paraId="049F5E71"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25,29</w:t>
            </w:r>
          </w:p>
        </w:tc>
        <w:tc>
          <w:tcPr>
            <w:tcW w:w="628" w:type="dxa"/>
            <w:tcBorders>
              <w:top w:val="nil"/>
              <w:left w:val="nil"/>
              <w:bottom w:val="nil"/>
              <w:right w:val="nil"/>
            </w:tcBorders>
            <w:shd w:val="clear" w:color="auto" w:fill="auto"/>
            <w:noWrap/>
            <w:vAlign w:val="center"/>
            <w:hideMark/>
          </w:tcPr>
          <w:p w14:paraId="70F6B6D7"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26,50</w:t>
            </w:r>
          </w:p>
        </w:tc>
        <w:tc>
          <w:tcPr>
            <w:tcW w:w="628" w:type="dxa"/>
            <w:tcBorders>
              <w:top w:val="nil"/>
              <w:left w:val="nil"/>
              <w:bottom w:val="nil"/>
              <w:right w:val="nil"/>
            </w:tcBorders>
            <w:shd w:val="clear" w:color="auto" w:fill="auto"/>
            <w:noWrap/>
            <w:vAlign w:val="center"/>
            <w:hideMark/>
          </w:tcPr>
          <w:p w14:paraId="43D1533C"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28,75</w:t>
            </w:r>
          </w:p>
        </w:tc>
        <w:tc>
          <w:tcPr>
            <w:tcW w:w="628" w:type="dxa"/>
            <w:tcBorders>
              <w:top w:val="nil"/>
              <w:left w:val="nil"/>
              <w:bottom w:val="nil"/>
              <w:right w:val="nil"/>
            </w:tcBorders>
            <w:shd w:val="clear" w:color="auto" w:fill="auto"/>
            <w:noWrap/>
            <w:vAlign w:val="center"/>
            <w:hideMark/>
          </w:tcPr>
          <w:p w14:paraId="50730BD3" w14:textId="77777777" w:rsidR="00170240" w:rsidRPr="00170240" w:rsidRDefault="00170240" w:rsidP="00170240">
            <w:pPr>
              <w:spacing w:after="0" w:line="240" w:lineRule="auto"/>
              <w:jc w:val="right"/>
              <w:rPr>
                <w:rFonts w:cs="Arial"/>
                <w:color w:val="000000"/>
                <w:sz w:val="16"/>
                <w:szCs w:val="16"/>
              </w:rPr>
            </w:pPr>
            <w:r w:rsidRPr="00170240">
              <w:rPr>
                <w:rFonts w:cs="Arial"/>
                <w:color w:val="000000"/>
                <w:sz w:val="16"/>
                <w:szCs w:val="16"/>
              </w:rPr>
              <w:t>27,05</w:t>
            </w:r>
          </w:p>
        </w:tc>
      </w:tr>
      <w:tr w:rsidR="00170240" w:rsidRPr="00170240" w14:paraId="37065F3F" w14:textId="77777777" w:rsidTr="00355A67">
        <w:trPr>
          <w:gridAfter w:val="1"/>
          <w:wAfter w:w="6" w:type="dxa"/>
          <w:trHeight w:val="459"/>
        </w:trPr>
        <w:tc>
          <w:tcPr>
            <w:tcW w:w="3289" w:type="dxa"/>
            <w:tcBorders>
              <w:top w:val="nil"/>
              <w:left w:val="nil"/>
              <w:bottom w:val="nil"/>
              <w:right w:val="nil"/>
            </w:tcBorders>
            <w:shd w:val="clear" w:color="auto" w:fill="auto"/>
            <w:vAlign w:val="center"/>
            <w:hideMark/>
          </w:tcPr>
          <w:p w14:paraId="33490DAC" w14:textId="77777777" w:rsidR="00355A67" w:rsidRDefault="00170240" w:rsidP="00170240">
            <w:pPr>
              <w:spacing w:after="0" w:line="240" w:lineRule="auto"/>
              <w:ind w:firstLineChars="100" w:firstLine="160"/>
              <w:rPr>
                <w:rFonts w:ascii="Arial CE" w:hAnsi="Arial CE" w:cs="Arial CE"/>
                <w:sz w:val="16"/>
                <w:szCs w:val="16"/>
              </w:rPr>
            </w:pPr>
            <w:r w:rsidRPr="00170240">
              <w:rPr>
                <w:rFonts w:ascii="Arial CE" w:hAnsi="Arial CE" w:cs="Arial CE"/>
                <w:sz w:val="16"/>
                <w:szCs w:val="16"/>
              </w:rPr>
              <w:t>D – Výroba a rozvod elektřiny, plynu,</w:t>
            </w:r>
          </w:p>
          <w:p w14:paraId="61229E9C" w14:textId="199AD6F0" w:rsidR="00170240" w:rsidRPr="00170240" w:rsidRDefault="00355A67" w:rsidP="00170240">
            <w:pPr>
              <w:spacing w:after="0" w:line="240" w:lineRule="auto"/>
              <w:ind w:firstLineChars="100" w:firstLine="160"/>
              <w:rPr>
                <w:rFonts w:ascii="Arial CE" w:hAnsi="Arial CE" w:cs="Arial CE"/>
                <w:sz w:val="16"/>
                <w:szCs w:val="16"/>
              </w:rPr>
            </w:pPr>
            <w:r>
              <w:rPr>
                <w:rFonts w:ascii="Arial CE" w:hAnsi="Arial CE" w:cs="Arial CE"/>
                <w:sz w:val="16"/>
                <w:szCs w:val="16"/>
              </w:rPr>
              <w:t xml:space="preserve">      </w:t>
            </w:r>
            <w:r w:rsidR="00170240" w:rsidRPr="00170240">
              <w:rPr>
                <w:rFonts w:ascii="Arial CE" w:hAnsi="Arial CE" w:cs="Arial CE"/>
                <w:sz w:val="16"/>
                <w:szCs w:val="16"/>
              </w:rPr>
              <w:t xml:space="preserve"> tepla a klimatizovaného vzduchu</w:t>
            </w:r>
          </w:p>
        </w:tc>
        <w:tc>
          <w:tcPr>
            <w:tcW w:w="628" w:type="dxa"/>
            <w:tcBorders>
              <w:top w:val="nil"/>
              <w:left w:val="nil"/>
              <w:bottom w:val="nil"/>
              <w:right w:val="nil"/>
            </w:tcBorders>
            <w:shd w:val="clear" w:color="auto" w:fill="auto"/>
            <w:noWrap/>
            <w:vAlign w:val="center"/>
            <w:hideMark/>
          </w:tcPr>
          <w:p w14:paraId="082BB079"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10,41</w:t>
            </w:r>
          </w:p>
        </w:tc>
        <w:tc>
          <w:tcPr>
            <w:tcW w:w="628" w:type="dxa"/>
            <w:tcBorders>
              <w:top w:val="nil"/>
              <w:left w:val="nil"/>
              <w:bottom w:val="nil"/>
              <w:right w:val="nil"/>
            </w:tcBorders>
            <w:shd w:val="clear" w:color="auto" w:fill="auto"/>
            <w:noWrap/>
            <w:vAlign w:val="center"/>
            <w:hideMark/>
          </w:tcPr>
          <w:p w14:paraId="0F1DD7B8"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11,18</w:t>
            </w:r>
          </w:p>
        </w:tc>
        <w:tc>
          <w:tcPr>
            <w:tcW w:w="628" w:type="dxa"/>
            <w:tcBorders>
              <w:top w:val="nil"/>
              <w:left w:val="nil"/>
              <w:bottom w:val="nil"/>
              <w:right w:val="nil"/>
            </w:tcBorders>
            <w:shd w:val="clear" w:color="auto" w:fill="auto"/>
            <w:noWrap/>
            <w:vAlign w:val="center"/>
            <w:hideMark/>
          </w:tcPr>
          <w:p w14:paraId="06E96572"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8,91</w:t>
            </w:r>
          </w:p>
        </w:tc>
        <w:tc>
          <w:tcPr>
            <w:tcW w:w="628" w:type="dxa"/>
            <w:tcBorders>
              <w:top w:val="nil"/>
              <w:left w:val="nil"/>
              <w:bottom w:val="nil"/>
              <w:right w:val="nil"/>
            </w:tcBorders>
            <w:shd w:val="clear" w:color="auto" w:fill="auto"/>
            <w:noWrap/>
            <w:vAlign w:val="center"/>
            <w:hideMark/>
          </w:tcPr>
          <w:p w14:paraId="42E57159"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11,74</w:t>
            </w:r>
          </w:p>
        </w:tc>
        <w:tc>
          <w:tcPr>
            <w:tcW w:w="628" w:type="dxa"/>
            <w:tcBorders>
              <w:top w:val="nil"/>
              <w:left w:val="nil"/>
              <w:bottom w:val="nil"/>
              <w:right w:val="nil"/>
            </w:tcBorders>
            <w:shd w:val="clear" w:color="auto" w:fill="auto"/>
            <w:noWrap/>
            <w:vAlign w:val="center"/>
            <w:hideMark/>
          </w:tcPr>
          <w:p w14:paraId="773A403D"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9,79</w:t>
            </w:r>
          </w:p>
        </w:tc>
        <w:tc>
          <w:tcPr>
            <w:tcW w:w="628" w:type="dxa"/>
            <w:tcBorders>
              <w:top w:val="nil"/>
              <w:left w:val="nil"/>
              <w:bottom w:val="nil"/>
              <w:right w:val="nil"/>
            </w:tcBorders>
            <w:shd w:val="clear" w:color="auto" w:fill="auto"/>
            <w:noWrap/>
            <w:vAlign w:val="center"/>
            <w:hideMark/>
          </w:tcPr>
          <w:p w14:paraId="10BF6D5B"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13,29</w:t>
            </w:r>
          </w:p>
        </w:tc>
        <w:tc>
          <w:tcPr>
            <w:tcW w:w="628" w:type="dxa"/>
            <w:tcBorders>
              <w:top w:val="nil"/>
              <w:left w:val="nil"/>
              <w:bottom w:val="nil"/>
              <w:right w:val="nil"/>
            </w:tcBorders>
            <w:shd w:val="clear" w:color="auto" w:fill="auto"/>
            <w:noWrap/>
            <w:vAlign w:val="center"/>
            <w:hideMark/>
          </w:tcPr>
          <w:p w14:paraId="1AD30604"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12,33</w:t>
            </w:r>
          </w:p>
        </w:tc>
        <w:tc>
          <w:tcPr>
            <w:tcW w:w="628" w:type="dxa"/>
            <w:tcBorders>
              <w:top w:val="nil"/>
              <w:left w:val="nil"/>
              <w:bottom w:val="nil"/>
              <w:right w:val="nil"/>
            </w:tcBorders>
            <w:shd w:val="clear" w:color="auto" w:fill="auto"/>
            <w:noWrap/>
            <w:vAlign w:val="center"/>
            <w:hideMark/>
          </w:tcPr>
          <w:p w14:paraId="2C9A85A5"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14,22</w:t>
            </w:r>
          </w:p>
        </w:tc>
        <w:tc>
          <w:tcPr>
            <w:tcW w:w="628" w:type="dxa"/>
            <w:tcBorders>
              <w:top w:val="nil"/>
              <w:left w:val="nil"/>
              <w:bottom w:val="nil"/>
              <w:right w:val="nil"/>
            </w:tcBorders>
            <w:shd w:val="clear" w:color="auto" w:fill="auto"/>
            <w:noWrap/>
            <w:vAlign w:val="center"/>
            <w:hideMark/>
          </w:tcPr>
          <w:p w14:paraId="3F05DBA4"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16,37</w:t>
            </w:r>
          </w:p>
        </w:tc>
        <w:tc>
          <w:tcPr>
            <w:tcW w:w="628" w:type="dxa"/>
            <w:tcBorders>
              <w:top w:val="nil"/>
              <w:left w:val="nil"/>
              <w:bottom w:val="nil"/>
              <w:right w:val="nil"/>
            </w:tcBorders>
            <w:shd w:val="clear" w:color="auto" w:fill="auto"/>
            <w:noWrap/>
            <w:vAlign w:val="center"/>
            <w:hideMark/>
          </w:tcPr>
          <w:p w14:paraId="5EC7EE1B" w14:textId="77777777" w:rsidR="00170240" w:rsidRPr="00170240" w:rsidRDefault="00170240" w:rsidP="00170240">
            <w:pPr>
              <w:spacing w:after="0" w:line="240" w:lineRule="auto"/>
              <w:jc w:val="right"/>
              <w:rPr>
                <w:rFonts w:cs="Arial"/>
                <w:color w:val="000000"/>
                <w:sz w:val="16"/>
                <w:szCs w:val="16"/>
              </w:rPr>
            </w:pPr>
            <w:r w:rsidRPr="00170240">
              <w:rPr>
                <w:rFonts w:cs="Arial"/>
                <w:color w:val="000000"/>
                <w:sz w:val="16"/>
                <w:szCs w:val="16"/>
              </w:rPr>
              <w:t>15,73</w:t>
            </w:r>
          </w:p>
        </w:tc>
      </w:tr>
      <w:tr w:rsidR="00170240" w:rsidRPr="00170240" w14:paraId="1D89CCC4" w14:textId="77777777" w:rsidTr="00355A67">
        <w:trPr>
          <w:gridAfter w:val="1"/>
          <w:wAfter w:w="6" w:type="dxa"/>
          <w:trHeight w:val="688"/>
        </w:trPr>
        <w:tc>
          <w:tcPr>
            <w:tcW w:w="3289" w:type="dxa"/>
            <w:tcBorders>
              <w:top w:val="nil"/>
              <w:left w:val="nil"/>
              <w:bottom w:val="nil"/>
              <w:right w:val="nil"/>
            </w:tcBorders>
            <w:shd w:val="clear" w:color="auto" w:fill="auto"/>
            <w:vAlign w:val="center"/>
            <w:hideMark/>
          </w:tcPr>
          <w:p w14:paraId="2A5616EB" w14:textId="77777777" w:rsidR="00355A67" w:rsidRDefault="00170240" w:rsidP="00170240">
            <w:pPr>
              <w:spacing w:after="0" w:line="240" w:lineRule="auto"/>
              <w:ind w:firstLineChars="100" w:firstLine="160"/>
              <w:rPr>
                <w:rFonts w:ascii="Arial CE" w:hAnsi="Arial CE" w:cs="Arial CE"/>
                <w:sz w:val="16"/>
                <w:szCs w:val="16"/>
              </w:rPr>
            </w:pPr>
            <w:r w:rsidRPr="00170240">
              <w:rPr>
                <w:rFonts w:ascii="Arial CE" w:hAnsi="Arial CE" w:cs="Arial CE"/>
                <w:sz w:val="16"/>
                <w:szCs w:val="16"/>
              </w:rPr>
              <w:t xml:space="preserve">E – Zásobování vodou; činnosti </w:t>
            </w:r>
          </w:p>
          <w:p w14:paraId="6ABF60E0" w14:textId="77777777" w:rsidR="00355A67" w:rsidRDefault="00355A67" w:rsidP="00170240">
            <w:pPr>
              <w:spacing w:after="0" w:line="240" w:lineRule="auto"/>
              <w:ind w:firstLineChars="100" w:firstLine="160"/>
              <w:rPr>
                <w:rFonts w:ascii="Arial CE" w:hAnsi="Arial CE" w:cs="Arial CE"/>
                <w:sz w:val="16"/>
                <w:szCs w:val="16"/>
              </w:rPr>
            </w:pPr>
            <w:r>
              <w:rPr>
                <w:rFonts w:ascii="Arial CE" w:hAnsi="Arial CE" w:cs="Arial CE"/>
                <w:sz w:val="16"/>
                <w:szCs w:val="16"/>
              </w:rPr>
              <w:t xml:space="preserve">      </w:t>
            </w:r>
            <w:r w:rsidR="00170240" w:rsidRPr="00170240">
              <w:rPr>
                <w:rFonts w:ascii="Arial CE" w:hAnsi="Arial CE" w:cs="Arial CE"/>
                <w:sz w:val="16"/>
                <w:szCs w:val="16"/>
              </w:rPr>
              <w:t>související s odpadními vodami,</w:t>
            </w:r>
          </w:p>
          <w:p w14:paraId="0A80BAC6" w14:textId="7E200160" w:rsidR="00170240" w:rsidRPr="00170240" w:rsidRDefault="00355A67" w:rsidP="00170240">
            <w:pPr>
              <w:spacing w:after="0" w:line="240" w:lineRule="auto"/>
              <w:ind w:firstLineChars="100" w:firstLine="160"/>
              <w:rPr>
                <w:rFonts w:ascii="Arial CE" w:hAnsi="Arial CE" w:cs="Arial CE"/>
                <w:sz w:val="16"/>
                <w:szCs w:val="16"/>
              </w:rPr>
            </w:pPr>
            <w:r>
              <w:rPr>
                <w:rFonts w:ascii="Arial CE" w:hAnsi="Arial CE" w:cs="Arial CE"/>
                <w:sz w:val="16"/>
                <w:szCs w:val="16"/>
              </w:rPr>
              <w:t xml:space="preserve">     </w:t>
            </w:r>
            <w:r w:rsidR="00170240" w:rsidRPr="00170240">
              <w:rPr>
                <w:rFonts w:ascii="Arial CE" w:hAnsi="Arial CE" w:cs="Arial CE"/>
                <w:sz w:val="16"/>
                <w:szCs w:val="16"/>
              </w:rPr>
              <w:t xml:space="preserve"> odpady a sanacemi</w:t>
            </w:r>
          </w:p>
        </w:tc>
        <w:tc>
          <w:tcPr>
            <w:tcW w:w="628" w:type="dxa"/>
            <w:tcBorders>
              <w:top w:val="nil"/>
              <w:left w:val="nil"/>
              <w:bottom w:val="nil"/>
              <w:right w:val="nil"/>
            </w:tcBorders>
            <w:shd w:val="clear" w:color="auto" w:fill="auto"/>
            <w:noWrap/>
            <w:vAlign w:val="center"/>
            <w:hideMark/>
          </w:tcPr>
          <w:p w14:paraId="0789EAF7"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16,37</w:t>
            </w:r>
          </w:p>
        </w:tc>
        <w:tc>
          <w:tcPr>
            <w:tcW w:w="628" w:type="dxa"/>
            <w:tcBorders>
              <w:top w:val="nil"/>
              <w:left w:val="nil"/>
              <w:bottom w:val="nil"/>
              <w:right w:val="nil"/>
            </w:tcBorders>
            <w:shd w:val="clear" w:color="auto" w:fill="auto"/>
            <w:noWrap/>
            <w:vAlign w:val="center"/>
            <w:hideMark/>
          </w:tcPr>
          <w:p w14:paraId="5107BF93"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16,52</w:t>
            </w:r>
          </w:p>
        </w:tc>
        <w:tc>
          <w:tcPr>
            <w:tcW w:w="628" w:type="dxa"/>
            <w:tcBorders>
              <w:top w:val="nil"/>
              <w:left w:val="nil"/>
              <w:bottom w:val="nil"/>
              <w:right w:val="nil"/>
            </w:tcBorders>
            <w:shd w:val="clear" w:color="auto" w:fill="auto"/>
            <w:noWrap/>
            <w:vAlign w:val="center"/>
            <w:hideMark/>
          </w:tcPr>
          <w:p w14:paraId="314D4CEF"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13,25</w:t>
            </w:r>
          </w:p>
        </w:tc>
        <w:tc>
          <w:tcPr>
            <w:tcW w:w="628" w:type="dxa"/>
            <w:tcBorders>
              <w:top w:val="nil"/>
              <w:left w:val="nil"/>
              <w:bottom w:val="nil"/>
              <w:right w:val="nil"/>
            </w:tcBorders>
            <w:shd w:val="clear" w:color="auto" w:fill="auto"/>
            <w:noWrap/>
            <w:vAlign w:val="center"/>
            <w:hideMark/>
          </w:tcPr>
          <w:p w14:paraId="7D8D4131"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16,50</w:t>
            </w:r>
          </w:p>
        </w:tc>
        <w:tc>
          <w:tcPr>
            <w:tcW w:w="628" w:type="dxa"/>
            <w:tcBorders>
              <w:top w:val="nil"/>
              <w:left w:val="nil"/>
              <w:bottom w:val="nil"/>
              <w:right w:val="nil"/>
            </w:tcBorders>
            <w:shd w:val="clear" w:color="auto" w:fill="auto"/>
            <w:noWrap/>
            <w:vAlign w:val="center"/>
            <w:hideMark/>
          </w:tcPr>
          <w:p w14:paraId="2F0AE2DF"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14,89</w:t>
            </w:r>
          </w:p>
        </w:tc>
        <w:tc>
          <w:tcPr>
            <w:tcW w:w="628" w:type="dxa"/>
            <w:tcBorders>
              <w:top w:val="nil"/>
              <w:left w:val="nil"/>
              <w:bottom w:val="nil"/>
              <w:right w:val="nil"/>
            </w:tcBorders>
            <w:shd w:val="clear" w:color="auto" w:fill="auto"/>
            <w:noWrap/>
            <w:vAlign w:val="center"/>
            <w:hideMark/>
          </w:tcPr>
          <w:p w14:paraId="4FAE5868"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19,00</w:t>
            </w:r>
          </w:p>
        </w:tc>
        <w:tc>
          <w:tcPr>
            <w:tcW w:w="628" w:type="dxa"/>
            <w:tcBorders>
              <w:top w:val="nil"/>
              <w:left w:val="nil"/>
              <w:bottom w:val="nil"/>
              <w:right w:val="nil"/>
            </w:tcBorders>
            <w:shd w:val="clear" w:color="auto" w:fill="auto"/>
            <w:noWrap/>
            <w:vAlign w:val="center"/>
            <w:hideMark/>
          </w:tcPr>
          <w:p w14:paraId="6E826DFD"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18,97</w:t>
            </w:r>
          </w:p>
        </w:tc>
        <w:tc>
          <w:tcPr>
            <w:tcW w:w="628" w:type="dxa"/>
            <w:tcBorders>
              <w:top w:val="nil"/>
              <w:left w:val="nil"/>
              <w:bottom w:val="nil"/>
              <w:right w:val="nil"/>
            </w:tcBorders>
            <w:shd w:val="clear" w:color="auto" w:fill="auto"/>
            <w:noWrap/>
            <w:vAlign w:val="center"/>
            <w:hideMark/>
          </w:tcPr>
          <w:p w14:paraId="1CC26571"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20,76</w:t>
            </w:r>
          </w:p>
        </w:tc>
        <w:tc>
          <w:tcPr>
            <w:tcW w:w="628" w:type="dxa"/>
            <w:tcBorders>
              <w:top w:val="nil"/>
              <w:left w:val="nil"/>
              <w:bottom w:val="nil"/>
              <w:right w:val="nil"/>
            </w:tcBorders>
            <w:shd w:val="clear" w:color="auto" w:fill="auto"/>
            <w:noWrap/>
            <w:vAlign w:val="center"/>
            <w:hideMark/>
          </w:tcPr>
          <w:p w14:paraId="68BA747E"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22,73</w:t>
            </w:r>
          </w:p>
        </w:tc>
        <w:tc>
          <w:tcPr>
            <w:tcW w:w="628" w:type="dxa"/>
            <w:tcBorders>
              <w:top w:val="nil"/>
              <w:left w:val="nil"/>
              <w:bottom w:val="nil"/>
              <w:right w:val="nil"/>
            </w:tcBorders>
            <w:shd w:val="clear" w:color="auto" w:fill="auto"/>
            <w:noWrap/>
            <w:vAlign w:val="center"/>
            <w:hideMark/>
          </w:tcPr>
          <w:p w14:paraId="5413FACF" w14:textId="77777777" w:rsidR="00170240" w:rsidRPr="00170240" w:rsidRDefault="00170240" w:rsidP="00170240">
            <w:pPr>
              <w:spacing w:after="0" w:line="240" w:lineRule="auto"/>
              <w:jc w:val="right"/>
              <w:rPr>
                <w:rFonts w:cs="Arial"/>
                <w:color w:val="000000"/>
                <w:sz w:val="16"/>
                <w:szCs w:val="16"/>
              </w:rPr>
            </w:pPr>
            <w:r w:rsidRPr="00170240">
              <w:rPr>
                <w:rFonts w:cs="Arial"/>
                <w:color w:val="000000"/>
                <w:sz w:val="16"/>
                <w:szCs w:val="16"/>
              </w:rPr>
              <w:t>21,31</w:t>
            </w:r>
          </w:p>
        </w:tc>
      </w:tr>
      <w:tr w:rsidR="00170240" w:rsidRPr="00170240" w14:paraId="7A15E88B" w14:textId="77777777" w:rsidTr="00355A67">
        <w:trPr>
          <w:gridAfter w:val="1"/>
          <w:wAfter w:w="6" w:type="dxa"/>
          <w:trHeight w:val="290"/>
        </w:trPr>
        <w:tc>
          <w:tcPr>
            <w:tcW w:w="3289" w:type="dxa"/>
            <w:tcBorders>
              <w:top w:val="nil"/>
              <w:left w:val="nil"/>
              <w:bottom w:val="nil"/>
              <w:right w:val="nil"/>
            </w:tcBorders>
            <w:shd w:val="clear" w:color="auto" w:fill="auto"/>
            <w:vAlign w:val="center"/>
            <w:hideMark/>
          </w:tcPr>
          <w:p w14:paraId="4A812E74" w14:textId="77777777" w:rsidR="00170240" w:rsidRPr="00170240" w:rsidRDefault="00170240" w:rsidP="00170240">
            <w:pPr>
              <w:spacing w:after="0" w:line="240" w:lineRule="auto"/>
              <w:ind w:firstLineChars="100" w:firstLine="160"/>
              <w:rPr>
                <w:rFonts w:ascii="Arial CE" w:hAnsi="Arial CE" w:cs="Arial CE"/>
                <w:sz w:val="16"/>
                <w:szCs w:val="16"/>
              </w:rPr>
            </w:pPr>
            <w:r w:rsidRPr="00170240">
              <w:rPr>
                <w:rFonts w:ascii="Arial CE" w:hAnsi="Arial CE" w:cs="Arial CE"/>
                <w:sz w:val="16"/>
                <w:szCs w:val="16"/>
              </w:rPr>
              <w:t>F – Stavebnictví</w:t>
            </w:r>
          </w:p>
        </w:tc>
        <w:tc>
          <w:tcPr>
            <w:tcW w:w="628" w:type="dxa"/>
            <w:tcBorders>
              <w:top w:val="nil"/>
              <w:left w:val="nil"/>
              <w:bottom w:val="nil"/>
              <w:right w:val="nil"/>
            </w:tcBorders>
            <w:shd w:val="clear" w:color="auto" w:fill="auto"/>
            <w:noWrap/>
            <w:vAlign w:val="center"/>
            <w:hideMark/>
          </w:tcPr>
          <w:p w14:paraId="58DFFB45"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17,65</w:t>
            </w:r>
          </w:p>
        </w:tc>
        <w:tc>
          <w:tcPr>
            <w:tcW w:w="628" w:type="dxa"/>
            <w:tcBorders>
              <w:top w:val="nil"/>
              <w:left w:val="nil"/>
              <w:bottom w:val="nil"/>
              <w:right w:val="nil"/>
            </w:tcBorders>
            <w:shd w:val="clear" w:color="auto" w:fill="auto"/>
            <w:noWrap/>
            <w:vAlign w:val="center"/>
            <w:hideMark/>
          </w:tcPr>
          <w:p w14:paraId="23B76BD2"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15,84</w:t>
            </w:r>
          </w:p>
        </w:tc>
        <w:tc>
          <w:tcPr>
            <w:tcW w:w="628" w:type="dxa"/>
            <w:tcBorders>
              <w:top w:val="nil"/>
              <w:left w:val="nil"/>
              <w:bottom w:val="nil"/>
              <w:right w:val="nil"/>
            </w:tcBorders>
            <w:shd w:val="clear" w:color="auto" w:fill="auto"/>
            <w:noWrap/>
            <w:vAlign w:val="center"/>
            <w:hideMark/>
          </w:tcPr>
          <w:p w14:paraId="4EB02464"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13,77</w:t>
            </w:r>
          </w:p>
        </w:tc>
        <w:tc>
          <w:tcPr>
            <w:tcW w:w="628" w:type="dxa"/>
            <w:tcBorders>
              <w:top w:val="nil"/>
              <w:left w:val="nil"/>
              <w:bottom w:val="nil"/>
              <w:right w:val="nil"/>
            </w:tcBorders>
            <w:shd w:val="clear" w:color="auto" w:fill="auto"/>
            <w:noWrap/>
            <w:vAlign w:val="center"/>
            <w:hideMark/>
          </w:tcPr>
          <w:p w14:paraId="5670E6A5"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16,29</w:t>
            </w:r>
          </w:p>
        </w:tc>
        <w:tc>
          <w:tcPr>
            <w:tcW w:w="628" w:type="dxa"/>
            <w:tcBorders>
              <w:top w:val="nil"/>
              <w:left w:val="nil"/>
              <w:bottom w:val="nil"/>
              <w:right w:val="nil"/>
            </w:tcBorders>
            <w:shd w:val="clear" w:color="auto" w:fill="auto"/>
            <w:noWrap/>
            <w:vAlign w:val="center"/>
            <w:hideMark/>
          </w:tcPr>
          <w:p w14:paraId="444D2B5F"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13,79</w:t>
            </w:r>
          </w:p>
        </w:tc>
        <w:tc>
          <w:tcPr>
            <w:tcW w:w="628" w:type="dxa"/>
            <w:tcBorders>
              <w:top w:val="nil"/>
              <w:left w:val="nil"/>
              <w:bottom w:val="nil"/>
              <w:right w:val="nil"/>
            </w:tcBorders>
            <w:shd w:val="clear" w:color="auto" w:fill="auto"/>
            <w:noWrap/>
            <w:vAlign w:val="center"/>
            <w:hideMark/>
          </w:tcPr>
          <w:p w14:paraId="5F85B6C6"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17,17</w:t>
            </w:r>
          </w:p>
        </w:tc>
        <w:tc>
          <w:tcPr>
            <w:tcW w:w="628" w:type="dxa"/>
            <w:tcBorders>
              <w:top w:val="nil"/>
              <w:left w:val="nil"/>
              <w:bottom w:val="nil"/>
              <w:right w:val="nil"/>
            </w:tcBorders>
            <w:shd w:val="clear" w:color="auto" w:fill="auto"/>
            <w:noWrap/>
            <w:vAlign w:val="center"/>
            <w:hideMark/>
          </w:tcPr>
          <w:p w14:paraId="27C1ACE9"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16,63</w:t>
            </w:r>
          </w:p>
        </w:tc>
        <w:tc>
          <w:tcPr>
            <w:tcW w:w="628" w:type="dxa"/>
            <w:tcBorders>
              <w:top w:val="nil"/>
              <w:left w:val="nil"/>
              <w:bottom w:val="nil"/>
              <w:right w:val="nil"/>
            </w:tcBorders>
            <w:shd w:val="clear" w:color="auto" w:fill="auto"/>
            <w:noWrap/>
            <w:vAlign w:val="center"/>
            <w:hideMark/>
          </w:tcPr>
          <w:p w14:paraId="4C133E76"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17,50</w:t>
            </w:r>
          </w:p>
        </w:tc>
        <w:tc>
          <w:tcPr>
            <w:tcW w:w="628" w:type="dxa"/>
            <w:tcBorders>
              <w:top w:val="nil"/>
              <w:left w:val="nil"/>
              <w:bottom w:val="nil"/>
              <w:right w:val="nil"/>
            </w:tcBorders>
            <w:shd w:val="clear" w:color="auto" w:fill="auto"/>
            <w:noWrap/>
            <w:vAlign w:val="center"/>
            <w:hideMark/>
          </w:tcPr>
          <w:p w14:paraId="19500A37"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18,22</w:t>
            </w:r>
          </w:p>
        </w:tc>
        <w:tc>
          <w:tcPr>
            <w:tcW w:w="628" w:type="dxa"/>
            <w:tcBorders>
              <w:top w:val="nil"/>
              <w:left w:val="nil"/>
              <w:bottom w:val="nil"/>
              <w:right w:val="nil"/>
            </w:tcBorders>
            <w:shd w:val="clear" w:color="auto" w:fill="auto"/>
            <w:noWrap/>
            <w:vAlign w:val="center"/>
            <w:hideMark/>
          </w:tcPr>
          <w:p w14:paraId="2EA48F30" w14:textId="77777777" w:rsidR="00170240" w:rsidRPr="00170240" w:rsidRDefault="00170240" w:rsidP="00170240">
            <w:pPr>
              <w:spacing w:after="0" w:line="240" w:lineRule="auto"/>
              <w:jc w:val="right"/>
              <w:rPr>
                <w:rFonts w:cs="Arial"/>
                <w:color w:val="000000"/>
                <w:sz w:val="16"/>
                <w:szCs w:val="16"/>
              </w:rPr>
            </w:pPr>
            <w:r w:rsidRPr="00170240">
              <w:rPr>
                <w:rFonts w:cs="Arial"/>
                <w:color w:val="000000"/>
                <w:sz w:val="16"/>
                <w:szCs w:val="16"/>
              </w:rPr>
              <w:t>17,24</w:t>
            </w:r>
          </w:p>
        </w:tc>
      </w:tr>
      <w:tr w:rsidR="00170240" w:rsidRPr="00170240" w14:paraId="45236D4E" w14:textId="77777777" w:rsidTr="00355A67">
        <w:trPr>
          <w:gridAfter w:val="1"/>
          <w:wAfter w:w="6" w:type="dxa"/>
          <w:trHeight w:val="459"/>
        </w:trPr>
        <w:tc>
          <w:tcPr>
            <w:tcW w:w="3289" w:type="dxa"/>
            <w:tcBorders>
              <w:top w:val="nil"/>
              <w:left w:val="nil"/>
              <w:bottom w:val="nil"/>
              <w:right w:val="nil"/>
            </w:tcBorders>
            <w:shd w:val="clear" w:color="auto" w:fill="auto"/>
            <w:vAlign w:val="center"/>
            <w:hideMark/>
          </w:tcPr>
          <w:p w14:paraId="01BB9591" w14:textId="77777777" w:rsidR="00355A67" w:rsidRDefault="00170240" w:rsidP="00170240">
            <w:pPr>
              <w:spacing w:after="0" w:line="240" w:lineRule="auto"/>
              <w:ind w:firstLineChars="100" w:firstLine="160"/>
              <w:rPr>
                <w:rFonts w:ascii="Arial CE" w:hAnsi="Arial CE" w:cs="Arial CE"/>
                <w:sz w:val="16"/>
                <w:szCs w:val="16"/>
              </w:rPr>
            </w:pPr>
            <w:r w:rsidRPr="00170240">
              <w:rPr>
                <w:rFonts w:ascii="Arial CE" w:hAnsi="Arial CE" w:cs="Arial CE"/>
                <w:sz w:val="16"/>
                <w:szCs w:val="16"/>
              </w:rPr>
              <w:t>G – Velkoobchod</w:t>
            </w:r>
            <w:r w:rsidR="00355A67">
              <w:rPr>
                <w:rFonts w:ascii="Arial CE" w:hAnsi="Arial CE" w:cs="Arial CE"/>
                <w:sz w:val="16"/>
                <w:szCs w:val="16"/>
              </w:rPr>
              <w:t xml:space="preserve"> a maloobchod; opravy </w:t>
            </w:r>
          </w:p>
          <w:p w14:paraId="358720F8" w14:textId="584419DF" w:rsidR="00170240" w:rsidRPr="00170240" w:rsidRDefault="00355A67" w:rsidP="00170240">
            <w:pPr>
              <w:spacing w:after="0" w:line="240" w:lineRule="auto"/>
              <w:ind w:firstLineChars="100" w:firstLine="160"/>
              <w:rPr>
                <w:rFonts w:ascii="Arial CE" w:hAnsi="Arial CE" w:cs="Arial CE"/>
                <w:sz w:val="16"/>
                <w:szCs w:val="16"/>
              </w:rPr>
            </w:pPr>
            <w:r>
              <w:rPr>
                <w:rFonts w:ascii="Arial CE" w:hAnsi="Arial CE" w:cs="Arial CE"/>
                <w:sz w:val="16"/>
                <w:szCs w:val="16"/>
              </w:rPr>
              <w:t xml:space="preserve">       a údržba </w:t>
            </w:r>
            <w:r w:rsidR="00170240" w:rsidRPr="00170240">
              <w:rPr>
                <w:rFonts w:ascii="Arial CE" w:hAnsi="Arial CE" w:cs="Arial CE"/>
                <w:sz w:val="16"/>
                <w:szCs w:val="16"/>
              </w:rPr>
              <w:t>motorových vozidel</w:t>
            </w:r>
          </w:p>
        </w:tc>
        <w:tc>
          <w:tcPr>
            <w:tcW w:w="628" w:type="dxa"/>
            <w:tcBorders>
              <w:top w:val="nil"/>
              <w:left w:val="nil"/>
              <w:bottom w:val="nil"/>
              <w:right w:val="nil"/>
            </w:tcBorders>
            <w:shd w:val="clear" w:color="auto" w:fill="auto"/>
            <w:noWrap/>
            <w:vAlign w:val="center"/>
            <w:hideMark/>
          </w:tcPr>
          <w:p w14:paraId="1C08A955"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15,87</w:t>
            </w:r>
          </w:p>
        </w:tc>
        <w:tc>
          <w:tcPr>
            <w:tcW w:w="628" w:type="dxa"/>
            <w:tcBorders>
              <w:top w:val="nil"/>
              <w:left w:val="nil"/>
              <w:bottom w:val="nil"/>
              <w:right w:val="nil"/>
            </w:tcBorders>
            <w:shd w:val="clear" w:color="auto" w:fill="auto"/>
            <w:noWrap/>
            <w:vAlign w:val="center"/>
            <w:hideMark/>
          </w:tcPr>
          <w:p w14:paraId="1354D030"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15,48</w:t>
            </w:r>
          </w:p>
        </w:tc>
        <w:tc>
          <w:tcPr>
            <w:tcW w:w="628" w:type="dxa"/>
            <w:tcBorders>
              <w:top w:val="nil"/>
              <w:left w:val="nil"/>
              <w:bottom w:val="nil"/>
              <w:right w:val="nil"/>
            </w:tcBorders>
            <w:shd w:val="clear" w:color="auto" w:fill="auto"/>
            <w:noWrap/>
            <w:vAlign w:val="center"/>
            <w:hideMark/>
          </w:tcPr>
          <w:p w14:paraId="37C37EA8"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12,35</w:t>
            </w:r>
          </w:p>
        </w:tc>
        <w:tc>
          <w:tcPr>
            <w:tcW w:w="628" w:type="dxa"/>
            <w:tcBorders>
              <w:top w:val="nil"/>
              <w:left w:val="nil"/>
              <w:bottom w:val="nil"/>
              <w:right w:val="nil"/>
            </w:tcBorders>
            <w:shd w:val="clear" w:color="auto" w:fill="auto"/>
            <w:noWrap/>
            <w:vAlign w:val="center"/>
            <w:hideMark/>
          </w:tcPr>
          <w:p w14:paraId="61DEB5DE"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15,03</w:t>
            </w:r>
          </w:p>
        </w:tc>
        <w:tc>
          <w:tcPr>
            <w:tcW w:w="628" w:type="dxa"/>
            <w:tcBorders>
              <w:top w:val="nil"/>
              <w:left w:val="nil"/>
              <w:bottom w:val="nil"/>
              <w:right w:val="nil"/>
            </w:tcBorders>
            <w:shd w:val="clear" w:color="auto" w:fill="auto"/>
            <w:noWrap/>
            <w:vAlign w:val="center"/>
            <w:hideMark/>
          </w:tcPr>
          <w:p w14:paraId="37F3E063"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13,41</w:t>
            </w:r>
          </w:p>
        </w:tc>
        <w:tc>
          <w:tcPr>
            <w:tcW w:w="628" w:type="dxa"/>
            <w:tcBorders>
              <w:top w:val="nil"/>
              <w:left w:val="nil"/>
              <w:bottom w:val="nil"/>
              <w:right w:val="nil"/>
            </w:tcBorders>
            <w:shd w:val="clear" w:color="auto" w:fill="auto"/>
            <w:noWrap/>
            <w:vAlign w:val="center"/>
            <w:hideMark/>
          </w:tcPr>
          <w:p w14:paraId="21F40E88"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16,91</w:t>
            </w:r>
          </w:p>
        </w:tc>
        <w:tc>
          <w:tcPr>
            <w:tcW w:w="628" w:type="dxa"/>
            <w:tcBorders>
              <w:top w:val="nil"/>
              <w:left w:val="nil"/>
              <w:bottom w:val="nil"/>
              <w:right w:val="nil"/>
            </w:tcBorders>
            <w:shd w:val="clear" w:color="auto" w:fill="auto"/>
            <w:noWrap/>
            <w:vAlign w:val="center"/>
            <w:hideMark/>
          </w:tcPr>
          <w:p w14:paraId="2ADE45B5"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18,10</w:t>
            </w:r>
          </w:p>
        </w:tc>
        <w:tc>
          <w:tcPr>
            <w:tcW w:w="628" w:type="dxa"/>
            <w:tcBorders>
              <w:top w:val="nil"/>
              <w:left w:val="nil"/>
              <w:bottom w:val="nil"/>
              <w:right w:val="nil"/>
            </w:tcBorders>
            <w:shd w:val="clear" w:color="auto" w:fill="auto"/>
            <w:noWrap/>
            <w:vAlign w:val="center"/>
            <w:hideMark/>
          </w:tcPr>
          <w:p w14:paraId="2C25037A"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19,15</w:t>
            </w:r>
          </w:p>
        </w:tc>
        <w:tc>
          <w:tcPr>
            <w:tcW w:w="628" w:type="dxa"/>
            <w:tcBorders>
              <w:top w:val="nil"/>
              <w:left w:val="nil"/>
              <w:bottom w:val="nil"/>
              <w:right w:val="nil"/>
            </w:tcBorders>
            <w:shd w:val="clear" w:color="auto" w:fill="auto"/>
            <w:noWrap/>
            <w:vAlign w:val="center"/>
            <w:hideMark/>
          </w:tcPr>
          <w:p w14:paraId="2303272E"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21,03</w:t>
            </w:r>
          </w:p>
        </w:tc>
        <w:tc>
          <w:tcPr>
            <w:tcW w:w="628" w:type="dxa"/>
            <w:tcBorders>
              <w:top w:val="nil"/>
              <w:left w:val="nil"/>
              <w:bottom w:val="nil"/>
              <w:right w:val="nil"/>
            </w:tcBorders>
            <w:shd w:val="clear" w:color="auto" w:fill="auto"/>
            <w:noWrap/>
            <w:vAlign w:val="center"/>
            <w:hideMark/>
          </w:tcPr>
          <w:p w14:paraId="4B02CA9B" w14:textId="77777777" w:rsidR="00170240" w:rsidRPr="00170240" w:rsidRDefault="00170240" w:rsidP="00170240">
            <w:pPr>
              <w:spacing w:after="0" w:line="240" w:lineRule="auto"/>
              <w:jc w:val="right"/>
              <w:rPr>
                <w:rFonts w:cs="Arial"/>
                <w:color w:val="000000"/>
                <w:sz w:val="16"/>
                <w:szCs w:val="16"/>
              </w:rPr>
            </w:pPr>
            <w:r w:rsidRPr="00170240">
              <w:rPr>
                <w:rFonts w:cs="Arial"/>
                <w:color w:val="000000"/>
                <w:sz w:val="16"/>
                <w:szCs w:val="16"/>
              </w:rPr>
              <w:t>20,41</w:t>
            </w:r>
          </w:p>
        </w:tc>
      </w:tr>
      <w:tr w:rsidR="00170240" w:rsidRPr="00170240" w14:paraId="6B0FFAD4" w14:textId="77777777" w:rsidTr="00355A67">
        <w:trPr>
          <w:gridAfter w:val="1"/>
          <w:wAfter w:w="6" w:type="dxa"/>
          <w:trHeight w:val="290"/>
        </w:trPr>
        <w:tc>
          <w:tcPr>
            <w:tcW w:w="3289" w:type="dxa"/>
            <w:tcBorders>
              <w:top w:val="nil"/>
              <w:left w:val="nil"/>
              <w:bottom w:val="nil"/>
              <w:right w:val="nil"/>
            </w:tcBorders>
            <w:shd w:val="clear" w:color="auto" w:fill="auto"/>
            <w:vAlign w:val="center"/>
            <w:hideMark/>
          </w:tcPr>
          <w:p w14:paraId="7B2530BC" w14:textId="77777777" w:rsidR="00170240" w:rsidRPr="00170240" w:rsidRDefault="00170240" w:rsidP="00170240">
            <w:pPr>
              <w:spacing w:after="0" w:line="240" w:lineRule="auto"/>
              <w:ind w:firstLineChars="100" w:firstLine="160"/>
              <w:rPr>
                <w:rFonts w:ascii="Arial CE" w:hAnsi="Arial CE" w:cs="Arial CE"/>
                <w:sz w:val="16"/>
                <w:szCs w:val="16"/>
              </w:rPr>
            </w:pPr>
            <w:r w:rsidRPr="00170240">
              <w:rPr>
                <w:rFonts w:ascii="Arial CE" w:hAnsi="Arial CE" w:cs="Arial CE"/>
                <w:sz w:val="16"/>
                <w:szCs w:val="16"/>
              </w:rPr>
              <w:t>H – Doprava a skladování</w:t>
            </w:r>
          </w:p>
        </w:tc>
        <w:tc>
          <w:tcPr>
            <w:tcW w:w="628" w:type="dxa"/>
            <w:tcBorders>
              <w:top w:val="nil"/>
              <w:left w:val="nil"/>
              <w:bottom w:val="nil"/>
              <w:right w:val="nil"/>
            </w:tcBorders>
            <w:shd w:val="clear" w:color="auto" w:fill="auto"/>
            <w:noWrap/>
            <w:vAlign w:val="center"/>
            <w:hideMark/>
          </w:tcPr>
          <w:p w14:paraId="5CCB8F9C"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16,04</w:t>
            </w:r>
          </w:p>
        </w:tc>
        <w:tc>
          <w:tcPr>
            <w:tcW w:w="628" w:type="dxa"/>
            <w:tcBorders>
              <w:top w:val="nil"/>
              <w:left w:val="nil"/>
              <w:bottom w:val="nil"/>
              <w:right w:val="nil"/>
            </w:tcBorders>
            <w:shd w:val="clear" w:color="auto" w:fill="auto"/>
            <w:noWrap/>
            <w:vAlign w:val="center"/>
            <w:hideMark/>
          </w:tcPr>
          <w:p w14:paraId="0851427F"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15,89</w:t>
            </w:r>
          </w:p>
        </w:tc>
        <w:tc>
          <w:tcPr>
            <w:tcW w:w="628" w:type="dxa"/>
            <w:tcBorders>
              <w:top w:val="nil"/>
              <w:left w:val="nil"/>
              <w:bottom w:val="nil"/>
              <w:right w:val="nil"/>
            </w:tcBorders>
            <w:shd w:val="clear" w:color="auto" w:fill="auto"/>
            <w:noWrap/>
            <w:vAlign w:val="center"/>
            <w:hideMark/>
          </w:tcPr>
          <w:p w14:paraId="3070A80D"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12,61</w:t>
            </w:r>
          </w:p>
        </w:tc>
        <w:tc>
          <w:tcPr>
            <w:tcW w:w="628" w:type="dxa"/>
            <w:tcBorders>
              <w:top w:val="nil"/>
              <w:left w:val="nil"/>
              <w:bottom w:val="nil"/>
              <w:right w:val="nil"/>
            </w:tcBorders>
            <w:shd w:val="clear" w:color="auto" w:fill="auto"/>
            <w:noWrap/>
            <w:vAlign w:val="center"/>
            <w:hideMark/>
          </w:tcPr>
          <w:p w14:paraId="6CEBD11D"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15,49</w:t>
            </w:r>
          </w:p>
        </w:tc>
        <w:tc>
          <w:tcPr>
            <w:tcW w:w="628" w:type="dxa"/>
            <w:tcBorders>
              <w:top w:val="nil"/>
              <w:left w:val="nil"/>
              <w:bottom w:val="nil"/>
              <w:right w:val="nil"/>
            </w:tcBorders>
            <w:shd w:val="clear" w:color="auto" w:fill="auto"/>
            <w:noWrap/>
            <w:vAlign w:val="center"/>
            <w:hideMark/>
          </w:tcPr>
          <w:p w14:paraId="2DC22FEF"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13,71</w:t>
            </w:r>
          </w:p>
        </w:tc>
        <w:tc>
          <w:tcPr>
            <w:tcW w:w="628" w:type="dxa"/>
            <w:tcBorders>
              <w:top w:val="nil"/>
              <w:left w:val="nil"/>
              <w:bottom w:val="nil"/>
              <w:right w:val="nil"/>
            </w:tcBorders>
            <w:shd w:val="clear" w:color="auto" w:fill="auto"/>
            <w:noWrap/>
            <w:vAlign w:val="center"/>
            <w:hideMark/>
          </w:tcPr>
          <w:p w14:paraId="0DB5BAF8"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17,92</w:t>
            </w:r>
          </w:p>
        </w:tc>
        <w:tc>
          <w:tcPr>
            <w:tcW w:w="628" w:type="dxa"/>
            <w:tcBorders>
              <w:top w:val="nil"/>
              <w:left w:val="nil"/>
              <w:bottom w:val="nil"/>
              <w:right w:val="nil"/>
            </w:tcBorders>
            <w:shd w:val="clear" w:color="auto" w:fill="auto"/>
            <w:noWrap/>
            <w:vAlign w:val="center"/>
            <w:hideMark/>
          </w:tcPr>
          <w:p w14:paraId="0FD27917"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17,64</w:t>
            </w:r>
          </w:p>
        </w:tc>
        <w:tc>
          <w:tcPr>
            <w:tcW w:w="628" w:type="dxa"/>
            <w:tcBorders>
              <w:top w:val="nil"/>
              <w:left w:val="nil"/>
              <w:bottom w:val="nil"/>
              <w:right w:val="nil"/>
            </w:tcBorders>
            <w:shd w:val="clear" w:color="auto" w:fill="auto"/>
            <w:noWrap/>
            <w:vAlign w:val="center"/>
            <w:hideMark/>
          </w:tcPr>
          <w:p w14:paraId="187C154A"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19,50</w:t>
            </w:r>
          </w:p>
        </w:tc>
        <w:tc>
          <w:tcPr>
            <w:tcW w:w="628" w:type="dxa"/>
            <w:tcBorders>
              <w:top w:val="nil"/>
              <w:left w:val="nil"/>
              <w:bottom w:val="nil"/>
              <w:right w:val="nil"/>
            </w:tcBorders>
            <w:shd w:val="clear" w:color="auto" w:fill="auto"/>
            <w:noWrap/>
            <w:vAlign w:val="center"/>
            <w:hideMark/>
          </w:tcPr>
          <w:p w14:paraId="6B49789E"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21,95</w:t>
            </w:r>
          </w:p>
        </w:tc>
        <w:tc>
          <w:tcPr>
            <w:tcW w:w="628" w:type="dxa"/>
            <w:tcBorders>
              <w:top w:val="nil"/>
              <w:left w:val="nil"/>
              <w:bottom w:val="nil"/>
              <w:right w:val="nil"/>
            </w:tcBorders>
            <w:shd w:val="clear" w:color="auto" w:fill="auto"/>
            <w:noWrap/>
            <w:vAlign w:val="center"/>
            <w:hideMark/>
          </w:tcPr>
          <w:p w14:paraId="7CA54333" w14:textId="77777777" w:rsidR="00170240" w:rsidRPr="00170240" w:rsidRDefault="00170240" w:rsidP="00170240">
            <w:pPr>
              <w:spacing w:after="0" w:line="240" w:lineRule="auto"/>
              <w:jc w:val="right"/>
              <w:rPr>
                <w:rFonts w:cs="Arial"/>
                <w:color w:val="000000"/>
                <w:sz w:val="16"/>
                <w:szCs w:val="16"/>
              </w:rPr>
            </w:pPr>
            <w:r w:rsidRPr="00170240">
              <w:rPr>
                <w:rFonts w:cs="Arial"/>
                <w:color w:val="000000"/>
                <w:sz w:val="16"/>
                <w:szCs w:val="16"/>
              </w:rPr>
              <w:t>20,17</w:t>
            </w:r>
          </w:p>
        </w:tc>
      </w:tr>
      <w:tr w:rsidR="00170240" w:rsidRPr="00170240" w14:paraId="4FD2A393" w14:textId="77777777" w:rsidTr="00355A67">
        <w:trPr>
          <w:gridAfter w:val="1"/>
          <w:wAfter w:w="6" w:type="dxa"/>
          <w:trHeight w:val="290"/>
        </w:trPr>
        <w:tc>
          <w:tcPr>
            <w:tcW w:w="3289" w:type="dxa"/>
            <w:tcBorders>
              <w:top w:val="nil"/>
              <w:left w:val="nil"/>
              <w:bottom w:val="nil"/>
              <w:right w:val="nil"/>
            </w:tcBorders>
            <w:shd w:val="clear" w:color="auto" w:fill="auto"/>
            <w:vAlign w:val="center"/>
            <w:hideMark/>
          </w:tcPr>
          <w:p w14:paraId="5F16883B" w14:textId="77777777" w:rsidR="00170240" w:rsidRPr="00170240" w:rsidRDefault="00170240" w:rsidP="00170240">
            <w:pPr>
              <w:spacing w:after="0" w:line="240" w:lineRule="auto"/>
              <w:ind w:firstLineChars="100" w:firstLine="160"/>
              <w:rPr>
                <w:rFonts w:ascii="Arial CE" w:hAnsi="Arial CE" w:cs="Arial CE"/>
                <w:sz w:val="16"/>
                <w:szCs w:val="16"/>
              </w:rPr>
            </w:pPr>
            <w:r w:rsidRPr="00170240">
              <w:rPr>
                <w:rFonts w:ascii="Arial CE" w:hAnsi="Arial CE" w:cs="Arial CE"/>
                <w:sz w:val="16"/>
                <w:szCs w:val="16"/>
              </w:rPr>
              <w:t>I – Ubytování, stravování a pohostinství</w:t>
            </w:r>
          </w:p>
        </w:tc>
        <w:tc>
          <w:tcPr>
            <w:tcW w:w="628" w:type="dxa"/>
            <w:tcBorders>
              <w:top w:val="nil"/>
              <w:left w:val="nil"/>
              <w:bottom w:val="nil"/>
              <w:right w:val="nil"/>
            </w:tcBorders>
            <w:shd w:val="clear" w:color="auto" w:fill="auto"/>
            <w:noWrap/>
            <w:vAlign w:val="center"/>
            <w:hideMark/>
          </w:tcPr>
          <w:p w14:paraId="7E752AF4"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14,49</w:t>
            </w:r>
          </w:p>
        </w:tc>
        <w:tc>
          <w:tcPr>
            <w:tcW w:w="628" w:type="dxa"/>
            <w:tcBorders>
              <w:top w:val="nil"/>
              <w:left w:val="nil"/>
              <w:bottom w:val="nil"/>
              <w:right w:val="nil"/>
            </w:tcBorders>
            <w:shd w:val="clear" w:color="auto" w:fill="auto"/>
            <w:noWrap/>
            <w:vAlign w:val="center"/>
            <w:hideMark/>
          </w:tcPr>
          <w:p w14:paraId="6FFDC594"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13,82</w:t>
            </w:r>
          </w:p>
        </w:tc>
        <w:tc>
          <w:tcPr>
            <w:tcW w:w="628" w:type="dxa"/>
            <w:tcBorders>
              <w:top w:val="nil"/>
              <w:left w:val="nil"/>
              <w:bottom w:val="nil"/>
              <w:right w:val="nil"/>
            </w:tcBorders>
            <w:shd w:val="clear" w:color="auto" w:fill="auto"/>
            <w:noWrap/>
            <w:vAlign w:val="center"/>
            <w:hideMark/>
          </w:tcPr>
          <w:p w14:paraId="7591B12E"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11,36</w:t>
            </w:r>
          </w:p>
        </w:tc>
        <w:tc>
          <w:tcPr>
            <w:tcW w:w="628" w:type="dxa"/>
            <w:tcBorders>
              <w:top w:val="nil"/>
              <w:left w:val="nil"/>
              <w:bottom w:val="nil"/>
              <w:right w:val="nil"/>
            </w:tcBorders>
            <w:shd w:val="clear" w:color="auto" w:fill="auto"/>
            <w:noWrap/>
            <w:vAlign w:val="center"/>
            <w:hideMark/>
          </w:tcPr>
          <w:p w14:paraId="714719A2"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12,93</w:t>
            </w:r>
          </w:p>
        </w:tc>
        <w:tc>
          <w:tcPr>
            <w:tcW w:w="628" w:type="dxa"/>
            <w:tcBorders>
              <w:top w:val="nil"/>
              <w:left w:val="nil"/>
              <w:bottom w:val="nil"/>
              <w:right w:val="nil"/>
            </w:tcBorders>
            <w:shd w:val="clear" w:color="auto" w:fill="auto"/>
            <w:noWrap/>
            <w:vAlign w:val="center"/>
            <w:hideMark/>
          </w:tcPr>
          <w:p w14:paraId="4FAF59A8"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12,08</w:t>
            </w:r>
          </w:p>
        </w:tc>
        <w:tc>
          <w:tcPr>
            <w:tcW w:w="628" w:type="dxa"/>
            <w:tcBorders>
              <w:top w:val="nil"/>
              <w:left w:val="nil"/>
              <w:bottom w:val="nil"/>
              <w:right w:val="nil"/>
            </w:tcBorders>
            <w:shd w:val="clear" w:color="auto" w:fill="auto"/>
            <w:noWrap/>
            <w:vAlign w:val="center"/>
            <w:hideMark/>
          </w:tcPr>
          <w:p w14:paraId="150F5AF9"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14,64</w:t>
            </w:r>
          </w:p>
        </w:tc>
        <w:tc>
          <w:tcPr>
            <w:tcW w:w="628" w:type="dxa"/>
            <w:tcBorders>
              <w:top w:val="nil"/>
              <w:left w:val="nil"/>
              <w:bottom w:val="nil"/>
              <w:right w:val="nil"/>
            </w:tcBorders>
            <w:shd w:val="clear" w:color="auto" w:fill="auto"/>
            <w:noWrap/>
            <w:vAlign w:val="center"/>
            <w:hideMark/>
          </w:tcPr>
          <w:p w14:paraId="0921CD3D"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14,75</w:t>
            </w:r>
          </w:p>
        </w:tc>
        <w:tc>
          <w:tcPr>
            <w:tcW w:w="628" w:type="dxa"/>
            <w:tcBorders>
              <w:top w:val="nil"/>
              <w:left w:val="nil"/>
              <w:bottom w:val="nil"/>
              <w:right w:val="nil"/>
            </w:tcBorders>
            <w:shd w:val="clear" w:color="auto" w:fill="auto"/>
            <w:noWrap/>
            <w:vAlign w:val="center"/>
            <w:hideMark/>
          </w:tcPr>
          <w:p w14:paraId="70CB5B46"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15,08</w:t>
            </w:r>
          </w:p>
        </w:tc>
        <w:tc>
          <w:tcPr>
            <w:tcW w:w="628" w:type="dxa"/>
            <w:tcBorders>
              <w:top w:val="nil"/>
              <w:left w:val="nil"/>
              <w:bottom w:val="nil"/>
              <w:right w:val="nil"/>
            </w:tcBorders>
            <w:shd w:val="clear" w:color="auto" w:fill="auto"/>
            <w:noWrap/>
            <w:vAlign w:val="center"/>
            <w:hideMark/>
          </w:tcPr>
          <w:p w14:paraId="44797C86"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16,38</w:t>
            </w:r>
          </w:p>
        </w:tc>
        <w:tc>
          <w:tcPr>
            <w:tcW w:w="628" w:type="dxa"/>
            <w:tcBorders>
              <w:top w:val="nil"/>
              <w:left w:val="nil"/>
              <w:bottom w:val="nil"/>
              <w:right w:val="nil"/>
            </w:tcBorders>
            <w:shd w:val="clear" w:color="auto" w:fill="auto"/>
            <w:noWrap/>
            <w:vAlign w:val="center"/>
            <w:hideMark/>
          </w:tcPr>
          <w:p w14:paraId="03AAF055" w14:textId="77777777" w:rsidR="00170240" w:rsidRPr="00170240" w:rsidRDefault="00170240" w:rsidP="00170240">
            <w:pPr>
              <w:spacing w:after="0" w:line="240" w:lineRule="auto"/>
              <w:jc w:val="right"/>
              <w:rPr>
                <w:rFonts w:cs="Arial"/>
                <w:color w:val="000000"/>
                <w:sz w:val="16"/>
                <w:szCs w:val="16"/>
              </w:rPr>
            </w:pPr>
            <w:r w:rsidRPr="00170240">
              <w:rPr>
                <w:rFonts w:cs="Arial"/>
                <w:color w:val="000000"/>
                <w:sz w:val="16"/>
                <w:szCs w:val="16"/>
              </w:rPr>
              <w:t>15,77</w:t>
            </w:r>
          </w:p>
        </w:tc>
      </w:tr>
      <w:tr w:rsidR="00170240" w:rsidRPr="00170240" w14:paraId="36AF13DC" w14:textId="77777777" w:rsidTr="00355A67">
        <w:trPr>
          <w:gridAfter w:val="1"/>
          <w:wAfter w:w="6" w:type="dxa"/>
          <w:trHeight w:val="290"/>
        </w:trPr>
        <w:tc>
          <w:tcPr>
            <w:tcW w:w="3289" w:type="dxa"/>
            <w:tcBorders>
              <w:top w:val="nil"/>
              <w:left w:val="nil"/>
              <w:bottom w:val="nil"/>
              <w:right w:val="nil"/>
            </w:tcBorders>
            <w:shd w:val="clear" w:color="auto" w:fill="auto"/>
            <w:vAlign w:val="center"/>
            <w:hideMark/>
          </w:tcPr>
          <w:p w14:paraId="5EDA2F2B" w14:textId="77777777" w:rsidR="00170240" w:rsidRPr="00170240" w:rsidRDefault="00170240" w:rsidP="00170240">
            <w:pPr>
              <w:spacing w:after="0" w:line="240" w:lineRule="auto"/>
              <w:ind w:firstLineChars="100" w:firstLine="160"/>
              <w:rPr>
                <w:rFonts w:ascii="Arial CE" w:hAnsi="Arial CE" w:cs="Arial CE"/>
                <w:sz w:val="16"/>
                <w:szCs w:val="16"/>
              </w:rPr>
            </w:pPr>
            <w:r w:rsidRPr="00170240">
              <w:rPr>
                <w:rFonts w:ascii="Arial CE" w:hAnsi="Arial CE" w:cs="Arial CE"/>
                <w:sz w:val="16"/>
                <w:szCs w:val="16"/>
              </w:rPr>
              <w:t>J – Informační a komunikační činnosti</w:t>
            </w:r>
          </w:p>
        </w:tc>
        <w:tc>
          <w:tcPr>
            <w:tcW w:w="628" w:type="dxa"/>
            <w:tcBorders>
              <w:top w:val="nil"/>
              <w:left w:val="nil"/>
              <w:bottom w:val="nil"/>
              <w:right w:val="nil"/>
            </w:tcBorders>
            <w:shd w:val="clear" w:color="auto" w:fill="auto"/>
            <w:noWrap/>
            <w:vAlign w:val="center"/>
            <w:hideMark/>
          </w:tcPr>
          <w:p w14:paraId="73506C9E"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14,16</w:t>
            </w:r>
          </w:p>
        </w:tc>
        <w:tc>
          <w:tcPr>
            <w:tcW w:w="628" w:type="dxa"/>
            <w:tcBorders>
              <w:top w:val="nil"/>
              <w:left w:val="nil"/>
              <w:bottom w:val="nil"/>
              <w:right w:val="nil"/>
            </w:tcBorders>
            <w:shd w:val="clear" w:color="auto" w:fill="auto"/>
            <w:noWrap/>
            <w:vAlign w:val="center"/>
            <w:hideMark/>
          </w:tcPr>
          <w:p w14:paraId="6F63EE18"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14,98</w:t>
            </w:r>
          </w:p>
        </w:tc>
        <w:tc>
          <w:tcPr>
            <w:tcW w:w="628" w:type="dxa"/>
            <w:tcBorders>
              <w:top w:val="nil"/>
              <w:left w:val="nil"/>
              <w:bottom w:val="nil"/>
              <w:right w:val="nil"/>
            </w:tcBorders>
            <w:shd w:val="clear" w:color="auto" w:fill="auto"/>
            <w:noWrap/>
            <w:vAlign w:val="center"/>
            <w:hideMark/>
          </w:tcPr>
          <w:p w14:paraId="67B202EE"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10,75</w:t>
            </w:r>
          </w:p>
        </w:tc>
        <w:tc>
          <w:tcPr>
            <w:tcW w:w="628" w:type="dxa"/>
            <w:tcBorders>
              <w:top w:val="nil"/>
              <w:left w:val="nil"/>
              <w:bottom w:val="nil"/>
              <w:right w:val="nil"/>
            </w:tcBorders>
            <w:shd w:val="clear" w:color="auto" w:fill="auto"/>
            <w:noWrap/>
            <w:vAlign w:val="center"/>
            <w:hideMark/>
          </w:tcPr>
          <w:p w14:paraId="33275A2D"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13,12</w:t>
            </w:r>
          </w:p>
        </w:tc>
        <w:tc>
          <w:tcPr>
            <w:tcW w:w="628" w:type="dxa"/>
            <w:tcBorders>
              <w:top w:val="nil"/>
              <w:left w:val="nil"/>
              <w:bottom w:val="nil"/>
              <w:right w:val="nil"/>
            </w:tcBorders>
            <w:shd w:val="clear" w:color="auto" w:fill="auto"/>
            <w:noWrap/>
            <w:vAlign w:val="center"/>
            <w:hideMark/>
          </w:tcPr>
          <w:p w14:paraId="07BB318A"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11,11</w:t>
            </w:r>
          </w:p>
        </w:tc>
        <w:tc>
          <w:tcPr>
            <w:tcW w:w="628" w:type="dxa"/>
            <w:tcBorders>
              <w:top w:val="nil"/>
              <w:left w:val="nil"/>
              <w:bottom w:val="nil"/>
              <w:right w:val="nil"/>
            </w:tcBorders>
            <w:shd w:val="clear" w:color="auto" w:fill="auto"/>
            <w:noWrap/>
            <w:vAlign w:val="center"/>
            <w:hideMark/>
          </w:tcPr>
          <w:p w14:paraId="33682FA9"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13,39</w:t>
            </w:r>
          </w:p>
        </w:tc>
        <w:tc>
          <w:tcPr>
            <w:tcW w:w="628" w:type="dxa"/>
            <w:tcBorders>
              <w:top w:val="nil"/>
              <w:left w:val="nil"/>
              <w:bottom w:val="nil"/>
              <w:right w:val="nil"/>
            </w:tcBorders>
            <w:shd w:val="clear" w:color="auto" w:fill="auto"/>
            <w:noWrap/>
            <w:vAlign w:val="center"/>
            <w:hideMark/>
          </w:tcPr>
          <w:p w14:paraId="3EF92689"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12,72</w:t>
            </w:r>
          </w:p>
        </w:tc>
        <w:tc>
          <w:tcPr>
            <w:tcW w:w="628" w:type="dxa"/>
            <w:tcBorders>
              <w:top w:val="nil"/>
              <w:left w:val="nil"/>
              <w:bottom w:val="nil"/>
              <w:right w:val="nil"/>
            </w:tcBorders>
            <w:shd w:val="clear" w:color="auto" w:fill="auto"/>
            <w:noWrap/>
            <w:vAlign w:val="center"/>
            <w:hideMark/>
          </w:tcPr>
          <w:p w14:paraId="77481BD3"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13,53</w:t>
            </w:r>
          </w:p>
        </w:tc>
        <w:tc>
          <w:tcPr>
            <w:tcW w:w="628" w:type="dxa"/>
            <w:tcBorders>
              <w:top w:val="nil"/>
              <w:left w:val="nil"/>
              <w:bottom w:val="nil"/>
              <w:right w:val="nil"/>
            </w:tcBorders>
            <w:shd w:val="clear" w:color="auto" w:fill="auto"/>
            <w:noWrap/>
            <w:vAlign w:val="center"/>
            <w:hideMark/>
          </w:tcPr>
          <w:p w14:paraId="2460677D"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14,40</w:t>
            </w:r>
          </w:p>
        </w:tc>
        <w:tc>
          <w:tcPr>
            <w:tcW w:w="628" w:type="dxa"/>
            <w:tcBorders>
              <w:top w:val="nil"/>
              <w:left w:val="nil"/>
              <w:bottom w:val="nil"/>
              <w:right w:val="nil"/>
            </w:tcBorders>
            <w:shd w:val="clear" w:color="auto" w:fill="auto"/>
            <w:noWrap/>
            <w:vAlign w:val="center"/>
            <w:hideMark/>
          </w:tcPr>
          <w:p w14:paraId="216EE760" w14:textId="77777777" w:rsidR="00170240" w:rsidRPr="00170240" w:rsidRDefault="00170240" w:rsidP="00170240">
            <w:pPr>
              <w:spacing w:after="0" w:line="240" w:lineRule="auto"/>
              <w:jc w:val="right"/>
              <w:rPr>
                <w:rFonts w:cs="Arial"/>
                <w:color w:val="000000"/>
                <w:sz w:val="16"/>
                <w:szCs w:val="16"/>
              </w:rPr>
            </w:pPr>
            <w:r w:rsidRPr="00170240">
              <w:rPr>
                <w:rFonts w:cs="Arial"/>
                <w:color w:val="000000"/>
                <w:sz w:val="16"/>
                <w:szCs w:val="16"/>
              </w:rPr>
              <w:t>13,54</w:t>
            </w:r>
          </w:p>
        </w:tc>
      </w:tr>
      <w:tr w:rsidR="00170240" w:rsidRPr="00170240" w14:paraId="6363C60F" w14:textId="77777777" w:rsidTr="00355A67">
        <w:trPr>
          <w:gridAfter w:val="1"/>
          <w:wAfter w:w="6" w:type="dxa"/>
          <w:trHeight w:val="290"/>
        </w:trPr>
        <w:tc>
          <w:tcPr>
            <w:tcW w:w="3289" w:type="dxa"/>
            <w:tcBorders>
              <w:top w:val="nil"/>
              <w:left w:val="nil"/>
              <w:bottom w:val="nil"/>
              <w:right w:val="nil"/>
            </w:tcBorders>
            <w:shd w:val="clear" w:color="auto" w:fill="auto"/>
            <w:vAlign w:val="center"/>
            <w:hideMark/>
          </w:tcPr>
          <w:p w14:paraId="7599AB6C" w14:textId="77777777" w:rsidR="00170240" w:rsidRPr="00170240" w:rsidRDefault="00170240" w:rsidP="00170240">
            <w:pPr>
              <w:spacing w:after="0" w:line="240" w:lineRule="auto"/>
              <w:ind w:firstLineChars="100" w:firstLine="160"/>
              <w:rPr>
                <w:rFonts w:ascii="Arial CE" w:hAnsi="Arial CE" w:cs="Arial CE"/>
                <w:sz w:val="16"/>
                <w:szCs w:val="16"/>
              </w:rPr>
            </w:pPr>
            <w:r w:rsidRPr="00170240">
              <w:rPr>
                <w:rFonts w:ascii="Arial CE" w:hAnsi="Arial CE" w:cs="Arial CE"/>
                <w:sz w:val="16"/>
                <w:szCs w:val="16"/>
              </w:rPr>
              <w:t>K – Peněžnictví a pojišťovnictví</w:t>
            </w:r>
          </w:p>
        </w:tc>
        <w:tc>
          <w:tcPr>
            <w:tcW w:w="628" w:type="dxa"/>
            <w:tcBorders>
              <w:top w:val="nil"/>
              <w:left w:val="nil"/>
              <w:bottom w:val="nil"/>
              <w:right w:val="nil"/>
            </w:tcBorders>
            <w:shd w:val="clear" w:color="auto" w:fill="auto"/>
            <w:noWrap/>
            <w:vAlign w:val="center"/>
            <w:hideMark/>
          </w:tcPr>
          <w:p w14:paraId="23523989"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16,24</w:t>
            </w:r>
          </w:p>
        </w:tc>
        <w:tc>
          <w:tcPr>
            <w:tcW w:w="628" w:type="dxa"/>
            <w:tcBorders>
              <w:top w:val="nil"/>
              <w:left w:val="nil"/>
              <w:bottom w:val="nil"/>
              <w:right w:val="nil"/>
            </w:tcBorders>
            <w:shd w:val="clear" w:color="auto" w:fill="auto"/>
            <w:noWrap/>
            <w:vAlign w:val="center"/>
            <w:hideMark/>
          </w:tcPr>
          <w:p w14:paraId="2475F471"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17,00</w:t>
            </w:r>
          </w:p>
        </w:tc>
        <w:tc>
          <w:tcPr>
            <w:tcW w:w="628" w:type="dxa"/>
            <w:tcBorders>
              <w:top w:val="nil"/>
              <w:left w:val="nil"/>
              <w:bottom w:val="nil"/>
              <w:right w:val="nil"/>
            </w:tcBorders>
            <w:shd w:val="clear" w:color="auto" w:fill="auto"/>
            <w:noWrap/>
            <w:vAlign w:val="center"/>
            <w:hideMark/>
          </w:tcPr>
          <w:p w14:paraId="5C2F6B51"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11,98</w:t>
            </w:r>
          </w:p>
        </w:tc>
        <w:tc>
          <w:tcPr>
            <w:tcW w:w="628" w:type="dxa"/>
            <w:tcBorders>
              <w:top w:val="nil"/>
              <w:left w:val="nil"/>
              <w:bottom w:val="nil"/>
              <w:right w:val="nil"/>
            </w:tcBorders>
            <w:shd w:val="clear" w:color="auto" w:fill="auto"/>
            <w:noWrap/>
            <w:vAlign w:val="center"/>
            <w:hideMark/>
          </w:tcPr>
          <w:p w14:paraId="2234DB38"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14,92</w:t>
            </w:r>
          </w:p>
        </w:tc>
        <w:tc>
          <w:tcPr>
            <w:tcW w:w="628" w:type="dxa"/>
            <w:tcBorders>
              <w:top w:val="nil"/>
              <w:left w:val="nil"/>
              <w:bottom w:val="nil"/>
              <w:right w:val="nil"/>
            </w:tcBorders>
            <w:shd w:val="clear" w:color="auto" w:fill="auto"/>
            <w:noWrap/>
            <w:vAlign w:val="center"/>
            <w:hideMark/>
          </w:tcPr>
          <w:p w14:paraId="60CAB02F"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12,92</w:t>
            </w:r>
          </w:p>
        </w:tc>
        <w:tc>
          <w:tcPr>
            <w:tcW w:w="628" w:type="dxa"/>
            <w:tcBorders>
              <w:top w:val="nil"/>
              <w:left w:val="nil"/>
              <w:bottom w:val="nil"/>
              <w:right w:val="nil"/>
            </w:tcBorders>
            <w:shd w:val="clear" w:color="auto" w:fill="auto"/>
            <w:noWrap/>
            <w:vAlign w:val="center"/>
            <w:hideMark/>
          </w:tcPr>
          <w:p w14:paraId="5AD5E7CB"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16,06</w:t>
            </w:r>
          </w:p>
        </w:tc>
        <w:tc>
          <w:tcPr>
            <w:tcW w:w="628" w:type="dxa"/>
            <w:tcBorders>
              <w:top w:val="nil"/>
              <w:left w:val="nil"/>
              <w:bottom w:val="nil"/>
              <w:right w:val="nil"/>
            </w:tcBorders>
            <w:shd w:val="clear" w:color="auto" w:fill="auto"/>
            <w:noWrap/>
            <w:vAlign w:val="center"/>
            <w:hideMark/>
          </w:tcPr>
          <w:p w14:paraId="5B2A4617"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14,75</w:t>
            </w:r>
          </w:p>
        </w:tc>
        <w:tc>
          <w:tcPr>
            <w:tcW w:w="628" w:type="dxa"/>
            <w:tcBorders>
              <w:top w:val="nil"/>
              <w:left w:val="nil"/>
              <w:bottom w:val="nil"/>
              <w:right w:val="nil"/>
            </w:tcBorders>
            <w:shd w:val="clear" w:color="auto" w:fill="auto"/>
            <w:noWrap/>
            <w:vAlign w:val="center"/>
            <w:hideMark/>
          </w:tcPr>
          <w:p w14:paraId="7FCFB70B"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15,10</w:t>
            </w:r>
          </w:p>
        </w:tc>
        <w:tc>
          <w:tcPr>
            <w:tcW w:w="628" w:type="dxa"/>
            <w:tcBorders>
              <w:top w:val="nil"/>
              <w:left w:val="nil"/>
              <w:bottom w:val="nil"/>
              <w:right w:val="nil"/>
            </w:tcBorders>
            <w:shd w:val="clear" w:color="auto" w:fill="auto"/>
            <w:noWrap/>
            <w:vAlign w:val="center"/>
            <w:hideMark/>
          </w:tcPr>
          <w:p w14:paraId="5EAE2744"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16,43</w:t>
            </w:r>
          </w:p>
        </w:tc>
        <w:tc>
          <w:tcPr>
            <w:tcW w:w="628" w:type="dxa"/>
            <w:tcBorders>
              <w:top w:val="nil"/>
              <w:left w:val="nil"/>
              <w:bottom w:val="nil"/>
              <w:right w:val="nil"/>
            </w:tcBorders>
            <w:shd w:val="clear" w:color="auto" w:fill="auto"/>
            <w:noWrap/>
            <w:vAlign w:val="center"/>
            <w:hideMark/>
          </w:tcPr>
          <w:p w14:paraId="5A2548B9" w14:textId="77777777" w:rsidR="00170240" w:rsidRPr="00170240" w:rsidRDefault="00170240" w:rsidP="00170240">
            <w:pPr>
              <w:spacing w:after="0" w:line="240" w:lineRule="auto"/>
              <w:jc w:val="right"/>
              <w:rPr>
                <w:rFonts w:cs="Arial"/>
                <w:color w:val="000000"/>
                <w:sz w:val="16"/>
                <w:szCs w:val="16"/>
              </w:rPr>
            </w:pPr>
            <w:r w:rsidRPr="00170240">
              <w:rPr>
                <w:rFonts w:cs="Arial"/>
                <w:color w:val="000000"/>
                <w:sz w:val="16"/>
                <w:szCs w:val="16"/>
              </w:rPr>
              <w:t>14,97</w:t>
            </w:r>
          </w:p>
        </w:tc>
      </w:tr>
      <w:tr w:rsidR="00170240" w:rsidRPr="00170240" w14:paraId="261FBF5E" w14:textId="77777777" w:rsidTr="00355A67">
        <w:trPr>
          <w:gridAfter w:val="1"/>
          <w:wAfter w:w="6" w:type="dxa"/>
          <w:trHeight w:val="290"/>
        </w:trPr>
        <w:tc>
          <w:tcPr>
            <w:tcW w:w="3289" w:type="dxa"/>
            <w:tcBorders>
              <w:top w:val="nil"/>
              <w:left w:val="nil"/>
              <w:bottom w:val="nil"/>
              <w:right w:val="nil"/>
            </w:tcBorders>
            <w:shd w:val="clear" w:color="auto" w:fill="auto"/>
            <w:vAlign w:val="center"/>
            <w:hideMark/>
          </w:tcPr>
          <w:p w14:paraId="05B21A06" w14:textId="77777777" w:rsidR="00170240" w:rsidRPr="00170240" w:rsidRDefault="00170240" w:rsidP="00170240">
            <w:pPr>
              <w:spacing w:after="0" w:line="240" w:lineRule="auto"/>
              <w:ind w:firstLineChars="100" w:firstLine="160"/>
              <w:rPr>
                <w:rFonts w:ascii="Arial CE" w:hAnsi="Arial CE" w:cs="Arial CE"/>
                <w:sz w:val="16"/>
                <w:szCs w:val="16"/>
              </w:rPr>
            </w:pPr>
            <w:r w:rsidRPr="00170240">
              <w:rPr>
                <w:rFonts w:ascii="Arial CE" w:hAnsi="Arial CE" w:cs="Arial CE"/>
                <w:sz w:val="16"/>
                <w:szCs w:val="16"/>
              </w:rPr>
              <w:t>L – Činnosti v oblasti nemovitostí</w:t>
            </w:r>
          </w:p>
        </w:tc>
        <w:tc>
          <w:tcPr>
            <w:tcW w:w="628" w:type="dxa"/>
            <w:tcBorders>
              <w:top w:val="nil"/>
              <w:left w:val="nil"/>
              <w:bottom w:val="nil"/>
              <w:right w:val="nil"/>
            </w:tcBorders>
            <w:shd w:val="clear" w:color="auto" w:fill="auto"/>
            <w:noWrap/>
            <w:vAlign w:val="center"/>
            <w:hideMark/>
          </w:tcPr>
          <w:p w14:paraId="1C9D133A"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10,83</w:t>
            </w:r>
          </w:p>
        </w:tc>
        <w:tc>
          <w:tcPr>
            <w:tcW w:w="628" w:type="dxa"/>
            <w:tcBorders>
              <w:top w:val="nil"/>
              <w:left w:val="nil"/>
              <w:bottom w:val="nil"/>
              <w:right w:val="nil"/>
            </w:tcBorders>
            <w:shd w:val="clear" w:color="auto" w:fill="auto"/>
            <w:noWrap/>
            <w:vAlign w:val="center"/>
            <w:hideMark/>
          </w:tcPr>
          <w:p w14:paraId="50F750A4"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10,51</w:t>
            </w:r>
          </w:p>
        </w:tc>
        <w:tc>
          <w:tcPr>
            <w:tcW w:w="628" w:type="dxa"/>
            <w:tcBorders>
              <w:top w:val="nil"/>
              <w:left w:val="nil"/>
              <w:bottom w:val="nil"/>
              <w:right w:val="nil"/>
            </w:tcBorders>
            <w:shd w:val="clear" w:color="auto" w:fill="auto"/>
            <w:noWrap/>
            <w:vAlign w:val="center"/>
            <w:hideMark/>
          </w:tcPr>
          <w:p w14:paraId="3ADD82BD"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7,37</w:t>
            </w:r>
          </w:p>
        </w:tc>
        <w:tc>
          <w:tcPr>
            <w:tcW w:w="628" w:type="dxa"/>
            <w:tcBorders>
              <w:top w:val="nil"/>
              <w:left w:val="nil"/>
              <w:bottom w:val="nil"/>
              <w:right w:val="nil"/>
            </w:tcBorders>
            <w:shd w:val="clear" w:color="auto" w:fill="auto"/>
            <w:noWrap/>
            <w:vAlign w:val="center"/>
            <w:hideMark/>
          </w:tcPr>
          <w:p w14:paraId="5EED5A5C"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8,29</w:t>
            </w:r>
          </w:p>
        </w:tc>
        <w:tc>
          <w:tcPr>
            <w:tcW w:w="628" w:type="dxa"/>
            <w:tcBorders>
              <w:top w:val="nil"/>
              <w:left w:val="nil"/>
              <w:bottom w:val="nil"/>
              <w:right w:val="nil"/>
            </w:tcBorders>
            <w:shd w:val="clear" w:color="auto" w:fill="auto"/>
            <w:noWrap/>
            <w:vAlign w:val="center"/>
            <w:hideMark/>
          </w:tcPr>
          <w:p w14:paraId="52B0631F"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7,21</w:t>
            </w:r>
          </w:p>
        </w:tc>
        <w:tc>
          <w:tcPr>
            <w:tcW w:w="628" w:type="dxa"/>
            <w:tcBorders>
              <w:top w:val="nil"/>
              <w:left w:val="nil"/>
              <w:bottom w:val="nil"/>
              <w:right w:val="nil"/>
            </w:tcBorders>
            <w:shd w:val="clear" w:color="auto" w:fill="auto"/>
            <w:noWrap/>
            <w:vAlign w:val="center"/>
            <w:hideMark/>
          </w:tcPr>
          <w:p w14:paraId="53D78516"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9,07</w:t>
            </w:r>
          </w:p>
        </w:tc>
        <w:tc>
          <w:tcPr>
            <w:tcW w:w="628" w:type="dxa"/>
            <w:tcBorders>
              <w:top w:val="nil"/>
              <w:left w:val="nil"/>
              <w:bottom w:val="nil"/>
              <w:right w:val="nil"/>
            </w:tcBorders>
            <w:shd w:val="clear" w:color="auto" w:fill="auto"/>
            <w:noWrap/>
            <w:vAlign w:val="center"/>
            <w:hideMark/>
          </w:tcPr>
          <w:p w14:paraId="0E197B41"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8,61</w:t>
            </w:r>
          </w:p>
        </w:tc>
        <w:tc>
          <w:tcPr>
            <w:tcW w:w="628" w:type="dxa"/>
            <w:tcBorders>
              <w:top w:val="nil"/>
              <w:left w:val="nil"/>
              <w:bottom w:val="nil"/>
              <w:right w:val="nil"/>
            </w:tcBorders>
            <w:shd w:val="clear" w:color="auto" w:fill="auto"/>
            <w:noWrap/>
            <w:vAlign w:val="center"/>
            <w:hideMark/>
          </w:tcPr>
          <w:p w14:paraId="029A336D"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8,48</w:t>
            </w:r>
          </w:p>
        </w:tc>
        <w:tc>
          <w:tcPr>
            <w:tcW w:w="628" w:type="dxa"/>
            <w:tcBorders>
              <w:top w:val="nil"/>
              <w:left w:val="nil"/>
              <w:bottom w:val="nil"/>
              <w:right w:val="nil"/>
            </w:tcBorders>
            <w:shd w:val="clear" w:color="auto" w:fill="auto"/>
            <w:noWrap/>
            <w:vAlign w:val="center"/>
            <w:hideMark/>
          </w:tcPr>
          <w:p w14:paraId="70B382A9"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9,64</w:t>
            </w:r>
          </w:p>
        </w:tc>
        <w:tc>
          <w:tcPr>
            <w:tcW w:w="628" w:type="dxa"/>
            <w:tcBorders>
              <w:top w:val="nil"/>
              <w:left w:val="nil"/>
              <w:bottom w:val="nil"/>
              <w:right w:val="nil"/>
            </w:tcBorders>
            <w:shd w:val="clear" w:color="auto" w:fill="auto"/>
            <w:noWrap/>
            <w:vAlign w:val="center"/>
            <w:hideMark/>
          </w:tcPr>
          <w:p w14:paraId="31A871BA" w14:textId="77777777" w:rsidR="00170240" w:rsidRPr="00170240" w:rsidRDefault="00170240" w:rsidP="00170240">
            <w:pPr>
              <w:spacing w:after="0" w:line="240" w:lineRule="auto"/>
              <w:jc w:val="right"/>
              <w:rPr>
                <w:rFonts w:cs="Arial"/>
                <w:color w:val="000000"/>
                <w:sz w:val="16"/>
                <w:szCs w:val="16"/>
              </w:rPr>
            </w:pPr>
            <w:r w:rsidRPr="00170240">
              <w:rPr>
                <w:rFonts w:cs="Arial"/>
                <w:color w:val="000000"/>
                <w:sz w:val="16"/>
                <w:szCs w:val="16"/>
              </w:rPr>
              <w:t>9,23</w:t>
            </w:r>
          </w:p>
        </w:tc>
      </w:tr>
      <w:tr w:rsidR="00170240" w:rsidRPr="00170240" w14:paraId="136D0414" w14:textId="77777777" w:rsidTr="00355A67">
        <w:trPr>
          <w:gridAfter w:val="1"/>
          <w:wAfter w:w="6" w:type="dxa"/>
          <w:trHeight w:val="459"/>
        </w:trPr>
        <w:tc>
          <w:tcPr>
            <w:tcW w:w="3289" w:type="dxa"/>
            <w:tcBorders>
              <w:top w:val="nil"/>
              <w:left w:val="nil"/>
              <w:bottom w:val="nil"/>
              <w:right w:val="nil"/>
            </w:tcBorders>
            <w:shd w:val="clear" w:color="auto" w:fill="auto"/>
            <w:vAlign w:val="center"/>
            <w:hideMark/>
          </w:tcPr>
          <w:p w14:paraId="5577505F" w14:textId="77777777" w:rsidR="00355A67" w:rsidRDefault="00170240" w:rsidP="00170240">
            <w:pPr>
              <w:spacing w:after="0" w:line="240" w:lineRule="auto"/>
              <w:ind w:firstLineChars="100" w:firstLine="160"/>
              <w:rPr>
                <w:rFonts w:ascii="Arial CE" w:hAnsi="Arial CE" w:cs="Arial CE"/>
                <w:sz w:val="16"/>
                <w:szCs w:val="16"/>
              </w:rPr>
            </w:pPr>
            <w:r w:rsidRPr="00170240">
              <w:rPr>
                <w:rFonts w:ascii="Arial CE" w:hAnsi="Arial CE" w:cs="Arial CE"/>
                <w:sz w:val="16"/>
                <w:szCs w:val="16"/>
              </w:rPr>
              <w:t>M – Profesní, vědecké a technické</w:t>
            </w:r>
          </w:p>
          <w:p w14:paraId="2AFD47FA" w14:textId="6884AAD4" w:rsidR="00170240" w:rsidRPr="00170240" w:rsidRDefault="00355A67" w:rsidP="00355A67">
            <w:pPr>
              <w:spacing w:after="0" w:line="240" w:lineRule="auto"/>
              <w:ind w:firstLineChars="100" w:firstLine="160"/>
              <w:rPr>
                <w:rFonts w:ascii="Arial CE" w:hAnsi="Arial CE" w:cs="Arial CE"/>
                <w:sz w:val="16"/>
                <w:szCs w:val="16"/>
              </w:rPr>
            </w:pPr>
            <w:r>
              <w:rPr>
                <w:rFonts w:ascii="Arial CE" w:hAnsi="Arial CE" w:cs="Arial CE"/>
                <w:sz w:val="16"/>
                <w:szCs w:val="16"/>
              </w:rPr>
              <w:t xml:space="preserve">       </w:t>
            </w:r>
            <w:r w:rsidR="00170240" w:rsidRPr="00170240">
              <w:rPr>
                <w:rFonts w:ascii="Arial CE" w:hAnsi="Arial CE" w:cs="Arial CE"/>
                <w:sz w:val="16"/>
                <w:szCs w:val="16"/>
              </w:rPr>
              <w:t>činnosti</w:t>
            </w:r>
          </w:p>
        </w:tc>
        <w:tc>
          <w:tcPr>
            <w:tcW w:w="628" w:type="dxa"/>
            <w:tcBorders>
              <w:top w:val="nil"/>
              <w:left w:val="nil"/>
              <w:bottom w:val="nil"/>
              <w:right w:val="nil"/>
            </w:tcBorders>
            <w:shd w:val="clear" w:color="auto" w:fill="auto"/>
            <w:noWrap/>
            <w:vAlign w:val="center"/>
            <w:hideMark/>
          </w:tcPr>
          <w:p w14:paraId="51BEF898"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12,14</w:t>
            </w:r>
          </w:p>
        </w:tc>
        <w:tc>
          <w:tcPr>
            <w:tcW w:w="628" w:type="dxa"/>
            <w:tcBorders>
              <w:top w:val="nil"/>
              <w:left w:val="nil"/>
              <w:bottom w:val="nil"/>
              <w:right w:val="nil"/>
            </w:tcBorders>
            <w:shd w:val="clear" w:color="auto" w:fill="auto"/>
            <w:noWrap/>
            <w:vAlign w:val="center"/>
            <w:hideMark/>
          </w:tcPr>
          <w:p w14:paraId="2653B098"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11,76</w:t>
            </w:r>
          </w:p>
        </w:tc>
        <w:tc>
          <w:tcPr>
            <w:tcW w:w="628" w:type="dxa"/>
            <w:tcBorders>
              <w:top w:val="nil"/>
              <w:left w:val="nil"/>
              <w:bottom w:val="nil"/>
              <w:right w:val="nil"/>
            </w:tcBorders>
            <w:shd w:val="clear" w:color="auto" w:fill="auto"/>
            <w:noWrap/>
            <w:vAlign w:val="center"/>
            <w:hideMark/>
          </w:tcPr>
          <w:p w14:paraId="73AA74BB"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9,25</w:t>
            </w:r>
          </w:p>
        </w:tc>
        <w:tc>
          <w:tcPr>
            <w:tcW w:w="628" w:type="dxa"/>
            <w:tcBorders>
              <w:top w:val="nil"/>
              <w:left w:val="nil"/>
              <w:bottom w:val="nil"/>
              <w:right w:val="nil"/>
            </w:tcBorders>
            <w:shd w:val="clear" w:color="auto" w:fill="auto"/>
            <w:noWrap/>
            <w:vAlign w:val="center"/>
            <w:hideMark/>
          </w:tcPr>
          <w:p w14:paraId="6D4D2F01"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11,35</w:t>
            </w:r>
          </w:p>
        </w:tc>
        <w:tc>
          <w:tcPr>
            <w:tcW w:w="628" w:type="dxa"/>
            <w:tcBorders>
              <w:top w:val="nil"/>
              <w:left w:val="nil"/>
              <w:bottom w:val="nil"/>
              <w:right w:val="nil"/>
            </w:tcBorders>
            <w:shd w:val="clear" w:color="auto" w:fill="auto"/>
            <w:noWrap/>
            <w:vAlign w:val="center"/>
            <w:hideMark/>
          </w:tcPr>
          <w:p w14:paraId="451129FB"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9,49</w:t>
            </w:r>
          </w:p>
        </w:tc>
        <w:tc>
          <w:tcPr>
            <w:tcW w:w="628" w:type="dxa"/>
            <w:tcBorders>
              <w:top w:val="nil"/>
              <w:left w:val="nil"/>
              <w:bottom w:val="nil"/>
              <w:right w:val="nil"/>
            </w:tcBorders>
            <w:shd w:val="clear" w:color="auto" w:fill="auto"/>
            <w:noWrap/>
            <w:vAlign w:val="center"/>
            <w:hideMark/>
          </w:tcPr>
          <w:p w14:paraId="3E845C53"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12,10</w:t>
            </w:r>
          </w:p>
        </w:tc>
        <w:tc>
          <w:tcPr>
            <w:tcW w:w="628" w:type="dxa"/>
            <w:tcBorders>
              <w:top w:val="nil"/>
              <w:left w:val="nil"/>
              <w:bottom w:val="nil"/>
              <w:right w:val="nil"/>
            </w:tcBorders>
            <w:shd w:val="clear" w:color="auto" w:fill="auto"/>
            <w:noWrap/>
            <w:vAlign w:val="center"/>
            <w:hideMark/>
          </w:tcPr>
          <w:p w14:paraId="76D6A355"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11,66</w:t>
            </w:r>
          </w:p>
        </w:tc>
        <w:tc>
          <w:tcPr>
            <w:tcW w:w="628" w:type="dxa"/>
            <w:tcBorders>
              <w:top w:val="nil"/>
              <w:left w:val="nil"/>
              <w:bottom w:val="nil"/>
              <w:right w:val="nil"/>
            </w:tcBorders>
            <w:shd w:val="clear" w:color="auto" w:fill="auto"/>
            <w:noWrap/>
            <w:vAlign w:val="center"/>
            <w:hideMark/>
          </w:tcPr>
          <w:p w14:paraId="2344E326"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12,19</w:t>
            </w:r>
          </w:p>
        </w:tc>
        <w:tc>
          <w:tcPr>
            <w:tcW w:w="628" w:type="dxa"/>
            <w:tcBorders>
              <w:top w:val="nil"/>
              <w:left w:val="nil"/>
              <w:bottom w:val="nil"/>
              <w:right w:val="nil"/>
            </w:tcBorders>
            <w:shd w:val="clear" w:color="auto" w:fill="auto"/>
            <w:noWrap/>
            <w:vAlign w:val="center"/>
            <w:hideMark/>
          </w:tcPr>
          <w:p w14:paraId="24CAF89B"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12,93</w:t>
            </w:r>
          </w:p>
        </w:tc>
        <w:tc>
          <w:tcPr>
            <w:tcW w:w="628" w:type="dxa"/>
            <w:tcBorders>
              <w:top w:val="nil"/>
              <w:left w:val="nil"/>
              <w:bottom w:val="nil"/>
              <w:right w:val="nil"/>
            </w:tcBorders>
            <w:shd w:val="clear" w:color="auto" w:fill="auto"/>
            <w:noWrap/>
            <w:vAlign w:val="center"/>
            <w:hideMark/>
          </w:tcPr>
          <w:p w14:paraId="19B016F2" w14:textId="77777777" w:rsidR="00170240" w:rsidRPr="00170240" w:rsidRDefault="00170240" w:rsidP="00170240">
            <w:pPr>
              <w:spacing w:after="0" w:line="240" w:lineRule="auto"/>
              <w:jc w:val="right"/>
              <w:rPr>
                <w:rFonts w:cs="Arial"/>
                <w:color w:val="000000"/>
                <w:sz w:val="16"/>
                <w:szCs w:val="16"/>
              </w:rPr>
            </w:pPr>
            <w:r w:rsidRPr="00170240">
              <w:rPr>
                <w:rFonts w:cs="Arial"/>
                <w:color w:val="000000"/>
                <w:sz w:val="16"/>
                <w:szCs w:val="16"/>
              </w:rPr>
              <w:t>11,60</w:t>
            </w:r>
          </w:p>
        </w:tc>
      </w:tr>
      <w:tr w:rsidR="00170240" w:rsidRPr="00170240" w14:paraId="18C10E1B" w14:textId="77777777" w:rsidTr="00355A67">
        <w:trPr>
          <w:gridAfter w:val="1"/>
          <w:wAfter w:w="6" w:type="dxa"/>
          <w:trHeight w:val="290"/>
        </w:trPr>
        <w:tc>
          <w:tcPr>
            <w:tcW w:w="3289" w:type="dxa"/>
            <w:tcBorders>
              <w:top w:val="nil"/>
              <w:left w:val="nil"/>
              <w:bottom w:val="nil"/>
              <w:right w:val="nil"/>
            </w:tcBorders>
            <w:shd w:val="clear" w:color="auto" w:fill="auto"/>
            <w:vAlign w:val="center"/>
            <w:hideMark/>
          </w:tcPr>
          <w:p w14:paraId="584235A7" w14:textId="77777777" w:rsidR="00170240" w:rsidRPr="00170240" w:rsidRDefault="00170240" w:rsidP="00170240">
            <w:pPr>
              <w:spacing w:after="0" w:line="240" w:lineRule="auto"/>
              <w:ind w:firstLineChars="100" w:firstLine="160"/>
              <w:rPr>
                <w:rFonts w:ascii="Arial CE" w:hAnsi="Arial CE" w:cs="Arial CE"/>
                <w:sz w:val="16"/>
                <w:szCs w:val="16"/>
              </w:rPr>
            </w:pPr>
            <w:r w:rsidRPr="00170240">
              <w:rPr>
                <w:rFonts w:ascii="Arial CE" w:hAnsi="Arial CE" w:cs="Arial CE"/>
                <w:sz w:val="16"/>
                <w:szCs w:val="16"/>
              </w:rPr>
              <w:t>N – Administrativní a podpůrné činnosti</w:t>
            </w:r>
          </w:p>
        </w:tc>
        <w:tc>
          <w:tcPr>
            <w:tcW w:w="628" w:type="dxa"/>
            <w:tcBorders>
              <w:top w:val="nil"/>
              <w:left w:val="nil"/>
              <w:bottom w:val="nil"/>
              <w:right w:val="nil"/>
            </w:tcBorders>
            <w:shd w:val="clear" w:color="auto" w:fill="auto"/>
            <w:noWrap/>
            <w:vAlign w:val="center"/>
            <w:hideMark/>
          </w:tcPr>
          <w:p w14:paraId="7F111EF5"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19,34</w:t>
            </w:r>
          </w:p>
        </w:tc>
        <w:tc>
          <w:tcPr>
            <w:tcW w:w="628" w:type="dxa"/>
            <w:tcBorders>
              <w:top w:val="nil"/>
              <w:left w:val="nil"/>
              <w:bottom w:val="nil"/>
              <w:right w:val="nil"/>
            </w:tcBorders>
            <w:shd w:val="clear" w:color="auto" w:fill="auto"/>
            <w:noWrap/>
            <w:vAlign w:val="center"/>
            <w:hideMark/>
          </w:tcPr>
          <w:p w14:paraId="4EDD8E4B"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21,79</w:t>
            </w:r>
          </w:p>
        </w:tc>
        <w:tc>
          <w:tcPr>
            <w:tcW w:w="628" w:type="dxa"/>
            <w:tcBorders>
              <w:top w:val="nil"/>
              <w:left w:val="nil"/>
              <w:bottom w:val="nil"/>
              <w:right w:val="nil"/>
            </w:tcBorders>
            <w:shd w:val="clear" w:color="auto" w:fill="auto"/>
            <w:noWrap/>
            <w:vAlign w:val="center"/>
            <w:hideMark/>
          </w:tcPr>
          <w:p w14:paraId="24A8C5AA"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15,08</w:t>
            </w:r>
          </w:p>
        </w:tc>
        <w:tc>
          <w:tcPr>
            <w:tcW w:w="628" w:type="dxa"/>
            <w:tcBorders>
              <w:top w:val="nil"/>
              <w:left w:val="nil"/>
              <w:bottom w:val="nil"/>
              <w:right w:val="nil"/>
            </w:tcBorders>
            <w:shd w:val="clear" w:color="auto" w:fill="auto"/>
            <w:noWrap/>
            <w:vAlign w:val="center"/>
            <w:hideMark/>
          </w:tcPr>
          <w:p w14:paraId="79B3CC3E"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18,94</w:t>
            </w:r>
          </w:p>
        </w:tc>
        <w:tc>
          <w:tcPr>
            <w:tcW w:w="628" w:type="dxa"/>
            <w:tcBorders>
              <w:top w:val="nil"/>
              <w:left w:val="nil"/>
              <w:bottom w:val="nil"/>
              <w:right w:val="nil"/>
            </w:tcBorders>
            <w:shd w:val="clear" w:color="auto" w:fill="auto"/>
            <w:noWrap/>
            <w:vAlign w:val="center"/>
            <w:hideMark/>
          </w:tcPr>
          <w:p w14:paraId="01AF5D4A"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19,36</w:t>
            </w:r>
          </w:p>
        </w:tc>
        <w:tc>
          <w:tcPr>
            <w:tcW w:w="628" w:type="dxa"/>
            <w:tcBorders>
              <w:top w:val="nil"/>
              <w:left w:val="nil"/>
              <w:bottom w:val="nil"/>
              <w:right w:val="nil"/>
            </w:tcBorders>
            <w:shd w:val="clear" w:color="auto" w:fill="auto"/>
            <w:noWrap/>
            <w:vAlign w:val="center"/>
            <w:hideMark/>
          </w:tcPr>
          <w:p w14:paraId="3F9A8F9D"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25,63</w:t>
            </w:r>
          </w:p>
        </w:tc>
        <w:tc>
          <w:tcPr>
            <w:tcW w:w="628" w:type="dxa"/>
            <w:tcBorders>
              <w:top w:val="nil"/>
              <w:left w:val="nil"/>
              <w:bottom w:val="nil"/>
              <w:right w:val="nil"/>
            </w:tcBorders>
            <w:shd w:val="clear" w:color="auto" w:fill="auto"/>
            <w:noWrap/>
            <w:vAlign w:val="center"/>
            <w:hideMark/>
          </w:tcPr>
          <w:p w14:paraId="27844890"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26,13</w:t>
            </w:r>
          </w:p>
        </w:tc>
        <w:tc>
          <w:tcPr>
            <w:tcW w:w="628" w:type="dxa"/>
            <w:tcBorders>
              <w:top w:val="nil"/>
              <w:left w:val="nil"/>
              <w:bottom w:val="nil"/>
              <w:right w:val="nil"/>
            </w:tcBorders>
            <w:shd w:val="clear" w:color="auto" w:fill="auto"/>
            <w:noWrap/>
            <w:vAlign w:val="center"/>
            <w:hideMark/>
          </w:tcPr>
          <w:p w14:paraId="18E09495"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26,25</w:t>
            </w:r>
          </w:p>
        </w:tc>
        <w:tc>
          <w:tcPr>
            <w:tcW w:w="628" w:type="dxa"/>
            <w:tcBorders>
              <w:top w:val="nil"/>
              <w:left w:val="nil"/>
              <w:bottom w:val="nil"/>
              <w:right w:val="nil"/>
            </w:tcBorders>
            <w:shd w:val="clear" w:color="auto" w:fill="auto"/>
            <w:noWrap/>
            <w:vAlign w:val="center"/>
            <w:hideMark/>
          </w:tcPr>
          <w:p w14:paraId="7AB0CA8D"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26,19</w:t>
            </w:r>
          </w:p>
        </w:tc>
        <w:tc>
          <w:tcPr>
            <w:tcW w:w="628" w:type="dxa"/>
            <w:tcBorders>
              <w:top w:val="nil"/>
              <w:left w:val="nil"/>
              <w:bottom w:val="nil"/>
              <w:right w:val="nil"/>
            </w:tcBorders>
            <w:shd w:val="clear" w:color="auto" w:fill="auto"/>
            <w:noWrap/>
            <w:vAlign w:val="center"/>
            <w:hideMark/>
          </w:tcPr>
          <w:p w14:paraId="6B578CCA" w14:textId="77777777" w:rsidR="00170240" w:rsidRPr="00170240" w:rsidRDefault="00170240" w:rsidP="00170240">
            <w:pPr>
              <w:spacing w:after="0" w:line="240" w:lineRule="auto"/>
              <w:jc w:val="right"/>
              <w:rPr>
                <w:rFonts w:cs="Arial"/>
                <w:color w:val="000000"/>
                <w:sz w:val="16"/>
                <w:szCs w:val="16"/>
              </w:rPr>
            </w:pPr>
            <w:r w:rsidRPr="00170240">
              <w:rPr>
                <w:rFonts w:cs="Arial"/>
                <w:color w:val="000000"/>
                <w:sz w:val="16"/>
                <w:szCs w:val="16"/>
              </w:rPr>
              <w:t>23,53</w:t>
            </w:r>
          </w:p>
        </w:tc>
      </w:tr>
      <w:tr w:rsidR="00170240" w:rsidRPr="00170240" w14:paraId="1F3CFD47" w14:textId="77777777" w:rsidTr="00355A67">
        <w:trPr>
          <w:gridAfter w:val="1"/>
          <w:wAfter w:w="6" w:type="dxa"/>
          <w:trHeight w:val="459"/>
        </w:trPr>
        <w:tc>
          <w:tcPr>
            <w:tcW w:w="3289" w:type="dxa"/>
            <w:tcBorders>
              <w:top w:val="nil"/>
              <w:left w:val="nil"/>
              <w:bottom w:val="nil"/>
              <w:right w:val="nil"/>
            </w:tcBorders>
            <w:shd w:val="clear" w:color="auto" w:fill="auto"/>
            <w:vAlign w:val="center"/>
            <w:hideMark/>
          </w:tcPr>
          <w:p w14:paraId="52C245A6" w14:textId="77777777" w:rsidR="00355A67" w:rsidRDefault="00170240" w:rsidP="00170240">
            <w:pPr>
              <w:spacing w:after="0" w:line="240" w:lineRule="auto"/>
              <w:ind w:firstLineChars="100" w:firstLine="160"/>
              <w:rPr>
                <w:rFonts w:ascii="Arial CE" w:hAnsi="Arial CE" w:cs="Arial CE"/>
                <w:sz w:val="16"/>
                <w:szCs w:val="16"/>
              </w:rPr>
            </w:pPr>
            <w:r w:rsidRPr="00170240">
              <w:rPr>
                <w:rFonts w:ascii="Arial CE" w:hAnsi="Arial CE" w:cs="Arial CE"/>
                <w:sz w:val="16"/>
                <w:szCs w:val="16"/>
              </w:rPr>
              <w:t>O – Veřejná správa a obrana; povinné</w:t>
            </w:r>
          </w:p>
          <w:p w14:paraId="4146EADD" w14:textId="1C9E63CA" w:rsidR="00170240" w:rsidRPr="00170240" w:rsidRDefault="00355A67" w:rsidP="00170240">
            <w:pPr>
              <w:spacing w:after="0" w:line="240" w:lineRule="auto"/>
              <w:ind w:firstLineChars="100" w:firstLine="160"/>
              <w:rPr>
                <w:rFonts w:ascii="Arial CE" w:hAnsi="Arial CE" w:cs="Arial CE"/>
                <w:sz w:val="16"/>
                <w:szCs w:val="16"/>
              </w:rPr>
            </w:pPr>
            <w:r>
              <w:rPr>
                <w:rFonts w:ascii="Arial CE" w:hAnsi="Arial CE" w:cs="Arial CE"/>
                <w:sz w:val="16"/>
                <w:szCs w:val="16"/>
              </w:rPr>
              <w:t xml:space="preserve">      </w:t>
            </w:r>
            <w:r w:rsidR="00170240" w:rsidRPr="00170240">
              <w:rPr>
                <w:rFonts w:ascii="Arial CE" w:hAnsi="Arial CE" w:cs="Arial CE"/>
                <w:sz w:val="16"/>
                <w:szCs w:val="16"/>
              </w:rPr>
              <w:t xml:space="preserve"> sociální zabezpečení</w:t>
            </w:r>
          </w:p>
        </w:tc>
        <w:tc>
          <w:tcPr>
            <w:tcW w:w="628" w:type="dxa"/>
            <w:tcBorders>
              <w:top w:val="nil"/>
              <w:left w:val="nil"/>
              <w:bottom w:val="nil"/>
              <w:right w:val="nil"/>
            </w:tcBorders>
            <w:shd w:val="clear" w:color="auto" w:fill="auto"/>
            <w:noWrap/>
            <w:vAlign w:val="center"/>
            <w:hideMark/>
          </w:tcPr>
          <w:p w14:paraId="58ACFDF2"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16,39</w:t>
            </w:r>
          </w:p>
        </w:tc>
        <w:tc>
          <w:tcPr>
            <w:tcW w:w="628" w:type="dxa"/>
            <w:tcBorders>
              <w:top w:val="nil"/>
              <w:left w:val="nil"/>
              <w:bottom w:val="nil"/>
              <w:right w:val="nil"/>
            </w:tcBorders>
            <w:shd w:val="clear" w:color="auto" w:fill="auto"/>
            <w:noWrap/>
            <w:vAlign w:val="center"/>
            <w:hideMark/>
          </w:tcPr>
          <w:p w14:paraId="7F9708B3"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17,06</w:t>
            </w:r>
          </w:p>
        </w:tc>
        <w:tc>
          <w:tcPr>
            <w:tcW w:w="628" w:type="dxa"/>
            <w:tcBorders>
              <w:top w:val="nil"/>
              <w:left w:val="nil"/>
              <w:bottom w:val="nil"/>
              <w:right w:val="nil"/>
            </w:tcBorders>
            <w:shd w:val="clear" w:color="auto" w:fill="auto"/>
            <w:noWrap/>
            <w:vAlign w:val="center"/>
            <w:hideMark/>
          </w:tcPr>
          <w:p w14:paraId="6035A86C"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13,03</w:t>
            </w:r>
          </w:p>
        </w:tc>
        <w:tc>
          <w:tcPr>
            <w:tcW w:w="628" w:type="dxa"/>
            <w:tcBorders>
              <w:top w:val="nil"/>
              <w:left w:val="nil"/>
              <w:bottom w:val="nil"/>
              <w:right w:val="nil"/>
            </w:tcBorders>
            <w:shd w:val="clear" w:color="auto" w:fill="auto"/>
            <w:noWrap/>
            <w:vAlign w:val="center"/>
            <w:hideMark/>
          </w:tcPr>
          <w:p w14:paraId="058B1892"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16,46</w:t>
            </w:r>
          </w:p>
        </w:tc>
        <w:tc>
          <w:tcPr>
            <w:tcW w:w="628" w:type="dxa"/>
            <w:tcBorders>
              <w:top w:val="nil"/>
              <w:left w:val="nil"/>
              <w:bottom w:val="nil"/>
              <w:right w:val="nil"/>
            </w:tcBorders>
            <w:shd w:val="clear" w:color="auto" w:fill="auto"/>
            <w:noWrap/>
            <w:vAlign w:val="center"/>
            <w:hideMark/>
          </w:tcPr>
          <w:p w14:paraId="443A4AA4"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13,50</w:t>
            </w:r>
          </w:p>
        </w:tc>
        <w:tc>
          <w:tcPr>
            <w:tcW w:w="628" w:type="dxa"/>
            <w:tcBorders>
              <w:top w:val="nil"/>
              <w:left w:val="nil"/>
              <w:bottom w:val="nil"/>
              <w:right w:val="nil"/>
            </w:tcBorders>
            <w:shd w:val="clear" w:color="auto" w:fill="auto"/>
            <w:noWrap/>
            <w:vAlign w:val="center"/>
            <w:hideMark/>
          </w:tcPr>
          <w:p w14:paraId="0B4E58DD"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18,46</w:t>
            </w:r>
          </w:p>
        </w:tc>
        <w:tc>
          <w:tcPr>
            <w:tcW w:w="628" w:type="dxa"/>
            <w:tcBorders>
              <w:top w:val="nil"/>
              <w:left w:val="nil"/>
              <w:bottom w:val="nil"/>
              <w:right w:val="nil"/>
            </w:tcBorders>
            <w:shd w:val="clear" w:color="auto" w:fill="auto"/>
            <w:noWrap/>
            <w:vAlign w:val="center"/>
            <w:hideMark/>
          </w:tcPr>
          <w:p w14:paraId="57B3BD3F"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16,99</w:t>
            </w:r>
          </w:p>
        </w:tc>
        <w:tc>
          <w:tcPr>
            <w:tcW w:w="628" w:type="dxa"/>
            <w:tcBorders>
              <w:top w:val="nil"/>
              <w:left w:val="nil"/>
              <w:bottom w:val="nil"/>
              <w:right w:val="nil"/>
            </w:tcBorders>
            <w:shd w:val="clear" w:color="auto" w:fill="auto"/>
            <w:noWrap/>
            <w:vAlign w:val="center"/>
            <w:hideMark/>
          </w:tcPr>
          <w:p w14:paraId="2570051C"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17,94</w:t>
            </w:r>
          </w:p>
        </w:tc>
        <w:tc>
          <w:tcPr>
            <w:tcW w:w="628" w:type="dxa"/>
            <w:tcBorders>
              <w:top w:val="nil"/>
              <w:left w:val="nil"/>
              <w:bottom w:val="nil"/>
              <w:right w:val="nil"/>
            </w:tcBorders>
            <w:shd w:val="clear" w:color="auto" w:fill="auto"/>
            <w:noWrap/>
            <w:vAlign w:val="center"/>
            <w:hideMark/>
          </w:tcPr>
          <w:p w14:paraId="5580DA3D"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19,94</w:t>
            </w:r>
          </w:p>
        </w:tc>
        <w:tc>
          <w:tcPr>
            <w:tcW w:w="628" w:type="dxa"/>
            <w:tcBorders>
              <w:top w:val="nil"/>
              <w:left w:val="nil"/>
              <w:bottom w:val="nil"/>
              <w:right w:val="nil"/>
            </w:tcBorders>
            <w:shd w:val="clear" w:color="auto" w:fill="auto"/>
            <w:noWrap/>
            <w:vAlign w:val="center"/>
            <w:hideMark/>
          </w:tcPr>
          <w:p w14:paraId="4B41328C" w14:textId="77777777" w:rsidR="00170240" w:rsidRPr="00170240" w:rsidRDefault="00170240" w:rsidP="00170240">
            <w:pPr>
              <w:spacing w:after="0" w:line="240" w:lineRule="auto"/>
              <w:jc w:val="right"/>
              <w:rPr>
                <w:rFonts w:cs="Arial"/>
                <w:color w:val="000000"/>
                <w:sz w:val="16"/>
                <w:szCs w:val="16"/>
              </w:rPr>
            </w:pPr>
            <w:r w:rsidRPr="00170240">
              <w:rPr>
                <w:rFonts w:cs="Arial"/>
                <w:color w:val="000000"/>
                <w:sz w:val="16"/>
                <w:szCs w:val="16"/>
              </w:rPr>
              <w:t>18,01</w:t>
            </w:r>
          </w:p>
        </w:tc>
      </w:tr>
      <w:tr w:rsidR="00170240" w:rsidRPr="00170240" w14:paraId="742522D3" w14:textId="77777777" w:rsidTr="00355A67">
        <w:trPr>
          <w:gridAfter w:val="1"/>
          <w:wAfter w:w="6" w:type="dxa"/>
          <w:trHeight w:val="290"/>
        </w:trPr>
        <w:tc>
          <w:tcPr>
            <w:tcW w:w="3289" w:type="dxa"/>
            <w:tcBorders>
              <w:top w:val="nil"/>
              <w:left w:val="nil"/>
              <w:bottom w:val="nil"/>
              <w:right w:val="nil"/>
            </w:tcBorders>
            <w:shd w:val="clear" w:color="auto" w:fill="auto"/>
            <w:vAlign w:val="center"/>
            <w:hideMark/>
          </w:tcPr>
          <w:p w14:paraId="01CD4D29" w14:textId="77777777" w:rsidR="00170240" w:rsidRPr="00170240" w:rsidRDefault="00170240" w:rsidP="00170240">
            <w:pPr>
              <w:spacing w:after="0" w:line="240" w:lineRule="auto"/>
              <w:ind w:firstLineChars="100" w:firstLine="160"/>
              <w:rPr>
                <w:rFonts w:ascii="Arial CE" w:hAnsi="Arial CE" w:cs="Arial CE"/>
                <w:sz w:val="16"/>
                <w:szCs w:val="16"/>
              </w:rPr>
            </w:pPr>
            <w:r w:rsidRPr="00170240">
              <w:rPr>
                <w:rFonts w:ascii="Arial CE" w:hAnsi="Arial CE" w:cs="Arial CE"/>
                <w:sz w:val="16"/>
                <w:szCs w:val="16"/>
              </w:rPr>
              <w:t>P – Vzdělávání</w:t>
            </w:r>
          </w:p>
        </w:tc>
        <w:tc>
          <w:tcPr>
            <w:tcW w:w="628" w:type="dxa"/>
            <w:tcBorders>
              <w:top w:val="nil"/>
              <w:left w:val="nil"/>
              <w:bottom w:val="nil"/>
              <w:right w:val="nil"/>
            </w:tcBorders>
            <w:shd w:val="clear" w:color="auto" w:fill="auto"/>
            <w:noWrap/>
            <w:vAlign w:val="center"/>
            <w:hideMark/>
          </w:tcPr>
          <w:p w14:paraId="3C15D27F"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15,72</w:t>
            </w:r>
          </w:p>
        </w:tc>
        <w:tc>
          <w:tcPr>
            <w:tcW w:w="628" w:type="dxa"/>
            <w:tcBorders>
              <w:top w:val="nil"/>
              <w:left w:val="nil"/>
              <w:bottom w:val="nil"/>
              <w:right w:val="nil"/>
            </w:tcBorders>
            <w:shd w:val="clear" w:color="auto" w:fill="auto"/>
            <w:noWrap/>
            <w:vAlign w:val="center"/>
            <w:hideMark/>
          </w:tcPr>
          <w:p w14:paraId="2C39193F"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16,60</w:t>
            </w:r>
          </w:p>
        </w:tc>
        <w:tc>
          <w:tcPr>
            <w:tcW w:w="628" w:type="dxa"/>
            <w:tcBorders>
              <w:top w:val="nil"/>
              <w:left w:val="nil"/>
              <w:bottom w:val="nil"/>
              <w:right w:val="nil"/>
            </w:tcBorders>
            <w:shd w:val="clear" w:color="auto" w:fill="auto"/>
            <w:noWrap/>
            <w:vAlign w:val="center"/>
            <w:hideMark/>
          </w:tcPr>
          <w:p w14:paraId="258A5ED4"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12,10</w:t>
            </w:r>
          </w:p>
        </w:tc>
        <w:tc>
          <w:tcPr>
            <w:tcW w:w="628" w:type="dxa"/>
            <w:tcBorders>
              <w:top w:val="nil"/>
              <w:left w:val="nil"/>
              <w:bottom w:val="nil"/>
              <w:right w:val="nil"/>
            </w:tcBorders>
            <w:shd w:val="clear" w:color="auto" w:fill="auto"/>
            <w:noWrap/>
            <w:vAlign w:val="center"/>
            <w:hideMark/>
          </w:tcPr>
          <w:p w14:paraId="4864B5CB"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15,72</w:t>
            </w:r>
          </w:p>
        </w:tc>
        <w:tc>
          <w:tcPr>
            <w:tcW w:w="628" w:type="dxa"/>
            <w:tcBorders>
              <w:top w:val="nil"/>
              <w:left w:val="nil"/>
              <w:bottom w:val="nil"/>
              <w:right w:val="nil"/>
            </w:tcBorders>
            <w:shd w:val="clear" w:color="auto" w:fill="auto"/>
            <w:noWrap/>
            <w:vAlign w:val="center"/>
            <w:hideMark/>
          </w:tcPr>
          <w:p w14:paraId="5A9F1139"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13,21</w:t>
            </w:r>
          </w:p>
        </w:tc>
        <w:tc>
          <w:tcPr>
            <w:tcW w:w="628" w:type="dxa"/>
            <w:tcBorders>
              <w:top w:val="nil"/>
              <w:left w:val="nil"/>
              <w:bottom w:val="nil"/>
              <w:right w:val="nil"/>
            </w:tcBorders>
            <w:shd w:val="clear" w:color="auto" w:fill="auto"/>
            <w:noWrap/>
            <w:vAlign w:val="center"/>
            <w:hideMark/>
          </w:tcPr>
          <w:p w14:paraId="2364A7CD"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19,39</w:t>
            </w:r>
          </w:p>
        </w:tc>
        <w:tc>
          <w:tcPr>
            <w:tcW w:w="628" w:type="dxa"/>
            <w:tcBorders>
              <w:top w:val="nil"/>
              <w:left w:val="nil"/>
              <w:bottom w:val="nil"/>
              <w:right w:val="nil"/>
            </w:tcBorders>
            <w:shd w:val="clear" w:color="auto" w:fill="auto"/>
            <w:noWrap/>
            <w:vAlign w:val="center"/>
            <w:hideMark/>
          </w:tcPr>
          <w:p w14:paraId="6786331F"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18,07</w:t>
            </w:r>
          </w:p>
        </w:tc>
        <w:tc>
          <w:tcPr>
            <w:tcW w:w="628" w:type="dxa"/>
            <w:tcBorders>
              <w:top w:val="nil"/>
              <w:left w:val="nil"/>
              <w:bottom w:val="nil"/>
              <w:right w:val="nil"/>
            </w:tcBorders>
            <w:shd w:val="clear" w:color="auto" w:fill="auto"/>
            <w:noWrap/>
            <w:vAlign w:val="center"/>
            <w:hideMark/>
          </w:tcPr>
          <w:p w14:paraId="22640953"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20,32</w:t>
            </w:r>
          </w:p>
        </w:tc>
        <w:tc>
          <w:tcPr>
            <w:tcW w:w="628" w:type="dxa"/>
            <w:tcBorders>
              <w:top w:val="nil"/>
              <w:left w:val="nil"/>
              <w:bottom w:val="nil"/>
              <w:right w:val="nil"/>
            </w:tcBorders>
            <w:shd w:val="clear" w:color="auto" w:fill="auto"/>
            <w:noWrap/>
            <w:vAlign w:val="center"/>
            <w:hideMark/>
          </w:tcPr>
          <w:p w14:paraId="72C67F8E"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22,58</w:t>
            </w:r>
          </w:p>
        </w:tc>
        <w:tc>
          <w:tcPr>
            <w:tcW w:w="628" w:type="dxa"/>
            <w:tcBorders>
              <w:top w:val="nil"/>
              <w:left w:val="nil"/>
              <w:bottom w:val="nil"/>
              <w:right w:val="nil"/>
            </w:tcBorders>
            <w:shd w:val="clear" w:color="auto" w:fill="auto"/>
            <w:noWrap/>
            <w:vAlign w:val="center"/>
            <w:hideMark/>
          </w:tcPr>
          <w:p w14:paraId="44185296" w14:textId="77777777" w:rsidR="00170240" w:rsidRPr="00170240" w:rsidRDefault="00170240" w:rsidP="00170240">
            <w:pPr>
              <w:spacing w:after="0" w:line="240" w:lineRule="auto"/>
              <w:jc w:val="right"/>
              <w:rPr>
                <w:rFonts w:cs="Arial"/>
                <w:color w:val="000000"/>
                <w:sz w:val="16"/>
                <w:szCs w:val="16"/>
              </w:rPr>
            </w:pPr>
            <w:r w:rsidRPr="00170240">
              <w:rPr>
                <w:rFonts w:cs="Arial"/>
                <w:color w:val="000000"/>
                <w:sz w:val="16"/>
                <w:szCs w:val="16"/>
              </w:rPr>
              <w:t>20,26</w:t>
            </w:r>
          </w:p>
        </w:tc>
      </w:tr>
      <w:tr w:rsidR="00170240" w:rsidRPr="00170240" w14:paraId="5806A9EF" w14:textId="77777777" w:rsidTr="00355A67">
        <w:trPr>
          <w:gridAfter w:val="1"/>
          <w:wAfter w:w="6" w:type="dxa"/>
          <w:trHeight w:val="290"/>
        </w:trPr>
        <w:tc>
          <w:tcPr>
            <w:tcW w:w="3289" w:type="dxa"/>
            <w:tcBorders>
              <w:top w:val="nil"/>
              <w:left w:val="nil"/>
              <w:bottom w:val="nil"/>
              <w:right w:val="nil"/>
            </w:tcBorders>
            <w:shd w:val="clear" w:color="auto" w:fill="auto"/>
            <w:vAlign w:val="center"/>
            <w:hideMark/>
          </w:tcPr>
          <w:p w14:paraId="4FB5ECCA" w14:textId="77777777" w:rsidR="00170240" w:rsidRPr="00170240" w:rsidRDefault="00170240" w:rsidP="00170240">
            <w:pPr>
              <w:spacing w:after="0" w:line="240" w:lineRule="auto"/>
              <w:ind w:firstLineChars="100" w:firstLine="160"/>
              <w:rPr>
                <w:rFonts w:ascii="Arial CE" w:hAnsi="Arial CE" w:cs="Arial CE"/>
                <w:sz w:val="16"/>
                <w:szCs w:val="16"/>
              </w:rPr>
            </w:pPr>
            <w:r w:rsidRPr="00170240">
              <w:rPr>
                <w:rFonts w:ascii="Arial CE" w:hAnsi="Arial CE" w:cs="Arial CE"/>
                <w:sz w:val="16"/>
                <w:szCs w:val="16"/>
              </w:rPr>
              <w:t>Q – Zdravotní a sociální péče</w:t>
            </w:r>
          </w:p>
        </w:tc>
        <w:tc>
          <w:tcPr>
            <w:tcW w:w="628" w:type="dxa"/>
            <w:tcBorders>
              <w:top w:val="nil"/>
              <w:left w:val="nil"/>
              <w:bottom w:val="nil"/>
              <w:right w:val="nil"/>
            </w:tcBorders>
            <w:shd w:val="clear" w:color="auto" w:fill="auto"/>
            <w:noWrap/>
            <w:vAlign w:val="center"/>
            <w:hideMark/>
          </w:tcPr>
          <w:p w14:paraId="1149F034"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14,05</w:t>
            </w:r>
          </w:p>
        </w:tc>
        <w:tc>
          <w:tcPr>
            <w:tcW w:w="628" w:type="dxa"/>
            <w:tcBorders>
              <w:top w:val="nil"/>
              <w:left w:val="nil"/>
              <w:bottom w:val="nil"/>
              <w:right w:val="nil"/>
            </w:tcBorders>
            <w:shd w:val="clear" w:color="auto" w:fill="auto"/>
            <w:noWrap/>
            <w:vAlign w:val="center"/>
            <w:hideMark/>
          </w:tcPr>
          <w:p w14:paraId="5C90C72B"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14,65</w:t>
            </w:r>
          </w:p>
        </w:tc>
        <w:tc>
          <w:tcPr>
            <w:tcW w:w="628" w:type="dxa"/>
            <w:tcBorders>
              <w:top w:val="nil"/>
              <w:left w:val="nil"/>
              <w:bottom w:val="nil"/>
              <w:right w:val="nil"/>
            </w:tcBorders>
            <w:shd w:val="clear" w:color="auto" w:fill="auto"/>
            <w:noWrap/>
            <w:vAlign w:val="center"/>
            <w:hideMark/>
          </w:tcPr>
          <w:p w14:paraId="39359304"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11,97</w:t>
            </w:r>
          </w:p>
        </w:tc>
        <w:tc>
          <w:tcPr>
            <w:tcW w:w="628" w:type="dxa"/>
            <w:tcBorders>
              <w:top w:val="nil"/>
              <w:left w:val="nil"/>
              <w:bottom w:val="nil"/>
              <w:right w:val="nil"/>
            </w:tcBorders>
            <w:shd w:val="clear" w:color="auto" w:fill="auto"/>
            <w:noWrap/>
            <w:vAlign w:val="center"/>
            <w:hideMark/>
          </w:tcPr>
          <w:p w14:paraId="5755C47D"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14,90</w:t>
            </w:r>
          </w:p>
        </w:tc>
        <w:tc>
          <w:tcPr>
            <w:tcW w:w="628" w:type="dxa"/>
            <w:tcBorders>
              <w:top w:val="nil"/>
              <w:left w:val="nil"/>
              <w:bottom w:val="nil"/>
              <w:right w:val="nil"/>
            </w:tcBorders>
            <w:shd w:val="clear" w:color="auto" w:fill="auto"/>
            <w:noWrap/>
            <w:vAlign w:val="center"/>
            <w:hideMark/>
          </w:tcPr>
          <w:p w14:paraId="105FC68E"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13,24</w:t>
            </w:r>
          </w:p>
        </w:tc>
        <w:tc>
          <w:tcPr>
            <w:tcW w:w="628" w:type="dxa"/>
            <w:tcBorders>
              <w:top w:val="nil"/>
              <w:left w:val="nil"/>
              <w:bottom w:val="nil"/>
              <w:right w:val="nil"/>
            </w:tcBorders>
            <w:shd w:val="clear" w:color="auto" w:fill="auto"/>
            <w:noWrap/>
            <w:vAlign w:val="center"/>
            <w:hideMark/>
          </w:tcPr>
          <w:p w14:paraId="4550F294"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17,33</w:t>
            </w:r>
          </w:p>
        </w:tc>
        <w:tc>
          <w:tcPr>
            <w:tcW w:w="628" w:type="dxa"/>
            <w:tcBorders>
              <w:top w:val="nil"/>
              <w:left w:val="nil"/>
              <w:bottom w:val="nil"/>
              <w:right w:val="nil"/>
            </w:tcBorders>
            <w:shd w:val="clear" w:color="auto" w:fill="auto"/>
            <w:noWrap/>
            <w:vAlign w:val="center"/>
            <w:hideMark/>
          </w:tcPr>
          <w:p w14:paraId="4D76EC0F"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16,82</w:t>
            </w:r>
          </w:p>
        </w:tc>
        <w:tc>
          <w:tcPr>
            <w:tcW w:w="628" w:type="dxa"/>
            <w:tcBorders>
              <w:top w:val="nil"/>
              <w:left w:val="nil"/>
              <w:bottom w:val="nil"/>
              <w:right w:val="nil"/>
            </w:tcBorders>
            <w:shd w:val="clear" w:color="auto" w:fill="auto"/>
            <w:noWrap/>
            <w:vAlign w:val="center"/>
            <w:hideMark/>
          </w:tcPr>
          <w:p w14:paraId="664AE28C"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18,01</w:t>
            </w:r>
          </w:p>
        </w:tc>
        <w:tc>
          <w:tcPr>
            <w:tcW w:w="628" w:type="dxa"/>
            <w:tcBorders>
              <w:top w:val="nil"/>
              <w:left w:val="nil"/>
              <w:bottom w:val="nil"/>
              <w:right w:val="nil"/>
            </w:tcBorders>
            <w:shd w:val="clear" w:color="auto" w:fill="auto"/>
            <w:noWrap/>
            <w:vAlign w:val="center"/>
            <w:hideMark/>
          </w:tcPr>
          <w:p w14:paraId="61E212AA"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19,69</w:t>
            </w:r>
          </w:p>
        </w:tc>
        <w:tc>
          <w:tcPr>
            <w:tcW w:w="628" w:type="dxa"/>
            <w:tcBorders>
              <w:top w:val="nil"/>
              <w:left w:val="nil"/>
              <w:bottom w:val="nil"/>
              <w:right w:val="nil"/>
            </w:tcBorders>
            <w:shd w:val="clear" w:color="auto" w:fill="auto"/>
            <w:noWrap/>
            <w:vAlign w:val="center"/>
            <w:hideMark/>
          </w:tcPr>
          <w:p w14:paraId="38F2DCA0" w14:textId="77777777" w:rsidR="00170240" w:rsidRPr="00170240" w:rsidRDefault="00170240" w:rsidP="00170240">
            <w:pPr>
              <w:spacing w:after="0" w:line="240" w:lineRule="auto"/>
              <w:jc w:val="right"/>
              <w:rPr>
                <w:rFonts w:cs="Arial"/>
                <w:color w:val="000000"/>
                <w:sz w:val="16"/>
                <w:szCs w:val="16"/>
              </w:rPr>
            </w:pPr>
            <w:r w:rsidRPr="00170240">
              <w:rPr>
                <w:rFonts w:cs="Arial"/>
                <w:color w:val="000000"/>
                <w:sz w:val="16"/>
                <w:szCs w:val="16"/>
              </w:rPr>
              <w:t>18,48</w:t>
            </w:r>
          </w:p>
        </w:tc>
      </w:tr>
      <w:tr w:rsidR="00170240" w:rsidRPr="00170240" w14:paraId="70A8E75C" w14:textId="77777777" w:rsidTr="00355A67">
        <w:trPr>
          <w:gridAfter w:val="1"/>
          <w:wAfter w:w="6" w:type="dxa"/>
          <w:trHeight w:val="397"/>
        </w:trPr>
        <w:tc>
          <w:tcPr>
            <w:tcW w:w="3289" w:type="dxa"/>
            <w:tcBorders>
              <w:top w:val="nil"/>
              <w:left w:val="nil"/>
              <w:bottom w:val="nil"/>
              <w:right w:val="nil"/>
            </w:tcBorders>
            <w:shd w:val="clear" w:color="auto" w:fill="auto"/>
            <w:vAlign w:val="center"/>
            <w:hideMark/>
          </w:tcPr>
          <w:p w14:paraId="12B21E6D" w14:textId="77777777" w:rsidR="00170240" w:rsidRPr="00170240" w:rsidRDefault="00170240" w:rsidP="00170240">
            <w:pPr>
              <w:spacing w:after="0" w:line="240" w:lineRule="auto"/>
              <w:ind w:firstLineChars="100" w:firstLine="160"/>
              <w:rPr>
                <w:rFonts w:ascii="Arial CE" w:hAnsi="Arial CE" w:cs="Arial CE"/>
                <w:sz w:val="16"/>
                <w:szCs w:val="16"/>
              </w:rPr>
            </w:pPr>
            <w:r w:rsidRPr="00170240">
              <w:rPr>
                <w:rFonts w:ascii="Arial CE" w:hAnsi="Arial CE" w:cs="Arial CE"/>
                <w:sz w:val="16"/>
                <w:szCs w:val="16"/>
              </w:rPr>
              <w:t>R – Kulturní, zábavní a rekreační činnosti</w:t>
            </w:r>
          </w:p>
        </w:tc>
        <w:tc>
          <w:tcPr>
            <w:tcW w:w="628" w:type="dxa"/>
            <w:tcBorders>
              <w:top w:val="nil"/>
              <w:left w:val="nil"/>
              <w:bottom w:val="nil"/>
              <w:right w:val="nil"/>
            </w:tcBorders>
            <w:shd w:val="clear" w:color="auto" w:fill="auto"/>
            <w:noWrap/>
            <w:vAlign w:val="center"/>
            <w:hideMark/>
          </w:tcPr>
          <w:p w14:paraId="564604F4"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13,16</w:t>
            </w:r>
          </w:p>
        </w:tc>
        <w:tc>
          <w:tcPr>
            <w:tcW w:w="628" w:type="dxa"/>
            <w:tcBorders>
              <w:top w:val="nil"/>
              <w:left w:val="nil"/>
              <w:bottom w:val="nil"/>
              <w:right w:val="nil"/>
            </w:tcBorders>
            <w:shd w:val="clear" w:color="auto" w:fill="auto"/>
            <w:noWrap/>
            <w:vAlign w:val="center"/>
            <w:hideMark/>
          </w:tcPr>
          <w:p w14:paraId="5738D7CF"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12,81</w:t>
            </w:r>
          </w:p>
        </w:tc>
        <w:tc>
          <w:tcPr>
            <w:tcW w:w="628" w:type="dxa"/>
            <w:tcBorders>
              <w:top w:val="nil"/>
              <w:left w:val="nil"/>
              <w:bottom w:val="nil"/>
              <w:right w:val="nil"/>
            </w:tcBorders>
            <w:shd w:val="clear" w:color="auto" w:fill="auto"/>
            <w:noWrap/>
            <w:vAlign w:val="center"/>
            <w:hideMark/>
          </w:tcPr>
          <w:p w14:paraId="3ABC11DE"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9,62</w:t>
            </w:r>
          </w:p>
        </w:tc>
        <w:tc>
          <w:tcPr>
            <w:tcW w:w="628" w:type="dxa"/>
            <w:tcBorders>
              <w:top w:val="nil"/>
              <w:left w:val="nil"/>
              <w:bottom w:val="nil"/>
              <w:right w:val="nil"/>
            </w:tcBorders>
            <w:shd w:val="clear" w:color="auto" w:fill="auto"/>
            <w:noWrap/>
            <w:vAlign w:val="center"/>
            <w:hideMark/>
          </w:tcPr>
          <w:p w14:paraId="5C063A2D"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12,18</w:t>
            </w:r>
          </w:p>
        </w:tc>
        <w:tc>
          <w:tcPr>
            <w:tcW w:w="628" w:type="dxa"/>
            <w:tcBorders>
              <w:top w:val="nil"/>
              <w:left w:val="nil"/>
              <w:bottom w:val="nil"/>
              <w:right w:val="nil"/>
            </w:tcBorders>
            <w:shd w:val="clear" w:color="auto" w:fill="auto"/>
            <w:noWrap/>
            <w:vAlign w:val="center"/>
            <w:hideMark/>
          </w:tcPr>
          <w:p w14:paraId="75F2C9F4"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10,52</w:t>
            </w:r>
          </w:p>
        </w:tc>
        <w:tc>
          <w:tcPr>
            <w:tcW w:w="628" w:type="dxa"/>
            <w:tcBorders>
              <w:top w:val="nil"/>
              <w:left w:val="nil"/>
              <w:bottom w:val="nil"/>
              <w:right w:val="nil"/>
            </w:tcBorders>
            <w:shd w:val="clear" w:color="auto" w:fill="auto"/>
            <w:noWrap/>
            <w:vAlign w:val="center"/>
            <w:hideMark/>
          </w:tcPr>
          <w:p w14:paraId="7E3A8E46"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13,98</w:t>
            </w:r>
          </w:p>
        </w:tc>
        <w:tc>
          <w:tcPr>
            <w:tcW w:w="628" w:type="dxa"/>
            <w:tcBorders>
              <w:top w:val="nil"/>
              <w:left w:val="nil"/>
              <w:bottom w:val="nil"/>
              <w:right w:val="nil"/>
            </w:tcBorders>
            <w:shd w:val="clear" w:color="auto" w:fill="auto"/>
            <w:noWrap/>
            <w:vAlign w:val="center"/>
            <w:hideMark/>
          </w:tcPr>
          <w:p w14:paraId="2770FE5B"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13,64</w:t>
            </w:r>
          </w:p>
        </w:tc>
        <w:tc>
          <w:tcPr>
            <w:tcW w:w="628" w:type="dxa"/>
            <w:tcBorders>
              <w:top w:val="nil"/>
              <w:left w:val="nil"/>
              <w:bottom w:val="nil"/>
              <w:right w:val="nil"/>
            </w:tcBorders>
            <w:shd w:val="clear" w:color="auto" w:fill="auto"/>
            <w:noWrap/>
            <w:vAlign w:val="center"/>
            <w:hideMark/>
          </w:tcPr>
          <w:p w14:paraId="34DAA454"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14,23</w:t>
            </w:r>
          </w:p>
        </w:tc>
        <w:tc>
          <w:tcPr>
            <w:tcW w:w="628" w:type="dxa"/>
            <w:tcBorders>
              <w:top w:val="nil"/>
              <w:left w:val="nil"/>
              <w:bottom w:val="nil"/>
              <w:right w:val="nil"/>
            </w:tcBorders>
            <w:shd w:val="clear" w:color="auto" w:fill="auto"/>
            <w:noWrap/>
            <w:vAlign w:val="center"/>
            <w:hideMark/>
          </w:tcPr>
          <w:p w14:paraId="42DEF7FE"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15,53</w:t>
            </w:r>
          </w:p>
        </w:tc>
        <w:tc>
          <w:tcPr>
            <w:tcW w:w="628" w:type="dxa"/>
            <w:tcBorders>
              <w:top w:val="nil"/>
              <w:left w:val="nil"/>
              <w:bottom w:val="nil"/>
              <w:right w:val="nil"/>
            </w:tcBorders>
            <w:shd w:val="clear" w:color="auto" w:fill="auto"/>
            <w:noWrap/>
            <w:vAlign w:val="center"/>
            <w:hideMark/>
          </w:tcPr>
          <w:p w14:paraId="7EDC9E11" w14:textId="77777777" w:rsidR="00170240" w:rsidRPr="00170240" w:rsidRDefault="00170240" w:rsidP="00170240">
            <w:pPr>
              <w:spacing w:after="0" w:line="240" w:lineRule="auto"/>
              <w:jc w:val="right"/>
              <w:rPr>
                <w:rFonts w:cs="Arial"/>
                <w:color w:val="000000"/>
                <w:sz w:val="16"/>
                <w:szCs w:val="16"/>
              </w:rPr>
            </w:pPr>
            <w:r w:rsidRPr="00170240">
              <w:rPr>
                <w:rFonts w:cs="Arial"/>
                <w:color w:val="000000"/>
                <w:sz w:val="16"/>
                <w:szCs w:val="16"/>
              </w:rPr>
              <w:t>14,68</w:t>
            </w:r>
          </w:p>
        </w:tc>
      </w:tr>
      <w:tr w:rsidR="00170240" w:rsidRPr="00170240" w14:paraId="0FC499F7" w14:textId="77777777" w:rsidTr="00355A67">
        <w:trPr>
          <w:gridAfter w:val="1"/>
          <w:wAfter w:w="6" w:type="dxa"/>
          <w:trHeight w:val="290"/>
        </w:trPr>
        <w:tc>
          <w:tcPr>
            <w:tcW w:w="3289" w:type="dxa"/>
            <w:tcBorders>
              <w:top w:val="nil"/>
              <w:left w:val="nil"/>
              <w:bottom w:val="nil"/>
              <w:right w:val="nil"/>
            </w:tcBorders>
            <w:shd w:val="clear" w:color="auto" w:fill="auto"/>
            <w:vAlign w:val="center"/>
            <w:hideMark/>
          </w:tcPr>
          <w:p w14:paraId="1AC0B7EC" w14:textId="77777777" w:rsidR="00170240" w:rsidRPr="00170240" w:rsidRDefault="00170240" w:rsidP="00170240">
            <w:pPr>
              <w:spacing w:after="0" w:line="240" w:lineRule="auto"/>
              <w:ind w:firstLineChars="100" w:firstLine="160"/>
              <w:rPr>
                <w:rFonts w:ascii="Arial CE" w:hAnsi="Arial CE" w:cs="Arial CE"/>
                <w:sz w:val="16"/>
                <w:szCs w:val="16"/>
              </w:rPr>
            </w:pPr>
            <w:r w:rsidRPr="00170240">
              <w:rPr>
                <w:rFonts w:ascii="Arial CE" w:hAnsi="Arial CE" w:cs="Arial CE"/>
                <w:sz w:val="16"/>
                <w:szCs w:val="16"/>
              </w:rPr>
              <w:t>S – Ostatní činnosti</w:t>
            </w:r>
          </w:p>
        </w:tc>
        <w:tc>
          <w:tcPr>
            <w:tcW w:w="628" w:type="dxa"/>
            <w:tcBorders>
              <w:top w:val="nil"/>
              <w:left w:val="nil"/>
              <w:bottom w:val="nil"/>
              <w:right w:val="nil"/>
            </w:tcBorders>
            <w:shd w:val="clear" w:color="auto" w:fill="auto"/>
            <w:noWrap/>
            <w:vAlign w:val="center"/>
            <w:hideMark/>
          </w:tcPr>
          <w:p w14:paraId="6E5CAA2E"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13,48</w:t>
            </w:r>
          </w:p>
        </w:tc>
        <w:tc>
          <w:tcPr>
            <w:tcW w:w="628" w:type="dxa"/>
            <w:tcBorders>
              <w:top w:val="nil"/>
              <w:left w:val="nil"/>
              <w:bottom w:val="nil"/>
              <w:right w:val="nil"/>
            </w:tcBorders>
            <w:shd w:val="clear" w:color="auto" w:fill="auto"/>
            <w:noWrap/>
            <w:vAlign w:val="center"/>
            <w:hideMark/>
          </w:tcPr>
          <w:p w14:paraId="73F9918E"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13,76</w:t>
            </w:r>
          </w:p>
        </w:tc>
        <w:tc>
          <w:tcPr>
            <w:tcW w:w="628" w:type="dxa"/>
            <w:tcBorders>
              <w:top w:val="nil"/>
              <w:left w:val="nil"/>
              <w:bottom w:val="nil"/>
              <w:right w:val="nil"/>
            </w:tcBorders>
            <w:shd w:val="clear" w:color="auto" w:fill="auto"/>
            <w:noWrap/>
            <w:vAlign w:val="center"/>
            <w:hideMark/>
          </w:tcPr>
          <w:p w14:paraId="4851F5B0"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11,08</w:t>
            </w:r>
          </w:p>
        </w:tc>
        <w:tc>
          <w:tcPr>
            <w:tcW w:w="628" w:type="dxa"/>
            <w:tcBorders>
              <w:top w:val="nil"/>
              <w:left w:val="nil"/>
              <w:bottom w:val="nil"/>
              <w:right w:val="nil"/>
            </w:tcBorders>
            <w:shd w:val="clear" w:color="auto" w:fill="auto"/>
            <w:noWrap/>
            <w:vAlign w:val="center"/>
            <w:hideMark/>
          </w:tcPr>
          <w:p w14:paraId="0B4B3995"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13,52</w:t>
            </w:r>
          </w:p>
        </w:tc>
        <w:tc>
          <w:tcPr>
            <w:tcW w:w="628" w:type="dxa"/>
            <w:tcBorders>
              <w:top w:val="nil"/>
              <w:left w:val="nil"/>
              <w:bottom w:val="nil"/>
              <w:right w:val="nil"/>
            </w:tcBorders>
            <w:shd w:val="clear" w:color="auto" w:fill="auto"/>
            <w:noWrap/>
            <w:vAlign w:val="center"/>
            <w:hideMark/>
          </w:tcPr>
          <w:p w14:paraId="5FECB808"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11,93</w:t>
            </w:r>
          </w:p>
        </w:tc>
        <w:tc>
          <w:tcPr>
            <w:tcW w:w="628" w:type="dxa"/>
            <w:tcBorders>
              <w:top w:val="nil"/>
              <w:left w:val="nil"/>
              <w:bottom w:val="nil"/>
              <w:right w:val="nil"/>
            </w:tcBorders>
            <w:shd w:val="clear" w:color="auto" w:fill="auto"/>
            <w:noWrap/>
            <w:vAlign w:val="center"/>
            <w:hideMark/>
          </w:tcPr>
          <w:p w14:paraId="175CFFDF"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15,14</w:t>
            </w:r>
          </w:p>
        </w:tc>
        <w:tc>
          <w:tcPr>
            <w:tcW w:w="628" w:type="dxa"/>
            <w:tcBorders>
              <w:top w:val="nil"/>
              <w:left w:val="nil"/>
              <w:bottom w:val="nil"/>
              <w:right w:val="nil"/>
            </w:tcBorders>
            <w:shd w:val="clear" w:color="auto" w:fill="auto"/>
            <w:noWrap/>
            <w:vAlign w:val="center"/>
            <w:hideMark/>
          </w:tcPr>
          <w:p w14:paraId="65D0D63E"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15,23</w:t>
            </w:r>
          </w:p>
        </w:tc>
        <w:tc>
          <w:tcPr>
            <w:tcW w:w="628" w:type="dxa"/>
            <w:tcBorders>
              <w:top w:val="nil"/>
              <w:left w:val="nil"/>
              <w:bottom w:val="nil"/>
              <w:right w:val="nil"/>
            </w:tcBorders>
            <w:shd w:val="clear" w:color="auto" w:fill="auto"/>
            <w:noWrap/>
            <w:vAlign w:val="center"/>
            <w:hideMark/>
          </w:tcPr>
          <w:p w14:paraId="17B7E643"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15,47</w:t>
            </w:r>
          </w:p>
        </w:tc>
        <w:tc>
          <w:tcPr>
            <w:tcW w:w="628" w:type="dxa"/>
            <w:tcBorders>
              <w:top w:val="nil"/>
              <w:left w:val="nil"/>
              <w:bottom w:val="nil"/>
              <w:right w:val="nil"/>
            </w:tcBorders>
            <w:shd w:val="clear" w:color="auto" w:fill="auto"/>
            <w:noWrap/>
            <w:vAlign w:val="center"/>
            <w:hideMark/>
          </w:tcPr>
          <w:p w14:paraId="050954BC" w14:textId="77777777" w:rsidR="00170240" w:rsidRPr="00170240" w:rsidRDefault="00170240" w:rsidP="00170240">
            <w:pPr>
              <w:spacing w:after="0" w:line="240" w:lineRule="auto"/>
              <w:jc w:val="right"/>
              <w:rPr>
                <w:rFonts w:ascii="Arial CE" w:hAnsi="Arial CE" w:cs="Arial CE"/>
                <w:sz w:val="16"/>
                <w:szCs w:val="16"/>
              </w:rPr>
            </w:pPr>
            <w:r w:rsidRPr="00170240">
              <w:rPr>
                <w:rFonts w:ascii="Arial CE" w:hAnsi="Arial CE" w:cs="Arial CE"/>
                <w:sz w:val="16"/>
                <w:szCs w:val="16"/>
              </w:rPr>
              <w:t>16,93</w:t>
            </w:r>
          </w:p>
        </w:tc>
        <w:tc>
          <w:tcPr>
            <w:tcW w:w="628" w:type="dxa"/>
            <w:tcBorders>
              <w:top w:val="nil"/>
              <w:left w:val="nil"/>
              <w:bottom w:val="nil"/>
              <w:right w:val="nil"/>
            </w:tcBorders>
            <w:shd w:val="clear" w:color="auto" w:fill="auto"/>
            <w:noWrap/>
            <w:vAlign w:val="center"/>
            <w:hideMark/>
          </w:tcPr>
          <w:p w14:paraId="52047335" w14:textId="77777777" w:rsidR="00170240" w:rsidRPr="00170240" w:rsidRDefault="00170240" w:rsidP="00170240">
            <w:pPr>
              <w:spacing w:after="0" w:line="240" w:lineRule="auto"/>
              <w:jc w:val="right"/>
              <w:rPr>
                <w:rFonts w:cs="Arial"/>
                <w:color w:val="000000"/>
                <w:sz w:val="16"/>
                <w:szCs w:val="16"/>
              </w:rPr>
            </w:pPr>
            <w:r w:rsidRPr="00170240">
              <w:rPr>
                <w:rFonts w:cs="Arial"/>
                <w:color w:val="000000"/>
                <w:sz w:val="16"/>
                <w:szCs w:val="16"/>
              </w:rPr>
              <w:t>16,15</w:t>
            </w:r>
          </w:p>
        </w:tc>
      </w:tr>
    </w:tbl>
    <w:p w14:paraId="51821716" w14:textId="1135FC3B" w:rsidR="00AC74F3" w:rsidRDefault="00AC74F3" w:rsidP="00833468">
      <w:pPr>
        <w:spacing w:before="120"/>
        <w:jc w:val="both"/>
        <w:rPr>
          <w:rFonts w:cs="Arial"/>
          <w:sz w:val="16"/>
          <w:szCs w:val="16"/>
        </w:rPr>
      </w:pPr>
      <w:r>
        <w:rPr>
          <w:rFonts w:cs="Arial"/>
          <w:sz w:val="16"/>
          <w:szCs w:val="16"/>
        </w:rPr>
        <w:t>Zdroj: ČSÚ</w:t>
      </w:r>
    </w:p>
    <w:p w14:paraId="121CD040" w14:textId="44769D29" w:rsidR="00907B59" w:rsidRDefault="00907B59" w:rsidP="00907B59">
      <w:pPr>
        <w:jc w:val="both"/>
        <w:rPr>
          <w:rFonts w:cs="Arial"/>
        </w:rPr>
      </w:pPr>
      <w:r>
        <w:rPr>
          <w:rFonts w:cs="Arial"/>
        </w:rPr>
        <w:t xml:space="preserve">Nejvíce případů dočasné pracovní neschopnosti v 1. pol. 2019 </w:t>
      </w:r>
      <w:r w:rsidRPr="00BA064B">
        <w:rPr>
          <w:rFonts w:cs="Arial"/>
          <w:b/>
        </w:rPr>
        <w:t>na 100 pojištěnců</w:t>
      </w:r>
      <w:r>
        <w:rPr>
          <w:rFonts w:cs="Arial"/>
        </w:rPr>
        <w:t xml:space="preserve"> bylo zaznamenáno rovněž ve Zpracovatelském průmyslu (27), následovala oblast Administrativní a podpůrné činnosti (23,5). Nejméně časté případy pracovní neschopnosti na 100 pojištěnců byly evidovány v odvětví Činnosti v oblasti nemovitostí (9,2). Celorepublikový průměr bez ohledu na ekonomické odvětví činil </w:t>
      </w:r>
      <w:r w:rsidR="00B564BA">
        <w:rPr>
          <w:rFonts w:cs="Arial"/>
        </w:rPr>
        <w:t xml:space="preserve">již zmíněných </w:t>
      </w:r>
      <w:r>
        <w:rPr>
          <w:rFonts w:cs="Arial"/>
        </w:rPr>
        <w:t>20,6 případů na 100</w:t>
      </w:r>
      <w:r w:rsidR="00614C38">
        <w:rPr>
          <w:rFonts w:cs="Arial"/>
        </w:rPr>
        <w:t> </w:t>
      </w:r>
      <w:r>
        <w:rPr>
          <w:rFonts w:cs="Arial"/>
        </w:rPr>
        <w:t>nemocensky pojištěných osob.</w:t>
      </w:r>
    </w:p>
    <w:p w14:paraId="766DD747" w14:textId="0259F7E9" w:rsidR="00907B59" w:rsidRDefault="00907B59" w:rsidP="00907B59">
      <w:pPr>
        <w:jc w:val="both"/>
        <w:rPr>
          <w:rFonts w:cs="Arial"/>
        </w:rPr>
      </w:pPr>
      <w:r w:rsidRPr="00C55B6D">
        <w:rPr>
          <w:rFonts w:cs="Arial"/>
        </w:rPr>
        <w:t xml:space="preserve">Nejvíce případů dočasné pracovní neschopnosti na 100 pojištěnců </w:t>
      </w:r>
      <w:r w:rsidRPr="00BA05E6">
        <w:rPr>
          <w:rFonts w:cs="Arial"/>
          <w:b/>
        </w:rPr>
        <w:t>pro pracovní úraz</w:t>
      </w:r>
      <w:r w:rsidRPr="00C55B6D">
        <w:rPr>
          <w:rFonts w:cs="Arial"/>
        </w:rPr>
        <w:t xml:space="preserve">, což je </w:t>
      </w:r>
      <w:r>
        <w:rPr>
          <w:rFonts w:cs="Arial"/>
        </w:rPr>
        <w:t xml:space="preserve">možné chápat jako </w:t>
      </w:r>
      <w:r w:rsidRPr="00C55B6D">
        <w:rPr>
          <w:rFonts w:cs="Arial"/>
        </w:rPr>
        <w:t xml:space="preserve">ukazatel vyjadřující „stupeň rizikovosti“ daného odvětví, bylo hlášeno u oblasti Zemědělství, lesnictví </w:t>
      </w:r>
      <w:r w:rsidRPr="00C55B6D">
        <w:rPr>
          <w:rFonts w:cs="Arial"/>
        </w:rPr>
        <w:lastRenderedPageBreak/>
        <w:t>a rybářství (</w:t>
      </w:r>
      <w:r>
        <w:rPr>
          <w:rFonts w:cs="Arial"/>
        </w:rPr>
        <w:t>1,2</w:t>
      </w:r>
      <w:r w:rsidRPr="00C55B6D">
        <w:rPr>
          <w:rFonts w:cs="Arial"/>
        </w:rPr>
        <w:t>)</w:t>
      </w:r>
      <w:r w:rsidRPr="00C55B6D">
        <w:rPr>
          <w:rFonts w:cs="Arial"/>
          <w:szCs w:val="20"/>
        </w:rPr>
        <w:t xml:space="preserve">, dále u oblasti </w:t>
      </w:r>
      <w:r w:rsidR="00A354BB">
        <w:rPr>
          <w:rFonts w:cs="Arial"/>
        </w:rPr>
        <w:t>Zásobování vodou;</w:t>
      </w:r>
      <w:r w:rsidRPr="00C55B6D">
        <w:rPr>
          <w:rFonts w:cs="Arial"/>
        </w:rPr>
        <w:t xml:space="preserve"> činnosti související s odpadními vodami, odpady a sanacemi (1,</w:t>
      </w:r>
      <w:r>
        <w:rPr>
          <w:rFonts w:cs="Arial"/>
        </w:rPr>
        <w:t>0</w:t>
      </w:r>
      <w:r w:rsidRPr="00C55B6D">
        <w:rPr>
          <w:rFonts w:cs="Arial"/>
        </w:rPr>
        <w:t>) a</w:t>
      </w:r>
      <w:r>
        <w:rPr>
          <w:rFonts w:cs="Arial"/>
        </w:rPr>
        <w:t> </w:t>
      </w:r>
      <w:r w:rsidRPr="00C55B6D">
        <w:rPr>
          <w:rFonts w:cs="Arial"/>
        </w:rPr>
        <w:t>v oblas</w:t>
      </w:r>
      <w:r>
        <w:rPr>
          <w:rFonts w:cs="Arial"/>
        </w:rPr>
        <w:t>ti Doprava a skladování (0,8).</w:t>
      </w:r>
      <w:r w:rsidRPr="00C55B6D">
        <w:rPr>
          <w:rFonts w:cs="Arial"/>
        </w:rPr>
        <w:t xml:space="preserve"> </w:t>
      </w:r>
      <w:r>
        <w:rPr>
          <w:rFonts w:cs="Arial"/>
        </w:rPr>
        <w:t>Naproti tomu nejméně pracovních úrazů bylo zaznamenáno v Peněžnictví a pojišťovnictví (0,04) a u Informačních a komunikačních činností (0,05). Průměrně za všechna odvětví připadalo na 100 pojištěnců v 1. pol. 2019 0,5 pracovního úrazu.</w:t>
      </w:r>
    </w:p>
    <w:p w14:paraId="6EE8A930" w14:textId="5B82496D" w:rsidR="00907B59" w:rsidRDefault="00907B59" w:rsidP="00907B59">
      <w:pPr>
        <w:jc w:val="both"/>
        <w:rPr>
          <w:rFonts w:cs="Arial"/>
        </w:rPr>
      </w:pPr>
      <w:r>
        <w:rPr>
          <w:rFonts w:cs="Arial"/>
        </w:rPr>
        <w:t>Vývoj hodnot ukazatele počet případů pracovní neschopnosti na 100 pojištěnců v jednotlivých odvětvích je zřejmý z tabulky 2.2. V posledních deseti letech došlo k nárůstu počtu hlášených případů v přepočtu na 100 pojištěnců ze 17 případů v 1. pol. 2010 na 21 případů v 1. pol. 2019. Nejdynamičtější nárůst mezi 1. pol. 2010 a 1. pol. 2019 je patrný v odvětví Výroba a rozvod elektřiny, plynu, tepla a klimatizovaného vzduchu (z</w:t>
      </w:r>
      <w:r w:rsidR="00061D62">
        <w:rPr>
          <w:rFonts w:cs="Arial"/>
        </w:rPr>
        <w:t xml:space="preserve"> 10</w:t>
      </w:r>
      <w:r>
        <w:rPr>
          <w:rFonts w:cs="Arial"/>
        </w:rPr>
        <w:t xml:space="preserve"> případů na začátku sledovaného období na </w:t>
      </w:r>
      <w:r w:rsidR="00061D62">
        <w:rPr>
          <w:rFonts w:cs="Arial"/>
        </w:rPr>
        <w:t>16</w:t>
      </w:r>
      <w:r>
        <w:rPr>
          <w:rFonts w:cs="Arial"/>
        </w:rPr>
        <w:t xml:space="preserve"> případů v roce 2019 – tj. nárůst o 51 %). Přibylo také pracovníků dočasně práce neschopných ve Zpracovatelském průmyslu (z 20 v 1. pol. 2010 na 27 případů v 1. pol. 2019, resp. o 38 %) nebo v odvětví Zásobování vodou; činnosti související s odpadními vodami, odpady a sanacemi (z 16 v 1. pol. 2010 na 21 v 1. pol. 2019, resp. o 30 %). Naopak největší pokles byl zaznamenán v odvětví Činnosti v oblasti nemovitostí, a sice z </w:t>
      </w:r>
      <w:r w:rsidR="00A354BB">
        <w:rPr>
          <w:rFonts w:cs="Arial"/>
        </w:rPr>
        <w:t>11</w:t>
      </w:r>
      <w:r>
        <w:rPr>
          <w:rFonts w:cs="Arial"/>
        </w:rPr>
        <w:t xml:space="preserve"> případů v 1. pol. 2010 na </w:t>
      </w:r>
      <w:r w:rsidR="00A354BB">
        <w:rPr>
          <w:rFonts w:cs="Arial"/>
        </w:rPr>
        <w:t>9</w:t>
      </w:r>
      <w:r>
        <w:rPr>
          <w:rFonts w:cs="Arial"/>
        </w:rPr>
        <w:t xml:space="preserve"> </w:t>
      </w:r>
      <w:r w:rsidR="00A354BB">
        <w:rPr>
          <w:rFonts w:cs="Arial"/>
        </w:rPr>
        <w:t>případů</w:t>
      </w:r>
      <w:r>
        <w:rPr>
          <w:rFonts w:cs="Arial"/>
        </w:rPr>
        <w:t xml:space="preserve"> za 1. pol. 2019, tj. pokles o 15 %.</w:t>
      </w:r>
    </w:p>
    <w:p w14:paraId="6CD835AD" w14:textId="77777777" w:rsidR="0019246C" w:rsidRDefault="002273A1" w:rsidP="0019246C">
      <w:pPr>
        <w:spacing w:after="120"/>
        <w:jc w:val="both"/>
        <w:rPr>
          <w:rFonts w:cs="Arial"/>
          <w:b/>
        </w:rPr>
      </w:pPr>
      <w:r w:rsidRPr="0019246C">
        <w:rPr>
          <w:rFonts w:cs="Arial"/>
          <w:b/>
        </w:rPr>
        <w:t>Graf 2.4: Nově hlášené případy dočasné pracovní neschopnosti na 100 pojištěnců podle krajů ČR v</w:t>
      </w:r>
      <w:r w:rsidR="0019246C" w:rsidRPr="0019246C">
        <w:rPr>
          <w:rFonts w:cs="Arial"/>
          <w:b/>
        </w:rPr>
        <w:t> </w:t>
      </w:r>
      <w:r w:rsidRPr="0019246C">
        <w:rPr>
          <w:rFonts w:cs="Arial"/>
          <w:b/>
        </w:rPr>
        <w:t>1.</w:t>
      </w:r>
      <w:r w:rsidR="0019246C" w:rsidRPr="0019246C">
        <w:rPr>
          <w:rFonts w:cs="Arial"/>
          <w:b/>
        </w:rPr>
        <w:t> </w:t>
      </w:r>
      <w:r w:rsidRPr="0019246C">
        <w:rPr>
          <w:rFonts w:cs="Arial"/>
          <w:b/>
        </w:rPr>
        <w:t>pol. 2019</w:t>
      </w:r>
    </w:p>
    <w:p w14:paraId="56A8AC57" w14:textId="53DD5379" w:rsidR="00D82646" w:rsidRPr="000D78C9" w:rsidRDefault="002273A1" w:rsidP="0019246C">
      <w:pPr>
        <w:spacing w:after="120"/>
        <w:jc w:val="both"/>
        <w:rPr>
          <w:b/>
        </w:rPr>
      </w:pPr>
      <w:r>
        <w:rPr>
          <w:noProof/>
        </w:rPr>
        <w:drawing>
          <wp:inline distT="0" distB="0" distL="0" distR="0" wp14:anchorId="0C5D407C" wp14:editId="16954C73">
            <wp:extent cx="6010275" cy="4467225"/>
            <wp:effectExtent l="0" t="0" r="0" b="0"/>
            <wp:docPr id="46" name="Graf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2B4327">
        <w:rPr>
          <w:rFonts w:cs="Arial"/>
          <w:sz w:val="16"/>
          <w:szCs w:val="16"/>
        </w:rPr>
        <w:t>Zdroj: ČSÚ</w:t>
      </w:r>
    </w:p>
    <w:p w14:paraId="408CFA46" w14:textId="1B3DE687" w:rsidR="00907B59" w:rsidRDefault="00907B59" w:rsidP="00907B59">
      <w:pPr>
        <w:jc w:val="both"/>
        <w:rPr>
          <w:rFonts w:cs="Arial"/>
        </w:rPr>
      </w:pPr>
      <w:r w:rsidRPr="00C55B6D">
        <w:rPr>
          <w:rFonts w:cs="Arial"/>
        </w:rPr>
        <w:t xml:space="preserve">Z pohledu </w:t>
      </w:r>
      <w:r w:rsidRPr="00833468">
        <w:rPr>
          <w:rFonts w:cs="Arial"/>
          <w:b/>
        </w:rPr>
        <w:t>územního členění</w:t>
      </w:r>
      <w:r w:rsidRPr="00C55B6D">
        <w:rPr>
          <w:rFonts w:cs="Arial"/>
        </w:rPr>
        <w:t xml:space="preserve"> bylo v</w:t>
      </w:r>
      <w:r>
        <w:rPr>
          <w:rFonts w:cs="Arial"/>
        </w:rPr>
        <w:t> 1. pol. 2019</w:t>
      </w:r>
      <w:r w:rsidRPr="00C55B6D">
        <w:rPr>
          <w:rFonts w:cs="Arial"/>
        </w:rPr>
        <w:t xml:space="preserve"> nejvíce případů pracovní neschopnosti na 100 pojištěnců hlášeno v Libereckém (</w:t>
      </w:r>
      <w:r>
        <w:rPr>
          <w:rFonts w:cs="Arial"/>
        </w:rPr>
        <w:t>25,0</w:t>
      </w:r>
      <w:r w:rsidRPr="00C55B6D">
        <w:rPr>
          <w:rFonts w:cs="Arial"/>
        </w:rPr>
        <w:t>)</w:t>
      </w:r>
      <w:r>
        <w:rPr>
          <w:rFonts w:cs="Arial"/>
        </w:rPr>
        <w:t xml:space="preserve">, </w:t>
      </w:r>
      <w:r w:rsidRPr="00C55B6D">
        <w:rPr>
          <w:rFonts w:cs="Arial"/>
        </w:rPr>
        <w:t>Plzeňském (</w:t>
      </w:r>
      <w:r>
        <w:rPr>
          <w:rFonts w:cs="Arial"/>
        </w:rPr>
        <w:t>24,0</w:t>
      </w:r>
      <w:r w:rsidRPr="00C55B6D">
        <w:rPr>
          <w:rFonts w:cs="Arial"/>
        </w:rPr>
        <w:t>)</w:t>
      </w:r>
      <w:r>
        <w:rPr>
          <w:rFonts w:cs="Arial"/>
        </w:rPr>
        <w:t xml:space="preserve"> a Královéhradeckém </w:t>
      </w:r>
      <w:r w:rsidR="00061D62">
        <w:rPr>
          <w:rFonts w:cs="Arial"/>
        </w:rPr>
        <w:t xml:space="preserve">kraji </w:t>
      </w:r>
      <w:r>
        <w:rPr>
          <w:rFonts w:cs="Arial"/>
        </w:rPr>
        <w:t xml:space="preserve">(23,6). Průměr za Českou republiku činil 20,6 případů, přičemž podprůměrné hodnoty vykazovaly následující 3 kraje. </w:t>
      </w:r>
      <w:r w:rsidRPr="00C55B6D">
        <w:rPr>
          <w:rFonts w:cs="Arial"/>
        </w:rPr>
        <w:t xml:space="preserve">Nejméně </w:t>
      </w:r>
      <w:r>
        <w:rPr>
          <w:rFonts w:cs="Arial"/>
        </w:rPr>
        <w:t xml:space="preserve">případů bylo hlášeno </w:t>
      </w:r>
      <w:r w:rsidRPr="00C55B6D">
        <w:rPr>
          <w:rFonts w:cs="Arial"/>
        </w:rPr>
        <w:t>v Praze (</w:t>
      </w:r>
      <w:r>
        <w:rPr>
          <w:rFonts w:cs="Arial"/>
        </w:rPr>
        <w:t>16,6),</w:t>
      </w:r>
      <w:r w:rsidRPr="00C55B6D">
        <w:rPr>
          <w:rFonts w:cs="Arial"/>
        </w:rPr>
        <w:t> Jihomoravském kraji (</w:t>
      </w:r>
      <w:r>
        <w:rPr>
          <w:rFonts w:cs="Arial"/>
        </w:rPr>
        <w:t>19,7</w:t>
      </w:r>
      <w:r w:rsidRPr="00C55B6D">
        <w:rPr>
          <w:rFonts w:cs="Arial"/>
        </w:rPr>
        <w:t>)</w:t>
      </w:r>
      <w:r>
        <w:rPr>
          <w:rFonts w:cs="Arial"/>
        </w:rPr>
        <w:t xml:space="preserve"> a</w:t>
      </w:r>
      <w:r w:rsidRPr="00C55B6D">
        <w:rPr>
          <w:rFonts w:cs="Arial"/>
        </w:rPr>
        <w:t> Olomouckém kraji (</w:t>
      </w:r>
      <w:r>
        <w:rPr>
          <w:rFonts w:cs="Arial"/>
        </w:rPr>
        <w:t>20,3</w:t>
      </w:r>
      <w:r w:rsidRPr="00C55B6D">
        <w:rPr>
          <w:rFonts w:cs="Arial"/>
        </w:rPr>
        <w:t>). V</w:t>
      </w:r>
      <w:r>
        <w:rPr>
          <w:rFonts w:cs="Arial"/>
        </w:rPr>
        <w:t xml:space="preserve"> 1. pol. 2019 </w:t>
      </w:r>
      <w:r w:rsidRPr="00C55B6D">
        <w:rPr>
          <w:rFonts w:cs="Arial"/>
        </w:rPr>
        <w:t xml:space="preserve">byl rozdíl mezi kraji s nejvyšším a nejnižším počtem </w:t>
      </w:r>
      <w:r w:rsidR="00922112">
        <w:rPr>
          <w:rFonts w:cs="Arial"/>
        </w:rPr>
        <w:t xml:space="preserve">případů </w:t>
      </w:r>
      <w:r w:rsidRPr="00C55B6D">
        <w:rPr>
          <w:rFonts w:cs="Arial"/>
        </w:rPr>
        <w:t xml:space="preserve">pracovní neschopnosti na 100 pojištěnců </w:t>
      </w:r>
      <w:r>
        <w:rPr>
          <w:rFonts w:cs="Arial"/>
        </w:rPr>
        <w:t>8</w:t>
      </w:r>
      <w:r w:rsidRPr="00C55B6D">
        <w:rPr>
          <w:rFonts w:cs="Arial"/>
        </w:rPr>
        <w:t xml:space="preserve"> případů. </w:t>
      </w:r>
      <w:r>
        <w:rPr>
          <w:rFonts w:cs="Arial"/>
        </w:rPr>
        <w:t>Hodnoty tohoto sledovaného ukazatele v 1. pol. 2019 meziročně poklesly ve všech krajích.</w:t>
      </w:r>
    </w:p>
    <w:p w14:paraId="7B6A2DB0" w14:textId="48A92AF4" w:rsidR="00907B59" w:rsidRPr="00DA5EBB" w:rsidRDefault="00907B59" w:rsidP="00907B59">
      <w:pPr>
        <w:jc w:val="both"/>
        <w:rPr>
          <w:rFonts w:cs="Arial"/>
          <w:b/>
        </w:rPr>
      </w:pPr>
      <w:r w:rsidRPr="00C55B6D">
        <w:rPr>
          <w:rFonts w:cs="Arial"/>
        </w:rPr>
        <w:lastRenderedPageBreak/>
        <w:t>Rozdíly výskytu dočasné pracovní neschopnosti dle územního členění</w:t>
      </w:r>
      <w:r>
        <w:rPr>
          <w:rFonts w:cs="Arial"/>
        </w:rPr>
        <w:t xml:space="preserve"> jsou značně ovlivněny strukturou zaměstnanosti, charakterem převažující ekonomické činnosti a mírou nezaměstnanosti v daném regionu</w:t>
      </w:r>
      <w:r w:rsidRPr="008D34B0">
        <w:rPr>
          <w:rFonts w:cs="Arial"/>
        </w:rPr>
        <w:t>.</w:t>
      </w:r>
      <w:r>
        <w:rPr>
          <w:rFonts w:cs="Arial"/>
          <w:b/>
        </w:rPr>
        <w:t xml:space="preserve"> </w:t>
      </w:r>
      <w:r w:rsidRPr="00A356D5">
        <w:rPr>
          <w:rFonts w:cs="Arial"/>
        </w:rPr>
        <w:t xml:space="preserve">Je nutno zohlednit též </w:t>
      </w:r>
      <w:r w:rsidRPr="003C29AB">
        <w:rPr>
          <w:rFonts w:cs="Arial"/>
          <w:b/>
        </w:rPr>
        <w:t>metodiku zpracování dat, kdy r</w:t>
      </w:r>
      <w:r w:rsidRPr="003C29AB">
        <w:rPr>
          <w:rFonts w:cs="Arial"/>
          <w:b/>
          <w:szCs w:val="20"/>
        </w:rPr>
        <w:t>ozlišení dle krajů a okresů vychází z údaje o sídle útvaru</w:t>
      </w:r>
      <w:r w:rsidR="00922112">
        <w:rPr>
          <w:rFonts w:cs="Arial"/>
          <w:szCs w:val="20"/>
        </w:rPr>
        <w:t xml:space="preserve">, který vede evidenci mezd </w:t>
      </w:r>
      <w:r>
        <w:rPr>
          <w:rFonts w:cs="Arial"/>
          <w:szCs w:val="20"/>
        </w:rPr>
        <w:t>zaměstnavatel</w:t>
      </w:r>
      <w:r w:rsidR="00922112">
        <w:rPr>
          <w:rFonts w:cs="Arial"/>
          <w:szCs w:val="20"/>
        </w:rPr>
        <w:t>i</w:t>
      </w:r>
      <w:r>
        <w:rPr>
          <w:rFonts w:cs="Arial"/>
          <w:szCs w:val="20"/>
        </w:rPr>
        <w:t xml:space="preserve"> osoby, která je v pracovní neschopnosti.</w:t>
      </w:r>
    </w:p>
    <w:p w14:paraId="1FE87A92" w14:textId="6BE1ABC6" w:rsidR="000D3D37" w:rsidRPr="00E5050F" w:rsidRDefault="002273A1" w:rsidP="0064109D">
      <w:pPr>
        <w:spacing w:after="120"/>
        <w:jc w:val="both"/>
        <w:rPr>
          <w:rFonts w:cs="Arial"/>
          <w:b/>
        </w:rPr>
      </w:pPr>
      <w:r>
        <w:rPr>
          <w:rFonts w:cs="Arial"/>
          <w:b/>
        </w:rPr>
        <w:t xml:space="preserve">Tab. 2.3: </w:t>
      </w:r>
      <w:r w:rsidRPr="002273A1">
        <w:rPr>
          <w:rFonts w:cs="Arial"/>
          <w:b/>
        </w:rPr>
        <w:t xml:space="preserve">Nově hlášené případy dočasné pracovní neschopnosti na 100 pojištěnců podle krajů ČR </w:t>
      </w:r>
      <w:r>
        <w:rPr>
          <w:rFonts w:cs="Arial"/>
          <w:b/>
        </w:rPr>
        <w:br/>
      </w:r>
      <w:r w:rsidRPr="002273A1">
        <w:rPr>
          <w:rFonts w:cs="Arial"/>
          <w:b/>
        </w:rPr>
        <w:t>v 1. pol. 200</w:t>
      </w:r>
      <w:r>
        <w:rPr>
          <w:rFonts w:cs="Arial"/>
          <w:b/>
        </w:rPr>
        <w:t>9</w:t>
      </w:r>
      <w:r w:rsidRPr="002273A1">
        <w:rPr>
          <w:rFonts w:cs="Arial"/>
          <w:b/>
        </w:rPr>
        <w:t xml:space="preserve"> – 1. pol. 2019</w:t>
      </w:r>
    </w:p>
    <w:tbl>
      <w:tblPr>
        <w:tblW w:w="9660" w:type="dxa"/>
        <w:tblCellMar>
          <w:left w:w="70" w:type="dxa"/>
          <w:right w:w="70" w:type="dxa"/>
        </w:tblCellMar>
        <w:tblLook w:val="04A0" w:firstRow="1" w:lastRow="0" w:firstColumn="1" w:lastColumn="0" w:noHBand="0" w:noVBand="1"/>
      </w:tblPr>
      <w:tblGrid>
        <w:gridCol w:w="1934"/>
        <w:gridCol w:w="703"/>
        <w:gridCol w:w="703"/>
        <w:gridCol w:w="703"/>
        <w:gridCol w:w="703"/>
        <w:gridCol w:w="703"/>
        <w:gridCol w:w="703"/>
        <w:gridCol w:w="696"/>
        <w:gridCol w:w="703"/>
        <w:gridCol w:w="703"/>
        <w:gridCol w:w="703"/>
        <w:gridCol w:w="703"/>
      </w:tblGrid>
      <w:tr w:rsidR="002273A1" w:rsidRPr="002273A1" w14:paraId="2F0B1AFC" w14:textId="77777777" w:rsidTr="002273A1">
        <w:trPr>
          <w:trHeight w:val="285"/>
        </w:trPr>
        <w:tc>
          <w:tcPr>
            <w:tcW w:w="1934" w:type="dxa"/>
            <w:vMerge w:val="restart"/>
            <w:tcBorders>
              <w:top w:val="single" w:sz="4" w:space="0" w:color="auto"/>
              <w:left w:val="nil"/>
              <w:bottom w:val="single" w:sz="4" w:space="0" w:color="000000"/>
              <w:right w:val="nil"/>
            </w:tcBorders>
            <w:shd w:val="clear" w:color="000000" w:fill="F2DCDB"/>
            <w:vAlign w:val="center"/>
            <w:hideMark/>
          </w:tcPr>
          <w:p w14:paraId="11147345" w14:textId="77777777" w:rsidR="002273A1" w:rsidRPr="002273A1" w:rsidRDefault="002273A1" w:rsidP="002273A1">
            <w:pPr>
              <w:spacing w:after="0" w:line="240" w:lineRule="auto"/>
              <w:jc w:val="center"/>
              <w:rPr>
                <w:rFonts w:cs="Arial"/>
                <w:sz w:val="16"/>
                <w:szCs w:val="16"/>
              </w:rPr>
            </w:pPr>
            <w:r w:rsidRPr="002273A1">
              <w:rPr>
                <w:rFonts w:cs="Arial"/>
                <w:sz w:val="16"/>
                <w:szCs w:val="16"/>
              </w:rPr>
              <w:t>Kraj ČR</w:t>
            </w:r>
          </w:p>
        </w:tc>
        <w:tc>
          <w:tcPr>
            <w:tcW w:w="7726" w:type="dxa"/>
            <w:gridSpan w:val="11"/>
            <w:tcBorders>
              <w:top w:val="single" w:sz="4" w:space="0" w:color="auto"/>
              <w:left w:val="single" w:sz="4" w:space="0" w:color="auto"/>
              <w:bottom w:val="single" w:sz="4" w:space="0" w:color="auto"/>
              <w:right w:val="nil"/>
            </w:tcBorders>
            <w:shd w:val="clear" w:color="000000" w:fill="F2DCDB"/>
            <w:noWrap/>
            <w:vAlign w:val="center"/>
            <w:hideMark/>
          </w:tcPr>
          <w:p w14:paraId="5896DF8D" w14:textId="77777777" w:rsidR="002273A1" w:rsidRPr="002273A1" w:rsidRDefault="002273A1" w:rsidP="002273A1">
            <w:pPr>
              <w:spacing w:after="0" w:line="240" w:lineRule="auto"/>
              <w:jc w:val="center"/>
              <w:rPr>
                <w:rFonts w:cs="Arial"/>
                <w:sz w:val="16"/>
                <w:szCs w:val="16"/>
              </w:rPr>
            </w:pPr>
            <w:r w:rsidRPr="002273A1">
              <w:rPr>
                <w:rFonts w:cs="Arial"/>
                <w:sz w:val="16"/>
                <w:szCs w:val="16"/>
              </w:rPr>
              <w:t>Počet nově hlášených případů dočasné pracovní neschopnosti na 100 pojištěnců</w:t>
            </w:r>
          </w:p>
        </w:tc>
      </w:tr>
      <w:tr w:rsidR="002273A1" w:rsidRPr="002273A1" w14:paraId="315015F7" w14:textId="77777777" w:rsidTr="002273A1">
        <w:trPr>
          <w:trHeight w:val="450"/>
        </w:trPr>
        <w:tc>
          <w:tcPr>
            <w:tcW w:w="1934" w:type="dxa"/>
            <w:vMerge/>
            <w:tcBorders>
              <w:top w:val="single" w:sz="4" w:space="0" w:color="auto"/>
              <w:left w:val="nil"/>
              <w:bottom w:val="single" w:sz="4" w:space="0" w:color="000000"/>
              <w:right w:val="nil"/>
            </w:tcBorders>
            <w:vAlign w:val="center"/>
            <w:hideMark/>
          </w:tcPr>
          <w:p w14:paraId="58170B90" w14:textId="77777777" w:rsidR="002273A1" w:rsidRPr="002273A1" w:rsidRDefault="002273A1" w:rsidP="002273A1">
            <w:pPr>
              <w:spacing w:after="0" w:line="240" w:lineRule="auto"/>
              <w:rPr>
                <w:rFonts w:cs="Arial"/>
                <w:sz w:val="16"/>
                <w:szCs w:val="16"/>
              </w:rPr>
            </w:pPr>
          </w:p>
        </w:tc>
        <w:tc>
          <w:tcPr>
            <w:tcW w:w="703" w:type="dxa"/>
            <w:tcBorders>
              <w:top w:val="nil"/>
              <w:left w:val="single" w:sz="4" w:space="0" w:color="auto"/>
              <w:bottom w:val="single" w:sz="4" w:space="0" w:color="auto"/>
              <w:right w:val="single" w:sz="4" w:space="0" w:color="auto"/>
            </w:tcBorders>
            <w:shd w:val="clear" w:color="000000" w:fill="F2DCDB"/>
            <w:vAlign w:val="center"/>
            <w:hideMark/>
          </w:tcPr>
          <w:p w14:paraId="0723813C" w14:textId="77777777" w:rsidR="002273A1" w:rsidRPr="002273A1" w:rsidRDefault="002273A1" w:rsidP="002273A1">
            <w:pPr>
              <w:spacing w:after="0" w:line="240" w:lineRule="auto"/>
              <w:jc w:val="center"/>
              <w:rPr>
                <w:rFonts w:cs="Arial"/>
                <w:sz w:val="16"/>
                <w:szCs w:val="16"/>
              </w:rPr>
            </w:pPr>
            <w:r w:rsidRPr="002273A1">
              <w:rPr>
                <w:rFonts w:cs="Arial"/>
                <w:sz w:val="16"/>
                <w:szCs w:val="16"/>
              </w:rPr>
              <w:t xml:space="preserve">1. pol. </w:t>
            </w:r>
            <w:r w:rsidRPr="002273A1">
              <w:rPr>
                <w:rFonts w:cs="Arial"/>
                <w:sz w:val="16"/>
                <w:szCs w:val="16"/>
              </w:rPr>
              <w:br/>
              <w:t>2009</w:t>
            </w:r>
          </w:p>
        </w:tc>
        <w:tc>
          <w:tcPr>
            <w:tcW w:w="703" w:type="dxa"/>
            <w:tcBorders>
              <w:top w:val="nil"/>
              <w:left w:val="nil"/>
              <w:bottom w:val="single" w:sz="4" w:space="0" w:color="auto"/>
              <w:right w:val="single" w:sz="4" w:space="0" w:color="auto"/>
            </w:tcBorders>
            <w:shd w:val="clear" w:color="000000" w:fill="F2DCDB"/>
            <w:vAlign w:val="center"/>
            <w:hideMark/>
          </w:tcPr>
          <w:p w14:paraId="7821A02D" w14:textId="77777777" w:rsidR="002273A1" w:rsidRPr="002273A1" w:rsidRDefault="002273A1" w:rsidP="002273A1">
            <w:pPr>
              <w:spacing w:after="0" w:line="240" w:lineRule="auto"/>
              <w:jc w:val="center"/>
              <w:rPr>
                <w:rFonts w:cs="Arial"/>
                <w:sz w:val="16"/>
                <w:szCs w:val="16"/>
              </w:rPr>
            </w:pPr>
            <w:r w:rsidRPr="002273A1">
              <w:rPr>
                <w:rFonts w:cs="Arial"/>
                <w:sz w:val="16"/>
                <w:szCs w:val="16"/>
              </w:rPr>
              <w:t xml:space="preserve">1. pol. </w:t>
            </w:r>
            <w:r w:rsidRPr="002273A1">
              <w:rPr>
                <w:rFonts w:cs="Arial"/>
                <w:sz w:val="16"/>
                <w:szCs w:val="16"/>
              </w:rPr>
              <w:br/>
              <w:t>2010</w:t>
            </w:r>
          </w:p>
        </w:tc>
        <w:tc>
          <w:tcPr>
            <w:tcW w:w="703" w:type="dxa"/>
            <w:tcBorders>
              <w:top w:val="nil"/>
              <w:left w:val="nil"/>
              <w:bottom w:val="single" w:sz="4" w:space="0" w:color="auto"/>
              <w:right w:val="single" w:sz="4" w:space="0" w:color="auto"/>
            </w:tcBorders>
            <w:shd w:val="clear" w:color="000000" w:fill="F2DCDB"/>
            <w:vAlign w:val="center"/>
            <w:hideMark/>
          </w:tcPr>
          <w:p w14:paraId="3D0AE631" w14:textId="77777777" w:rsidR="002273A1" w:rsidRPr="002273A1" w:rsidRDefault="002273A1" w:rsidP="002273A1">
            <w:pPr>
              <w:spacing w:after="0" w:line="240" w:lineRule="auto"/>
              <w:jc w:val="center"/>
              <w:rPr>
                <w:rFonts w:cs="Arial"/>
                <w:sz w:val="16"/>
                <w:szCs w:val="16"/>
              </w:rPr>
            </w:pPr>
            <w:r w:rsidRPr="002273A1">
              <w:rPr>
                <w:rFonts w:cs="Arial"/>
                <w:sz w:val="16"/>
                <w:szCs w:val="16"/>
              </w:rPr>
              <w:t xml:space="preserve">1. pol. </w:t>
            </w:r>
            <w:r w:rsidRPr="002273A1">
              <w:rPr>
                <w:rFonts w:cs="Arial"/>
                <w:sz w:val="16"/>
                <w:szCs w:val="16"/>
              </w:rPr>
              <w:br/>
              <w:t>2011</w:t>
            </w:r>
          </w:p>
        </w:tc>
        <w:tc>
          <w:tcPr>
            <w:tcW w:w="703" w:type="dxa"/>
            <w:tcBorders>
              <w:top w:val="nil"/>
              <w:left w:val="nil"/>
              <w:bottom w:val="single" w:sz="4" w:space="0" w:color="auto"/>
              <w:right w:val="single" w:sz="4" w:space="0" w:color="auto"/>
            </w:tcBorders>
            <w:shd w:val="clear" w:color="000000" w:fill="F2DCDB"/>
            <w:vAlign w:val="center"/>
            <w:hideMark/>
          </w:tcPr>
          <w:p w14:paraId="662DCBC7" w14:textId="77777777" w:rsidR="002273A1" w:rsidRPr="002273A1" w:rsidRDefault="002273A1" w:rsidP="002273A1">
            <w:pPr>
              <w:spacing w:after="0" w:line="240" w:lineRule="auto"/>
              <w:jc w:val="center"/>
              <w:rPr>
                <w:rFonts w:cs="Arial"/>
                <w:sz w:val="16"/>
                <w:szCs w:val="16"/>
              </w:rPr>
            </w:pPr>
            <w:r w:rsidRPr="002273A1">
              <w:rPr>
                <w:rFonts w:cs="Arial"/>
                <w:sz w:val="16"/>
                <w:szCs w:val="16"/>
              </w:rPr>
              <w:t xml:space="preserve">1. pol. </w:t>
            </w:r>
            <w:r w:rsidRPr="002273A1">
              <w:rPr>
                <w:rFonts w:cs="Arial"/>
                <w:sz w:val="16"/>
                <w:szCs w:val="16"/>
              </w:rPr>
              <w:br/>
              <w:t>2012</w:t>
            </w:r>
          </w:p>
        </w:tc>
        <w:tc>
          <w:tcPr>
            <w:tcW w:w="703" w:type="dxa"/>
            <w:tcBorders>
              <w:top w:val="nil"/>
              <w:left w:val="nil"/>
              <w:bottom w:val="single" w:sz="4" w:space="0" w:color="auto"/>
              <w:right w:val="single" w:sz="4" w:space="0" w:color="auto"/>
            </w:tcBorders>
            <w:shd w:val="clear" w:color="000000" w:fill="F2DCDB"/>
            <w:vAlign w:val="center"/>
            <w:hideMark/>
          </w:tcPr>
          <w:p w14:paraId="05EF734E" w14:textId="77777777" w:rsidR="002273A1" w:rsidRPr="002273A1" w:rsidRDefault="002273A1" w:rsidP="002273A1">
            <w:pPr>
              <w:spacing w:after="0" w:line="240" w:lineRule="auto"/>
              <w:jc w:val="center"/>
              <w:rPr>
                <w:rFonts w:cs="Arial"/>
                <w:sz w:val="16"/>
                <w:szCs w:val="16"/>
              </w:rPr>
            </w:pPr>
            <w:r w:rsidRPr="002273A1">
              <w:rPr>
                <w:rFonts w:cs="Arial"/>
                <w:sz w:val="16"/>
                <w:szCs w:val="16"/>
              </w:rPr>
              <w:t xml:space="preserve">1. pol. </w:t>
            </w:r>
            <w:r w:rsidRPr="002273A1">
              <w:rPr>
                <w:rFonts w:cs="Arial"/>
                <w:sz w:val="16"/>
                <w:szCs w:val="16"/>
              </w:rPr>
              <w:br/>
              <w:t>2013</w:t>
            </w:r>
          </w:p>
        </w:tc>
        <w:tc>
          <w:tcPr>
            <w:tcW w:w="703" w:type="dxa"/>
            <w:tcBorders>
              <w:top w:val="nil"/>
              <w:left w:val="nil"/>
              <w:bottom w:val="single" w:sz="4" w:space="0" w:color="auto"/>
              <w:right w:val="single" w:sz="4" w:space="0" w:color="auto"/>
            </w:tcBorders>
            <w:shd w:val="clear" w:color="000000" w:fill="F2DCDB"/>
            <w:vAlign w:val="center"/>
            <w:hideMark/>
          </w:tcPr>
          <w:p w14:paraId="4E271AED" w14:textId="77777777" w:rsidR="002273A1" w:rsidRPr="002273A1" w:rsidRDefault="002273A1" w:rsidP="002273A1">
            <w:pPr>
              <w:spacing w:after="0" w:line="240" w:lineRule="auto"/>
              <w:jc w:val="center"/>
              <w:rPr>
                <w:rFonts w:cs="Arial"/>
                <w:sz w:val="16"/>
                <w:szCs w:val="16"/>
              </w:rPr>
            </w:pPr>
            <w:r w:rsidRPr="002273A1">
              <w:rPr>
                <w:rFonts w:cs="Arial"/>
                <w:sz w:val="16"/>
                <w:szCs w:val="16"/>
              </w:rPr>
              <w:t xml:space="preserve">1. pol. </w:t>
            </w:r>
            <w:r w:rsidRPr="002273A1">
              <w:rPr>
                <w:rFonts w:cs="Arial"/>
                <w:sz w:val="16"/>
                <w:szCs w:val="16"/>
              </w:rPr>
              <w:br/>
              <w:t>2014</w:t>
            </w:r>
          </w:p>
        </w:tc>
        <w:tc>
          <w:tcPr>
            <w:tcW w:w="696" w:type="dxa"/>
            <w:tcBorders>
              <w:top w:val="nil"/>
              <w:left w:val="nil"/>
              <w:bottom w:val="single" w:sz="4" w:space="0" w:color="auto"/>
              <w:right w:val="single" w:sz="4" w:space="0" w:color="auto"/>
            </w:tcBorders>
            <w:shd w:val="clear" w:color="000000" w:fill="F2DCDB"/>
            <w:vAlign w:val="center"/>
            <w:hideMark/>
          </w:tcPr>
          <w:p w14:paraId="4D40DAA7" w14:textId="77777777" w:rsidR="002273A1" w:rsidRPr="002273A1" w:rsidRDefault="002273A1" w:rsidP="002273A1">
            <w:pPr>
              <w:spacing w:after="0" w:line="240" w:lineRule="auto"/>
              <w:jc w:val="center"/>
              <w:rPr>
                <w:rFonts w:cs="Arial"/>
                <w:sz w:val="16"/>
                <w:szCs w:val="16"/>
              </w:rPr>
            </w:pPr>
            <w:r w:rsidRPr="002273A1">
              <w:rPr>
                <w:rFonts w:cs="Arial"/>
                <w:sz w:val="16"/>
                <w:szCs w:val="16"/>
              </w:rPr>
              <w:t xml:space="preserve">1. pol. </w:t>
            </w:r>
            <w:r w:rsidRPr="002273A1">
              <w:rPr>
                <w:rFonts w:cs="Arial"/>
                <w:sz w:val="16"/>
                <w:szCs w:val="16"/>
              </w:rPr>
              <w:br/>
              <w:t>2015</w:t>
            </w:r>
          </w:p>
        </w:tc>
        <w:tc>
          <w:tcPr>
            <w:tcW w:w="703" w:type="dxa"/>
            <w:tcBorders>
              <w:top w:val="nil"/>
              <w:left w:val="nil"/>
              <w:bottom w:val="single" w:sz="4" w:space="0" w:color="auto"/>
              <w:right w:val="single" w:sz="4" w:space="0" w:color="auto"/>
            </w:tcBorders>
            <w:shd w:val="clear" w:color="000000" w:fill="F2DCDB"/>
            <w:vAlign w:val="center"/>
            <w:hideMark/>
          </w:tcPr>
          <w:p w14:paraId="4C11095E" w14:textId="77777777" w:rsidR="002273A1" w:rsidRPr="002273A1" w:rsidRDefault="002273A1" w:rsidP="002273A1">
            <w:pPr>
              <w:spacing w:after="0" w:line="240" w:lineRule="auto"/>
              <w:jc w:val="center"/>
              <w:rPr>
                <w:rFonts w:cs="Arial"/>
                <w:sz w:val="16"/>
                <w:szCs w:val="16"/>
              </w:rPr>
            </w:pPr>
            <w:r w:rsidRPr="002273A1">
              <w:rPr>
                <w:rFonts w:cs="Arial"/>
                <w:sz w:val="16"/>
                <w:szCs w:val="16"/>
              </w:rPr>
              <w:t xml:space="preserve">1. pol. </w:t>
            </w:r>
            <w:r w:rsidRPr="002273A1">
              <w:rPr>
                <w:rFonts w:cs="Arial"/>
                <w:sz w:val="16"/>
                <w:szCs w:val="16"/>
              </w:rPr>
              <w:br/>
              <w:t>2016</w:t>
            </w:r>
          </w:p>
        </w:tc>
        <w:tc>
          <w:tcPr>
            <w:tcW w:w="703" w:type="dxa"/>
            <w:tcBorders>
              <w:top w:val="nil"/>
              <w:left w:val="nil"/>
              <w:bottom w:val="single" w:sz="4" w:space="0" w:color="auto"/>
              <w:right w:val="single" w:sz="4" w:space="0" w:color="auto"/>
            </w:tcBorders>
            <w:shd w:val="clear" w:color="000000" w:fill="F2DCDB"/>
            <w:vAlign w:val="center"/>
            <w:hideMark/>
          </w:tcPr>
          <w:p w14:paraId="44A126AD" w14:textId="77777777" w:rsidR="002273A1" w:rsidRPr="002273A1" w:rsidRDefault="002273A1" w:rsidP="002273A1">
            <w:pPr>
              <w:spacing w:after="0" w:line="240" w:lineRule="auto"/>
              <w:jc w:val="center"/>
              <w:rPr>
                <w:rFonts w:cs="Arial"/>
                <w:sz w:val="16"/>
                <w:szCs w:val="16"/>
              </w:rPr>
            </w:pPr>
            <w:r w:rsidRPr="002273A1">
              <w:rPr>
                <w:rFonts w:cs="Arial"/>
                <w:sz w:val="16"/>
                <w:szCs w:val="16"/>
              </w:rPr>
              <w:t xml:space="preserve">1. pol. </w:t>
            </w:r>
            <w:r w:rsidRPr="002273A1">
              <w:rPr>
                <w:rFonts w:cs="Arial"/>
                <w:sz w:val="16"/>
                <w:szCs w:val="16"/>
              </w:rPr>
              <w:br/>
              <w:t>2017</w:t>
            </w:r>
          </w:p>
        </w:tc>
        <w:tc>
          <w:tcPr>
            <w:tcW w:w="703" w:type="dxa"/>
            <w:tcBorders>
              <w:top w:val="nil"/>
              <w:left w:val="nil"/>
              <w:bottom w:val="single" w:sz="4" w:space="0" w:color="auto"/>
              <w:right w:val="nil"/>
            </w:tcBorders>
            <w:shd w:val="clear" w:color="000000" w:fill="F2DCDB"/>
            <w:vAlign w:val="center"/>
            <w:hideMark/>
          </w:tcPr>
          <w:p w14:paraId="75559848" w14:textId="77777777" w:rsidR="002273A1" w:rsidRPr="002273A1" w:rsidRDefault="002273A1" w:rsidP="002273A1">
            <w:pPr>
              <w:spacing w:after="0" w:line="240" w:lineRule="auto"/>
              <w:jc w:val="center"/>
              <w:rPr>
                <w:rFonts w:cs="Arial"/>
                <w:sz w:val="16"/>
                <w:szCs w:val="16"/>
              </w:rPr>
            </w:pPr>
            <w:r w:rsidRPr="002273A1">
              <w:rPr>
                <w:rFonts w:cs="Arial"/>
                <w:sz w:val="16"/>
                <w:szCs w:val="16"/>
              </w:rPr>
              <w:t xml:space="preserve">1. pol. </w:t>
            </w:r>
            <w:r w:rsidRPr="002273A1">
              <w:rPr>
                <w:rFonts w:cs="Arial"/>
                <w:sz w:val="16"/>
                <w:szCs w:val="16"/>
              </w:rPr>
              <w:br/>
              <w:t>2018</w:t>
            </w:r>
          </w:p>
        </w:tc>
        <w:tc>
          <w:tcPr>
            <w:tcW w:w="703" w:type="dxa"/>
            <w:tcBorders>
              <w:top w:val="nil"/>
              <w:left w:val="single" w:sz="4" w:space="0" w:color="auto"/>
              <w:bottom w:val="single" w:sz="4" w:space="0" w:color="auto"/>
              <w:right w:val="nil"/>
            </w:tcBorders>
            <w:shd w:val="clear" w:color="000000" w:fill="F2DCDB"/>
            <w:vAlign w:val="center"/>
            <w:hideMark/>
          </w:tcPr>
          <w:p w14:paraId="6FBFEF66" w14:textId="77777777" w:rsidR="002273A1" w:rsidRPr="002273A1" w:rsidRDefault="002273A1" w:rsidP="002273A1">
            <w:pPr>
              <w:spacing w:after="0" w:line="240" w:lineRule="auto"/>
              <w:jc w:val="center"/>
              <w:rPr>
                <w:rFonts w:cs="Arial"/>
                <w:sz w:val="16"/>
                <w:szCs w:val="16"/>
              </w:rPr>
            </w:pPr>
            <w:r w:rsidRPr="002273A1">
              <w:rPr>
                <w:rFonts w:cs="Arial"/>
                <w:sz w:val="16"/>
                <w:szCs w:val="16"/>
              </w:rPr>
              <w:t>1. pol. 2019</w:t>
            </w:r>
          </w:p>
        </w:tc>
      </w:tr>
      <w:tr w:rsidR="002273A1" w:rsidRPr="002273A1" w14:paraId="205AE10C" w14:textId="77777777" w:rsidTr="002273A1">
        <w:trPr>
          <w:trHeight w:val="285"/>
        </w:trPr>
        <w:tc>
          <w:tcPr>
            <w:tcW w:w="1934" w:type="dxa"/>
            <w:tcBorders>
              <w:top w:val="nil"/>
              <w:left w:val="nil"/>
              <w:bottom w:val="nil"/>
              <w:right w:val="nil"/>
            </w:tcBorders>
            <w:shd w:val="clear" w:color="auto" w:fill="auto"/>
            <w:noWrap/>
            <w:vAlign w:val="center"/>
            <w:hideMark/>
          </w:tcPr>
          <w:p w14:paraId="68676C96" w14:textId="77777777" w:rsidR="002273A1" w:rsidRPr="00BD5565" w:rsidRDefault="002273A1" w:rsidP="002273A1">
            <w:pPr>
              <w:spacing w:after="0" w:line="240" w:lineRule="auto"/>
              <w:rPr>
                <w:rFonts w:cs="Arial"/>
                <w:b/>
                <w:sz w:val="16"/>
                <w:szCs w:val="16"/>
              </w:rPr>
            </w:pPr>
            <w:r w:rsidRPr="00BD5565">
              <w:rPr>
                <w:rFonts w:cs="Arial"/>
                <w:b/>
                <w:sz w:val="16"/>
                <w:szCs w:val="16"/>
              </w:rPr>
              <w:t>ČR celkem</w:t>
            </w:r>
          </w:p>
        </w:tc>
        <w:tc>
          <w:tcPr>
            <w:tcW w:w="703" w:type="dxa"/>
            <w:tcBorders>
              <w:top w:val="nil"/>
              <w:left w:val="nil"/>
              <w:bottom w:val="nil"/>
              <w:right w:val="nil"/>
            </w:tcBorders>
            <w:shd w:val="clear" w:color="auto" w:fill="auto"/>
            <w:noWrap/>
            <w:vAlign w:val="center"/>
            <w:hideMark/>
          </w:tcPr>
          <w:p w14:paraId="62BD97BF" w14:textId="77777777" w:rsidR="002273A1" w:rsidRPr="002273A1" w:rsidRDefault="002273A1" w:rsidP="002273A1">
            <w:pPr>
              <w:spacing w:after="0" w:line="240" w:lineRule="auto"/>
              <w:jc w:val="right"/>
              <w:rPr>
                <w:rFonts w:cs="Arial"/>
                <w:b/>
                <w:bCs/>
                <w:sz w:val="16"/>
                <w:szCs w:val="16"/>
              </w:rPr>
            </w:pPr>
            <w:r w:rsidRPr="002273A1">
              <w:rPr>
                <w:rFonts w:cs="Arial"/>
                <w:b/>
                <w:bCs/>
                <w:sz w:val="16"/>
                <w:szCs w:val="16"/>
              </w:rPr>
              <w:t>17,74</w:t>
            </w:r>
          </w:p>
        </w:tc>
        <w:tc>
          <w:tcPr>
            <w:tcW w:w="703" w:type="dxa"/>
            <w:tcBorders>
              <w:top w:val="nil"/>
              <w:left w:val="nil"/>
              <w:bottom w:val="nil"/>
              <w:right w:val="nil"/>
            </w:tcBorders>
            <w:shd w:val="clear" w:color="auto" w:fill="auto"/>
            <w:noWrap/>
            <w:vAlign w:val="center"/>
            <w:hideMark/>
          </w:tcPr>
          <w:p w14:paraId="1E7371C0" w14:textId="77777777" w:rsidR="002273A1" w:rsidRPr="002273A1" w:rsidRDefault="002273A1" w:rsidP="002273A1">
            <w:pPr>
              <w:spacing w:after="0" w:line="240" w:lineRule="auto"/>
              <w:jc w:val="right"/>
              <w:rPr>
                <w:rFonts w:cs="Arial"/>
                <w:b/>
                <w:bCs/>
                <w:sz w:val="16"/>
                <w:szCs w:val="16"/>
              </w:rPr>
            </w:pPr>
            <w:r w:rsidRPr="002273A1">
              <w:rPr>
                <w:rFonts w:cs="Arial"/>
                <w:b/>
                <w:bCs/>
                <w:sz w:val="16"/>
                <w:szCs w:val="16"/>
              </w:rPr>
              <w:t>16,60</w:t>
            </w:r>
          </w:p>
        </w:tc>
        <w:tc>
          <w:tcPr>
            <w:tcW w:w="703" w:type="dxa"/>
            <w:tcBorders>
              <w:top w:val="nil"/>
              <w:left w:val="nil"/>
              <w:bottom w:val="nil"/>
              <w:right w:val="nil"/>
            </w:tcBorders>
            <w:shd w:val="clear" w:color="auto" w:fill="auto"/>
            <w:noWrap/>
            <w:vAlign w:val="center"/>
            <w:hideMark/>
          </w:tcPr>
          <w:p w14:paraId="4DDF93CA" w14:textId="77777777" w:rsidR="002273A1" w:rsidRPr="002273A1" w:rsidRDefault="002273A1" w:rsidP="002273A1">
            <w:pPr>
              <w:spacing w:after="0" w:line="240" w:lineRule="auto"/>
              <w:jc w:val="right"/>
              <w:rPr>
                <w:rFonts w:cs="Arial"/>
                <w:b/>
                <w:bCs/>
                <w:sz w:val="16"/>
                <w:szCs w:val="16"/>
              </w:rPr>
            </w:pPr>
            <w:r w:rsidRPr="002273A1">
              <w:rPr>
                <w:rFonts w:cs="Arial"/>
                <w:b/>
                <w:bCs/>
                <w:sz w:val="16"/>
                <w:szCs w:val="16"/>
              </w:rPr>
              <w:t>16,99</w:t>
            </w:r>
          </w:p>
        </w:tc>
        <w:tc>
          <w:tcPr>
            <w:tcW w:w="703" w:type="dxa"/>
            <w:tcBorders>
              <w:top w:val="nil"/>
              <w:left w:val="nil"/>
              <w:bottom w:val="nil"/>
              <w:right w:val="nil"/>
            </w:tcBorders>
            <w:shd w:val="clear" w:color="auto" w:fill="auto"/>
            <w:noWrap/>
            <w:vAlign w:val="center"/>
            <w:hideMark/>
          </w:tcPr>
          <w:p w14:paraId="15357956" w14:textId="77777777" w:rsidR="002273A1" w:rsidRPr="002273A1" w:rsidRDefault="002273A1" w:rsidP="002273A1">
            <w:pPr>
              <w:spacing w:after="0" w:line="240" w:lineRule="auto"/>
              <w:jc w:val="right"/>
              <w:rPr>
                <w:rFonts w:cs="Arial"/>
                <w:b/>
                <w:bCs/>
                <w:sz w:val="16"/>
                <w:szCs w:val="16"/>
              </w:rPr>
            </w:pPr>
            <w:r w:rsidRPr="002273A1">
              <w:rPr>
                <w:rFonts w:cs="Arial"/>
                <w:b/>
                <w:bCs/>
                <w:sz w:val="16"/>
                <w:szCs w:val="16"/>
              </w:rPr>
              <w:t>13,62</w:t>
            </w:r>
          </w:p>
        </w:tc>
        <w:tc>
          <w:tcPr>
            <w:tcW w:w="703" w:type="dxa"/>
            <w:tcBorders>
              <w:top w:val="nil"/>
              <w:left w:val="nil"/>
              <w:bottom w:val="nil"/>
              <w:right w:val="nil"/>
            </w:tcBorders>
            <w:shd w:val="clear" w:color="auto" w:fill="auto"/>
            <w:noWrap/>
            <w:vAlign w:val="center"/>
            <w:hideMark/>
          </w:tcPr>
          <w:p w14:paraId="3F7CA0A0" w14:textId="77777777" w:rsidR="002273A1" w:rsidRPr="002273A1" w:rsidRDefault="002273A1" w:rsidP="002273A1">
            <w:pPr>
              <w:spacing w:after="0" w:line="240" w:lineRule="auto"/>
              <w:jc w:val="right"/>
              <w:rPr>
                <w:rFonts w:cs="Arial"/>
                <w:b/>
                <w:bCs/>
                <w:sz w:val="16"/>
                <w:szCs w:val="16"/>
              </w:rPr>
            </w:pPr>
            <w:r w:rsidRPr="002273A1">
              <w:rPr>
                <w:rFonts w:cs="Arial"/>
                <w:b/>
                <w:bCs/>
                <w:sz w:val="16"/>
                <w:szCs w:val="16"/>
              </w:rPr>
              <w:t>17,09</w:t>
            </w:r>
          </w:p>
        </w:tc>
        <w:tc>
          <w:tcPr>
            <w:tcW w:w="703" w:type="dxa"/>
            <w:tcBorders>
              <w:top w:val="nil"/>
              <w:left w:val="nil"/>
              <w:bottom w:val="nil"/>
              <w:right w:val="nil"/>
            </w:tcBorders>
            <w:shd w:val="clear" w:color="auto" w:fill="auto"/>
            <w:noWrap/>
            <w:vAlign w:val="center"/>
            <w:hideMark/>
          </w:tcPr>
          <w:p w14:paraId="2B2ADF6F" w14:textId="77777777" w:rsidR="002273A1" w:rsidRPr="002273A1" w:rsidRDefault="002273A1" w:rsidP="002273A1">
            <w:pPr>
              <w:spacing w:after="0" w:line="240" w:lineRule="auto"/>
              <w:jc w:val="right"/>
              <w:rPr>
                <w:rFonts w:cs="Arial"/>
                <w:b/>
                <w:bCs/>
                <w:sz w:val="16"/>
                <w:szCs w:val="16"/>
              </w:rPr>
            </w:pPr>
            <w:r w:rsidRPr="002273A1">
              <w:rPr>
                <w:rFonts w:cs="Arial"/>
                <w:b/>
                <w:bCs/>
                <w:sz w:val="16"/>
                <w:szCs w:val="16"/>
              </w:rPr>
              <w:t>15,05</w:t>
            </w:r>
          </w:p>
        </w:tc>
        <w:tc>
          <w:tcPr>
            <w:tcW w:w="696" w:type="dxa"/>
            <w:tcBorders>
              <w:top w:val="nil"/>
              <w:left w:val="nil"/>
              <w:bottom w:val="nil"/>
              <w:right w:val="nil"/>
            </w:tcBorders>
            <w:shd w:val="clear" w:color="auto" w:fill="auto"/>
            <w:noWrap/>
            <w:vAlign w:val="center"/>
            <w:hideMark/>
          </w:tcPr>
          <w:p w14:paraId="26CA7FD7" w14:textId="30A7D3DE" w:rsidR="002273A1" w:rsidRPr="002273A1" w:rsidRDefault="002273A1" w:rsidP="002273A1">
            <w:pPr>
              <w:spacing w:after="0" w:line="240" w:lineRule="auto"/>
              <w:jc w:val="right"/>
              <w:rPr>
                <w:rFonts w:cs="Arial"/>
                <w:b/>
                <w:bCs/>
                <w:sz w:val="16"/>
                <w:szCs w:val="16"/>
              </w:rPr>
            </w:pPr>
            <w:r w:rsidRPr="002273A1">
              <w:rPr>
                <w:rFonts w:cs="Arial"/>
                <w:b/>
                <w:bCs/>
                <w:sz w:val="16"/>
                <w:szCs w:val="16"/>
              </w:rPr>
              <w:t>19,5</w:t>
            </w:r>
            <w:r w:rsidR="009A4127">
              <w:rPr>
                <w:rFonts w:cs="Arial"/>
                <w:b/>
                <w:bCs/>
                <w:sz w:val="16"/>
                <w:szCs w:val="16"/>
              </w:rPr>
              <w:t>4</w:t>
            </w:r>
          </w:p>
        </w:tc>
        <w:tc>
          <w:tcPr>
            <w:tcW w:w="703" w:type="dxa"/>
            <w:tcBorders>
              <w:top w:val="nil"/>
              <w:left w:val="nil"/>
              <w:bottom w:val="nil"/>
              <w:right w:val="nil"/>
            </w:tcBorders>
            <w:shd w:val="clear" w:color="auto" w:fill="auto"/>
            <w:noWrap/>
            <w:vAlign w:val="center"/>
            <w:hideMark/>
          </w:tcPr>
          <w:p w14:paraId="41971EC4" w14:textId="77777777" w:rsidR="002273A1" w:rsidRPr="002273A1" w:rsidRDefault="002273A1" w:rsidP="002273A1">
            <w:pPr>
              <w:spacing w:after="0" w:line="240" w:lineRule="auto"/>
              <w:jc w:val="right"/>
              <w:rPr>
                <w:rFonts w:cs="Arial"/>
                <w:b/>
                <w:bCs/>
                <w:color w:val="000000"/>
                <w:sz w:val="16"/>
                <w:szCs w:val="16"/>
              </w:rPr>
            </w:pPr>
            <w:r w:rsidRPr="002273A1">
              <w:rPr>
                <w:rFonts w:cs="Arial"/>
                <w:b/>
                <w:bCs/>
                <w:color w:val="000000"/>
                <w:sz w:val="16"/>
                <w:szCs w:val="16"/>
              </w:rPr>
              <w:t>19,31</w:t>
            </w:r>
          </w:p>
        </w:tc>
        <w:tc>
          <w:tcPr>
            <w:tcW w:w="703" w:type="dxa"/>
            <w:tcBorders>
              <w:top w:val="nil"/>
              <w:left w:val="nil"/>
              <w:bottom w:val="nil"/>
              <w:right w:val="nil"/>
            </w:tcBorders>
            <w:shd w:val="clear" w:color="auto" w:fill="auto"/>
            <w:noWrap/>
            <w:vAlign w:val="center"/>
            <w:hideMark/>
          </w:tcPr>
          <w:p w14:paraId="5D841FDD" w14:textId="77777777" w:rsidR="002273A1" w:rsidRPr="002273A1" w:rsidRDefault="002273A1" w:rsidP="002273A1">
            <w:pPr>
              <w:spacing w:after="0" w:line="240" w:lineRule="auto"/>
              <w:jc w:val="right"/>
              <w:rPr>
                <w:rFonts w:cs="Arial"/>
                <w:b/>
                <w:bCs/>
                <w:color w:val="000000"/>
                <w:sz w:val="16"/>
                <w:szCs w:val="16"/>
              </w:rPr>
            </w:pPr>
            <w:r w:rsidRPr="002273A1">
              <w:rPr>
                <w:rFonts w:cs="Arial"/>
                <w:b/>
                <w:bCs/>
                <w:color w:val="000000"/>
                <w:sz w:val="16"/>
                <w:szCs w:val="16"/>
              </w:rPr>
              <w:t>20,40</w:t>
            </w:r>
          </w:p>
        </w:tc>
        <w:tc>
          <w:tcPr>
            <w:tcW w:w="703" w:type="dxa"/>
            <w:tcBorders>
              <w:top w:val="nil"/>
              <w:left w:val="nil"/>
              <w:bottom w:val="nil"/>
              <w:right w:val="nil"/>
            </w:tcBorders>
            <w:shd w:val="clear" w:color="000000" w:fill="FFFFFF"/>
            <w:noWrap/>
            <w:vAlign w:val="center"/>
            <w:hideMark/>
          </w:tcPr>
          <w:p w14:paraId="30C7593F" w14:textId="77777777" w:rsidR="002273A1" w:rsidRPr="002273A1" w:rsidRDefault="002273A1" w:rsidP="002273A1">
            <w:pPr>
              <w:spacing w:after="0" w:line="240" w:lineRule="auto"/>
              <w:jc w:val="right"/>
              <w:rPr>
                <w:rFonts w:cs="Arial"/>
                <w:b/>
                <w:bCs/>
                <w:color w:val="000000"/>
                <w:sz w:val="16"/>
                <w:szCs w:val="16"/>
              </w:rPr>
            </w:pPr>
            <w:r w:rsidRPr="002273A1">
              <w:rPr>
                <w:rFonts w:cs="Arial"/>
                <w:b/>
                <w:bCs/>
                <w:color w:val="000000"/>
                <w:sz w:val="16"/>
                <w:szCs w:val="16"/>
              </w:rPr>
              <w:t>22,08</w:t>
            </w:r>
          </w:p>
        </w:tc>
        <w:tc>
          <w:tcPr>
            <w:tcW w:w="703" w:type="dxa"/>
            <w:tcBorders>
              <w:top w:val="nil"/>
              <w:left w:val="nil"/>
              <w:bottom w:val="nil"/>
              <w:right w:val="nil"/>
            </w:tcBorders>
            <w:shd w:val="clear" w:color="auto" w:fill="auto"/>
            <w:noWrap/>
            <w:vAlign w:val="center"/>
            <w:hideMark/>
          </w:tcPr>
          <w:p w14:paraId="6AB7984E" w14:textId="77777777" w:rsidR="002273A1" w:rsidRPr="002273A1" w:rsidRDefault="002273A1" w:rsidP="002273A1">
            <w:pPr>
              <w:spacing w:after="0" w:line="240" w:lineRule="auto"/>
              <w:jc w:val="right"/>
              <w:rPr>
                <w:rFonts w:cs="Arial"/>
                <w:b/>
                <w:bCs/>
                <w:color w:val="000000"/>
                <w:sz w:val="16"/>
                <w:szCs w:val="16"/>
              </w:rPr>
            </w:pPr>
            <w:r w:rsidRPr="002273A1">
              <w:rPr>
                <w:rFonts w:cs="Arial"/>
                <w:b/>
                <w:bCs/>
                <w:color w:val="000000"/>
                <w:sz w:val="16"/>
                <w:szCs w:val="16"/>
              </w:rPr>
              <w:t>20,58</w:t>
            </w:r>
          </w:p>
        </w:tc>
      </w:tr>
      <w:tr w:rsidR="002273A1" w:rsidRPr="002273A1" w14:paraId="14C88012" w14:textId="77777777" w:rsidTr="002273A1">
        <w:trPr>
          <w:trHeight w:val="285"/>
        </w:trPr>
        <w:tc>
          <w:tcPr>
            <w:tcW w:w="1934" w:type="dxa"/>
            <w:tcBorders>
              <w:top w:val="nil"/>
              <w:left w:val="nil"/>
              <w:bottom w:val="nil"/>
              <w:right w:val="nil"/>
            </w:tcBorders>
            <w:shd w:val="clear" w:color="auto" w:fill="auto"/>
            <w:noWrap/>
            <w:vAlign w:val="center"/>
            <w:hideMark/>
          </w:tcPr>
          <w:p w14:paraId="597854BC" w14:textId="77777777" w:rsidR="002273A1" w:rsidRPr="002273A1" w:rsidRDefault="002273A1" w:rsidP="002273A1">
            <w:pPr>
              <w:spacing w:after="0" w:line="240" w:lineRule="auto"/>
              <w:ind w:firstLineChars="100" w:firstLine="160"/>
              <w:rPr>
                <w:rFonts w:cs="Arial"/>
                <w:sz w:val="16"/>
                <w:szCs w:val="16"/>
              </w:rPr>
            </w:pPr>
            <w:r w:rsidRPr="002273A1">
              <w:rPr>
                <w:rFonts w:cs="Arial"/>
                <w:sz w:val="16"/>
                <w:szCs w:val="16"/>
              </w:rPr>
              <w:t>Hl. m. Praha</w:t>
            </w:r>
          </w:p>
        </w:tc>
        <w:tc>
          <w:tcPr>
            <w:tcW w:w="703" w:type="dxa"/>
            <w:tcBorders>
              <w:top w:val="nil"/>
              <w:left w:val="nil"/>
              <w:bottom w:val="nil"/>
              <w:right w:val="nil"/>
            </w:tcBorders>
            <w:shd w:val="clear" w:color="auto" w:fill="auto"/>
            <w:noWrap/>
            <w:vAlign w:val="center"/>
            <w:hideMark/>
          </w:tcPr>
          <w:p w14:paraId="7857A628" w14:textId="77777777" w:rsidR="002273A1" w:rsidRPr="002273A1" w:rsidRDefault="002273A1" w:rsidP="002273A1">
            <w:pPr>
              <w:spacing w:after="0" w:line="240" w:lineRule="auto"/>
              <w:jc w:val="right"/>
              <w:rPr>
                <w:rFonts w:cs="Arial"/>
                <w:sz w:val="16"/>
                <w:szCs w:val="16"/>
              </w:rPr>
            </w:pPr>
            <w:r w:rsidRPr="002273A1">
              <w:rPr>
                <w:rFonts w:cs="Arial"/>
                <w:sz w:val="16"/>
                <w:szCs w:val="16"/>
              </w:rPr>
              <w:t>17,19</w:t>
            </w:r>
          </w:p>
        </w:tc>
        <w:tc>
          <w:tcPr>
            <w:tcW w:w="703" w:type="dxa"/>
            <w:tcBorders>
              <w:top w:val="nil"/>
              <w:left w:val="nil"/>
              <w:bottom w:val="nil"/>
              <w:right w:val="nil"/>
            </w:tcBorders>
            <w:shd w:val="clear" w:color="auto" w:fill="auto"/>
            <w:noWrap/>
            <w:vAlign w:val="center"/>
            <w:hideMark/>
          </w:tcPr>
          <w:p w14:paraId="558E4205" w14:textId="77777777" w:rsidR="002273A1" w:rsidRPr="002273A1" w:rsidRDefault="002273A1" w:rsidP="002273A1">
            <w:pPr>
              <w:spacing w:after="0" w:line="240" w:lineRule="auto"/>
              <w:jc w:val="right"/>
              <w:rPr>
                <w:rFonts w:cs="Arial"/>
                <w:sz w:val="16"/>
                <w:szCs w:val="16"/>
              </w:rPr>
            </w:pPr>
            <w:r w:rsidRPr="002273A1">
              <w:rPr>
                <w:rFonts w:cs="Arial"/>
                <w:sz w:val="16"/>
                <w:szCs w:val="16"/>
              </w:rPr>
              <w:t>15,63</w:t>
            </w:r>
          </w:p>
        </w:tc>
        <w:tc>
          <w:tcPr>
            <w:tcW w:w="703" w:type="dxa"/>
            <w:tcBorders>
              <w:top w:val="nil"/>
              <w:left w:val="nil"/>
              <w:bottom w:val="nil"/>
              <w:right w:val="nil"/>
            </w:tcBorders>
            <w:shd w:val="clear" w:color="auto" w:fill="auto"/>
            <w:noWrap/>
            <w:vAlign w:val="center"/>
            <w:hideMark/>
          </w:tcPr>
          <w:p w14:paraId="4D878C76" w14:textId="77777777" w:rsidR="002273A1" w:rsidRPr="002273A1" w:rsidRDefault="002273A1" w:rsidP="002273A1">
            <w:pPr>
              <w:spacing w:after="0" w:line="240" w:lineRule="auto"/>
              <w:jc w:val="right"/>
              <w:rPr>
                <w:rFonts w:cs="Arial"/>
                <w:sz w:val="16"/>
                <w:szCs w:val="16"/>
              </w:rPr>
            </w:pPr>
            <w:r w:rsidRPr="002273A1">
              <w:rPr>
                <w:rFonts w:cs="Arial"/>
                <w:sz w:val="16"/>
                <w:szCs w:val="16"/>
              </w:rPr>
              <w:t>16,04</w:t>
            </w:r>
          </w:p>
        </w:tc>
        <w:tc>
          <w:tcPr>
            <w:tcW w:w="703" w:type="dxa"/>
            <w:tcBorders>
              <w:top w:val="nil"/>
              <w:left w:val="nil"/>
              <w:bottom w:val="nil"/>
              <w:right w:val="nil"/>
            </w:tcBorders>
            <w:shd w:val="clear" w:color="auto" w:fill="auto"/>
            <w:noWrap/>
            <w:vAlign w:val="center"/>
            <w:hideMark/>
          </w:tcPr>
          <w:p w14:paraId="6424721E" w14:textId="77777777" w:rsidR="002273A1" w:rsidRPr="002273A1" w:rsidRDefault="002273A1" w:rsidP="002273A1">
            <w:pPr>
              <w:spacing w:after="0" w:line="240" w:lineRule="auto"/>
              <w:jc w:val="right"/>
              <w:rPr>
                <w:rFonts w:cs="Arial"/>
                <w:sz w:val="16"/>
                <w:szCs w:val="16"/>
              </w:rPr>
            </w:pPr>
            <w:r w:rsidRPr="002273A1">
              <w:rPr>
                <w:rFonts w:cs="Arial"/>
                <w:sz w:val="16"/>
                <w:szCs w:val="16"/>
              </w:rPr>
              <w:t>11,33</w:t>
            </w:r>
          </w:p>
        </w:tc>
        <w:tc>
          <w:tcPr>
            <w:tcW w:w="703" w:type="dxa"/>
            <w:tcBorders>
              <w:top w:val="nil"/>
              <w:left w:val="nil"/>
              <w:bottom w:val="nil"/>
              <w:right w:val="nil"/>
            </w:tcBorders>
            <w:shd w:val="clear" w:color="auto" w:fill="auto"/>
            <w:noWrap/>
            <w:vAlign w:val="center"/>
            <w:hideMark/>
          </w:tcPr>
          <w:p w14:paraId="653ACE46" w14:textId="77777777" w:rsidR="002273A1" w:rsidRPr="002273A1" w:rsidRDefault="002273A1" w:rsidP="002273A1">
            <w:pPr>
              <w:spacing w:after="0" w:line="240" w:lineRule="auto"/>
              <w:jc w:val="right"/>
              <w:rPr>
                <w:rFonts w:cs="Arial"/>
                <w:sz w:val="16"/>
                <w:szCs w:val="16"/>
              </w:rPr>
            </w:pPr>
            <w:r w:rsidRPr="002273A1">
              <w:rPr>
                <w:rFonts w:cs="Arial"/>
                <w:sz w:val="16"/>
                <w:szCs w:val="16"/>
              </w:rPr>
              <w:t>14,48</w:t>
            </w:r>
          </w:p>
        </w:tc>
        <w:tc>
          <w:tcPr>
            <w:tcW w:w="703" w:type="dxa"/>
            <w:tcBorders>
              <w:top w:val="nil"/>
              <w:left w:val="nil"/>
              <w:bottom w:val="nil"/>
              <w:right w:val="nil"/>
            </w:tcBorders>
            <w:shd w:val="clear" w:color="auto" w:fill="auto"/>
            <w:noWrap/>
            <w:vAlign w:val="center"/>
            <w:hideMark/>
          </w:tcPr>
          <w:p w14:paraId="1C084A6B" w14:textId="77777777" w:rsidR="002273A1" w:rsidRPr="002273A1" w:rsidRDefault="002273A1" w:rsidP="002273A1">
            <w:pPr>
              <w:spacing w:after="0" w:line="240" w:lineRule="auto"/>
              <w:jc w:val="right"/>
              <w:rPr>
                <w:rFonts w:cs="Arial"/>
                <w:sz w:val="16"/>
                <w:szCs w:val="16"/>
              </w:rPr>
            </w:pPr>
            <w:r w:rsidRPr="002273A1">
              <w:rPr>
                <w:rFonts w:cs="Arial"/>
                <w:sz w:val="16"/>
                <w:szCs w:val="16"/>
              </w:rPr>
              <w:t>13,00</w:t>
            </w:r>
          </w:p>
        </w:tc>
        <w:tc>
          <w:tcPr>
            <w:tcW w:w="696" w:type="dxa"/>
            <w:tcBorders>
              <w:top w:val="nil"/>
              <w:left w:val="nil"/>
              <w:bottom w:val="nil"/>
              <w:right w:val="nil"/>
            </w:tcBorders>
            <w:shd w:val="clear" w:color="auto" w:fill="auto"/>
            <w:noWrap/>
            <w:vAlign w:val="center"/>
            <w:hideMark/>
          </w:tcPr>
          <w:p w14:paraId="051BAF6F" w14:textId="002B451F" w:rsidR="002273A1" w:rsidRPr="002273A1" w:rsidRDefault="002273A1" w:rsidP="002273A1">
            <w:pPr>
              <w:spacing w:after="0" w:line="240" w:lineRule="auto"/>
              <w:jc w:val="right"/>
              <w:rPr>
                <w:rFonts w:cs="Arial"/>
                <w:sz w:val="16"/>
                <w:szCs w:val="16"/>
              </w:rPr>
            </w:pPr>
            <w:r w:rsidRPr="002273A1">
              <w:rPr>
                <w:rFonts w:cs="Arial"/>
                <w:sz w:val="16"/>
                <w:szCs w:val="16"/>
              </w:rPr>
              <w:t>16,6</w:t>
            </w:r>
            <w:r w:rsidR="009A4127">
              <w:rPr>
                <w:rFonts w:cs="Arial"/>
                <w:sz w:val="16"/>
                <w:szCs w:val="16"/>
              </w:rPr>
              <w:t>8</w:t>
            </w:r>
          </w:p>
        </w:tc>
        <w:tc>
          <w:tcPr>
            <w:tcW w:w="703" w:type="dxa"/>
            <w:tcBorders>
              <w:top w:val="nil"/>
              <w:left w:val="nil"/>
              <w:bottom w:val="nil"/>
              <w:right w:val="nil"/>
            </w:tcBorders>
            <w:shd w:val="clear" w:color="auto" w:fill="auto"/>
            <w:noWrap/>
            <w:vAlign w:val="center"/>
            <w:hideMark/>
          </w:tcPr>
          <w:p w14:paraId="1225F085"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16,13</w:t>
            </w:r>
          </w:p>
        </w:tc>
        <w:tc>
          <w:tcPr>
            <w:tcW w:w="703" w:type="dxa"/>
            <w:tcBorders>
              <w:top w:val="nil"/>
              <w:left w:val="nil"/>
              <w:bottom w:val="nil"/>
              <w:right w:val="nil"/>
            </w:tcBorders>
            <w:shd w:val="clear" w:color="auto" w:fill="auto"/>
            <w:noWrap/>
            <w:vAlign w:val="center"/>
            <w:hideMark/>
          </w:tcPr>
          <w:p w14:paraId="5488E4D3"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16,68</w:t>
            </w:r>
          </w:p>
        </w:tc>
        <w:tc>
          <w:tcPr>
            <w:tcW w:w="703" w:type="dxa"/>
            <w:tcBorders>
              <w:top w:val="nil"/>
              <w:left w:val="nil"/>
              <w:bottom w:val="nil"/>
              <w:right w:val="nil"/>
            </w:tcBorders>
            <w:shd w:val="clear" w:color="000000" w:fill="FFFFFF"/>
            <w:noWrap/>
            <w:vAlign w:val="center"/>
            <w:hideMark/>
          </w:tcPr>
          <w:p w14:paraId="22BF4992"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17,80</w:t>
            </w:r>
          </w:p>
        </w:tc>
        <w:tc>
          <w:tcPr>
            <w:tcW w:w="703" w:type="dxa"/>
            <w:tcBorders>
              <w:top w:val="nil"/>
              <w:left w:val="nil"/>
              <w:bottom w:val="nil"/>
              <w:right w:val="nil"/>
            </w:tcBorders>
            <w:shd w:val="clear" w:color="auto" w:fill="auto"/>
            <w:noWrap/>
            <w:vAlign w:val="center"/>
            <w:hideMark/>
          </w:tcPr>
          <w:p w14:paraId="1F76347E"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16,62</w:t>
            </w:r>
          </w:p>
        </w:tc>
      </w:tr>
      <w:tr w:rsidR="002273A1" w:rsidRPr="002273A1" w14:paraId="445FF0B0" w14:textId="77777777" w:rsidTr="002273A1">
        <w:trPr>
          <w:trHeight w:val="285"/>
        </w:trPr>
        <w:tc>
          <w:tcPr>
            <w:tcW w:w="1934" w:type="dxa"/>
            <w:tcBorders>
              <w:top w:val="nil"/>
              <w:left w:val="nil"/>
              <w:bottom w:val="nil"/>
              <w:right w:val="nil"/>
            </w:tcBorders>
            <w:shd w:val="clear" w:color="auto" w:fill="auto"/>
            <w:noWrap/>
            <w:vAlign w:val="center"/>
            <w:hideMark/>
          </w:tcPr>
          <w:p w14:paraId="6AE5F227" w14:textId="77777777" w:rsidR="002273A1" w:rsidRPr="002273A1" w:rsidRDefault="002273A1" w:rsidP="002273A1">
            <w:pPr>
              <w:spacing w:after="0" w:line="240" w:lineRule="auto"/>
              <w:ind w:firstLineChars="100" w:firstLine="160"/>
              <w:rPr>
                <w:rFonts w:cs="Arial"/>
                <w:sz w:val="16"/>
                <w:szCs w:val="16"/>
              </w:rPr>
            </w:pPr>
            <w:r w:rsidRPr="002273A1">
              <w:rPr>
                <w:rFonts w:cs="Arial"/>
                <w:sz w:val="16"/>
                <w:szCs w:val="16"/>
              </w:rPr>
              <w:t>Středočeský kraj</w:t>
            </w:r>
          </w:p>
        </w:tc>
        <w:tc>
          <w:tcPr>
            <w:tcW w:w="703" w:type="dxa"/>
            <w:tcBorders>
              <w:top w:val="nil"/>
              <w:left w:val="nil"/>
              <w:bottom w:val="nil"/>
              <w:right w:val="nil"/>
            </w:tcBorders>
            <w:shd w:val="clear" w:color="auto" w:fill="auto"/>
            <w:noWrap/>
            <w:vAlign w:val="center"/>
            <w:hideMark/>
          </w:tcPr>
          <w:p w14:paraId="1287A42D" w14:textId="77777777" w:rsidR="002273A1" w:rsidRPr="002273A1" w:rsidRDefault="002273A1" w:rsidP="002273A1">
            <w:pPr>
              <w:spacing w:after="0" w:line="240" w:lineRule="auto"/>
              <w:jc w:val="right"/>
              <w:rPr>
                <w:rFonts w:cs="Arial"/>
                <w:sz w:val="16"/>
                <w:szCs w:val="16"/>
              </w:rPr>
            </w:pPr>
            <w:r w:rsidRPr="002273A1">
              <w:rPr>
                <w:rFonts w:cs="Arial"/>
                <w:sz w:val="16"/>
                <w:szCs w:val="16"/>
              </w:rPr>
              <w:t>18,84</w:t>
            </w:r>
          </w:p>
        </w:tc>
        <w:tc>
          <w:tcPr>
            <w:tcW w:w="703" w:type="dxa"/>
            <w:tcBorders>
              <w:top w:val="nil"/>
              <w:left w:val="nil"/>
              <w:bottom w:val="nil"/>
              <w:right w:val="nil"/>
            </w:tcBorders>
            <w:shd w:val="clear" w:color="auto" w:fill="auto"/>
            <w:noWrap/>
            <w:vAlign w:val="center"/>
            <w:hideMark/>
          </w:tcPr>
          <w:p w14:paraId="78B21C4C" w14:textId="77777777" w:rsidR="002273A1" w:rsidRPr="002273A1" w:rsidRDefault="002273A1" w:rsidP="002273A1">
            <w:pPr>
              <w:spacing w:after="0" w:line="240" w:lineRule="auto"/>
              <w:jc w:val="right"/>
              <w:rPr>
                <w:rFonts w:cs="Arial"/>
                <w:sz w:val="16"/>
                <w:szCs w:val="16"/>
              </w:rPr>
            </w:pPr>
            <w:r w:rsidRPr="002273A1">
              <w:rPr>
                <w:rFonts w:cs="Arial"/>
                <w:sz w:val="16"/>
                <w:szCs w:val="16"/>
              </w:rPr>
              <w:t>17,40</w:t>
            </w:r>
          </w:p>
        </w:tc>
        <w:tc>
          <w:tcPr>
            <w:tcW w:w="703" w:type="dxa"/>
            <w:tcBorders>
              <w:top w:val="nil"/>
              <w:left w:val="nil"/>
              <w:bottom w:val="nil"/>
              <w:right w:val="nil"/>
            </w:tcBorders>
            <w:shd w:val="clear" w:color="auto" w:fill="auto"/>
            <w:noWrap/>
            <w:vAlign w:val="center"/>
            <w:hideMark/>
          </w:tcPr>
          <w:p w14:paraId="63F49A86" w14:textId="77777777" w:rsidR="002273A1" w:rsidRPr="002273A1" w:rsidRDefault="002273A1" w:rsidP="002273A1">
            <w:pPr>
              <w:spacing w:after="0" w:line="240" w:lineRule="auto"/>
              <w:jc w:val="right"/>
              <w:rPr>
                <w:rFonts w:cs="Arial"/>
                <w:sz w:val="16"/>
                <w:szCs w:val="16"/>
              </w:rPr>
            </w:pPr>
            <w:r w:rsidRPr="002273A1">
              <w:rPr>
                <w:rFonts w:cs="Arial"/>
                <w:sz w:val="16"/>
                <w:szCs w:val="16"/>
              </w:rPr>
              <w:t>17,70</w:t>
            </w:r>
          </w:p>
        </w:tc>
        <w:tc>
          <w:tcPr>
            <w:tcW w:w="703" w:type="dxa"/>
            <w:tcBorders>
              <w:top w:val="nil"/>
              <w:left w:val="nil"/>
              <w:bottom w:val="nil"/>
              <w:right w:val="nil"/>
            </w:tcBorders>
            <w:shd w:val="clear" w:color="auto" w:fill="auto"/>
            <w:noWrap/>
            <w:vAlign w:val="center"/>
            <w:hideMark/>
          </w:tcPr>
          <w:p w14:paraId="39D8FDE4" w14:textId="77777777" w:rsidR="002273A1" w:rsidRPr="002273A1" w:rsidRDefault="002273A1" w:rsidP="002273A1">
            <w:pPr>
              <w:spacing w:after="0" w:line="240" w:lineRule="auto"/>
              <w:jc w:val="right"/>
              <w:rPr>
                <w:rFonts w:cs="Arial"/>
                <w:sz w:val="16"/>
                <w:szCs w:val="16"/>
              </w:rPr>
            </w:pPr>
            <w:r w:rsidRPr="002273A1">
              <w:rPr>
                <w:rFonts w:cs="Arial"/>
                <w:sz w:val="16"/>
                <w:szCs w:val="16"/>
              </w:rPr>
              <w:t>14,09</w:t>
            </w:r>
          </w:p>
        </w:tc>
        <w:tc>
          <w:tcPr>
            <w:tcW w:w="703" w:type="dxa"/>
            <w:tcBorders>
              <w:top w:val="nil"/>
              <w:left w:val="nil"/>
              <w:bottom w:val="nil"/>
              <w:right w:val="nil"/>
            </w:tcBorders>
            <w:shd w:val="clear" w:color="auto" w:fill="auto"/>
            <w:noWrap/>
            <w:vAlign w:val="center"/>
            <w:hideMark/>
          </w:tcPr>
          <w:p w14:paraId="5490ED4B" w14:textId="77777777" w:rsidR="002273A1" w:rsidRPr="002273A1" w:rsidRDefault="002273A1" w:rsidP="002273A1">
            <w:pPr>
              <w:spacing w:after="0" w:line="240" w:lineRule="auto"/>
              <w:jc w:val="right"/>
              <w:rPr>
                <w:rFonts w:cs="Arial"/>
                <w:sz w:val="16"/>
                <w:szCs w:val="16"/>
              </w:rPr>
            </w:pPr>
            <w:r w:rsidRPr="002273A1">
              <w:rPr>
                <w:rFonts w:cs="Arial"/>
                <w:sz w:val="16"/>
                <w:szCs w:val="16"/>
              </w:rPr>
              <w:t>17,85</w:t>
            </w:r>
          </w:p>
        </w:tc>
        <w:tc>
          <w:tcPr>
            <w:tcW w:w="703" w:type="dxa"/>
            <w:tcBorders>
              <w:top w:val="nil"/>
              <w:left w:val="nil"/>
              <w:bottom w:val="nil"/>
              <w:right w:val="nil"/>
            </w:tcBorders>
            <w:shd w:val="clear" w:color="auto" w:fill="auto"/>
            <w:noWrap/>
            <w:vAlign w:val="center"/>
            <w:hideMark/>
          </w:tcPr>
          <w:p w14:paraId="56EC2B70" w14:textId="77777777" w:rsidR="002273A1" w:rsidRPr="002273A1" w:rsidRDefault="002273A1" w:rsidP="002273A1">
            <w:pPr>
              <w:spacing w:after="0" w:line="240" w:lineRule="auto"/>
              <w:jc w:val="right"/>
              <w:rPr>
                <w:rFonts w:cs="Arial"/>
                <w:sz w:val="16"/>
                <w:szCs w:val="16"/>
              </w:rPr>
            </w:pPr>
            <w:r w:rsidRPr="002273A1">
              <w:rPr>
                <w:rFonts w:cs="Arial"/>
                <w:sz w:val="16"/>
                <w:szCs w:val="16"/>
              </w:rPr>
              <w:t>16,08</w:t>
            </w:r>
          </w:p>
        </w:tc>
        <w:tc>
          <w:tcPr>
            <w:tcW w:w="696" w:type="dxa"/>
            <w:tcBorders>
              <w:top w:val="nil"/>
              <w:left w:val="nil"/>
              <w:bottom w:val="nil"/>
              <w:right w:val="nil"/>
            </w:tcBorders>
            <w:shd w:val="clear" w:color="auto" w:fill="auto"/>
            <w:noWrap/>
            <w:vAlign w:val="center"/>
            <w:hideMark/>
          </w:tcPr>
          <w:p w14:paraId="3D4B55AF" w14:textId="1BC42D6A" w:rsidR="002273A1" w:rsidRPr="002273A1" w:rsidRDefault="002273A1" w:rsidP="002273A1">
            <w:pPr>
              <w:spacing w:after="0" w:line="240" w:lineRule="auto"/>
              <w:jc w:val="right"/>
              <w:rPr>
                <w:rFonts w:cs="Arial"/>
                <w:sz w:val="16"/>
                <w:szCs w:val="16"/>
              </w:rPr>
            </w:pPr>
            <w:r w:rsidRPr="002273A1">
              <w:rPr>
                <w:rFonts w:cs="Arial"/>
                <w:sz w:val="16"/>
                <w:szCs w:val="16"/>
              </w:rPr>
              <w:t>20,5</w:t>
            </w:r>
            <w:r w:rsidR="009A4127">
              <w:rPr>
                <w:rFonts w:cs="Arial"/>
                <w:sz w:val="16"/>
                <w:szCs w:val="16"/>
              </w:rPr>
              <w:t>2</w:t>
            </w:r>
          </w:p>
        </w:tc>
        <w:tc>
          <w:tcPr>
            <w:tcW w:w="703" w:type="dxa"/>
            <w:tcBorders>
              <w:top w:val="nil"/>
              <w:left w:val="nil"/>
              <w:bottom w:val="nil"/>
              <w:right w:val="nil"/>
            </w:tcBorders>
            <w:shd w:val="clear" w:color="auto" w:fill="auto"/>
            <w:noWrap/>
            <w:vAlign w:val="center"/>
            <w:hideMark/>
          </w:tcPr>
          <w:p w14:paraId="0E22E6EE"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20,72</w:t>
            </w:r>
          </w:p>
        </w:tc>
        <w:tc>
          <w:tcPr>
            <w:tcW w:w="703" w:type="dxa"/>
            <w:tcBorders>
              <w:top w:val="nil"/>
              <w:left w:val="nil"/>
              <w:bottom w:val="nil"/>
              <w:right w:val="nil"/>
            </w:tcBorders>
            <w:shd w:val="clear" w:color="auto" w:fill="auto"/>
            <w:noWrap/>
            <w:vAlign w:val="center"/>
            <w:hideMark/>
          </w:tcPr>
          <w:p w14:paraId="6C01EF75"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21,56</w:t>
            </w:r>
          </w:p>
        </w:tc>
        <w:tc>
          <w:tcPr>
            <w:tcW w:w="703" w:type="dxa"/>
            <w:tcBorders>
              <w:top w:val="nil"/>
              <w:left w:val="nil"/>
              <w:bottom w:val="nil"/>
              <w:right w:val="nil"/>
            </w:tcBorders>
            <w:shd w:val="clear" w:color="000000" w:fill="FFFFFF"/>
            <w:noWrap/>
            <w:vAlign w:val="center"/>
            <w:hideMark/>
          </w:tcPr>
          <w:p w14:paraId="214C41C9"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23,82</w:t>
            </w:r>
          </w:p>
        </w:tc>
        <w:tc>
          <w:tcPr>
            <w:tcW w:w="703" w:type="dxa"/>
            <w:tcBorders>
              <w:top w:val="nil"/>
              <w:left w:val="nil"/>
              <w:bottom w:val="nil"/>
              <w:right w:val="nil"/>
            </w:tcBorders>
            <w:shd w:val="clear" w:color="auto" w:fill="auto"/>
            <w:noWrap/>
            <w:vAlign w:val="center"/>
            <w:hideMark/>
          </w:tcPr>
          <w:p w14:paraId="05846D40"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22,09</w:t>
            </w:r>
          </w:p>
        </w:tc>
      </w:tr>
      <w:tr w:rsidR="002273A1" w:rsidRPr="002273A1" w14:paraId="13AB7E93" w14:textId="77777777" w:rsidTr="002273A1">
        <w:trPr>
          <w:trHeight w:val="285"/>
        </w:trPr>
        <w:tc>
          <w:tcPr>
            <w:tcW w:w="1934" w:type="dxa"/>
            <w:tcBorders>
              <w:top w:val="nil"/>
              <w:left w:val="nil"/>
              <w:bottom w:val="nil"/>
              <w:right w:val="nil"/>
            </w:tcBorders>
            <w:shd w:val="clear" w:color="auto" w:fill="auto"/>
            <w:noWrap/>
            <w:vAlign w:val="center"/>
            <w:hideMark/>
          </w:tcPr>
          <w:p w14:paraId="2FA171DF" w14:textId="77777777" w:rsidR="002273A1" w:rsidRPr="002273A1" w:rsidRDefault="002273A1" w:rsidP="002273A1">
            <w:pPr>
              <w:spacing w:after="0" w:line="240" w:lineRule="auto"/>
              <w:ind w:firstLineChars="100" w:firstLine="160"/>
              <w:rPr>
                <w:rFonts w:cs="Arial"/>
                <w:sz w:val="16"/>
                <w:szCs w:val="16"/>
              </w:rPr>
            </w:pPr>
            <w:r w:rsidRPr="002273A1">
              <w:rPr>
                <w:rFonts w:cs="Arial"/>
                <w:sz w:val="16"/>
                <w:szCs w:val="16"/>
              </w:rPr>
              <w:t>Jihočeský kraj</w:t>
            </w:r>
          </w:p>
        </w:tc>
        <w:tc>
          <w:tcPr>
            <w:tcW w:w="703" w:type="dxa"/>
            <w:tcBorders>
              <w:top w:val="nil"/>
              <w:left w:val="nil"/>
              <w:bottom w:val="nil"/>
              <w:right w:val="nil"/>
            </w:tcBorders>
            <w:shd w:val="clear" w:color="auto" w:fill="auto"/>
            <w:noWrap/>
            <w:vAlign w:val="center"/>
            <w:hideMark/>
          </w:tcPr>
          <w:p w14:paraId="5F9A3AFF" w14:textId="77777777" w:rsidR="002273A1" w:rsidRPr="002273A1" w:rsidRDefault="002273A1" w:rsidP="002273A1">
            <w:pPr>
              <w:spacing w:after="0" w:line="240" w:lineRule="auto"/>
              <w:jc w:val="right"/>
              <w:rPr>
                <w:rFonts w:cs="Arial"/>
                <w:sz w:val="16"/>
                <w:szCs w:val="16"/>
              </w:rPr>
            </w:pPr>
            <w:r w:rsidRPr="002273A1">
              <w:rPr>
                <w:rFonts w:cs="Arial"/>
                <w:sz w:val="16"/>
                <w:szCs w:val="16"/>
              </w:rPr>
              <w:t>18,76</w:t>
            </w:r>
          </w:p>
        </w:tc>
        <w:tc>
          <w:tcPr>
            <w:tcW w:w="703" w:type="dxa"/>
            <w:tcBorders>
              <w:top w:val="nil"/>
              <w:left w:val="nil"/>
              <w:bottom w:val="nil"/>
              <w:right w:val="nil"/>
            </w:tcBorders>
            <w:shd w:val="clear" w:color="auto" w:fill="auto"/>
            <w:noWrap/>
            <w:vAlign w:val="center"/>
            <w:hideMark/>
          </w:tcPr>
          <w:p w14:paraId="3AD63150" w14:textId="77777777" w:rsidR="002273A1" w:rsidRPr="002273A1" w:rsidRDefault="002273A1" w:rsidP="002273A1">
            <w:pPr>
              <w:spacing w:after="0" w:line="240" w:lineRule="auto"/>
              <w:jc w:val="right"/>
              <w:rPr>
                <w:rFonts w:cs="Arial"/>
                <w:sz w:val="16"/>
                <w:szCs w:val="16"/>
              </w:rPr>
            </w:pPr>
            <w:r w:rsidRPr="002273A1">
              <w:rPr>
                <w:rFonts w:cs="Arial"/>
                <w:sz w:val="16"/>
                <w:szCs w:val="16"/>
              </w:rPr>
              <w:t>17,63</w:t>
            </w:r>
          </w:p>
        </w:tc>
        <w:tc>
          <w:tcPr>
            <w:tcW w:w="703" w:type="dxa"/>
            <w:tcBorders>
              <w:top w:val="nil"/>
              <w:left w:val="nil"/>
              <w:bottom w:val="nil"/>
              <w:right w:val="nil"/>
            </w:tcBorders>
            <w:shd w:val="clear" w:color="auto" w:fill="auto"/>
            <w:noWrap/>
            <w:vAlign w:val="center"/>
            <w:hideMark/>
          </w:tcPr>
          <w:p w14:paraId="462E9A63" w14:textId="77777777" w:rsidR="002273A1" w:rsidRPr="002273A1" w:rsidRDefault="002273A1" w:rsidP="002273A1">
            <w:pPr>
              <w:spacing w:after="0" w:line="240" w:lineRule="auto"/>
              <w:jc w:val="right"/>
              <w:rPr>
                <w:rFonts w:cs="Arial"/>
                <w:sz w:val="16"/>
                <w:szCs w:val="16"/>
              </w:rPr>
            </w:pPr>
            <w:r w:rsidRPr="002273A1">
              <w:rPr>
                <w:rFonts w:cs="Arial"/>
                <w:sz w:val="16"/>
                <w:szCs w:val="16"/>
              </w:rPr>
              <w:t>17,92</w:t>
            </w:r>
          </w:p>
        </w:tc>
        <w:tc>
          <w:tcPr>
            <w:tcW w:w="703" w:type="dxa"/>
            <w:tcBorders>
              <w:top w:val="nil"/>
              <w:left w:val="nil"/>
              <w:bottom w:val="nil"/>
              <w:right w:val="nil"/>
            </w:tcBorders>
            <w:shd w:val="clear" w:color="auto" w:fill="auto"/>
            <w:noWrap/>
            <w:vAlign w:val="center"/>
            <w:hideMark/>
          </w:tcPr>
          <w:p w14:paraId="04E59705" w14:textId="77777777" w:rsidR="002273A1" w:rsidRPr="002273A1" w:rsidRDefault="002273A1" w:rsidP="002273A1">
            <w:pPr>
              <w:spacing w:after="0" w:line="240" w:lineRule="auto"/>
              <w:jc w:val="right"/>
              <w:rPr>
                <w:rFonts w:cs="Arial"/>
                <w:sz w:val="16"/>
                <w:szCs w:val="16"/>
              </w:rPr>
            </w:pPr>
            <w:r w:rsidRPr="002273A1">
              <w:rPr>
                <w:rFonts w:cs="Arial"/>
                <w:sz w:val="16"/>
                <w:szCs w:val="16"/>
              </w:rPr>
              <w:t>14,89</w:t>
            </w:r>
          </w:p>
        </w:tc>
        <w:tc>
          <w:tcPr>
            <w:tcW w:w="703" w:type="dxa"/>
            <w:tcBorders>
              <w:top w:val="nil"/>
              <w:left w:val="nil"/>
              <w:bottom w:val="nil"/>
              <w:right w:val="nil"/>
            </w:tcBorders>
            <w:shd w:val="clear" w:color="auto" w:fill="auto"/>
            <w:noWrap/>
            <w:vAlign w:val="center"/>
            <w:hideMark/>
          </w:tcPr>
          <w:p w14:paraId="76DF4021" w14:textId="77777777" w:rsidR="002273A1" w:rsidRPr="002273A1" w:rsidRDefault="002273A1" w:rsidP="002273A1">
            <w:pPr>
              <w:spacing w:after="0" w:line="240" w:lineRule="auto"/>
              <w:jc w:val="right"/>
              <w:rPr>
                <w:rFonts w:cs="Arial"/>
                <w:sz w:val="16"/>
                <w:szCs w:val="16"/>
              </w:rPr>
            </w:pPr>
            <w:r w:rsidRPr="002273A1">
              <w:rPr>
                <w:rFonts w:cs="Arial"/>
                <w:sz w:val="16"/>
                <w:szCs w:val="16"/>
              </w:rPr>
              <w:t>19,74</w:t>
            </w:r>
          </w:p>
        </w:tc>
        <w:tc>
          <w:tcPr>
            <w:tcW w:w="703" w:type="dxa"/>
            <w:tcBorders>
              <w:top w:val="nil"/>
              <w:left w:val="nil"/>
              <w:bottom w:val="nil"/>
              <w:right w:val="nil"/>
            </w:tcBorders>
            <w:shd w:val="clear" w:color="auto" w:fill="auto"/>
            <w:noWrap/>
            <w:vAlign w:val="center"/>
            <w:hideMark/>
          </w:tcPr>
          <w:p w14:paraId="6DAC1D5C" w14:textId="77777777" w:rsidR="002273A1" w:rsidRPr="002273A1" w:rsidRDefault="002273A1" w:rsidP="002273A1">
            <w:pPr>
              <w:spacing w:after="0" w:line="240" w:lineRule="auto"/>
              <w:jc w:val="right"/>
              <w:rPr>
                <w:rFonts w:cs="Arial"/>
                <w:sz w:val="16"/>
                <w:szCs w:val="16"/>
              </w:rPr>
            </w:pPr>
            <w:r w:rsidRPr="002273A1">
              <w:rPr>
                <w:rFonts w:cs="Arial"/>
                <w:sz w:val="16"/>
                <w:szCs w:val="16"/>
              </w:rPr>
              <w:t>17,10</w:t>
            </w:r>
          </w:p>
        </w:tc>
        <w:tc>
          <w:tcPr>
            <w:tcW w:w="696" w:type="dxa"/>
            <w:tcBorders>
              <w:top w:val="nil"/>
              <w:left w:val="nil"/>
              <w:bottom w:val="nil"/>
              <w:right w:val="nil"/>
            </w:tcBorders>
            <w:shd w:val="clear" w:color="auto" w:fill="auto"/>
            <w:noWrap/>
            <w:vAlign w:val="center"/>
            <w:hideMark/>
          </w:tcPr>
          <w:p w14:paraId="7EEF377F" w14:textId="6832250E" w:rsidR="002273A1" w:rsidRPr="002273A1" w:rsidRDefault="002273A1" w:rsidP="002273A1">
            <w:pPr>
              <w:spacing w:after="0" w:line="240" w:lineRule="auto"/>
              <w:jc w:val="right"/>
              <w:rPr>
                <w:rFonts w:cs="Arial"/>
                <w:sz w:val="16"/>
                <w:szCs w:val="16"/>
              </w:rPr>
            </w:pPr>
            <w:r w:rsidRPr="002273A1">
              <w:rPr>
                <w:rFonts w:cs="Arial"/>
                <w:sz w:val="16"/>
                <w:szCs w:val="16"/>
              </w:rPr>
              <w:t>22,4</w:t>
            </w:r>
            <w:r w:rsidR="009A4127">
              <w:rPr>
                <w:rFonts w:cs="Arial"/>
                <w:sz w:val="16"/>
                <w:szCs w:val="16"/>
              </w:rPr>
              <w:t>2</w:t>
            </w:r>
          </w:p>
        </w:tc>
        <w:tc>
          <w:tcPr>
            <w:tcW w:w="703" w:type="dxa"/>
            <w:tcBorders>
              <w:top w:val="nil"/>
              <w:left w:val="nil"/>
              <w:bottom w:val="nil"/>
              <w:right w:val="nil"/>
            </w:tcBorders>
            <w:shd w:val="clear" w:color="auto" w:fill="auto"/>
            <w:noWrap/>
            <w:vAlign w:val="center"/>
            <w:hideMark/>
          </w:tcPr>
          <w:p w14:paraId="3A3104B0"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21,94</w:t>
            </w:r>
          </w:p>
        </w:tc>
        <w:tc>
          <w:tcPr>
            <w:tcW w:w="703" w:type="dxa"/>
            <w:tcBorders>
              <w:top w:val="nil"/>
              <w:left w:val="nil"/>
              <w:bottom w:val="nil"/>
              <w:right w:val="nil"/>
            </w:tcBorders>
            <w:shd w:val="clear" w:color="auto" w:fill="auto"/>
            <w:noWrap/>
            <w:vAlign w:val="center"/>
            <w:hideMark/>
          </w:tcPr>
          <w:p w14:paraId="058DB007"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23,33</w:t>
            </w:r>
          </w:p>
        </w:tc>
        <w:tc>
          <w:tcPr>
            <w:tcW w:w="703" w:type="dxa"/>
            <w:tcBorders>
              <w:top w:val="nil"/>
              <w:left w:val="nil"/>
              <w:bottom w:val="nil"/>
              <w:right w:val="nil"/>
            </w:tcBorders>
            <w:shd w:val="clear" w:color="000000" w:fill="FFFFFF"/>
            <w:noWrap/>
            <w:vAlign w:val="center"/>
            <w:hideMark/>
          </w:tcPr>
          <w:p w14:paraId="27A6B916"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24,77</w:t>
            </w:r>
          </w:p>
        </w:tc>
        <w:tc>
          <w:tcPr>
            <w:tcW w:w="703" w:type="dxa"/>
            <w:tcBorders>
              <w:top w:val="nil"/>
              <w:left w:val="nil"/>
              <w:bottom w:val="nil"/>
              <w:right w:val="nil"/>
            </w:tcBorders>
            <w:shd w:val="clear" w:color="auto" w:fill="auto"/>
            <w:noWrap/>
            <w:vAlign w:val="center"/>
            <w:hideMark/>
          </w:tcPr>
          <w:p w14:paraId="421751D7"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22,62</w:t>
            </w:r>
          </w:p>
        </w:tc>
      </w:tr>
      <w:tr w:rsidR="002273A1" w:rsidRPr="002273A1" w14:paraId="38E36CE8" w14:textId="77777777" w:rsidTr="002273A1">
        <w:trPr>
          <w:trHeight w:val="285"/>
        </w:trPr>
        <w:tc>
          <w:tcPr>
            <w:tcW w:w="1934" w:type="dxa"/>
            <w:tcBorders>
              <w:top w:val="nil"/>
              <w:left w:val="nil"/>
              <w:bottom w:val="nil"/>
              <w:right w:val="nil"/>
            </w:tcBorders>
            <w:shd w:val="clear" w:color="auto" w:fill="auto"/>
            <w:noWrap/>
            <w:vAlign w:val="center"/>
            <w:hideMark/>
          </w:tcPr>
          <w:p w14:paraId="35237C3C" w14:textId="77777777" w:rsidR="002273A1" w:rsidRPr="002273A1" w:rsidRDefault="002273A1" w:rsidP="002273A1">
            <w:pPr>
              <w:spacing w:after="0" w:line="240" w:lineRule="auto"/>
              <w:ind w:firstLineChars="100" w:firstLine="160"/>
              <w:rPr>
                <w:rFonts w:cs="Arial"/>
                <w:sz w:val="16"/>
                <w:szCs w:val="16"/>
              </w:rPr>
            </w:pPr>
            <w:r w:rsidRPr="002273A1">
              <w:rPr>
                <w:rFonts w:cs="Arial"/>
                <w:sz w:val="16"/>
                <w:szCs w:val="16"/>
              </w:rPr>
              <w:t>Plzeňský kraj</w:t>
            </w:r>
          </w:p>
        </w:tc>
        <w:tc>
          <w:tcPr>
            <w:tcW w:w="703" w:type="dxa"/>
            <w:tcBorders>
              <w:top w:val="nil"/>
              <w:left w:val="nil"/>
              <w:bottom w:val="nil"/>
              <w:right w:val="nil"/>
            </w:tcBorders>
            <w:shd w:val="clear" w:color="auto" w:fill="auto"/>
            <w:noWrap/>
            <w:vAlign w:val="center"/>
            <w:hideMark/>
          </w:tcPr>
          <w:p w14:paraId="2D61D16E" w14:textId="77777777" w:rsidR="002273A1" w:rsidRPr="002273A1" w:rsidRDefault="002273A1" w:rsidP="002273A1">
            <w:pPr>
              <w:spacing w:after="0" w:line="240" w:lineRule="auto"/>
              <w:jc w:val="right"/>
              <w:rPr>
                <w:rFonts w:cs="Arial"/>
                <w:sz w:val="16"/>
                <w:szCs w:val="16"/>
              </w:rPr>
            </w:pPr>
            <w:r w:rsidRPr="002273A1">
              <w:rPr>
                <w:rFonts w:cs="Arial"/>
                <w:sz w:val="16"/>
                <w:szCs w:val="16"/>
              </w:rPr>
              <w:t>19,78</w:t>
            </w:r>
          </w:p>
        </w:tc>
        <w:tc>
          <w:tcPr>
            <w:tcW w:w="703" w:type="dxa"/>
            <w:tcBorders>
              <w:top w:val="nil"/>
              <w:left w:val="nil"/>
              <w:bottom w:val="nil"/>
              <w:right w:val="nil"/>
            </w:tcBorders>
            <w:shd w:val="clear" w:color="auto" w:fill="auto"/>
            <w:noWrap/>
            <w:vAlign w:val="center"/>
            <w:hideMark/>
          </w:tcPr>
          <w:p w14:paraId="1CAC3551" w14:textId="77777777" w:rsidR="002273A1" w:rsidRPr="002273A1" w:rsidRDefault="002273A1" w:rsidP="002273A1">
            <w:pPr>
              <w:spacing w:after="0" w:line="240" w:lineRule="auto"/>
              <w:jc w:val="right"/>
              <w:rPr>
                <w:rFonts w:cs="Arial"/>
                <w:sz w:val="16"/>
                <w:szCs w:val="16"/>
              </w:rPr>
            </w:pPr>
            <w:r w:rsidRPr="002273A1">
              <w:rPr>
                <w:rFonts w:cs="Arial"/>
                <w:sz w:val="16"/>
                <w:szCs w:val="16"/>
              </w:rPr>
              <w:t>17,95</w:t>
            </w:r>
          </w:p>
        </w:tc>
        <w:tc>
          <w:tcPr>
            <w:tcW w:w="703" w:type="dxa"/>
            <w:tcBorders>
              <w:top w:val="nil"/>
              <w:left w:val="nil"/>
              <w:bottom w:val="nil"/>
              <w:right w:val="nil"/>
            </w:tcBorders>
            <w:shd w:val="clear" w:color="auto" w:fill="auto"/>
            <w:noWrap/>
            <w:vAlign w:val="center"/>
            <w:hideMark/>
          </w:tcPr>
          <w:p w14:paraId="15861B6D" w14:textId="77777777" w:rsidR="002273A1" w:rsidRPr="002273A1" w:rsidRDefault="002273A1" w:rsidP="002273A1">
            <w:pPr>
              <w:spacing w:after="0" w:line="240" w:lineRule="auto"/>
              <w:jc w:val="right"/>
              <w:rPr>
                <w:rFonts w:cs="Arial"/>
                <w:sz w:val="16"/>
                <w:szCs w:val="16"/>
              </w:rPr>
            </w:pPr>
            <w:r w:rsidRPr="002273A1">
              <w:rPr>
                <w:rFonts w:cs="Arial"/>
                <w:sz w:val="16"/>
                <w:szCs w:val="16"/>
              </w:rPr>
              <w:t>19,09</w:t>
            </w:r>
          </w:p>
        </w:tc>
        <w:tc>
          <w:tcPr>
            <w:tcW w:w="703" w:type="dxa"/>
            <w:tcBorders>
              <w:top w:val="nil"/>
              <w:left w:val="nil"/>
              <w:bottom w:val="nil"/>
              <w:right w:val="nil"/>
            </w:tcBorders>
            <w:shd w:val="clear" w:color="auto" w:fill="auto"/>
            <w:noWrap/>
            <w:vAlign w:val="center"/>
            <w:hideMark/>
          </w:tcPr>
          <w:p w14:paraId="54D6E483" w14:textId="77777777" w:rsidR="002273A1" w:rsidRPr="002273A1" w:rsidRDefault="002273A1" w:rsidP="002273A1">
            <w:pPr>
              <w:spacing w:after="0" w:line="240" w:lineRule="auto"/>
              <w:jc w:val="right"/>
              <w:rPr>
                <w:rFonts w:cs="Arial"/>
                <w:sz w:val="16"/>
                <w:szCs w:val="16"/>
              </w:rPr>
            </w:pPr>
            <w:r w:rsidRPr="002273A1">
              <w:rPr>
                <w:rFonts w:cs="Arial"/>
                <w:sz w:val="16"/>
                <w:szCs w:val="16"/>
              </w:rPr>
              <w:t>15,87</w:t>
            </w:r>
          </w:p>
        </w:tc>
        <w:tc>
          <w:tcPr>
            <w:tcW w:w="703" w:type="dxa"/>
            <w:tcBorders>
              <w:top w:val="nil"/>
              <w:left w:val="nil"/>
              <w:bottom w:val="nil"/>
              <w:right w:val="nil"/>
            </w:tcBorders>
            <w:shd w:val="clear" w:color="auto" w:fill="auto"/>
            <w:noWrap/>
            <w:vAlign w:val="center"/>
            <w:hideMark/>
          </w:tcPr>
          <w:p w14:paraId="53094D1B" w14:textId="77777777" w:rsidR="002273A1" w:rsidRPr="002273A1" w:rsidRDefault="002273A1" w:rsidP="002273A1">
            <w:pPr>
              <w:spacing w:after="0" w:line="240" w:lineRule="auto"/>
              <w:jc w:val="right"/>
              <w:rPr>
                <w:rFonts w:cs="Arial"/>
                <w:sz w:val="16"/>
                <w:szCs w:val="16"/>
              </w:rPr>
            </w:pPr>
            <w:r w:rsidRPr="002273A1">
              <w:rPr>
                <w:rFonts w:cs="Arial"/>
                <w:sz w:val="16"/>
                <w:szCs w:val="16"/>
              </w:rPr>
              <w:t>19,77</w:t>
            </w:r>
          </w:p>
        </w:tc>
        <w:tc>
          <w:tcPr>
            <w:tcW w:w="703" w:type="dxa"/>
            <w:tcBorders>
              <w:top w:val="nil"/>
              <w:left w:val="nil"/>
              <w:bottom w:val="nil"/>
              <w:right w:val="nil"/>
            </w:tcBorders>
            <w:shd w:val="clear" w:color="auto" w:fill="auto"/>
            <w:noWrap/>
            <w:vAlign w:val="center"/>
            <w:hideMark/>
          </w:tcPr>
          <w:p w14:paraId="26DFE4A5" w14:textId="77777777" w:rsidR="002273A1" w:rsidRPr="002273A1" w:rsidRDefault="002273A1" w:rsidP="002273A1">
            <w:pPr>
              <w:spacing w:after="0" w:line="240" w:lineRule="auto"/>
              <w:jc w:val="right"/>
              <w:rPr>
                <w:rFonts w:cs="Arial"/>
                <w:sz w:val="16"/>
                <w:szCs w:val="16"/>
              </w:rPr>
            </w:pPr>
            <w:r w:rsidRPr="002273A1">
              <w:rPr>
                <w:rFonts w:cs="Arial"/>
                <w:sz w:val="16"/>
                <w:szCs w:val="16"/>
              </w:rPr>
              <w:t>18,20</w:t>
            </w:r>
          </w:p>
        </w:tc>
        <w:tc>
          <w:tcPr>
            <w:tcW w:w="696" w:type="dxa"/>
            <w:tcBorders>
              <w:top w:val="nil"/>
              <w:left w:val="nil"/>
              <w:bottom w:val="nil"/>
              <w:right w:val="nil"/>
            </w:tcBorders>
            <w:shd w:val="clear" w:color="auto" w:fill="auto"/>
            <w:noWrap/>
            <w:vAlign w:val="center"/>
            <w:hideMark/>
          </w:tcPr>
          <w:p w14:paraId="76534DA1" w14:textId="798D0D45" w:rsidR="002273A1" w:rsidRPr="002273A1" w:rsidRDefault="009A4127" w:rsidP="002273A1">
            <w:pPr>
              <w:spacing w:after="0" w:line="240" w:lineRule="auto"/>
              <w:jc w:val="right"/>
              <w:rPr>
                <w:rFonts w:cs="Arial"/>
                <w:sz w:val="16"/>
                <w:szCs w:val="16"/>
              </w:rPr>
            </w:pPr>
            <w:r>
              <w:rPr>
                <w:rFonts w:cs="Arial"/>
                <w:sz w:val="16"/>
                <w:szCs w:val="16"/>
              </w:rPr>
              <w:t>23,97</w:t>
            </w:r>
          </w:p>
        </w:tc>
        <w:tc>
          <w:tcPr>
            <w:tcW w:w="703" w:type="dxa"/>
            <w:tcBorders>
              <w:top w:val="nil"/>
              <w:left w:val="nil"/>
              <w:bottom w:val="nil"/>
              <w:right w:val="nil"/>
            </w:tcBorders>
            <w:shd w:val="clear" w:color="auto" w:fill="auto"/>
            <w:noWrap/>
            <w:vAlign w:val="center"/>
            <w:hideMark/>
          </w:tcPr>
          <w:p w14:paraId="74D60276"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22,82</w:t>
            </w:r>
          </w:p>
        </w:tc>
        <w:tc>
          <w:tcPr>
            <w:tcW w:w="703" w:type="dxa"/>
            <w:tcBorders>
              <w:top w:val="nil"/>
              <w:left w:val="nil"/>
              <w:bottom w:val="nil"/>
              <w:right w:val="nil"/>
            </w:tcBorders>
            <w:shd w:val="clear" w:color="auto" w:fill="auto"/>
            <w:noWrap/>
            <w:vAlign w:val="center"/>
            <w:hideMark/>
          </w:tcPr>
          <w:p w14:paraId="51295523"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24,47</w:t>
            </w:r>
          </w:p>
        </w:tc>
        <w:tc>
          <w:tcPr>
            <w:tcW w:w="703" w:type="dxa"/>
            <w:tcBorders>
              <w:top w:val="nil"/>
              <w:left w:val="nil"/>
              <w:bottom w:val="nil"/>
              <w:right w:val="nil"/>
            </w:tcBorders>
            <w:shd w:val="clear" w:color="000000" w:fill="FFFFFF"/>
            <w:noWrap/>
            <w:vAlign w:val="center"/>
            <w:hideMark/>
          </w:tcPr>
          <w:p w14:paraId="39B40BB0"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26,18</w:t>
            </w:r>
          </w:p>
        </w:tc>
        <w:tc>
          <w:tcPr>
            <w:tcW w:w="703" w:type="dxa"/>
            <w:tcBorders>
              <w:top w:val="nil"/>
              <w:left w:val="nil"/>
              <w:bottom w:val="nil"/>
              <w:right w:val="nil"/>
            </w:tcBorders>
            <w:shd w:val="clear" w:color="auto" w:fill="auto"/>
            <w:noWrap/>
            <w:vAlign w:val="center"/>
            <w:hideMark/>
          </w:tcPr>
          <w:p w14:paraId="4B312EF6"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24,09</w:t>
            </w:r>
          </w:p>
        </w:tc>
      </w:tr>
      <w:tr w:rsidR="002273A1" w:rsidRPr="002273A1" w14:paraId="6E811E46" w14:textId="77777777" w:rsidTr="002273A1">
        <w:trPr>
          <w:trHeight w:val="285"/>
        </w:trPr>
        <w:tc>
          <w:tcPr>
            <w:tcW w:w="1934" w:type="dxa"/>
            <w:tcBorders>
              <w:top w:val="nil"/>
              <w:left w:val="nil"/>
              <w:bottom w:val="nil"/>
              <w:right w:val="nil"/>
            </w:tcBorders>
            <w:shd w:val="clear" w:color="auto" w:fill="auto"/>
            <w:noWrap/>
            <w:vAlign w:val="center"/>
            <w:hideMark/>
          </w:tcPr>
          <w:p w14:paraId="07D5DC72" w14:textId="77777777" w:rsidR="002273A1" w:rsidRPr="002273A1" w:rsidRDefault="002273A1" w:rsidP="002273A1">
            <w:pPr>
              <w:spacing w:after="0" w:line="240" w:lineRule="auto"/>
              <w:ind w:firstLineChars="100" w:firstLine="160"/>
              <w:rPr>
                <w:rFonts w:cs="Arial"/>
                <w:sz w:val="16"/>
                <w:szCs w:val="16"/>
              </w:rPr>
            </w:pPr>
            <w:r w:rsidRPr="002273A1">
              <w:rPr>
                <w:rFonts w:cs="Arial"/>
                <w:sz w:val="16"/>
                <w:szCs w:val="16"/>
              </w:rPr>
              <w:t>Karlovarský kraj</w:t>
            </w:r>
          </w:p>
        </w:tc>
        <w:tc>
          <w:tcPr>
            <w:tcW w:w="703" w:type="dxa"/>
            <w:tcBorders>
              <w:top w:val="nil"/>
              <w:left w:val="nil"/>
              <w:bottom w:val="nil"/>
              <w:right w:val="nil"/>
            </w:tcBorders>
            <w:shd w:val="clear" w:color="auto" w:fill="auto"/>
            <w:noWrap/>
            <w:vAlign w:val="center"/>
            <w:hideMark/>
          </w:tcPr>
          <w:p w14:paraId="3276C4ED" w14:textId="77777777" w:rsidR="002273A1" w:rsidRPr="002273A1" w:rsidRDefault="002273A1" w:rsidP="002273A1">
            <w:pPr>
              <w:spacing w:after="0" w:line="240" w:lineRule="auto"/>
              <w:jc w:val="right"/>
              <w:rPr>
                <w:rFonts w:cs="Arial"/>
                <w:sz w:val="16"/>
                <w:szCs w:val="16"/>
              </w:rPr>
            </w:pPr>
            <w:r w:rsidRPr="002273A1">
              <w:rPr>
                <w:rFonts w:cs="Arial"/>
                <w:sz w:val="16"/>
                <w:szCs w:val="16"/>
              </w:rPr>
              <w:t>18,32</w:t>
            </w:r>
          </w:p>
        </w:tc>
        <w:tc>
          <w:tcPr>
            <w:tcW w:w="703" w:type="dxa"/>
            <w:tcBorders>
              <w:top w:val="nil"/>
              <w:left w:val="nil"/>
              <w:bottom w:val="nil"/>
              <w:right w:val="nil"/>
            </w:tcBorders>
            <w:shd w:val="clear" w:color="auto" w:fill="auto"/>
            <w:noWrap/>
            <w:vAlign w:val="center"/>
            <w:hideMark/>
          </w:tcPr>
          <w:p w14:paraId="116D84D4" w14:textId="77777777" w:rsidR="002273A1" w:rsidRPr="002273A1" w:rsidRDefault="002273A1" w:rsidP="002273A1">
            <w:pPr>
              <w:spacing w:after="0" w:line="240" w:lineRule="auto"/>
              <w:jc w:val="right"/>
              <w:rPr>
                <w:rFonts w:cs="Arial"/>
                <w:sz w:val="16"/>
                <w:szCs w:val="16"/>
              </w:rPr>
            </w:pPr>
            <w:r w:rsidRPr="002273A1">
              <w:rPr>
                <w:rFonts w:cs="Arial"/>
                <w:sz w:val="16"/>
                <w:szCs w:val="16"/>
              </w:rPr>
              <w:t>16,98</w:t>
            </w:r>
          </w:p>
        </w:tc>
        <w:tc>
          <w:tcPr>
            <w:tcW w:w="703" w:type="dxa"/>
            <w:tcBorders>
              <w:top w:val="nil"/>
              <w:left w:val="nil"/>
              <w:bottom w:val="nil"/>
              <w:right w:val="nil"/>
            </w:tcBorders>
            <w:shd w:val="clear" w:color="auto" w:fill="auto"/>
            <w:noWrap/>
            <w:vAlign w:val="center"/>
            <w:hideMark/>
          </w:tcPr>
          <w:p w14:paraId="318D6C7E" w14:textId="77777777" w:rsidR="002273A1" w:rsidRPr="002273A1" w:rsidRDefault="002273A1" w:rsidP="002273A1">
            <w:pPr>
              <w:spacing w:after="0" w:line="240" w:lineRule="auto"/>
              <w:jc w:val="right"/>
              <w:rPr>
                <w:rFonts w:cs="Arial"/>
                <w:sz w:val="16"/>
                <w:szCs w:val="16"/>
              </w:rPr>
            </w:pPr>
            <w:r w:rsidRPr="002273A1">
              <w:rPr>
                <w:rFonts w:cs="Arial"/>
                <w:sz w:val="16"/>
                <w:szCs w:val="16"/>
              </w:rPr>
              <w:t>17,96</w:t>
            </w:r>
          </w:p>
        </w:tc>
        <w:tc>
          <w:tcPr>
            <w:tcW w:w="703" w:type="dxa"/>
            <w:tcBorders>
              <w:top w:val="nil"/>
              <w:left w:val="nil"/>
              <w:bottom w:val="nil"/>
              <w:right w:val="nil"/>
            </w:tcBorders>
            <w:shd w:val="clear" w:color="auto" w:fill="auto"/>
            <w:noWrap/>
            <w:vAlign w:val="center"/>
            <w:hideMark/>
          </w:tcPr>
          <w:p w14:paraId="1987EF73" w14:textId="77777777" w:rsidR="002273A1" w:rsidRPr="002273A1" w:rsidRDefault="002273A1" w:rsidP="002273A1">
            <w:pPr>
              <w:spacing w:after="0" w:line="240" w:lineRule="auto"/>
              <w:jc w:val="right"/>
              <w:rPr>
                <w:rFonts w:cs="Arial"/>
                <w:sz w:val="16"/>
                <w:szCs w:val="16"/>
              </w:rPr>
            </w:pPr>
            <w:r w:rsidRPr="002273A1">
              <w:rPr>
                <w:rFonts w:cs="Arial"/>
                <w:sz w:val="16"/>
                <w:szCs w:val="16"/>
              </w:rPr>
              <w:t>15,27</w:t>
            </w:r>
          </w:p>
        </w:tc>
        <w:tc>
          <w:tcPr>
            <w:tcW w:w="703" w:type="dxa"/>
            <w:tcBorders>
              <w:top w:val="nil"/>
              <w:left w:val="nil"/>
              <w:bottom w:val="nil"/>
              <w:right w:val="nil"/>
            </w:tcBorders>
            <w:shd w:val="clear" w:color="auto" w:fill="auto"/>
            <w:noWrap/>
            <w:vAlign w:val="center"/>
            <w:hideMark/>
          </w:tcPr>
          <w:p w14:paraId="0EF9C1CF" w14:textId="77777777" w:rsidR="002273A1" w:rsidRPr="002273A1" w:rsidRDefault="002273A1" w:rsidP="002273A1">
            <w:pPr>
              <w:spacing w:after="0" w:line="240" w:lineRule="auto"/>
              <w:jc w:val="right"/>
              <w:rPr>
                <w:rFonts w:cs="Arial"/>
                <w:sz w:val="16"/>
                <w:szCs w:val="16"/>
              </w:rPr>
            </w:pPr>
            <w:r w:rsidRPr="002273A1">
              <w:rPr>
                <w:rFonts w:cs="Arial"/>
                <w:sz w:val="16"/>
                <w:szCs w:val="16"/>
              </w:rPr>
              <w:t>18,36</w:t>
            </w:r>
          </w:p>
        </w:tc>
        <w:tc>
          <w:tcPr>
            <w:tcW w:w="703" w:type="dxa"/>
            <w:tcBorders>
              <w:top w:val="nil"/>
              <w:left w:val="nil"/>
              <w:bottom w:val="nil"/>
              <w:right w:val="nil"/>
            </w:tcBorders>
            <w:shd w:val="clear" w:color="auto" w:fill="auto"/>
            <w:noWrap/>
            <w:vAlign w:val="center"/>
            <w:hideMark/>
          </w:tcPr>
          <w:p w14:paraId="1E8CCA10" w14:textId="77777777" w:rsidR="002273A1" w:rsidRPr="002273A1" w:rsidRDefault="002273A1" w:rsidP="002273A1">
            <w:pPr>
              <w:spacing w:after="0" w:line="240" w:lineRule="auto"/>
              <w:jc w:val="right"/>
              <w:rPr>
                <w:rFonts w:cs="Arial"/>
                <w:sz w:val="16"/>
                <w:szCs w:val="16"/>
              </w:rPr>
            </w:pPr>
            <w:r w:rsidRPr="002273A1">
              <w:rPr>
                <w:rFonts w:cs="Arial"/>
                <w:sz w:val="16"/>
                <w:szCs w:val="16"/>
              </w:rPr>
              <w:t>17,65</w:t>
            </w:r>
          </w:p>
        </w:tc>
        <w:tc>
          <w:tcPr>
            <w:tcW w:w="696" w:type="dxa"/>
            <w:tcBorders>
              <w:top w:val="nil"/>
              <w:left w:val="nil"/>
              <w:bottom w:val="nil"/>
              <w:right w:val="nil"/>
            </w:tcBorders>
            <w:shd w:val="clear" w:color="auto" w:fill="auto"/>
            <w:noWrap/>
            <w:vAlign w:val="center"/>
            <w:hideMark/>
          </w:tcPr>
          <w:p w14:paraId="1A309391" w14:textId="576C914A" w:rsidR="002273A1" w:rsidRPr="002273A1" w:rsidRDefault="002273A1" w:rsidP="002273A1">
            <w:pPr>
              <w:spacing w:after="0" w:line="240" w:lineRule="auto"/>
              <w:jc w:val="right"/>
              <w:rPr>
                <w:rFonts w:cs="Arial"/>
                <w:sz w:val="16"/>
                <w:szCs w:val="16"/>
              </w:rPr>
            </w:pPr>
            <w:r w:rsidRPr="002273A1">
              <w:rPr>
                <w:rFonts w:cs="Arial"/>
                <w:sz w:val="16"/>
                <w:szCs w:val="16"/>
              </w:rPr>
              <w:t>23,2</w:t>
            </w:r>
            <w:r w:rsidR="009A4127">
              <w:rPr>
                <w:rFonts w:cs="Arial"/>
                <w:sz w:val="16"/>
                <w:szCs w:val="16"/>
              </w:rPr>
              <w:t>1</w:t>
            </w:r>
          </w:p>
        </w:tc>
        <w:tc>
          <w:tcPr>
            <w:tcW w:w="703" w:type="dxa"/>
            <w:tcBorders>
              <w:top w:val="nil"/>
              <w:left w:val="nil"/>
              <w:bottom w:val="nil"/>
              <w:right w:val="nil"/>
            </w:tcBorders>
            <w:shd w:val="clear" w:color="auto" w:fill="auto"/>
            <w:noWrap/>
            <w:vAlign w:val="center"/>
            <w:hideMark/>
          </w:tcPr>
          <w:p w14:paraId="5499EDA7"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22,12</w:t>
            </w:r>
          </w:p>
        </w:tc>
        <w:tc>
          <w:tcPr>
            <w:tcW w:w="703" w:type="dxa"/>
            <w:tcBorders>
              <w:top w:val="nil"/>
              <w:left w:val="nil"/>
              <w:bottom w:val="nil"/>
              <w:right w:val="nil"/>
            </w:tcBorders>
            <w:shd w:val="clear" w:color="auto" w:fill="auto"/>
            <w:noWrap/>
            <w:vAlign w:val="center"/>
            <w:hideMark/>
          </w:tcPr>
          <w:p w14:paraId="303F008D"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23,19</w:t>
            </w:r>
          </w:p>
        </w:tc>
        <w:tc>
          <w:tcPr>
            <w:tcW w:w="703" w:type="dxa"/>
            <w:tcBorders>
              <w:top w:val="nil"/>
              <w:left w:val="nil"/>
              <w:bottom w:val="nil"/>
              <w:right w:val="nil"/>
            </w:tcBorders>
            <w:shd w:val="clear" w:color="000000" w:fill="FFFFFF"/>
            <w:noWrap/>
            <w:vAlign w:val="center"/>
            <w:hideMark/>
          </w:tcPr>
          <w:p w14:paraId="7C04F5BD"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25,44</w:t>
            </w:r>
          </w:p>
        </w:tc>
        <w:tc>
          <w:tcPr>
            <w:tcW w:w="703" w:type="dxa"/>
            <w:tcBorders>
              <w:top w:val="nil"/>
              <w:left w:val="nil"/>
              <w:bottom w:val="nil"/>
              <w:right w:val="nil"/>
            </w:tcBorders>
            <w:shd w:val="clear" w:color="auto" w:fill="auto"/>
            <w:noWrap/>
            <w:vAlign w:val="center"/>
            <w:hideMark/>
          </w:tcPr>
          <w:p w14:paraId="65544FAA"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23,34</w:t>
            </w:r>
          </w:p>
        </w:tc>
      </w:tr>
      <w:tr w:rsidR="002273A1" w:rsidRPr="002273A1" w14:paraId="51D22FAF" w14:textId="77777777" w:rsidTr="002273A1">
        <w:trPr>
          <w:trHeight w:val="285"/>
        </w:trPr>
        <w:tc>
          <w:tcPr>
            <w:tcW w:w="1934" w:type="dxa"/>
            <w:tcBorders>
              <w:top w:val="nil"/>
              <w:left w:val="nil"/>
              <w:bottom w:val="nil"/>
              <w:right w:val="nil"/>
            </w:tcBorders>
            <w:shd w:val="clear" w:color="auto" w:fill="auto"/>
            <w:noWrap/>
            <w:vAlign w:val="center"/>
            <w:hideMark/>
          </w:tcPr>
          <w:p w14:paraId="6A734462" w14:textId="77777777" w:rsidR="002273A1" w:rsidRPr="002273A1" w:rsidRDefault="002273A1" w:rsidP="002273A1">
            <w:pPr>
              <w:spacing w:after="0" w:line="240" w:lineRule="auto"/>
              <w:ind w:firstLineChars="100" w:firstLine="160"/>
              <w:rPr>
                <w:rFonts w:cs="Arial"/>
                <w:sz w:val="16"/>
                <w:szCs w:val="16"/>
              </w:rPr>
            </w:pPr>
            <w:r w:rsidRPr="002273A1">
              <w:rPr>
                <w:rFonts w:cs="Arial"/>
                <w:sz w:val="16"/>
                <w:szCs w:val="16"/>
              </w:rPr>
              <w:t>Ústecký kraj</w:t>
            </w:r>
          </w:p>
        </w:tc>
        <w:tc>
          <w:tcPr>
            <w:tcW w:w="703" w:type="dxa"/>
            <w:tcBorders>
              <w:top w:val="nil"/>
              <w:left w:val="nil"/>
              <w:bottom w:val="nil"/>
              <w:right w:val="nil"/>
            </w:tcBorders>
            <w:shd w:val="clear" w:color="auto" w:fill="auto"/>
            <w:noWrap/>
            <w:vAlign w:val="center"/>
            <w:hideMark/>
          </w:tcPr>
          <w:p w14:paraId="6313659A" w14:textId="77777777" w:rsidR="002273A1" w:rsidRPr="002273A1" w:rsidRDefault="002273A1" w:rsidP="002273A1">
            <w:pPr>
              <w:spacing w:after="0" w:line="240" w:lineRule="auto"/>
              <w:jc w:val="right"/>
              <w:rPr>
                <w:rFonts w:cs="Arial"/>
                <w:sz w:val="16"/>
                <w:szCs w:val="16"/>
              </w:rPr>
            </w:pPr>
            <w:r w:rsidRPr="002273A1">
              <w:rPr>
                <w:rFonts w:cs="Arial"/>
                <w:sz w:val="16"/>
                <w:szCs w:val="16"/>
              </w:rPr>
              <w:t>16,82</w:t>
            </w:r>
          </w:p>
        </w:tc>
        <w:tc>
          <w:tcPr>
            <w:tcW w:w="703" w:type="dxa"/>
            <w:tcBorders>
              <w:top w:val="nil"/>
              <w:left w:val="nil"/>
              <w:bottom w:val="nil"/>
              <w:right w:val="nil"/>
            </w:tcBorders>
            <w:shd w:val="clear" w:color="auto" w:fill="auto"/>
            <w:noWrap/>
            <w:vAlign w:val="center"/>
            <w:hideMark/>
          </w:tcPr>
          <w:p w14:paraId="7A2DA467" w14:textId="77777777" w:rsidR="002273A1" w:rsidRPr="002273A1" w:rsidRDefault="002273A1" w:rsidP="002273A1">
            <w:pPr>
              <w:spacing w:after="0" w:line="240" w:lineRule="auto"/>
              <w:jc w:val="right"/>
              <w:rPr>
                <w:rFonts w:cs="Arial"/>
                <w:sz w:val="16"/>
                <w:szCs w:val="16"/>
              </w:rPr>
            </w:pPr>
            <w:r w:rsidRPr="002273A1">
              <w:rPr>
                <w:rFonts w:cs="Arial"/>
                <w:sz w:val="16"/>
                <w:szCs w:val="16"/>
              </w:rPr>
              <w:t>15,71</w:t>
            </w:r>
          </w:p>
        </w:tc>
        <w:tc>
          <w:tcPr>
            <w:tcW w:w="703" w:type="dxa"/>
            <w:tcBorders>
              <w:top w:val="nil"/>
              <w:left w:val="nil"/>
              <w:bottom w:val="nil"/>
              <w:right w:val="nil"/>
            </w:tcBorders>
            <w:shd w:val="clear" w:color="auto" w:fill="auto"/>
            <w:noWrap/>
            <w:vAlign w:val="center"/>
            <w:hideMark/>
          </w:tcPr>
          <w:p w14:paraId="4408ECFE" w14:textId="77777777" w:rsidR="002273A1" w:rsidRPr="002273A1" w:rsidRDefault="002273A1" w:rsidP="002273A1">
            <w:pPr>
              <w:spacing w:after="0" w:line="240" w:lineRule="auto"/>
              <w:jc w:val="right"/>
              <w:rPr>
                <w:rFonts w:cs="Arial"/>
                <w:sz w:val="16"/>
                <w:szCs w:val="16"/>
              </w:rPr>
            </w:pPr>
            <w:r w:rsidRPr="002273A1">
              <w:rPr>
                <w:rFonts w:cs="Arial"/>
                <w:sz w:val="16"/>
                <w:szCs w:val="16"/>
              </w:rPr>
              <w:t>16,46</w:t>
            </w:r>
          </w:p>
        </w:tc>
        <w:tc>
          <w:tcPr>
            <w:tcW w:w="703" w:type="dxa"/>
            <w:tcBorders>
              <w:top w:val="nil"/>
              <w:left w:val="nil"/>
              <w:bottom w:val="nil"/>
              <w:right w:val="nil"/>
            </w:tcBorders>
            <w:shd w:val="clear" w:color="auto" w:fill="auto"/>
            <w:noWrap/>
            <w:vAlign w:val="center"/>
            <w:hideMark/>
          </w:tcPr>
          <w:p w14:paraId="2578A391" w14:textId="77777777" w:rsidR="002273A1" w:rsidRPr="002273A1" w:rsidRDefault="002273A1" w:rsidP="002273A1">
            <w:pPr>
              <w:spacing w:after="0" w:line="240" w:lineRule="auto"/>
              <w:jc w:val="right"/>
              <w:rPr>
                <w:rFonts w:cs="Arial"/>
                <w:sz w:val="16"/>
                <w:szCs w:val="16"/>
              </w:rPr>
            </w:pPr>
            <w:r w:rsidRPr="002273A1">
              <w:rPr>
                <w:rFonts w:cs="Arial"/>
                <w:sz w:val="16"/>
                <w:szCs w:val="16"/>
              </w:rPr>
              <w:t>13,61</w:t>
            </w:r>
          </w:p>
        </w:tc>
        <w:tc>
          <w:tcPr>
            <w:tcW w:w="703" w:type="dxa"/>
            <w:tcBorders>
              <w:top w:val="nil"/>
              <w:left w:val="nil"/>
              <w:bottom w:val="nil"/>
              <w:right w:val="nil"/>
            </w:tcBorders>
            <w:shd w:val="clear" w:color="auto" w:fill="auto"/>
            <w:noWrap/>
            <w:vAlign w:val="center"/>
            <w:hideMark/>
          </w:tcPr>
          <w:p w14:paraId="2027BC9B" w14:textId="77777777" w:rsidR="002273A1" w:rsidRPr="002273A1" w:rsidRDefault="002273A1" w:rsidP="002273A1">
            <w:pPr>
              <w:spacing w:after="0" w:line="240" w:lineRule="auto"/>
              <w:jc w:val="right"/>
              <w:rPr>
                <w:rFonts w:cs="Arial"/>
                <w:sz w:val="16"/>
                <w:szCs w:val="16"/>
              </w:rPr>
            </w:pPr>
            <w:r w:rsidRPr="002273A1">
              <w:rPr>
                <w:rFonts w:cs="Arial"/>
                <w:sz w:val="16"/>
                <w:szCs w:val="16"/>
              </w:rPr>
              <w:t>17,54</w:t>
            </w:r>
          </w:p>
        </w:tc>
        <w:tc>
          <w:tcPr>
            <w:tcW w:w="703" w:type="dxa"/>
            <w:tcBorders>
              <w:top w:val="nil"/>
              <w:left w:val="nil"/>
              <w:bottom w:val="nil"/>
              <w:right w:val="nil"/>
            </w:tcBorders>
            <w:shd w:val="clear" w:color="auto" w:fill="auto"/>
            <w:noWrap/>
            <w:vAlign w:val="center"/>
            <w:hideMark/>
          </w:tcPr>
          <w:p w14:paraId="2F7B525D" w14:textId="77777777" w:rsidR="002273A1" w:rsidRPr="002273A1" w:rsidRDefault="002273A1" w:rsidP="002273A1">
            <w:pPr>
              <w:spacing w:after="0" w:line="240" w:lineRule="auto"/>
              <w:jc w:val="right"/>
              <w:rPr>
                <w:rFonts w:cs="Arial"/>
                <w:sz w:val="16"/>
                <w:szCs w:val="16"/>
              </w:rPr>
            </w:pPr>
            <w:r w:rsidRPr="002273A1">
              <w:rPr>
                <w:rFonts w:cs="Arial"/>
                <w:sz w:val="16"/>
                <w:szCs w:val="16"/>
              </w:rPr>
              <w:t>15,42</w:t>
            </w:r>
          </w:p>
        </w:tc>
        <w:tc>
          <w:tcPr>
            <w:tcW w:w="696" w:type="dxa"/>
            <w:tcBorders>
              <w:top w:val="nil"/>
              <w:left w:val="nil"/>
              <w:bottom w:val="nil"/>
              <w:right w:val="nil"/>
            </w:tcBorders>
            <w:shd w:val="clear" w:color="auto" w:fill="auto"/>
            <w:noWrap/>
            <w:vAlign w:val="center"/>
            <w:hideMark/>
          </w:tcPr>
          <w:p w14:paraId="29137B46" w14:textId="28FDCF55" w:rsidR="002273A1" w:rsidRPr="002273A1" w:rsidRDefault="009A4127" w:rsidP="002273A1">
            <w:pPr>
              <w:spacing w:after="0" w:line="240" w:lineRule="auto"/>
              <w:jc w:val="right"/>
              <w:rPr>
                <w:rFonts w:cs="Arial"/>
                <w:sz w:val="16"/>
                <w:szCs w:val="16"/>
              </w:rPr>
            </w:pPr>
            <w:r>
              <w:rPr>
                <w:rFonts w:cs="Arial"/>
                <w:sz w:val="16"/>
                <w:szCs w:val="16"/>
              </w:rPr>
              <w:t>19,87</w:t>
            </w:r>
          </w:p>
        </w:tc>
        <w:tc>
          <w:tcPr>
            <w:tcW w:w="703" w:type="dxa"/>
            <w:tcBorders>
              <w:top w:val="nil"/>
              <w:left w:val="nil"/>
              <w:bottom w:val="nil"/>
              <w:right w:val="nil"/>
            </w:tcBorders>
            <w:shd w:val="clear" w:color="auto" w:fill="auto"/>
            <w:noWrap/>
            <w:vAlign w:val="center"/>
            <w:hideMark/>
          </w:tcPr>
          <w:p w14:paraId="6B6CFCD3"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20,49</w:t>
            </w:r>
          </w:p>
        </w:tc>
        <w:tc>
          <w:tcPr>
            <w:tcW w:w="703" w:type="dxa"/>
            <w:tcBorders>
              <w:top w:val="nil"/>
              <w:left w:val="nil"/>
              <w:bottom w:val="nil"/>
              <w:right w:val="nil"/>
            </w:tcBorders>
            <w:shd w:val="clear" w:color="auto" w:fill="auto"/>
            <w:noWrap/>
            <w:vAlign w:val="center"/>
            <w:hideMark/>
          </w:tcPr>
          <w:p w14:paraId="4F2C2708"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21,32</w:t>
            </w:r>
          </w:p>
        </w:tc>
        <w:tc>
          <w:tcPr>
            <w:tcW w:w="703" w:type="dxa"/>
            <w:tcBorders>
              <w:top w:val="nil"/>
              <w:left w:val="nil"/>
              <w:bottom w:val="nil"/>
              <w:right w:val="nil"/>
            </w:tcBorders>
            <w:shd w:val="clear" w:color="000000" w:fill="FFFFFF"/>
            <w:noWrap/>
            <w:vAlign w:val="center"/>
            <w:hideMark/>
          </w:tcPr>
          <w:p w14:paraId="6BE24BD3"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24,23</w:t>
            </w:r>
          </w:p>
        </w:tc>
        <w:tc>
          <w:tcPr>
            <w:tcW w:w="703" w:type="dxa"/>
            <w:tcBorders>
              <w:top w:val="nil"/>
              <w:left w:val="nil"/>
              <w:bottom w:val="nil"/>
              <w:right w:val="nil"/>
            </w:tcBorders>
            <w:shd w:val="clear" w:color="auto" w:fill="auto"/>
            <w:noWrap/>
            <w:vAlign w:val="center"/>
            <w:hideMark/>
          </w:tcPr>
          <w:p w14:paraId="6383C966"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22,54</w:t>
            </w:r>
          </w:p>
        </w:tc>
      </w:tr>
      <w:tr w:rsidR="002273A1" w:rsidRPr="002273A1" w14:paraId="01B5FB78" w14:textId="77777777" w:rsidTr="002273A1">
        <w:trPr>
          <w:trHeight w:val="285"/>
        </w:trPr>
        <w:tc>
          <w:tcPr>
            <w:tcW w:w="1934" w:type="dxa"/>
            <w:tcBorders>
              <w:top w:val="nil"/>
              <w:left w:val="nil"/>
              <w:bottom w:val="nil"/>
              <w:right w:val="nil"/>
            </w:tcBorders>
            <w:shd w:val="clear" w:color="auto" w:fill="auto"/>
            <w:noWrap/>
            <w:vAlign w:val="center"/>
            <w:hideMark/>
          </w:tcPr>
          <w:p w14:paraId="077C406B" w14:textId="77777777" w:rsidR="002273A1" w:rsidRPr="002273A1" w:rsidRDefault="002273A1" w:rsidP="002273A1">
            <w:pPr>
              <w:spacing w:after="0" w:line="240" w:lineRule="auto"/>
              <w:ind w:firstLineChars="100" w:firstLine="160"/>
              <w:rPr>
                <w:rFonts w:cs="Arial"/>
                <w:sz w:val="16"/>
                <w:szCs w:val="16"/>
              </w:rPr>
            </w:pPr>
            <w:r w:rsidRPr="002273A1">
              <w:rPr>
                <w:rFonts w:cs="Arial"/>
                <w:sz w:val="16"/>
                <w:szCs w:val="16"/>
              </w:rPr>
              <w:t>Liberecký kraj</w:t>
            </w:r>
          </w:p>
        </w:tc>
        <w:tc>
          <w:tcPr>
            <w:tcW w:w="703" w:type="dxa"/>
            <w:tcBorders>
              <w:top w:val="nil"/>
              <w:left w:val="nil"/>
              <w:bottom w:val="nil"/>
              <w:right w:val="nil"/>
            </w:tcBorders>
            <w:shd w:val="clear" w:color="auto" w:fill="auto"/>
            <w:noWrap/>
            <w:vAlign w:val="center"/>
            <w:hideMark/>
          </w:tcPr>
          <w:p w14:paraId="44BFF54E" w14:textId="77777777" w:rsidR="002273A1" w:rsidRPr="002273A1" w:rsidRDefault="002273A1" w:rsidP="002273A1">
            <w:pPr>
              <w:spacing w:after="0" w:line="240" w:lineRule="auto"/>
              <w:jc w:val="right"/>
              <w:rPr>
                <w:rFonts w:cs="Arial"/>
                <w:sz w:val="16"/>
                <w:szCs w:val="16"/>
              </w:rPr>
            </w:pPr>
            <w:r w:rsidRPr="002273A1">
              <w:rPr>
                <w:rFonts w:cs="Arial"/>
                <w:sz w:val="16"/>
                <w:szCs w:val="16"/>
              </w:rPr>
              <w:t>18,93</w:t>
            </w:r>
          </w:p>
        </w:tc>
        <w:tc>
          <w:tcPr>
            <w:tcW w:w="703" w:type="dxa"/>
            <w:tcBorders>
              <w:top w:val="nil"/>
              <w:left w:val="nil"/>
              <w:bottom w:val="nil"/>
              <w:right w:val="nil"/>
            </w:tcBorders>
            <w:shd w:val="clear" w:color="auto" w:fill="auto"/>
            <w:noWrap/>
            <w:vAlign w:val="center"/>
            <w:hideMark/>
          </w:tcPr>
          <w:p w14:paraId="1332802A" w14:textId="77777777" w:rsidR="002273A1" w:rsidRPr="002273A1" w:rsidRDefault="002273A1" w:rsidP="002273A1">
            <w:pPr>
              <w:spacing w:after="0" w:line="240" w:lineRule="auto"/>
              <w:jc w:val="right"/>
              <w:rPr>
                <w:rFonts w:cs="Arial"/>
                <w:sz w:val="16"/>
                <w:szCs w:val="16"/>
              </w:rPr>
            </w:pPr>
            <w:r w:rsidRPr="002273A1">
              <w:rPr>
                <w:rFonts w:cs="Arial"/>
                <w:sz w:val="16"/>
                <w:szCs w:val="16"/>
              </w:rPr>
              <w:t>17,65</w:t>
            </w:r>
          </w:p>
        </w:tc>
        <w:tc>
          <w:tcPr>
            <w:tcW w:w="703" w:type="dxa"/>
            <w:tcBorders>
              <w:top w:val="nil"/>
              <w:left w:val="nil"/>
              <w:bottom w:val="nil"/>
              <w:right w:val="nil"/>
            </w:tcBorders>
            <w:shd w:val="clear" w:color="auto" w:fill="auto"/>
            <w:noWrap/>
            <w:vAlign w:val="center"/>
            <w:hideMark/>
          </w:tcPr>
          <w:p w14:paraId="136B8209" w14:textId="77777777" w:rsidR="002273A1" w:rsidRPr="002273A1" w:rsidRDefault="002273A1" w:rsidP="002273A1">
            <w:pPr>
              <w:spacing w:after="0" w:line="240" w:lineRule="auto"/>
              <w:jc w:val="right"/>
              <w:rPr>
                <w:rFonts w:cs="Arial"/>
                <w:sz w:val="16"/>
                <w:szCs w:val="16"/>
              </w:rPr>
            </w:pPr>
            <w:r w:rsidRPr="002273A1">
              <w:rPr>
                <w:rFonts w:cs="Arial"/>
                <w:sz w:val="16"/>
                <w:szCs w:val="16"/>
              </w:rPr>
              <w:t>18,29</w:t>
            </w:r>
          </w:p>
        </w:tc>
        <w:tc>
          <w:tcPr>
            <w:tcW w:w="703" w:type="dxa"/>
            <w:tcBorders>
              <w:top w:val="nil"/>
              <w:left w:val="nil"/>
              <w:bottom w:val="nil"/>
              <w:right w:val="nil"/>
            </w:tcBorders>
            <w:shd w:val="clear" w:color="auto" w:fill="auto"/>
            <w:noWrap/>
            <w:vAlign w:val="center"/>
            <w:hideMark/>
          </w:tcPr>
          <w:p w14:paraId="1E683E48" w14:textId="77777777" w:rsidR="002273A1" w:rsidRPr="002273A1" w:rsidRDefault="002273A1" w:rsidP="002273A1">
            <w:pPr>
              <w:spacing w:after="0" w:line="240" w:lineRule="auto"/>
              <w:jc w:val="right"/>
              <w:rPr>
                <w:rFonts w:cs="Arial"/>
                <w:sz w:val="16"/>
                <w:szCs w:val="16"/>
              </w:rPr>
            </w:pPr>
            <w:r w:rsidRPr="002273A1">
              <w:rPr>
                <w:rFonts w:cs="Arial"/>
                <w:sz w:val="16"/>
                <w:szCs w:val="16"/>
              </w:rPr>
              <w:t>15,54</w:t>
            </w:r>
          </w:p>
        </w:tc>
        <w:tc>
          <w:tcPr>
            <w:tcW w:w="703" w:type="dxa"/>
            <w:tcBorders>
              <w:top w:val="nil"/>
              <w:left w:val="nil"/>
              <w:bottom w:val="nil"/>
              <w:right w:val="nil"/>
            </w:tcBorders>
            <w:shd w:val="clear" w:color="auto" w:fill="auto"/>
            <w:noWrap/>
            <w:vAlign w:val="center"/>
            <w:hideMark/>
          </w:tcPr>
          <w:p w14:paraId="202A0DAD" w14:textId="77777777" w:rsidR="002273A1" w:rsidRPr="002273A1" w:rsidRDefault="002273A1" w:rsidP="002273A1">
            <w:pPr>
              <w:spacing w:after="0" w:line="240" w:lineRule="auto"/>
              <w:jc w:val="right"/>
              <w:rPr>
                <w:rFonts w:cs="Arial"/>
                <w:sz w:val="16"/>
                <w:szCs w:val="16"/>
              </w:rPr>
            </w:pPr>
            <w:r w:rsidRPr="002273A1">
              <w:rPr>
                <w:rFonts w:cs="Arial"/>
                <w:sz w:val="16"/>
                <w:szCs w:val="16"/>
              </w:rPr>
              <w:t>20,49</w:t>
            </w:r>
          </w:p>
        </w:tc>
        <w:tc>
          <w:tcPr>
            <w:tcW w:w="703" w:type="dxa"/>
            <w:tcBorders>
              <w:top w:val="nil"/>
              <w:left w:val="nil"/>
              <w:bottom w:val="nil"/>
              <w:right w:val="nil"/>
            </w:tcBorders>
            <w:shd w:val="clear" w:color="auto" w:fill="auto"/>
            <w:noWrap/>
            <w:vAlign w:val="center"/>
            <w:hideMark/>
          </w:tcPr>
          <w:p w14:paraId="085B5E33" w14:textId="77777777" w:rsidR="002273A1" w:rsidRPr="002273A1" w:rsidRDefault="002273A1" w:rsidP="002273A1">
            <w:pPr>
              <w:spacing w:after="0" w:line="240" w:lineRule="auto"/>
              <w:jc w:val="right"/>
              <w:rPr>
                <w:rFonts w:cs="Arial"/>
                <w:sz w:val="16"/>
                <w:szCs w:val="16"/>
              </w:rPr>
            </w:pPr>
            <w:r w:rsidRPr="002273A1">
              <w:rPr>
                <w:rFonts w:cs="Arial"/>
                <w:sz w:val="16"/>
                <w:szCs w:val="16"/>
              </w:rPr>
              <w:t>17,67</w:t>
            </w:r>
          </w:p>
        </w:tc>
        <w:tc>
          <w:tcPr>
            <w:tcW w:w="696" w:type="dxa"/>
            <w:tcBorders>
              <w:top w:val="nil"/>
              <w:left w:val="nil"/>
              <w:bottom w:val="nil"/>
              <w:right w:val="nil"/>
            </w:tcBorders>
            <w:shd w:val="clear" w:color="auto" w:fill="auto"/>
            <w:noWrap/>
            <w:vAlign w:val="center"/>
            <w:hideMark/>
          </w:tcPr>
          <w:p w14:paraId="34396E6B" w14:textId="040E5C47" w:rsidR="002273A1" w:rsidRPr="002273A1" w:rsidRDefault="002273A1" w:rsidP="002273A1">
            <w:pPr>
              <w:spacing w:after="0" w:line="240" w:lineRule="auto"/>
              <w:jc w:val="right"/>
              <w:rPr>
                <w:rFonts w:cs="Arial"/>
                <w:sz w:val="16"/>
                <w:szCs w:val="16"/>
              </w:rPr>
            </w:pPr>
            <w:r w:rsidRPr="002273A1">
              <w:rPr>
                <w:rFonts w:cs="Arial"/>
                <w:sz w:val="16"/>
                <w:szCs w:val="16"/>
              </w:rPr>
              <w:t>22,2</w:t>
            </w:r>
            <w:r w:rsidR="009A4127">
              <w:rPr>
                <w:rFonts w:cs="Arial"/>
                <w:sz w:val="16"/>
                <w:szCs w:val="16"/>
              </w:rPr>
              <w:t>2</w:t>
            </w:r>
          </w:p>
        </w:tc>
        <w:tc>
          <w:tcPr>
            <w:tcW w:w="703" w:type="dxa"/>
            <w:tcBorders>
              <w:top w:val="nil"/>
              <w:left w:val="nil"/>
              <w:bottom w:val="nil"/>
              <w:right w:val="nil"/>
            </w:tcBorders>
            <w:shd w:val="clear" w:color="auto" w:fill="auto"/>
            <w:noWrap/>
            <w:vAlign w:val="center"/>
            <w:hideMark/>
          </w:tcPr>
          <w:p w14:paraId="1A4DD8F0"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23,10</w:t>
            </w:r>
          </w:p>
        </w:tc>
        <w:tc>
          <w:tcPr>
            <w:tcW w:w="703" w:type="dxa"/>
            <w:tcBorders>
              <w:top w:val="nil"/>
              <w:left w:val="nil"/>
              <w:bottom w:val="nil"/>
              <w:right w:val="nil"/>
            </w:tcBorders>
            <w:shd w:val="clear" w:color="auto" w:fill="auto"/>
            <w:noWrap/>
            <w:vAlign w:val="center"/>
            <w:hideMark/>
          </w:tcPr>
          <w:p w14:paraId="37882F67"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24,25</w:t>
            </w:r>
          </w:p>
        </w:tc>
        <w:tc>
          <w:tcPr>
            <w:tcW w:w="703" w:type="dxa"/>
            <w:tcBorders>
              <w:top w:val="nil"/>
              <w:left w:val="nil"/>
              <w:bottom w:val="nil"/>
              <w:right w:val="nil"/>
            </w:tcBorders>
            <w:shd w:val="clear" w:color="000000" w:fill="FFFFFF"/>
            <w:noWrap/>
            <w:vAlign w:val="center"/>
            <w:hideMark/>
          </w:tcPr>
          <w:p w14:paraId="7E8F4F71"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27,00</w:t>
            </w:r>
          </w:p>
        </w:tc>
        <w:tc>
          <w:tcPr>
            <w:tcW w:w="703" w:type="dxa"/>
            <w:tcBorders>
              <w:top w:val="nil"/>
              <w:left w:val="nil"/>
              <w:bottom w:val="nil"/>
              <w:right w:val="nil"/>
            </w:tcBorders>
            <w:shd w:val="clear" w:color="auto" w:fill="auto"/>
            <w:noWrap/>
            <w:vAlign w:val="center"/>
            <w:hideMark/>
          </w:tcPr>
          <w:p w14:paraId="5AE797C3"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25,14</w:t>
            </w:r>
          </w:p>
        </w:tc>
      </w:tr>
      <w:tr w:rsidR="002273A1" w:rsidRPr="002273A1" w14:paraId="750D493E" w14:textId="77777777" w:rsidTr="002273A1">
        <w:trPr>
          <w:trHeight w:val="285"/>
        </w:trPr>
        <w:tc>
          <w:tcPr>
            <w:tcW w:w="1934" w:type="dxa"/>
            <w:tcBorders>
              <w:top w:val="nil"/>
              <w:left w:val="nil"/>
              <w:bottom w:val="nil"/>
              <w:right w:val="nil"/>
            </w:tcBorders>
            <w:shd w:val="clear" w:color="auto" w:fill="auto"/>
            <w:noWrap/>
            <w:vAlign w:val="center"/>
            <w:hideMark/>
          </w:tcPr>
          <w:p w14:paraId="3D7CE616" w14:textId="77777777" w:rsidR="002273A1" w:rsidRPr="002273A1" w:rsidRDefault="002273A1" w:rsidP="002273A1">
            <w:pPr>
              <w:spacing w:after="0" w:line="240" w:lineRule="auto"/>
              <w:ind w:firstLineChars="100" w:firstLine="160"/>
              <w:rPr>
                <w:rFonts w:cs="Arial"/>
                <w:sz w:val="16"/>
                <w:szCs w:val="16"/>
              </w:rPr>
            </w:pPr>
            <w:r w:rsidRPr="002273A1">
              <w:rPr>
                <w:rFonts w:cs="Arial"/>
                <w:sz w:val="16"/>
                <w:szCs w:val="16"/>
              </w:rPr>
              <w:t>Královéhradecký kraj</w:t>
            </w:r>
          </w:p>
        </w:tc>
        <w:tc>
          <w:tcPr>
            <w:tcW w:w="703" w:type="dxa"/>
            <w:tcBorders>
              <w:top w:val="nil"/>
              <w:left w:val="nil"/>
              <w:bottom w:val="nil"/>
              <w:right w:val="nil"/>
            </w:tcBorders>
            <w:shd w:val="clear" w:color="auto" w:fill="auto"/>
            <w:noWrap/>
            <w:vAlign w:val="center"/>
            <w:hideMark/>
          </w:tcPr>
          <w:p w14:paraId="7B93BC5F" w14:textId="77777777" w:rsidR="002273A1" w:rsidRPr="002273A1" w:rsidRDefault="002273A1" w:rsidP="002273A1">
            <w:pPr>
              <w:spacing w:after="0" w:line="240" w:lineRule="auto"/>
              <w:jc w:val="right"/>
              <w:rPr>
                <w:rFonts w:cs="Arial"/>
                <w:sz w:val="16"/>
                <w:szCs w:val="16"/>
              </w:rPr>
            </w:pPr>
            <w:r w:rsidRPr="002273A1">
              <w:rPr>
                <w:rFonts w:cs="Arial"/>
                <w:sz w:val="16"/>
                <w:szCs w:val="16"/>
              </w:rPr>
              <w:t>17,44</w:t>
            </w:r>
          </w:p>
        </w:tc>
        <w:tc>
          <w:tcPr>
            <w:tcW w:w="703" w:type="dxa"/>
            <w:tcBorders>
              <w:top w:val="nil"/>
              <w:left w:val="nil"/>
              <w:bottom w:val="nil"/>
              <w:right w:val="nil"/>
            </w:tcBorders>
            <w:shd w:val="clear" w:color="auto" w:fill="auto"/>
            <w:noWrap/>
            <w:vAlign w:val="center"/>
            <w:hideMark/>
          </w:tcPr>
          <w:p w14:paraId="6DAE8C4F" w14:textId="77777777" w:rsidR="002273A1" w:rsidRPr="002273A1" w:rsidRDefault="002273A1" w:rsidP="002273A1">
            <w:pPr>
              <w:spacing w:after="0" w:line="240" w:lineRule="auto"/>
              <w:jc w:val="right"/>
              <w:rPr>
                <w:rFonts w:cs="Arial"/>
                <w:sz w:val="16"/>
                <w:szCs w:val="16"/>
              </w:rPr>
            </w:pPr>
            <w:r w:rsidRPr="002273A1">
              <w:rPr>
                <w:rFonts w:cs="Arial"/>
                <w:sz w:val="16"/>
                <w:szCs w:val="16"/>
              </w:rPr>
              <w:t>17,07</w:t>
            </w:r>
          </w:p>
        </w:tc>
        <w:tc>
          <w:tcPr>
            <w:tcW w:w="703" w:type="dxa"/>
            <w:tcBorders>
              <w:top w:val="nil"/>
              <w:left w:val="nil"/>
              <w:bottom w:val="nil"/>
              <w:right w:val="nil"/>
            </w:tcBorders>
            <w:shd w:val="clear" w:color="auto" w:fill="auto"/>
            <w:noWrap/>
            <w:vAlign w:val="center"/>
            <w:hideMark/>
          </w:tcPr>
          <w:p w14:paraId="5C49A005" w14:textId="77777777" w:rsidR="002273A1" w:rsidRPr="002273A1" w:rsidRDefault="002273A1" w:rsidP="002273A1">
            <w:pPr>
              <w:spacing w:after="0" w:line="240" w:lineRule="auto"/>
              <w:jc w:val="right"/>
              <w:rPr>
                <w:rFonts w:cs="Arial"/>
                <w:sz w:val="16"/>
                <w:szCs w:val="16"/>
              </w:rPr>
            </w:pPr>
            <w:r w:rsidRPr="002273A1">
              <w:rPr>
                <w:rFonts w:cs="Arial"/>
                <w:sz w:val="16"/>
                <w:szCs w:val="16"/>
              </w:rPr>
              <w:t>17,45</w:t>
            </w:r>
          </w:p>
        </w:tc>
        <w:tc>
          <w:tcPr>
            <w:tcW w:w="703" w:type="dxa"/>
            <w:tcBorders>
              <w:top w:val="nil"/>
              <w:left w:val="nil"/>
              <w:bottom w:val="nil"/>
              <w:right w:val="nil"/>
            </w:tcBorders>
            <w:shd w:val="clear" w:color="auto" w:fill="auto"/>
            <w:noWrap/>
            <w:vAlign w:val="center"/>
            <w:hideMark/>
          </w:tcPr>
          <w:p w14:paraId="0F8CBA42" w14:textId="77777777" w:rsidR="002273A1" w:rsidRPr="002273A1" w:rsidRDefault="002273A1" w:rsidP="002273A1">
            <w:pPr>
              <w:spacing w:after="0" w:line="240" w:lineRule="auto"/>
              <w:jc w:val="right"/>
              <w:rPr>
                <w:rFonts w:cs="Arial"/>
                <w:sz w:val="16"/>
                <w:szCs w:val="16"/>
              </w:rPr>
            </w:pPr>
            <w:r w:rsidRPr="002273A1">
              <w:rPr>
                <w:rFonts w:cs="Arial"/>
                <w:sz w:val="16"/>
                <w:szCs w:val="16"/>
              </w:rPr>
              <w:t>14,65</w:t>
            </w:r>
          </w:p>
        </w:tc>
        <w:tc>
          <w:tcPr>
            <w:tcW w:w="703" w:type="dxa"/>
            <w:tcBorders>
              <w:top w:val="nil"/>
              <w:left w:val="nil"/>
              <w:bottom w:val="nil"/>
              <w:right w:val="nil"/>
            </w:tcBorders>
            <w:shd w:val="clear" w:color="auto" w:fill="auto"/>
            <w:noWrap/>
            <w:vAlign w:val="center"/>
            <w:hideMark/>
          </w:tcPr>
          <w:p w14:paraId="24D232AC" w14:textId="77777777" w:rsidR="002273A1" w:rsidRPr="002273A1" w:rsidRDefault="002273A1" w:rsidP="002273A1">
            <w:pPr>
              <w:spacing w:after="0" w:line="240" w:lineRule="auto"/>
              <w:jc w:val="right"/>
              <w:rPr>
                <w:rFonts w:cs="Arial"/>
                <w:sz w:val="16"/>
                <w:szCs w:val="16"/>
              </w:rPr>
            </w:pPr>
            <w:r w:rsidRPr="002273A1">
              <w:rPr>
                <w:rFonts w:cs="Arial"/>
                <w:sz w:val="16"/>
                <w:szCs w:val="16"/>
              </w:rPr>
              <w:t>18,34</w:t>
            </w:r>
          </w:p>
        </w:tc>
        <w:tc>
          <w:tcPr>
            <w:tcW w:w="703" w:type="dxa"/>
            <w:tcBorders>
              <w:top w:val="nil"/>
              <w:left w:val="nil"/>
              <w:bottom w:val="nil"/>
              <w:right w:val="nil"/>
            </w:tcBorders>
            <w:shd w:val="clear" w:color="auto" w:fill="auto"/>
            <w:noWrap/>
            <w:vAlign w:val="center"/>
            <w:hideMark/>
          </w:tcPr>
          <w:p w14:paraId="2EEEA8E8" w14:textId="77777777" w:rsidR="002273A1" w:rsidRPr="002273A1" w:rsidRDefault="002273A1" w:rsidP="002273A1">
            <w:pPr>
              <w:spacing w:after="0" w:line="240" w:lineRule="auto"/>
              <w:jc w:val="right"/>
              <w:rPr>
                <w:rFonts w:cs="Arial"/>
                <w:sz w:val="16"/>
                <w:szCs w:val="16"/>
              </w:rPr>
            </w:pPr>
            <w:r w:rsidRPr="002273A1">
              <w:rPr>
                <w:rFonts w:cs="Arial"/>
                <w:sz w:val="16"/>
                <w:szCs w:val="16"/>
              </w:rPr>
              <w:t>15,74</w:t>
            </w:r>
          </w:p>
        </w:tc>
        <w:tc>
          <w:tcPr>
            <w:tcW w:w="696" w:type="dxa"/>
            <w:tcBorders>
              <w:top w:val="nil"/>
              <w:left w:val="nil"/>
              <w:bottom w:val="nil"/>
              <w:right w:val="nil"/>
            </w:tcBorders>
            <w:shd w:val="clear" w:color="auto" w:fill="auto"/>
            <w:noWrap/>
            <w:vAlign w:val="center"/>
            <w:hideMark/>
          </w:tcPr>
          <w:p w14:paraId="14D29D82" w14:textId="07DB8C52" w:rsidR="002273A1" w:rsidRPr="002273A1" w:rsidRDefault="009A4127" w:rsidP="002273A1">
            <w:pPr>
              <w:spacing w:after="0" w:line="240" w:lineRule="auto"/>
              <w:jc w:val="right"/>
              <w:rPr>
                <w:rFonts w:cs="Arial"/>
                <w:sz w:val="16"/>
                <w:szCs w:val="16"/>
              </w:rPr>
            </w:pPr>
            <w:r>
              <w:rPr>
                <w:rFonts w:cs="Arial"/>
                <w:sz w:val="16"/>
                <w:szCs w:val="16"/>
              </w:rPr>
              <w:t>20,16</w:t>
            </w:r>
          </w:p>
        </w:tc>
        <w:tc>
          <w:tcPr>
            <w:tcW w:w="703" w:type="dxa"/>
            <w:tcBorders>
              <w:top w:val="nil"/>
              <w:left w:val="nil"/>
              <w:bottom w:val="nil"/>
              <w:right w:val="nil"/>
            </w:tcBorders>
            <w:shd w:val="clear" w:color="auto" w:fill="auto"/>
            <w:noWrap/>
            <w:vAlign w:val="center"/>
            <w:hideMark/>
          </w:tcPr>
          <w:p w14:paraId="6EF133CE"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21,17</w:t>
            </w:r>
          </w:p>
        </w:tc>
        <w:tc>
          <w:tcPr>
            <w:tcW w:w="703" w:type="dxa"/>
            <w:tcBorders>
              <w:top w:val="nil"/>
              <w:left w:val="nil"/>
              <w:bottom w:val="nil"/>
              <w:right w:val="nil"/>
            </w:tcBorders>
            <w:shd w:val="clear" w:color="auto" w:fill="auto"/>
            <w:noWrap/>
            <w:vAlign w:val="center"/>
            <w:hideMark/>
          </w:tcPr>
          <w:p w14:paraId="365D4CCA"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22,47</w:t>
            </w:r>
          </w:p>
        </w:tc>
        <w:tc>
          <w:tcPr>
            <w:tcW w:w="703" w:type="dxa"/>
            <w:tcBorders>
              <w:top w:val="nil"/>
              <w:left w:val="nil"/>
              <w:bottom w:val="nil"/>
              <w:right w:val="nil"/>
            </w:tcBorders>
            <w:shd w:val="clear" w:color="000000" w:fill="FFFFFF"/>
            <w:noWrap/>
            <w:vAlign w:val="center"/>
            <w:hideMark/>
          </w:tcPr>
          <w:p w14:paraId="3457AB0A"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24,99</w:t>
            </w:r>
          </w:p>
        </w:tc>
        <w:tc>
          <w:tcPr>
            <w:tcW w:w="703" w:type="dxa"/>
            <w:tcBorders>
              <w:top w:val="nil"/>
              <w:left w:val="nil"/>
              <w:bottom w:val="nil"/>
              <w:right w:val="nil"/>
            </w:tcBorders>
            <w:shd w:val="clear" w:color="auto" w:fill="auto"/>
            <w:noWrap/>
            <w:vAlign w:val="center"/>
            <w:hideMark/>
          </w:tcPr>
          <w:p w14:paraId="22496751"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23,58</w:t>
            </w:r>
          </w:p>
        </w:tc>
      </w:tr>
      <w:tr w:rsidR="002273A1" w:rsidRPr="002273A1" w14:paraId="3B1DCEF2" w14:textId="77777777" w:rsidTr="002273A1">
        <w:trPr>
          <w:trHeight w:val="285"/>
        </w:trPr>
        <w:tc>
          <w:tcPr>
            <w:tcW w:w="1934" w:type="dxa"/>
            <w:tcBorders>
              <w:top w:val="nil"/>
              <w:left w:val="nil"/>
              <w:bottom w:val="nil"/>
              <w:right w:val="nil"/>
            </w:tcBorders>
            <w:shd w:val="clear" w:color="auto" w:fill="auto"/>
            <w:noWrap/>
            <w:vAlign w:val="center"/>
            <w:hideMark/>
          </w:tcPr>
          <w:p w14:paraId="19BFBFEB" w14:textId="77777777" w:rsidR="002273A1" w:rsidRPr="002273A1" w:rsidRDefault="002273A1" w:rsidP="002273A1">
            <w:pPr>
              <w:spacing w:after="0" w:line="240" w:lineRule="auto"/>
              <w:ind w:firstLineChars="100" w:firstLine="160"/>
              <w:rPr>
                <w:rFonts w:cs="Arial"/>
                <w:sz w:val="16"/>
                <w:szCs w:val="16"/>
              </w:rPr>
            </w:pPr>
            <w:r w:rsidRPr="002273A1">
              <w:rPr>
                <w:rFonts w:cs="Arial"/>
                <w:sz w:val="16"/>
                <w:szCs w:val="16"/>
              </w:rPr>
              <w:t>Pardubický kraj</w:t>
            </w:r>
          </w:p>
        </w:tc>
        <w:tc>
          <w:tcPr>
            <w:tcW w:w="703" w:type="dxa"/>
            <w:tcBorders>
              <w:top w:val="nil"/>
              <w:left w:val="nil"/>
              <w:bottom w:val="nil"/>
              <w:right w:val="nil"/>
            </w:tcBorders>
            <w:shd w:val="clear" w:color="auto" w:fill="auto"/>
            <w:noWrap/>
            <w:vAlign w:val="center"/>
            <w:hideMark/>
          </w:tcPr>
          <w:p w14:paraId="6C325F87" w14:textId="77777777" w:rsidR="002273A1" w:rsidRPr="002273A1" w:rsidRDefault="002273A1" w:rsidP="002273A1">
            <w:pPr>
              <w:spacing w:after="0" w:line="240" w:lineRule="auto"/>
              <w:jc w:val="right"/>
              <w:rPr>
                <w:rFonts w:cs="Arial"/>
                <w:sz w:val="16"/>
                <w:szCs w:val="16"/>
              </w:rPr>
            </w:pPr>
            <w:r w:rsidRPr="002273A1">
              <w:rPr>
                <w:rFonts w:cs="Arial"/>
                <w:sz w:val="16"/>
                <w:szCs w:val="16"/>
              </w:rPr>
              <w:t>17,70</w:t>
            </w:r>
          </w:p>
        </w:tc>
        <w:tc>
          <w:tcPr>
            <w:tcW w:w="703" w:type="dxa"/>
            <w:tcBorders>
              <w:top w:val="nil"/>
              <w:left w:val="nil"/>
              <w:bottom w:val="nil"/>
              <w:right w:val="nil"/>
            </w:tcBorders>
            <w:shd w:val="clear" w:color="auto" w:fill="auto"/>
            <w:noWrap/>
            <w:vAlign w:val="center"/>
            <w:hideMark/>
          </w:tcPr>
          <w:p w14:paraId="6387B0FB" w14:textId="77777777" w:rsidR="002273A1" w:rsidRPr="002273A1" w:rsidRDefault="002273A1" w:rsidP="002273A1">
            <w:pPr>
              <w:spacing w:after="0" w:line="240" w:lineRule="auto"/>
              <w:jc w:val="right"/>
              <w:rPr>
                <w:rFonts w:cs="Arial"/>
                <w:sz w:val="16"/>
                <w:szCs w:val="16"/>
              </w:rPr>
            </w:pPr>
            <w:r w:rsidRPr="002273A1">
              <w:rPr>
                <w:rFonts w:cs="Arial"/>
                <w:sz w:val="16"/>
                <w:szCs w:val="16"/>
              </w:rPr>
              <w:t>16,63</w:t>
            </w:r>
          </w:p>
        </w:tc>
        <w:tc>
          <w:tcPr>
            <w:tcW w:w="703" w:type="dxa"/>
            <w:tcBorders>
              <w:top w:val="nil"/>
              <w:left w:val="nil"/>
              <w:bottom w:val="nil"/>
              <w:right w:val="nil"/>
            </w:tcBorders>
            <w:shd w:val="clear" w:color="auto" w:fill="auto"/>
            <w:noWrap/>
            <w:vAlign w:val="center"/>
            <w:hideMark/>
          </w:tcPr>
          <w:p w14:paraId="679D7F99" w14:textId="77777777" w:rsidR="002273A1" w:rsidRPr="002273A1" w:rsidRDefault="002273A1" w:rsidP="002273A1">
            <w:pPr>
              <w:spacing w:after="0" w:line="240" w:lineRule="auto"/>
              <w:jc w:val="right"/>
              <w:rPr>
                <w:rFonts w:cs="Arial"/>
                <w:sz w:val="16"/>
                <w:szCs w:val="16"/>
              </w:rPr>
            </w:pPr>
            <w:r w:rsidRPr="002273A1">
              <w:rPr>
                <w:rFonts w:cs="Arial"/>
                <w:sz w:val="16"/>
                <w:szCs w:val="16"/>
              </w:rPr>
              <w:t>17,77</w:t>
            </w:r>
          </w:p>
        </w:tc>
        <w:tc>
          <w:tcPr>
            <w:tcW w:w="703" w:type="dxa"/>
            <w:tcBorders>
              <w:top w:val="nil"/>
              <w:left w:val="nil"/>
              <w:bottom w:val="nil"/>
              <w:right w:val="nil"/>
            </w:tcBorders>
            <w:shd w:val="clear" w:color="auto" w:fill="auto"/>
            <w:noWrap/>
            <w:vAlign w:val="center"/>
            <w:hideMark/>
          </w:tcPr>
          <w:p w14:paraId="2034F86F" w14:textId="77777777" w:rsidR="002273A1" w:rsidRPr="002273A1" w:rsidRDefault="002273A1" w:rsidP="002273A1">
            <w:pPr>
              <w:spacing w:after="0" w:line="240" w:lineRule="auto"/>
              <w:jc w:val="right"/>
              <w:rPr>
                <w:rFonts w:cs="Arial"/>
                <w:sz w:val="16"/>
                <w:szCs w:val="16"/>
              </w:rPr>
            </w:pPr>
            <w:r w:rsidRPr="002273A1">
              <w:rPr>
                <w:rFonts w:cs="Arial"/>
                <w:sz w:val="16"/>
                <w:szCs w:val="16"/>
              </w:rPr>
              <w:t>14,28</w:t>
            </w:r>
          </w:p>
        </w:tc>
        <w:tc>
          <w:tcPr>
            <w:tcW w:w="703" w:type="dxa"/>
            <w:tcBorders>
              <w:top w:val="nil"/>
              <w:left w:val="nil"/>
              <w:bottom w:val="nil"/>
              <w:right w:val="nil"/>
            </w:tcBorders>
            <w:shd w:val="clear" w:color="auto" w:fill="auto"/>
            <w:noWrap/>
            <w:vAlign w:val="center"/>
            <w:hideMark/>
          </w:tcPr>
          <w:p w14:paraId="2B2B8AB9" w14:textId="77777777" w:rsidR="002273A1" w:rsidRPr="002273A1" w:rsidRDefault="002273A1" w:rsidP="002273A1">
            <w:pPr>
              <w:spacing w:after="0" w:line="240" w:lineRule="auto"/>
              <w:jc w:val="right"/>
              <w:rPr>
                <w:rFonts w:cs="Arial"/>
                <w:sz w:val="16"/>
                <w:szCs w:val="16"/>
              </w:rPr>
            </w:pPr>
            <w:r w:rsidRPr="002273A1">
              <w:rPr>
                <w:rFonts w:cs="Arial"/>
                <w:sz w:val="16"/>
                <w:szCs w:val="16"/>
              </w:rPr>
              <w:t>17,76</w:t>
            </w:r>
          </w:p>
        </w:tc>
        <w:tc>
          <w:tcPr>
            <w:tcW w:w="703" w:type="dxa"/>
            <w:tcBorders>
              <w:top w:val="nil"/>
              <w:left w:val="nil"/>
              <w:bottom w:val="nil"/>
              <w:right w:val="nil"/>
            </w:tcBorders>
            <w:shd w:val="clear" w:color="auto" w:fill="auto"/>
            <w:noWrap/>
            <w:vAlign w:val="center"/>
            <w:hideMark/>
          </w:tcPr>
          <w:p w14:paraId="4075B13A" w14:textId="77777777" w:rsidR="002273A1" w:rsidRPr="002273A1" w:rsidRDefault="002273A1" w:rsidP="002273A1">
            <w:pPr>
              <w:spacing w:after="0" w:line="240" w:lineRule="auto"/>
              <w:jc w:val="right"/>
              <w:rPr>
                <w:rFonts w:cs="Arial"/>
                <w:sz w:val="16"/>
                <w:szCs w:val="16"/>
              </w:rPr>
            </w:pPr>
            <w:r w:rsidRPr="002273A1">
              <w:rPr>
                <w:rFonts w:cs="Arial"/>
                <w:sz w:val="16"/>
                <w:szCs w:val="16"/>
              </w:rPr>
              <w:t>15,80</w:t>
            </w:r>
          </w:p>
        </w:tc>
        <w:tc>
          <w:tcPr>
            <w:tcW w:w="696" w:type="dxa"/>
            <w:tcBorders>
              <w:top w:val="nil"/>
              <w:left w:val="nil"/>
              <w:bottom w:val="nil"/>
              <w:right w:val="nil"/>
            </w:tcBorders>
            <w:shd w:val="clear" w:color="auto" w:fill="auto"/>
            <w:noWrap/>
            <w:vAlign w:val="center"/>
            <w:hideMark/>
          </w:tcPr>
          <w:p w14:paraId="7E1CC5A0" w14:textId="452D5934" w:rsidR="002273A1" w:rsidRPr="002273A1" w:rsidRDefault="002273A1" w:rsidP="002273A1">
            <w:pPr>
              <w:spacing w:after="0" w:line="240" w:lineRule="auto"/>
              <w:jc w:val="right"/>
              <w:rPr>
                <w:rFonts w:cs="Arial"/>
                <w:sz w:val="16"/>
                <w:szCs w:val="16"/>
              </w:rPr>
            </w:pPr>
            <w:r w:rsidRPr="002273A1">
              <w:rPr>
                <w:rFonts w:cs="Arial"/>
                <w:sz w:val="16"/>
                <w:szCs w:val="16"/>
              </w:rPr>
              <w:t>20,6</w:t>
            </w:r>
            <w:r w:rsidR="009A4127">
              <w:rPr>
                <w:rFonts w:cs="Arial"/>
                <w:sz w:val="16"/>
                <w:szCs w:val="16"/>
              </w:rPr>
              <w:t>1</w:t>
            </w:r>
          </w:p>
        </w:tc>
        <w:tc>
          <w:tcPr>
            <w:tcW w:w="703" w:type="dxa"/>
            <w:tcBorders>
              <w:top w:val="nil"/>
              <w:left w:val="nil"/>
              <w:bottom w:val="nil"/>
              <w:right w:val="nil"/>
            </w:tcBorders>
            <w:shd w:val="clear" w:color="auto" w:fill="auto"/>
            <w:noWrap/>
            <w:vAlign w:val="center"/>
            <w:hideMark/>
          </w:tcPr>
          <w:p w14:paraId="30D676E0"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20,27</w:t>
            </w:r>
          </w:p>
        </w:tc>
        <w:tc>
          <w:tcPr>
            <w:tcW w:w="703" w:type="dxa"/>
            <w:tcBorders>
              <w:top w:val="nil"/>
              <w:left w:val="nil"/>
              <w:bottom w:val="nil"/>
              <w:right w:val="nil"/>
            </w:tcBorders>
            <w:shd w:val="clear" w:color="auto" w:fill="auto"/>
            <w:noWrap/>
            <w:vAlign w:val="center"/>
            <w:hideMark/>
          </w:tcPr>
          <w:p w14:paraId="2E9B2AA5"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21,73</w:t>
            </w:r>
          </w:p>
        </w:tc>
        <w:tc>
          <w:tcPr>
            <w:tcW w:w="703" w:type="dxa"/>
            <w:tcBorders>
              <w:top w:val="nil"/>
              <w:left w:val="nil"/>
              <w:bottom w:val="nil"/>
              <w:right w:val="nil"/>
            </w:tcBorders>
            <w:shd w:val="clear" w:color="000000" w:fill="FFFFFF"/>
            <w:noWrap/>
            <w:vAlign w:val="center"/>
            <w:hideMark/>
          </w:tcPr>
          <w:p w14:paraId="11BFC96C"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23,99</w:t>
            </w:r>
          </w:p>
        </w:tc>
        <w:tc>
          <w:tcPr>
            <w:tcW w:w="703" w:type="dxa"/>
            <w:tcBorders>
              <w:top w:val="nil"/>
              <w:left w:val="nil"/>
              <w:bottom w:val="nil"/>
              <w:right w:val="nil"/>
            </w:tcBorders>
            <w:shd w:val="clear" w:color="auto" w:fill="auto"/>
            <w:noWrap/>
            <w:vAlign w:val="center"/>
            <w:hideMark/>
          </w:tcPr>
          <w:p w14:paraId="059EE0AC"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22,08</w:t>
            </w:r>
          </w:p>
        </w:tc>
      </w:tr>
      <w:tr w:rsidR="002273A1" w:rsidRPr="002273A1" w14:paraId="70872B1F" w14:textId="77777777" w:rsidTr="002273A1">
        <w:trPr>
          <w:trHeight w:val="285"/>
        </w:trPr>
        <w:tc>
          <w:tcPr>
            <w:tcW w:w="1934" w:type="dxa"/>
            <w:tcBorders>
              <w:top w:val="nil"/>
              <w:left w:val="nil"/>
              <w:bottom w:val="nil"/>
              <w:right w:val="nil"/>
            </w:tcBorders>
            <w:shd w:val="clear" w:color="auto" w:fill="auto"/>
            <w:noWrap/>
            <w:vAlign w:val="center"/>
            <w:hideMark/>
          </w:tcPr>
          <w:p w14:paraId="0198F70E" w14:textId="77777777" w:rsidR="002273A1" w:rsidRPr="002273A1" w:rsidRDefault="002273A1" w:rsidP="002273A1">
            <w:pPr>
              <w:spacing w:after="0" w:line="240" w:lineRule="auto"/>
              <w:ind w:firstLineChars="100" w:firstLine="160"/>
              <w:rPr>
                <w:rFonts w:cs="Arial"/>
                <w:sz w:val="16"/>
                <w:szCs w:val="16"/>
              </w:rPr>
            </w:pPr>
            <w:r w:rsidRPr="002273A1">
              <w:rPr>
                <w:rFonts w:cs="Arial"/>
                <w:sz w:val="16"/>
                <w:szCs w:val="16"/>
              </w:rPr>
              <w:t>Vysočina</w:t>
            </w:r>
          </w:p>
        </w:tc>
        <w:tc>
          <w:tcPr>
            <w:tcW w:w="703" w:type="dxa"/>
            <w:tcBorders>
              <w:top w:val="nil"/>
              <w:left w:val="nil"/>
              <w:bottom w:val="nil"/>
              <w:right w:val="nil"/>
            </w:tcBorders>
            <w:shd w:val="clear" w:color="auto" w:fill="auto"/>
            <w:noWrap/>
            <w:vAlign w:val="center"/>
            <w:hideMark/>
          </w:tcPr>
          <w:p w14:paraId="644A7F18" w14:textId="77777777" w:rsidR="002273A1" w:rsidRPr="002273A1" w:rsidRDefault="002273A1" w:rsidP="002273A1">
            <w:pPr>
              <w:spacing w:after="0" w:line="240" w:lineRule="auto"/>
              <w:jc w:val="right"/>
              <w:rPr>
                <w:rFonts w:cs="Arial"/>
                <w:sz w:val="16"/>
                <w:szCs w:val="16"/>
              </w:rPr>
            </w:pPr>
            <w:r w:rsidRPr="002273A1">
              <w:rPr>
                <w:rFonts w:cs="Arial"/>
                <w:sz w:val="16"/>
                <w:szCs w:val="16"/>
              </w:rPr>
              <w:t>17,87</w:t>
            </w:r>
          </w:p>
        </w:tc>
        <w:tc>
          <w:tcPr>
            <w:tcW w:w="703" w:type="dxa"/>
            <w:tcBorders>
              <w:top w:val="nil"/>
              <w:left w:val="nil"/>
              <w:bottom w:val="nil"/>
              <w:right w:val="nil"/>
            </w:tcBorders>
            <w:shd w:val="clear" w:color="auto" w:fill="auto"/>
            <w:noWrap/>
            <w:vAlign w:val="center"/>
            <w:hideMark/>
          </w:tcPr>
          <w:p w14:paraId="18FA9F9A" w14:textId="77777777" w:rsidR="002273A1" w:rsidRPr="002273A1" w:rsidRDefault="002273A1" w:rsidP="002273A1">
            <w:pPr>
              <w:spacing w:after="0" w:line="240" w:lineRule="auto"/>
              <w:jc w:val="right"/>
              <w:rPr>
                <w:rFonts w:cs="Arial"/>
                <w:sz w:val="16"/>
                <w:szCs w:val="16"/>
              </w:rPr>
            </w:pPr>
            <w:r w:rsidRPr="002273A1">
              <w:rPr>
                <w:rFonts w:cs="Arial"/>
                <w:sz w:val="16"/>
                <w:szCs w:val="16"/>
              </w:rPr>
              <w:t>17,38</w:t>
            </w:r>
          </w:p>
        </w:tc>
        <w:tc>
          <w:tcPr>
            <w:tcW w:w="703" w:type="dxa"/>
            <w:tcBorders>
              <w:top w:val="nil"/>
              <w:left w:val="nil"/>
              <w:bottom w:val="nil"/>
              <w:right w:val="nil"/>
            </w:tcBorders>
            <w:shd w:val="clear" w:color="auto" w:fill="auto"/>
            <w:noWrap/>
            <w:vAlign w:val="center"/>
            <w:hideMark/>
          </w:tcPr>
          <w:p w14:paraId="61C99AC1" w14:textId="77777777" w:rsidR="002273A1" w:rsidRPr="002273A1" w:rsidRDefault="002273A1" w:rsidP="002273A1">
            <w:pPr>
              <w:spacing w:after="0" w:line="240" w:lineRule="auto"/>
              <w:jc w:val="right"/>
              <w:rPr>
                <w:rFonts w:cs="Arial"/>
                <w:sz w:val="16"/>
                <w:szCs w:val="16"/>
              </w:rPr>
            </w:pPr>
            <w:r w:rsidRPr="002273A1">
              <w:rPr>
                <w:rFonts w:cs="Arial"/>
                <w:sz w:val="16"/>
                <w:szCs w:val="16"/>
              </w:rPr>
              <w:t>17,52</w:t>
            </w:r>
          </w:p>
        </w:tc>
        <w:tc>
          <w:tcPr>
            <w:tcW w:w="703" w:type="dxa"/>
            <w:tcBorders>
              <w:top w:val="nil"/>
              <w:left w:val="nil"/>
              <w:bottom w:val="nil"/>
              <w:right w:val="nil"/>
            </w:tcBorders>
            <w:shd w:val="clear" w:color="auto" w:fill="auto"/>
            <w:noWrap/>
            <w:vAlign w:val="center"/>
            <w:hideMark/>
          </w:tcPr>
          <w:p w14:paraId="0E42C6B7" w14:textId="77777777" w:rsidR="002273A1" w:rsidRPr="002273A1" w:rsidRDefault="002273A1" w:rsidP="002273A1">
            <w:pPr>
              <w:spacing w:after="0" w:line="240" w:lineRule="auto"/>
              <w:jc w:val="right"/>
              <w:rPr>
                <w:rFonts w:cs="Arial"/>
                <w:sz w:val="16"/>
                <w:szCs w:val="16"/>
              </w:rPr>
            </w:pPr>
            <w:r w:rsidRPr="002273A1">
              <w:rPr>
                <w:rFonts w:cs="Arial"/>
                <w:sz w:val="16"/>
                <w:szCs w:val="16"/>
              </w:rPr>
              <w:t>15,13</w:t>
            </w:r>
          </w:p>
        </w:tc>
        <w:tc>
          <w:tcPr>
            <w:tcW w:w="703" w:type="dxa"/>
            <w:tcBorders>
              <w:top w:val="nil"/>
              <w:left w:val="nil"/>
              <w:bottom w:val="nil"/>
              <w:right w:val="nil"/>
            </w:tcBorders>
            <w:shd w:val="clear" w:color="auto" w:fill="auto"/>
            <w:noWrap/>
            <w:vAlign w:val="center"/>
            <w:hideMark/>
          </w:tcPr>
          <w:p w14:paraId="32CE23D6" w14:textId="77777777" w:rsidR="002273A1" w:rsidRPr="002273A1" w:rsidRDefault="002273A1" w:rsidP="002273A1">
            <w:pPr>
              <w:spacing w:after="0" w:line="240" w:lineRule="auto"/>
              <w:jc w:val="right"/>
              <w:rPr>
                <w:rFonts w:cs="Arial"/>
                <w:sz w:val="16"/>
                <w:szCs w:val="16"/>
              </w:rPr>
            </w:pPr>
            <w:r w:rsidRPr="002273A1">
              <w:rPr>
                <w:rFonts w:cs="Arial"/>
                <w:sz w:val="16"/>
                <w:szCs w:val="16"/>
              </w:rPr>
              <w:t>18,70</w:t>
            </w:r>
          </w:p>
        </w:tc>
        <w:tc>
          <w:tcPr>
            <w:tcW w:w="703" w:type="dxa"/>
            <w:tcBorders>
              <w:top w:val="nil"/>
              <w:left w:val="nil"/>
              <w:bottom w:val="nil"/>
              <w:right w:val="nil"/>
            </w:tcBorders>
            <w:shd w:val="clear" w:color="auto" w:fill="auto"/>
            <w:noWrap/>
            <w:vAlign w:val="center"/>
            <w:hideMark/>
          </w:tcPr>
          <w:p w14:paraId="29419BEA" w14:textId="77777777" w:rsidR="002273A1" w:rsidRPr="002273A1" w:rsidRDefault="002273A1" w:rsidP="002273A1">
            <w:pPr>
              <w:spacing w:after="0" w:line="240" w:lineRule="auto"/>
              <w:jc w:val="right"/>
              <w:rPr>
                <w:rFonts w:cs="Arial"/>
                <w:sz w:val="16"/>
                <w:szCs w:val="16"/>
              </w:rPr>
            </w:pPr>
            <w:r w:rsidRPr="002273A1">
              <w:rPr>
                <w:rFonts w:cs="Arial"/>
                <w:sz w:val="16"/>
                <w:szCs w:val="16"/>
              </w:rPr>
              <w:t>16,45</w:t>
            </w:r>
          </w:p>
        </w:tc>
        <w:tc>
          <w:tcPr>
            <w:tcW w:w="696" w:type="dxa"/>
            <w:tcBorders>
              <w:top w:val="nil"/>
              <w:left w:val="nil"/>
              <w:bottom w:val="nil"/>
              <w:right w:val="nil"/>
            </w:tcBorders>
            <w:shd w:val="clear" w:color="auto" w:fill="auto"/>
            <w:noWrap/>
            <w:vAlign w:val="center"/>
            <w:hideMark/>
          </w:tcPr>
          <w:p w14:paraId="55072B4F" w14:textId="1F9E40B1" w:rsidR="002273A1" w:rsidRPr="002273A1" w:rsidRDefault="009A4127" w:rsidP="002273A1">
            <w:pPr>
              <w:spacing w:after="0" w:line="240" w:lineRule="auto"/>
              <w:jc w:val="right"/>
              <w:rPr>
                <w:rFonts w:cs="Arial"/>
                <w:sz w:val="16"/>
                <w:szCs w:val="16"/>
              </w:rPr>
            </w:pPr>
            <w:r>
              <w:rPr>
                <w:rFonts w:cs="Arial"/>
                <w:sz w:val="16"/>
                <w:szCs w:val="16"/>
              </w:rPr>
              <w:t>21,85</w:t>
            </w:r>
          </w:p>
        </w:tc>
        <w:tc>
          <w:tcPr>
            <w:tcW w:w="703" w:type="dxa"/>
            <w:tcBorders>
              <w:top w:val="nil"/>
              <w:left w:val="nil"/>
              <w:bottom w:val="nil"/>
              <w:right w:val="nil"/>
            </w:tcBorders>
            <w:shd w:val="clear" w:color="auto" w:fill="auto"/>
            <w:noWrap/>
            <w:vAlign w:val="center"/>
            <w:hideMark/>
          </w:tcPr>
          <w:p w14:paraId="0F156499"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21,00</w:t>
            </w:r>
          </w:p>
        </w:tc>
        <w:tc>
          <w:tcPr>
            <w:tcW w:w="703" w:type="dxa"/>
            <w:tcBorders>
              <w:top w:val="nil"/>
              <w:left w:val="nil"/>
              <w:bottom w:val="nil"/>
              <w:right w:val="nil"/>
            </w:tcBorders>
            <w:shd w:val="clear" w:color="auto" w:fill="auto"/>
            <w:noWrap/>
            <w:vAlign w:val="center"/>
            <w:hideMark/>
          </w:tcPr>
          <w:p w14:paraId="42C0EE77"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22,30</w:t>
            </w:r>
          </w:p>
        </w:tc>
        <w:tc>
          <w:tcPr>
            <w:tcW w:w="703" w:type="dxa"/>
            <w:tcBorders>
              <w:top w:val="nil"/>
              <w:left w:val="nil"/>
              <w:bottom w:val="nil"/>
              <w:right w:val="nil"/>
            </w:tcBorders>
            <w:shd w:val="clear" w:color="000000" w:fill="FFFFFF"/>
            <w:noWrap/>
            <w:vAlign w:val="center"/>
            <w:hideMark/>
          </w:tcPr>
          <w:p w14:paraId="7E891D80"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24,31</w:t>
            </w:r>
          </w:p>
        </w:tc>
        <w:tc>
          <w:tcPr>
            <w:tcW w:w="703" w:type="dxa"/>
            <w:tcBorders>
              <w:top w:val="nil"/>
              <w:left w:val="nil"/>
              <w:bottom w:val="nil"/>
              <w:right w:val="nil"/>
            </w:tcBorders>
            <w:shd w:val="clear" w:color="auto" w:fill="auto"/>
            <w:noWrap/>
            <w:vAlign w:val="center"/>
            <w:hideMark/>
          </w:tcPr>
          <w:p w14:paraId="6D3DA245"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22,50</w:t>
            </w:r>
          </w:p>
        </w:tc>
      </w:tr>
      <w:tr w:rsidR="002273A1" w:rsidRPr="002273A1" w14:paraId="7D6A2C23" w14:textId="77777777" w:rsidTr="002273A1">
        <w:trPr>
          <w:trHeight w:val="285"/>
        </w:trPr>
        <w:tc>
          <w:tcPr>
            <w:tcW w:w="1934" w:type="dxa"/>
            <w:tcBorders>
              <w:top w:val="nil"/>
              <w:left w:val="nil"/>
              <w:bottom w:val="nil"/>
              <w:right w:val="nil"/>
            </w:tcBorders>
            <w:shd w:val="clear" w:color="auto" w:fill="auto"/>
            <w:noWrap/>
            <w:vAlign w:val="center"/>
            <w:hideMark/>
          </w:tcPr>
          <w:p w14:paraId="0C8E406C" w14:textId="77777777" w:rsidR="002273A1" w:rsidRPr="002273A1" w:rsidRDefault="002273A1" w:rsidP="002273A1">
            <w:pPr>
              <w:spacing w:after="0" w:line="240" w:lineRule="auto"/>
              <w:ind w:firstLineChars="100" w:firstLine="160"/>
              <w:rPr>
                <w:rFonts w:cs="Arial"/>
                <w:sz w:val="16"/>
                <w:szCs w:val="16"/>
              </w:rPr>
            </w:pPr>
            <w:r w:rsidRPr="002273A1">
              <w:rPr>
                <w:rFonts w:cs="Arial"/>
                <w:sz w:val="16"/>
                <w:szCs w:val="16"/>
              </w:rPr>
              <w:t>Jihomoravský kraj</w:t>
            </w:r>
          </w:p>
        </w:tc>
        <w:tc>
          <w:tcPr>
            <w:tcW w:w="703" w:type="dxa"/>
            <w:tcBorders>
              <w:top w:val="nil"/>
              <w:left w:val="nil"/>
              <w:bottom w:val="nil"/>
              <w:right w:val="nil"/>
            </w:tcBorders>
            <w:shd w:val="clear" w:color="auto" w:fill="auto"/>
            <w:noWrap/>
            <w:vAlign w:val="center"/>
            <w:hideMark/>
          </w:tcPr>
          <w:p w14:paraId="484A21F6" w14:textId="77777777" w:rsidR="002273A1" w:rsidRPr="002273A1" w:rsidRDefault="002273A1" w:rsidP="002273A1">
            <w:pPr>
              <w:spacing w:after="0" w:line="240" w:lineRule="auto"/>
              <w:jc w:val="right"/>
              <w:rPr>
                <w:rFonts w:cs="Arial"/>
                <w:sz w:val="16"/>
                <w:szCs w:val="16"/>
              </w:rPr>
            </w:pPr>
            <w:r w:rsidRPr="002273A1">
              <w:rPr>
                <w:rFonts w:cs="Arial"/>
                <w:sz w:val="16"/>
                <w:szCs w:val="16"/>
              </w:rPr>
              <w:t>17,62</w:t>
            </w:r>
          </w:p>
        </w:tc>
        <w:tc>
          <w:tcPr>
            <w:tcW w:w="703" w:type="dxa"/>
            <w:tcBorders>
              <w:top w:val="nil"/>
              <w:left w:val="nil"/>
              <w:bottom w:val="nil"/>
              <w:right w:val="nil"/>
            </w:tcBorders>
            <w:shd w:val="clear" w:color="auto" w:fill="auto"/>
            <w:noWrap/>
            <w:vAlign w:val="center"/>
            <w:hideMark/>
          </w:tcPr>
          <w:p w14:paraId="5F05B315" w14:textId="77777777" w:rsidR="002273A1" w:rsidRPr="002273A1" w:rsidRDefault="002273A1" w:rsidP="002273A1">
            <w:pPr>
              <w:spacing w:after="0" w:line="240" w:lineRule="auto"/>
              <w:jc w:val="right"/>
              <w:rPr>
                <w:rFonts w:cs="Arial"/>
                <w:sz w:val="16"/>
                <w:szCs w:val="16"/>
              </w:rPr>
            </w:pPr>
            <w:r w:rsidRPr="002273A1">
              <w:rPr>
                <w:rFonts w:cs="Arial"/>
                <w:sz w:val="16"/>
                <w:szCs w:val="16"/>
              </w:rPr>
              <w:t>16,44</w:t>
            </w:r>
          </w:p>
        </w:tc>
        <w:tc>
          <w:tcPr>
            <w:tcW w:w="703" w:type="dxa"/>
            <w:tcBorders>
              <w:top w:val="nil"/>
              <w:left w:val="nil"/>
              <w:bottom w:val="nil"/>
              <w:right w:val="nil"/>
            </w:tcBorders>
            <w:shd w:val="clear" w:color="auto" w:fill="auto"/>
            <w:noWrap/>
            <w:vAlign w:val="center"/>
            <w:hideMark/>
          </w:tcPr>
          <w:p w14:paraId="78B408DD" w14:textId="77777777" w:rsidR="002273A1" w:rsidRPr="002273A1" w:rsidRDefault="002273A1" w:rsidP="002273A1">
            <w:pPr>
              <w:spacing w:after="0" w:line="240" w:lineRule="auto"/>
              <w:jc w:val="right"/>
              <w:rPr>
                <w:rFonts w:cs="Arial"/>
                <w:sz w:val="16"/>
                <w:szCs w:val="16"/>
              </w:rPr>
            </w:pPr>
            <w:r w:rsidRPr="002273A1">
              <w:rPr>
                <w:rFonts w:cs="Arial"/>
                <w:sz w:val="16"/>
                <w:szCs w:val="16"/>
              </w:rPr>
              <w:t>16,28</w:t>
            </w:r>
          </w:p>
        </w:tc>
        <w:tc>
          <w:tcPr>
            <w:tcW w:w="703" w:type="dxa"/>
            <w:tcBorders>
              <w:top w:val="nil"/>
              <w:left w:val="nil"/>
              <w:bottom w:val="nil"/>
              <w:right w:val="nil"/>
            </w:tcBorders>
            <w:shd w:val="clear" w:color="auto" w:fill="auto"/>
            <w:noWrap/>
            <w:vAlign w:val="center"/>
            <w:hideMark/>
          </w:tcPr>
          <w:p w14:paraId="2DC4F721" w14:textId="77777777" w:rsidR="002273A1" w:rsidRPr="002273A1" w:rsidRDefault="002273A1" w:rsidP="002273A1">
            <w:pPr>
              <w:spacing w:after="0" w:line="240" w:lineRule="auto"/>
              <w:jc w:val="right"/>
              <w:rPr>
                <w:rFonts w:cs="Arial"/>
                <w:sz w:val="16"/>
                <w:szCs w:val="16"/>
              </w:rPr>
            </w:pPr>
            <w:r w:rsidRPr="002273A1">
              <w:rPr>
                <w:rFonts w:cs="Arial"/>
                <w:sz w:val="16"/>
                <w:szCs w:val="16"/>
              </w:rPr>
              <w:t>13,54</w:t>
            </w:r>
          </w:p>
        </w:tc>
        <w:tc>
          <w:tcPr>
            <w:tcW w:w="703" w:type="dxa"/>
            <w:tcBorders>
              <w:top w:val="nil"/>
              <w:left w:val="nil"/>
              <w:bottom w:val="nil"/>
              <w:right w:val="nil"/>
            </w:tcBorders>
            <w:shd w:val="clear" w:color="auto" w:fill="auto"/>
            <w:noWrap/>
            <w:vAlign w:val="center"/>
            <w:hideMark/>
          </w:tcPr>
          <w:p w14:paraId="784975BE" w14:textId="77777777" w:rsidR="002273A1" w:rsidRPr="002273A1" w:rsidRDefault="002273A1" w:rsidP="002273A1">
            <w:pPr>
              <w:spacing w:after="0" w:line="240" w:lineRule="auto"/>
              <w:jc w:val="right"/>
              <w:rPr>
                <w:rFonts w:cs="Arial"/>
                <w:sz w:val="16"/>
                <w:szCs w:val="16"/>
              </w:rPr>
            </w:pPr>
            <w:r w:rsidRPr="002273A1">
              <w:rPr>
                <w:rFonts w:cs="Arial"/>
                <w:sz w:val="16"/>
                <w:szCs w:val="16"/>
              </w:rPr>
              <w:t>16,97</w:t>
            </w:r>
          </w:p>
        </w:tc>
        <w:tc>
          <w:tcPr>
            <w:tcW w:w="703" w:type="dxa"/>
            <w:tcBorders>
              <w:top w:val="nil"/>
              <w:left w:val="nil"/>
              <w:bottom w:val="nil"/>
              <w:right w:val="nil"/>
            </w:tcBorders>
            <w:shd w:val="clear" w:color="auto" w:fill="auto"/>
            <w:noWrap/>
            <w:vAlign w:val="center"/>
            <w:hideMark/>
          </w:tcPr>
          <w:p w14:paraId="3536E22D" w14:textId="77777777" w:rsidR="002273A1" w:rsidRPr="002273A1" w:rsidRDefault="002273A1" w:rsidP="002273A1">
            <w:pPr>
              <w:spacing w:after="0" w:line="240" w:lineRule="auto"/>
              <w:jc w:val="right"/>
              <w:rPr>
                <w:rFonts w:cs="Arial"/>
                <w:sz w:val="16"/>
                <w:szCs w:val="16"/>
              </w:rPr>
            </w:pPr>
            <w:r w:rsidRPr="002273A1">
              <w:rPr>
                <w:rFonts w:cs="Arial"/>
                <w:sz w:val="16"/>
                <w:szCs w:val="16"/>
              </w:rPr>
              <w:t>14,72</w:t>
            </w:r>
          </w:p>
        </w:tc>
        <w:tc>
          <w:tcPr>
            <w:tcW w:w="696" w:type="dxa"/>
            <w:tcBorders>
              <w:top w:val="nil"/>
              <w:left w:val="nil"/>
              <w:bottom w:val="nil"/>
              <w:right w:val="nil"/>
            </w:tcBorders>
            <w:shd w:val="clear" w:color="auto" w:fill="auto"/>
            <w:noWrap/>
            <w:vAlign w:val="center"/>
            <w:hideMark/>
          </w:tcPr>
          <w:p w14:paraId="158F9E69" w14:textId="67A0B9F7" w:rsidR="002273A1" w:rsidRPr="002273A1" w:rsidRDefault="009A4127" w:rsidP="002273A1">
            <w:pPr>
              <w:spacing w:after="0" w:line="240" w:lineRule="auto"/>
              <w:jc w:val="right"/>
              <w:rPr>
                <w:rFonts w:cs="Arial"/>
                <w:sz w:val="16"/>
                <w:szCs w:val="16"/>
              </w:rPr>
            </w:pPr>
            <w:r>
              <w:rPr>
                <w:rFonts w:cs="Arial"/>
                <w:sz w:val="16"/>
                <w:szCs w:val="16"/>
              </w:rPr>
              <w:t>19,06</w:t>
            </w:r>
          </w:p>
        </w:tc>
        <w:tc>
          <w:tcPr>
            <w:tcW w:w="703" w:type="dxa"/>
            <w:tcBorders>
              <w:top w:val="nil"/>
              <w:left w:val="nil"/>
              <w:bottom w:val="nil"/>
              <w:right w:val="nil"/>
            </w:tcBorders>
            <w:shd w:val="clear" w:color="auto" w:fill="auto"/>
            <w:noWrap/>
            <w:vAlign w:val="center"/>
            <w:hideMark/>
          </w:tcPr>
          <w:p w14:paraId="41BCCF40"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18,49</w:t>
            </w:r>
          </w:p>
        </w:tc>
        <w:tc>
          <w:tcPr>
            <w:tcW w:w="703" w:type="dxa"/>
            <w:tcBorders>
              <w:top w:val="nil"/>
              <w:left w:val="nil"/>
              <w:bottom w:val="nil"/>
              <w:right w:val="nil"/>
            </w:tcBorders>
            <w:shd w:val="clear" w:color="auto" w:fill="auto"/>
            <w:noWrap/>
            <w:vAlign w:val="center"/>
            <w:hideMark/>
          </w:tcPr>
          <w:p w14:paraId="0367B16E"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20,20</w:t>
            </w:r>
          </w:p>
        </w:tc>
        <w:tc>
          <w:tcPr>
            <w:tcW w:w="703" w:type="dxa"/>
            <w:tcBorders>
              <w:top w:val="nil"/>
              <w:left w:val="nil"/>
              <w:bottom w:val="nil"/>
              <w:right w:val="nil"/>
            </w:tcBorders>
            <w:shd w:val="clear" w:color="000000" w:fill="FFFFFF"/>
            <w:noWrap/>
            <w:vAlign w:val="center"/>
            <w:hideMark/>
          </w:tcPr>
          <w:p w14:paraId="3C0E8102"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21,54</w:t>
            </w:r>
          </w:p>
        </w:tc>
        <w:tc>
          <w:tcPr>
            <w:tcW w:w="703" w:type="dxa"/>
            <w:tcBorders>
              <w:top w:val="nil"/>
              <w:left w:val="nil"/>
              <w:bottom w:val="nil"/>
              <w:right w:val="nil"/>
            </w:tcBorders>
            <w:shd w:val="clear" w:color="auto" w:fill="auto"/>
            <w:noWrap/>
            <w:vAlign w:val="center"/>
            <w:hideMark/>
          </w:tcPr>
          <w:p w14:paraId="1377FE79"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19,72</w:t>
            </w:r>
          </w:p>
        </w:tc>
      </w:tr>
      <w:tr w:rsidR="002273A1" w:rsidRPr="002273A1" w14:paraId="687959B8" w14:textId="77777777" w:rsidTr="002273A1">
        <w:trPr>
          <w:trHeight w:val="285"/>
        </w:trPr>
        <w:tc>
          <w:tcPr>
            <w:tcW w:w="1934" w:type="dxa"/>
            <w:tcBorders>
              <w:top w:val="nil"/>
              <w:left w:val="nil"/>
              <w:bottom w:val="nil"/>
              <w:right w:val="nil"/>
            </w:tcBorders>
            <w:shd w:val="clear" w:color="auto" w:fill="auto"/>
            <w:noWrap/>
            <w:vAlign w:val="center"/>
            <w:hideMark/>
          </w:tcPr>
          <w:p w14:paraId="6D2C4627" w14:textId="77777777" w:rsidR="002273A1" w:rsidRPr="002273A1" w:rsidRDefault="002273A1" w:rsidP="002273A1">
            <w:pPr>
              <w:spacing w:after="0" w:line="240" w:lineRule="auto"/>
              <w:ind w:firstLineChars="100" w:firstLine="160"/>
              <w:rPr>
                <w:rFonts w:cs="Arial"/>
                <w:sz w:val="16"/>
                <w:szCs w:val="16"/>
              </w:rPr>
            </w:pPr>
            <w:r w:rsidRPr="002273A1">
              <w:rPr>
                <w:rFonts w:cs="Arial"/>
                <w:sz w:val="16"/>
                <w:szCs w:val="16"/>
              </w:rPr>
              <w:t>Olomoucký kraj</w:t>
            </w:r>
          </w:p>
        </w:tc>
        <w:tc>
          <w:tcPr>
            <w:tcW w:w="703" w:type="dxa"/>
            <w:tcBorders>
              <w:top w:val="nil"/>
              <w:left w:val="nil"/>
              <w:bottom w:val="nil"/>
              <w:right w:val="nil"/>
            </w:tcBorders>
            <w:shd w:val="clear" w:color="auto" w:fill="auto"/>
            <w:noWrap/>
            <w:vAlign w:val="center"/>
            <w:hideMark/>
          </w:tcPr>
          <w:p w14:paraId="568C47B8" w14:textId="77777777" w:rsidR="002273A1" w:rsidRPr="002273A1" w:rsidRDefault="002273A1" w:rsidP="002273A1">
            <w:pPr>
              <w:spacing w:after="0" w:line="240" w:lineRule="auto"/>
              <w:jc w:val="right"/>
              <w:rPr>
                <w:rFonts w:cs="Arial"/>
                <w:sz w:val="16"/>
                <w:szCs w:val="16"/>
              </w:rPr>
            </w:pPr>
            <w:r w:rsidRPr="002273A1">
              <w:rPr>
                <w:rFonts w:cs="Arial"/>
                <w:sz w:val="16"/>
                <w:szCs w:val="16"/>
              </w:rPr>
              <w:t>16,58</w:t>
            </w:r>
          </w:p>
        </w:tc>
        <w:tc>
          <w:tcPr>
            <w:tcW w:w="703" w:type="dxa"/>
            <w:tcBorders>
              <w:top w:val="nil"/>
              <w:left w:val="nil"/>
              <w:bottom w:val="nil"/>
              <w:right w:val="nil"/>
            </w:tcBorders>
            <w:shd w:val="clear" w:color="auto" w:fill="auto"/>
            <w:noWrap/>
            <w:vAlign w:val="center"/>
            <w:hideMark/>
          </w:tcPr>
          <w:p w14:paraId="5EA839EE" w14:textId="77777777" w:rsidR="002273A1" w:rsidRPr="002273A1" w:rsidRDefault="002273A1" w:rsidP="002273A1">
            <w:pPr>
              <w:spacing w:after="0" w:line="240" w:lineRule="auto"/>
              <w:jc w:val="right"/>
              <w:rPr>
                <w:rFonts w:cs="Arial"/>
                <w:sz w:val="16"/>
                <w:szCs w:val="16"/>
              </w:rPr>
            </w:pPr>
            <w:r w:rsidRPr="002273A1">
              <w:rPr>
                <w:rFonts w:cs="Arial"/>
                <w:sz w:val="16"/>
                <w:szCs w:val="16"/>
              </w:rPr>
              <w:t>15,46</w:t>
            </w:r>
          </w:p>
        </w:tc>
        <w:tc>
          <w:tcPr>
            <w:tcW w:w="703" w:type="dxa"/>
            <w:tcBorders>
              <w:top w:val="nil"/>
              <w:left w:val="nil"/>
              <w:bottom w:val="nil"/>
              <w:right w:val="nil"/>
            </w:tcBorders>
            <w:shd w:val="clear" w:color="auto" w:fill="auto"/>
            <w:noWrap/>
            <w:vAlign w:val="center"/>
            <w:hideMark/>
          </w:tcPr>
          <w:p w14:paraId="76C3425D" w14:textId="77777777" w:rsidR="002273A1" w:rsidRPr="002273A1" w:rsidRDefault="002273A1" w:rsidP="002273A1">
            <w:pPr>
              <w:spacing w:after="0" w:line="240" w:lineRule="auto"/>
              <w:jc w:val="right"/>
              <w:rPr>
                <w:rFonts w:cs="Arial"/>
                <w:sz w:val="16"/>
                <w:szCs w:val="16"/>
              </w:rPr>
            </w:pPr>
            <w:r w:rsidRPr="002273A1">
              <w:rPr>
                <w:rFonts w:cs="Arial"/>
                <w:sz w:val="16"/>
                <w:szCs w:val="16"/>
              </w:rPr>
              <w:t>15,20</w:t>
            </w:r>
          </w:p>
        </w:tc>
        <w:tc>
          <w:tcPr>
            <w:tcW w:w="703" w:type="dxa"/>
            <w:tcBorders>
              <w:top w:val="nil"/>
              <w:left w:val="nil"/>
              <w:bottom w:val="nil"/>
              <w:right w:val="nil"/>
            </w:tcBorders>
            <w:shd w:val="clear" w:color="auto" w:fill="auto"/>
            <w:noWrap/>
            <w:vAlign w:val="center"/>
            <w:hideMark/>
          </w:tcPr>
          <w:p w14:paraId="3BD5E0FF" w14:textId="77777777" w:rsidR="002273A1" w:rsidRPr="002273A1" w:rsidRDefault="002273A1" w:rsidP="002273A1">
            <w:pPr>
              <w:spacing w:after="0" w:line="240" w:lineRule="auto"/>
              <w:jc w:val="right"/>
              <w:rPr>
                <w:rFonts w:cs="Arial"/>
                <w:sz w:val="16"/>
                <w:szCs w:val="16"/>
              </w:rPr>
            </w:pPr>
            <w:r w:rsidRPr="002273A1">
              <w:rPr>
                <w:rFonts w:cs="Arial"/>
                <w:sz w:val="16"/>
                <w:szCs w:val="16"/>
              </w:rPr>
              <w:t>13,02</w:t>
            </w:r>
          </w:p>
        </w:tc>
        <w:tc>
          <w:tcPr>
            <w:tcW w:w="703" w:type="dxa"/>
            <w:tcBorders>
              <w:top w:val="nil"/>
              <w:left w:val="nil"/>
              <w:bottom w:val="nil"/>
              <w:right w:val="nil"/>
            </w:tcBorders>
            <w:shd w:val="clear" w:color="auto" w:fill="auto"/>
            <w:noWrap/>
            <w:vAlign w:val="center"/>
            <w:hideMark/>
          </w:tcPr>
          <w:p w14:paraId="1725702E" w14:textId="77777777" w:rsidR="002273A1" w:rsidRPr="002273A1" w:rsidRDefault="002273A1" w:rsidP="002273A1">
            <w:pPr>
              <w:spacing w:after="0" w:line="240" w:lineRule="auto"/>
              <w:jc w:val="right"/>
              <w:rPr>
                <w:rFonts w:cs="Arial"/>
                <w:sz w:val="16"/>
                <w:szCs w:val="16"/>
              </w:rPr>
            </w:pPr>
            <w:r w:rsidRPr="002273A1">
              <w:rPr>
                <w:rFonts w:cs="Arial"/>
                <w:sz w:val="16"/>
                <w:szCs w:val="16"/>
              </w:rPr>
              <w:t>15,89</w:t>
            </w:r>
          </w:p>
        </w:tc>
        <w:tc>
          <w:tcPr>
            <w:tcW w:w="703" w:type="dxa"/>
            <w:tcBorders>
              <w:top w:val="nil"/>
              <w:left w:val="nil"/>
              <w:bottom w:val="nil"/>
              <w:right w:val="nil"/>
            </w:tcBorders>
            <w:shd w:val="clear" w:color="auto" w:fill="auto"/>
            <w:noWrap/>
            <w:vAlign w:val="center"/>
            <w:hideMark/>
          </w:tcPr>
          <w:p w14:paraId="124D4A83" w14:textId="77777777" w:rsidR="002273A1" w:rsidRPr="002273A1" w:rsidRDefault="002273A1" w:rsidP="002273A1">
            <w:pPr>
              <w:spacing w:after="0" w:line="240" w:lineRule="auto"/>
              <w:jc w:val="right"/>
              <w:rPr>
                <w:rFonts w:cs="Arial"/>
                <w:sz w:val="16"/>
                <w:szCs w:val="16"/>
              </w:rPr>
            </w:pPr>
            <w:r w:rsidRPr="002273A1">
              <w:rPr>
                <w:rFonts w:cs="Arial"/>
                <w:sz w:val="16"/>
                <w:szCs w:val="16"/>
              </w:rPr>
              <w:t>13,54</w:t>
            </w:r>
          </w:p>
        </w:tc>
        <w:tc>
          <w:tcPr>
            <w:tcW w:w="696" w:type="dxa"/>
            <w:tcBorders>
              <w:top w:val="nil"/>
              <w:left w:val="nil"/>
              <w:bottom w:val="nil"/>
              <w:right w:val="nil"/>
            </w:tcBorders>
            <w:shd w:val="clear" w:color="auto" w:fill="auto"/>
            <w:noWrap/>
            <w:vAlign w:val="center"/>
            <w:hideMark/>
          </w:tcPr>
          <w:p w14:paraId="3A30471A" w14:textId="057BCDEC" w:rsidR="002273A1" w:rsidRPr="002273A1" w:rsidRDefault="002273A1" w:rsidP="002273A1">
            <w:pPr>
              <w:spacing w:after="0" w:line="240" w:lineRule="auto"/>
              <w:jc w:val="right"/>
              <w:rPr>
                <w:rFonts w:cs="Arial"/>
                <w:sz w:val="16"/>
                <w:szCs w:val="16"/>
              </w:rPr>
            </w:pPr>
            <w:r w:rsidRPr="002273A1">
              <w:rPr>
                <w:rFonts w:cs="Arial"/>
                <w:sz w:val="16"/>
                <w:szCs w:val="16"/>
              </w:rPr>
              <w:t>18,6</w:t>
            </w:r>
            <w:r w:rsidR="009A4127">
              <w:rPr>
                <w:rFonts w:cs="Arial"/>
                <w:sz w:val="16"/>
                <w:szCs w:val="16"/>
              </w:rPr>
              <w:t>2</w:t>
            </w:r>
          </w:p>
        </w:tc>
        <w:tc>
          <w:tcPr>
            <w:tcW w:w="703" w:type="dxa"/>
            <w:tcBorders>
              <w:top w:val="nil"/>
              <w:left w:val="nil"/>
              <w:bottom w:val="nil"/>
              <w:right w:val="nil"/>
            </w:tcBorders>
            <w:shd w:val="clear" w:color="auto" w:fill="auto"/>
            <w:noWrap/>
            <w:vAlign w:val="center"/>
            <w:hideMark/>
          </w:tcPr>
          <w:p w14:paraId="69247D2B"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18,52</w:t>
            </w:r>
          </w:p>
        </w:tc>
        <w:tc>
          <w:tcPr>
            <w:tcW w:w="703" w:type="dxa"/>
            <w:tcBorders>
              <w:top w:val="nil"/>
              <w:left w:val="nil"/>
              <w:bottom w:val="nil"/>
              <w:right w:val="nil"/>
            </w:tcBorders>
            <w:shd w:val="clear" w:color="auto" w:fill="auto"/>
            <w:noWrap/>
            <w:vAlign w:val="center"/>
            <w:hideMark/>
          </w:tcPr>
          <w:p w14:paraId="37E2DAD3"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19,90</w:t>
            </w:r>
          </w:p>
        </w:tc>
        <w:tc>
          <w:tcPr>
            <w:tcW w:w="703" w:type="dxa"/>
            <w:tcBorders>
              <w:top w:val="nil"/>
              <w:left w:val="nil"/>
              <w:bottom w:val="nil"/>
              <w:right w:val="nil"/>
            </w:tcBorders>
            <w:shd w:val="clear" w:color="000000" w:fill="FFFFFF"/>
            <w:noWrap/>
            <w:vAlign w:val="center"/>
            <w:hideMark/>
          </w:tcPr>
          <w:p w14:paraId="14F1A254"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21,42</w:t>
            </w:r>
          </w:p>
        </w:tc>
        <w:tc>
          <w:tcPr>
            <w:tcW w:w="703" w:type="dxa"/>
            <w:tcBorders>
              <w:top w:val="nil"/>
              <w:left w:val="nil"/>
              <w:bottom w:val="nil"/>
              <w:right w:val="nil"/>
            </w:tcBorders>
            <w:shd w:val="clear" w:color="auto" w:fill="auto"/>
            <w:noWrap/>
            <w:vAlign w:val="center"/>
            <w:hideMark/>
          </w:tcPr>
          <w:p w14:paraId="14ED238B"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20,26</w:t>
            </w:r>
          </w:p>
        </w:tc>
      </w:tr>
      <w:tr w:rsidR="002273A1" w:rsidRPr="002273A1" w14:paraId="3D860962" w14:textId="77777777" w:rsidTr="002273A1">
        <w:trPr>
          <w:trHeight w:val="285"/>
        </w:trPr>
        <w:tc>
          <w:tcPr>
            <w:tcW w:w="1934" w:type="dxa"/>
            <w:tcBorders>
              <w:top w:val="nil"/>
              <w:left w:val="nil"/>
              <w:bottom w:val="nil"/>
              <w:right w:val="nil"/>
            </w:tcBorders>
            <w:shd w:val="clear" w:color="auto" w:fill="auto"/>
            <w:noWrap/>
            <w:vAlign w:val="center"/>
            <w:hideMark/>
          </w:tcPr>
          <w:p w14:paraId="1273D9F6" w14:textId="77777777" w:rsidR="002273A1" w:rsidRPr="002273A1" w:rsidRDefault="002273A1" w:rsidP="002273A1">
            <w:pPr>
              <w:spacing w:after="0" w:line="240" w:lineRule="auto"/>
              <w:ind w:firstLineChars="100" w:firstLine="160"/>
              <w:rPr>
                <w:rFonts w:cs="Arial"/>
                <w:sz w:val="16"/>
                <w:szCs w:val="16"/>
              </w:rPr>
            </w:pPr>
            <w:r w:rsidRPr="002273A1">
              <w:rPr>
                <w:rFonts w:cs="Arial"/>
                <w:sz w:val="16"/>
                <w:szCs w:val="16"/>
              </w:rPr>
              <w:t>Zlínský kraj</w:t>
            </w:r>
          </w:p>
        </w:tc>
        <w:tc>
          <w:tcPr>
            <w:tcW w:w="703" w:type="dxa"/>
            <w:tcBorders>
              <w:top w:val="nil"/>
              <w:left w:val="nil"/>
              <w:bottom w:val="nil"/>
              <w:right w:val="nil"/>
            </w:tcBorders>
            <w:shd w:val="clear" w:color="auto" w:fill="auto"/>
            <w:noWrap/>
            <w:vAlign w:val="center"/>
            <w:hideMark/>
          </w:tcPr>
          <w:p w14:paraId="017D7E59" w14:textId="77777777" w:rsidR="002273A1" w:rsidRPr="002273A1" w:rsidRDefault="002273A1" w:rsidP="002273A1">
            <w:pPr>
              <w:spacing w:after="0" w:line="240" w:lineRule="auto"/>
              <w:jc w:val="right"/>
              <w:rPr>
                <w:rFonts w:cs="Arial"/>
                <w:sz w:val="16"/>
                <w:szCs w:val="16"/>
              </w:rPr>
            </w:pPr>
            <w:r w:rsidRPr="002273A1">
              <w:rPr>
                <w:rFonts w:cs="Arial"/>
                <w:sz w:val="16"/>
                <w:szCs w:val="16"/>
              </w:rPr>
              <w:t>17,43</w:t>
            </w:r>
          </w:p>
        </w:tc>
        <w:tc>
          <w:tcPr>
            <w:tcW w:w="703" w:type="dxa"/>
            <w:tcBorders>
              <w:top w:val="nil"/>
              <w:left w:val="nil"/>
              <w:bottom w:val="nil"/>
              <w:right w:val="nil"/>
            </w:tcBorders>
            <w:shd w:val="clear" w:color="auto" w:fill="auto"/>
            <w:noWrap/>
            <w:vAlign w:val="center"/>
            <w:hideMark/>
          </w:tcPr>
          <w:p w14:paraId="4664D6DA" w14:textId="77777777" w:rsidR="002273A1" w:rsidRPr="002273A1" w:rsidRDefault="002273A1" w:rsidP="002273A1">
            <w:pPr>
              <w:spacing w:after="0" w:line="240" w:lineRule="auto"/>
              <w:jc w:val="right"/>
              <w:rPr>
                <w:rFonts w:cs="Arial"/>
                <w:sz w:val="16"/>
                <w:szCs w:val="16"/>
              </w:rPr>
            </w:pPr>
            <w:r w:rsidRPr="002273A1">
              <w:rPr>
                <w:rFonts w:cs="Arial"/>
                <w:sz w:val="16"/>
                <w:szCs w:val="16"/>
              </w:rPr>
              <w:t>16,53</w:t>
            </w:r>
          </w:p>
        </w:tc>
        <w:tc>
          <w:tcPr>
            <w:tcW w:w="703" w:type="dxa"/>
            <w:tcBorders>
              <w:top w:val="nil"/>
              <w:left w:val="nil"/>
              <w:bottom w:val="nil"/>
              <w:right w:val="nil"/>
            </w:tcBorders>
            <w:shd w:val="clear" w:color="auto" w:fill="auto"/>
            <w:noWrap/>
            <w:vAlign w:val="center"/>
            <w:hideMark/>
          </w:tcPr>
          <w:p w14:paraId="25933DB8" w14:textId="77777777" w:rsidR="002273A1" w:rsidRPr="002273A1" w:rsidRDefault="002273A1" w:rsidP="002273A1">
            <w:pPr>
              <w:spacing w:after="0" w:line="240" w:lineRule="auto"/>
              <w:jc w:val="right"/>
              <w:rPr>
                <w:rFonts w:cs="Arial"/>
                <w:sz w:val="16"/>
                <w:szCs w:val="16"/>
              </w:rPr>
            </w:pPr>
            <w:r w:rsidRPr="002273A1">
              <w:rPr>
                <w:rFonts w:cs="Arial"/>
                <w:sz w:val="16"/>
                <w:szCs w:val="16"/>
              </w:rPr>
              <w:t>16,63</w:t>
            </w:r>
          </w:p>
        </w:tc>
        <w:tc>
          <w:tcPr>
            <w:tcW w:w="703" w:type="dxa"/>
            <w:tcBorders>
              <w:top w:val="nil"/>
              <w:left w:val="nil"/>
              <w:bottom w:val="nil"/>
              <w:right w:val="nil"/>
            </w:tcBorders>
            <w:shd w:val="clear" w:color="auto" w:fill="auto"/>
            <w:noWrap/>
            <w:vAlign w:val="center"/>
            <w:hideMark/>
          </w:tcPr>
          <w:p w14:paraId="1CB37697" w14:textId="77777777" w:rsidR="002273A1" w:rsidRPr="002273A1" w:rsidRDefault="002273A1" w:rsidP="002273A1">
            <w:pPr>
              <w:spacing w:after="0" w:line="240" w:lineRule="auto"/>
              <w:jc w:val="right"/>
              <w:rPr>
                <w:rFonts w:cs="Arial"/>
                <w:sz w:val="16"/>
                <w:szCs w:val="16"/>
              </w:rPr>
            </w:pPr>
            <w:r w:rsidRPr="002273A1">
              <w:rPr>
                <w:rFonts w:cs="Arial"/>
                <w:sz w:val="16"/>
                <w:szCs w:val="16"/>
              </w:rPr>
              <w:t>14,31</w:t>
            </w:r>
          </w:p>
        </w:tc>
        <w:tc>
          <w:tcPr>
            <w:tcW w:w="703" w:type="dxa"/>
            <w:tcBorders>
              <w:top w:val="nil"/>
              <w:left w:val="nil"/>
              <w:bottom w:val="nil"/>
              <w:right w:val="nil"/>
            </w:tcBorders>
            <w:shd w:val="clear" w:color="auto" w:fill="auto"/>
            <w:noWrap/>
            <w:vAlign w:val="center"/>
            <w:hideMark/>
          </w:tcPr>
          <w:p w14:paraId="2BD941EB" w14:textId="77777777" w:rsidR="002273A1" w:rsidRPr="002273A1" w:rsidRDefault="002273A1" w:rsidP="002273A1">
            <w:pPr>
              <w:spacing w:after="0" w:line="240" w:lineRule="auto"/>
              <w:jc w:val="right"/>
              <w:rPr>
                <w:rFonts w:cs="Arial"/>
                <w:sz w:val="16"/>
                <w:szCs w:val="16"/>
              </w:rPr>
            </w:pPr>
            <w:r w:rsidRPr="002273A1">
              <w:rPr>
                <w:rFonts w:cs="Arial"/>
                <w:sz w:val="16"/>
                <w:szCs w:val="16"/>
              </w:rPr>
              <w:t>17,40</w:t>
            </w:r>
          </w:p>
        </w:tc>
        <w:tc>
          <w:tcPr>
            <w:tcW w:w="703" w:type="dxa"/>
            <w:tcBorders>
              <w:top w:val="nil"/>
              <w:left w:val="nil"/>
              <w:bottom w:val="nil"/>
              <w:right w:val="nil"/>
            </w:tcBorders>
            <w:shd w:val="clear" w:color="auto" w:fill="auto"/>
            <w:noWrap/>
            <w:vAlign w:val="center"/>
            <w:hideMark/>
          </w:tcPr>
          <w:p w14:paraId="48C29DA7" w14:textId="77777777" w:rsidR="002273A1" w:rsidRPr="002273A1" w:rsidRDefault="002273A1" w:rsidP="002273A1">
            <w:pPr>
              <w:spacing w:after="0" w:line="240" w:lineRule="auto"/>
              <w:jc w:val="right"/>
              <w:rPr>
                <w:rFonts w:cs="Arial"/>
                <w:sz w:val="16"/>
                <w:szCs w:val="16"/>
              </w:rPr>
            </w:pPr>
            <w:r w:rsidRPr="002273A1">
              <w:rPr>
                <w:rFonts w:cs="Arial"/>
                <w:sz w:val="16"/>
                <w:szCs w:val="16"/>
              </w:rPr>
              <w:t>14,72</w:t>
            </w:r>
          </w:p>
        </w:tc>
        <w:tc>
          <w:tcPr>
            <w:tcW w:w="696" w:type="dxa"/>
            <w:tcBorders>
              <w:top w:val="nil"/>
              <w:left w:val="nil"/>
              <w:bottom w:val="nil"/>
              <w:right w:val="nil"/>
            </w:tcBorders>
            <w:shd w:val="clear" w:color="auto" w:fill="auto"/>
            <w:noWrap/>
            <w:vAlign w:val="center"/>
            <w:hideMark/>
          </w:tcPr>
          <w:p w14:paraId="6D26DBDE" w14:textId="4F5CEF14" w:rsidR="002273A1" w:rsidRPr="002273A1" w:rsidRDefault="002273A1" w:rsidP="002273A1">
            <w:pPr>
              <w:spacing w:after="0" w:line="240" w:lineRule="auto"/>
              <w:jc w:val="right"/>
              <w:rPr>
                <w:rFonts w:cs="Arial"/>
                <w:sz w:val="16"/>
                <w:szCs w:val="16"/>
              </w:rPr>
            </w:pPr>
            <w:r w:rsidRPr="002273A1">
              <w:rPr>
                <w:rFonts w:cs="Arial"/>
                <w:sz w:val="16"/>
                <w:szCs w:val="16"/>
              </w:rPr>
              <w:t>20,4</w:t>
            </w:r>
            <w:r w:rsidR="009A4127">
              <w:rPr>
                <w:rFonts w:cs="Arial"/>
                <w:sz w:val="16"/>
                <w:szCs w:val="16"/>
              </w:rPr>
              <w:t>1</w:t>
            </w:r>
          </w:p>
        </w:tc>
        <w:tc>
          <w:tcPr>
            <w:tcW w:w="703" w:type="dxa"/>
            <w:tcBorders>
              <w:top w:val="nil"/>
              <w:left w:val="nil"/>
              <w:bottom w:val="nil"/>
              <w:right w:val="nil"/>
            </w:tcBorders>
            <w:shd w:val="clear" w:color="auto" w:fill="auto"/>
            <w:noWrap/>
            <w:vAlign w:val="center"/>
            <w:hideMark/>
          </w:tcPr>
          <w:p w14:paraId="06CDC971"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19,69</w:t>
            </w:r>
          </w:p>
        </w:tc>
        <w:tc>
          <w:tcPr>
            <w:tcW w:w="703" w:type="dxa"/>
            <w:tcBorders>
              <w:top w:val="nil"/>
              <w:left w:val="nil"/>
              <w:bottom w:val="nil"/>
              <w:right w:val="nil"/>
            </w:tcBorders>
            <w:shd w:val="clear" w:color="auto" w:fill="auto"/>
            <w:noWrap/>
            <w:vAlign w:val="center"/>
            <w:hideMark/>
          </w:tcPr>
          <w:p w14:paraId="1FB595D9"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21,34</w:t>
            </w:r>
          </w:p>
        </w:tc>
        <w:tc>
          <w:tcPr>
            <w:tcW w:w="703" w:type="dxa"/>
            <w:tcBorders>
              <w:top w:val="nil"/>
              <w:left w:val="nil"/>
              <w:bottom w:val="nil"/>
              <w:right w:val="nil"/>
            </w:tcBorders>
            <w:shd w:val="clear" w:color="000000" w:fill="FFFFFF"/>
            <w:noWrap/>
            <w:vAlign w:val="center"/>
            <w:hideMark/>
          </w:tcPr>
          <w:p w14:paraId="1442563D"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22,11</w:t>
            </w:r>
          </w:p>
        </w:tc>
        <w:tc>
          <w:tcPr>
            <w:tcW w:w="703" w:type="dxa"/>
            <w:tcBorders>
              <w:top w:val="nil"/>
              <w:left w:val="nil"/>
              <w:bottom w:val="nil"/>
              <w:right w:val="nil"/>
            </w:tcBorders>
            <w:shd w:val="clear" w:color="auto" w:fill="auto"/>
            <w:noWrap/>
            <w:vAlign w:val="center"/>
            <w:hideMark/>
          </w:tcPr>
          <w:p w14:paraId="4FF322AC"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21,34</w:t>
            </w:r>
          </w:p>
        </w:tc>
      </w:tr>
      <w:tr w:rsidR="002273A1" w:rsidRPr="002273A1" w14:paraId="7942BDCC" w14:textId="77777777" w:rsidTr="002273A1">
        <w:trPr>
          <w:trHeight w:val="285"/>
        </w:trPr>
        <w:tc>
          <w:tcPr>
            <w:tcW w:w="1934" w:type="dxa"/>
            <w:tcBorders>
              <w:top w:val="nil"/>
              <w:left w:val="nil"/>
              <w:bottom w:val="nil"/>
              <w:right w:val="nil"/>
            </w:tcBorders>
            <w:shd w:val="clear" w:color="auto" w:fill="auto"/>
            <w:noWrap/>
            <w:vAlign w:val="center"/>
            <w:hideMark/>
          </w:tcPr>
          <w:p w14:paraId="5A22D9D4" w14:textId="77777777" w:rsidR="002273A1" w:rsidRPr="002273A1" w:rsidRDefault="002273A1" w:rsidP="002273A1">
            <w:pPr>
              <w:spacing w:after="0" w:line="240" w:lineRule="auto"/>
              <w:ind w:firstLineChars="100" w:firstLine="160"/>
              <w:rPr>
                <w:rFonts w:cs="Arial"/>
                <w:sz w:val="16"/>
                <w:szCs w:val="16"/>
              </w:rPr>
            </w:pPr>
            <w:r w:rsidRPr="002273A1">
              <w:rPr>
                <w:rFonts w:cs="Arial"/>
                <w:sz w:val="16"/>
                <w:szCs w:val="16"/>
              </w:rPr>
              <w:t>Moravskoslezský kraj</w:t>
            </w:r>
          </w:p>
        </w:tc>
        <w:tc>
          <w:tcPr>
            <w:tcW w:w="703" w:type="dxa"/>
            <w:tcBorders>
              <w:top w:val="nil"/>
              <w:left w:val="nil"/>
              <w:bottom w:val="nil"/>
              <w:right w:val="nil"/>
            </w:tcBorders>
            <w:shd w:val="clear" w:color="auto" w:fill="auto"/>
            <w:noWrap/>
            <w:vAlign w:val="center"/>
            <w:hideMark/>
          </w:tcPr>
          <w:p w14:paraId="060B8312" w14:textId="77777777" w:rsidR="002273A1" w:rsidRPr="002273A1" w:rsidRDefault="002273A1" w:rsidP="002273A1">
            <w:pPr>
              <w:spacing w:after="0" w:line="240" w:lineRule="auto"/>
              <w:jc w:val="right"/>
              <w:rPr>
                <w:rFonts w:cs="Arial"/>
                <w:sz w:val="16"/>
                <w:szCs w:val="16"/>
              </w:rPr>
            </w:pPr>
            <w:r w:rsidRPr="002273A1">
              <w:rPr>
                <w:rFonts w:cs="Arial"/>
                <w:sz w:val="16"/>
                <w:szCs w:val="16"/>
              </w:rPr>
              <w:t>17,34</w:t>
            </w:r>
          </w:p>
        </w:tc>
        <w:tc>
          <w:tcPr>
            <w:tcW w:w="703" w:type="dxa"/>
            <w:tcBorders>
              <w:top w:val="nil"/>
              <w:left w:val="nil"/>
              <w:bottom w:val="nil"/>
              <w:right w:val="nil"/>
            </w:tcBorders>
            <w:shd w:val="clear" w:color="auto" w:fill="auto"/>
            <w:noWrap/>
            <w:vAlign w:val="center"/>
            <w:hideMark/>
          </w:tcPr>
          <w:p w14:paraId="02AFEFFB" w14:textId="77777777" w:rsidR="002273A1" w:rsidRPr="002273A1" w:rsidRDefault="002273A1" w:rsidP="002273A1">
            <w:pPr>
              <w:spacing w:after="0" w:line="240" w:lineRule="auto"/>
              <w:jc w:val="right"/>
              <w:rPr>
                <w:rFonts w:cs="Arial"/>
                <w:sz w:val="16"/>
                <w:szCs w:val="16"/>
              </w:rPr>
            </w:pPr>
            <w:r w:rsidRPr="002273A1">
              <w:rPr>
                <w:rFonts w:cs="Arial"/>
                <w:sz w:val="16"/>
                <w:szCs w:val="16"/>
              </w:rPr>
              <w:t>17,10</w:t>
            </w:r>
          </w:p>
        </w:tc>
        <w:tc>
          <w:tcPr>
            <w:tcW w:w="703" w:type="dxa"/>
            <w:tcBorders>
              <w:top w:val="nil"/>
              <w:left w:val="nil"/>
              <w:bottom w:val="nil"/>
              <w:right w:val="nil"/>
            </w:tcBorders>
            <w:shd w:val="clear" w:color="auto" w:fill="auto"/>
            <w:noWrap/>
            <w:vAlign w:val="center"/>
            <w:hideMark/>
          </w:tcPr>
          <w:p w14:paraId="32962AA1" w14:textId="77777777" w:rsidR="002273A1" w:rsidRPr="002273A1" w:rsidRDefault="002273A1" w:rsidP="002273A1">
            <w:pPr>
              <w:spacing w:after="0" w:line="240" w:lineRule="auto"/>
              <w:jc w:val="right"/>
              <w:rPr>
                <w:rFonts w:cs="Arial"/>
                <w:sz w:val="16"/>
                <w:szCs w:val="16"/>
              </w:rPr>
            </w:pPr>
            <w:r w:rsidRPr="002273A1">
              <w:rPr>
                <w:rFonts w:cs="Arial"/>
                <w:sz w:val="16"/>
                <w:szCs w:val="16"/>
              </w:rPr>
              <w:t>17,69</w:t>
            </w:r>
          </w:p>
        </w:tc>
        <w:tc>
          <w:tcPr>
            <w:tcW w:w="703" w:type="dxa"/>
            <w:tcBorders>
              <w:top w:val="nil"/>
              <w:left w:val="nil"/>
              <w:bottom w:val="nil"/>
              <w:right w:val="nil"/>
            </w:tcBorders>
            <w:shd w:val="clear" w:color="auto" w:fill="auto"/>
            <w:noWrap/>
            <w:vAlign w:val="center"/>
            <w:hideMark/>
          </w:tcPr>
          <w:p w14:paraId="45EE300B" w14:textId="77777777" w:rsidR="002273A1" w:rsidRPr="002273A1" w:rsidRDefault="002273A1" w:rsidP="002273A1">
            <w:pPr>
              <w:spacing w:after="0" w:line="240" w:lineRule="auto"/>
              <w:jc w:val="right"/>
              <w:rPr>
                <w:rFonts w:cs="Arial"/>
                <w:sz w:val="16"/>
                <w:szCs w:val="16"/>
              </w:rPr>
            </w:pPr>
            <w:r w:rsidRPr="002273A1">
              <w:rPr>
                <w:rFonts w:cs="Arial"/>
                <w:sz w:val="16"/>
                <w:szCs w:val="16"/>
              </w:rPr>
              <w:t>14,82</w:t>
            </w:r>
          </w:p>
        </w:tc>
        <w:tc>
          <w:tcPr>
            <w:tcW w:w="703" w:type="dxa"/>
            <w:tcBorders>
              <w:top w:val="nil"/>
              <w:left w:val="nil"/>
              <w:bottom w:val="nil"/>
              <w:right w:val="nil"/>
            </w:tcBorders>
            <w:shd w:val="clear" w:color="auto" w:fill="auto"/>
            <w:noWrap/>
            <w:vAlign w:val="center"/>
            <w:hideMark/>
          </w:tcPr>
          <w:p w14:paraId="5DB5E066" w14:textId="77777777" w:rsidR="002273A1" w:rsidRPr="002273A1" w:rsidRDefault="002273A1" w:rsidP="002273A1">
            <w:pPr>
              <w:spacing w:after="0" w:line="240" w:lineRule="auto"/>
              <w:jc w:val="right"/>
              <w:rPr>
                <w:rFonts w:cs="Arial"/>
                <w:sz w:val="16"/>
                <w:szCs w:val="16"/>
              </w:rPr>
            </w:pPr>
            <w:r w:rsidRPr="002273A1">
              <w:rPr>
                <w:rFonts w:cs="Arial"/>
                <w:sz w:val="16"/>
                <w:szCs w:val="16"/>
              </w:rPr>
              <w:t>17,94</w:t>
            </w:r>
          </w:p>
        </w:tc>
        <w:tc>
          <w:tcPr>
            <w:tcW w:w="703" w:type="dxa"/>
            <w:tcBorders>
              <w:top w:val="nil"/>
              <w:left w:val="nil"/>
              <w:bottom w:val="nil"/>
              <w:right w:val="nil"/>
            </w:tcBorders>
            <w:shd w:val="clear" w:color="auto" w:fill="auto"/>
            <w:noWrap/>
            <w:vAlign w:val="center"/>
            <w:hideMark/>
          </w:tcPr>
          <w:p w14:paraId="256E910F" w14:textId="77777777" w:rsidR="002273A1" w:rsidRPr="002273A1" w:rsidRDefault="002273A1" w:rsidP="002273A1">
            <w:pPr>
              <w:spacing w:after="0" w:line="240" w:lineRule="auto"/>
              <w:jc w:val="right"/>
              <w:rPr>
                <w:rFonts w:cs="Arial"/>
                <w:sz w:val="16"/>
                <w:szCs w:val="16"/>
              </w:rPr>
            </w:pPr>
            <w:r w:rsidRPr="002273A1">
              <w:rPr>
                <w:rFonts w:cs="Arial"/>
                <w:sz w:val="16"/>
                <w:szCs w:val="16"/>
              </w:rPr>
              <w:t>15,34</w:t>
            </w:r>
          </w:p>
        </w:tc>
        <w:tc>
          <w:tcPr>
            <w:tcW w:w="696" w:type="dxa"/>
            <w:tcBorders>
              <w:top w:val="nil"/>
              <w:left w:val="nil"/>
              <w:bottom w:val="nil"/>
              <w:right w:val="nil"/>
            </w:tcBorders>
            <w:shd w:val="clear" w:color="auto" w:fill="auto"/>
            <w:noWrap/>
            <w:vAlign w:val="center"/>
            <w:hideMark/>
          </w:tcPr>
          <w:p w14:paraId="1DBFA46C" w14:textId="286A0CBC" w:rsidR="002273A1" w:rsidRPr="002273A1" w:rsidRDefault="002273A1" w:rsidP="002273A1">
            <w:pPr>
              <w:spacing w:after="0" w:line="240" w:lineRule="auto"/>
              <w:jc w:val="right"/>
              <w:rPr>
                <w:rFonts w:cs="Arial"/>
                <w:sz w:val="16"/>
                <w:szCs w:val="16"/>
              </w:rPr>
            </w:pPr>
            <w:r w:rsidRPr="002273A1">
              <w:rPr>
                <w:rFonts w:cs="Arial"/>
                <w:sz w:val="16"/>
                <w:szCs w:val="16"/>
              </w:rPr>
              <w:t>20,0</w:t>
            </w:r>
            <w:r w:rsidR="009A4127">
              <w:rPr>
                <w:rFonts w:cs="Arial"/>
                <w:sz w:val="16"/>
                <w:szCs w:val="16"/>
              </w:rPr>
              <w:t>2</w:t>
            </w:r>
          </w:p>
        </w:tc>
        <w:tc>
          <w:tcPr>
            <w:tcW w:w="703" w:type="dxa"/>
            <w:tcBorders>
              <w:top w:val="nil"/>
              <w:left w:val="nil"/>
              <w:bottom w:val="nil"/>
              <w:right w:val="nil"/>
            </w:tcBorders>
            <w:shd w:val="clear" w:color="auto" w:fill="auto"/>
            <w:noWrap/>
            <w:vAlign w:val="center"/>
            <w:hideMark/>
          </w:tcPr>
          <w:p w14:paraId="5C139102"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20,18</w:t>
            </w:r>
          </w:p>
        </w:tc>
        <w:tc>
          <w:tcPr>
            <w:tcW w:w="703" w:type="dxa"/>
            <w:tcBorders>
              <w:top w:val="nil"/>
              <w:left w:val="nil"/>
              <w:bottom w:val="nil"/>
              <w:right w:val="nil"/>
            </w:tcBorders>
            <w:shd w:val="clear" w:color="auto" w:fill="auto"/>
            <w:noWrap/>
            <w:vAlign w:val="center"/>
            <w:hideMark/>
          </w:tcPr>
          <w:p w14:paraId="75AEE865"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21,47</w:t>
            </w:r>
          </w:p>
        </w:tc>
        <w:tc>
          <w:tcPr>
            <w:tcW w:w="703" w:type="dxa"/>
            <w:tcBorders>
              <w:top w:val="nil"/>
              <w:left w:val="nil"/>
              <w:bottom w:val="nil"/>
              <w:right w:val="nil"/>
            </w:tcBorders>
            <w:shd w:val="clear" w:color="000000" w:fill="FFFFFF"/>
            <w:noWrap/>
            <w:vAlign w:val="center"/>
            <w:hideMark/>
          </w:tcPr>
          <w:p w14:paraId="52164F65"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23,12</w:t>
            </w:r>
          </w:p>
        </w:tc>
        <w:tc>
          <w:tcPr>
            <w:tcW w:w="703" w:type="dxa"/>
            <w:tcBorders>
              <w:top w:val="nil"/>
              <w:left w:val="nil"/>
              <w:bottom w:val="nil"/>
              <w:right w:val="nil"/>
            </w:tcBorders>
            <w:shd w:val="clear" w:color="auto" w:fill="auto"/>
            <w:noWrap/>
            <w:vAlign w:val="center"/>
            <w:hideMark/>
          </w:tcPr>
          <w:p w14:paraId="3CF0B454" w14:textId="77777777" w:rsidR="002273A1" w:rsidRPr="002273A1" w:rsidRDefault="002273A1" w:rsidP="002273A1">
            <w:pPr>
              <w:spacing w:after="0" w:line="240" w:lineRule="auto"/>
              <w:jc w:val="right"/>
              <w:rPr>
                <w:rFonts w:cs="Arial"/>
                <w:color w:val="000000"/>
                <w:sz w:val="16"/>
                <w:szCs w:val="16"/>
              </w:rPr>
            </w:pPr>
            <w:r w:rsidRPr="002273A1">
              <w:rPr>
                <w:rFonts w:cs="Arial"/>
                <w:color w:val="000000"/>
                <w:sz w:val="16"/>
                <w:szCs w:val="16"/>
              </w:rPr>
              <w:t>22,04</w:t>
            </w:r>
          </w:p>
        </w:tc>
      </w:tr>
    </w:tbl>
    <w:p w14:paraId="515E63CD" w14:textId="2B53ACAD" w:rsidR="000D3D37" w:rsidRPr="00E5050F" w:rsidRDefault="000D3D37" w:rsidP="00017C11">
      <w:pPr>
        <w:spacing w:before="120"/>
        <w:jc w:val="both"/>
        <w:rPr>
          <w:rFonts w:cs="Arial"/>
          <w:sz w:val="16"/>
          <w:szCs w:val="16"/>
        </w:rPr>
      </w:pPr>
      <w:r w:rsidRPr="00E5050F">
        <w:rPr>
          <w:rFonts w:cs="Arial"/>
          <w:sz w:val="16"/>
          <w:szCs w:val="16"/>
        </w:rPr>
        <w:t>Zdroj: ČSÚ</w:t>
      </w:r>
    </w:p>
    <w:p w14:paraId="6221A458" w14:textId="32FED5AF" w:rsidR="0021605D" w:rsidRDefault="00B30F55" w:rsidP="00017C11">
      <w:pPr>
        <w:jc w:val="both"/>
        <w:rPr>
          <w:rFonts w:cs="Arial"/>
        </w:rPr>
      </w:pPr>
      <w:r>
        <w:rPr>
          <w:rFonts w:cs="Arial"/>
        </w:rPr>
        <w:t>Z </w:t>
      </w:r>
      <w:r w:rsidR="0090503A">
        <w:rPr>
          <w:rFonts w:cs="Arial"/>
        </w:rPr>
        <w:t>hlediska</w:t>
      </w:r>
      <w:r>
        <w:rPr>
          <w:rFonts w:cs="Arial"/>
        </w:rPr>
        <w:t xml:space="preserve"> </w:t>
      </w:r>
      <w:r w:rsidRPr="0090503A">
        <w:rPr>
          <w:rFonts w:cs="Arial"/>
          <w:b/>
        </w:rPr>
        <w:t>velikosti podniku</w:t>
      </w:r>
      <w:r>
        <w:rPr>
          <w:rFonts w:cs="Arial"/>
        </w:rPr>
        <w:t xml:space="preserve"> </w:t>
      </w:r>
      <w:r w:rsidR="0090503A">
        <w:rPr>
          <w:rFonts w:cs="Arial"/>
        </w:rPr>
        <w:t>bylo nejvíce případů pracovní neschopnosti za 1. pol. 2019 evidováno u</w:t>
      </w:r>
      <w:r w:rsidR="005A0510">
        <w:rPr>
          <w:rFonts w:cs="Arial"/>
        </w:rPr>
        <w:t> </w:t>
      </w:r>
      <w:r w:rsidR="0090503A">
        <w:rPr>
          <w:rFonts w:cs="Arial"/>
        </w:rPr>
        <w:t xml:space="preserve">největších firem s 500 a více zaměstnanci, které zaznamenaly </w:t>
      </w:r>
      <w:r w:rsidR="001C59CA">
        <w:rPr>
          <w:rFonts w:cs="Arial"/>
        </w:rPr>
        <w:t>349</w:t>
      </w:r>
      <w:r w:rsidR="0090503A">
        <w:rPr>
          <w:rFonts w:cs="Arial"/>
        </w:rPr>
        <w:t xml:space="preserve"> tis. případů pracovní</w:t>
      </w:r>
      <w:r w:rsidR="001C59CA">
        <w:rPr>
          <w:rFonts w:cs="Arial"/>
        </w:rPr>
        <w:t xml:space="preserve"> neschopnosti, což představuje 36</w:t>
      </w:r>
      <w:r w:rsidR="0090503A">
        <w:rPr>
          <w:rFonts w:cs="Arial"/>
        </w:rPr>
        <w:t xml:space="preserve">% </w:t>
      </w:r>
      <w:r w:rsidR="00061D62">
        <w:rPr>
          <w:rFonts w:cs="Arial"/>
        </w:rPr>
        <w:t xml:space="preserve">podíl </w:t>
      </w:r>
      <w:r w:rsidR="0090503A">
        <w:rPr>
          <w:rFonts w:cs="Arial"/>
        </w:rPr>
        <w:t>na republikové hodnotě.</w:t>
      </w:r>
      <w:r w:rsidR="001C59CA">
        <w:rPr>
          <w:rFonts w:cs="Arial"/>
        </w:rPr>
        <w:t xml:space="preserve"> Hned za nimi se však umístily firmy s méně než 50</w:t>
      </w:r>
      <w:r w:rsidR="00614C38">
        <w:rPr>
          <w:rFonts w:cs="Arial"/>
        </w:rPr>
        <w:t> </w:t>
      </w:r>
      <w:r w:rsidR="001C59CA">
        <w:rPr>
          <w:rFonts w:cs="Arial"/>
        </w:rPr>
        <w:t xml:space="preserve">zaměstnanci, které nahlásily </w:t>
      </w:r>
      <w:r w:rsidR="00893138">
        <w:rPr>
          <w:rFonts w:cs="Arial"/>
        </w:rPr>
        <w:t>251</w:t>
      </w:r>
      <w:r w:rsidR="001C59CA">
        <w:rPr>
          <w:rFonts w:cs="Arial"/>
        </w:rPr>
        <w:t xml:space="preserve"> tis. případů a tvořily tak čtvrtinu všech hlášení. V relativním pojetí při přepočtu na 100</w:t>
      </w:r>
      <w:r w:rsidR="005A0510">
        <w:rPr>
          <w:rFonts w:cs="Arial"/>
        </w:rPr>
        <w:t> </w:t>
      </w:r>
      <w:r w:rsidR="001C59CA">
        <w:rPr>
          <w:rFonts w:cs="Arial"/>
        </w:rPr>
        <w:t>pojištěnců vykazovaly firmy mající 50 a více zaměstnanců 23 případů. Méně případ</w:t>
      </w:r>
      <w:r w:rsidR="00893138">
        <w:rPr>
          <w:rFonts w:cs="Arial"/>
        </w:rPr>
        <w:t>ů</w:t>
      </w:r>
      <w:r w:rsidR="001C59CA">
        <w:rPr>
          <w:rFonts w:cs="Arial"/>
        </w:rPr>
        <w:t xml:space="preserve"> bylo zaznamenáno v podnicích s méně než 50 zaměstnanci, a sice 17 na 100 pojištěnců. A zcela nejméně případů hlásili OSVČ, konkrétně 7 na 100 OSVČ platících nemocenské pojištění.</w:t>
      </w:r>
    </w:p>
    <w:p w14:paraId="6786F2C0" w14:textId="0DCA3E7C" w:rsidR="000B07F0" w:rsidRPr="00017C11" w:rsidRDefault="000B07F0" w:rsidP="00017C11">
      <w:pPr>
        <w:jc w:val="both"/>
        <w:rPr>
          <w:rFonts w:cs="Arial"/>
        </w:rPr>
      </w:pPr>
      <w:r w:rsidRPr="000C10D7">
        <w:rPr>
          <w:rFonts w:cs="Arial"/>
        </w:rPr>
        <w:t xml:space="preserve">Dalším kritériem, podle kterého lze hodnotit pracovní neschopnost nemocensky pojištěných, je rozdělení na </w:t>
      </w:r>
      <w:r w:rsidRPr="000C10D7">
        <w:rPr>
          <w:rFonts w:cs="Arial"/>
          <w:b/>
        </w:rPr>
        <w:t>podniky domácí</w:t>
      </w:r>
      <w:r w:rsidRPr="000C10D7">
        <w:rPr>
          <w:rFonts w:cs="Arial"/>
        </w:rPr>
        <w:t xml:space="preserve"> a ty </w:t>
      </w:r>
      <w:r w:rsidRPr="000C10D7">
        <w:rPr>
          <w:rFonts w:cs="Arial"/>
          <w:b/>
        </w:rPr>
        <w:t>pod zahraniční kontrolou</w:t>
      </w:r>
      <w:r w:rsidRPr="000C10D7">
        <w:rPr>
          <w:rFonts w:cs="Arial"/>
        </w:rPr>
        <w:t xml:space="preserve">. Např. v nefinančních podnicích, které v 1. pol. 2019 zaměstnávali </w:t>
      </w:r>
      <w:r w:rsidR="00A51E70" w:rsidRPr="000C10D7">
        <w:rPr>
          <w:rFonts w:cs="Arial"/>
        </w:rPr>
        <w:t>70</w:t>
      </w:r>
      <w:r w:rsidRPr="000C10D7">
        <w:rPr>
          <w:rFonts w:cs="Arial"/>
        </w:rPr>
        <w:t xml:space="preserve"> % všech nemocensky pojištěných osob, zaměstnanci v podnicích pod zahraniční kontrolou hlásili častěji pracovní neschopnost (</w:t>
      </w:r>
      <w:r w:rsidR="00A51E70" w:rsidRPr="000C10D7">
        <w:rPr>
          <w:rFonts w:cs="Arial"/>
        </w:rPr>
        <w:t>25</w:t>
      </w:r>
      <w:r w:rsidRPr="000C10D7">
        <w:rPr>
          <w:rFonts w:cs="Arial"/>
        </w:rPr>
        <w:t xml:space="preserve"> případů na 100 nemocensky pojištěných), na rozdíl od </w:t>
      </w:r>
      <w:r w:rsidR="00893138">
        <w:rPr>
          <w:rFonts w:cs="Arial"/>
        </w:rPr>
        <w:t>zaměstnanců</w:t>
      </w:r>
      <w:r w:rsidRPr="000C10D7">
        <w:rPr>
          <w:rFonts w:cs="Arial"/>
        </w:rPr>
        <w:t xml:space="preserve"> v domácích podnicích (</w:t>
      </w:r>
      <w:r w:rsidR="00A51E70" w:rsidRPr="000C10D7">
        <w:rPr>
          <w:rFonts w:cs="Arial"/>
        </w:rPr>
        <w:t>19,5</w:t>
      </w:r>
      <w:r w:rsidRPr="000C10D7">
        <w:rPr>
          <w:rFonts w:cs="Arial"/>
        </w:rPr>
        <w:t xml:space="preserve"> nahlášených incidentů). Pracovní neschopnost zaměstnanců v domácích podnicích </w:t>
      </w:r>
      <w:r w:rsidR="000C10D7" w:rsidRPr="000C10D7">
        <w:rPr>
          <w:rFonts w:cs="Arial"/>
        </w:rPr>
        <w:t xml:space="preserve">však </w:t>
      </w:r>
      <w:r w:rsidRPr="000C10D7">
        <w:rPr>
          <w:rFonts w:cs="Arial"/>
        </w:rPr>
        <w:t xml:space="preserve">trvala v průměru o </w:t>
      </w:r>
      <w:r w:rsidR="00A51E70" w:rsidRPr="000C10D7">
        <w:rPr>
          <w:rFonts w:cs="Arial"/>
        </w:rPr>
        <w:t>7</w:t>
      </w:r>
      <w:r w:rsidRPr="000C10D7">
        <w:rPr>
          <w:rFonts w:cs="Arial"/>
        </w:rPr>
        <w:t xml:space="preserve"> dní déle (</w:t>
      </w:r>
      <w:r w:rsidR="00A51E70" w:rsidRPr="000C10D7">
        <w:rPr>
          <w:rFonts w:cs="Arial"/>
        </w:rPr>
        <w:t>46</w:t>
      </w:r>
      <w:r w:rsidR="000C10D7" w:rsidRPr="000C10D7">
        <w:rPr>
          <w:rFonts w:cs="Arial"/>
        </w:rPr>
        <w:t xml:space="preserve"> dní</w:t>
      </w:r>
      <w:r w:rsidRPr="000C10D7">
        <w:rPr>
          <w:rFonts w:cs="Arial"/>
        </w:rPr>
        <w:t>) než u podniků pod zahraniční kontrolou (</w:t>
      </w:r>
      <w:r w:rsidR="00A51E70" w:rsidRPr="000C10D7">
        <w:rPr>
          <w:rFonts w:cs="Arial"/>
        </w:rPr>
        <w:t>39</w:t>
      </w:r>
      <w:r w:rsidRPr="000C10D7">
        <w:rPr>
          <w:rFonts w:cs="Arial"/>
        </w:rPr>
        <w:t xml:space="preserve"> dn</w:t>
      </w:r>
      <w:r w:rsidR="000C10D7" w:rsidRPr="000C10D7">
        <w:rPr>
          <w:rFonts w:cs="Arial"/>
        </w:rPr>
        <w:t>í</w:t>
      </w:r>
      <w:r w:rsidRPr="000C10D7">
        <w:rPr>
          <w:rFonts w:cs="Arial"/>
        </w:rPr>
        <w:t>).</w:t>
      </w:r>
    </w:p>
    <w:p w14:paraId="3FAAA5AD" w14:textId="77777777" w:rsidR="0047735C" w:rsidRDefault="003C629F" w:rsidP="006701EE">
      <w:pPr>
        <w:pStyle w:val="Nadpis3"/>
        <w:spacing w:after="100"/>
      </w:pPr>
      <w:bookmarkStart w:id="5" w:name="_Toc23318728"/>
      <w:r>
        <w:t>4.2.2. Délka trvání dočasné pracovní neschopnosti</w:t>
      </w:r>
      <w:bookmarkEnd w:id="5"/>
    </w:p>
    <w:p w14:paraId="7A566922" w14:textId="77777777" w:rsidR="00907B59" w:rsidRDefault="00FA436A" w:rsidP="00FA436A">
      <w:pPr>
        <w:jc w:val="both"/>
      </w:pPr>
      <w:r>
        <w:t xml:space="preserve">Pro posouzení vývoje pracovní neschopnosti je důležité nejen zjištění, </w:t>
      </w:r>
      <w:r w:rsidRPr="00FA436A">
        <w:t xml:space="preserve">jak často </w:t>
      </w:r>
      <w:r>
        <w:t>zaměstnanci</w:t>
      </w:r>
      <w:r w:rsidRPr="00FA436A">
        <w:t xml:space="preserve"> do pracovní neschopnosti nastupují, </w:t>
      </w:r>
      <w:r>
        <w:t xml:space="preserve">ale i to, </w:t>
      </w:r>
      <w:r w:rsidRPr="00FA436A">
        <w:t>jak dlouho v pracovní neschopnosti zůstávají.</w:t>
      </w:r>
    </w:p>
    <w:p w14:paraId="4DE4E1E3" w14:textId="77777777" w:rsidR="00907B59" w:rsidRDefault="00907B59">
      <w:pPr>
        <w:spacing w:after="0" w:line="240" w:lineRule="auto"/>
      </w:pPr>
      <w:r>
        <w:br w:type="page"/>
      </w:r>
    </w:p>
    <w:p w14:paraId="4C9EB5EC" w14:textId="66C1C186" w:rsidR="00A96047" w:rsidRPr="00A96047" w:rsidRDefault="00A96047" w:rsidP="007508FD">
      <w:pPr>
        <w:pStyle w:val="Box1"/>
        <w:jc w:val="both"/>
        <w:rPr>
          <w:i/>
        </w:rPr>
      </w:pPr>
      <w:r w:rsidRPr="00A96047">
        <w:rPr>
          <w:b/>
          <w:i/>
        </w:rPr>
        <w:lastRenderedPageBreak/>
        <w:t>Počet kalendářních dnů dočasné pracovní neschopnosti</w:t>
      </w:r>
      <w:r w:rsidRPr="00A96047">
        <w:rPr>
          <w:i/>
        </w:rPr>
        <w:t xml:space="preserve"> – ukazatel udává celkový počet kalendářních dnů, po které byli v daném období (</w:t>
      </w:r>
      <w:r w:rsidR="007523F4">
        <w:rPr>
          <w:i/>
        </w:rPr>
        <w:t>pololetí</w:t>
      </w:r>
      <w:r w:rsidRPr="00A96047">
        <w:rPr>
          <w:i/>
        </w:rPr>
        <w:t>) nemocensky pojištění zaměstnanci práce neschopni z příčin uvedených ve formuláři „Rozhodnutí o dočasné pracovní neschopnosti“. Počet kalendářních dnů strávených v pracovní neschopnosti je zjišťován na základě hlášení o vzniku a</w:t>
      </w:r>
      <w:r w:rsidR="005A0510">
        <w:rPr>
          <w:i/>
        </w:rPr>
        <w:t> </w:t>
      </w:r>
      <w:r w:rsidRPr="00A96047">
        <w:rPr>
          <w:i/>
        </w:rPr>
        <w:t>ukončení pracovní neschopnosti. Do počtu případů a počtu kalendářních dnů pracovní neschopnosti patří i pracovní neschopnost vzniklá po zániku pojištění v tzv. ochranné lhůtě sedmi kalendářních dnů.</w:t>
      </w:r>
    </w:p>
    <w:p w14:paraId="7FB5EDEE" w14:textId="77777777" w:rsidR="00A96047" w:rsidRPr="00A96047" w:rsidRDefault="00A96047" w:rsidP="007508FD">
      <w:pPr>
        <w:pStyle w:val="Box1"/>
        <w:jc w:val="both"/>
        <w:rPr>
          <w:i/>
        </w:rPr>
      </w:pPr>
    </w:p>
    <w:p w14:paraId="0175C371" w14:textId="77777777" w:rsidR="00A96047" w:rsidRPr="00A96047" w:rsidRDefault="00A96047" w:rsidP="007508FD">
      <w:pPr>
        <w:pStyle w:val="Box1"/>
        <w:jc w:val="both"/>
        <w:rPr>
          <w:i/>
        </w:rPr>
      </w:pPr>
      <w:r w:rsidRPr="00A96047">
        <w:rPr>
          <w:b/>
          <w:i/>
        </w:rPr>
        <w:t>Průměrná délka trvání pracovní neschopnosti ve dnech</w:t>
      </w:r>
      <w:r w:rsidRPr="00A96047">
        <w:rPr>
          <w:i/>
        </w:rPr>
        <w:t xml:space="preserve"> – ukazatel vyjadřuje, kolik kalendářních dnů pracovní neschopnosti v průměru připadá na jeden nově hlášený případ pracovní neschopnosti. </w:t>
      </w:r>
    </w:p>
    <w:p w14:paraId="1DD782D2" w14:textId="77777777" w:rsidR="00A96047" w:rsidRPr="00A96047" w:rsidRDefault="00A96047" w:rsidP="007508FD">
      <w:pPr>
        <w:pStyle w:val="Box1"/>
        <w:jc w:val="both"/>
        <w:rPr>
          <w:i/>
          <w:u w:val="single"/>
        </w:rPr>
      </w:pPr>
      <w:r w:rsidRPr="00A96047">
        <w:rPr>
          <w:i/>
          <w:u w:val="single"/>
        </w:rPr>
        <w:t>Způsob výpočtu:</w:t>
      </w:r>
    </w:p>
    <w:p w14:paraId="6FC271AD" w14:textId="77777777" w:rsidR="003C629F" w:rsidRPr="00A96047" w:rsidRDefault="00A96047" w:rsidP="007508FD">
      <w:pPr>
        <w:pStyle w:val="Box1"/>
        <w:jc w:val="both"/>
        <w:rPr>
          <w:i/>
        </w:rPr>
      </w:pPr>
      <w:r w:rsidRPr="00A96047">
        <w:rPr>
          <w:i/>
        </w:rPr>
        <w:t>Průměrná délka trvání pracovní neschopnosti ve dnech = počet kalendářních dnů dočasné pracovní neschopnosti / počet nově hlášených případů dočasné pracovní neschopnosti</w:t>
      </w:r>
      <w:r w:rsidR="003C629F" w:rsidRPr="00A96047">
        <w:rPr>
          <w:i/>
        </w:rPr>
        <w:t>.</w:t>
      </w:r>
    </w:p>
    <w:p w14:paraId="1747DA0C" w14:textId="5ED1ECC0" w:rsidR="000F4A29" w:rsidRDefault="008E657B" w:rsidP="008E657B">
      <w:pPr>
        <w:jc w:val="both"/>
      </w:pPr>
      <w:r w:rsidRPr="0047002D">
        <w:t>Počet kalendářních dnů dočasné pracovní neschopnosti</w:t>
      </w:r>
      <w:r>
        <w:rPr>
          <w:b/>
        </w:rPr>
        <w:t xml:space="preserve"> </w:t>
      </w:r>
      <w:r w:rsidRPr="00A977AC">
        <w:t xml:space="preserve">je dán součtem dnů, po </w:t>
      </w:r>
      <w:r w:rsidR="00C165EF" w:rsidRPr="00A977AC">
        <w:t>kter</w:t>
      </w:r>
      <w:r w:rsidR="00C165EF">
        <w:t>é</w:t>
      </w:r>
      <w:r w:rsidR="00C165EF" w:rsidRPr="00A977AC">
        <w:t xml:space="preserve"> </w:t>
      </w:r>
      <w:r w:rsidRPr="00A977AC">
        <w:t>trvala dočasná pracovní neschopnost všech</w:t>
      </w:r>
      <w:r w:rsidR="0047002D">
        <w:t xml:space="preserve"> nově</w:t>
      </w:r>
      <w:r w:rsidRPr="00A977AC">
        <w:t xml:space="preserve"> hlášených případů. </w:t>
      </w:r>
      <w:r w:rsidR="000F4A29">
        <w:t>Sledovaný</w:t>
      </w:r>
      <w:r w:rsidRPr="00A977AC">
        <w:t xml:space="preserve"> ukazatel</w:t>
      </w:r>
      <w:r>
        <w:rPr>
          <w:b/>
        </w:rPr>
        <w:t xml:space="preserve"> </w:t>
      </w:r>
      <w:r>
        <w:t>meziročně vrostl z</w:t>
      </w:r>
      <w:r w:rsidR="0047002D">
        <w:t>e</w:t>
      </w:r>
      <w:r>
        <w:t> </w:t>
      </w:r>
      <w:r w:rsidR="000F4A29">
        <w:t>40 624</w:t>
      </w:r>
      <w:r w:rsidR="0047002D">
        <w:t xml:space="preserve"> </w:t>
      </w:r>
      <w:r>
        <w:t>tis.</w:t>
      </w:r>
      <w:r>
        <w:rPr>
          <w:sz w:val="16"/>
          <w:szCs w:val="16"/>
        </w:rPr>
        <w:t xml:space="preserve"> </w:t>
      </w:r>
      <w:r w:rsidR="0047002D">
        <w:t>prostonaných dnů v</w:t>
      </w:r>
      <w:r w:rsidR="00CD2CF0">
        <w:t> 1. pol. 201</w:t>
      </w:r>
      <w:r w:rsidR="000F4A29">
        <w:t>8</w:t>
      </w:r>
      <w:r>
        <w:t xml:space="preserve"> na </w:t>
      </w:r>
      <w:r w:rsidR="000F4A29">
        <w:t xml:space="preserve">41 578 </w:t>
      </w:r>
      <w:r>
        <w:t xml:space="preserve">tis. </w:t>
      </w:r>
      <w:r w:rsidRPr="00C55B6D">
        <w:t>dnů v</w:t>
      </w:r>
      <w:r w:rsidR="00E2797D">
        <w:t> 1. pol.</w:t>
      </w:r>
      <w:r w:rsidRPr="00C55B6D">
        <w:t xml:space="preserve"> </w:t>
      </w:r>
      <w:r w:rsidR="00E2797D">
        <w:t>201</w:t>
      </w:r>
      <w:r w:rsidR="001B5048">
        <w:t>9</w:t>
      </w:r>
      <w:r w:rsidR="00E2797D">
        <w:t xml:space="preserve"> </w:t>
      </w:r>
      <w:r w:rsidRPr="00C55B6D">
        <w:t xml:space="preserve">(tj. o </w:t>
      </w:r>
      <w:r w:rsidR="000F4A29">
        <w:t>2,3</w:t>
      </w:r>
      <w:r w:rsidRPr="00C55B6D">
        <w:t xml:space="preserve"> %)</w:t>
      </w:r>
      <w:r w:rsidR="00531B19">
        <w:t xml:space="preserve"> a </w:t>
      </w:r>
      <w:r w:rsidR="00935C87">
        <w:t>v</w:t>
      </w:r>
      <w:r w:rsidR="000F4A29">
        <w:t>ětšina dní v pracovní neschopnosti (86,2</w:t>
      </w:r>
      <w:r w:rsidR="00B3736B">
        <w:t> </w:t>
      </w:r>
      <w:r w:rsidR="000F4A29">
        <w:t>%) za 1. pol. 2019 pramenila z </w:t>
      </w:r>
      <w:r w:rsidR="000F4A29" w:rsidRPr="000F4A29">
        <w:rPr>
          <w:b/>
        </w:rPr>
        <w:t>nemoci</w:t>
      </w:r>
      <w:r w:rsidR="000F4A29">
        <w:t xml:space="preserve">, v absolutním počtu </w:t>
      </w:r>
      <w:r w:rsidR="00CA2EB1">
        <w:t>35</w:t>
      </w:r>
      <w:r w:rsidRPr="00C55B6D">
        <w:t xml:space="preserve"> </w:t>
      </w:r>
      <w:r w:rsidR="000F4A29">
        <w:t>860</w:t>
      </w:r>
      <w:r w:rsidRPr="00C55B6D">
        <w:t xml:space="preserve"> tis. </w:t>
      </w:r>
      <w:r w:rsidR="00531B19">
        <w:t>d</w:t>
      </w:r>
      <w:r w:rsidRPr="002247CA">
        <w:t>nů</w:t>
      </w:r>
      <w:r w:rsidR="000F4A29">
        <w:t xml:space="preserve">. </w:t>
      </w:r>
      <w:r w:rsidR="000F4A29" w:rsidRPr="00531B19">
        <w:rPr>
          <w:b/>
        </w:rPr>
        <w:t>Mimopracovní úrazy</w:t>
      </w:r>
      <w:r w:rsidR="000F4A29">
        <w:t xml:space="preserve"> způsobily 4</w:t>
      </w:r>
      <w:r w:rsidR="005A0510">
        <w:t> </w:t>
      </w:r>
      <w:r w:rsidR="000F4A29">
        <w:t>392</w:t>
      </w:r>
      <w:r w:rsidR="005A0510">
        <w:t> </w:t>
      </w:r>
      <w:r w:rsidR="000F4A29">
        <w:t xml:space="preserve">tis. </w:t>
      </w:r>
      <w:r w:rsidR="00531B19">
        <w:t>p</w:t>
      </w:r>
      <w:r w:rsidR="000F4A29">
        <w:t xml:space="preserve">rostonaných dní (tj. 10,6 %) a </w:t>
      </w:r>
      <w:r w:rsidR="000F4A29" w:rsidRPr="00531B19">
        <w:rPr>
          <w:b/>
        </w:rPr>
        <w:t>pracovní úrazy</w:t>
      </w:r>
      <w:r w:rsidR="000F4A29">
        <w:t xml:space="preserve"> </w:t>
      </w:r>
      <w:r w:rsidR="00CA2EB1">
        <w:t>1</w:t>
      </w:r>
      <w:r w:rsidRPr="002247CA">
        <w:t xml:space="preserve"> </w:t>
      </w:r>
      <w:r w:rsidR="00CA2EB1">
        <w:t>3</w:t>
      </w:r>
      <w:r w:rsidR="000F4A29">
        <w:t>25</w:t>
      </w:r>
      <w:r w:rsidRPr="002247CA">
        <w:t xml:space="preserve"> tis. dnů </w:t>
      </w:r>
      <w:r w:rsidR="002247CA" w:rsidRPr="002247CA">
        <w:t>(3,</w:t>
      </w:r>
      <w:r w:rsidR="000C0175">
        <w:t>2</w:t>
      </w:r>
      <w:r w:rsidR="002247CA" w:rsidRPr="002247CA">
        <w:t xml:space="preserve"> %)</w:t>
      </w:r>
      <w:r w:rsidR="000F4A29">
        <w:t>.</w:t>
      </w:r>
      <w:r w:rsidR="00531B19">
        <w:t xml:space="preserve"> Zatímco počet dnů v pracovní neschopnosti z důvodu pracovních úrazů již od 1. pol. 2015 víceméně stagnuje, počty dnů pro nemoc a pro ostatní úrazy neustále narůstají. Ženy strávily v dočasné pracovní neschopnosti celkem 22 750 tis. dní, což je o 3 922 tis. dnů více než muži.</w:t>
      </w:r>
      <w:r w:rsidR="000F0675">
        <w:t xml:space="preserve"> V porovnání s 1. pol. 2012 počet dnů v pracovní neschopnosti vzrostl o 43,5 % (o 12,6 mil. dní).</w:t>
      </w:r>
    </w:p>
    <w:p w14:paraId="76862E78" w14:textId="2AC4CDC4" w:rsidR="00DE3224" w:rsidRPr="0021605D" w:rsidRDefault="006D5CEC" w:rsidP="0064109D">
      <w:pPr>
        <w:spacing w:after="120"/>
        <w:jc w:val="both"/>
        <w:rPr>
          <w:b/>
        </w:rPr>
      </w:pPr>
      <w:r>
        <w:rPr>
          <w:b/>
        </w:rPr>
        <w:t xml:space="preserve">Tab. 2.4: </w:t>
      </w:r>
      <w:r w:rsidRPr="006D5CEC">
        <w:rPr>
          <w:b/>
        </w:rPr>
        <w:t>Kalendářní dny dočasné pracovní neschopnosti podl</w:t>
      </w:r>
      <w:r w:rsidR="00040960">
        <w:rPr>
          <w:b/>
        </w:rPr>
        <w:t>e příčiny a pohlaví v</w:t>
      </w:r>
      <w:r w:rsidR="005A0510">
        <w:rPr>
          <w:b/>
        </w:rPr>
        <w:t> </w:t>
      </w:r>
      <w:r w:rsidRPr="006D5CEC">
        <w:rPr>
          <w:b/>
        </w:rPr>
        <w:t xml:space="preserve">1. pol. </w:t>
      </w:r>
      <w:r w:rsidR="0019246C">
        <w:rPr>
          <w:b/>
        </w:rPr>
        <w:br/>
      </w:r>
      <w:r w:rsidRPr="006D5CEC">
        <w:rPr>
          <w:b/>
        </w:rPr>
        <w:t>2008 – 1.</w:t>
      </w:r>
      <w:r w:rsidR="0019246C">
        <w:rPr>
          <w:b/>
        </w:rPr>
        <w:t> </w:t>
      </w:r>
      <w:r w:rsidRPr="006D5CEC">
        <w:rPr>
          <w:b/>
        </w:rPr>
        <w:t>pol.</w:t>
      </w:r>
      <w:r w:rsidR="005A0510">
        <w:rPr>
          <w:b/>
        </w:rPr>
        <w:t> </w:t>
      </w:r>
      <w:r w:rsidRPr="006D5CEC">
        <w:rPr>
          <w:b/>
        </w:rPr>
        <w:t>2019</w:t>
      </w:r>
    </w:p>
    <w:tbl>
      <w:tblPr>
        <w:tblW w:w="9520" w:type="dxa"/>
        <w:tblCellMar>
          <w:left w:w="70" w:type="dxa"/>
          <w:right w:w="70" w:type="dxa"/>
        </w:tblCellMar>
        <w:tblLook w:val="04A0" w:firstRow="1" w:lastRow="0" w:firstColumn="1" w:lastColumn="0" w:noHBand="0" w:noVBand="1"/>
      </w:tblPr>
      <w:tblGrid>
        <w:gridCol w:w="1019"/>
        <w:gridCol w:w="819"/>
        <w:gridCol w:w="652"/>
        <w:gridCol w:w="652"/>
        <w:gridCol w:w="822"/>
        <w:gridCol w:w="652"/>
        <w:gridCol w:w="652"/>
        <w:gridCol w:w="822"/>
        <w:gridCol w:w="652"/>
        <w:gridCol w:w="652"/>
        <w:gridCol w:w="822"/>
        <w:gridCol w:w="652"/>
        <w:gridCol w:w="652"/>
      </w:tblGrid>
      <w:tr w:rsidR="006D5CEC" w:rsidRPr="006D5CEC" w14:paraId="26282833" w14:textId="77777777" w:rsidTr="006D5CEC">
        <w:trPr>
          <w:trHeight w:val="300"/>
        </w:trPr>
        <w:tc>
          <w:tcPr>
            <w:tcW w:w="1019" w:type="dxa"/>
            <w:vMerge w:val="restart"/>
            <w:tcBorders>
              <w:top w:val="single" w:sz="4" w:space="0" w:color="auto"/>
              <w:left w:val="nil"/>
              <w:bottom w:val="single" w:sz="4" w:space="0" w:color="auto"/>
              <w:right w:val="single" w:sz="4" w:space="0" w:color="auto"/>
            </w:tcBorders>
            <w:shd w:val="clear" w:color="000000" w:fill="F5DADD"/>
            <w:vAlign w:val="center"/>
            <w:hideMark/>
          </w:tcPr>
          <w:p w14:paraId="475CC9AA" w14:textId="77777777" w:rsidR="006D5CEC" w:rsidRPr="006D5CEC" w:rsidRDefault="006D5CEC" w:rsidP="006D5CEC">
            <w:pPr>
              <w:spacing w:after="0" w:line="240" w:lineRule="auto"/>
              <w:jc w:val="center"/>
              <w:rPr>
                <w:rFonts w:cs="Arial"/>
                <w:sz w:val="16"/>
                <w:szCs w:val="16"/>
              </w:rPr>
            </w:pPr>
            <w:r w:rsidRPr="006D5CEC">
              <w:rPr>
                <w:rFonts w:cs="Arial"/>
                <w:sz w:val="16"/>
                <w:szCs w:val="16"/>
              </w:rPr>
              <w:t>Rok</w:t>
            </w:r>
          </w:p>
        </w:tc>
        <w:tc>
          <w:tcPr>
            <w:tcW w:w="8501" w:type="dxa"/>
            <w:gridSpan w:val="12"/>
            <w:tcBorders>
              <w:top w:val="single" w:sz="4" w:space="0" w:color="auto"/>
              <w:left w:val="nil"/>
              <w:bottom w:val="single" w:sz="4" w:space="0" w:color="auto"/>
              <w:right w:val="nil"/>
            </w:tcBorders>
            <w:shd w:val="clear" w:color="000000" w:fill="F2DBDB"/>
            <w:vAlign w:val="center"/>
            <w:hideMark/>
          </w:tcPr>
          <w:p w14:paraId="4DB14EC8" w14:textId="77777777" w:rsidR="006D5CEC" w:rsidRPr="006D5CEC" w:rsidRDefault="006D5CEC" w:rsidP="006D5CEC">
            <w:pPr>
              <w:spacing w:after="0" w:line="240" w:lineRule="auto"/>
              <w:jc w:val="center"/>
              <w:rPr>
                <w:rFonts w:cs="Arial"/>
                <w:sz w:val="16"/>
                <w:szCs w:val="16"/>
              </w:rPr>
            </w:pPr>
            <w:r w:rsidRPr="006D5CEC">
              <w:rPr>
                <w:rFonts w:cs="Arial"/>
                <w:sz w:val="16"/>
                <w:szCs w:val="16"/>
              </w:rPr>
              <w:t>Počet kalendářních dnů pracovní neschopnosti (v tis.)</w:t>
            </w:r>
          </w:p>
        </w:tc>
      </w:tr>
      <w:tr w:rsidR="006D5CEC" w:rsidRPr="006D5CEC" w14:paraId="2436BCD4" w14:textId="77777777" w:rsidTr="006D5CEC">
        <w:trPr>
          <w:trHeight w:val="480"/>
        </w:trPr>
        <w:tc>
          <w:tcPr>
            <w:tcW w:w="1019" w:type="dxa"/>
            <w:vMerge/>
            <w:tcBorders>
              <w:top w:val="single" w:sz="4" w:space="0" w:color="auto"/>
              <w:left w:val="nil"/>
              <w:bottom w:val="single" w:sz="4" w:space="0" w:color="auto"/>
              <w:right w:val="single" w:sz="4" w:space="0" w:color="auto"/>
            </w:tcBorders>
            <w:vAlign w:val="center"/>
            <w:hideMark/>
          </w:tcPr>
          <w:p w14:paraId="6D9AE253" w14:textId="77777777" w:rsidR="006D5CEC" w:rsidRPr="006D5CEC" w:rsidRDefault="006D5CEC" w:rsidP="006D5CEC">
            <w:pPr>
              <w:spacing w:after="0" w:line="240" w:lineRule="auto"/>
              <w:rPr>
                <w:rFonts w:cs="Arial"/>
                <w:sz w:val="16"/>
                <w:szCs w:val="16"/>
              </w:rPr>
            </w:pPr>
          </w:p>
        </w:tc>
        <w:tc>
          <w:tcPr>
            <w:tcW w:w="819" w:type="dxa"/>
            <w:vMerge w:val="restart"/>
            <w:tcBorders>
              <w:top w:val="nil"/>
              <w:left w:val="single" w:sz="4" w:space="0" w:color="auto"/>
              <w:bottom w:val="single" w:sz="4" w:space="0" w:color="auto"/>
              <w:right w:val="single" w:sz="4" w:space="0" w:color="auto"/>
            </w:tcBorders>
            <w:shd w:val="clear" w:color="000000" w:fill="F2DBDB"/>
            <w:vAlign w:val="center"/>
            <w:hideMark/>
          </w:tcPr>
          <w:p w14:paraId="69E97406" w14:textId="77777777" w:rsidR="006D5CEC" w:rsidRPr="006D5CEC" w:rsidRDefault="006D5CEC" w:rsidP="006D5CEC">
            <w:pPr>
              <w:spacing w:after="0" w:line="240" w:lineRule="auto"/>
              <w:jc w:val="center"/>
              <w:rPr>
                <w:rFonts w:cs="Arial"/>
                <w:sz w:val="16"/>
                <w:szCs w:val="16"/>
              </w:rPr>
            </w:pPr>
            <w:r w:rsidRPr="006D5CEC">
              <w:rPr>
                <w:rFonts w:cs="Arial"/>
                <w:sz w:val="16"/>
                <w:szCs w:val="16"/>
              </w:rPr>
              <w:t>Celkem</w:t>
            </w:r>
          </w:p>
        </w:tc>
        <w:tc>
          <w:tcPr>
            <w:tcW w:w="1304" w:type="dxa"/>
            <w:gridSpan w:val="2"/>
            <w:tcBorders>
              <w:top w:val="single" w:sz="4" w:space="0" w:color="auto"/>
              <w:left w:val="nil"/>
              <w:bottom w:val="single" w:sz="4" w:space="0" w:color="auto"/>
              <w:right w:val="single" w:sz="4" w:space="0" w:color="auto"/>
            </w:tcBorders>
            <w:shd w:val="clear" w:color="000000" w:fill="F2DBDB"/>
            <w:vAlign w:val="center"/>
            <w:hideMark/>
          </w:tcPr>
          <w:p w14:paraId="3C14FD58" w14:textId="77777777" w:rsidR="006D5CEC" w:rsidRPr="006D5CEC" w:rsidRDefault="006D5CEC" w:rsidP="006D5CEC">
            <w:pPr>
              <w:spacing w:after="0" w:line="240" w:lineRule="auto"/>
              <w:jc w:val="center"/>
              <w:rPr>
                <w:rFonts w:cs="Arial"/>
                <w:sz w:val="16"/>
                <w:szCs w:val="16"/>
              </w:rPr>
            </w:pPr>
            <w:r w:rsidRPr="006D5CEC">
              <w:rPr>
                <w:rFonts w:cs="Arial"/>
                <w:sz w:val="16"/>
                <w:szCs w:val="16"/>
              </w:rPr>
              <w:t>podle pohlaví</w:t>
            </w:r>
          </w:p>
        </w:tc>
        <w:tc>
          <w:tcPr>
            <w:tcW w:w="822" w:type="dxa"/>
            <w:vMerge w:val="restart"/>
            <w:tcBorders>
              <w:top w:val="nil"/>
              <w:left w:val="single" w:sz="4" w:space="0" w:color="auto"/>
              <w:right w:val="single" w:sz="4" w:space="0" w:color="auto"/>
            </w:tcBorders>
            <w:shd w:val="clear" w:color="000000" w:fill="F2DBDB"/>
            <w:vAlign w:val="center"/>
            <w:hideMark/>
          </w:tcPr>
          <w:p w14:paraId="0C47F9C8" w14:textId="77777777" w:rsidR="006D5CEC" w:rsidRPr="006D5CEC" w:rsidRDefault="006D5CEC" w:rsidP="006D5CEC">
            <w:pPr>
              <w:spacing w:after="0" w:line="240" w:lineRule="auto"/>
              <w:jc w:val="center"/>
              <w:rPr>
                <w:rFonts w:cs="Arial"/>
                <w:sz w:val="16"/>
                <w:szCs w:val="16"/>
              </w:rPr>
            </w:pPr>
            <w:r w:rsidRPr="006D5CEC">
              <w:rPr>
                <w:rFonts w:cs="Arial"/>
                <w:sz w:val="16"/>
                <w:szCs w:val="16"/>
              </w:rPr>
              <w:t>Celkem pro nemoc</w:t>
            </w:r>
          </w:p>
        </w:tc>
        <w:tc>
          <w:tcPr>
            <w:tcW w:w="1304" w:type="dxa"/>
            <w:gridSpan w:val="2"/>
            <w:tcBorders>
              <w:top w:val="single" w:sz="4" w:space="0" w:color="auto"/>
              <w:left w:val="nil"/>
              <w:bottom w:val="single" w:sz="4" w:space="0" w:color="auto"/>
              <w:right w:val="single" w:sz="4" w:space="0" w:color="auto"/>
            </w:tcBorders>
            <w:shd w:val="clear" w:color="000000" w:fill="F2DBDB"/>
            <w:vAlign w:val="center"/>
            <w:hideMark/>
          </w:tcPr>
          <w:p w14:paraId="404614D8" w14:textId="77777777" w:rsidR="006D5CEC" w:rsidRPr="006D5CEC" w:rsidRDefault="006D5CEC" w:rsidP="006D5CEC">
            <w:pPr>
              <w:spacing w:after="0" w:line="240" w:lineRule="auto"/>
              <w:jc w:val="center"/>
              <w:rPr>
                <w:rFonts w:cs="Arial"/>
                <w:sz w:val="16"/>
                <w:szCs w:val="16"/>
              </w:rPr>
            </w:pPr>
            <w:r w:rsidRPr="006D5CEC">
              <w:rPr>
                <w:rFonts w:cs="Arial"/>
                <w:sz w:val="16"/>
                <w:szCs w:val="16"/>
              </w:rPr>
              <w:t>podle pohlaví</w:t>
            </w:r>
          </w:p>
        </w:tc>
        <w:tc>
          <w:tcPr>
            <w:tcW w:w="822" w:type="dxa"/>
            <w:vMerge w:val="restart"/>
            <w:tcBorders>
              <w:top w:val="nil"/>
              <w:left w:val="single" w:sz="4" w:space="0" w:color="auto"/>
              <w:right w:val="single" w:sz="4" w:space="0" w:color="auto"/>
            </w:tcBorders>
            <w:shd w:val="clear" w:color="000000" w:fill="F2DBDB"/>
            <w:vAlign w:val="center"/>
            <w:hideMark/>
          </w:tcPr>
          <w:p w14:paraId="5B9A7C3B" w14:textId="77777777" w:rsidR="006D5CEC" w:rsidRPr="006D5CEC" w:rsidRDefault="006D5CEC" w:rsidP="006D5CEC">
            <w:pPr>
              <w:spacing w:after="0" w:line="240" w:lineRule="auto"/>
              <w:jc w:val="center"/>
              <w:rPr>
                <w:rFonts w:cs="Arial"/>
                <w:sz w:val="16"/>
                <w:szCs w:val="16"/>
              </w:rPr>
            </w:pPr>
            <w:r w:rsidRPr="006D5CEC">
              <w:rPr>
                <w:rFonts w:cs="Arial"/>
                <w:sz w:val="16"/>
                <w:szCs w:val="16"/>
              </w:rPr>
              <w:t>Celkem pro pracovní úrazy</w:t>
            </w:r>
          </w:p>
        </w:tc>
        <w:tc>
          <w:tcPr>
            <w:tcW w:w="1304" w:type="dxa"/>
            <w:gridSpan w:val="2"/>
            <w:tcBorders>
              <w:top w:val="single" w:sz="4" w:space="0" w:color="auto"/>
              <w:left w:val="nil"/>
              <w:bottom w:val="single" w:sz="4" w:space="0" w:color="auto"/>
              <w:right w:val="single" w:sz="4" w:space="0" w:color="auto"/>
            </w:tcBorders>
            <w:shd w:val="clear" w:color="000000" w:fill="F2DBDB"/>
            <w:vAlign w:val="center"/>
            <w:hideMark/>
          </w:tcPr>
          <w:p w14:paraId="509CD480" w14:textId="77777777" w:rsidR="006D5CEC" w:rsidRPr="006D5CEC" w:rsidRDefault="006D5CEC" w:rsidP="006D5CEC">
            <w:pPr>
              <w:spacing w:after="0" w:line="240" w:lineRule="auto"/>
              <w:jc w:val="center"/>
              <w:rPr>
                <w:rFonts w:cs="Arial"/>
                <w:sz w:val="16"/>
                <w:szCs w:val="16"/>
              </w:rPr>
            </w:pPr>
            <w:r w:rsidRPr="006D5CEC">
              <w:rPr>
                <w:rFonts w:cs="Arial"/>
                <w:sz w:val="16"/>
                <w:szCs w:val="16"/>
              </w:rPr>
              <w:t>podle pohlaví</w:t>
            </w:r>
          </w:p>
        </w:tc>
        <w:tc>
          <w:tcPr>
            <w:tcW w:w="822" w:type="dxa"/>
            <w:vMerge w:val="restart"/>
            <w:tcBorders>
              <w:top w:val="nil"/>
              <w:left w:val="single" w:sz="4" w:space="0" w:color="auto"/>
              <w:right w:val="single" w:sz="4" w:space="0" w:color="auto"/>
            </w:tcBorders>
            <w:shd w:val="clear" w:color="000000" w:fill="F2DBDB"/>
            <w:vAlign w:val="center"/>
            <w:hideMark/>
          </w:tcPr>
          <w:p w14:paraId="2B911003" w14:textId="77777777" w:rsidR="006D5CEC" w:rsidRPr="006D5CEC" w:rsidRDefault="006D5CEC" w:rsidP="006D5CEC">
            <w:pPr>
              <w:spacing w:after="0" w:line="240" w:lineRule="auto"/>
              <w:jc w:val="center"/>
              <w:rPr>
                <w:rFonts w:cs="Arial"/>
                <w:sz w:val="16"/>
                <w:szCs w:val="16"/>
              </w:rPr>
            </w:pPr>
            <w:r w:rsidRPr="006D5CEC">
              <w:rPr>
                <w:rFonts w:cs="Arial"/>
                <w:sz w:val="16"/>
                <w:szCs w:val="16"/>
              </w:rPr>
              <w:t>Celkem pro ostatní úrazy</w:t>
            </w:r>
          </w:p>
        </w:tc>
        <w:tc>
          <w:tcPr>
            <w:tcW w:w="1304" w:type="dxa"/>
            <w:gridSpan w:val="2"/>
            <w:tcBorders>
              <w:top w:val="single" w:sz="4" w:space="0" w:color="auto"/>
              <w:left w:val="nil"/>
              <w:bottom w:val="single" w:sz="4" w:space="0" w:color="auto"/>
            </w:tcBorders>
            <w:shd w:val="clear" w:color="000000" w:fill="F2DBDB"/>
            <w:vAlign w:val="center"/>
            <w:hideMark/>
          </w:tcPr>
          <w:p w14:paraId="772010F0" w14:textId="77777777" w:rsidR="006D5CEC" w:rsidRPr="006D5CEC" w:rsidRDefault="006D5CEC" w:rsidP="006D5CEC">
            <w:pPr>
              <w:spacing w:after="0" w:line="240" w:lineRule="auto"/>
              <w:jc w:val="center"/>
              <w:rPr>
                <w:rFonts w:cs="Arial"/>
                <w:sz w:val="16"/>
                <w:szCs w:val="16"/>
              </w:rPr>
            </w:pPr>
            <w:r w:rsidRPr="006D5CEC">
              <w:rPr>
                <w:rFonts w:cs="Arial"/>
                <w:sz w:val="16"/>
                <w:szCs w:val="16"/>
              </w:rPr>
              <w:t>podle pohlaví</w:t>
            </w:r>
          </w:p>
        </w:tc>
      </w:tr>
      <w:tr w:rsidR="006D5CEC" w:rsidRPr="006D5CEC" w14:paraId="6CE27C5A" w14:textId="77777777" w:rsidTr="006D5CEC">
        <w:trPr>
          <w:trHeight w:val="525"/>
        </w:trPr>
        <w:tc>
          <w:tcPr>
            <w:tcW w:w="1019" w:type="dxa"/>
            <w:vMerge/>
            <w:tcBorders>
              <w:top w:val="single" w:sz="4" w:space="0" w:color="auto"/>
              <w:left w:val="nil"/>
              <w:bottom w:val="single" w:sz="4" w:space="0" w:color="auto"/>
              <w:right w:val="single" w:sz="4" w:space="0" w:color="auto"/>
            </w:tcBorders>
            <w:vAlign w:val="center"/>
            <w:hideMark/>
          </w:tcPr>
          <w:p w14:paraId="62F6CB62" w14:textId="77777777" w:rsidR="006D5CEC" w:rsidRPr="006D5CEC" w:rsidRDefault="006D5CEC" w:rsidP="006D5CEC">
            <w:pPr>
              <w:spacing w:after="0" w:line="240" w:lineRule="auto"/>
              <w:rPr>
                <w:rFonts w:cs="Arial"/>
                <w:sz w:val="16"/>
                <w:szCs w:val="16"/>
              </w:rPr>
            </w:pPr>
          </w:p>
        </w:tc>
        <w:tc>
          <w:tcPr>
            <w:tcW w:w="819" w:type="dxa"/>
            <w:vMerge/>
            <w:tcBorders>
              <w:top w:val="nil"/>
              <w:left w:val="single" w:sz="4" w:space="0" w:color="auto"/>
              <w:bottom w:val="single" w:sz="4" w:space="0" w:color="auto"/>
              <w:right w:val="single" w:sz="4" w:space="0" w:color="auto"/>
            </w:tcBorders>
            <w:vAlign w:val="center"/>
            <w:hideMark/>
          </w:tcPr>
          <w:p w14:paraId="30E55B8C" w14:textId="77777777" w:rsidR="006D5CEC" w:rsidRPr="006D5CEC" w:rsidRDefault="006D5CEC" w:rsidP="006D5CEC">
            <w:pPr>
              <w:spacing w:after="0" w:line="240" w:lineRule="auto"/>
              <w:rPr>
                <w:rFonts w:cs="Arial"/>
                <w:sz w:val="16"/>
                <w:szCs w:val="16"/>
              </w:rPr>
            </w:pPr>
          </w:p>
        </w:tc>
        <w:tc>
          <w:tcPr>
            <w:tcW w:w="652" w:type="dxa"/>
            <w:tcBorders>
              <w:top w:val="nil"/>
              <w:left w:val="nil"/>
              <w:bottom w:val="nil"/>
              <w:right w:val="single" w:sz="4" w:space="0" w:color="auto"/>
            </w:tcBorders>
            <w:shd w:val="clear" w:color="000000" w:fill="F2DBDB"/>
            <w:vAlign w:val="center"/>
            <w:hideMark/>
          </w:tcPr>
          <w:p w14:paraId="69F5E7BE" w14:textId="77777777" w:rsidR="006D5CEC" w:rsidRPr="006D5CEC" w:rsidRDefault="006D5CEC" w:rsidP="006D5CEC">
            <w:pPr>
              <w:spacing w:after="0" w:line="240" w:lineRule="auto"/>
              <w:jc w:val="center"/>
              <w:rPr>
                <w:rFonts w:cs="Arial"/>
                <w:sz w:val="16"/>
                <w:szCs w:val="16"/>
              </w:rPr>
            </w:pPr>
            <w:r w:rsidRPr="006D5CEC">
              <w:rPr>
                <w:rFonts w:cs="Arial"/>
                <w:sz w:val="16"/>
                <w:szCs w:val="16"/>
              </w:rPr>
              <w:t>muži</w:t>
            </w:r>
          </w:p>
        </w:tc>
        <w:tc>
          <w:tcPr>
            <w:tcW w:w="652" w:type="dxa"/>
            <w:tcBorders>
              <w:top w:val="nil"/>
              <w:left w:val="nil"/>
              <w:bottom w:val="nil"/>
              <w:right w:val="single" w:sz="4" w:space="0" w:color="auto"/>
            </w:tcBorders>
            <w:shd w:val="clear" w:color="000000" w:fill="F2DBDB"/>
            <w:vAlign w:val="center"/>
            <w:hideMark/>
          </w:tcPr>
          <w:p w14:paraId="19C854B8" w14:textId="77777777" w:rsidR="006D5CEC" w:rsidRPr="006D5CEC" w:rsidRDefault="006D5CEC" w:rsidP="006D5CEC">
            <w:pPr>
              <w:spacing w:after="0" w:line="240" w:lineRule="auto"/>
              <w:jc w:val="center"/>
              <w:rPr>
                <w:rFonts w:cs="Arial"/>
                <w:sz w:val="16"/>
                <w:szCs w:val="16"/>
              </w:rPr>
            </w:pPr>
            <w:r w:rsidRPr="006D5CEC">
              <w:rPr>
                <w:rFonts w:cs="Arial"/>
                <w:sz w:val="16"/>
                <w:szCs w:val="16"/>
              </w:rPr>
              <w:t>ženy</w:t>
            </w:r>
          </w:p>
        </w:tc>
        <w:tc>
          <w:tcPr>
            <w:tcW w:w="822" w:type="dxa"/>
            <w:vMerge/>
            <w:tcBorders>
              <w:left w:val="single" w:sz="4" w:space="0" w:color="auto"/>
              <w:bottom w:val="single" w:sz="4" w:space="0" w:color="auto"/>
              <w:right w:val="single" w:sz="4" w:space="0" w:color="auto"/>
            </w:tcBorders>
            <w:vAlign w:val="center"/>
            <w:hideMark/>
          </w:tcPr>
          <w:p w14:paraId="3566D183" w14:textId="77777777" w:rsidR="006D5CEC" w:rsidRPr="006D5CEC" w:rsidRDefault="006D5CEC" w:rsidP="006D5CEC">
            <w:pPr>
              <w:spacing w:after="0" w:line="240" w:lineRule="auto"/>
              <w:rPr>
                <w:rFonts w:cs="Arial"/>
                <w:sz w:val="16"/>
                <w:szCs w:val="16"/>
              </w:rPr>
            </w:pPr>
          </w:p>
        </w:tc>
        <w:tc>
          <w:tcPr>
            <w:tcW w:w="652" w:type="dxa"/>
            <w:tcBorders>
              <w:top w:val="nil"/>
              <w:left w:val="nil"/>
              <w:bottom w:val="nil"/>
              <w:right w:val="single" w:sz="4" w:space="0" w:color="auto"/>
            </w:tcBorders>
            <w:shd w:val="clear" w:color="000000" w:fill="F2DBDB"/>
            <w:vAlign w:val="center"/>
            <w:hideMark/>
          </w:tcPr>
          <w:p w14:paraId="4480710C" w14:textId="77777777" w:rsidR="006D5CEC" w:rsidRPr="006D5CEC" w:rsidRDefault="006D5CEC" w:rsidP="006D5CEC">
            <w:pPr>
              <w:spacing w:after="0" w:line="240" w:lineRule="auto"/>
              <w:jc w:val="center"/>
              <w:rPr>
                <w:rFonts w:cs="Arial"/>
                <w:sz w:val="16"/>
                <w:szCs w:val="16"/>
              </w:rPr>
            </w:pPr>
            <w:r w:rsidRPr="006D5CEC">
              <w:rPr>
                <w:rFonts w:cs="Arial"/>
                <w:sz w:val="16"/>
                <w:szCs w:val="16"/>
              </w:rPr>
              <w:t>muži</w:t>
            </w:r>
          </w:p>
        </w:tc>
        <w:tc>
          <w:tcPr>
            <w:tcW w:w="652" w:type="dxa"/>
            <w:tcBorders>
              <w:top w:val="nil"/>
              <w:left w:val="nil"/>
              <w:bottom w:val="nil"/>
              <w:right w:val="single" w:sz="4" w:space="0" w:color="auto"/>
            </w:tcBorders>
            <w:shd w:val="clear" w:color="000000" w:fill="F2DBDB"/>
            <w:vAlign w:val="center"/>
            <w:hideMark/>
          </w:tcPr>
          <w:p w14:paraId="0E7DA6C3" w14:textId="77777777" w:rsidR="006D5CEC" w:rsidRPr="006D5CEC" w:rsidRDefault="006D5CEC" w:rsidP="006D5CEC">
            <w:pPr>
              <w:spacing w:after="0" w:line="240" w:lineRule="auto"/>
              <w:jc w:val="center"/>
              <w:rPr>
                <w:rFonts w:cs="Arial"/>
                <w:sz w:val="16"/>
                <w:szCs w:val="16"/>
              </w:rPr>
            </w:pPr>
            <w:r w:rsidRPr="006D5CEC">
              <w:rPr>
                <w:rFonts w:cs="Arial"/>
                <w:sz w:val="16"/>
                <w:szCs w:val="16"/>
              </w:rPr>
              <w:t>ženy</w:t>
            </w:r>
          </w:p>
        </w:tc>
        <w:tc>
          <w:tcPr>
            <w:tcW w:w="822" w:type="dxa"/>
            <w:vMerge/>
            <w:tcBorders>
              <w:left w:val="single" w:sz="4" w:space="0" w:color="auto"/>
              <w:bottom w:val="single" w:sz="4" w:space="0" w:color="auto"/>
              <w:right w:val="single" w:sz="4" w:space="0" w:color="auto"/>
            </w:tcBorders>
            <w:vAlign w:val="center"/>
            <w:hideMark/>
          </w:tcPr>
          <w:p w14:paraId="057352AC" w14:textId="77777777" w:rsidR="006D5CEC" w:rsidRPr="006D5CEC" w:rsidRDefault="006D5CEC" w:rsidP="006D5CEC">
            <w:pPr>
              <w:spacing w:after="0" w:line="240" w:lineRule="auto"/>
              <w:rPr>
                <w:rFonts w:cs="Arial"/>
                <w:sz w:val="16"/>
                <w:szCs w:val="16"/>
              </w:rPr>
            </w:pPr>
          </w:p>
        </w:tc>
        <w:tc>
          <w:tcPr>
            <w:tcW w:w="652" w:type="dxa"/>
            <w:tcBorders>
              <w:top w:val="nil"/>
              <w:left w:val="nil"/>
              <w:bottom w:val="nil"/>
              <w:right w:val="single" w:sz="4" w:space="0" w:color="auto"/>
            </w:tcBorders>
            <w:shd w:val="clear" w:color="000000" w:fill="F2DBDB"/>
            <w:vAlign w:val="center"/>
            <w:hideMark/>
          </w:tcPr>
          <w:p w14:paraId="34373D11" w14:textId="77777777" w:rsidR="006D5CEC" w:rsidRPr="006D5CEC" w:rsidRDefault="006D5CEC" w:rsidP="006D5CEC">
            <w:pPr>
              <w:spacing w:after="0" w:line="240" w:lineRule="auto"/>
              <w:jc w:val="center"/>
              <w:rPr>
                <w:rFonts w:cs="Arial"/>
                <w:sz w:val="16"/>
                <w:szCs w:val="16"/>
              </w:rPr>
            </w:pPr>
            <w:r w:rsidRPr="006D5CEC">
              <w:rPr>
                <w:rFonts w:cs="Arial"/>
                <w:sz w:val="16"/>
                <w:szCs w:val="16"/>
              </w:rPr>
              <w:t>muži</w:t>
            </w:r>
          </w:p>
        </w:tc>
        <w:tc>
          <w:tcPr>
            <w:tcW w:w="652" w:type="dxa"/>
            <w:tcBorders>
              <w:top w:val="nil"/>
              <w:left w:val="nil"/>
              <w:bottom w:val="nil"/>
              <w:right w:val="nil"/>
            </w:tcBorders>
            <w:shd w:val="clear" w:color="000000" w:fill="F2DBDB"/>
            <w:vAlign w:val="center"/>
            <w:hideMark/>
          </w:tcPr>
          <w:p w14:paraId="462E91F0" w14:textId="77777777" w:rsidR="006D5CEC" w:rsidRPr="006D5CEC" w:rsidRDefault="006D5CEC" w:rsidP="006D5CEC">
            <w:pPr>
              <w:spacing w:after="0" w:line="240" w:lineRule="auto"/>
              <w:jc w:val="center"/>
              <w:rPr>
                <w:rFonts w:cs="Arial"/>
                <w:sz w:val="16"/>
                <w:szCs w:val="16"/>
              </w:rPr>
            </w:pPr>
            <w:r w:rsidRPr="006D5CEC">
              <w:rPr>
                <w:rFonts w:cs="Arial"/>
                <w:sz w:val="16"/>
                <w:szCs w:val="16"/>
              </w:rPr>
              <w:t>ženy</w:t>
            </w:r>
          </w:p>
        </w:tc>
        <w:tc>
          <w:tcPr>
            <w:tcW w:w="822" w:type="dxa"/>
            <w:vMerge/>
            <w:tcBorders>
              <w:left w:val="single" w:sz="4" w:space="0" w:color="auto"/>
              <w:bottom w:val="single" w:sz="4" w:space="0" w:color="auto"/>
              <w:right w:val="single" w:sz="4" w:space="0" w:color="auto"/>
            </w:tcBorders>
            <w:vAlign w:val="center"/>
            <w:hideMark/>
          </w:tcPr>
          <w:p w14:paraId="03A17916" w14:textId="77777777" w:rsidR="006D5CEC" w:rsidRPr="006D5CEC" w:rsidRDefault="006D5CEC" w:rsidP="006D5CEC">
            <w:pPr>
              <w:spacing w:after="0" w:line="240" w:lineRule="auto"/>
              <w:rPr>
                <w:rFonts w:cs="Arial"/>
                <w:sz w:val="16"/>
                <w:szCs w:val="16"/>
              </w:rPr>
            </w:pPr>
          </w:p>
        </w:tc>
        <w:tc>
          <w:tcPr>
            <w:tcW w:w="652" w:type="dxa"/>
            <w:tcBorders>
              <w:top w:val="nil"/>
              <w:left w:val="nil"/>
              <w:bottom w:val="nil"/>
              <w:right w:val="single" w:sz="4" w:space="0" w:color="auto"/>
            </w:tcBorders>
            <w:shd w:val="clear" w:color="000000" w:fill="F2DBDB"/>
            <w:vAlign w:val="center"/>
            <w:hideMark/>
          </w:tcPr>
          <w:p w14:paraId="64AEECC0" w14:textId="77777777" w:rsidR="006D5CEC" w:rsidRPr="006D5CEC" w:rsidRDefault="006D5CEC" w:rsidP="006D5CEC">
            <w:pPr>
              <w:spacing w:after="0" w:line="240" w:lineRule="auto"/>
              <w:jc w:val="center"/>
              <w:rPr>
                <w:rFonts w:cs="Arial"/>
                <w:sz w:val="16"/>
                <w:szCs w:val="16"/>
              </w:rPr>
            </w:pPr>
            <w:r w:rsidRPr="006D5CEC">
              <w:rPr>
                <w:rFonts w:cs="Arial"/>
                <w:sz w:val="16"/>
                <w:szCs w:val="16"/>
              </w:rPr>
              <w:t>muži</w:t>
            </w:r>
          </w:p>
        </w:tc>
        <w:tc>
          <w:tcPr>
            <w:tcW w:w="652" w:type="dxa"/>
            <w:tcBorders>
              <w:top w:val="nil"/>
              <w:left w:val="nil"/>
              <w:bottom w:val="nil"/>
              <w:right w:val="nil"/>
            </w:tcBorders>
            <w:shd w:val="clear" w:color="000000" w:fill="F2DBDB"/>
            <w:vAlign w:val="center"/>
            <w:hideMark/>
          </w:tcPr>
          <w:p w14:paraId="25BD5E97" w14:textId="77777777" w:rsidR="006D5CEC" w:rsidRPr="006D5CEC" w:rsidRDefault="006D5CEC" w:rsidP="006D5CEC">
            <w:pPr>
              <w:spacing w:after="0" w:line="240" w:lineRule="auto"/>
              <w:jc w:val="center"/>
              <w:rPr>
                <w:rFonts w:cs="Arial"/>
                <w:sz w:val="16"/>
                <w:szCs w:val="16"/>
              </w:rPr>
            </w:pPr>
            <w:r w:rsidRPr="006D5CEC">
              <w:rPr>
                <w:rFonts w:cs="Arial"/>
                <w:sz w:val="16"/>
                <w:szCs w:val="16"/>
              </w:rPr>
              <w:t>ženy</w:t>
            </w:r>
          </w:p>
        </w:tc>
      </w:tr>
      <w:tr w:rsidR="006D5CEC" w:rsidRPr="006D5CEC" w14:paraId="17C34493" w14:textId="77777777" w:rsidTr="00531B19">
        <w:trPr>
          <w:trHeight w:val="300"/>
        </w:trPr>
        <w:tc>
          <w:tcPr>
            <w:tcW w:w="1019" w:type="dxa"/>
            <w:tcBorders>
              <w:top w:val="single" w:sz="4" w:space="0" w:color="auto"/>
              <w:left w:val="nil"/>
              <w:bottom w:val="nil"/>
              <w:right w:val="single" w:sz="4" w:space="0" w:color="auto"/>
            </w:tcBorders>
            <w:shd w:val="clear" w:color="auto" w:fill="auto"/>
            <w:vAlign w:val="center"/>
            <w:hideMark/>
          </w:tcPr>
          <w:p w14:paraId="47C97D0F" w14:textId="77777777" w:rsidR="006D5CEC" w:rsidRPr="006D5CEC" w:rsidRDefault="006D5CEC" w:rsidP="00531B19">
            <w:pPr>
              <w:spacing w:after="0" w:line="240" w:lineRule="auto"/>
              <w:jc w:val="right"/>
              <w:rPr>
                <w:rFonts w:cs="Arial"/>
                <w:sz w:val="16"/>
                <w:szCs w:val="16"/>
              </w:rPr>
            </w:pPr>
            <w:r w:rsidRPr="006D5CEC">
              <w:rPr>
                <w:rFonts w:cs="Arial"/>
                <w:sz w:val="16"/>
                <w:szCs w:val="16"/>
              </w:rPr>
              <w:t>1. pol. 2008</w:t>
            </w:r>
          </w:p>
        </w:tc>
        <w:tc>
          <w:tcPr>
            <w:tcW w:w="819" w:type="dxa"/>
            <w:tcBorders>
              <w:top w:val="single" w:sz="4" w:space="0" w:color="auto"/>
              <w:left w:val="nil"/>
              <w:bottom w:val="nil"/>
              <w:right w:val="nil"/>
            </w:tcBorders>
            <w:shd w:val="clear" w:color="auto" w:fill="auto"/>
            <w:vAlign w:val="center"/>
            <w:hideMark/>
          </w:tcPr>
          <w:p w14:paraId="17CF85BD" w14:textId="77777777" w:rsidR="006D5CEC" w:rsidRPr="006D5CEC" w:rsidRDefault="006D5CEC" w:rsidP="00531B19">
            <w:pPr>
              <w:spacing w:after="0" w:line="240" w:lineRule="auto"/>
              <w:jc w:val="right"/>
              <w:rPr>
                <w:rFonts w:cs="Arial"/>
                <w:sz w:val="16"/>
                <w:szCs w:val="16"/>
              </w:rPr>
            </w:pPr>
            <w:r w:rsidRPr="006D5CEC">
              <w:rPr>
                <w:rFonts w:cs="Arial"/>
                <w:sz w:val="16"/>
                <w:szCs w:val="16"/>
              </w:rPr>
              <w:t>42 928</w:t>
            </w:r>
          </w:p>
        </w:tc>
        <w:tc>
          <w:tcPr>
            <w:tcW w:w="652" w:type="dxa"/>
            <w:tcBorders>
              <w:top w:val="single" w:sz="4" w:space="0" w:color="auto"/>
              <w:left w:val="nil"/>
              <w:bottom w:val="nil"/>
              <w:right w:val="nil"/>
            </w:tcBorders>
            <w:shd w:val="clear" w:color="auto" w:fill="auto"/>
            <w:vAlign w:val="center"/>
            <w:hideMark/>
          </w:tcPr>
          <w:p w14:paraId="0F4A5C9C" w14:textId="77777777" w:rsidR="006D5CEC" w:rsidRPr="006D5CEC" w:rsidRDefault="006D5CEC" w:rsidP="00531B19">
            <w:pPr>
              <w:spacing w:after="0" w:line="240" w:lineRule="auto"/>
              <w:jc w:val="right"/>
              <w:rPr>
                <w:rFonts w:cs="Arial"/>
                <w:sz w:val="16"/>
                <w:szCs w:val="16"/>
              </w:rPr>
            </w:pPr>
            <w:r w:rsidRPr="006D5CEC">
              <w:rPr>
                <w:rFonts w:cs="Arial"/>
                <w:sz w:val="16"/>
                <w:szCs w:val="16"/>
              </w:rPr>
              <w:t>19 883</w:t>
            </w:r>
          </w:p>
        </w:tc>
        <w:tc>
          <w:tcPr>
            <w:tcW w:w="652" w:type="dxa"/>
            <w:tcBorders>
              <w:top w:val="single" w:sz="4" w:space="0" w:color="auto"/>
              <w:left w:val="nil"/>
              <w:bottom w:val="nil"/>
              <w:right w:val="single" w:sz="4" w:space="0" w:color="auto"/>
            </w:tcBorders>
            <w:shd w:val="clear" w:color="auto" w:fill="auto"/>
            <w:vAlign w:val="center"/>
            <w:hideMark/>
          </w:tcPr>
          <w:p w14:paraId="32CF81F2" w14:textId="77777777" w:rsidR="006D5CEC" w:rsidRPr="006D5CEC" w:rsidRDefault="006D5CEC" w:rsidP="00531B19">
            <w:pPr>
              <w:spacing w:after="0" w:line="240" w:lineRule="auto"/>
              <w:jc w:val="right"/>
              <w:rPr>
                <w:rFonts w:cs="Arial"/>
                <w:sz w:val="16"/>
                <w:szCs w:val="16"/>
              </w:rPr>
            </w:pPr>
            <w:r w:rsidRPr="006D5CEC">
              <w:rPr>
                <w:rFonts w:cs="Arial"/>
                <w:sz w:val="16"/>
                <w:szCs w:val="16"/>
              </w:rPr>
              <w:t>23 045</w:t>
            </w:r>
          </w:p>
        </w:tc>
        <w:tc>
          <w:tcPr>
            <w:tcW w:w="822" w:type="dxa"/>
            <w:tcBorders>
              <w:top w:val="single" w:sz="4" w:space="0" w:color="auto"/>
              <w:left w:val="nil"/>
              <w:bottom w:val="nil"/>
              <w:right w:val="nil"/>
            </w:tcBorders>
            <w:shd w:val="clear" w:color="auto" w:fill="auto"/>
            <w:vAlign w:val="center"/>
            <w:hideMark/>
          </w:tcPr>
          <w:p w14:paraId="5DB9005F" w14:textId="77777777" w:rsidR="006D5CEC" w:rsidRPr="006D5CEC" w:rsidRDefault="006D5CEC" w:rsidP="00531B19">
            <w:pPr>
              <w:spacing w:after="0" w:line="240" w:lineRule="auto"/>
              <w:jc w:val="right"/>
              <w:rPr>
                <w:rFonts w:cs="Arial"/>
                <w:sz w:val="16"/>
                <w:szCs w:val="16"/>
              </w:rPr>
            </w:pPr>
            <w:r w:rsidRPr="006D5CEC">
              <w:rPr>
                <w:rFonts w:cs="Arial"/>
                <w:sz w:val="16"/>
                <w:szCs w:val="16"/>
              </w:rPr>
              <w:t>38 671</w:t>
            </w:r>
          </w:p>
        </w:tc>
        <w:tc>
          <w:tcPr>
            <w:tcW w:w="652" w:type="dxa"/>
            <w:tcBorders>
              <w:top w:val="single" w:sz="4" w:space="0" w:color="auto"/>
              <w:left w:val="nil"/>
              <w:bottom w:val="nil"/>
              <w:right w:val="nil"/>
            </w:tcBorders>
            <w:shd w:val="clear" w:color="auto" w:fill="auto"/>
            <w:vAlign w:val="center"/>
            <w:hideMark/>
          </w:tcPr>
          <w:p w14:paraId="1D502617" w14:textId="77777777" w:rsidR="006D5CEC" w:rsidRPr="006D5CEC" w:rsidRDefault="006D5CEC" w:rsidP="00531B19">
            <w:pPr>
              <w:spacing w:after="0" w:line="240" w:lineRule="auto"/>
              <w:jc w:val="right"/>
              <w:rPr>
                <w:rFonts w:cs="Arial"/>
                <w:sz w:val="16"/>
                <w:szCs w:val="16"/>
              </w:rPr>
            </w:pPr>
            <w:r w:rsidRPr="006D5CEC">
              <w:rPr>
                <w:rFonts w:cs="Arial"/>
                <w:sz w:val="16"/>
                <w:szCs w:val="16"/>
              </w:rPr>
              <w:t>16 918</w:t>
            </w:r>
          </w:p>
        </w:tc>
        <w:tc>
          <w:tcPr>
            <w:tcW w:w="652" w:type="dxa"/>
            <w:tcBorders>
              <w:top w:val="single" w:sz="4" w:space="0" w:color="auto"/>
              <w:left w:val="nil"/>
              <w:bottom w:val="nil"/>
              <w:right w:val="single" w:sz="4" w:space="0" w:color="auto"/>
            </w:tcBorders>
            <w:shd w:val="clear" w:color="auto" w:fill="auto"/>
            <w:vAlign w:val="center"/>
            <w:hideMark/>
          </w:tcPr>
          <w:p w14:paraId="26D1F136" w14:textId="77777777" w:rsidR="006D5CEC" w:rsidRPr="006D5CEC" w:rsidRDefault="006D5CEC" w:rsidP="00531B19">
            <w:pPr>
              <w:spacing w:after="0" w:line="240" w:lineRule="auto"/>
              <w:jc w:val="right"/>
              <w:rPr>
                <w:rFonts w:cs="Arial"/>
                <w:sz w:val="16"/>
                <w:szCs w:val="16"/>
              </w:rPr>
            </w:pPr>
            <w:r w:rsidRPr="006D5CEC">
              <w:rPr>
                <w:rFonts w:cs="Arial"/>
                <w:sz w:val="16"/>
                <w:szCs w:val="16"/>
              </w:rPr>
              <w:t>21 752</w:t>
            </w:r>
          </w:p>
        </w:tc>
        <w:tc>
          <w:tcPr>
            <w:tcW w:w="822" w:type="dxa"/>
            <w:tcBorders>
              <w:top w:val="single" w:sz="4" w:space="0" w:color="auto"/>
              <w:left w:val="nil"/>
              <w:bottom w:val="nil"/>
              <w:right w:val="nil"/>
            </w:tcBorders>
            <w:shd w:val="clear" w:color="auto" w:fill="auto"/>
            <w:vAlign w:val="center"/>
            <w:hideMark/>
          </w:tcPr>
          <w:p w14:paraId="5F1F6893" w14:textId="77777777" w:rsidR="006D5CEC" w:rsidRPr="006D5CEC" w:rsidRDefault="006D5CEC" w:rsidP="00531B19">
            <w:pPr>
              <w:spacing w:after="0" w:line="240" w:lineRule="auto"/>
              <w:jc w:val="right"/>
              <w:rPr>
                <w:rFonts w:cs="Arial"/>
                <w:sz w:val="16"/>
                <w:szCs w:val="16"/>
              </w:rPr>
            </w:pPr>
            <w:r w:rsidRPr="006D5CEC">
              <w:rPr>
                <w:rFonts w:cs="Arial"/>
                <w:sz w:val="16"/>
                <w:szCs w:val="16"/>
              </w:rPr>
              <w:t>1 709</w:t>
            </w:r>
          </w:p>
        </w:tc>
        <w:tc>
          <w:tcPr>
            <w:tcW w:w="652" w:type="dxa"/>
            <w:tcBorders>
              <w:top w:val="single" w:sz="4" w:space="0" w:color="auto"/>
              <w:left w:val="nil"/>
              <w:bottom w:val="nil"/>
              <w:right w:val="nil"/>
            </w:tcBorders>
            <w:shd w:val="clear" w:color="auto" w:fill="auto"/>
            <w:vAlign w:val="center"/>
            <w:hideMark/>
          </w:tcPr>
          <w:p w14:paraId="52FBC5F0" w14:textId="77777777" w:rsidR="006D5CEC" w:rsidRPr="006D5CEC" w:rsidRDefault="006D5CEC" w:rsidP="00531B19">
            <w:pPr>
              <w:spacing w:after="0" w:line="240" w:lineRule="auto"/>
              <w:jc w:val="right"/>
              <w:rPr>
                <w:rFonts w:cs="Arial"/>
                <w:sz w:val="16"/>
                <w:szCs w:val="16"/>
              </w:rPr>
            </w:pPr>
            <w:r w:rsidRPr="006D5CEC">
              <w:rPr>
                <w:rFonts w:cs="Arial"/>
                <w:sz w:val="16"/>
                <w:szCs w:val="16"/>
              </w:rPr>
              <w:t>1 250</w:t>
            </w:r>
          </w:p>
        </w:tc>
        <w:tc>
          <w:tcPr>
            <w:tcW w:w="652" w:type="dxa"/>
            <w:tcBorders>
              <w:top w:val="single" w:sz="4" w:space="0" w:color="auto"/>
              <w:left w:val="nil"/>
              <w:bottom w:val="nil"/>
              <w:right w:val="single" w:sz="4" w:space="0" w:color="auto"/>
            </w:tcBorders>
            <w:shd w:val="clear" w:color="auto" w:fill="auto"/>
            <w:vAlign w:val="center"/>
            <w:hideMark/>
          </w:tcPr>
          <w:p w14:paraId="1FE56FAA" w14:textId="77777777" w:rsidR="006D5CEC" w:rsidRPr="006D5CEC" w:rsidRDefault="006D5CEC" w:rsidP="00531B19">
            <w:pPr>
              <w:spacing w:after="0" w:line="240" w:lineRule="auto"/>
              <w:jc w:val="right"/>
              <w:rPr>
                <w:rFonts w:cs="Arial"/>
                <w:sz w:val="16"/>
                <w:szCs w:val="16"/>
              </w:rPr>
            </w:pPr>
            <w:r w:rsidRPr="006D5CEC">
              <w:rPr>
                <w:rFonts w:cs="Arial"/>
                <w:sz w:val="16"/>
                <w:szCs w:val="16"/>
              </w:rPr>
              <w:t>459</w:t>
            </w:r>
          </w:p>
        </w:tc>
        <w:tc>
          <w:tcPr>
            <w:tcW w:w="822" w:type="dxa"/>
            <w:tcBorders>
              <w:top w:val="single" w:sz="4" w:space="0" w:color="auto"/>
              <w:left w:val="nil"/>
              <w:bottom w:val="nil"/>
              <w:right w:val="nil"/>
            </w:tcBorders>
            <w:shd w:val="clear" w:color="auto" w:fill="auto"/>
            <w:vAlign w:val="center"/>
            <w:hideMark/>
          </w:tcPr>
          <w:p w14:paraId="3FF9A0AE" w14:textId="77777777" w:rsidR="006D5CEC" w:rsidRPr="006D5CEC" w:rsidRDefault="006D5CEC" w:rsidP="00531B19">
            <w:pPr>
              <w:spacing w:after="0" w:line="240" w:lineRule="auto"/>
              <w:jc w:val="right"/>
              <w:rPr>
                <w:rFonts w:cs="Arial"/>
                <w:sz w:val="16"/>
                <w:szCs w:val="16"/>
              </w:rPr>
            </w:pPr>
            <w:r w:rsidRPr="006D5CEC">
              <w:rPr>
                <w:rFonts w:cs="Arial"/>
                <w:sz w:val="16"/>
                <w:szCs w:val="16"/>
              </w:rPr>
              <w:t>2 548</w:t>
            </w:r>
          </w:p>
        </w:tc>
        <w:tc>
          <w:tcPr>
            <w:tcW w:w="652" w:type="dxa"/>
            <w:tcBorders>
              <w:top w:val="single" w:sz="4" w:space="0" w:color="auto"/>
              <w:left w:val="nil"/>
              <w:bottom w:val="nil"/>
              <w:right w:val="nil"/>
            </w:tcBorders>
            <w:shd w:val="clear" w:color="auto" w:fill="auto"/>
            <w:vAlign w:val="center"/>
            <w:hideMark/>
          </w:tcPr>
          <w:p w14:paraId="6695F778" w14:textId="77777777" w:rsidR="006D5CEC" w:rsidRPr="006D5CEC" w:rsidRDefault="006D5CEC" w:rsidP="00531B19">
            <w:pPr>
              <w:spacing w:after="0" w:line="240" w:lineRule="auto"/>
              <w:jc w:val="right"/>
              <w:rPr>
                <w:rFonts w:cs="Arial"/>
                <w:sz w:val="16"/>
                <w:szCs w:val="16"/>
              </w:rPr>
            </w:pPr>
            <w:r w:rsidRPr="006D5CEC">
              <w:rPr>
                <w:rFonts w:cs="Arial"/>
                <w:sz w:val="16"/>
                <w:szCs w:val="16"/>
              </w:rPr>
              <w:t>1 715</w:t>
            </w:r>
          </w:p>
        </w:tc>
        <w:tc>
          <w:tcPr>
            <w:tcW w:w="652" w:type="dxa"/>
            <w:tcBorders>
              <w:top w:val="single" w:sz="4" w:space="0" w:color="auto"/>
              <w:left w:val="nil"/>
              <w:bottom w:val="nil"/>
              <w:right w:val="nil"/>
            </w:tcBorders>
            <w:shd w:val="clear" w:color="auto" w:fill="auto"/>
            <w:vAlign w:val="center"/>
            <w:hideMark/>
          </w:tcPr>
          <w:p w14:paraId="2243A2A4" w14:textId="77777777" w:rsidR="006D5CEC" w:rsidRPr="006D5CEC" w:rsidRDefault="006D5CEC" w:rsidP="00531B19">
            <w:pPr>
              <w:spacing w:after="0" w:line="240" w:lineRule="auto"/>
              <w:jc w:val="right"/>
              <w:rPr>
                <w:rFonts w:cs="Arial"/>
                <w:sz w:val="16"/>
                <w:szCs w:val="16"/>
              </w:rPr>
            </w:pPr>
            <w:r w:rsidRPr="006D5CEC">
              <w:rPr>
                <w:rFonts w:cs="Arial"/>
                <w:sz w:val="16"/>
                <w:szCs w:val="16"/>
              </w:rPr>
              <w:t>833</w:t>
            </w:r>
          </w:p>
        </w:tc>
      </w:tr>
      <w:tr w:rsidR="006D5CEC" w:rsidRPr="006D5CEC" w14:paraId="30FBEFD3" w14:textId="77777777" w:rsidTr="00531B19">
        <w:trPr>
          <w:trHeight w:val="300"/>
        </w:trPr>
        <w:tc>
          <w:tcPr>
            <w:tcW w:w="1019" w:type="dxa"/>
            <w:tcBorders>
              <w:top w:val="nil"/>
              <w:left w:val="nil"/>
              <w:bottom w:val="nil"/>
              <w:right w:val="single" w:sz="4" w:space="0" w:color="auto"/>
            </w:tcBorders>
            <w:shd w:val="clear" w:color="auto" w:fill="auto"/>
            <w:vAlign w:val="center"/>
            <w:hideMark/>
          </w:tcPr>
          <w:p w14:paraId="392A6A75" w14:textId="77777777" w:rsidR="006D5CEC" w:rsidRPr="006D5CEC" w:rsidRDefault="006D5CEC" w:rsidP="00531B19">
            <w:pPr>
              <w:spacing w:after="0" w:line="240" w:lineRule="auto"/>
              <w:jc w:val="right"/>
              <w:rPr>
                <w:rFonts w:cs="Arial"/>
                <w:sz w:val="16"/>
                <w:szCs w:val="16"/>
              </w:rPr>
            </w:pPr>
            <w:r w:rsidRPr="006D5CEC">
              <w:rPr>
                <w:rFonts w:cs="Arial"/>
                <w:sz w:val="16"/>
                <w:szCs w:val="16"/>
              </w:rPr>
              <w:t>1. pol. 2009</w:t>
            </w:r>
          </w:p>
        </w:tc>
        <w:tc>
          <w:tcPr>
            <w:tcW w:w="819" w:type="dxa"/>
            <w:tcBorders>
              <w:top w:val="nil"/>
              <w:left w:val="nil"/>
              <w:bottom w:val="nil"/>
              <w:right w:val="nil"/>
            </w:tcBorders>
            <w:shd w:val="clear" w:color="auto" w:fill="auto"/>
            <w:vAlign w:val="center"/>
            <w:hideMark/>
          </w:tcPr>
          <w:p w14:paraId="2B42E70B" w14:textId="77777777" w:rsidR="006D5CEC" w:rsidRPr="006D5CEC" w:rsidRDefault="006D5CEC" w:rsidP="00531B19">
            <w:pPr>
              <w:spacing w:after="0" w:line="240" w:lineRule="auto"/>
              <w:jc w:val="right"/>
              <w:rPr>
                <w:rFonts w:cs="Arial"/>
                <w:sz w:val="16"/>
                <w:szCs w:val="16"/>
              </w:rPr>
            </w:pPr>
            <w:r w:rsidRPr="006D5CEC">
              <w:rPr>
                <w:rFonts w:cs="Arial"/>
                <w:sz w:val="16"/>
                <w:szCs w:val="16"/>
              </w:rPr>
              <w:t>34 202</w:t>
            </w:r>
          </w:p>
        </w:tc>
        <w:tc>
          <w:tcPr>
            <w:tcW w:w="652" w:type="dxa"/>
            <w:tcBorders>
              <w:top w:val="nil"/>
              <w:left w:val="nil"/>
              <w:bottom w:val="nil"/>
              <w:right w:val="nil"/>
            </w:tcBorders>
            <w:shd w:val="clear" w:color="auto" w:fill="auto"/>
            <w:vAlign w:val="center"/>
            <w:hideMark/>
          </w:tcPr>
          <w:p w14:paraId="40A650FC" w14:textId="77777777" w:rsidR="006D5CEC" w:rsidRPr="006D5CEC" w:rsidRDefault="006D5CEC" w:rsidP="00531B19">
            <w:pPr>
              <w:spacing w:after="0" w:line="240" w:lineRule="auto"/>
              <w:jc w:val="right"/>
              <w:rPr>
                <w:rFonts w:cs="Arial"/>
                <w:sz w:val="16"/>
                <w:szCs w:val="16"/>
              </w:rPr>
            </w:pPr>
            <w:r w:rsidRPr="006D5CEC">
              <w:rPr>
                <w:rFonts w:cs="Arial"/>
                <w:sz w:val="16"/>
                <w:szCs w:val="16"/>
              </w:rPr>
              <w:t>15 833</w:t>
            </w:r>
          </w:p>
        </w:tc>
        <w:tc>
          <w:tcPr>
            <w:tcW w:w="652" w:type="dxa"/>
            <w:tcBorders>
              <w:top w:val="nil"/>
              <w:left w:val="nil"/>
              <w:bottom w:val="nil"/>
              <w:right w:val="single" w:sz="4" w:space="0" w:color="auto"/>
            </w:tcBorders>
            <w:shd w:val="clear" w:color="auto" w:fill="auto"/>
            <w:vAlign w:val="center"/>
            <w:hideMark/>
          </w:tcPr>
          <w:p w14:paraId="477DB208" w14:textId="77777777" w:rsidR="006D5CEC" w:rsidRPr="006D5CEC" w:rsidRDefault="006D5CEC" w:rsidP="00531B19">
            <w:pPr>
              <w:spacing w:after="0" w:line="240" w:lineRule="auto"/>
              <w:jc w:val="right"/>
              <w:rPr>
                <w:rFonts w:cs="Arial"/>
                <w:sz w:val="16"/>
                <w:szCs w:val="16"/>
              </w:rPr>
            </w:pPr>
            <w:r w:rsidRPr="006D5CEC">
              <w:rPr>
                <w:rFonts w:cs="Arial"/>
                <w:sz w:val="16"/>
                <w:szCs w:val="16"/>
              </w:rPr>
              <w:t>18 369</w:t>
            </w:r>
          </w:p>
        </w:tc>
        <w:tc>
          <w:tcPr>
            <w:tcW w:w="822" w:type="dxa"/>
            <w:tcBorders>
              <w:top w:val="nil"/>
              <w:left w:val="nil"/>
              <w:bottom w:val="nil"/>
              <w:right w:val="nil"/>
            </w:tcBorders>
            <w:shd w:val="clear" w:color="auto" w:fill="auto"/>
            <w:vAlign w:val="center"/>
            <w:hideMark/>
          </w:tcPr>
          <w:p w14:paraId="3C23B89E" w14:textId="77777777" w:rsidR="006D5CEC" w:rsidRPr="006D5CEC" w:rsidRDefault="006D5CEC" w:rsidP="00531B19">
            <w:pPr>
              <w:spacing w:after="0" w:line="240" w:lineRule="auto"/>
              <w:jc w:val="right"/>
              <w:rPr>
                <w:rFonts w:cs="Arial"/>
                <w:sz w:val="16"/>
                <w:szCs w:val="16"/>
              </w:rPr>
            </w:pPr>
            <w:r w:rsidRPr="006D5CEC">
              <w:rPr>
                <w:rFonts w:cs="Arial"/>
                <w:sz w:val="16"/>
                <w:szCs w:val="16"/>
              </w:rPr>
              <w:t>30 394</w:t>
            </w:r>
          </w:p>
        </w:tc>
        <w:tc>
          <w:tcPr>
            <w:tcW w:w="652" w:type="dxa"/>
            <w:tcBorders>
              <w:top w:val="nil"/>
              <w:left w:val="nil"/>
              <w:bottom w:val="nil"/>
              <w:right w:val="nil"/>
            </w:tcBorders>
            <w:shd w:val="clear" w:color="auto" w:fill="auto"/>
            <w:vAlign w:val="center"/>
            <w:hideMark/>
          </w:tcPr>
          <w:p w14:paraId="416E6BD3" w14:textId="77777777" w:rsidR="006D5CEC" w:rsidRPr="006D5CEC" w:rsidRDefault="006D5CEC" w:rsidP="00531B19">
            <w:pPr>
              <w:spacing w:after="0" w:line="240" w:lineRule="auto"/>
              <w:jc w:val="right"/>
              <w:rPr>
                <w:rFonts w:cs="Arial"/>
                <w:sz w:val="16"/>
                <w:szCs w:val="16"/>
              </w:rPr>
            </w:pPr>
            <w:r w:rsidRPr="006D5CEC">
              <w:rPr>
                <w:rFonts w:cs="Arial"/>
                <w:sz w:val="16"/>
                <w:szCs w:val="16"/>
              </w:rPr>
              <w:t>13 238</w:t>
            </w:r>
          </w:p>
        </w:tc>
        <w:tc>
          <w:tcPr>
            <w:tcW w:w="652" w:type="dxa"/>
            <w:tcBorders>
              <w:top w:val="nil"/>
              <w:left w:val="nil"/>
              <w:bottom w:val="nil"/>
              <w:right w:val="single" w:sz="4" w:space="0" w:color="auto"/>
            </w:tcBorders>
            <w:shd w:val="clear" w:color="auto" w:fill="auto"/>
            <w:vAlign w:val="center"/>
            <w:hideMark/>
          </w:tcPr>
          <w:p w14:paraId="442B631B" w14:textId="77777777" w:rsidR="006D5CEC" w:rsidRPr="006D5CEC" w:rsidRDefault="006D5CEC" w:rsidP="00531B19">
            <w:pPr>
              <w:spacing w:after="0" w:line="240" w:lineRule="auto"/>
              <w:jc w:val="right"/>
              <w:rPr>
                <w:rFonts w:cs="Arial"/>
                <w:sz w:val="16"/>
                <w:szCs w:val="16"/>
              </w:rPr>
            </w:pPr>
            <w:r w:rsidRPr="006D5CEC">
              <w:rPr>
                <w:rFonts w:cs="Arial"/>
                <w:sz w:val="16"/>
                <w:szCs w:val="16"/>
              </w:rPr>
              <w:t>17 155</w:t>
            </w:r>
          </w:p>
        </w:tc>
        <w:tc>
          <w:tcPr>
            <w:tcW w:w="822" w:type="dxa"/>
            <w:tcBorders>
              <w:top w:val="nil"/>
              <w:left w:val="nil"/>
              <w:bottom w:val="nil"/>
              <w:right w:val="nil"/>
            </w:tcBorders>
            <w:shd w:val="clear" w:color="auto" w:fill="auto"/>
            <w:vAlign w:val="center"/>
            <w:hideMark/>
          </w:tcPr>
          <w:p w14:paraId="4F85DA66" w14:textId="77777777" w:rsidR="006D5CEC" w:rsidRPr="006D5CEC" w:rsidRDefault="006D5CEC" w:rsidP="00531B19">
            <w:pPr>
              <w:spacing w:after="0" w:line="240" w:lineRule="auto"/>
              <w:jc w:val="right"/>
              <w:rPr>
                <w:rFonts w:cs="Arial"/>
                <w:sz w:val="16"/>
                <w:szCs w:val="16"/>
              </w:rPr>
            </w:pPr>
            <w:r w:rsidRPr="006D5CEC">
              <w:rPr>
                <w:rFonts w:cs="Arial"/>
                <w:sz w:val="16"/>
                <w:szCs w:val="16"/>
              </w:rPr>
              <w:t>1 410</w:t>
            </w:r>
          </w:p>
        </w:tc>
        <w:tc>
          <w:tcPr>
            <w:tcW w:w="652" w:type="dxa"/>
            <w:tcBorders>
              <w:top w:val="nil"/>
              <w:left w:val="nil"/>
              <w:bottom w:val="nil"/>
              <w:right w:val="nil"/>
            </w:tcBorders>
            <w:shd w:val="clear" w:color="auto" w:fill="auto"/>
            <w:vAlign w:val="center"/>
            <w:hideMark/>
          </w:tcPr>
          <w:p w14:paraId="5D1861DB" w14:textId="77777777" w:rsidR="006D5CEC" w:rsidRPr="006D5CEC" w:rsidRDefault="006D5CEC" w:rsidP="00531B19">
            <w:pPr>
              <w:spacing w:after="0" w:line="240" w:lineRule="auto"/>
              <w:jc w:val="right"/>
              <w:rPr>
                <w:rFonts w:cs="Arial"/>
                <w:sz w:val="16"/>
                <w:szCs w:val="16"/>
              </w:rPr>
            </w:pPr>
            <w:r w:rsidRPr="006D5CEC">
              <w:rPr>
                <w:rFonts w:cs="Arial"/>
                <w:sz w:val="16"/>
                <w:szCs w:val="16"/>
              </w:rPr>
              <w:t>1 009</w:t>
            </w:r>
          </w:p>
        </w:tc>
        <w:tc>
          <w:tcPr>
            <w:tcW w:w="652" w:type="dxa"/>
            <w:tcBorders>
              <w:top w:val="nil"/>
              <w:left w:val="nil"/>
              <w:bottom w:val="nil"/>
              <w:right w:val="single" w:sz="4" w:space="0" w:color="auto"/>
            </w:tcBorders>
            <w:shd w:val="clear" w:color="auto" w:fill="auto"/>
            <w:vAlign w:val="center"/>
            <w:hideMark/>
          </w:tcPr>
          <w:p w14:paraId="0B6EF07E" w14:textId="77777777" w:rsidR="006D5CEC" w:rsidRPr="006D5CEC" w:rsidRDefault="006D5CEC" w:rsidP="00531B19">
            <w:pPr>
              <w:spacing w:after="0" w:line="240" w:lineRule="auto"/>
              <w:jc w:val="right"/>
              <w:rPr>
                <w:rFonts w:cs="Arial"/>
                <w:sz w:val="16"/>
                <w:szCs w:val="16"/>
              </w:rPr>
            </w:pPr>
            <w:r w:rsidRPr="006D5CEC">
              <w:rPr>
                <w:rFonts w:cs="Arial"/>
                <w:sz w:val="16"/>
                <w:szCs w:val="16"/>
              </w:rPr>
              <w:t>401</w:t>
            </w:r>
          </w:p>
        </w:tc>
        <w:tc>
          <w:tcPr>
            <w:tcW w:w="822" w:type="dxa"/>
            <w:tcBorders>
              <w:top w:val="nil"/>
              <w:left w:val="nil"/>
              <w:bottom w:val="nil"/>
              <w:right w:val="nil"/>
            </w:tcBorders>
            <w:shd w:val="clear" w:color="auto" w:fill="auto"/>
            <w:vAlign w:val="center"/>
            <w:hideMark/>
          </w:tcPr>
          <w:p w14:paraId="3A0CD4C3" w14:textId="77777777" w:rsidR="006D5CEC" w:rsidRPr="006D5CEC" w:rsidRDefault="006D5CEC" w:rsidP="00531B19">
            <w:pPr>
              <w:spacing w:after="0" w:line="240" w:lineRule="auto"/>
              <w:jc w:val="right"/>
              <w:rPr>
                <w:rFonts w:cs="Arial"/>
                <w:sz w:val="16"/>
                <w:szCs w:val="16"/>
              </w:rPr>
            </w:pPr>
            <w:r w:rsidRPr="006D5CEC">
              <w:rPr>
                <w:rFonts w:cs="Arial"/>
                <w:sz w:val="16"/>
                <w:szCs w:val="16"/>
              </w:rPr>
              <w:t>2 396</w:t>
            </w:r>
          </w:p>
        </w:tc>
        <w:tc>
          <w:tcPr>
            <w:tcW w:w="652" w:type="dxa"/>
            <w:tcBorders>
              <w:top w:val="nil"/>
              <w:left w:val="nil"/>
              <w:bottom w:val="nil"/>
              <w:right w:val="nil"/>
            </w:tcBorders>
            <w:shd w:val="clear" w:color="auto" w:fill="auto"/>
            <w:vAlign w:val="center"/>
            <w:hideMark/>
          </w:tcPr>
          <w:p w14:paraId="194AFF27" w14:textId="77777777" w:rsidR="006D5CEC" w:rsidRPr="006D5CEC" w:rsidRDefault="006D5CEC" w:rsidP="00531B19">
            <w:pPr>
              <w:spacing w:after="0" w:line="240" w:lineRule="auto"/>
              <w:jc w:val="right"/>
              <w:rPr>
                <w:rFonts w:cs="Arial"/>
                <w:sz w:val="16"/>
                <w:szCs w:val="16"/>
              </w:rPr>
            </w:pPr>
            <w:r w:rsidRPr="006D5CEC">
              <w:rPr>
                <w:rFonts w:cs="Arial"/>
                <w:sz w:val="16"/>
                <w:szCs w:val="16"/>
              </w:rPr>
              <w:t>1 584</w:t>
            </w:r>
          </w:p>
        </w:tc>
        <w:tc>
          <w:tcPr>
            <w:tcW w:w="652" w:type="dxa"/>
            <w:tcBorders>
              <w:top w:val="nil"/>
              <w:left w:val="nil"/>
              <w:bottom w:val="nil"/>
              <w:right w:val="nil"/>
            </w:tcBorders>
            <w:shd w:val="clear" w:color="auto" w:fill="auto"/>
            <w:vAlign w:val="center"/>
            <w:hideMark/>
          </w:tcPr>
          <w:p w14:paraId="6D2B4B7D" w14:textId="77777777" w:rsidR="006D5CEC" w:rsidRPr="006D5CEC" w:rsidRDefault="006D5CEC" w:rsidP="00531B19">
            <w:pPr>
              <w:spacing w:after="0" w:line="240" w:lineRule="auto"/>
              <w:jc w:val="right"/>
              <w:rPr>
                <w:rFonts w:cs="Arial"/>
                <w:sz w:val="16"/>
                <w:szCs w:val="16"/>
              </w:rPr>
            </w:pPr>
            <w:r w:rsidRPr="006D5CEC">
              <w:rPr>
                <w:rFonts w:cs="Arial"/>
                <w:sz w:val="16"/>
                <w:szCs w:val="16"/>
              </w:rPr>
              <w:t>812</w:t>
            </w:r>
          </w:p>
        </w:tc>
      </w:tr>
      <w:tr w:rsidR="006D5CEC" w:rsidRPr="006D5CEC" w14:paraId="300933E2" w14:textId="77777777" w:rsidTr="00531B19">
        <w:trPr>
          <w:trHeight w:val="300"/>
        </w:trPr>
        <w:tc>
          <w:tcPr>
            <w:tcW w:w="1019" w:type="dxa"/>
            <w:tcBorders>
              <w:top w:val="nil"/>
              <w:left w:val="nil"/>
              <w:bottom w:val="nil"/>
              <w:right w:val="single" w:sz="4" w:space="0" w:color="auto"/>
            </w:tcBorders>
            <w:shd w:val="clear" w:color="auto" w:fill="auto"/>
            <w:vAlign w:val="center"/>
            <w:hideMark/>
          </w:tcPr>
          <w:p w14:paraId="4C2C3D68" w14:textId="77777777" w:rsidR="006D5CEC" w:rsidRPr="006D5CEC" w:rsidRDefault="006D5CEC" w:rsidP="00531B19">
            <w:pPr>
              <w:spacing w:after="0" w:line="240" w:lineRule="auto"/>
              <w:jc w:val="right"/>
              <w:rPr>
                <w:rFonts w:cs="Arial"/>
                <w:sz w:val="16"/>
                <w:szCs w:val="16"/>
              </w:rPr>
            </w:pPr>
            <w:r w:rsidRPr="006D5CEC">
              <w:rPr>
                <w:rFonts w:cs="Arial"/>
                <w:sz w:val="16"/>
                <w:szCs w:val="16"/>
              </w:rPr>
              <w:t>1. pol. 2010</w:t>
            </w:r>
          </w:p>
        </w:tc>
        <w:tc>
          <w:tcPr>
            <w:tcW w:w="819" w:type="dxa"/>
            <w:tcBorders>
              <w:top w:val="nil"/>
              <w:left w:val="nil"/>
              <w:bottom w:val="nil"/>
              <w:right w:val="nil"/>
            </w:tcBorders>
            <w:shd w:val="clear" w:color="auto" w:fill="auto"/>
            <w:vAlign w:val="center"/>
            <w:hideMark/>
          </w:tcPr>
          <w:p w14:paraId="583C8AC2" w14:textId="77777777" w:rsidR="006D5CEC" w:rsidRPr="006D5CEC" w:rsidRDefault="006D5CEC" w:rsidP="00531B19">
            <w:pPr>
              <w:spacing w:after="0" w:line="240" w:lineRule="auto"/>
              <w:jc w:val="right"/>
              <w:rPr>
                <w:rFonts w:cs="Arial"/>
                <w:sz w:val="16"/>
                <w:szCs w:val="16"/>
              </w:rPr>
            </w:pPr>
            <w:r w:rsidRPr="006D5CEC">
              <w:rPr>
                <w:rFonts w:cs="Arial"/>
                <w:sz w:val="16"/>
                <w:szCs w:val="16"/>
              </w:rPr>
              <w:t>31 321</w:t>
            </w:r>
          </w:p>
        </w:tc>
        <w:tc>
          <w:tcPr>
            <w:tcW w:w="652" w:type="dxa"/>
            <w:tcBorders>
              <w:top w:val="nil"/>
              <w:left w:val="nil"/>
              <w:bottom w:val="nil"/>
              <w:right w:val="nil"/>
            </w:tcBorders>
            <w:shd w:val="clear" w:color="auto" w:fill="auto"/>
            <w:vAlign w:val="center"/>
            <w:hideMark/>
          </w:tcPr>
          <w:p w14:paraId="25A4155C" w14:textId="77777777" w:rsidR="006D5CEC" w:rsidRPr="006D5CEC" w:rsidRDefault="006D5CEC" w:rsidP="00531B19">
            <w:pPr>
              <w:spacing w:after="0" w:line="240" w:lineRule="auto"/>
              <w:jc w:val="right"/>
              <w:rPr>
                <w:rFonts w:cs="Arial"/>
                <w:sz w:val="16"/>
                <w:szCs w:val="16"/>
              </w:rPr>
            </w:pPr>
            <w:r w:rsidRPr="006D5CEC">
              <w:rPr>
                <w:rFonts w:cs="Arial"/>
                <w:sz w:val="16"/>
                <w:szCs w:val="16"/>
              </w:rPr>
              <w:t>14 923</w:t>
            </w:r>
          </w:p>
        </w:tc>
        <w:tc>
          <w:tcPr>
            <w:tcW w:w="652" w:type="dxa"/>
            <w:tcBorders>
              <w:top w:val="nil"/>
              <w:left w:val="nil"/>
              <w:bottom w:val="nil"/>
              <w:right w:val="single" w:sz="4" w:space="0" w:color="auto"/>
            </w:tcBorders>
            <w:shd w:val="clear" w:color="auto" w:fill="auto"/>
            <w:vAlign w:val="center"/>
            <w:hideMark/>
          </w:tcPr>
          <w:p w14:paraId="22D43EF1" w14:textId="77777777" w:rsidR="006D5CEC" w:rsidRPr="006D5CEC" w:rsidRDefault="006D5CEC" w:rsidP="00531B19">
            <w:pPr>
              <w:spacing w:after="0" w:line="240" w:lineRule="auto"/>
              <w:jc w:val="right"/>
              <w:rPr>
                <w:rFonts w:cs="Arial"/>
                <w:sz w:val="16"/>
                <w:szCs w:val="16"/>
              </w:rPr>
            </w:pPr>
            <w:r w:rsidRPr="006D5CEC">
              <w:rPr>
                <w:rFonts w:cs="Arial"/>
                <w:sz w:val="16"/>
                <w:szCs w:val="16"/>
              </w:rPr>
              <w:t>16 397</w:t>
            </w:r>
          </w:p>
        </w:tc>
        <w:tc>
          <w:tcPr>
            <w:tcW w:w="822" w:type="dxa"/>
            <w:tcBorders>
              <w:top w:val="nil"/>
              <w:left w:val="nil"/>
              <w:bottom w:val="nil"/>
              <w:right w:val="nil"/>
            </w:tcBorders>
            <w:shd w:val="clear" w:color="auto" w:fill="auto"/>
            <w:vAlign w:val="center"/>
            <w:hideMark/>
          </w:tcPr>
          <w:p w14:paraId="437F7932" w14:textId="77777777" w:rsidR="006D5CEC" w:rsidRPr="006D5CEC" w:rsidRDefault="006D5CEC" w:rsidP="00531B19">
            <w:pPr>
              <w:spacing w:after="0" w:line="240" w:lineRule="auto"/>
              <w:jc w:val="right"/>
              <w:rPr>
                <w:rFonts w:cs="Arial"/>
                <w:sz w:val="16"/>
                <w:szCs w:val="16"/>
              </w:rPr>
            </w:pPr>
            <w:r w:rsidRPr="006D5CEC">
              <w:rPr>
                <w:rFonts w:cs="Arial"/>
                <w:sz w:val="16"/>
                <w:szCs w:val="16"/>
              </w:rPr>
              <w:t>27 481</w:t>
            </w:r>
          </w:p>
        </w:tc>
        <w:tc>
          <w:tcPr>
            <w:tcW w:w="652" w:type="dxa"/>
            <w:tcBorders>
              <w:top w:val="nil"/>
              <w:left w:val="nil"/>
              <w:bottom w:val="nil"/>
              <w:right w:val="nil"/>
            </w:tcBorders>
            <w:shd w:val="clear" w:color="auto" w:fill="auto"/>
            <w:vAlign w:val="center"/>
            <w:hideMark/>
          </w:tcPr>
          <w:p w14:paraId="0C593E3F" w14:textId="77777777" w:rsidR="006D5CEC" w:rsidRPr="006D5CEC" w:rsidRDefault="006D5CEC" w:rsidP="00531B19">
            <w:pPr>
              <w:spacing w:after="0" w:line="240" w:lineRule="auto"/>
              <w:jc w:val="right"/>
              <w:rPr>
                <w:rFonts w:cs="Arial"/>
                <w:sz w:val="16"/>
                <w:szCs w:val="16"/>
              </w:rPr>
            </w:pPr>
            <w:r w:rsidRPr="006D5CEC">
              <w:rPr>
                <w:rFonts w:cs="Arial"/>
                <w:sz w:val="16"/>
                <w:szCs w:val="16"/>
              </w:rPr>
              <w:t>12 349</w:t>
            </w:r>
          </w:p>
        </w:tc>
        <w:tc>
          <w:tcPr>
            <w:tcW w:w="652" w:type="dxa"/>
            <w:tcBorders>
              <w:top w:val="nil"/>
              <w:left w:val="nil"/>
              <w:bottom w:val="nil"/>
              <w:right w:val="single" w:sz="4" w:space="0" w:color="auto"/>
            </w:tcBorders>
            <w:shd w:val="clear" w:color="auto" w:fill="auto"/>
            <w:vAlign w:val="center"/>
            <w:hideMark/>
          </w:tcPr>
          <w:p w14:paraId="56B5AA83" w14:textId="77777777" w:rsidR="006D5CEC" w:rsidRPr="006D5CEC" w:rsidRDefault="006D5CEC" w:rsidP="00531B19">
            <w:pPr>
              <w:spacing w:after="0" w:line="240" w:lineRule="auto"/>
              <w:jc w:val="right"/>
              <w:rPr>
                <w:rFonts w:cs="Arial"/>
                <w:sz w:val="16"/>
                <w:szCs w:val="16"/>
              </w:rPr>
            </w:pPr>
            <w:r w:rsidRPr="006D5CEC">
              <w:rPr>
                <w:rFonts w:cs="Arial"/>
                <w:sz w:val="16"/>
                <w:szCs w:val="16"/>
              </w:rPr>
              <w:t>15 131</w:t>
            </w:r>
          </w:p>
        </w:tc>
        <w:tc>
          <w:tcPr>
            <w:tcW w:w="822" w:type="dxa"/>
            <w:tcBorders>
              <w:top w:val="nil"/>
              <w:left w:val="nil"/>
              <w:bottom w:val="nil"/>
              <w:right w:val="nil"/>
            </w:tcBorders>
            <w:shd w:val="clear" w:color="auto" w:fill="auto"/>
            <w:vAlign w:val="center"/>
            <w:hideMark/>
          </w:tcPr>
          <w:p w14:paraId="125B4334" w14:textId="77777777" w:rsidR="006D5CEC" w:rsidRPr="006D5CEC" w:rsidRDefault="006D5CEC" w:rsidP="00531B19">
            <w:pPr>
              <w:spacing w:after="0" w:line="240" w:lineRule="auto"/>
              <w:jc w:val="right"/>
              <w:rPr>
                <w:rFonts w:cs="Arial"/>
                <w:sz w:val="16"/>
                <w:szCs w:val="16"/>
              </w:rPr>
            </w:pPr>
            <w:r w:rsidRPr="006D5CEC">
              <w:rPr>
                <w:rFonts w:cs="Arial"/>
                <w:sz w:val="16"/>
                <w:szCs w:val="16"/>
              </w:rPr>
              <w:t>1 375</w:t>
            </w:r>
          </w:p>
        </w:tc>
        <w:tc>
          <w:tcPr>
            <w:tcW w:w="652" w:type="dxa"/>
            <w:tcBorders>
              <w:top w:val="nil"/>
              <w:left w:val="nil"/>
              <w:bottom w:val="nil"/>
              <w:right w:val="nil"/>
            </w:tcBorders>
            <w:shd w:val="clear" w:color="auto" w:fill="auto"/>
            <w:vAlign w:val="center"/>
            <w:hideMark/>
          </w:tcPr>
          <w:p w14:paraId="522DCCAD" w14:textId="77777777" w:rsidR="006D5CEC" w:rsidRPr="006D5CEC" w:rsidRDefault="006D5CEC" w:rsidP="00531B19">
            <w:pPr>
              <w:spacing w:after="0" w:line="240" w:lineRule="auto"/>
              <w:jc w:val="right"/>
              <w:rPr>
                <w:rFonts w:cs="Arial"/>
                <w:sz w:val="16"/>
                <w:szCs w:val="16"/>
              </w:rPr>
            </w:pPr>
            <w:r w:rsidRPr="006D5CEC">
              <w:rPr>
                <w:rFonts w:cs="Arial"/>
                <w:sz w:val="16"/>
                <w:szCs w:val="16"/>
              </w:rPr>
              <w:t>975</w:t>
            </w:r>
          </w:p>
        </w:tc>
        <w:tc>
          <w:tcPr>
            <w:tcW w:w="652" w:type="dxa"/>
            <w:tcBorders>
              <w:top w:val="nil"/>
              <w:left w:val="nil"/>
              <w:bottom w:val="nil"/>
              <w:right w:val="single" w:sz="4" w:space="0" w:color="auto"/>
            </w:tcBorders>
            <w:shd w:val="clear" w:color="auto" w:fill="auto"/>
            <w:vAlign w:val="center"/>
            <w:hideMark/>
          </w:tcPr>
          <w:p w14:paraId="4211D7D3" w14:textId="77777777" w:rsidR="006D5CEC" w:rsidRPr="006D5CEC" w:rsidRDefault="006D5CEC" w:rsidP="00531B19">
            <w:pPr>
              <w:spacing w:after="0" w:line="240" w:lineRule="auto"/>
              <w:jc w:val="right"/>
              <w:rPr>
                <w:rFonts w:cs="Arial"/>
                <w:sz w:val="16"/>
                <w:szCs w:val="16"/>
              </w:rPr>
            </w:pPr>
            <w:r w:rsidRPr="006D5CEC">
              <w:rPr>
                <w:rFonts w:cs="Arial"/>
                <w:sz w:val="16"/>
                <w:szCs w:val="16"/>
              </w:rPr>
              <w:t>400</w:t>
            </w:r>
          </w:p>
        </w:tc>
        <w:tc>
          <w:tcPr>
            <w:tcW w:w="822" w:type="dxa"/>
            <w:tcBorders>
              <w:top w:val="nil"/>
              <w:left w:val="nil"/>
              <w:bottom w:val="nil"/>
              <w:right w:val="nil"/>
            </w:tcBorders>
            <w:shd w:val="clear" w:color="auto" w:fill="auto"/>
            <w:vAlign w:val="center"/>
            <w:hideMark/>
          </w:tcPr>
          <w:p w14:paraId="41917E5D" w14:textId="77777777" w:rsidR="006D5CEC" w:rsidRPr="006D5CEC" w:rsidRDefault="006D5CEC" w:rsidP="00531B19">
            <w:pPr>
              <w:spacing w:after="0" w:line="240" w:lineRule="auto"/>
              <w:jc w:val="right"/>
              <w:rPr>
                <w:rFonts w:cs="Arial"/>
                <w:sz w:val="16"/>
                <w:szCs w:val="16"/>
              </w:rPr>
            </w:pPr>
            <w:r w:rsidRPr="006D5CEC">
              <w:rPr>
                <w:rFonts w:cs="Arial"/>
                <w:sz w:val="16"/>
                <w:szCs w:val="16"/>
              </w:rPr>
              <w:t>2 465</w:t>
            </w:r>
          </w:p>
        </w:tc>
        <w:tc>
          <w:tcPr>
            <w:tcW w:w="652" w:type="dxa"/>
            <w:tcBorders>
              <w:top w:val="nil"/>
              <w:left w:val="nil"/>
              <w:bottom w:val="nil"/>
              <w:right w:val="nil"/>
            </w:tcBorders>
            <w:shd w:val="clear" w:color="auto" w:fill="auto"/>
            <w:vAlign w:val="center"/>
            <w:hideMark/>
          </w:tcPr>
          <w:p w14:paraId="05A97EEB" w14:textId="77777777" w:rsidR="006D5CEC" w:rsidRPr="006D5CEC" w:rsidRDefault="006D5CEC" w:rsidP="00531B19">
            <w:pPr>
              <w:spacing w:after="0" w:line="240" w:lineRule="auto"/>
              <w:jc w:val="right"/>
              <w:rPr>
                <w:rFonts w:cs="Arial"/>
                <w:sz w:val="16"/>
                <w:szCs w:val="16"/>
              </w:rPr>
            </w:pPr>
            <w:r w:rsidRPr="006D5CEC">
              <w:rPr>
                <w:rFonts w:cs="Arial"/>
                <w:sz w:val="16"/>
                <w:szCs w:val="16"/>
              </w:rPr>
              <w:t>1 600</w:t>
            </w:r>
          </w:p>
        </w:tc>
        <w:tc>
          <w:tcPr>
            <w:tcW w:w="652" w:type="dxa"/>
            <w:tcBorders>
              <w:top w:val="nil"/>
              <w:left w:val="nil"/>
              <w:bottom w:val="nil"/>
              <w:right w:val="nil"/>
            </w:tcBorders>
            <w:shd w:val="clear" w:color="auto" w:fill="auto"/>
            <w:vAlign w:val="center"/>
            <w:hideMark/>
          </w:tcPr>
          <w:p w14:paraId="5276BBA3" w14:textId="77777777" w:rsidR="006D5CEC" w:rsidRPr="006D5CEC" w:rsidRDefault="006D5CEC" w:rsidP="00531B19">
            <w:pPr>
              <w:spacing w:after="0" w:line="240" w:lineRule="auto"/>
              <w:jc w:val="right"/>
              <w:rPr>
                <w:rFonts w:cs="Arial"/>
                <w:sz w:val="16"/>
                <w:szCs w:val="16"/>
              </w:rPr>
            </w:pPr>
            <w:r w:rsidRPr="006D5CEC">
              <w:rPr>
                <w:rFonts w:cs="Arial"/>
                <w:sz w:val="16"/>
                <w:szCs w:val="16"/>
              </w:rPr>
              <w:t>866</w:t>
            </w:r>
          </w:p>
        </w:tc>
      </w:tr>
      <w:tr w:rsidR="006D5CEC" w:rsidRPr="006D5CEC" w14:paraId="7AAB9F88" w14:textId="77777777" w:rsidTr="00531B19">
        <w:trPr>
          <w:trHeight w:val="300"/>
        </w:trPr>
        <w:tc>
          <w:tcPr>
            <w:tcW w:w="1019" w:type="dxa"/>
            <w:tcBorders>
              <w:top w:val="nil"/>
              <w:left w:val="nil"/>
              <w:bottom w:val="nil"/>
              <w:right w:val="single" w:sz="4" w:space="0" w:color="auto"/>
            </w:tcBorders>
            <w:shd w:val="clear" w:color="auto" w:fill="auto"/>
            <w:vAlign w:val="center"/>
            <w:hideMark/>
          </w:tcPr>
          <w:p w14:paraId="6C182C82" w14:textId="77777777" w:rsidR="006D5CEC" w:rsidRPr="006D5CEC" w:rsidRDefault="006D5CEC" w:rsidP="00531B19">
            <w:pPr>
              <w:spacing w:after="0" w:line="240" w:lineRule="auto"/>
              <w:jc w:val="right"/>
              <w:rPr>
                <w:rFonts w:cs="Arial"/>
                <w:sz w:val="16"/>
                <w:szCs w:val="16"/>
              </w:rPr>
            </w:pPr>
            <w:r w:rsidRPr="006D5CEC">
              <w:rPr>
                <w:rFonts w:cs="Arial"/>
                <w:sz w:val="16"/>
                <w:szCs w:val="16"/>
              </w:rPr>
              <w:t>1. pol. 2011</w:t>
            </w:r>
          </w:p>
        </w:tc>
        <w:tc>
          <w:tcPr>
            <w:tcW w:w="819" w:type="dxa"/>
            <w:tcBorders>
              <w:top w:val="nil"/>
              <w:left w:val="nil"/>
              <w:bottom w:val="nil"/>
              <w:right w:val="nil"/>
            </w:tcBorders>
            <w:shd w:val="clear" w:color="auto" w:fill="auto"/>
            <w:vAlign w:val="center"/>
            <w:hideMark/>
          </w:tcPr>
          <w:p w14:paraId="76705509" w14:textId="77777777" w:rsidR="006D5CEC" w:rsidRPr="006D5CEC" w:rsidRDefault="006D5CEC" w:rsidP="00531B19">
            <w:pPr>
              <w:spacing w:after="0" w:line="240" w:lineRule="auto"/>
              <w:jc w:val="right"/>
              <w:rPr>
                <w:rFonts w:cs="Arial"/>
                <w:sz w:val="16"/>
                <w:szCs w:val="16"/>
              </w:rPr>
            </w:pPr>
            <w:r w:rsidRPr="006D5CEC">
              <w:rPr>
                <w:rFonts w:cs="Arial"/>
                <w:sz w:val="16"/>
                <w:szCs w:val="16"/>
              </w:rPr>
              <w:t>30 388</w:t>
            </w:r>
          </w:p>
        </w:tc>
        <w:tc>
          <w:tcPr>
            <w:tcW w:w="652" w:type="dxa"/>
            <w:tcBorders>
              <w:top w:val="nil"/>
              <w:left w:val="nil"/>
              <w:bottom w:val="nil"/>
              <w:right w:val="nil"/>
            </w:tcBorders>
            <w:shd w:val="clear" w:color="auto" w:fill="auto"/>
            <w:vAlign w:val="center"/>
            <w:hideMark/>
          </w:tcPr>
          <w:p w14:paraId="4E7B23FE" w14:textId="77777777" w:rsidR="006D5CEC" w:rsidRPr="006D5CEC" w:rsidRDefault="006D5CEC" w:rsidP="00531B19">
            <w:pPr>
              <w:spacing w:after="0" w:line="240" w:lineRule="auto"/>
              <w:jc w:val="right"/>
              <w:rPr>
                <w:rFonts w:cs="Arial"/>
                <w:sz w:val="16"/>
                <w:szCs w:val="16"/>
              </w:rPr>
            </w:pPr>
            <w:r w:rsidRPr="006D5CEC">
              <w:rPr>
                <w:rFonts w:cs="Arial"/>
                <w:sz w:val="16"/>
                <w:szCs w:val="16"/>
              </w:rPr>
              <w:t>14 270</w:t>
            </w:r>
          </w:p>
        </w:tc>
        <w:tc>
          <w:tcPr>
            <w:tcW w:w="652" w:type="dxa"/>
            <w:tcBorders>
              <w:top w:val="nil"/>
              <w:left w:val="nil"/>
              <w:bottom w:val="nil"/>
              <w:right w:val="single" w:sz="4" w:space="0" w:color="auto"/>
            </w:tcBorders>
            <w:shd w:val="clear" w:color="auto" w:fill="auto"/>
            <w:vAlign w:val="center"/>
            <w:hideMark/>
          </w:tcPr>
          <w:p w14:paraId="6520AC80" w14:textId="77777777" w:rsidR="006D5CEC" w:rsidRPr="006D5CEC" w:rsidRDefault="006D5CEC" w:rsidP="00531B19">
            <w:pPr>
              <w:spacing w:after="0" w:line="240" w:lineRule="auto"/>
              <w:jc w:val="right"/>
              <w:rPr>
                <w:rFonts w:cs="Arial"/>
                <w:sz w:val="16"/>
                <w:szCs w:val="16"/>
              </w:rPr>
            </w:pPr>
            <w:r w:rsidRPr="006D5CEC">
              <w:rPr>
                <w:rFonts w:cs="Arial"/>
                <w:sz w:val="16"/>
                <w:szCs w:val="16"/>
              </w:rPr>
              <w:t>16 118</w:t>
            </w:r>
          </w:p>
        </w:tc>
        <w:tc>
          <w:tcPr>
            <w:tcW w:w="822" w:type="dxa"/>
            <w:tcBorders>
              <w:top w:val="nil"/>
              <w:left w:val="nil"/>
              <w:bottom w:val="nil"/>
              <w:right w:val="nil"/>
            </w:tcBorders>
            <w:shd w:val="clear" w:color="auto" w:fill="auto"/>
            <w:vAlign w:val="center"/>
            <w:hideMark/>
          </w:tcPr>
          <w:p w14:paraId="3186938D" w14:textId="77777777" w:rsidR="006D5CEC" w:rsidRPr="006D5CEC" w:rsidRDefault="006D5CEC" w:rsidP="00531B19">
            <w:pPr>
              <w:spacing w:after="0" w:line="240" w:lineRule="auto"/>
              <w:jc w:val="right"/>
              <w:rPr>
                <w:rFonts w:cs="Arial"/>
                <w:sz w:val="16"/>
                <w:szCs w:val="16"/>
              </w:rPr>
            </w:pPr>
            <w:r w:rsidRPr="006D5CEC">
              <w:rPr>
                <w:rFonts w:cs="Arial"/>
                <w:sz w:val="16"/>
                <w:szCs w:val="16"/>
              </w:rPr>
              <w:t>26 746</w:t>
            </w:r>
          </w:p>
        </w:tc>
        <w:tc>
          <w:tcPr>
            <w:tcW w:w="652" w:type="dxa"/>
            <w:tcBorders>
              <w:top w:val="nil"/>
              <w:left w:val="nil"/>
              <w:bottom w:val="nil"/>
              <w:right w:val="nil"/>
            </w:tcBorders>
            <w:shd w:val="clear" w:color="auto" w:fill="auto"/>
            <w:vAlign w:val="center"/>
            <w:hideMark/>
          </w:tcPr>
          <w:p w14:paraId="12D75507" w14:textId="77777777" w:rsidR="006D5CEC" w:rsidRPr="006D5CEC" w:rsidRDefault="006D5CEC" w:rsidP="00531B19">
            <w:pPr>
              <w:spacing w:after="0" w:line="240" w:lineRule="auto"/>
              <w:jc w:val="right"/>
              <w:rPr>
                <w:rFonts w:cs="Arial"/>
                <w:sz w:val="16"/>
                <w:szCs w:val="16"/>
              </w:rPr>
            </w:pPr>
            <w:r w:rsidRPr="006D5CEC">
              <w:rPr>
                <w:rFonts w:cs="Arial"/>
                <w:sz w:val="16"/>
                <w:szCs w:val="16"/>
              </w:rPr>
              <w:t>11 835</w:t>
            </w:r>
          </w:p>
        </w:tc>
        <w:tc>
          <w:tcPr>
            <w:tcW w:w="652" w:type="dxa"/>
            <w:tcBorders>
              <w:top w:val="nil"/>
              <w:left w:val="nil"/>
              <w:bottom w:val="nil"/>
              <w:right w:val="single" w:sz="4" w:space="0" w:color="auto"/>
            </w:tcBorders>
            <w:shd w:val="clear" w:color="auto" w:fill="auto"/>
            <w:vAlign w:val="center"/>
            <w:hideMark/>
          </w:tcPr>
          <w:p w14:paraId="69E5A7FC" w14:textId="77777777" w:rsidR="006D5CEC" w:rsidRPr="006D5CEC" w:rsidRDefault="006D5CEC" w:rsidP="00531B19">
            <w:pPr>
              <w:spacing w:after="0" w:line="240" w:lineRule="auto"/>
              <w:jc w:val="right"/>
              <w:rPr>
                <w:rFonts w:cs="Arial"/>
                <w:sz w:val="16"/>
                <w:szCs w:val="16"/>
              </w:rPr>
            </w:pPr>
            <w:r w:rsidRPr="006D5CEC">
              <w:rPr>
                <w:rFonts w:cs="Arial"/>
                <w:sz w:val="16"/>
                <w:szCs w:val="16"/>
              </w:rPr>
              <w:t>14 910</w:t>
            </w:r>
          </w:p>
        </w:tc>
        <w:tc>
          <w:tcPr>
            <w:tcW w:w="822" w:type="dxa"/>
            <w:tcBorders>
              <w:top w:val="nil"/>
              <w:left w:val="nil"/>
              <w:bottom w:val="nil"/>
              <w:right w:val="nil"/>
            </w:tcBorders>
            <w:shd w:val="clear" w:color="auto" w:fill="auto"/>
            <w:vAlign w:val="center"/>
            <w:hideMark/>
          </w:tcPr>
          <w:p w14:paraId="2A6A6276" w14:textId="77777777" w:rsidR="006D5CEC" w:rsidRPr="006D5CEC" w:rsidRDefault="006D5CEC" w:rsidP="00531B19">
            <w:pPr>
              <w:spacing w:after="0" w:line="240" w:lineRule="auto"/>
              <w:jc w:val="right"/>
              <w:rPr>
                <w:rFonts w:cs="Arial"/>
                <w:sz w:val="16"/>
                <w:szCs w:val="16"/>
              </w:rPr>
            </w:pPr>
            <w:r w:rsidRPr="006D5CEC">
              <w:rPr>
                <w:rFonts w:cs="Arial"/>
                <w:sz w:val="16"/>
                <w:szCs w:val="16"/>
              </w:rPr>
              <w:t>1 331</w:t>
            </w:r>
          </w:p>
        </w:tc>
        <w:tc>
          <w:tcPr>
            <w:tcW w:w="652" w:type="dxa"/>
            <w:tcBorders>
              <w:top w:val="nil"/>
              <w:left w:val="nil"/>
              <w:bottom w:val="nil"/>
              <w:right w:val="nil"/>
            </w:tcBorders>
            <w:shd w:val="clear" w:color="auto" w:fill="auto"/>
            <w:vAlign w:val="center"/>
            <w:hideMark/>
          </w:tcPr>
          <w:p w14:paraId="4E5022A1" w14:textId="77777777" w:rsidR="006D5CEC" w:rsidRPr="006D5CEC" w:rsidRDefault="006D5CEC" w:rsidP="00531B19">
            <w:pPr>
              <w:spacing w:after="0" w:line="240" w:lineRule="auto"/>
              <w:jc w:val="right"/>
              <w:rPr>
                <w:rFonts w:cs="Arial"/>
                <w:sz w:val="16"/>
                <w:szCs w:val="16"/>
              </w:rPr>
            </w:pPr>
            <w:r w:rsidRPr="006D5CEC">
              <w:rPr>
                <w:rFonts w:cs="Arial"/>
                <w:sz w:val="16"/>
                <w:szCs w:val="16"/>
              </w:rPr>
              <w:t>942</w:t>
            </w:r>
          </w:p>
        </w:tc>
        <w:tc>
          <w:tcPr>
            <w:tcW w:w="652" w:type="dxa"/>
            <w:tcBorders>
              <w:top w:val="nil"/>
              <w:left w:val="nil"/>
              <w:bottom w:val="nil"/>
              <w:right w:val="single" w:sz="4" w:space="0" w:color="auto"/>
            </w:tcBorders>
            <w:shd w:val="clear" w:color="auto" w:fill="auto"/>
            <w:vAlign w:val="center"/>
            <w:hideMark/>
          </w:tcPr>
          <w:p w14:paraId="734D6B8D" w14:textId="77777777" w:rsidR="006D5CEC" w:rsidRPr="006D5CEC" w:rsidRDefault="006D5CEC" w:rsidP="00531B19">
            <w:pPr>
              <w:spacing w:after="0" w:line="240" w:lineRule="auto"/>
              <w:jc w:val="right"/>
              <w:rPr>
                <w:rFonts w:cs="Arial"/>
                <w:sz w:val="16"/>
                <w:szCs w:val="16"/>
              </w:rPr>
            </w:pPr>
            <w:r w:rsidRPr="006D5CEC">
              <w:rPr>
                <w:rFonts w:cs="Arial"/>
                <w:sz w:val="16"/>
                <w:szCs w:val="16"/>
              </w:rPr>
              <w:t>389</w:t>
            </w:r>
          </w:p>
        </w:tc>
        <w:tc>
          <w:tcPr>
            <w:tcW w:w="822" w:type="dxa"/>
            <w:tcBorders>
              <w:top w:val="nil"/>
              <w:left w:val="nil"/>
              <w:bottom w:val="nil"/>
              <w:right w:val="nil"/>
            </w:tcBorders>
            <w:shd w:val="clear" w:color="auto" w:fill="auto"/>
            <w:vAlign w:val="center"/>
            <w:hideMark/>
          </w:tcPr>
          <w:p w14:paraId="7C240418" w14:textId="77777777" w:rsidR="006D5CEC" w:rsidRPr="006D5CEC" w:rsidRDefault="006D5CEC" w:rsidP="00531B19">
            <w:pPr>
              <w:spacing w:after="0" w:line="240" w:lineRule="auto"/>
              <w:jc w:val="right"/>
              <w:rPr>
                <w:rFonts w:cs="Arial"/>
                <w:sz w:val="16"/>
                <w:szCs w:val="16"/>
              </w:rPr>
            </w:pPr>
            <w:r w:rsidRPr="006D5CEC">
              <w:rPr>
                <w:rFonts w:cs="Arial"/>
                <w:sz w:val="16"/>
                <w:szCs w:val="16"/>
              </w:rPr>
              <w:t>2 311</w:t>
            </w:r>
          </w:p>
        </w:tc>
        <w:tc>
          <w:tcPr>
            <w:tcW w:w="652" w:type="dxa"/>
            <w:tcBorders>
              <w:top w:val="nil"/>
              <w:left w:val="nil"/>
              <w:bottom w:val="nil"/>
              <w:right w:val="nil"/>
            </w:tcBorders>
            <w:shd w:val="clear" w:color="auto" w:fill="auto"/>
            <w:vAlign w:val="center"/>
            <w:hideMark/>
          </w:tcPr>
          <w:p w14:paraId="0CBE00F0" w14:textId="77777777" w:rsidR="006D5CEC" w:rsidRPr="006D5CEC" w:rsidRDefault="006D5CEC" w:rsidP="00531B19">
            <w:pPr>
              <w:spacing w:after="0" w:line="240" w:lineRule="auto"/>
              <w:jc w:val="right"/>
              <w:rPr>
                <w:rFonts w:cs="Arial"/>
                <w:sz w:val="16"/>
                <w:szCs w:val="16"/>
              </w:rPr>
            </w:pPr>
            <w:r w:rsidRPr="006D5CEC">
              <w:rPr>
                <w:rFonts w:cs="Arial"/>
                <w:sz w:val="16"/>
                <w:szCs w:val="16"/>
              </w:rPr>
              <w:t>1 492</w:t>
            </w:r>
          </w:p>
        </w:tc>
        <w:tc>
          <w:tcPr>
            <w:tcW w:w="652" w:type="dxa"/>
            <w:tcBorders>
              <w:top w:val="nil"/>
              <w:left w:val="nil"/>
              <w:bottom w:val="nil"/>
              <w:right w:val="nil"/>
            </w:tcBorders>
            <w:shd w:val="clear" w:color="auto" w:fill="auto"/>
            <w:vAlign w:val="center"/>
            <w:hideMark/>
          </w:tcPr>
          <w:p w14:paraId="7036A02C" w14:textId="77777777" w:rsidR="006D5CEC" w:rsidRPr="006D5CEC" w:rsidRDefault="006D5CEC" w:rsidP="00531B19">
            <w:pPr>
              <w:spacing w:after="0" w:line="240" w:lineRule="auto"/>
              <w:jc w:val="right"/>
              <w:rPr>
                <w:rFonts w:cs="Arial"/>
                <w:sz w:val="16"/>
                <w:szCs w:val="16"/>
              </w:rPr>
            </w:pPr>
            <w:r w:rsidRPr="006D5CEC">
              <w:rPr>
                <w:rFonts w:cs="Arial"/>
                <w:sz w:val="16"/>
                <w:szCs w:val="16"/>
              </w:rPr>
              <w:t>819</w:t>
            </w:r>
          </w:p>
        </w:tc>
      </w:tr>
      <w:tr w:rsidR="006D5CEC" w:rsidRPr="006D5CEC" w14:paraId="6F27A4CF" w14:textId="77777777" w:rsidTr="00531B19">
        <w:trPr>
          <w:trHeight w:val="300"/>
        </w:trPr>
        <w:tc>
          <w:tcPr>
            <w:tcW w:w="1019" w:type="dxa"/>
            <w:tcBorders>
              <w:top w:val="nil"/>
              <w:left w:val="nil"/>
              <w:bottom w:val="nil"/>
              <w:right w:val="single" w:sz="4" w:space="0" w:color="auto"/>
            </w:tcBorders>
            <w:shd w:val="clear" w:color="auto" w:fill="auto"/>
            <w:vAlign w:val="center"/>
            <w:hideMark/>
          </w:tcPr>
          <w:p w14:paraId="251425CF" w14:textId="77777777" w:rsidR="006D5CEC" w:rsidRPr="006D5CEC" w:rsidRDefault="006D5CEC" w:rsidP="00531B19">
            <w:pPr>
              <w:spacing w:after="0" w:line="240" w:lineRule="auto"/>
              <w:jc w:val="right"/>
              <w:rPr>
                <w:rFonts w:cs="Arial"/>
                <w:sz w:val="16"/>
                <w:szCs w:val="16"/>
              </w:rPr>
            </w:pPr>
            <w:r w:rsidRPr="006D5CEC">
              <w:rPr>
                <w:rFonts w:cs="Arial"/>
                <w:sz w:val="16"/>
                <w:szCs w:val="16"/>
              </w:rPr>
              <w:t>1. pol. 2012</w:t>
            </w:r>
          </w:p>
        </w:tc>
        <w:tc>
          <w:tcPr>
            <w:tcW w:w="819" w:type="dxa"/>
            <w:tcBorders>
              <w:top w:val="nil"/>
              <w:left w:val="nil"/>
              <w:bottom w:val="nil"/>
              <w:right w:val="nil"/>
            </w:tcBorders>
            <w:shd w:val="clear" w:color="auto" w:fill="auto"/>
            <w:vAlign w:val="center"/>
            <w:hideMark/>
          </w:tcPr>
          <w:p w14:paraId="10FB445A" w14:textId="77777777" w:rsidR="006D5CEC" w:rsidRPr="006D5CEC" w:rsidRDefault="006D5CEC" w:rsidP="00531B19">
            <w:pPr>
              <w:spacing w:after="0" w:line="240" w:lineRule="auto"/>
              <w:jc w:val="right"/>
              <w:rPr>
                <w:rFonts w:cs="Arial"/>
                <w:sz w:val="16"/>
                <w:szCs w:val="16"/>
              </w:rPr>
            </w:pPr>
            <w:r w:rsidRPr="006D5CEC">
              <w:rPr>
                <w:rFonts w:cs="Arial"/>
                <w:sz w:val="16"/>
                <w:szCs w:val="16"/>
              </w:rPr>
              <w:t>28 973</w:t>
            </w:r>
          </w:p>
        </w:tc>
        <w:tc>
          <w:tcPr>
            <w:tcW w:w="652" w:type="dxa"/>
            <w:tcBorders>
              <w:top w:val="nil"/>
              <w:left w:val="nil"/>
              <w:bottom w:val="nil"/>
              <w:right w:val="nil"/>
            </w:tcBorders>
            <w:shd w:val="clear" w:color="auto" w:fill="auto"/>
            <w:vAlign w:val="center"/>
            <w:hideMark/>
          </w:tcPr>
          <w:p w14:paraId="1279F57C" w14:textId="77777777" w:rsidR="006D5CEC" w:rsidRPr="006D5CEC" w:rsidRDefault="006D5CEC" w:rsidP="00531B19">
            <w:pPr>
              <w:spacing w:after="0" w:line="240" w:lineRule="auto"/>
              <w:jc w:val="right"/>
              <w:rPr>
                <w:rFonts w:cs="Arial"/>
                <w:sz w:val="16"/>
                <w:szCs w:val="16"/>
              </w:rPr>
            </w:pPr>
            <w:r w:rsidRPr="006D5CEC">
              <w:rPr>
                <w:rFonts w:cs="Arial"/>
                <w:sz w:val="16"/>
                <w:szCs w:val="16"/>
              </w:rPr>
              <w:t>13 410</w:t>
            </w:r>
          </w:p>
        </w:tc>
        <w:tc>
          <w:tcPr>
            <w:tcW w:w="652" w:type="dxa"/>
            <w:tcBorders>
              <w:top w:val="nil"/>
              <w:left w:val="nil"/>
              <w:bottom w:val="nil"/>
              <w:right w:val="single" w:sz="4" w:space="0" w:color="auto"/>
            </w:tcBorders>
            <w:shd w:val="clear" w:color="auto" w:fill="auto"/>
            <w:vAlign w:val="center"/>
            <w:hideMark/>
          </w:tcPr>
          <w:p w14:paraId="6BCB3FC8" w14:textId="77777777" w:rsidR="006D5CEC" w:rsidRPr="006D5CEC" w:rsidRDefault="006D5CEC" w:rsidP="00531B19">
            <w:pPr>
              <w:spacing w:after="0" w:line="240" w:lineRule="auto"/>
              <w:jc w:val="right"/>
              <w:rPr>
                <w:rFonts w:cs="Arial"/>
                <w:sz w:val="16"/>
                <w:szCs w:val="16"/>
              </w:rPr>
            </w:pPr>
            <w:r w:rsidRPr="006D5CEC">
              <w:rPr>
                <w:rFonts w:cs="Arial"/>
                <w:sz w:val="16"/>
                <w:szCs w:val="16"/>
              </w:rPr>
              <w:t>15 562</w:t>
            </w:r>
          </w:p>
        </w:tc>
        <w:tc>
          <w:tcPr>
            <w:tcW w:w="822" w:type="dxa"/>
            <w:tcBorders>
              <w:top w:val="nil"/>
              <w:left w:val="nil"/>
              <w:bottom w:val="nil"/>
              <w:right w:val="nil"/>
            </w:tcBorders>
            <w:shd w:val="clear" w:color="auto" w:fill="auto"/>
            <w:vAlign w:val="center"/>
            <w:hideMark/>
          </w:tcPr>
          <w:p w14:paraId="6F5ABC29" w14:textId="77777777" w:rsidR="006D5CEC" w:rsidRPr="006D5CEC" w:rsidRDefault="006D5CEC" w:rsidP="00531B19">
            <w:pPr>
              <w:spacing w:after="0" w:line="240" w:lineRule="auto"/>
              <w:jc w:val="right"/>
              <w:rPr>
                <w:rFonts w:cs="Arial"/>
                <w:sz w:val="16"/>
                <w:szCs w:val="16"/>
              </w:rPr>
            </w:pPr>
            <w:r w:rsidRPr="006D5CEC">
              <w:rPr>
                <w:rFonts w:cs="Arial"/>
                <w:sz w:val="16"/>
                <w:szCs w:val="16"/>
              </w:rPr>
              <w:t>24 670</w:t>
            </w:r>
          </w:p>
        </w:tc>
        <w:tc>
          <w:tcPr>
            <w:tcW w:w="652" w:type="dxa"/>
            <w:tcBorders>
              <w:top w:val="nil"/>
              <w:left w:val="nil"/>
              <w:bottom w:val="nil"/>
              <w:right w:val="nil"/>
            </w:tcBorders>
            <w:shd w:val="clear" w:color="auto" w:fill="auto"/>
            <w:vAlign w:val="center"/>
            <w:hideMark/>
          </w:tcPr>
          <w:p w14:paraId="06F16F4D" w14:textId="77777777" w:rsidR="006D5CEC" w:rsidRPr="006D5CEC" w:rsidRDefault="006D5CEC" w:rsidP="00531B19">
            <w:pPr>
              <w:spacing w:after="0" w:line="240" w:lineRule="auto"/>
              <w:jc w:val="right"/>
              <w:rPr>
                <w:rFonts w:cs="Arial"/>
                <w:sz w:val="16"/>
                <w:szCs w:val="16"/>
              </w:rPr>
            </w:pPr>
            <w:r w:rsidRPr="006D5CEC">
              <w:rPr>
                <w:rFonts w:cs="Arial"/>
                <w:sz w:val="16"/>
                <w:szCs w:val="16"/>
              </w:rPr>
              <w:t>10 595</w:t>
            </w:r>
          </w:p>
        </w:tc>
        <w:tc>
          <w:tcPr>
            <w:tcW w:w="652" w:type="dxa"/>
            <w:tcBorders>
              <w:top w:val="nil"/>
              <w:left w:val="nil"/>
              <w:bottom w:val="nil"/>
              <w:right w:val="single" w:sz="4" w:space="0" w:color="auto"/>
            </w:tcBorders>
            <w:shd w:val="clear" w:color="auto" w:fill="auto"/>
            <w:noWrap/>
            <w:vAlign w:val="center"/>
            <w:hideMark/>
          </w:tcPr>
          <w:p w14:paraId="7747A0EE" w14:textId="77777777" w:rsidR="006D5CEC" w:rsidRPr="006D5CEC" w:rsidRDefault="006D5CEC" w:rsidP="00531B19">
            <w:pPr>
              <w:spacing w:after="0" w:line="240" w:lineRule="auto"/>
              <w:jc w:val="right"/>
              <w:rPr>
                <w:rFonts w:cs="Arial"/>
                <w:sz w:val="16"/>
                <w:szCs w:val="16"/>
              </w:rPr>
            </w:pPr>
            <w:r w:rsidRPr="006D5CEC">
              <w:rPr>
                <w:rFonts w:cs="Arial"/>
                <w:sz w:val="16"/>
                <w:szCs w:val="16"/>
              </w:rPr>
              <w:t>14 075</w:t>
            </w:r>
          </w:p>
        </w:tc>
        <w:tc>
          <w:tcPr>
            <w:tcW w:w="822" w:type="dxa"/>
            <w:tcBorders>
              <w:top w:val="nil"/>
              <w:left w:val="nil"/>
              <w:bottom w:val="nil"/>
              <w:right w:val="nil"/>
            </w:tcBorders>
            <w:shd w:val="clear" w:color="auto" w:fill="auto"/>
            <w:vAlign w:val="center"/>
            <w:hideMark/>
          </w:tcPr>
          <w:p w14:paraId="11F5C100" w14:textId="77777777" w:rsidR="006D5CEC" w:rsidRPr="006D5CEC" w:rsidRDefault="006D5CEC" w:rsidP="00531B19">
            <w:pPr>
              <w:spacing w:after="0" w:line="240" w:lineRule="auto"/>
              <w:jc w:val="right"/>
              <w:rPr>
                <w:rFonts w:cs="Arial"/>
                <w:sz w:val="16"/>
                <w:szCs w:val="16"/>
              </w:rPr>
            </w:pPr>
            <w:r w:rsidRPr="006D5CEC">
              <w:rPr>
                <w:rFonts w:cs="Arial"/>
                <w:sz w:val="16"/>
                <w:szCs w:val="16"/>
              </w:rPr>
              <w:t>1 256</w:t>
            </w:r>
          </w:p>
        </w:tc>
        <w:tc>
          <w:tcPr>
            <w:tcW w:w="652" w:type="dxa"/>
            <w:tcBorders>
              <w:top w:val="nil"/>
              <w:left w:val="nil"/>
              <w:bottom w:val="nil"/>
              <w:right w:val="nil"/>
            </w:tcBorders>
            <w:shd w:val="clear" w:color="auto" w:fill="auto"/>
            <w:vAlign w:val="center"/>
            <w:hideMark/>
          </w:tcPr>
          <w:p w14:paraId="1BF9DE44" w14:textId="77777777" w:rsidR="006D5CEC" w:rsidRPr="006D5CEC" w:rsidRDefault="006D5CEC" w:rsidP="00531B19">
            <w:pPr>
              <w:spacing w:after="0" w:line="240" w:lineRule="auto"/>
              <w:jc w:val="right"/>
              <w:rPr>
                <w:rFonts w:cs="Arial"/>
                <w:sz w:val="16"/>
                <w:szCs w:val="16"/>
              </w:rPr>
            </w:pPr>
            <w:r w:rsidRPr="006D5CEC">
              <w:rPr>
                <w:rFonts w:cs="Arial"/>
                <w:sz w:val="16"/>
                <w:szCs w:val="16"/>
              </w:rPr>
              <w:t>899</w:t>
            </w:r>
          </w:p>
        </w:tc>
        <w:tc>
          <w:tcPr>
            <w:tcW w:w="652" w:type="dxa"/>
            <w:tcBorders>
              <w:top w:val="nil"/>
              <w:left w:val="nil"/>
              <w:bottom w:val="nil"/>
              <w:right w:val="single" w:sz="4" w:space="0" w:color="auto"/>
            </w:tcBorders>
            <w:shd w:val="clear" w:color="auto" w:fill="auto"/>
            <w:vAlign w:val="center"/>
            <w:hideMark/>
          </w:tcPr>
          <w:p w14:paraId="5BD09232" w14:textId="77777777" w:rsidR="006D5CEC" w:rsidRPr="006D5CEC" w:rsidRDefault="006D5CEC" w:rsidP="00531B19">
            <w:pPr>
              <w:spacing w:after="0" w:line="240" w:lineRule="auto"/>
              <w:jc w:val="right"/>
              <w:rPr>
                <w:rFonts w:cs="Arial"/>
                <w:sz w:val="16"/>
                <w:szCs w:val="16"/>
              </w:rPr>
            </w:pPr>
            <w:r w:rsidRPr="006D5CEC">
              <w:rPr>
                <w:rFonts w:cs="Arial"/>
                <w:sz w:val="16"/>
                <w:szCs w:val="16"/>
              </w:rPr>
              <w:t>358</w:t>
            </w:r>
          </w:p>
        </w:tc>
        <w:tc>
          <w:tcPr>
            <w:tcW w:w="822" w:type="dxa"/>
            <w:tcBorders>
              <w:top w:val="nil"/>
              <w:left w:val="nil"/>
              <w:bottom w:val="nil"/>
              <w:right w:val="nil"/>
            </w:tcBorders>
            <w:shd w:val="clear" w:color="auto" w:fill="auto"/>
            <w:vAlign w:val="center"/>
            <w:hideMark/>
          </w:tcPr>
          <w:p w14:paraId="6B856A8B" w14:textId="77777777" w:rsidR="006D5CEC" w:rsidRPr="006D5CEC" w:rsidRDefault="006D5CEC" w:rsidP="00531B19">
            <w:pPr>
              <w:spacing w:after="0" w:line="240" w:lineRule="auto"/>
              <w:jc w:val="right"/>
              <w:rPr>
                <w:rFonts w:cs="Arial"/>
                <w:sz w:val="16"/>
                <w:szCs w:val="16"/>
              </w:rPr>
            </w:pPr>
            <w:r w:rsidRPr="006D5CEC">
              <w:rPr>
                <w:rFonts w:cs="Arial"/>
                <w:sz w:val="16"/>
                <w:szCs w:val="16"/>
              </w:rPr>
              <w:t>3 046</w:t>
            </w:r>
          </w:p>
        </w:tc>
        <w:tc>
          <w:tcPr>
            <w:tcW w:w="652" w:type="dxa"/>
            <w:tcBorders>
              <w:top w:val="nil"/>
              <w:left w:val="nil"/>
              <w:bottom w:val="nil"/>
              <w:right w:val="nil"/>
            </w:tcBorders>
            <w:shd w:val="clear" w:color="auto" w:fill="auto"/>
            <w:vAlign w:val="center"/>
            <w:hideMark/>
          </w:tcPr>
          <w:p w14:paraId="7855434A" w14:textId="77777777" w:rsidR="006D5CEC" w:rsidRPr="006D5CEC" w:rsidRDefault="006D5CEC" w:rsidP="00531B19">
            <w:pPr>
              <w:spacing w:after="0" w:line="240" w:lineRule="auto"/>
              <w:jc w:val="right"/>
              <w:rPr>
                <w:rFonts w:cs="Arial"/>
                <w:sz w:val="16"/>
                <w:szCs w:val="16"/>
              </w:rPr>
            </w:pPr>
            <w:r w:rsidRPr="006D5CEC">
              <w:rPr>
                <w:rFonts w:cs="Arial"/>
                <w:sz w:val="16"/>
                <w:szCs w:val="16"/>
              </w:rPr>
              <w:t>1 917</w:t>
            </w:r>
          </w:p>
        </w:tc>
        <w:tc>
          <w:tcPr>
            <w:tcW w:w="652" w:type="dxa"/>
            <w:tcBorders>
              <w:top w:val="nil"/>
              <w:left w:val="nil"/>
              <w:bottom w:val="nil"/>
              <w:right w:val="nil"/>
            </w:tcBorders>
            <w:shd w:val="clear" w:color="auto" w:fill="auto"/>
            <w:vAlign w:val="center"/>
            <w:hideMark/>
          </w:tcPr>
          <w:p w14:paraId="7A036431" w14:textId="77777777" w:rsidR="006D5CEC" w:rsidRPr="006D5CEC" w:rsidRDefault="006D5CEC" w:rsidP="00531B19">
            <w:pPr>
              <w:spacing w:after="0" w:line="240" w:lineRule="auto"/>
              <w:jc w:val="right"/>
              <w:rPr>
                <w:rFonts w:cs="Arial"/>
                <w:sz w:val="16"/>
                <w:szCs w:val="16"/>
              </w:rPr>
            </w:pPr>
            <w:r w:rsidRPr="006D5CEC">
              <w:rPr>
                <w:rFonts w:cs="Arial"/>
                <w:sz w:val="16"/>
                <w:szCs w:val="16"/>
              </w:rPr>
              <w:t>1 129</w:t>
            </w:r>
          </w:p>
        </w:tc>
      </w:tr>
      <w:tr w:rsidR="006D5CEC" w:rsidRPr="006D5CEC" w14:paraId="2CCFC189" w14:textId="77777777" w:rsidTr="00531B19">
        <w:trPr>
          <w:trHeight w:val="300"/>
        </w:trPr>
        <w:tc>
          <w:tcPr>
            <w:tcW w:w="1019" w:type="dxa"/>
            <w:tcBorders>
              <w:top w:val="nil"/>
              <w:left w:val="nil"/>
              <w:bottom w:val="nil"/>
              <w:right w:val="single" w:sz="4" w:space="0" w:color="auto"/>
            </w:tcBorders>
            <w:shd w:val="clear" w:color="auto" w:fill="auto"/>
            <w:vAlign w:val="center"/>
            <w:hideMark/>
          </w:tcPr>
          <w:p w14:paraId="5EEA8086" w14:textId="77777777" w:rsidR="006D5CEC" w:rsidRPr="006D5CEC" w:rsidRDefault="006D5CEC" w:rsidP="00531B19">
            <w:pPr>
              <w:spacing w:after="0" w:line="240" w:lineRule="auto"/>
              <w:jc w:val="right"/>
              <w:rPr>
                <w:rFonts w:cs="Arial"/>
                <w:sz w:val="16"/>
                <w:szCs w:val="16"/>
              </w:rPr>
            </w:pPr>
            <w:r w:rsidRPr="006D5CEC">
              <w:rPr>
                <w:rFonts w:cs="Arial"/>
                <w:sz w:val="16"/>
                <w:szCs w:val="16"/>
              </w:rPr>
              <w:t>1. pol. 2013</w:t>
            </w:r>
          </w:p>
        </w:tc>
        <w:tc>
          <w:tcPr>
            <w:tcW w:w="819" w:type="dxa"/>
            <w:tcBorders>
              <w:top w:val="nil"/>
              <w:left w:val="nil"/>
              <w:bottom w:val="nil"/>
              <w:right w:val="nil"/>
            </w:tcBorders>
            <w:shd w:val="clear" w:color="auto" w:fill="auto"/>
            <w:vAlign w:val="center"/>
            <w:hideMark/>
          </w:tcPr>
          <w:p w14:paraId="65518119" w14:textId="77777777" w:rsidR="006D5CEC" w:rsidRPr="006D5CEC" w:rsidRDefault="006D5CEC" w:rsidP="00531B19">
            <w:pPr>
              <w:spacing w:after="0" w:line="240" w:lineRule="auto"/>
              <w:jc w:val="right"/>
              <w:rPr>
                <w:rFonts w:cs="Arial"/>
                <w:sz w:val="16"/>
                <w:szCs w:val="16"/>
              </w:rPr>
            </w:pPr>
            <w:r w:rsidRPr="006D5CEC">
              <w:rPr>
                <w:rFonts w:cs="Arial"/>
                <w:sz w:val="16"/>
                <w:szCs w:val="16"/>
              </w:rPr>
              <w:t>31 875</w:t>
            </w:r>
          </w:p>
        </w:tc>
        <w:tc>
          <w:tcPr>
            <w:tcW w:w="652" w:type="dxa"/>
            <w:tcBorders>
              <w:top w:val="nil"/>
              <w:left w:val="nil"/>
              <w:bottom w:val="nil"/>
              <w:right w:val="nil"/>
            </w:tcBorders>
            <w:shd w:val="clear" w:color="auto" w:fill="auto"/>
            <w:vAlign w:val="center"/>
            <w:hideMark/>
          </w:tcPr>
          <w:p w14:paraId="02D295EB" w14:textId="77777777" w:rsidR="006D5CEC" w:rsidRPr="006D5CEC" w:rsidRDefault="006D5CEC" w:rsidP="00531B19">
            <w:pPr>
              <w:spacing w:after="0" w:line="240" w:lineRule="auto"/>
              <w:jc w:val="right"/>
              <w:rPr>
                <w:rFonts w:cs="Arial"/>
                <w:sz w:val="16"/>
                <w:szCs w:val="16"/>
              </w:rPr>
            </w:pPr>
            <w:r w:rsidRPr="006D5CEC">
              <w:rPr>
                <w:rFonts w:cs="Arial"/>
                <w:sz w:val="16"/>
                <w:szCs w:val="16"/>
              </w:rPr>
              <w:t>14 774</w:t>
            </w:r>
          </w:p>
        </w:tc>
        <w:tc>
          <w:tcPr>
            <w:tcW w:w="652" w:type="dxa"/>
            <w:tcBorders>
              <w:top w:val="nil"/>
              <w:left w:val="nil"/>
              <w:bottom w:val="nil"/>
              <w:right w:val="single" w:sz="4" w:space="0" w:color="auto"/>
            </w:tcBorders>
            <w:shd w:val="clear" w:color="auto" w:fill="auto"/>
            <w:vAlign w:val="center"/>
            <w:hideMark/>
          </w:tcPr>
          <w:p w14:paraId="63CE192F" w14:textId="77777777" w:rsidR="006D5CEC" w:rsidRPr="006D5CEC" w:rsidRDefault="006D5CEC" w:rsidP="00531B19">
            <w:pPr>
              <w:spacing w:after="0" w:line="240" w:lineRule="auto"/>
              <w:jc w:val="right"/>
              <w:rPr>
                <w:rFonts w:cs="Arial"/>
                <w:sz w:val="16"/>
                <w:szCs w:val="16"/>
              </w:rPr>
            </w:pPr>
            <w:r w:rsidRPr="006D5CEC">
              <w:rPr>
                <w:rFonts w:cs="Arial"/>
                <w:sz w:val="16"/>
                <w:szCs w:val="16"/>
              </w:rPr>
              <w:t>17 102</w:t>
            </w:r>
          </w:p>
        </w:tc>
        <w:tc>
          <w:tcPr>
            <w:tcW w:w="822" w:type="dxa"/>
            <w:tcBorders>
              <w:top w:val="nil"/>
              <w:left w:val="nil"/>
              <w:bottom w:val="nil"/>
              <w:right w:val="nil"/>
            </w:tcBorders>
            <w:shd w:val="clear" w:color="auto" w:fill="auto"/>
            <w:vAlign w:val="center"/>
            <w:hideMark/>
          </w:tcPr>
          <w:p w14:paraId="74A8FE7C" w14:textId="77777777" w:rsidR="006D5CEC" w:rsidRPr="006D5CEC" w:rsidRDefault="006D5CEC" w:rsidP="00531B19">
            <w:pPr>
              <w:spacing w:after="0" w:line="240" w:lineRule="auto"/>
              <w:jc w:val="right"/>
              <w:rPr>
                <w:rFonts w:cs="Arial"/>
                <w:sz w:val="16"/>
                <w:szCs w:val="16"/>
              </w:rPr>
            </w:pPr>
            <w:r w:rsidRPr="006D5CEC">
              <w:rPr>
                <w:rFonts w:cs="Arial"/>
                <w:sz w:val="16"/>
                <w:szCs w:val="16"/>
              </w:rPr>
              <w:t>27 253</w:t>
            </w:r>
          </w:p>
        </w:tc>
        <w:tc>
          <w:tcPr>
            <w:tcW w:w="652" w:type="dxa"/>
            <w:tcBorders>
              <w:top w:val="nil"/>
              <w:left w:val="nil"/>
              <w:bottom w:val="nil"/>
              <w:right w:val="nil"/>
            </w:tcBorders>
            <w:shd w:val="clear" w:color="auto" w:fill="auto"/>
            <w:vAlign w:val="center"/>
            <w:hideMark/>
          </w:tcPr>
          <w:p w14:paraId="1237C6CC" w14:textId="77777777" w:rsidR="006D5CEC" w:rsidRPr="006D5CEC" w:rsidRDefault="006D5CEC" w:rsidP="00531B19">
            <w:pPr>
              <w:spacing w:after="0" w:line="240" w:lineRule="auto"/>
              <w:jc w:val="right"/>
              <w:rPr>
                <w:rFonts w:cs="Arial"/>
                <w:sz w:val="16"/>
                <w:szCs w:val="16"/>
              </w:rPr>
            </w:pPr>
            <w:r w:rsidRPr="006D5CEC">
              <w:rPr>
                <w:rFonts w:cs="Arial"/>
                <w:sz w:val="16"/>
                <w:szCs w:val="16"/>
              </w:rPr>
              <w:t>11 805</w:t>
            </w:r>
          </w:p>
        </w:tc>
        <w:tc>
          <w:tcPr>
            <w:tcW w:w="652" w:type="dxa"/>
            <w:tcBorders>
              <w:top w:val="nil"/>
              <w:left w:val="nil"/>
              <w:bottom w:val="nil"/>
              <w:right w:val="single" w:sz="4" w:space="0" w:color="auto"/>
            </w:tcBorders>
            <w:shd w:val="clear" w:color="auto" w:fill="auto"/>
            <w:vAlign w:val="center"/>
            <w:hideMark/>
          </w:tcPr>
          <w:p w14:paraId="00D23B62" w14:textId="77777777" w:rsidR="006D5CEC" w:rsidRPr="006D5CEC" w:rsidRDefault="006D5CEC" w:rsidP="00531B19">
            <w:pPr>
              <w:spacing w:after="0" w:line="240" w:lineRule="auto"/>
              <w:jc w:val="right"/>
              <w:rPr>
                <w:rFonts w:cs="Arial"/>
                <w:sz w:val="16"/>
                <w:szCs w:val="16"/>
              </w:rPr>
            </w:pPr>
            <w:r w:rsidRPr="006D5CEC">
              <w:rPr>
                <w:rFonts w:cs="Arial"/>
                <w:sz w:val="16"/>
                <w:szCs w:val="16"/>
              </w:rPr>
              <w:t>15 448</w:t>
            </w:r>
          </w:p>
        </w:tc>
        <w:tc>
          <w:tcPr>
            <w:tcW w:w="822" w:type="dxa"/>
            <w:tcBorders>
              <w:top w:val="nil"/>
              <w:left w:val="nil"/>
              <w:bottom w:val="nil"/>
              <w:right w:val="nil"/>
            </w:tcBorders>
            <w:shd w:val="clear" w:color="auto" w:fill="auto"/>
            <w:vAlign w:val="center"/>
            <w:hideMark/>
          </w:tcPr>
          <w:p w14:paraId="1C3CC5B7" w14:textId="77777777" w:rsidR="006D5CEC" w:rsidRPr="006D5CEC" w:rsidRDefault="006D5CEC" w:rsidP="00531B19">
            <w:pPr>
              <w:spacing w:after="0" w:line="240" w:lineRule="auto"/>
              <w:jc w:val="right"/>
              <w:rPr>
                <w:rFonts w:cs="Arial"/>
                <w:sz w:val="16"/>
                <w:szCs w:val="16"/>
              </w:rPr>
            </w:pPr>
            <w:r w:rsidRPr="006D5CEC">
              <w:rPr>
                <w:rFonts w:cs="Arial"/>
                <w:sz w:val="16"/>
                <w:szCs w:val="16"/>
              </w:rPr>
              <w:t>1 237</w:t>
            </w:r>
          </w:p>
        </w:tc>
        <w:tc>
          <w:tcPr>
            <w:tcW w:w="652" w:type="dxa"/>
            <w:tcBorders>
              <w:top w:val="nil"/>
              <w:left w:val="nil"/>
              <w:bottom w:val="nil"/>
              <w:right w:val="nil"/>
            </w:tcBorders>
            <w:shd w:val="clear" w:color="auto" w:fill="auto"/>
            <w:vAlign w:val="center"/>
            <w:hideMark/>
          </w:tcPr>
          <w:p w14:paraId="6279D047" w14:textId="77777777" w:rsidR="006D5CEC" w:rsidRPr="006D5CEC" w:rsidRDefault="006D5CEC" w:rsidP="00531B19">
            <w:pPr>
              <w:spacing w:after="0" w:line="240" w:lineRule="auto"/>
              <w:jc w:val="right"/>
              <w:rPr>
                <w:rFonts w:cs="Arial"/>
                <w:sz w:val="16"/>
                <w:szCs w:val="16"/>
              </w:rPr>
            </w:pPr>
            <w:r w:rsidRPr="006D5CEC">
              <w:rPr>
                <w:rFonts w:cs="Arial"/>
                <w:sz w:val="16"/>
                <w:szCs w:val="16"/>
              </w:rPr>
              <w:t>866</w:t>
            </w:r>
          </w:p>
        </w:tc>
        <w:tc>
          <w:tcPr>
            <w:tcW w:w="652" w:type="dxa"/>
            <w:tcBorders>
              <w:top w:val="nil"/>
              <w:left w:val="nil"/>
              <w:bottom w:val="nil"/>
              <w:right w:val="single" w:sz="4" w:space="0" w:color="auto"/>
            </w:tcBorders>
            <w:shd w:val="clear" w:color="auto" w:fill="auto"/>
            <w:vAlign w:val="center"/>
            <w:hideMark/>
          </w:tcPr>
          <w:p w14:paraId="76380E1E" w14:textId="77777777" w:rsidR="006D5CEC" w:rsidRPr="006D5CEC" w:rsidRDefault="006D5CEC" w:rsidP="00531B19">
            <w:pPr>
              <w:spacing w:after="0" w:line="240" w:lineRule="auto"/>
              <w:jc w:val="right"/>
              <w:rPr>
                <w:rFonts w:cs="Arial"/>
                <w:sz w:val="16"/>
                <w:szCs w:val="16"/>
              </w:rPr>
            </w:pPr>
            <w:r w:rsidRPr="006D5CEC">
              <w:rPr>
                <w:rFonts w:cs="Arial"/>
                <w:sz w:val="16"/>
                <w:szCs w:val="16"/>
              </w:rPr>
              <w:t>371</w:t>
            </w:r>
          </w:p>
        </w:tc>
        <w:tc>
          <w:tcPr>
            <w:tcW w:w="822" w:type="dxa"/>
            <w:tcBorders>
              <w:top w:val="nil"/>
              <w:left w:val="nil"/>
              <w:bottom w:val="nil"/>
              <w:right w:val="nil"/>
            </w:tcBorders>
            <w:shd w:val="clear" w:color="auto" w:fill="auto"/>
            <w:noWrap/>
            <w:vAlign w:val="center"/>
            <w:hideMark/>
          </w:tcPr>
          <w:p w14:paraId="5F8280A5" w14:textId="77777777" w:rsidR="006D5CEC" w:rsidRPr="006D5CEC" w:rsidRDefault="006D5CEC" w:rsidP="00531B19">
            <w:pPr>
              <w:spacing w:after="0" w:line="240" w:lineRule="auto"/>
              <w:jc w:val="right"/>
              <w:rPr>
                <w:rFonts w:cs="Arial"/>
                <w:sz w:val="16"/>
                <w:szCs w:val="16"/>
              </w:rPr>
            </w:pPr>
            <w:r w:rsidRPr="006D5CEC">
              <w:rPr>
                <w:rFonts w:cs="Arial"/>
                <w:sz w:val="16"/>
                <w:szCs w:val="16"/>
              </w:rPr>
              <w:t>3 385</w:t>
            </w:r>
          </w:p>
        </w:tc>
        <w:tc>
          <w:tcPr>
            <w:tcW w:w="652" w:type="dxa"/>
            <w:tcBorders>
              <w:top w:val="nil"/>
              <w:left w:val="nil"/>
              <w:bottom w:val="nil"/>
              <w:right w:val="nil"/>
            </w:tcBorders>
            <w:shd w:val="clear" w:color="auto" w:fill="auto"/>
            <w:vAlign w:val="center"/>
            <w:hideMark/>
          </w:tcPr>
          <w:p w14:paraId="2C8E1B93" w14:textId="77777777" w:rsidR="006D5CEC" w:rsidRPr="006D5CEC" w:rsidRDefault="006D5CEC" w:rsidP="00531B19">
            <w:pPr>
              <w:spacing w:after="0" w:line="240" w:lineRule="auto"/>
              <w:jc w:val="right"/>
              <w:rPr>
                <w:rFonts w:cs="Arial"/>
                <w:sz w:val="16"/>
                <w:szCs w:val="16"/>
              </w:rPr>
            </w:pPr>
            <w:r w:rsidRPr="006D5CEC">
              <w:rPr>
                <w:rFonts w:cs="Arial"/>
                <w:sz w:val="16"/>
                <w:szCs w:val="16"/>
              </w:rPr>
              <w:t>2 102</w:t>
            </w:r>
          </w:p>
        </w:tc>
        <w:tc>
          <w:tcPr>
            <w:tcW w:w="652" w:type="dxa"/>
            <w:tcBorders>
              <w:top w:val="nil"/>
              <w:left w:val="nil"/>
              <w:bottom w:val="nil"/>
              <w:right w:val="nil"/>
            </w:tcBorders>
            <w:shd w:val="clear" w:color="auto" w:fill="auto"/>
            <w:vAlign w:val="center"/>
            <w:hideMark/>
          </w:tcPr>
          <w:p w14:paraId="62C4A3E0" w14:textId="77777777" w:rsidR="006D5CEC" w:rsidRPr="006D5CEC" w:rsidRDefault="006D5CEC" w:rsidP="00531B19">
            <w:pPr>
              <w:spacing w:after="0" w:line="240" w:lineRule="auto"/>
              <w:jc w:val="right"/>
              <w:rPr>
                <w:rFonts w:cs="Arial"/>
                <w:sz w:val="16"/>
                <w:szCs w:val="16"/>
              </w:rPr>
            </w:pPr>
            <w:r w:rsidRPr="006D5CEC">
              <w:rPr>
                <w:rFonts w:cs="Arial"/>
                <w:sz w:val="16"/>
                <w:szCs w:val="16"/>
              </w:rPr>
              <w:t>1 283</w:t>
            </w:r>
          </w:p>
        </w:tc>
      </w:tr>
      <w:tr w:rsidR="006D5CEC" w:rsidRPr="006D5CEC" w14:paraId="5C5F5AC1" w14:textId="77777777" w:rsidTr="00531B19">
        <w:trPr>
          <w:trHeight w:val="300"/>
        </w:trPr>
        <w:tc>
          <w:tcPr>
            <w:tcW w:w="1019" w:type="dxa"/>
            <w:tcBorders>
              <w:top w:val="nil"/>
              <w:left w:val="nil"/>
              <w:bottom w:val="nil"/>
              <w:right w:val="single" w:sz="4" w:space="0" w:color="auto"/>
            </w:tcBorders>
            <w:shd w:val="clear" w:color="auto" w:fill="auto"/>
            <w:vAlign w:val="center"/>
            <w:hideMark/>
          </w:tcPr>
          <w:p w14:paraId="39407398" w14:textId="77777777" w:rsidR="006D5CEC" w:rsidRPr="006D5CEC" w:rsidRDefault="006D5CEC" w:rsidP="00531B19">
            <w:pPr>
              <w:spacing w:after="0" w:line="240" w:lineRule="auto"/>
              <w:jc w:val="right"/>
              <w:rPr>
                <w:rFonts w:cs="Arial"/>
                <w:sz w:val="16"/>
                <w:szCs w:val="16"/>
              </w:rPr>
            </w:pPr>
            <w:r w:rsidRPr="006D5CEC">
              <w:rPr>
                <w:rFonts w:cs="Arial"/>
                <w:sz w:val="16"/>
                <w:szCs w:val="16"/>
              </w:rPr>
              <w:t>1. pol. 2014</w:t>
            </w:r>
          </w:p>
        </w:tc>
        <w:tc>
          <w:tcPr>
            <w:tcW w:w="819" w:type="dxa"/>
            <w:tcBorders>
              <w:top w:val="nil"/>
              <w:left w:val="nil"/>
              <w:bottom w:val="nil"/>
              <w:right w:val="nil"/>
            </w:tcBorders>
            <w:shd w:val="clear" w:color="auto" w:fill="auto"/>
            <w:vAlign w:val="center"/>
            <w:hideMark/>
          </w:tcPr>
          <w:p w14:paraId="789F6B5A" w14:textId="77777777" w:rsidR="006D5CEC" w:rsidRPr="006D5CEC" w:rsidRDefault="006D5CEC" w:rsidP="00531B19">
            <w:pPr>
              <w:spacing w:after="0" w:line="240" w:lineRule="auto"/>
              <w:jc w:val="right"/>
              <w:rPr>
                <w:rFonts w:cs="Arial"/>
                <w:sz w:val="16"/>
                <w:szCs w:val="16"/>
              </w:rPr>
            </w:pPr>
            <w:r w:rsidRPr="006D5CEC">
              <w:rPr>
                <w:rFonts w:cs="Arial"/>
                <w:sz w:val="16"/>
                <w:szCs w:val="16"/>
              </w:rPr>
              <w:t>30 512</w:t>
            </w:r>
          </w:p>
        </w:tc>
        <w:tc>
          <w:tcPr>
            <w:tcW w:w="652" w:type="dxa"/>
            <w:tcBorders>
              <w:top w:val="nil"/>
              <w:left w:val="nil"/>
              <w:bottom w:val="nil"/>
              <w:right w:val="nil"/>
            </w:tcBorders>
            <w:shd w:val="clear" w:color="auto" w:fill="auto"/>
            <w:vAlign w:val="center"/>
            <w:hideMark/>
          </w:tcPr>
          <w:p w14:paraId="16E6536F" w14:textId="77777777" w:rsidR="006D5CEC" w:rsidRPr="006D5CEC" w:rsidRDefault="006D5CEC" w:rsidP="00531B19">
            <w:pPr>
              <w:spacing w:after="0" w:line="240" w:lineRule="auto"/>
              <w:jc w:val="right"/>
              <w:rPr>
                <w:rFonts w:cs="Arial"/>
                <w:sz w:val="16"/>
                <w:szCs w:val="16"/>
              </w:rPr>
            </w:pPr>
            <w:r w:rsidRPr="006D5CEC">
              <w:rPr>
                <w:rFonts w:cs="Arial"/>
                <w:sz w:val="16"/>
                <w:szCs w:val="16"/>
              </w:rPr>
              <w:t>13 910</w:t>
            </w:r>
          </w:p>
        </w:tc>
        <w:tc>
          <w:tcPr>
            <w:tcW w:w="652" w:type="dxa"/>
            <w:tcBorders>
              <w:top w:val="nil"/>
              <w:left w:val="nil"/>
              <w:bottom w:val="nil"/>
              <w:right w:val="single" w:sz="4" w:space="0" w:color="auto"/>
            </w:tcBorders>
            <w:shd w:val="clear" w:color="auto" w:fill="auto"/>
            <w:vAlign w:val="center"/>
            <w:hideMark/>
          </w:tcPr>
          <w:p w14:paraId="1D1B86FE" w14:textId="77777777" w:rsidR="006D5CEC" w:rsidRPr="006D5CEC" w:rsidRDefault="006D5CEC" w:rsidP="00531B19">
            <w:pPr>
              <w:spacing w:after="0" w:line="240" w:lineRule="auto"/>
              <w:jc w:val="right"/>
              <w:rPr>
                <w:rFonts w:cs="Arial"/>
                <w:sz w:val="16"/>
                <w:szCs w:val="16"/>
              </w:rPr>
            </w:pPr>
            <w:r w:rsidRPr="006D5CEC">
              <w:rPr>
                <w:rFonts w:cs="Arial"/>
                <w:sz w:val="16"/>
                <w:szCs w:val="16"/>
              </w:rPr>
              <w:t>16 603</w:t>
            </w:r>
          </w:p>
        </w:tc>
        <w:tc>
          <w:tcPr>
            <w:tcW w:w="822" w:type="dxa"/>
            <w:tcBorders>
              <w:top w:val="nil"/>
              <w:left w:val="nil"/>
              <w:bottom w:val="nil"/>
              <w:right w:val="nil"/>
            </w:tcBorders>
            <w:shd w:val="clear" w:color="auto" w:fill="auto"/>
            <w:vAlign w:val="center"/>
            <w:hideMark/>
          </w:tcPr>
          <w:p w14:paraId="4416848E" w14:textId="77777777" w:rsidR="006D5CEC" w:rsidRPr="006D5CEC" w:rsidRDefault="006D5CEC" w:rsidP="00531B19">
            <w:pPr>
              <w:spacing w:after="0" w:line="240" w:lineRule="auto"/>
              <w:jc w:val="right"/>
              <w:rPr>
                <w:rFonts w:cs="Arial"/>
                <w:sz w:val="16"/>
                <w:szCs w:val="16"/>
              </w:rPr>
            </w:pPr>
            <w:r w:rsidRPr="006D5CEC">
              <w:rPr>
                <w:rFonts w:cs="Arial"/>
                <w:sz w:val="16"/>
                <w:szCs w:val="16"/>
              </w:rPr>
              <w:t>26 003</w:t>
            </w:r>
          </w:p>
        </w:tc>
        <w:tc>
          <w:tcPr>
            <w:tcW w:w="652" w:type="dxa"/>
            <w:tcBorders>
              <w:top w:val="nil"/>
              <w:left w:val="nil"/>
              <w:bottom w:val="nil"/>
              <w:right w:val="nil"/>
            </w:tcBorders>
            <w:shd w:val="clear" w:color="auto" w:fill="auto"/>
            <w:vAlign w:val="center"/>
            <w:hideMark/>
          </w:tcPr>
          <w:p w14:paraId="2EE823F6" w14:textId="77777777" w:rsidR="006D5CEC" w:rsidRPr="006D5CEC" w:rsidRDefault="006D5CEC" w:rsidP="00531B19">
            <w:pPr>
              <w:spacing w:after="0" w:line="240" w:lineRule="auto"/>
              <w:jc w:val="right"/>
              <w:rPr>
                <w:rFonts w:cs="Arial"/>
                <w:sz w:val="16"/>
                <w:szCs w:val="16"/>
              </w:rPr>
            </w:pPr>
            <w:r w:rsidRPr="006D5CEC">
              <w:rPr>
                <w:rFonts w:cs="Arial"/>
                <w:sz w:val="16"/>
                <w:szCs w:val="16"/>
              </w:rPr>
              <w:t>10 966</w:t>
            </w:r>
          </w:p>
        </w:tc>
        <w:tc>
          <w:tcPr>
            <w:tcW w:w="652" w:type="dxa"/>
            <w:tcBorders>
              <w:top w:val="nil"/>
              <w:left w:val="nil"/>
              <w:bottom w:val="nil"/>
              <w:right w:val="single" w:sz="4" w:space="0" w:color="auto"/>
            </w:tcBorders>
            <w:shd w:val="clear" w:color="auto" w:fill="auto"/>
            <w:vAlign w:val="center"/>
            <w:hideMark/>
          </w:tcPr>
          <w:p w14:paraId="1AB86F2F" w14:textId="77777777" w:rsidR="006D5CEC" w:rsidRPr="006D5CEC" w:rsidRDefault="006D5CEC" w:rsidP="00531B19">
            <w:pPr>
              <w:spacing w:after="0" w:line="240" w:lineRule="auto"/>
              <w:jc w:val="right"/>
              <w:rPr>
                <w:rFonts w:cs="Arial"/>
                <w:sz w:val="16"/>
                <w:szCs w:val="16"/>
              </w:rPr>
            </w:pPr>
            <w:r w:rsidRPr="006D5CEC">
              <w:rPr>
                <w:rFonts w:cs="Arial"/>
                <w:sz w:val="16"/>
                <w:szCs w:val="16"/>
              </w:rPr>
              <w:t>15 037</w:t>
            </w:r>
          </w:p>
        </w:tc>
        <w:tc>
          <w:tcPr>
            <w:tcW w:w="822" w:type="dxa"/>
            <w:tcBorders>
              <w:top w:val="nil"/>
              <w:left w:val="nil"/>
              <w:bottom w:val="nil"/>
              <w:right w:val="nil"/>
            </w:tcBorders>
            <w:shd w:val="clear" w:color="auto" w:fill="auto"/>
            <w:vAlign w:val="center"/>
            <w:hideMark/>
          </w:tcPr>
          <w:p w14:paraId="308E173F" w14:textId="77777777" w:rsidR="006D5CEC" w:rsidRPr="006D5CEC" w:rsidRDefault="006D5CEC" w:rsidP="00531B19">
            <w:pPr>
              <w:spacing w:after="0" w:line="240" w:lineRule="auto"/>
              <w:jc w:val="right"/>
              <w:rPr>
                <w:rFonts w:cs="Arial"/>
                <w:sz w:val="16"/>
                <w:szCs w:val="16"/>
              </w:rPr>
            </w:pPr>
            <w:r w:rsidRPr="006D5CEC">
              <w:rPr>
                <w:rFonts w:cs="Arial"/>
                <w:sz w:val="16"/>
                <w:szCs w:val="16"/>
              </w:rPr>
              <w:t>1 192</w:t>
            </w:r>
          </w:p>
        </w:tc>
        <w:tc>
          <w:tcPr>
            <w:tcW w:w="652" w:type="dxa"/>
            <w:tcBorders>
              <w:top w:val="nil"/>
              <w:left w:val="nil"/>
              <w:bottom w:val="nil"/>
              <w:right w:val="nil"/>
            </w:tcBorders>
            <w:shd w:val="clear" w:color="auto" w:fill="auto"/>
            <w:vAlign w:val="center"/>
            <w:hideMark/>
          </w:tcPr>
          <w:p w14:paraId="561E9611" w14:textId="77777777" w:rsidR="006D5CEC" w:rsidRPr="006D5CEC" w:rsidRDefault="006D5CEC" w:rsidP="00531B19">
            <w:pPr>
              <w:spacing w:after="0" w:line="240" w:lineRule="auto"/>
              <w:jc w:val="right"/>
              <w:rPr>
                <w:rFonts w:cs="Arial"/>
                <w:sz w:val="16"/>
                <w:szCs w:val="16"/>
              </w:rPr>
            </w:pPr>
            <w:r w:rsidRPr="006D5CEC">
              <w:rPr>
                <w:rFonts w:cs="Arial"/>
                <w:sz w:val="16"/>
                <w:szCs w:val="16"/>
              </w:rPr>
              <w:t>840</w:t>
            </w:r>
          </w:p>
        </w:tc>
        <w:tc>
          <w:tcPr>
            <w:tcW w:w="652" w:type="dxa"/>
            <w:tcBorders>
              <w:top w:val="nil"/>
              <w:left w:val="nil"/>
              <w:bottom w:val="nil"/>
              <w:right w:val="single" w:sz="4" w:space="0" w:color="auto"/>
            </w:tcBorders>
            <w:shd w:val="clear" w:color="auto" w:fill="auto"/>
            <w:vAlign w:val="center"/>
            <w:hideMark/>
          </w:tcPr>
          <w:p w14:paraId="6E6FDD45" w14:textId="77777777" w:rsidR="006D5CEC" w:rsidRPr="006D5CEC" w:rsidRDefault="006D5CEC" w:rsidP="00531B19">
            <w:pPr>
              <w:spacing w:after="0" w:line="240" w:lineRule="auto"/>
              <w:jc w:val="right"/>
              <w:rPr>
                <w:rFonts w:cs="Arial"/>
                <w:sz w:val="16"/>
                <w:szCs w:val="16"/>
              </w:rPr>
            </w:pPr>
            <w:r w:rsidRPr="006D5CEC">
              <w:rPr>
                <w:rFonts w:cs="Arial"/>
                <w:sz w:val="16"/>
                <w:szCs w:val="16"/>
              </w:rPr>
              <w:t>352</w:t>
            </w:r>
          </w:p>
        </w:tc>
        <w:tc>
          <w:tcPr>
            <w:tcW w:w="822" w:type="dxa"/>
            <w:tcBorders>
              <w:top w:val="nil"/>
              <w:left w:val="nil"/>
              <w:bottom w:val="nil"/>
              <w:right w:val="nil"/>
            </w:tcBorders>
            <w:shd w:val="clear" w:color="auto" w:fill="auto"/>
            <w:vAlign w:val="center"/>
            <w:hideMark/>
          </w:tcPr>
          <w:p w14:paraId="54888AC3" w14:textId="77777777" w:rsidR="006D5CEC" w:rsidRPr="006D5CEC" w:rsidRDefault="006D5CEC" w:rsidP="00531B19">
            <w:pPr>
              <w:spacing w:after="0" w:line="240" w:lineRule="auto"/>
              <w:jc w:val="right"/>
              <w:rPr>
                <w:rFonts w:cs="Arial"/>
                <w:sz w:val="16"/>
                <w:szCs w:val="16"/>
              </w:rPr>
            </w:pPr>
            <w:r w:rsidRPr="006D5CEC">
              <w:rPr>
                <w:rFonts w:cs="Arial"/>
                <w:sz w:val="16"/>
                <w:szCs w:val="16"/>
              </w:rPr>
              <w:t>3 318</w:t>
            </w:r>
          </w:p>
        </w:tc>
        <w:tc>
          <w:tcPr>
            <w:tcW w:w="652" w:type="dxa"/>
            <w:tcBorders>
              <w:top w:val="nil"/>
              <w:left w:val="nil"/>
              <w:bottom w:val="nil"/>
              <w:right w:val="nil"/>
            </w:tcBorders>
            <w:shd w:val="clear" w:color="auto" w:fill="auto"/>
            <w:vAlign w:val="center"/>
            <w:hideMark/>
          </w:tcPr>
          <w:p w14:paraId="15404DDC" w14:textId="77777777" w:rsidR="006D5CEC" w:rsidRPr="006D5CEC" w:rsidRDefault="006D5CEC" w:rsidP="00531B19">
            <w:pPr>
              <w:spacing w:after="0" w:line="240" w:lineRule="auto"/>
              <w:jc w:val="right"/>
              <w:rPr>
                <w:rFonts w:cs="Arial"/>
                <w:sz w:val="16"/>
                <w:szCs w:val="16"/>
              </w:rPr>
            </w:pPr>
            <w:r w:rsidRPr="006D5CEC">
              <w:rPr>
                <w:rFonts w:cs="Arial"/>
                <w:sz w:val="16"/>
                <w:szCs w:val="16"/>
              </w:rPr>
              <w:t>2 104</w:t>
            </w:r>
          </w:p>
        </w:tc>
        <w:tc>
          <w:tcPr>
            <w:tcW w:w="652" w:type="dxa"/>
            <w:tcBorders>
              <w:top w:val="nil"/>
              <w:left w:val="nil"/>
              <w:bottom w:val="nil"/>
              <w:right w:val="nil"/>
            </w:tcBorders>
            <w:shd w:val="clear" w:color="auto" w:fill="auto"/>
            <w:vAlign w:val="center"/>
            <w:hideMark/>
          </w:tcPr>
          <w:p w14:paraId="5EF79D6D" w14:textId="77777777" w:rsidR="006D5CEC" w:rsidRPr="006D5CEC" w:rsidRDefault="006D5CEC" w:rsidP="00531B19">
            <w:pPr>
              <w:spacing w:after="0" w:line="240" w:lineRule="auto"/>
              <w:jc w:val="right"/>
              <w:rPr>
                <w:rFonts w:cs="Arial"/>
                <w:sz w:val="16"/>
                <w:szCs w:val="16"/>
              </w:rPr>
            </w:pPr>
            <w:r w:rsidRPr="006D5CEC">
              <w:rPr>
                <w:rFonts w:cs="Arial"/>
                <w:sz w:val="16"/>
                <w:szCs w:val="16"/>
              </w:rPr>
              <w:t>1 214</w:t>
            </w:r>
          </w:p>
        </w:tc>
      </w:tr>
      <w:tr w:rsidR="006D5CEC" w:rsidRPr="006D5CEC" w14:paraId="37E77FE2" w14:textId="77777777" w:rsidTr="00531B19">
        <w:trPr>
          <w:trHeight w:val="300"/>
        </w:trPr>
        <w:tc>
          <w:tcPr>
            <w:tcW w:w="1019" w:type="dxa"/>
            <w:tcBorders>
              <w:top w:val="nil"/>
              <w:left w:val="nil"/>
              <w:bottom w:val="nil"/>
              <w:right w:val="single" w:sz="4" w:space="0" w:color="auto"/>
            </w:tcBorders>
            <w:shd w:val="clear" w:color="auto" w:fill="auto"/>
            <w:vAlign w:val="center"/>
            <w:hideMark/>
          </w:tcPr>
          <w:p w14:paraId="51297721" w14:textId="77777777" w:rsidR="006D5CEC" w:rsidRPr="006D5CEC" w:rsidRDefault="006D5CEC" w:rsidP="00531B19">
            <w:pPr>
              <w:spacing w:after="0" w:line="240" w:lineRule="auto"/>
              <w:jc w:val="right"/>
              <w:rPr>
                <w:rFonts w:cs="Arial"/>
                <w:sz w:val="16"/>
                <w:szCs w:val="16"/>
              </w:rPr>
            </w:pPr>
            <w:r w:rsidRPr="006D5CEC">
              <w:rPr>
                <w:rFonts w:cs="Arial"/>
                <w:sz w:val="16"/>
                <w:szCs w:val="16"/>
              </w:rPr>
              <w:t>1. pol. 2015</w:t>
            </w:r>
          </w:p>
        </w:tc>
        <w:tc>
          <w:tcPr>
            <w:tcW w:w="819" w:type="dxa"/>
            <w:tcBorders>
              <w:top w:val="nil"/>
              <w:left w:val="nil"/>
              <w:bottom w:val="nil"/>
              <w:right w:val="nil"/>
            </w:tcBorders>
            <w:shd w:val="clear" w:color="auto" w:fill="auto"/>
            <w:vAlign w:val="center"/>
            <w:hideMark/>
          </w:tcPr>
          <w:p w14:paraId="3ECBFEBC" w14:textId="77777777" w:rsidR="006D5CEC" w:rsidRPr="006D5CEC" w:rsidRDefault="006D5CEC" w:rsidP="00531B19">
            <w:pPr>
              <w:spacing w:after="0" w:line="240" w:lineRule="auto"/>
              <w:jc w:val="right"/>
              <w:rPr>
                <w:rFonts w:cs="Arial"/>
                <w:sz w:val="16"/>
                <w:szCs w:val="16"/>
              </w:rPr>
            </w:pPr>
            <w:r w:rsidRPr="006D5CEC">
              <w:rPr>
                <w:rFonts w:cs="Arial"/>
                <w:sz w:val="16"/>
                <w:szCs w:val="16"/>
              </w:rPr>
              <w:t>35 052</w:t>
            </w:r>
          </w:p>
        </w:tc>
        <w:tc>
          <w:tcPr>
            <w:tcW w:w="652" w:type="dxa"/>
            <w:tcBorders>
              <w:top w:val="nil"/>
              <w:left w:val="nil"/>
              <w:bottom w:val="nil"/>
              <w:right w:val="nil"/>
            </w:tcBorders>
            <w:shd w:val="clear" w:color="auto" w:fill="auto"/>
            <w:vAlign w:val="center"/>
            <w:hideMark/>
          </w:tcPr>
          <w:p w14:paraId="32F852A8" w14:textId="77777777" w:rsidR="006D5CEC" w:rsidRPr="006D5CEC" w:rsidRDefault="006D5CEC" w:rsidP="00531B19">
            <w:pPr>
              <w:spacing w:after="0" w:line="240" w:lineRule="auto"/>
              <w:jc w:val="right"/>
              <w:rPr>
                <w:rFonts w:cs="Arial"/>
                <w:sz w:val="16"/>
                <w:szCs w:val="16"/>
              </w:rPr>
            </w:pPr>
            <w:r w:rsidRPr="006D5CEC">
              <w:rPr>
                <w:rFonts w:cs="Arial"/>
                <w:sz w:val="16"/>
                <w:szCs w:val="16"/>
              </w:rPr>
              <w:t>15 885</w:t>
            </w:r>
          </w:p>
        </w:tc>
        <w:tc>
          <w:tcPr>
            <w:tcW w:w="652" w:type="dxa"/>
            <w:tcBorders>
              <w:top w:val="nil"/>
              <w:left w:val="nil"/>
              <w:bottom w:val="nil"/>
              <w:right w:val="single" w:sz="4" w:space="0" w:color="auto"/>
            </w:tcBorders>
            <w:shd w:val="clear" w:color="auto" w:fill="auto"/>
            <w:vAlign w:val="center"/>
            <w:hideMark/>
          </w:tcPr>
          <w:p w14:paraId="7B87C122" w14:textId="77777777" w:rsidR="006D5CEC" w:rsidRPr="006D5CEC" w:rsidRDefault="006D5CEC" w:rsidP="00531B19">
            <w:pPr>
              <w:spacing w:after="0" w:line="240" w:lineRule="auto"/>
              <w:jc w:val="right"/>
              <w:rPr>
                <w:rFonts w:cs="Arial"/>
                <w:sz w:val="16"/>
                <w:szCs w:val="16"/>
              </w:rPr>
            </w:pPr>
            <w:r w:rsidRPr="006D5CEC">
              <w:rPr>
                <w:rFonts w:cs="Arial"/>
                <w:sz w:val="16"/>
                <w:szCs w:val="16"/>
              </w:rPr>
              <w:t>19 167</w:t>
            </w:r>
          </w:p>
        </w:tc>
        <w:tc>
          <w:tcPr>
            <w:tcW w:w="822" w:type="dxa"/>
            <w:tcBorders>
              <w:top w:val="nil"/>
              <w:left w:val="nil"/>
              <w:bottom w:val="nil"/>
              <w:right w:val="nil"/>
            </w:tcBorders>
            <w:shd w:val="clear" w:color="auto" w:fill="auto"/>
            <w:vAlign w:val="center"/>
            <w:hideMark/>
          </w:tcPr>
          <w:p w14:paraId="220927D8" w14:textId="77777777" w:rsidR="006D5CEC" w:rsidRPr="006D5CEC" w:rsidRDefault="006D5CEC" w:rsidP="00531B19">
            <w:pPr>
              <w:spacing w:after="0" w:line="240" w:lineRule="auto"/>
              <w:jc w:val="right"/>
              <w:rPr>
                <w:rFonts w:cs="Arial"/>
                <w:sz w:val="16"/>
                <w:szCs w:val="16"/>
              </w:rPr>
            </w:pPr>
            <w:r w:rsidRPr="006D5CEC">
              <w:rPr>
                <w:rFonts w:cs="Arial"/>
                <w:sz w:val="16"/>
                <w:szCs w:val="16"/>
              </w:rPr>
              <w:t>30 184</w:t>
            </w:r>
          </w:p>
        </w:tc>
        <w:tc>
          <w:tcPr>
            <w:tcW w:w="652" w:type="dxa"/>
            <w:tcBorders>
              <w:top w:val="nil"/>
              <w:left w:val="nil"/>
              <w:bottom w:val="nil"/>
              <w:right w:val="nil"/>
            </w:tcBorders>
            <w:shd w:val="clear" w:color="auto" w:fill="auto"/>
            <w:vAlign w:val="center"/>
            <w:hideMark/>
          </w:tcPr>
          <w:p w14:paraId="544A51EC" w14:textId="77777777" w:rsidR="006D5CEC" w:rsidRPr="006D5CEC" w:rsidRDefault="006D5CEC" w:rsidP="00531B19">
            <w:pPr>
              <w:spacing w:after="0" w:line="240" w:lineRule="auto"/>
              <w:jc w:val="right"/>
              <w:rPr>
                <w:rFonts w:cs="Arial"/>
                <w:sz w:val="16"/>
                <w:szCs w:val="16"/>
              </w:rPr>
            </w:pPr>
            <w:r w:rsidRPr="006D5CEC">
              <w:rPr>
                <w:rFonts w:cs="Arial"/>
                <w:sz w:val="16"/>
                <w:szCs w:val="16"/>
              </w:rPr>
              <w:t>12 792</w:t>
            </w:r>
          </w:p>
        </w:tc>
        <w:tc>
          <w:tcPr>
            <w:tcW w:w="652" w:type="dxa"/>
            <w:tcBorders>
              <w:top w:val="nil"/>
              <w:left w:val="nil"/>
              <w:bottom w:val="nil"/>
              <w:right w:val="single" w:sz="4" w:space="0" w:color="auto"/>
            </w:tcBorders>
            <w:shd w:val="clear" w:color="auto" w:fill="auto"/>
            <w:vAlign w:val="center"/>
            <w:hideMark/>
          </w:tcPr>
          <w:p w14:paraId="4235BD60" w14:textId="77777777" w:rsidR="006D5CEC" w:rsidRPr="006D5CEC" w:rsidRDefault="006D5CEC" w:rsidP="00531B19">
            <w:pPr>
              <w:spacing w:after="0" w:line="240" w:lineRule="auto"/>
              <w:jc w:val="right"/>
              <w:rPr>
                <w:rFonts w:cs="Arial"/>
                <w:sz w:val="16"/>
                <w:szCs w:val="16"/>
              </w:rPr>
            </w:pPr>
            <w:r w:rsidRPr="006D5CEC">
              <w:rPr>
                <w:rFonts w:cs="Arial"/>
                <w:sz w:val="16"/>
                <w:szCs w:val="16"/>
              </w:rPr>
              <w:t>17 392</w:t>
            </w:r>
          </w:p>
        </w:tc>
        <w:tc>
          <w:tcPr>
            <w:tcW w:w="822" w:type="dxa"/>
            <w:tcBorders>
              <w:top w:val="nil"/>
              <w:left w:val="nil"/>
              <w:bottom w:val="nil"/>
              <w:right w:val="nil"/>
            </w:tcBorders>
            <w:shd w:val="clear" w:color="auto" w:fill="auto"/>
            <w:vAlign w:val="center"/>
            <w:hideMark/>
          </w:tcPr>
          <w:p w14:paraId="22AEE245" w14:textId="77777777" w:rsidR="006D5CEC" w:rsidRPr="006D5CEC" w:rsidRDefault="006D5CEC" w:rsidP="00531B19">
            <w:pPr>
              <w:spacing w:after="0" w:line="240" w:lineRule="auto"/>
              <w:jc w:val="right"/>
              <w:rPr>
                <w:rFonts w:cs="Arial"/>
                <w:sz w:val="16"/>
                <w:szCs w:val="16"/>
              </w:rPr>
            </w:pPr>
            <w:r w:rsidRPr="006D5CEC">
              <w:rPr>
                <w:rFonts w:cs="Arial"/>
                <w:sz w:val="16"/>
                <w:szCs w:val="16"/>
              </w:rPr>
              <w:t>1 304</w:t>
            </w:r>
          </w:p>
        </w:tc>
        <w:tc>
          <w:tcPr>
            <w:tcW w:w="652" w:type="dxa"/>
            <w:tcBorders>
              <w:top w:val="nil"/>
              <w:left w:val="nil"/>
              <w:bottom w:val="nil"/>
              <w:right w:val="nil"/>
            </w:tcBorders>
            <w:shd w:val="clear" w:color="auto" w:fill="auto"/>
            <w:vAlign w:val="center"/>
            <w:hideMark/>
          </w:tcPr>
          <w:p w14:paraId="2A2B351A" w14:textId="77777777" w:rsidR="006D5CEC" w:rsidRPr="006D5CEC" w:rsidRDefault="006D5CEC" w:rsidP="00531B19">
            <w:pPr>
              <w:spacing w:after="0" w:line="240" w:lineRule="auto"/>
              <w:jc w:val="right"/>
              <w:rPr>
                <w:rFonts w:cs="Arial"/>
                <w:sz w:val="16"/>
                <w:szCs w:val="16"/>
              </w:rPr>
            </w:pPr>
            <w:r w:rsidRPr="006D5CEC">
              <w:rPr>
                <w:rFonts w:cs="Arial"/>
                <w:sz w:val="16"/>
                <w:szCs w:val="16"/>
              </w:rPr>
              <w:t>895</w:t>
            </w:r>
          </w:p>
        </w:tc>
        <w:tc>
          <w:tcPr>
            <w:tcW w:w="652" w:type="dxa"/>
            <w:tcBorders>
              <w:top w:val="nil"/>
              <w:left w:val="nil"/>
              <w:bottom w:val="nil"/>
              <w:right w:val="single" w:sz="4" w:space="0" w:color="auto"/>
            </w:tcBorders>
            <w:shd w:val="clear" w:color="auto" w:fill="auto"/>
            <w:vAlign w:val="center"/>
            <w:hideMark/>
          </w:tcPr>
          <w:p w14:paraId="56A0FD96" w14:textId="77777777" w:rsidR="006D5CEC" w:rsidRPr="006D5CEC" w:rsidRDefault="006D5CEC" w:rsidP="00531B19">
            <w:pPr>
              <w:spacing w:after="0" w:line="240" w:lineRule="auto"/>
              <w:jc w:val="right"/>
              <w:rPr>
                <w:rFonts w:cs="Arial"/>
                <w:sz w:val="16"/>
                <w:szCs w:val="16"/>
              </w:rPr>
            </w:pPr>
            <w:r w:rsidRPr="006D5CEC">
              <w:rPr>
                <w:rFonts w:cs="Arial"/>
                <w:sz w:val="16"/>
                <w:szCs w:val="16"/>
              </w:rPr>
              <w:t>409</w:t>
            </w:r>
          </w:p>
        </w:tc>
        <w:tc>
          <w:tcPr>
            <w:tcW w:w="822" w:type="dxa"/>
            <w:tcBorders>
              <w:top w:val="nil"/>
              <w:left w:val="nil"/>
              <w:bottom w:val="nil"/>
              <w:right w:val="nil"/>
            </w:tcBorders>
            <w:shd w:val="clear" w:color="auto" w:fill="auto"/>
            <w:vAlign w:val="center"/>
            <w:hideMark/>
          </w:tcPr>
          <w:p w14:paraId="792D46D8" w14:textId="77777777" w:rsidR="006D5CEC" w:rsidRPr="006D5CEC" w:rsidRDefault="006D5CEC" w:rsidP="00531B19">
            <w:pPr>
              <w:spacing w:after="0" w:line="240" w:lineRule="auto"/>
              <w:jc w:val="right"/>
              <w:rPr>
                <w:rFonts w:cs="Arial"/>
                <w:sz w:val="16"/>
                <w:szCs w:val="16"/>
              </w:rPr>
            </w:pPr>
            <w:r w:rsidRPr="006D5CEC">
              <w:rPr>
                <w:rFonts w:cs="Arial"/>
                <w:sz w:val="16"/>
                <w:szCs w:val="16"/>
              </w:rPr>
              <w:t>3 563</w:t>
            </w:r>
          </w:p>
        </w:tc>
        <w:tc>
          <w:tcPr>
            <w:tcW w:w="652" w:type="dxa"/>
            <w:tcBorders>
              <w:top w:val="nil"/>
              <w:left w:val="nil"/>
              <w:bottom w:val="nil"/>
              <w:right w:val="nil"/>
            </w:tcBorders>
            <w:shd w:val="clear" w:color="auto" w:fill="auto"/>
            <w:vAlign w:val="center"/>
            <w:hideMark/>
          </w:tcPr>
          <w:p w14:paraId="5903C720" w14:textId="77777777" w:rsidR="006D5CEC" w:rsidRPr="006D5CEC" w:rsidRDefault="006D5CEC" w:rsidP="00531B19">
            <w:pPr>
              <w:spacing w:after="0" w:line="240" w:lineRule="auto"/>
              <w:jc w:val="right"/>
              <w:rPr>
                <w:rFonts w:cs="Arial"/>
                <w:sz w:val="16"/>
                <w:szCs w:val="16"/>
              </w:rPr>
            </w:pPr>
            <w:r w:rsidRPr="006D5CEC">
              <w:rPr>
                <w:rFonts w:cs="Arial"/>
                <w:sz w:val="16"/>
                <w:szCs w:val="16"/>
              </w:rPr>
              <w:t>2 198</w:t>
            </w:r>
          </w:p>
        </w:tc>
        <w:tc>
          <w:tcPr>
            <w:tcW w:w="652" w:type="dxa"/>
            <w:tcBorders>
              <w:top w:val="nil"/>
              <w:left w:val="nil"/>
              <w:bottom w:val="nil"/>
              <w:right w:val="nil"/>
            </w:tcBorders>
            <w:shd w:val="clear" w:color="auto" w:fill="auto"/>
            <w:vAlign w:val="center"/>
            <w:hideMark/>
          </w:tcPr>
          <w:p w14:paraId="00FAFDCE" w14:textId="77777777" w:rsidR="006D5CEC" w:rsidRPr="006D5CEC" w:rsidRDefault="006D5CEC" w:rsidP="00531B19">
            <w:pPr>
              <w:spacing w:after="0" w:line="240" w:lineRule="auto"/>
              <w:jc w:val="right"/>
              <w:rPr>
                <w:rFonts w:cs="Arial"/>
                <w:sz w:val="16"/>
                <w:szCs w:val="16"/>
              </w:rPr>
            </w:pPr>
            <w:r w:rsidRPr="006D5CEC">
              <w:rPr>
                <w:rFonts w:cs="Arial"/>
                <w:sz w:val="16"/>
                <w:szCs w:val="16"/>
              </w:rPr>
              <w:t>1 365</w:t>
            </w:r>
          </w:p>
        </w:tc>
      </w:tr>
      <w:tr w:rsidR="006D5CEC" w:rsidRPr="006D5CEC" w14:paraId="687065DC" w14:textId="77777777" w:rsidTr="00531B19">
        <w:trPr>
          <w:trHeight w:val="300"/>
        </w:trPr>
        <w:tc>
          <w:tcPr>
            <w:tcW w:w="1019" w:type="dxa"/>
            <w:tcBorders>
              <w:top w:val="nil"/>
              <w:left w:val="nil"/>
              <w:bottom w:val="nil"/>
              <w:right w:val="single" w:sz="4" w:space="0" w:color="auto"/>
            </w:tcBorders>
            <w:shd w:val="clear" w:color="auto" w:fill="auto"/>
            <w:vAlign w:val="center"/>
            <w:hideMark/>
          </w:tcPr>
          <w:p w14:paraId="4721D5D9" w14:textId="77777777" w:rsidR="006D5CEC" w:rsidRPr="006D5CEC" w:rsidRDefault="006D5CEC" w:rsidP="00531B19">
            <w:pPr>
              <w:spacing w:after="0" w:line="240" w:lineRule="auto"/>
              <w:jc w:val="right"/>
              <w:rPr>
                <w:rFonts w:cs="Arial"/>
                <w:sz w:val="16"/>
                <w:szCs w:val="16"/>
              </w:rPr>
            </w:pPr>
            <w:r w:rsidRPr="006D5CEC">
              <w:rPr>
                <w:rFonts w:cs="Arial"/>
                <w:sz w:val="16"/>
                <w:szCs w:val="16"/>
              </w:rPr>
              <w:t>1. pol. 2016</w:t>
            </w:r>
          </w:p>
        </w:tc>
        <w:tc>
          <w:tcPr>
            <w:tcW w:w="819" w:type="dxa"/>
            <w:tcBorders>
              <w:top w:val="nil"/>
              <w:left w:val="nil"/>
              <w:bottom w:val="nil"/>
              <w:right w:val="nil"/>
            </w:tcBorders>
            <w:shd w:val="clear" w:color="auto" w:fill="auto"/>
            <w:vAlign w:val="center"/>
            <w:hideMark/>
          </w:tcPr>
          <w:p w14:paraId="7815B57A" w14:textId="77777777" w:rsidR="006D5CEC" w:rsidRPr="006D5CEC" w:rsidRDefault="006D5CEC" w:rsidP="00531B19">
            <w:pPr>
              <w:spacing w:after="0" w:line="240" w:lineRule="auto"/>
              <w:jc w:val="right"/>
              <w:rPr>
                <w:rFonts w:cs="Arial"/>
                <w:sz w:val="16"/>
                <w:szCs w:val="16"/>
              </w:rPr>
            </w:pPr>
            <w:r w:rsidRPr="006D5CEC">
              <w:rPr>
                <w:rFonts w:cs="Arial"/>
                <w:sz w:val="16"/>
                <w:szCs w:val="16"/>
              </w:rPr>
              <w:t>36 787</w:t>
            </w:r>
          </w:p>
        </w:tc>
        <w:tc>
          <w:tcPr>
            <w:tcW w:w="652" w:type="dxa"/>
            <w:tcBorders>
              <w:top w:val="nil"/>
              <w:left w:val="nil"/>
              <w:bottom w:val="nil"/>
              <w:right w:val="nil"/>
            </w:tcBorders>
            <w:shd w:val="clear" w:color="auto" w:fill="auto"/>
            <w:vAlign w:val="center"/>
            <w:hideMark/>
          </w:tcPr>
          <w:p w14:paraId="73E00CBE" w14:textId="77777777" w:rsidR="006D5CEC" w:rsidRPr="006D5CEC" w:rsidRDefault="006D5CEC" w:rsidP="00531B19">
            <w:pPr>
              <w:spacing w:after="0" w:line="240" w:lineRule="auto"/>
              <w:jc w:val="right"/>
              <w:rPr>
                <w:rFonts w:cs="Arial"/>
                <w:sz w:val="16"/>
                <w:szCs w:val="16"/>
              </w:rPr>
            </w:pPr>
            <w:r w:rsidRPr="006D5CEC">
              <w:rPr>
                <w:rFonts w:cs="Arial"/>
                <w:sz w:val="16"/>
                <w:szCs w:val="16"/>
              </w:rPr>
              <w:t>16 662</w:t>
            </w:r>
          </w:p>
        </w:tc>
        <w:tc>
          <w:tcPr>
            <w:tcW w:w="652" w:type="dxa"/>
            <w:tcBorders>
              <w:top w:val="nil"/>
              <w:left w:val="nil"/>
              <w:bottom w:val="nil"/>
              <w:right w:val="single" w:sz="4" w:space="0" w:color="auto"/>
            </w:tcBorders>
            <w:shd w:val="clear" w:color="auto" w:fill="auto"/>
            <w:vAlign w:val="center"/>
            <w:hideMark/>
          </w:tcPr>
          <w:p w14:paraId="7555C5F0" w14:textId="77777777" w:rsidR="006D5CEC" w:rsidRPr="006D5CEC" w:rsidRDefault="006D5CEC" w:rsidP="00531B19">
            <w:pPr>
              <w:spacing w:after="0" w:line="240" w:lineRule="auto"/>
              <w:jc w:val="right"/>
              <w:rPr>
                <w:rFonts w:cs="Arial"/>
                <w:sz w:val="16"/>
                <w:szCs w:val="16"/>
              </w:rPr>
            </w:pPr>
            <w:r w:rsidRPr="006D5CEC">
              <w:rPr>
                <w:rFonts w:cs="Arial"/>
                <w:sz w:val="16"/>
                <w:szCs w:val="16"/>
              </w:rPr>
              <w:t>20 125</w:t>
            </w:r>
          </w:p>
        </w:tc>
        <w:tc>
          <w:tcPr>
            <w:tcW w:w="822" w:type="dxa"/>
            <w:tcBorders>
              <w:top w:val="nil"/>
              <w:left w:val="nil"/>
              <w:bottom w:val="nil"/>
              <w:right w:val="nil"/>
            </w:tcBorders>
            <w:shd w:val="clear" w:color="auto" w:fill="auto"/>
            <w:vAlign w:val="center"/>
            <w:hideMark/>
          </w:tcPr>
          <w:p w14:paraId="76977E32" w14:textId="77777777" w:rsidR="006D5CEC" w:rsidRPr="006D5CEC" w:rsidRDefault="006D5CEC" w:rsidP="00531B19">
            <w:pPr>
              <w:spacing w:after="0" w:line="240" w:lineRule="auto"/>
              <w:jc w:val="right"/>
              <w:rPr>
                <w:rFonts w:cs="Arial"/>
                <w:sz w:val="16"/>
                <w:szCs w:val="16"/>
              </w:rPr>
            </w:pPr>
            <w:r w:rsidRPr="006D5CEC">
              <w:rPr>
                <w:rFonts w:cs="Arial"/>
                <w:sz w:val="16"/>
                <w:szCs w:val="16"/>
              </w:rPr>
              <w:t>31 662</w:t>
            </w:r>
          </w:p>
        </w:tc>
        <w:tc>
          <w:tcPr>
            <w:tcW w:w="652" w:type="dxa"/>
            <w:tcBorders>
              <w:top w:val="nil"/>
              <w:left w:val="nil"/>
              <w:bottom w:val="nil"/>
              <w:right w:val="nil"/>
            </w:tcBorders>
            <w:shd w:val="clear" w:color="auto" w:fill="auto"/>
            <w:vAlign w:val="center"/>
            <w:hideMark/>
          </w:tcPr>
          <w:p w14:paraId="2CD147AA" w14:textId="77777777" w:rsidR="006D5CEC" w:rsidRPr="006D5CEC" w:rsidRDefault="006D5CEC" w:rsidP="00531B19">
            <w:pPr>
              <w:spacing w:after="0" w:line="240" w:lineRule="auto"/>
              <w:jc w:val="right"/>
              <w:rPr>
                <w:rFonts w:cs="Arial"/>
                <w:sz w:val="16"/>
                <w:szCs w:val="16"/>
              </w:rPr>
            </w:pPr>
            <w:r w:rsidRPr="006D5CEC">
              <w:rPr>
                <w:rFonts w:cs="Arial"/>
                <w:sz w:val="16"/>
                <w:szCs w:val="16"/>
              </w:rPr>
              <w:t>13 413</w:t>
            </w:r>
          </w:p>
        </w:tc>
        <w:tc>
          <w:tcPr>
            <w:tcW w:w="652" w:type="dxa"/>
            <w:tcBorders>
              <w:top w:val="nil"/>
              <w:left w:val="nil"/>
              <w:bottom w:val="nil"/>
              <w:right w:val="single" w:sz="4" w:space="0" w:color="auto"/>
            </w:tcBorders>
            <w:shd w:val="clear" w:color="auto" w:fill="auto"/>
            <w:vAlign w:val="center"/>
            <w:hideMark/>
          </w:tcPr>
          <w:p w14:paraId="73B71634" w14:textId="77777777" w:rsidR="006D5CEC" w:rsidRPr="006D5CEC" w:rsidRDefault="006D5CEC" w:rsidP="00531B19">
            <w:pPr>
              <w:spacing w:after="0" w:line="240" w:lineRule="auto"/>
              <w:jc w:val="right"/>
              <w:rPr>
                <w:rFonts w:cs="Arial"/>
                <w:sz w:val="16"/>
                <w:szCs w:val="16"/>
              </w:rPr>
            </w:pPr>
            <w:r w:rsidRPr="006D5CEC">
              <w:rPr>
                <w:rFonts w:cs="Arial"/>
                <w:sz w:val="16"/>
                <w:szCs w:val="16"/>
              </w:rPr>
              <w:t>18 249</w:t>
            </w:r>
          </w:p>
        </w:tc>
        <w:tc>
          <w:tcPr>
            <w:tcW w:w="822" w:type="dxa"/>
            <w:tcBorders>
              <w:top w:val="nil"/>
              <w:left w:val="nil"/>
              <w:bottom w:val="nil"/>
              <w:right w:val="nil"/>
            </w:tcBorders>
            <w:shd w:val="clear" w:color="auto" w:fill="auto"/>
            <w:vAlign w:val="center"/>
            <w:hideMark/>
          </w:tcPr>
          <w:p w14:paraId="51DBB3BD" w14:textId="77777777" w:rsidR="006D5CEC" w:rsidRPr="006D5CEC" w:rsidRDefault="006D5CEC" w:rsidP="00531B19">
            <w:pPr>
              <w:spacing w:after="0" w:line="240" w:lineRule="auto"/>
              <w:jc w:val="right"/>
              <w:rPr>
                <w:rFonts w:cs="Arial"/>
                <w:sz w:val="16"/>
                <w:szCs w:val="16"/>
              </w:rPr>
            </w:pPr>
            <w:r w:rsidRPr="006D5CEC">
              <w:rPr>
                <w:rFonts w:cs="Arial"/>
                <w:sz w:val="16"/>
                <w:szCs w:val="16"/>
              </w:rPr>
              <w:t>1 320</w:t>
            </w:r>
          </w:p>
        </w:tc>
        <w:tc>
          <w:tcPr>
            <w:tcW w:w="652" w:type="dxa"/>
            <w:tcBorders>
              <w:top w:val="nil"/>
              <w:left w:val="nil"/>
              <w:bottom w:val="nil"/>
              <w:right w:val="nil"/>
            </w:tcBorders>
            <w:shd w:val="clear" w:color="auto" w:fill="auto"/>
            <w:vAlign w:val="center"/>
            <w:hideMark/>
          </w:tcPr>
          <w:p w14:paraId="748B3465" w14:textId="77777777" w:rsidR="006D5CEC" w:rsidRPr="006D5CEC" w:rsidRDefault="006D5CEC" w:rsidP="00531B19">
            <w:pPr>
              <w:spacing w:after="0" w:line="240" w:lineRule="auto"/>
              <w:jc w:val="right"/>
              <w:rPr>
                <w:rFonts w:cs="Arial"/>
                <w:sz w:val="16"/>
                <w:szCs w:val="16"/>
              </w:rPr>
            </w:pPr>
            <w:r w:rsidRPr="006D5CEC">
              <w:rPr>
                <w:rFonts w:cs="Arial"/>
                <w:sz w:val="16"/>
                <w:szCs w:val="16"/>
              </w:rPr>
              <w:t>900</w:t>
            </w:r>
          </w:p>
        </w:tc>
        <w:tc>
          <w:tcPr>
            <w:tcW w:w="652" w:type="dxa"/>
            <w:tcBorders>
              <w:top w:val="nil"/>
              <w:left w:val="nil"/>
              <w:bottom w:val="nil"/>
              <w:right w:val="single" w:sz="4" w:space="0" w:color="auto"/>
            </w:tcBorders>
            <w:shd w:val="clear" w:color="auto" w:fill="auto"/>
            <w:vAlign w:val="center"/>
            <w:hideMark/>
          </w:tcPr>
          <w:p w14:paraId="1B66059F" w14:textId="77777777" w:rsidR="006D5CEC" w:rsidRPr="006D5CEC" w:rsidRDefault="006D5CEC" w:rsidP="00531B19">
            <w:pPr>
              <w:spacing w:after="0" w:line="240" w:lineRule="auto"/>
              <w:jc w:val="right"/>
              <w:rPr>
                <w:rFonts w:cs="Arial"/>
                <w:sz w:val="16"/>
                <w:szCs w:val="16"/>
              </w:rPr>
            </w:pPr>
            <w:r w:rsidRPr="006D5CEC">
              <w:rPr>
                <w:rFonts w:cs="Arial"/>
                <w:sz w:val="16"/>
                <w:szCs w:val="16"/>
              </w:rPr>
              <w:t>421</w:t>
            </w:r>
          </w:p>
        </w:tc>
        <w:tc>
          <w:tcPr>
            <w:tcW w:w="822" w:type="dxa"/>
            <w:tcBorders>
              <w:top w:val="nil"/>
              <w:left w:val="nil"/>
              <w:bottom w:val="nil"/>
              <w:right w:val="nil"/>
            </w:tcBorders>
            <w:shd w:val="clear" w:color="auto" w:fill="auto"/>
            <w:vAlign w:val="center"/>
            <w:hideMark/>
          </w:tcPr>
          <w:p w14:paraId="33F27336" w14:textId="77777777" w:rsidR="006D5CEC" w:rsidRPr="006D5CEC" w:rsidRDefault="006D5CEC" w:rsidP="00531B19">
            <w:pPr>
              <w:spacing w:after="0" w:line="240" w:lineRule="auto"/>
              <w:jc w:val="right"/>
              <w:rPr>
                <w:rFonts w:cs="Arial"/>
                <w:sz w:val="16"/>
                <w:szCs w:val="16"/>
              </w:rPr>
            </w:pPr>
            <w:r w:rsidRPr="006D5CEC">
              <w:rPr>
                <w:rFonts w:cs="Arial"/>
                <w:sz w:val="16"/>
                <w:szCs w:val="16"/>
              </w:rPr>
              <w:t>3 805</w:t>
            </w:r>
          </w:p>
        </w:tc>
        <w:tc>
          <w:tcPr>
            <w:tcW w:w="652" w:type="dxa"/>
            <w:tcBorders>
              <w:top w:val="nil"/>
              <w:left w:val="nil"/>
              <w:bottom w:val="nil"/>
              <w:right w:val="nil"/>
            </w:tcBorders>
            <w:shd w:val="clear" w:color="auto" w:fill="auto"/>
            <w:vAlign w:val="center"/>
            <w:hideMark/>
          </w:tcPr>
          <w:p w14:paraId="773ABF46" w14:textId="77777777" w:rsidR="006D5CEC" w:rsidRPr="006D5CEC" w:rsidRDefault="006D5CEC" w:rsidP="00531B19">
            <w:pPr>
              <w:spacing w:after="0" w:line="240" w:lineRule="auto"/>
              <w:jc w:val="right"/>
              <w:rPr>
                <w:rFonts w:cs="Arial"/>
                <w:sz w:val="16"/>
                <w:szCs w:val="16"/>
              </w:rPr>
            </w:pPr>
            <w:r w:rsidRPr="006D5CEC">
              <w:rPr>
                <w:rFonts w:cs="Arial"/>
                <w:sz w:val="16"/>
                <w:szCs w:val="16"/>
              </w:rPr>
              <w:t>2 349</w:t>
            </w:r>
          </w:p>
        </w:tc>
        <w:tc>
          <w:tcPr>
            <w:tcW w:w="652" w:type="dxa"/>
            <w:tcBorders>
              <w:top w:val="nil"/>
              <w:left w:val="nil"/>
              <w:bottom w:val="nil"/>
              <w:right w:val="nil"/>
            </w:tcBorders>
            <w:shd w:val="clear" w:color="auto" w:fill="auto"/>
            <w:vAlign w:val="center"/>
            <w:hideMark/>
          </w:tcPr>
          <w:p w14:paraId="23C8C669" w14:textId="77777777" w:rsidR="006D5CEC" w:rsidRPr="006D5CEC" w:rsidRDefault="006D5CEC" w:rsidP="00531B19">
            <w:pPr>
              <w:spacing w:after="0" w:line="240" w:lineRule="auto"/>
              <w:jc w:val="right"/>
              <w:rPr>
                <w:rFonts w:cs="Arial"/>
                <w:sz w:val="16"/>
                <w:szCs w:val="16"/>
              </w:rPr>
            </w:pPr>
            <w:r w:rsidRPr="006D5CEC">
              <w:rPr>
                <w:rFonts w:cs="Arial"/>
                <w:sz w:val="16"/>
                <w:szCs w:val="16"/>
              </w:rPr>
              <w:t>1 455</w:t>
            </w:r>
          </w:p>
        </w:tc>
      </w:tr>
      <w:tr w:rsidR="006D5CEC" w:rsidRPr="006D5CEC" w14:paraId="579B3316" w14:textId="77777777" w:rsidTr="00531B19">
        <w:trPr>
          <w:trHeight w:val="300"/>
        </w:trPr>
        <w:tc>
          <w:tcPr>
            <w:tcW w:w="1019" w:type="dxa"/>
            <w:tcBorders>
              <w:top w:val="nil"/>
              <w:left w:val="nil"/>
              <w:bottom w:val="nil"/>
              <w:right w:val="single" w:sz="4" w:space="0" w:color="auto"/>
            </w:tcBorders>
            <w:shd w:val="clear" w:color="auto" w:fill="auto"/>
            <w:vAlign w:val="center"/>
            <w:hideMark/>
          </w:tcPr>
          <w:p w14:paraId="3B00A035" w14:textId="77777777" w:rsidR="006D5CEC" w:rsidRPr="006D5CEC" w:rsidRDefault="006D5CEC" w:rsidP="00531B19">
            <w:pPr>
              <w:spacing w:after="0" w:line="240" w:lineRule="auto"/>
              <w:jc w:val="right"/>
              <w:rPr>
                <w:rFonts w:cs="Arial"/>
                <w:sz w:val="16"/>
                <w:szCs w:val="16"/>
              </w:rPr>
            </w:pPr>
            <w:r w:rsidRPr="006D5CEC">
              <w:rPr>
                <w:rFonts w:cs="Arial"/>
                <w:sz w:val="16"/>
                <w:szCs w:val="16"/>
              </w:rPr>
              <w:t>1. pol. 2017</w:t>
            </w:r>
          </w:p>
        </w:tc>
        <w:tc>
          <w:tcPr>
            <w:tcW w:w="819" w:type="dxa"/>
            <w:tcBorders>
              <w:top w:val="nil"/>
              <w:left w:val="nil"/>
              <w:bottom w:val="nil"/>
              <w:right w:val="nil"/>
            </w:tcBorders>
            <w:shd w:val="clear" w:color="auto" w:fill="auto"/>
            <w:vAlign w:val="center"/>
            <w:hideMark/>
          </w:tcPr>
          <w:p w14:paraId="220EF1B0" w14:textId="77777777" w:rsidR="006D5CEC" w:rsidRPr="006D5CEC" w:rsidRDefault="006D5CEC" w:rsidP="00531B19">
            <w:pPr>
              <w:spacing w:after="0" w:line="240" w:lineRule="auto"/>
              <w:jc w:val="right"/>
              <w:rPr>
                <w:rFonts w:cs="Arial"/>
                <w:sz w:val="16"/>
                <w:szCs w:val="16"/>
              </w:rPr>
            </w:pPr>
            <w:r w:rsidRPr="006D5CEC">
              <w:rPr>
                <w:rFonts w:cs="Arial"/>
                <w:sz w:val="16"/>
                <w:szCs w:val="16"/>
              </w:rPr>
              <w:t>38 709</w:t>
            </w:r>
          </w:p>
        </w:tc>
        <w:tc>
          <w:tcPr>
            <w:tcW w:w="652" w:type="dxa"/>
            <w:tcBorders>
              <w:top w:val="nil"/>
              <w:left w:val="nil"/>
              <w:bottom w:val="nil"/>
              <w:right w:val="nil"/>
            </w:tcBorders>
            <w:shd w:val="clear" w:color="auto" w:fill="auto"/>
            <w:vAlign w:val="center"/>
            <w:hideMark/>
          </w:tcPr>
          <w:p w14:paraId="325ABE03" w14:textId="77777777" w:rsidR="006D5CEC" w:rsidRPr="006D5CEC" w:rsidRDefault="006D5CEC" w:rsidP="00531B19">
            <w:pPr>
              <w:spacing w:after="0" w:line="240" w:lineRule="auto"/>
              <w:jc w:val="right"/>
              <w:rPr>
                <w:rFonts w:cs="Arial"/>
                <w:sz w:val="16"/>
                <w:szCs w:val="16"/>
              </w:rPr>
            </w:pPr>
            <w:r w:rsidRPr="006D5CEC">
              <w:rPr>
                <w:rFonts w:cs="Arial"/>
                <w:sz w:val="16"/>
                <w:szCs w:val="16"/>
              </w:rPr>
              <w:t>17 570</w:t>
            </w:r>
          </w:p>
        </w:tc>
        <w:tc>
          <w:tcPr>
            <w:tcW w:w="652" w:type="dxa"/>
            <w:tcBorders>
              <w:top w:val="nil"/>
              <w:left w:val="nil"/>
              <w:bottom w:val="nil"/>
              <w:right w:val="single" w:sz="4" w:space="0" w:color="auto"/>
            </w:tcBorders>
            <w:shd w:val="clear" w:color="auto" w:fill="auto"/>
            <w:vAlign w:val="center"/>
            <w:hideMark/>
          </w:tcPr>
          <w:p w14:paraId="5E384118" w14:textId="77777777" w:rsidR="006D5CEC" w:rsidRPr="006D5CEC" w:rsidRDefault="006D5CEC" w:rsidP="00531B19">
            <w:pPr>
              <w:spacing w:after="0" w:line="240" w:lineRule="auto"/>
              <w:jc w:val="right"/>
              <w:rPr>
                <w:rFonts w:cs="Arial"/>
                <w:sz w:val="16"/>
                <w:szCs w:val="16"/>
              </w:rPr>
            </w:pPr>
            <w:r w:rsidRPr="006D5CEC">
              <w:rPr>
                <w:rFonts w:cs="Arial"/>
                <w:sz w:val="16"/>
                <w:szCs w:val="16"/>
              </w:rPr>
              <w:t>21 138</w:t>
            </w:r>
          </w:p>
        </w:tc>
        <w:tc>
          <w:tcPr>
            <w:tcW w:w="822" w:type="dxa"/>
            <w:tcBorders>
              <w:top w:val="nil"/>
              <w:left w:val="nil"/>
              <w:bottom w:val="nil"/>
              <w:right w:val="nil"/>
            </w:tcBorders>
            <w:shd w:val="clear" w:color="auto" w:fill="auto"/>
            <w:vAlign w:val="center"/>
            <w:hideMark/>
          </w:tcPr>
          <w:p w14:paraId="2F2624EA" w14:textId="77777777" w:rsidR="006D5CEC" w:rsidRPr="006D5CEC" w:rsidRDefault="006D5CEC" w:rsidP="00531B19">
            <w:pPr>
              <w:spacing w:after="0" w:line="240" w:lineRule="auto"/>
              <w:jc w:val="right"/>
              <w:rPr>
                <w:rFonts w:cs="Arial"/>
                <w:sz w:val="16"/>
                <w:szCs w:val="16"/>
              </w:rPr>
            </w:pPr>
            <w:r w:rsidRPr="006D5CEC">
              <w:rPr>
                <w:rFonts w:cs="Arial"/>
                <w:sz w:val="16"/>
                <w:szCs w:val="16"/>
              </w:rPr>
              <w:t>33 259</w:t>
            </w:r>
          </w:p>
        </w:tc>
        <w:tc>
          <w:tcPr>
            <w:tcW w:w="652" w:type="dxa"/>
            <w:tcBorders>
              <w:top w:val="nil"/>
              <w:left w:val="nil"/>
              <w:bottom w:val="nil"/>
              <w:right w:val="nil"/>
            </w:tcBorders>
            <w:shd w:val="clear" w:color="auto" w:fill="auto"/>
            <w:vAlign w:val="center"/>
            <w:hideMark/>
          </w:tcPr>
          <w:p w14:paraId="6562EDC3" w14:textId="77777777" w:rsidR="006D5CEC" w:rsidRPr="006D5CEC" w:rsidRDefault="006D5CEC" w:rsidP="00531B19">
            <w:pPr>
              <w:spacing w:after="0" w:line="240" w:lineRule="auto"/>
              <w:jc w:val="right"/>
              <w:rPr>
                <w:rFonts w:cs="Arial"/>
                <w:sz w:val="16"/>
                <w:szCs w:val="16"/>
              </w:rPr>
            </w:pPr>
            <w:r w:rsidRPr="006D5CEC">
              <w:rPr>
                <w:rFonts w:cs="Arial"/>
                <w:sz w:val="16"/>
                <w:szCs w:val="16"/>
              </w:rPr>
              <w:t>14 211</w:t>
            </w:r>
          </w:p>
        </w:tc>
        <w:tc>
          <w:tcPr>
            <w:tcW w:w="652" w:type="dxa"/>
            <w:tcBorders>
              <w:top w:val="nil"/>
              <w:left w:val="nil"/>
              <w:bottom w:val="nil"/>
              <w:right w:val="single" w:sz="4" w:space="0" w:color="auto"/>
            </w:tcBorders>
            <w:shd w:val="clear" w:color="auto" w:fill="auto"/>
            <w:vAlign w:val="center"/>
            <w:hideMark/>
          </w:tcPr>
          <w:p w14:paraId="1F4839FE" w14:textId="77777777" w:rsidR="006D5CEC" w:rsidRPr="006D5CEC" w:rsidRDefault="006D5CEC" w:rsidP="00531B19">
            <w:pPr>
              <w:spacing w:after="0" w:line="240" w:lineRule="auto"/>
              <w:jc w:val="right"/>
              <w:rPr>
                <w:rFonts w:cs="Arial"/>
                <w:sz w:val="16"/>
                <w:szCs w:val="16"/>
              </w:rPr>
            </w:pPr>
            <w:r w:rsidRPr="006D5CEC">
              <w:rPr>
                <w:rFonts w:cs="Arial"/>
                <w:sz w:val="16"/>
                <w:szCs w:val="16"/>
              </w:rPr>
              <w:t>19 048</w:t>
            </w:r>
          </w:p>
        </w:tc>
        <w:tc>
          <w:tcPr>
            <w:tcW w:w="822" w:type="dxa"/>
            <w:tcBorders>
              <w:top w:val="nil"/>
              <w:left w:val="nil"/>
              <w:bottom w:val="nil"/>
              <w:right w:val="nil"/>
            </w:tcBorders>
            <w:shd w:val="clear" w:color="auto" w:fill="auto"/>
            <w:vAlign w:val="center"/>
            <w:hideMark/>
          </w:tcPr>
          <w:p w14:paraId="30E58B2F" w14:textId="77777777" w:rsidR="006D5CEC" w:rsidRPr="006D5CEC" w:rsidRDefault="006D5CEC" w:rsidP="00531B19">
            <w:pPr>
              <w:spacing w:after="0" w:line="240" w:lineRule="auto"/>
              <w:jc w:val="right"/>
              <w:rPr>
                <w:rFonts w:cs="Arial"/>
                <w:sz w:val="16"/>
                <w:szCs w:val="16"/>
              </w:rPr>
            </w:pPr>
            <w:r w:rsidRPr="006D5CEC">
              <w:rPr>
                <w:rFonts w:cs="Arial"/>
                <w:sz w:val="16"/>
                <w:szCs w:val="16"/>
              </w:rPr>
              <w:t>1 343</w:t>
            </w:r>
          </w:p>
        </w:tc>
        <w:tc>
          <w:tcPr>
            <w:tcW w:w="652" w:type="dxa"/>
            <w:tcBorders>
              <w:top w:val="nil"/>
              <w:left w:val="nil"/>
              <w:bottom w:val="nil"/>
              <w:right w:val="nil"/>
            </w:tcBorders>
            <w:shd w:val="clear" w:color="auto" w:fill="auto"/>
            <w:vAlign w:val="center"/>
            <w:hideMark/>
          </w:tcPr>
          <w:p w14:paraId="71194F9B" w14:textId="77777777" w:rsidR="006D5CEC" w:rsidRPr="006D5CEC" w:rsidRDefault="006D5CEC" w:rsidP="00531B19">
            <w:pPr>
              <w:spacing w:after="0" w:line="240" w:lineRule="auto"/>
              <w:jc w:val="right"/>
              <w:rPr>
                <w:rFonts w:cs="Arial"/>
                <w:sz w:val="16"/>
                <w:szCs w:val="16"/>
              </w:rPr>
            </w:pPr>
            <w:r w:rsidRPr="006D5CEC">
              <w:rPr>
                <w:rFonts w:cs="Arial"/>
                <w:sz w:val="16"/>
                <w:szCs w:val="16"/>
              </w:rPr>
              <w:t>914</w:t>
            </w:r>
          </w:p>
        </w:tc>
        <w:tc>
          <w:tcPr>
            <w:tcW w:w="652" w:type="dxa"/>
            <w:tcBorders>
              <w:top w:val="nil"/>
              <w:left w:val="nil"/>
              <w:bottom w:val="nil"/>
              <w:right w:val="single" w:sz="4" w:space="0" w:color="auto"/>
            </w:tcBorders>
            <w:shd w:val="clear" w:color="auto" w:fill="auto"/>
            <w:vAlign w:val="center"/>
            <w:hideMark/>
          </w:tcPr>
          <w:p w14:paraId="730FDCB9" w14:textId="77777777" w:rsidR="006D5CEC" w:rsidRPr="006D5CEC" w:rsidRDefault="006D5CEC" w:rsidP="00531B19">
            <w:pPr>
              <w:spacing w:after="0" w:line="240" w:lineRule="auto"/>
              <w:jc w:val="right"/>
              <w:rPr>
                <w:rFonts w:cs="Arial"/>
                <w:sz w:val="16"/>
                <w:szCs w:val="16"/>
              </w:rPr>
            </w:pPr>
            <w:r w:rsidRPr="006D5CEC">
              <w:rPr>
                <w:rFonts w:cs="Arial"/>
                <w:sz w:val="16"/>
                <w:szCs w:val="16"/>
              </w:rPr>
              <w:t>428</w:t>
            </w:r>
          </w:p>
        </w:tc>
        <w:tc>
          <w:tcPr>
            <w:tcW w:w="822" w:type="dxa"/>
            <w:tcBorders>
              <w:top w:val="nil"/>
              <w:left w:val="nil"/>
              <w:bottom w:val="nil"/>
              <w:right w:val="nil"/>
            </w:tcBorders>
            <w:shd w:val="clear" w:color="auto" w:fill="auto"/>
            <w:vAlign w:val="center"/>
            <w:hideMark/>
          </w:tcPr>
          <w:p w14:paraId="4293A94E" w14:textId="77777777" w:rsidR="006D5CEC" w:rsidRPr="006D5CEC" w:rsidRDefault="006D5CEC" w:rsidP="00531B19">
            <w:pPr>
              <w:spacing w:after="0" w:line="240" w:lineRule="auto"/>
              <w:jc w:val="right"/>
              <w:rPr>
                <w:rFonts w:cs="Arial"/>
                <w:sz w:val="16"/>
                <w:szCs w:val="16"/>
              </w:rPr>
            </w:pPr>
            <w:r w:rsidRPr="006D5CEC">
              <w:rPr>
                <w:rFonts w:cs="Arial"/>
                <w:sz w:val="16"/>
                <w:szCs w:val="16"/>
              </w:rPr>
              <w:t>4 107</w:t>
            </w:r>
          </w:p>
        </w:tc>
        <w:tc>
          <w:tcPr>
            <w:tcW w:w="652" w:type="dxa"/>
            <w:tcBorders>
              <w:top w:val="nil"/>
              <w:left w:val="nil"/>
              <w:bottom w:val="nil"/>
              <w:right w:val="nil"/>
            </w:tcBorders>
            <w:shd w:val="clear" w:color="auto" w:fill="auto"/>
            <w:vAlign w:val="center"/>
            <w:hideMark/>
          </w:tcPr>
          <w:p w14:paraId="35D2F82B" w14:textId="77777777" w:rsidR="006D5CEC" w:rsidRPr="006D5CEC" w:rsidRDefault="006D5CEC" w:rsidP="00531B19">
            <w:pPr>
              <w:spacing w:after="0" w:line="240" w:lineRule="auto"/>
              <w:jc w:val="right"/>
              <w:rPr>
                <w:rFonts w:cs="Arial"/>
                <w:sz w:val="16"/>
                <w:szCs w:val="16"/>
              </w:rPr>
            </w:pPr>
            <w:r w:rsidRPr="006D5CEC">
              <w:rPr>
                <w:rFonts w:cs="Arial"/>
                <w:sz w:val="16"/>
                <w:szCs w:val="16"/>
              </w:rPr>
              <w:t>2 445</w:t>
            </w:r>
          </w:p>
        </w:tc>
        <w:tc>
          <w:tcPr>
            <w:tcW w:w="652" w:type="dxa"/>
            <w:tcBorders>
              <w:top w:val="nil"/>
              <w:left w:val="nil"/>
              <w:bottom w:val="nil"/>
              <w:right w:val="nil"/>
            </w:tcBorders>
            <w:shd w:val="clear" w:color="auto" w:fill="auto"/>
            <w:vAlign w:val="center"/>
            <w:hideMark/>
          </w:tcPr>
          <w:p w14:paraId="7987537F" w14:textId="77777777" w:rsidR="006D5CEC" w:rsidRPr="006D5CEC" w:rsidRDefault="006D5CEC" w:rsidP="00531B19">
            <w:pPr>
              <w:spacing w:after="0" w:line="240" w:lineRule="auto"/>
              <w:jc w:val="right"/>
              <w:rPr>
                <w:rFonts w:cs="Arial"/>
                <w:sz w:val="16"/>
                <w:szCs w:val="16"/>
              </w:rPr>
            </w:pPr>
            <w:r w:rsidRPr="006D5CEC">
              <w:rPr>
                <w:rFonts w:cs="Arial"/>
                <w:sz w:val="16"/>
                <w:szCs w:val="16"/>
              </w:rPr>
              <w:t>1 662</w:t>
            </w:r>
          </w:p>
        </w:tc>
      </w:tr>
      <w:tr w:rsidR="006D5CEC" w:rsidRPr="006D5CEC" w14:paraId="1D6A4148" w14:textId="77777777" w:rsidTr="00531B19">
        <w:trPr>
          <w:trHeight w:val="300"/>
        </w:trPr>
        <w:tc>
          <w:tcPr>
            <w:tcW w:w="1019" w:type="dxa"/>
            <w:tcBorders>
              <w:top w:val="nil"/>
              <w:left w:val="nil"/>
              <w:bottom w:val="nil"/>
              <w:right w:val="single" w:sz="4" w:space="0" w:color="auto"/>
            </w:tcBorders>
            <w:shd w:val="clear" w:color="auto" w:fill="auto"/>
            <w:vAlign w:val="center"/>
            <w:hideMark/>
          </w:tcPr>
          <w:p w14:paraId="7803A7E2" w14:textId="77777777" w:rsidR="006D5CEC" w:rsidRPr="006D5CEC" w:rsidRDefault="006D5CEC" w:rsidP="00531B19">
            <w:pPr>
              <w:spacing w:after="0" w:line="240" w:lineRule="auto"/>
              <w:jc w:val="right"/>
              <w:rPr>
                <w:rFonts w:cs="Arial"/>
                <w:sz w:val="16"/>
                <w:szCs w:val="16"/>
              </w:rPr>
            </w:pPr>
            <w:r w:rsidRPr="006D5CEC">
              <w:rPr>
                <w:rFonts w:cs="Arial"/>
                <w:sz w:val="16"/>
                <w:szCs w:val="16"/>
              </w:rPr>
              <w:t>1. pol. 2018</w:t>
            </w:r>
          </w:p>
        </w:tc>
        <w:tc>
          <w:tcPr>
            <w:tcW w:w="819" w:type="dxa"/>
            <w:tcBorders>
              <w:top w:val="nil"/>
              <w:left w:val="nil"/>
              <w:bottom w:val="nil"/>
              <w:right w:val="nil"/>
            </w:tcBorders>
            <w:shd w:val="clear" w:color="auto" w:fill="auto"/>
            <w:vAlign w:val="center"/>
            <w:hideMark/>
          </w:tcPr>
          <w:p w14:paraId="3F4C8196" w14:textId="77777777" w:rsidR="006D5CEC" w:rsidRPr="006D5CEC" w:rsidRDefault="006D5CEC" w:rsidP="00531B19">
            <w:pPr>
              <w:spacing w:after="0" w:line="240" w:lineRule="auto"/>
              <w:jc w:val="right"/>
              <w:rPr>
                <w:rFonts w:cs="Arial"/>
                <w:sz w:val="16"/>
                <w:szCs w:val="16"/>
              </w:rPr>
            </w:pPr>
            <w:r w:rsidRPr="006D5CEC">
              <w:rPr>
                <w:rFonts w:cs="Arial"/>
                <w:sz w:val="16"/>
                <w:szCs w:val="16"/>
              </w:rPr>
              <w:t>40 624</w:t>
            </w:r>
          </w:p>
        </w:tc>
        <w:tc>
          <w:tcPr>
            <w:tcW w:w="652" w:type="dxa"/>
            <w:tcBorders>
              <w:top w:val="nil"/>
              <w:left w:val="nil"/>
              <w:bottom w:val="nil"/>
              <w:right w:val="nil"/>
            </w:tcBorders>
            <w:shd w:val="clear" w:color="auto" w:fill="auto"/>
            <w:vAlign w:val="center"/>
            <w:hideMark/>
          </w:tcPr>
          <w:p w14:paraId="75143453" w14:textId="77777777" w:rsidR="006D5CEC" w:rsidRPr="006D5CEC" w:rsidRDefault="006D5CEC" w:rsidP="00531B19">
            <w:pPr>
              <w:spacing w:after="0" w:line="240" w:lineRule="auto"/>
              <w:jc w:val="right"/>
              <w:rPr>
                <w:rFonts w:cs="Arial"/>
                <w:sz w:val="16"/>
                <w:szCs w:val="16"/>
              </w:rPr>
            </w:pPr>
            <w:r w:rsidRPr="006D5CEC">
              <w:rPr>
                <w:rFonts w:cs="Arial"/>
                <w:sz w:val="16"/>
                <w:szCs w:val="16"/>
              </w:rPr>
              <w:t>18 437</w:t>
            </w:r>
          </w:p>
        </w:tc>
        <w:tc>
          <w:tcPr>
            <w:tcW w:w="652" w:type="dxa"/>
            <w:tcBorders>
              <w:top w:val="nil"/>
              <w:left w:val="nil"/>
              <w:bottom w:val="nil"/>
              <w:right w:val="single" w:sz="4" w:space="0" w:color="auto"/>
            </w:tcBorders>
            <w:shd w:val="clear" w:color="auto" w:fill="auto"/>
            <w:vAlign w:val="center"/>
            <w:hideMark/>
          </w:tcPr>
          <w:p w14:paraId="23285661" w14:textId="77777777" w:rsidR="006D5CEC" w:rsidRPr="006D5CEC" w:rsidRDefault="006D5CEC" w:rsidP="00531B19">
            <w:pPr>
              <w:spacing w:after="0" w:line="240" w:lineRule="auto"/>
              <w:jc w:val="right"/>
              <w:rPr>
                <w:rFonts w:cs="Arial"/>
                <w:sz w:val="16"/>
                <w:szCs w:val="16"/>
              </w:rPr>
            </w:pPr>
            <w:r w:rsidRPr="006D5CEC">
              <w:rPr>
                <w:rFonts w:cs="Arial"/>
                <w:sz w:val="16"/>
                <w:szCs w:val="16"/>
              </w:rPr>
              <w:t>22 187</w:t>
            </w:r>
          </w:p>
        </w:tc>
        <w:tc>
          <w:tcPr>
            <w:tcW w:w="822" w:type="dxa"/>
            <w:tcBorders>
              <w:top w:val="nil"/>
              <w:left w:val="nil"/>
              <w:bottom w:val="nil"/>
              <w:right w:val="nil"/>
            </w:tcBorders>
            <w:shd w:val="clear" w:color="auto" w:fill="auto"/>
            <w:vAlign w:val="center"/>
            <w:hideMark/>
          </w:tcPr>
          <w:p w14:paraId="5D869563" w14:textId="77777777" w:rsidR="006D5CEC" w:rsidRPr="006D5CEC" w:rsidRDefault="006D5CEC" w:rsidP="00531B19">
            <w:pPr>
              <w:spacing w:after="0" w:line="240" w:lineRule="auto"/>
              <w:jc w:val="right"/>
              <w:rPr>
                <w:rFonts w:cs="Arial"/>
                <w:sz w:val="16"/>
                <w:szCs w:val="16"/>
              </w:rPr>
            </w:pPr>
            <w:r w:rsidRPr="006D5CEC">
              <w:rPr>
                <w:rFonts w:cs="Arial"/>
                <w:sz w:val="16"/>
                <w:szCs w:val="16"/>
              </w:rPr>
              <w:t>35 167</w:t>
            </w:r>
          </w:p>
        </w:tc>
        <w:tc>
          <w:tcPr>
            <w:tcW w:w="652" w:type="dxa"/>
            <w:tcBorders>
              <w:top w:val="nil"/>
              <w:left w:val="nil"/>
              <w:bottom w:val="nil"/>
              <w:right w:val="nil"/>
            </w:tcBorders>
            <w:shd w:val="clear" w:color="auto" w:fill="auto"/>
            <w:vAlign w:val="center"/>
            <w:hideMark/>
          </w:tcPr>
          <w:p w14:paraId="0F1DE21E" w14:textId="77777777" w:rsidR="006D5CEC" w:rsidRPr="006D5CEC" w:rsidRDefault="006D5CEC" w:rsidP="00531B19">
            <w:pPr>
              <w:spacing w:after="0" w:line="240" w:lineRule="auto"/>
              <w:jc w:val="right"/>
              <w:rPr>
                <w:rFonts w:cs="Arial"/>
                <w:sz w:val="16"/>
                <w:szCs w:val="16"/>
              </w:rPr>
            </w:pPr>
            <w:r w:rsidRPr="006D5CEC">
              <w:rPr>
                <w:rFonts w:cs="Arial"/>
                <w:sz w:val="16"/>
                <w:szCs w:val="16"/>
              </w:rPr>
              <w:t>15 078</w:t>
            </w:r>
          </w:p>
        </w:tc>
        <w:tc>
          <w:tcPr>
            <w:tcW w:w="652" w:type="dxa"/>
            <w:tcBorders>
              <w:top w:val="nil"/>
              <w:left w:val="nil"/>
              <w:bottom w:val="nil"/>
              <w:right w:val="single" w:sz="4" w:space="0" w:color="auto"/>
            </w:tcBorders>
            <w:shd w:val="clear" w:color="auto" w:fill="auto"/>
            <w:vAlign w:val="center"/>
            <w:hideMark/>
          </w:tcPr>
          <w:p w14:paraId="087842A3" w14:textId="77777777" w:rsidR="006D5CEC" w:rsidRPr="006D5CEC" w:rsidRDefault="006D5CEC" w:rsidP="00531B19">
            <w:pPr>
              <w:spacing w:after="0" w:line="240" w:lineRule="auto"/>
              <w:jc w:val="right"/>
              <w:rPr>
                <w:rFonts w:cs="Arial"/>
                <w:sz w:val="16"/>
                <w:szCs w:val="16"/>
              </w:rPr>
            </w:pPr>
            <w:r w:rsidRPr="006D5CEC">
              <w:rPr>
                <w:rFonts w:cs="Arial"/>
                <w:sz w:val="16"/>
                <w:szCs w:val="16"/>
              </w:rPr>
              <w:t>20 089</w:t>
            </w:r>
          </w:p>
        </w:tc>
        <w:tc>
          <w:tcPr>
            <w:tcW w:w="822" w:type="dxa"/>
            <w:tcBorders>
              <w:top w:val="nil"/>
              <w:left w:val="nil"/>
              <w:bottom w:val="nil"/>
              <w:right w:val="nil"/>
            </w:tcBorders>
            <w:shd w:val="clear" w:color="auto" w:fill="auto"/>
            <w:vAlign w:val="center"/>
            <w:hideMark/>
          </w:tcPr>
          <w:p w14:paraId="08A1215D" w14:textId="77777777" w:rsidR="006D5CEC" w:rsidRPr="006D5CEC" w:rsidRDefault="006D5CEC" w:rsidP="00531B19">
            <w:pPr>
              <w:spacing w:after="0" w:line="240" w:lineRule="auto"/>
              <w:jc w:val="right"/>
              <w:rPr>
                <w:rFonts w:cs="Arial"/>
                <w:sz w:val="16"/>
                <w:szCs w:val="16"/>
              </w:rPr>
            </w:pPr>
            <w:r w:rsidRPr="006D5CEC">
              <w:rPr>
                <w:rFonts w:cs="Arial"/>
                <w:sz w:val="16"/>
                <w:szCs w:val="16"/>
              </w:rPr>
              <w:t>1 312</w:t>
            </w:r>
          </w:p>
        </w:tc>
        <w:tc>
          <w:tcPr>
            <w:tcW w:w="652" w:type="dxa"/>
            <w:tcBorders>
              <w:top w:val="nil"/>
              <w:left w:val="nil"/>
              <w:bottom w:val="nil"/>
              <w:right w:val="nil"/>
            </w:tcBorders>
            <w:shd w:val="clear" w:color="auto" w:fill="auto"/>
            <w:vAlign w:val="center"/>
            <w:hideMark/>
          </w:tcPr>
          <w:p w14:paraId="28899E77" w14:textId="77777777" w:rsidR="006D5CEC" w:rsidRPr="006D5CEC" w:rsidRDefault="006D5CEC" w:rsidP="00531B19">
            <w:pPr>
              <w:spacing w:after="0" w:line="240" w:lineRule="auto"/>
              <w:jc w:val="right"/>
              <w:rPr>
                <w:rFonts w:cs="Arial"/>
                <w:sz w:val="16"/>
                <w:szCs w:val="16"/>
              </w:rPr>
            </w:pPr>
            <w:r w:rsidRPr="006D5CEC">
              <w:rPr>
                <w:rFonts w:cs="Arial"/>
                <w:sz w:val="16"/>
                <w:szCs w:val="16"/>
              </w:rPr>
              <w:t>882</w:t>
            </w:r>
          </w:p>
        </w:tc>
        <w:tc>
          <w:tcPr>
            <w:tcW w:w="652" w:type="dxa"/>
            <w:tcBorders>
              <w:top w:val="nil"/>
              <w:left w:val="nil"/>
              <w:bottom w:val="nil"/>
              <w:right w:val="single" w:sz="4" w:space="0" w:color="auto"/>
            </w:tcBorders>
            <w:shd w:val="clear" w:color="auto" w:fill="auto"/>
            <w:vAlign w:val="center"/>
            <w:hideMark/>
          </w:tcPr>
          <w:p w14:paraId="4290FF1E" w14:textId="77777777" w:rsidR="006D5CEC" w:rsidRPr="006D5CEC" w:rsidRDefault="006D5CEC" w:rsidP="00531B19">
            <w:pPr>
              <w:spacing w:after="0" w:line="240" w:lineRule="auto"/>
              <w:jc w:val="right"/>
              <w:rPr>
                <w:rFonts w:cs="Arial"/>
                <w:sz w:val="16"/>
                <w:szCs w:val="16"/>
              </w:rPr>
            </w:pPr>
            <w:r w:rsidRPr="006D5CEC">
              <w:rPr>
                <w:rFonts w:cs="Arial"/>
                <w:sz w:val="16"/>
                <w:szCs w:val="16"/>
              </w:rPr>
              <w:t>430</w:t>
            </w:r>
          </w:p>
        </w:tc>
        <w:tc>
          <w:tcPr>
            <w:tcW w:w="822" w:type="dxa"/>
            <w:tcBorders>
              <w:top w:val="nil"/>
              <w:left w:val="nil"/>
              <w:bottom w:val="nil"/>
              <w:right w:val="nil"/>
            </w:tcBorders>
            <w:shd w:val="clear" w:color="auto" w:fill="auto"/>
            <w:vAlign w:val="center"/>
            <w:hideMark/>
          </w:tcPr>
          <w:p w14:paraId="4F97EB1A" w14:textId="77777777" w:rsidR="006D5CEC" w:rsidRPr="006D5CEC" w:rsidRDefault="006D5CEC" w:rsidP="00531B19">
            <w:pPr>
              <w:spacing w:after="0" w:line="240" w:lineRule="auto"/>
              <w:jc w:val="right"/>
              <w:rPr>
                <w:rFonts w:cs="Arial"/>
                <w:sz w:val="16"/>
                <w:szCs w:val="16"/>
              </w:rPr>
            </w:pPr>
            <w:r w:rsidRPr="006D5CEC">
              <w:rPr>
                <w:rFonts w:cs="Arial"/>
                <w:sz w:val="16"/>
                <w:szCs w:val="16"/>
              </w:rPr>
              <w:t>4 144</w:t>
            </w:r>
          </w:p>
        </w:tc>
        <w:tc>
          <w:tcPr>
            <w:tcW w:w="652" w:type="dxa"/>
            <w:tcBorders>
              <w:top w:val="nil"/>
              <w:left w:val="nil"/>
              <w:bottom w:val="nil"/>
              <w:right w:val="nil"/>
            </w:tcBorders>
            <w:shd w:val="clear" w:color="auto" w:fill="auto"/>
            <w:vAlign w:val="center"/>
            <w:hideMark/>
          </w:tcPr>
          <w:p w14:paraId="1223300C" w14:textId="77777777" w:rsidR="006D5CEC" w:rsidRPr="006D5CEC" w:rsidRDefault="006D5CEC" w:rsidP="00531B19">
            <w:pPr>
              <w:spacing w:after="0" w:line="240" w:lineRule="auto"/>
              <w:jc w:val="right"/>
              <w:rPr>
                <w:rFonts w:cs="Arial"/>
                <w:sz w:val="16"/>
                <w:szCs w:val="16"/>
              </w:rPr>
            </w:pPr>
            <w:r w:rsidRPr="006D5CEC">
              <w:rPr>
                <w:rFonts w:cs="Arial"/>
                <w:sz w:val="16"/>
                <w:szCs w:val="16"/>
              </w:rPr>
              <w:t>2 477</w:t>
            </w:r>
          </w:p>
        </w:tc>
        <w:tc>
          <w:tcPr>
            <w:tcW w:w="652" w:type="dxa"/>
            <w:tcBorders>
              <w:top w:val="nil"/>
              <w:left w:val="nil"/>
              <w:bottom w:val="nil"/>
              <w:right w:val="nil"/>
            </w:tcBorders>
            <w:shd w:val="clear" w:color="auto" w:fill="auto"/>
            <w:vAlign w:val="center"/>
            <w:hideMark/>
          </w:tcPr>
          <w:p w14:paraId="6AF6E98A" w14:textId="77777777" w:rsidR="006D5CEC" w:rsidRPr="006D5CEC" w:rsidRDefault="006D5CEC" w:rsidP="00531B19">
            <w:pPr>
              <w:spacing w:after="0" w:line="240" w:lineRule="auto"/>
              <w:jc w:val="right"/>
              <w:rPr>
                <w:rFonts w:cs="Arial"/>
                <w:sz w:val="16"/>
                <w:szCs w:val="16"/>
              </w:rPr>
            </w:pPr>
            <w:r w:rsidRPr="006D5CEC">
              <w:rPr>
                <w:rFonts w:cs="Arial"/>
                <w:sz w:val="16"/>
                <w:szCs w:val="16"/>
              </w:rPr>
              <w:t>1 667</w:t>
            </w:r>
          </w:p>
        </w:tc>
      </w:tr>
      <w:tr w:rsidR="006D5CEC" w:rsidRPr="006D5CEC" w14:paraId="06AAA4EB" w14:textId="77777777" w:rsidTr="00531B19">
        <w:trPr>
          <w:trHeight w:val="300"/>
        </w:trPr>
        <w:tc>
          <w:tcPr>
            <w:tcW w:w="1019" w:type="dxa"/>
            <w:tcBorders>
              <w:top w:val="nil"/>
              <w:left w:val="nil"/>
              <w:bottom w:val="nil"/>
              <w:right w:val="single" w:sz="4" w:space="0" w:color="auto"/>
            </w:tcBorders>
            <w:shd w:val="clear" w:color="auto" w:fill="auto"/>
            <w:vAlign w:val="center"/>
            <w:hideMark/>
          </w:tcPr>
          <w:p w14:paraId="10571B3C" w14:textId="77777777" w:rsidR="006D5CEC" w:rsidRPr="006D5CEC" w:rsidRDefault="006D5CEC" w:rsidP="00531B19">
            <w:pPr>
              <w:spacing w:after="0" w:line="240" w:lineRule="auto"/>
              <w:jc w:val="right"/>
              <w:rPr>
                <w:rFonts w:cs="Arial"/>
                <w:sz w:val="16"/>
                <w:szCs w:val="16"/>
              </w:rPr>
            </w:pPr>
            <w:r w:rsidRPr="006D5CEC">
              <w:rPr>
                <w:rFonts w:cs="Arial"/>
                <w:sz w:val="16"/>
                <w:szCs w:val="16"/>
              </w:rPr>
              <w:t>1. pol. 2019</w:t>
            </w:r>
          </w:p>
        </w:tc>
        <w:tc>
          <w:tcPr>
            <w:tcW w:w="819" w:type="dxa"/>
            <w:tcBorders>
              <w:top w:val="nil"/>
              <w:left w:val="nil"/>
              <w:bottom w:val="nil"/>
              <w:right w:val="nil"/>
            </w:tcBorders>
            <w:shd w:val="clear" w:color="auto" w:fill="auto"/>
            <w:vAlign w:val="center"/>
            <w:hideMark/>
          </w:tcPr>
          <w:p w14:paraId="78BC897C" w14:textId="77777777" w:rsidR="006D5CEC" w:rsidRPr="006D5CEC" w:rsidRDefault="006D5CEC" w:rsidP="00531B19">
            <w:pPr>
              <w:spacing w:after="0" w:line="240" w:lineRule="auto"/>
              <w:jc w:val="right"/>
              <w:rPr>
                <w:rFonts w:cs="Arial"/>
                <w:sz w:val="16"/>
                <w:szCs w:val="16"/>
              </w:rPr>
            </w:pPr>
            <w:r w:rsidRPr="006D5CEC">
              <w:rPr>
                <w:rFonts w:cs="Arial"/>
                <w:sz w:val="16"/>
                <w:szCs w:val="16"/>
              </w:rPr>
              <w:t>41 578</w:t>
            </w:r>
          </w:p>
        </w:tc>
        <w:tc>
          <w:tcPr>
            <w:tcW w:w="652" w:type="dxa"/>
            <w:tcBorders>
              <w:top w:val="nil"/>
              <w:left w:val="nil"/>
              <w:bottom w:val="nil"/>
              <w:right w:val="nil"/>
            </w:tcBorders>
            <w:shd w:val="clear" w:color="auto" w:fill="auto"/>
            <w:vAlign w:val="center"/>
            <w:hideMark/>
          </w:tcPr>
          <w:p w14:paraId="73F35F31" w14:textId="77777777" w:rsidR="006D5CEC" w:rsidRPr="006D5CEC" w:rsidRDefault="006D5CEC" w:rsidP="00531B19">
            <w:pPr>
              <w:spacing w:after="0" w:line="240" w:lineRule="auto"/>
              <w:jc w:val="right"/>
              <w:rPr>
                <w:rFonts w:cs="Arial"/>
                <w:sz w:val="16"/>
                <w:szCs w:val="16"/>
              </w:rPr>
            </w:pPr>
            <w:r w:rsidRPr="006D5CEC">
              <w:rPr>
                <w:rFonts w:cs="Arial"/>
                <w:sz w:val="16"/>
                <w:szCs w:val="16"/>
              </w:rPr>
              <w:t>18 828</w:t>
            </w:r>
          </w:p>
        </w:tc>
        <w:tc>
          <w:tcPr>
            <w:tcW w:w="652" w:type="dxa"/>
            <w:tcBorders>
              <w:top w:val="nil"/>
              <w:left w:val="nil"/>
              <w:bottom w:val="nil"/>
              <w:right w:val="single" w:sz="4" w:space="0" w:color="auto"/>
            </w:tcBorders>
            <w:shd w:val="clear" w:color="auto" w:fill="auto"/>
            <w:vAlign w:val="center"/>
            <w:hideMark/>
          </w:tcPr>
          <w:p w14:paraId="5A97D276" w14:textId="77777777" w:rsidR="006D5CEC" w:rsidRPr="006D5CEC" w:rsidRDefault="006D5CEC" w:rsidP="00531B19">
            <w:pPr>
              <w:spacing w:after="0" w:line="240" w:lineRule="auto"/>
              <w:jc w:val="right"/>
              <w:rPr>
                <w:rFonts w:cs="Arial"/>
                <w:sz w:val="16"/>
                <w:szCs w:val="16"/>
              </w:rPr>
            </w:pPr>
            <w:r w:rsidRPr="006D5CEC">
              <w:rPr>
                <w:rFonts w:cs="Arial"/>
                <w:sz w:val="16"/>
                <w:szCs w:val="16"/>
              </w:rPr>
              <w:t>22 750</w:t>
            </w:r>
          </w:p>
        </w:tc>
        <w:tc>
          <w:tcPr>
            <w:tcW w:w="822" w:type="dxa"/>
            <w:tcBorders>
              <w:top w:val="nil"/>
              <w:left w:val="nil"/>
              <w:bottom w:val="nil"/>
              <w:right w:val="nil"/>
            </w:tcBorders>
            <w:shd w:val="clear" w:color="auto" w:fill="auto"/>
            <w:vAlign w:val="center"/>
            <w:hideMark/>
          </w:tcPr>
          <w:p w14:paraId="0D71D5DB" w14:textId="77777777" w:rsidR="006D5CEC" w:rsidRPr="006D5CEC" w:rsidRDefault="006D5CEC" w:rsidP="00531B19">
            <w:pPr>
              <w:spacing w:after="0" w:line="240" w:lineRule="auto"/>
              <w:jc w:val="right"/>
              <w:rPr>
                <w:rFonts w:cs="Arial"/>
                <w:sz w:val="16"/>
                <w:szCs w:val="16"/>
              </w:rPr>
            </w:pPr>
            <w:r w:rsidRPr="006D5CEC">
              <w:rPr>
                <w:rFonts w:cs="Arial"/>
                <w:sz w:val="16"/>
                <w:szCs w:val="16"/>
              </w:rPr>
              <w:t>35 860</w:t>
            </w:r>
          </w:p>
        </w:tc>
        <w:tc>
          <w:tcPr>
            <w:tcW w:w="652" w:type="dxa"/>
            <w:tcBorders>
              <w:top w:val="nil"/>
              <w:left w:val="nil"/>
              <w:bottom w:val="nil"/>
              <w:right w:val="nil"/>
            </w:tcBorders>
            <w:shd w:val="clear" w:color="auto" w:fill="auto"/>
            <w:vAlign w:val="center"/>
            <w:hideMark/>
          </w:tcPr>
          <w:p w14:paraId="6325F5FE" w14:textId="77777777" w:rsidR="006D5CEC" w:rsidRPr="006D5CEC" w:rsidRDefault="006D5CEC" w:rsidP="00531B19">
            <w:pPr>
              <w:spacing w:after="0" w:line="240" w:lineRule="auto"/>
              <w:jc w:val="right"/>
              <w:rPr>
                <w:rFonts w:cs="Arial"/>
                <w:sz w:val="16"/>
                <w:szCs w:val="16"/>
              </w:rPr>
            </w:pPr>
            <w:r w:rsidRPr="006D5CEC">
              <w:rPr>
                <w:rFonts w:cs="Arial"/>
                <w:sz w:val="16"/>
                <w:szCs w:val="16"/>
              </w:rPr>
              <w:t>15 325</w:t>
            </w:r>
          </w:p>
        </w:tc>
        <w:tc>
          <w:tcPr>
            <w:tcW w:w="652" w:type="dxa"/>
            <w:tcBorders>
              <w:top w:val="nil"/>
              <w:left w:val="nil"/>
              <w:bottom w:val="nil"/>
              <w:right w:val="single" w:sz="4" w:space="0" w:color="auto"/>
            </w:tcBorders>
            <w:shd w:val="clear" w:color="auto" w:fill="auto"/>
            <w:vAlign w:val="center"/>
            <w:hideMark/>
          </w:tcPr>
          <w:p w14:paraId="425AFD65" w14:textId="77777777" w:rsidR="006D5CEC" w:rsidRPr="006D5CEC" w:rsidRDefault="006D5CEC" w:rsidP="00531B19">
            <w:pPr>
              <w:spacing w:after="0" w:line="240" w:lineRule="auto"/>
              <w:jc w:val="right"/>
              <w:rPr>
                <w:rFonts w:cs="Arial"/>
                <w:sz w:val="16"/>
                <w:szCs w:val="16"/>
              </w:rPr>
            </w:pPr>
            <w:r w:rsidRPr="006D5CEC">
              <w:rPr>
                <w:rFonts w:cs="Arial"/>
                <w:sz w:val="16"/>
                <w:szCs w:val="16"/>
              </w:rPr>
              <w:t>20 536</w:t>
            </w:r>
          </w:p>
        </w:tc>
        <w:tc>
          <w:tcPr>
            <w:tcW w:w="822" w:type="dxa"/>
            <w:tcBorders>
              <w:top w:val="nil"/>
              <w:left w:val="nil"/>
              <w:bottom w:val="nil"/>
              <w:right w:val="nil"/>
            </w:tcBorders>
            <w:shd w:val="clear" w:color="auto" w:fill="auto"/>
            <w:vAlign w:val="center"/>
            <w:hideMark/>
          </w:tcPr>
          <w:p w14:paraId="37B7E9A7" w14:textId="77777777" w:rsidR="006D5CEC" w:rsidRPr="006D5CEC" w:rsidRDefault="006D5CEC" w:rsidP="00531B19">
            <w:pPr>
              <w:spacing w:after="0" w:line="240" w:lineRule="auto"/>
              <w:jc w:val="right"/>
              <w:rPr>
                <w:rFonts w:cs="Arial"/>
                <w:sz w:val="16"/>
                <w:szCs w:val="16"/>
              </w:rPr>
            </w:pPr>
            <w:r w:rsidRPr="006D5CEC">
              <w:rPr>
                <w:rFonts w:cs="Arial"/>
                <w:sz w:val="16"/>
                <w:szCs w:val="16"/>
              </w:rPr>
              <w:t>1 325</w:t>
            </w:r>
          </w:p>
        </w:tc>
        <w:tc>
          <w:tcPr>
            <w:tcW w:w="652" w:type="dxa"/>
            <w:tcBorders>
              <w:top w:val="nil"/>
              <w:left w:val="nil"/>
              <w:bottom w:val="nil"/>
              <w:right w:val="nil"/>
            </w:tcBorders>
            <w:shd w:val="clear" w:color="auto" w:fill="auto"/>
            <w:vAlign w:val="center"/>
            <w:hideMark/>
          </w:tcPr>
          <w:p w14:paraId="258B7CF8" w14:textId="77777777" w:rsidR="006D5CEC" w:rsidRPr="006D5CEC" w:rsidRDefault="006D5CEC" w:rsidP="00531B19">
            <w:pPr>
              <w:spacing w:after="0" w:line="240" w:lineRule="auto"/>
              <w:jc w:val="right"/>
              <w:rPr>
                <w:rFonts w:cs="Arial"/>
                <w:sz w:val="16"/>
                <w:szCs w:val="16"/>
              </w:rPr>
            </w:pPr>
            <w:r w:rsidRPr="006D5CEC">
              <w:rPr>
                <w:rFonts w:cs="Arial"/>
                <w:sz w:val="16"/>
                <w:szCs w:val="16"/>
              </w:rPr>
              <w:t>888</w:t>
            </w:r>
          </w:p>
        </w:tc>
        <w:tc>
          <w:tcPr>
            <w:tcW w:w="652" w:type="dxa"/>
            <w:tcBorders>
              <w:top w:val="nil"/>
              <w:left w:val="nil"/>
              <w:bottom w:val="nil"/>
              <w:right w:val="single" w:sz="4" w:space="0" w:color="auto"/>
            </w:tcBorders>
            <w:shd w:val="clear" w:color="auto" w:fill="auto"/>
            <w:vAlign w:val="center"/>
            <w:hideMark/>
          </w:tcPr>
          <w:p w14:paraId="7345ECA4" w14:textId="77777777" w:rsidR="006D5CEC" w:rsidRPr="006D5CEC" w:rsidRDefault="006D5CEC" w:rsidP="00531B19">
            <w:pPr>
              <w:spacing w:after="0" w:line="240" w:lineRule="auto"/>
              <w:jc w:val="right"/>
              <w:rPr>
                <w:rFonts w:cs="Arial"/>
                <w:sz w:val="16"/>
                <w:szCs w:val="16"/>
              </w:rPr>
            </w:pPr>
            <w:r w:rsidRPr="006D5CEC">
              <w:rPr>
                <w:rFonts w:cs="Arial"/>
                <w:sz w:val="16"/>
                <w:szCs w:val="16"/>
              </w:rPr>
              <w:t>437</w:t>
            </w:r>
          </w:p>
        </w:tc>
        <w:tc>
          <w:tcPr>
            <w:tcW w:w="822" w:type="dxa"/>
            <w:tcBorders>
              <w:top w:val="nil"/>
              <w:left w:val="nil"/>
              <w:bottom w:val="nil"/>
              <w:right w:val="nil"/>
            </w:tcBorders>
            <w:shd w:val="clear" w:color="auto" w:fill="auto"/>
            <w:vAlign w:val="center"/>
            <w:hideMark/>
          </w:tcPr>
          <w:p w14:paraId="5C943268" w14:textId="77777777" w:rsidR="006D5CEC" w:rsidRPr="006D5CEC" w:rsidRDefault="006D5CEC" w:rsidP="00531B19">
            <w:pPr>
              <w:spacing w:after="0" w:line="240" w:lineRule="auto"/>
              <w:jc w:val="right"/>
              <w:rPr>
                <w:rFonts w:cs="Arial"/>
                <w:sz w:val="16"/>
                <w:szCs w:val="16"/>
              </w:rPr>
            </w:pPr>
            <w:r w:rsidRPr="006D5CEC">
              <w:rPr>
                <w:rFonts w:cs="Arial"/>
                <w:sz w:val="16"/>
                <w:szCs w:val="16"/>
              </w:rPr>
              <w:t>4 392</w:t>
            </w:r>
          </w:p>
        </w:tc>
        <w:tc>
          <w:tcPr>
            <w:tcW w:w="652" w:type="dxa"/>
            <w:tcBorders>
              <w:top w:val="nil"/>
              <w:left w:val="nil"/>
              <w:bottom w:val="nil"/>
              <w:right w:val="nil"/>
            </w:tcBorders>
            <w:shd w:val="clear" w:color="auto" w:fill="auto"/>
            <w:vAlign w:val="center"/>
            <w:hideMark/>
          </w:tcPr>
          <w:p w14:paraId="3C5EB019" w14:textId="77777777" w:rsidR="006D5CEC" w:rsidRPr="006D5CEC" w:rsidRDefault="006D5CEC" w:rsidP="00531B19">
            <w:pPr>
              <w:spacing w:after="0" w:line="240" w:lineRule="auto"/>
              <w:jc w:val="right"/>
              <w:rPr>
                <w:rFonts w:cs="Arial"/>
                <w:sz w:val="16"/>
                <w:szCs w:val="16"/>
              </w:rPr>
            </w:pPr>
            <w:r w:rsidRPr="006D5CEC">
              <w:rPr>
                <w:rFonts w:cs="Arial"/>
                <w:sz w:val="16"/>
                <w:szCs w:val="16"/>
              </w:rPr>
              <w:t>2 615</w:t>
            </w:r>
          </w:p>
        </w:tc>
        <w:tc>
          <w:tcPr>
            <w:tcW w:w="652" w:type="dxa"/>
            <w:tcBorders>
              <w:top w:val="nil"/>
              <w:left w:val="nil"/>
              <w:bottom w:val="nil"/>
              <w:right w:val="nil"/>
            </w:tcBorders>
            <w:shd w:val="clear" w:color="auto" w:fill="auto"/>
            <w:vAlign w:val="center"/>
            <w:hideMark/>
          </w:tcPr>
          <w:p w14:paraId="179693A3" w14:textId="77777777" w:rsidR="006D5CEC" w:rsidRPr="006D5CEC" w:rsidRDefault="006D5CEC" w:rsidP="00531B19">
            <w:pPr>
              <w:spacing w:after="0" w:line="240" w:lineRule="auto"/>
              <w:jc w:val="right"/>
              <w:rPr>
                <w:rFonts w:cs="Arial"/>
                <w:sz w:val="16"/>
                <w:szCs w:val="16"/>
              </w:rPr>
            </w:pPr>
            <w:r w:rsidRPr="006D5CEC">
              <w:rPr>
                <w:rFonts w:cs="Arial"/>
                <w:sz w:val="16"/>
                <w:szCs w:val="16"/>
              </w:rPr>
              <w:t>1 777</w:t>
            </w:r>
          </w:p>
        </w:tc>
      </w:tr>
    </w:tbl>
    <w:p w14:paraId="0012D008" w14:textId="77777777" w:rsidR="00DE3224" w:rsidRPr="001338A0" w:rsidRDefault="00DE3224" w:rsidP="00F022F9">
      <w:pPr>
        <w:spacing w:before="120"/>
        <w:jc w:val="both"/>
        <w:rPr>
          <w:rFonts w:cs="Arial"/>
          <w:sz w:val="16"/>
          <w:szCs w:val="16"/>
        </w:rPr>
      </w:pPr>
      <w:r>
        <w:rPr>
          <w:rFonts w:cs="Arial"/>
          <w:sz w:val="16"/>
          <w:szCs w:val="16"/>
        </w:rPr>
        <w:t>Zdroj: ČSÚ</w:t>
      </w:r>
    </w:p>
    <w:p w14:paraId="24652126" w14:textId="2FE5331A" w:rsidR="00907B59" w:rsidRDefault="00907B59" w:rsidP="00907B59">
      <w:pPr>
        <w:jc w:val="both"/>
      </w:pPr>
      <w:r>
        <w:t>Průměrná délka trvání případ</w:t>
      </w:r>
      <w:r w:rsidR="00922112">
        <w:t>u</w:t>
      </w:r>
      <w:r>
        <w:t xml:space="preserve"> pracovní neschopnosti žen se meziročně zvýšila ze 40 dnů v 1. pol. 2018 na 43,</w:t>
      </w:r>
      <w:r w:rsidR="005A19F6">
        <w:t>7</w:t>
      </w:r>
      <w:r>
        <w:t xml:space="preserve"> dne v 1. pol. 2019. V případě mužů vzrostla ze 38 dnů v 1. pol. 2018 na 41 dnů za stejné období o rok později.</w:t>
      </w:r>
    </w:p>
    <w:p w14:paraId="56B5626E" w14:textId="289F903D" w:rsidR="00907B59" w:rsidRDefault="00907B59" w:rsidP="00907B59">
      <w:pPr>
        <w:jc w:val="both"/>
      </w:pPr>
      <w:r>
        <w:t xml:space="preserve">To, že pracovní neschopnost u </w:t>
      </w:r>
      <w:r w:rsidRPr="005A55A7">
        <w:rPr>
          <w:b/>
        </w:rPr>
        <w:t>žen</w:t>
      </w:r>
      <w:r>
        <w:t xml:space="preserve"> trvá déle, potvrzuje i dlouhodobější vývoj znázorněný v grafu 2.5. Ačkoliv vlivem legislativních změn došlo v roce 2009 jak k propadu počtu případů pracovní neschopnosti (o 32 % </w:t>
      </w:r>
      <w:r>
        <w:lastRenderedPageBreak/>
        <w:t xml:space="preserve">méně za 1. pol. 2009 oproti stejnému období v předchozím roce), tak ke snížení počtu dní strávených na neschopence (o 20,3 %), průměrná délka případu pracovní neschopnosti meziročně vzrostla. Od roku 2008 se více než zdvojnásobil počet dnů, které ženy strávily na neschopence z důvodu </w:t>
      </w:r>
      <w:r w:rsidR="007133EA">
        <w:t xml:space="preserve">jiných než </w:t>
      </w:r>
      <w:r>
        <w:t>pracovní</w:t>
      </w:r>
      <w:r w:rsidR="005A19F6">
        <w:t>c</w:t>
      </w:r>
      <w:r>
        <w:t>h úraz</w:t>
      </w:r>
      <w:r w:rsidR="005A19F6">
        <w:t>ů</w:t>
      </w:r>
      <w:r>
        <w:t xml:space="preserve">. Zatímco v 1. pol. 2008 ženy zaznamenaly 833 tis. dnů, v 1. pol. 2019 to bylo </w:t>
      </w:r>
      <w:r w:rsidR="005A19F6">
        <w:t xml:space="preserve">již </w:t>
      </w:r>
      <w:r>
        <w:t xml:space="preserve">1 777 tis. dnů. </w:t>
      </w:r>
    </w:p>
    <w:p w14:paraId="5D8BA59B" w14:textId="51C0DB01" w:rsidR="00744332" w:rsidRPr="007617E8" w:rsidRDefault="00907B59" w:rsidP="00907B59">
      <w:pPr>
        <w:jc w:val="both"/>
      </w:pPr>
      <w:r w:rsidRPr="00E56175">
        <w:rPr>
          <w:b/>
        </w:rPr>
        <w:t>Průměrná délka</w:t>
      </w:r>
      <w:r>
        <w:t xml:space="preserve"> jednoho </w:t>
      </w:r>
      <w:r w:rsidRPr="00E56175">
        <w:rPr>
          <w:b/>
        </w:rPr>
        <w:t>případu</w:t>
      </w:r>
      <w:r>
        <w:t xml:space="preserve"> dočasné pracovní neschopnosti meziročně za 1. pol. 2019 vzrostla ze 39 dnů v 1. pol. 2018 na 42,7 dne. </w:t>
      </w:r>
      <w:r w:rsidRPr="00E56175">
        <w:rPr>
          <w:b/>
        </w:rPr>
        <w:t>Nemoc</w:t>
      </w:r>
      <w:r>
        <w:t xml:space="preserve"> způsobila pracovní neschopnost o průměrné délce 41 dnů, neschopnost pro </w:t>
      </w:r>
      <w:r w:rsidRPr="007617E8">
        <w:rPr>
          <w:b/>
        </w:rPr>
        <w:t>pracovní úraz</w:t>
      </w:r>
      <w:r>
        <w:t xml:space="preserve"> trvala v průměru 57,1 dne a z důvodu </w:t>
      </w:r>
      <w:r w:rsidRPr="007617E8">
        <w:rPr>
          <w:b/>
        </w:rPr>
        <w:t>ostatních úrazů</w:t>
      </w:r>
      <w:r>
        <w:t xml:space="preserve"> 55,6 dne. Průměrná délka trvání případu pracovní neschopnosti v 1. pol. 2019 byla na podobné úrovni jak</w:t>
      </w:r>
      <w:r w:rsidR="00744332">
        <w:t xml:space="preserve">o v pololetích let 2011 a 2013. </w:t>
      </w:r>
    </w:p>
    <w:p w14:paraId="1C1B5BB9" w14:textId="5E651BD3" w:rsidR="005A0510" w:rsidRDefault="006973FE" w:rsidP="0019246C">
      <w:pPr>
        <w:spacing w:after="120"/>
        <w:jc w:val="both"/>
        <w:rPr>
          <w:b/>
        </w:rPr>
      </w:pPr>
      <w:r w:rsidRPr="006973FE">
        <w:rPr>
          <w:b/>
        </w:rPr>
        <w:t xml:space="preserve">Graf 2.5: Průměrná délka trvání </w:t>
      </w:r>
      <w:r w:rsidR="00EA35EB">
        <w:rPr>
          <w:b/>
        </w:rPr>
        <w:t xml:space="preserve">případu </w:t>
      </w:r>
      <w:r w:rsidRPr="006973FE">
        <w:rPr>
          <w:b/>
        </w:rPr>
        <w:t>dočasné pracovní neschopnosti podle pohlaví</w:t>
      </w:r>
      <w:r w:rsidR="0019246C">
        <w:rPr>
          <w:b/>
        </w:rPr>
        <w:t xml:space="preserve"> </w:t>
      </w:r>
      <w:r w:rsidR="005A0510">
        <w:rPr>
          <w:b/>
        </w:rPr>
        <w:t xml:space="preserve">v 1. pol. </w:t>
      </w:r>
      <w:r w:rsidR="0019246C">
        <w:rPr>
          <w:b/>
        </w:rPr>
        <w:br/>
      </w:r>
      <w:r w:rsidR="005A0510">
        <w:rPr>
          <w:b/>
        </w:rPr>
        <w:t>2008 – 1. pol. 2019</w:t>
      </w:r>
    </w:p>
    <w:p w14:paraId="786E1BF1" w14:textId="6B9DB450" w:rsidR="00085DD0" w:rsidRPr="00E91FAA" w:rsidRDefault="006973FE" w:rsidP="00E075C7">
      <w:pPr>
        <w:jc w:val="both"/>
        <w:rPr>
          <w:b/>
        </w:rPr>
      </w:pPr>
      <w:r>
        <w:rPr>
          <w:noProof/>
        </w:rPr>
        <w:drawing>
          <wp:inline distT="0" distB="0" distL="0" distR="0" wp14:anchorId="3BDCF4BD" wp14:editId="0C49C3DF">
            <wp:extent cx="6134100" cy="2838450"/>
            <wp:effectExtent l="0" t="0" r="0" b="0"/>
            <wp:docPr id="48" name="Graf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085DD0">
        <w:rPr>
          <w:rFonts w:cs="Arial"/>
          <w:sz w:val="16"/>
          <w:szCs w:val="16"/>
        </w:rPr>
        <w:t>Zdroj: ČSÚ</w:t>
      </w:r>
    </w:p>
    <w:p w14:paraId="10E980E1" w14:textId="5C1BF657" w:rsidR="006973FE" w:rsidRDefault="006973FE" w:rsidP="0019246C">
      <w:pPr>
        <w:spacing w:after="120"/>
        <w:jc w:val="both"/>
        <w:rPr>
          <w:b/>
        </w:rPr>
      </w:pPr>
      <w:r w:rsidRPr="006973FE">
        <w:rPr>
          <w:b/>
        </w:rPr>
        <w:t>Graf 2.6: Nově hlášené případy dočasné pracovní neschopnosti na 100 pojištěnců a pr</w:t>
      </w:r>
      <w:r w:rsidR="00040960">
        <w:rPr>
          <w:b/>
        </w:rPr>
        <w:t xml:space="preserve">ůměrná délka </w:t>
      </w:r>
      <w:r w:rsidR="00EA35EB">
        <w:rPr>
          <w:b/>
        </w:rPr>
        <w:t>trvání případu</w:t>
      </w:r>
      <w:r w:rsidR="00040960">
        <w:rPr>
          <w:b/>
        </w:rPr>
        <w:t xml:space="preserve"> v </w:t>
      </w:r>
      <w:r w:rsidRPr="006973FE">
        <w:rPr>
          <w:b/>
        </w:rPr>
        <w:t>1. pol. 2008 – 1. pol. 2019</w:t>
      </w:r>
    </w:p>
    <w:p w14:paraId="37C658AC" w14:textId="633593E0" w:rsidR="00922112" w:rsidRDefault="00922112" w:rsidP="0064109D">
      <w:pPr>
        <w:spacing w:after="120"/>
        <w:rPr>
          <w:b/>
        </w:rPr>
      </w:pPr>
      <w:r>
        <w:rPr>
          <w:noProof/>
        </w:rPr>
        <w:drawing>
          <wp:inline distT="0" distB="0" distL="0" distR="0" wp14:anchorId="1976E04E" wp14:editId="182B5492">
            <wp:extent cx="6057900" cy="2914650"/>
            <wp:effectExtent l="0" t="0" r="0" b="0"/>
            <wp:docPr id="20" name="Graf 20">
              <a:extLst xmlns:a="http://schemas.openxmlformats.org/drawingml/2006/main">
                <a:ext uri="{FF2B5EF4-FFF2-40B4-BE49-F238E27FC236}">
                  <a16:creationId xmlns:a16="http://schemas.microsoft.com/office/drawing/2014/main" id="{00000000-0008-0000-0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38C06C2" w14:textId="7903094D" w:rsidR="00891046" w:rsidRDefault="00891046" w:rsidP="0089057B">
      <w:pPr>
        <w:rPr>
          <w:rFonts w:cs="Arial"/>
          <w:sz w:val="16"/>
          <w:szCs w:val="16"/>
        </w:rPr>
      </w:pPr>
      <w:r>
        <w:rPr>
          <w:rFonts w:cs="Arial"/>
          <w:sz w:val="16"/>
          <w:szCs w:val="16"/>
        </w:rPr>
        <w:t>Z</w:t>
      </w:r>
      <w:r w:rsidR="00052494">
        <w:rPr>
          <w:rFonts w:cs="Arial"/>
          <w:sz w:val="16"/>
          <w:szCs w:val="16"/>
        </w:rPr>
        <w:t>droj: ČSÚ</w:t>
      </w:r>
    </w:p>
    <w:p w14:paraId="5CF6DE7A" w14:textId="34196760" w:rsidR="003D5B71" w:rsidRDefault="00170240" w:rsidP="0064109D">
      <w:pPr>
        <w:spacing w:after="120"/>
        <w:jc w:val="both"/>
        <w:rPr>
          <w:b/>
        </w:rPr>
      </w:pPr>
      <w:r w:rsidRPr="00170240">
        <w:rPr>
          <w:b/>
        </w:rPr>
        <w:lastRenderedPageBreak/>
        <w:t>Graf 2.7: Průměrná délka trvání případu dočasné pracovní neschopnosti dle odvětví ekonomické činnosti (sekcí CZ</w:t>
      </w:r>
      <w:r w:rsidR="005A0510">
        <w:rPr>
          <w:b/>
        </w:rPr>
        <w:t>-</w:t>
      </w:r>
      <w:r w:rsidRPr="00170240">
        <w:rPr>
          <w:b/>
        </w:rPr>
        <w:t>NACE) v 1. pol. 2019</w:t>
      </w:r>
    </w:p>
    <w:p w14:paraId="4D9FEE81" w14:textId="1EF57E24" w:rsidR="00B47D35" w:rsidRPr="00E075C7" w:rsidRDefault="0047242F" w:rsidP="00B47D35">
      <w:pPr>
        <w:jc w:val="both"/>
      </w:pPr>
      <w:r>
        <w:rPr>
          <w:noProof/>
        </w:rPr>
        <w:drawing>
          <wp:inline distT="0" distB="0" distL="0" distR="0" wp14:anchorId="4AF4E931" wp14:editId="79A7F41D">
            <wp:extent cx="6096000" cy="5343525"/>
            <wp:effectExtent l="0" t="0" r="0" b="0"/>
            <wp:docPr id="21" name="Graf 21">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B47D35">
        <w:rPr>
          <w:rFonts w:cs="Arial"/>
          <w:sz w:val="16"/>
          <w:szCs w:val="16"/>
        </w:rPr>
        <w:t>Zdroj: ČSÚ</w:t>
      </w:r>
    </w:p>
    <w:p w14:paraId="0B8DB7D0" w14:textId="3CA8FA1D" w:rsidR="00B47D35" w:rsidRDefault="00B47D35" w:rsidP="00B47D35">
      <w:pPr>
        <w:jc w:val="both"/>
      </w:pPr>
      <w:r w:rsidRPr="00C55B6D">
        <w:t xml:space="preserve">Nejvíce dnů dočasné pracovní neschopnosti </w:t>
      </w:r>
      <w:r w:rsidR="00191074">
        <w:t>v 1. pol. 201</w:t>
      </w:r>
      <w:r w:rsidR="001C03A1">
        <w:t>9</w:t>
      </w:r>
      <w:r w:rsidR="00191074">
        <w:t xml:space="preserve"> </w:t>
      </w:r>
      <w:r w:rsidRPr="00C55B6D">
        <w:t xml:space="preserve">bylo </w:t>
      </w:r>
      <w:r w:rsidR="005572D3">
        <w:t xml:space="preserve">zaznamenáno </w:t>
      </w:r>
      <w:r w:rsidRPr="00C55B6D">
        <w:t>v </w:t>
      </w:r>
      <w:r w:rsidRPr="005572D3">
        <w:rPr>
          <w:b/>
        </w:rPr>
        <w:t>odvětví</w:t>
      </w:r>
      <w:r w:rsidRPr="00C55B6D">
        <w:t xml:space="preserve"> Zpracovatelský průmysl, a to jak celkem</w:t>
      </w:r>
      <w:r w:rsidR="00EA35EB">
        <w:t xml:space="preserve"> </w:t>
      </w:r>
      <w:r w:rsidR="00EA35EB" w:rsidRPr="00C55B6D">
        <w:t>(</w:t>
      </w:r>
      <w:r w:rsidR="00EA35EB" w:rsidRPr="005572D3">
        <w:t>14</w:t>
      </w:r>
      <w:r w:rsidR="00EA35EB">
        <w:t xml:space="preserve"> </w:t>
      </w:r>
      <w:r w:rsidR="00EA35EB" w:rsidRPr="005572D3">
        <w:t>06</w:t>
      </w:r>
      <w:r w:rsidR="00EA35EB">
        <w:t xml:space="preserve">9 </w:t>
      </w:r>
      <w:r w:rsidR="00EA35EB" w:rsidRPr="00C55B6D">
        <w:t>tis.)</w:t>
      </w:r>
      <w:r w:rsidRPr="00C55B6D">
        <w:t>, tak v jednotlivých kategoriích – pro nemoc (</w:t>
      </w:r>
      <w:r w:rsidR="005572D3" w:rsidRPr="005572D3">
        <w:t>11</w:t>
      </w:r>
      <w:r w:rsidR="005572D3">
        <w:t xml:space="preserve"> </w:t>
      </w:r>
      <w:r w:rsidR="005572D3" w:rsidRPr="005572D3">
        <w:t>996</w:t>
      </w:r>
      <w:r w:rsidR="005572D3">
        <w:t xml:space="preserve"> </w:t>
      </w:r>
      <w:r w:rsidRPr="00C55B6D">
        <w:t>tis.), pro pracovní úrazy (</w:t>
      </w:r>
      <w:r w:rsidR="005572D3">
        <w:t>498</w:t>
      </w:r>
      <w:r w:rsidRPr="00C55B6D">
        <w:t xml:space="preserve"> tis.) a pro ostatní úrazy (</w:t>
      </w:r>
      <w:r w:rsidR="005572D3" w:rsidRPr="005572D3">
        <w:t>1</w:t>
      </w:r>
      <w:r w:rsidR="005572D3">
        <w:t xml:space="preserve"> </w:t>
      </w:r>
      <w:r w:rsidR="00B34EAF">
        <w:t>575</w:t>
      </w:r>
      <w:r w:rsidR="005572D3">
        <w:t xml:space="preserve"> </w:t>
      </w:r>
      <w:r w:rsidRPr="00C55B6D">
        <w:t xml:space="preserve">tis.). Naopak </w:t>
      </w:r>
      <w:r w:rsidR="005506C4">
        <w:t>nejnižší</w:t>
      </w:r>
      <w:r w:rsidRPr="00C55B6D">
        <w:t xml:space="preserve"> počet dnů pracovní neschopnosti byl hlášen v</w:t>
      </w:r>
      <w:r w:rsidR="005A0510">
        <w:t> </w:t>
      </w:r>
      <w:r w:rsidRPr="00C55B6D">
        <w:t>oblasti Výrob</w:t>
      </w:r>
      <w:r w:rsidR="00BC2EE6">
        <w:t>a a</w:t>
      </w:r>
      <w:r w:rsidRPr="00C55B6D">
        <w:t> rozvod elektřiny a jiných energií (</w:t>
      </w:r>
      <w:r w:rsidR="00CA774F">
        <w:t>2</w:t>
      </w:r>
      <w:r w:rsidR="005572D3">
        <w:t xml:space="preserve">29 </w:t>
      </w:r>
      <w:r w:rsidRPr="00C55B6D">
        <w:t>tis</w:t>
      </w:r>
      <w:r>
        <w:t>.), kde bylo evidováno i nejméně dnů pracovní neschopnosti pro nemoc (</w:t>
      </w:r>
      <w:r w:rsidR="00CA774F">
        <w:t>1</w:t>
      </w:r>
      <w:r w:rsidR="005572D3">
        <w:t>98</w:t>
      </w:r>
      <w:r>
        <w:t xml:space="preserve"> tis.</w:t>
      </w:r>
      <w:r w:rsidR="00EA35EB">
        <w:t>)</w:t>
      </w:r>
      <w:r w:rsidR="007C6070">
        <w:t xml:space="preserve"> </w:t>
      </w:r>
      <w:r>
        <w:t>a pro ostatní úrazy (</w:t>
      </w:r>
      <w:r w:rsidR="00CA774F">
        <w:t>2</w:t>
      </w:r>
      <w:r w:rsidR="005572D3">
        <w:t>6</w:t>
      </w:r>
      <w:r>
        <w:t> tis.).</w:t>
      </w:r>
      <w:r w:rsidR="007C6070">
        <w:t xml:space="preserve"> Nejméně dnů pracovní neschopnosti z důvodu pracovních úrazů vykazovalo odvětví Peněžnictví a pojišťovnictví (2,6 tis.) a Informační a komunikační činnosti (3,3 tis.).</w:t>
      </w:r>
    </w:p>
    <w:p w14:paraId="3720A414" w14:textId="74F780CC" w:rsidR="007C6070" w:rsidRDefault="00716C1C" w:rsidP="00B47D35">
      <w:pPr>
        <w:jc w:val="both"/>
      </w:pPr>
      <w:r>
        <w:t xml:space="preserve">Jak již bylo zmíněno výše, dočasná pracovní neschopnost trvala v 1. pol. 2019 </w:t>
      </w:r>
      <w:r w:rsidRPr="003D5B71">
        <w:rPr>
          <w:b/>
        </w:rPr>
        <w:t>v průměru</w:t>
      </w:r>
      <w:r>
        <w:t xml:space="preserve"> 42,7 dne</w:t>
      </w:r>
      <w:r w:rsidR="003D5B71">
        <w:t xml:space="preserve"> </w:t>
      </w:r>
      <w:r w:rsidR="003D5B71" w:rsidRPr="003D5B71">
        <w:rPr>
          <w:b/>
        </w:rPr>
        <w:t>na</w:t>
      </w:r>
      <w:r w:rsidR="003D5B71">
        <w:t xml:space="preserve"> jeden </w:t>
      </w:r>
      <w:r w:rsidR="003D5B71" w:rsidRPr="003D5B71">
        <w:rPr>
          <w:b/>
        </w:rPr>
        <w:t>případ</w:t>
      </w:r>
      <w:r>
        <w:t xml:space="preserve">. Odvětvími </w:t>
      </w:r>
      <w:r w:rsidR="003D5B71">
        <w:t>v průměru s nejdelším</w:t>
      </w:r>
      <w:r>
        <w:t xml:space="preserve"> trvání</w:t>
      </w:r>
      <w:r w:rsidR="003D5B71">
        <w:t xml:space="preserve">m neschopnosti </w:t>
      </w:r>
      <w:r>
        <w:t>bylo Zemědělství, lesnictví a rybářství (58,3</w:t>
      </w:r>
      <w:r w:rsidR="005A0510">
        <w:t> </w:t>
      </w:r>
      <w:r>
        <w:t>dne), Stavebnictví (55 dnů)</w:t>
      </w:r>
      <w:r w:rsidR="003D5B71">
        <w:t xml:space="preserve"> a Ubytování, stravování a pohostinství (54,6 dne). </w:t>
      </w:r>
      <w:r w:rsidR="003D5B71" w:rsidRPr="008C5C6B">
        <w:t xml:space="preserve">Dlouhodobější pracovní neschopností se tedy v převážné míře vyznačují odvětví se sezónní výrobou či odvětví vysoce riziková. </w:t>
      </w:r>
      <w:r w:rsidR="003D5B71">
        <w:t>Poloviční doba (26,4 dne) představovala průměr</w:t>
      </w:r>
      <w:r w:rsidR="00B75D15">
        <w:t xml:space="preserve"> za</w:t>
      </w:r>
      <w:r w:rsidR="003D5B71">
        <w:t> odvětví Informační a komunikační činnosti, což znamenalo zcela nejnižší hodnotu v rámci národního hospodářství. Dalšími odvětvími s kratší dobou trvání pracovní neschopnosti byly oblasti Vzdělávání (30,4 dne) a Peněžnictví a pojišťovnictví (33,1 dne). Podrobněji viz graf 2.7 a tab. 2.5.</w:t>
      </w:r>
    </w:p>
    <w:p w14:paraId="1101DC96" w14:textId="3ADAACAE" w:rsidR="00170240" w:rsidRDefault="00170240" w:rsidP="005A0510">
      <w:pPr>
        <w:spacing w:after="120"/>
        <w:jc w:val="both"/>
        <w:rPr>
          <w:b/>
        </w:rPr>
      </w:pPr>
      <w:r>
        <w:rPr>
          <w:b/>
        </w:rPr>
        <w:lastRenderedPageBreak/>
        <w:t xml:space="preserve">Tab. 2.5: </w:t>
      </w:r>
      <w:r w:rsidRPr="00170240">
        <w:rPr>
          <w:b/>
        </w:rPr>
        <w:t>Průměrná délka trvání případu dočasné pracovní neschopnosti dle odvětví ekonomické činnosti</w:t>
      </w:r>
      <w:r>
        <w:rPr>
          <w:b/>
        </w:rPr>
        <w:t xml:space="preserve"> (sekcí CZ-NACE)</w:t>
      </w:r>
      <w:r w:rsidRPr="00170240">
        <w:rPr>
          <w:b/>
        </w:rPr>
        <w:t xml:space="preserve"> v 1. pol. 2010 – 1.</w:t>
      </w:r>
      <w:r>
        <w:rPr>
          <w:b/>
        </w:rPr>
        <w:t xml:space="preserve"> </w:t>
      </w:r>
      <w:r w:rsidRPr="00170240">
        <w:rPr>
          <w:b/>
        </w:rPr>
        <w:t>pol. 2019</w:t>
      </w:r>
    </w:p>
    <w:tbl>
      <w:tblPr>
        <w:tblW w:w="9605" w:type="dxa"/>
        <w:tblCellMar>
          <w:left w:w="70" w:type="dxa"/>
          <w:right w:w="70" w:type="dxa"/>
        </w:tblCellMar>
        <w:tblLook w:val="04A0" w:firstRow="1" w:lastRow="0" w:firstColumn="1" w:lastColumn="0" w:noHBand="0" w:noVBand="1"/>
      </w:tblPr>
      <w:tblGrid>
        <w:gridCol w:w="3237"/>
        <w:gridCol w:w="630"/>
        <w:gridCol w:w="630"/>
        <w:gridCol w:w="630"/>
        <w:gridCol w:w="630"/>
        <w:gridCol w:w="662"/>
        <w:gridCol w:w="630"/>
        <w:gridCol w:w="662"/>
        <w:gridCol w:w="630"/>
        <w:gridCol w:w="630"/>
        <w:gridCol w:w="634"/>
      </w:tblGrid>
      <w:tr w:rsidR="00170240" w:rsidRPr="00170240" w14:paraId="79E20EC5" w14:textId="77777777" w:rsidTr="00355A67">
        <w:trPr>
          <w:trHeight w:val="306"/>
        </w:trPr>
        <w:tc>
          <w:tcPr>
            <w:tcW w:w="3237" w:type="dxa"/>
            <w:vMerge w:val="restart"/>
            <w:tcBorders>
              <w:top w:val="single" w:sz="4" w:space="0" w:color="auto"/>
              <w:left w:val="nil"/>
              <w:bottom w:val="single" w:sz="4" w:space="0" w:color="000000"/>
              <w:right w:val="single" w:sz="4" w:space="0" w:color="auto"/>
            </w:tcBorders>
            <w:shd w:val="clear" w:color="000000" w:fill="F2DCDB"/>
            <w:vAlign w:val="center"/>
            <w:hideMark/>
          </w:tcPr>
          <w:p w14:paraId="06C521FD" w14:textId="77777777" w:rsidR="00170240" w:rsidRPr="00170240" w:rsidRDefault="00170240" w:rsidP="00170240">
            <w:pPr>
              <w:spacing w:after="0" w:line="240" w:lineRule="auto"/>
              <w:jc w:val="center"/>
              <w:rPr>
                <w:rFonts w:ascii="Arial CE" w:hAnsi="Arial CE" w:cs="Arial CE"/>
                <w:sz w:val="16"/>
                <w:szCs w:val="16"/>
              </w:rPr>
            </w:pPr>
            <w:r w:rsidRPr="00170240">
              <w:rPr>
                <w:rFonts w:ascii="Arial CE" w:hAnsi="Arial CE" w:cs="Arial CE"/>
                <w:sz w:val="16"/>
                <w:szCs w:val="16"/>
              </w:rPr>
              <w:t>Sekce CZ-NACE</w:t>
            </w:r>
          </w:p>
        </w:tc>
        <w:tc>
          <w:tcPr>
            <w:tcW w:w="6368" w:type="dxa"/>
            <w:gridSpan w:val="10"/>
            <w:tcBorders>
              <w:top w:val="single" w:sz="4" w:space="0" w:color="auto"/>
              <w:left w:val="single" w:sz="4" w:space="0" w:color="auto"/>
              <w:bottom w:val="single" w:sz="4" w:space="0" w:color="auto"/>
              <w:right w:val="nil"/>
            </w:tcBorders>
            <w:shd w:val="clear" w:color="000000" w:fill="F2DCDB"/>
            <w:vAlign w:val="center"/>
            <w:hideMark/>
          </w:tcPr>
          <w:p w14:paraId="53B5A0AE" w14:textId="1C2CC5EB" w:rsidR="00170240" w:rsidRPr="00170240" w:rsidRDefault="00B75D15" w:rsidP="00B75D15">
            <w:pPr>
              <w:spacing w:after="0" w:line="240" w:lineRule="auto"/>
              <w:jc w:val="center"/>
              <w:rPr>
                <w:rFonts w:ascii="Arial CE" w:hAnsi="Arial CE" w:cs="Arial CE"/>
                <w:sz w:val="16"/>
                <w:szCs w:val="16"/>
              </w:rPr>
            </w:pPr>
            <w:r>
              <w:rPr>
                <w:rFonts w:ascii="Arial CE" w:hAnsi="Arial CE" w:cs="Arial CE"/>
                <w:sz w:val="16"/>
                <w:szCs w:val="16"/>
              </w:rPr>
              <w:t xml:space="preserve">Průměrná délka trvání </w:t>
            </w:r>
            <w:r w:rsidR="00170240" w:rsidRPr="00170240">
              <w:rPr>
                <w:rFonts w:ascii="Arial CE" w:hAnsi="Arial CE" w:cs="Arial CE"/>
                <w:sz w:val="16"/>
                <w:szCs w:val="16"/>
              </w:rPr>
              <w:t>případu DPN (dny)</w:t>
            </w:r>
          </w:p>
        </w:tc>
      </w:tr>
      <w:tr w:rsidR="00170240" w:rsidRPr="00170240" w14:paraId="6EA1027C" w14:textId="77777777" w:rsidTr="00B3736B">
        <w:trPr>
          <w:trHeight w:val="460"/>
        </w:trPr>
        <w:tc>
          <w:tcPr>
            <w:tcW w:w="3237" w:type="dxa"/>
            <w:vMerge/>
            <w:tcBorders>
              <w:top w:val="single" w:sz="4" w:space="0" w:color="auto"/>
              <w:left w:val="nil"/>
              <w:bottom w:val="single" w:sz="4" w:space="0" w:color="000000"/>
              <w:right w:val="single" w:sz="4" w:space="0" w:color="auto"/>
            </w:tcBorders>
            <w:vAlign w:val="center"/>
            <w:hideMark/>
          </w:tcPr>
          <w:p w14:paraId="705D9A6B" w14:textId="77777777" w:rsidR="00170240" w:rsidRPr="00170240" w:rsidRDefault="00170240" w:rsidP="00170240">
            <w:pPr>
              <w:spacing w:after="0" w:line="240" w:lineRule="auto"/>
              <w:rPr>
                <w:rFonts w:ascii="Arial CE" w:hAnsi="Arial CE" w:cs="Arial CE"/>
                <w:sz w:val="16"/>
                <w:szCs w:val="16"/>
              </w:rPr>
            </w:pPr>
          </w:p>
        </w:tc>
        <w:tc>
          <w:tcPr>
            <w:tcW w:w="630" w:type="dxa"/>
            <w:tcBorders>
              <w:top w:val="nil"/>
              <w:left w:val="single" w:sz="4" w:space="0" w:color="auto"/>
              <w:bottom w:val="single" w:sz="4" w:space="0" w:color="auto"/>
              <w:right w:val="single" w:sz="4" w:space="0" w:color="auto"/>
            </w:tcBorders>
            <w:shd w:val="clear" w:color="000000" w:fill="F2DCDB"/>
            <w:vAlign w:val="center"/>
            <w:hideMark/>
          </w:tcPr>
          <w:p w14:paraId="51F9E8A4" w14:textId="77777777" w:rsidR="00170240" w:rsidRPr="00170240" w:rsidRDefault="00170240" w:rsidP="0027197F">
            <w:pPr>
              <w:spacing w:after="0" w:line="240" w:lineRule="auto"/>
              <w:jc w:val="center"/>
              <w:rPr>
                <w:rFonts w:cs="Arial"/>
                <w:sz w:val="16"/>
                <w:szCs w:val="16"/>
              </w:rPr>
            </w:pPr>
            <w:r w:rsidRPr="00170240">
              <w:rPr>
                <w:rFonts w:cs="Arial"/>
                <w:sz w:val="16"/>
                <w:szCs w:val="16"/>
              </w:rPr>
              <w:t xml:space="preserve">1. pol. </w:t>
            </w:r>
            <w:r w:rsidRPr="00170240">
              <w:rPr>
                <w:rFonts w:cs="Arial"/>
                <w:sz w:val="16"/>
                <w:szCs w:val="16"/>
              </w:rPr>
              <w:br/>
              <w:t>2010</w:t>
            </w:r>
          </w:p>
        </w:tc>
        <w:tc>
          <w:tcPr>
            <w:tcW w:w="630" w:type="dxa"/>
            <w:tcBorders>
              <w:top w:val="nil"/>
              <w:left w:val="nil"/>
              <w:bottom w:val="single" w:sz="4" w:space="0" w:color="auto"/>
              <w:right w:val="single" w:sz="4" w:space="0" w:color="auto"/>
            </w:tcBorders>
            <w:shd w:val="clear" w:color="000000" w:fill="F2DCDB"/>
            <w:vAlign w:val="center"/>
            <w:hideMark/>
          </w:tcPr>
          <w:p w14:paraId="7B5EB976" w14:textId="77777777" w:rsidR="00170240" w:rsidRPr="00170240" w:rsidRDefault="00170240" w:rsidP="0027197F">
            <w:pPr>
              <w:spacing w:after="0" w:line="240" w:lineRule="auto"/>
              <w:jc w:val="center"/>
              <w:rPr>
                <w:rFonts w:cs="Arial"/>
                <w:sz w:val="16"/>
                <w:szCs w:val="16"/>
              </w:rPr>
            </w:pPr>
            <w:r w:rsidRPr="00170240">
              <w:rPr>
                <w:rFonts w:cs="Arial"/>
                <w:sz w:val="16"/>
                <w:szCs w:val="16"/>
              </w:rPr>
              <w:t xml:space="preserve">1. pol. </w:t>
            </w:r>
            <w:r w:rsidRPr="00170240">
              <w:rPr>
                <w:rFonts w:cs="Arial"/>
                <w:sz w:val="16"/>
                <w:szCs w:val="16"/>
              </w:rPr>
              <w:br/>
              <w:t>2011</w:t>
            </w:r>
          </w:p>
        </w:tc>
        <w:tc>
          <w:tcPr>
            <w:tcW w:w="630" w:type="dxa"/>
            <w:tcBorders>
              <w:top w:val="nil"/>
              <w:left w:val="nil"/>
              <w:bottom w:val="single" w:sz="4" w:space="0" w:color="auto"/>
              <w:right w:val="single" w:sz="4" w:space="0" w:color="auto"/>
            </w:tcBorders>
            <w:shd w:val="clear" w:color="000000" w:fill="F2DCDB"/>
            <w:vAlign w:val="center"/>
            <w:hideMark/>
          </w:tcPr>
          <w:p w14:paraId="7BFDD48E" w14:textId="77777777" w:rsidR="00170240" w:rsidRPr="00170240" w:rsidRDefault="00170240" w:rsidP="0027197F">
            <w:pPr>
              <w:spacing w:after="0" w:line="240" w:lineRule="auto"/>
              <w:jc w:val="center"/>
              <w:rPr>
                <w:rFonts w:cs="Arial"/>
                <w:sz w:val="16"/>
                <w:szCs w:val="16"/>
              </w:rPr>
            </w:pPr>
            <w:r w:rsidRPr="00170240">
              <w:rPr>
                <w:rFonts w:cs="Arial"/>
                <w:sz w:val="16"/>
                <w:szCs w:val="16"/>
              </w:rPr>
              <w:t xml:space="preserve">1. pol. </w:t>
            </w:r>
            <w:r w:rsidRPr="00170240">
              <w:rPr>
                <w:rFonts w:cs="Arial"/>
                <w:sz w:val="16"/>
                <w:szCs w:val="16"/>
              </w:rPr>
              <w:br/>
              <w:t>2012</w:t>
            </w:r>
          </w:p>
        </w:tc>
        <w:tc>
          <w:tcPr>
            <w:tcW w:w="630" w:type="dxa"/>
            <w:tcBorders>
              <w:top w:val="nil"/>
              <w:left w:val="nil"/>
              <w:bottom w:val="single" w:sz="4" w:space="0" w:color="auto"/>
              <w:right w:val="single" w:sz="4" w:space="0" w:color="auto"/>
            </w:tcBorders>
            <w:shd w:val="clear" w:color="000000" w:fill="F2DCDB"/>
            <w:vAlign w:val="center"/>
            <w:hideMark/>
          </w:tcPr>
          <w:p w14:paraId="53D052FB" w14:textId="77777777" w:rsidR="00170240" w:rsidRPr="00170240" w:rsidRDefault="00170240" w:rsidP="0027197F">
            <w:pPr>
              <w:spacing w:after="0" w:line="240" w:lineRule="auto"/>
              <w:jc w:val="center"/>
              <w:rPr>
                <w:rFonts w:cs="Arial"/>
                <w:sz w:val="16"/>
                <w:szCs w:val="16"/>
              </w:rPr>
            </w:pPr>
            <w:r w:rsidRPr="00170240">
              <w:rPr>
                <w:rFonts w:cs="Arial"/>
                <w:sz w:val="16"/>
                <w:szCs w:val="16"/>
              </w:rPr>
              <w:t xml:space="preserve">1. pol. </w:t>
            </w:r>
            <w:r w:rsidRPr="00170240">
              <w:rPr>
                <w:rFonts w:cs="Arial"/>
                <w:sz w:val="16"/>
                <w:szCs w:val="16"/>
              </w:rPr>
              <w:br/>
              <w:t>2013</w:t>
            </w:r>
          </w:p>
        </w:tc>
        <w:tc>
          <w:tcPr>
            <w:tcW w:w="662" w:type="dxa"/>
            <w:tcBorders>
              <w:top w:val="nil"/>
              <w:left w:val="nil"/>
              <w:bottom w:val="single" w:sz="4" w:space="0" w:color="auto"/>
              <w:right w:val="single" w:sz="4" w:space="0" w:color="auto"/>
            </w:tcBorders>
            <w:shd w:val="clear" w:color="000000" w:fill="F2DCDB"/>
            <w:vAlign w:val="center"/>
            <w:hideMark/>
          </w:tcPr>
          <w:p w14:paraId="7A0C49B6" w14:textId="77777777" w:rsidR="00170240" w:rsidRPr="00170240" w:rsidRDefault="00170240" w:rsidP="0027197F">
            <w:pPr>
              <w:spacing w:after="0" w:line="240" w:lineRule="auto"/>
              <w:jc w:val="center"/>
              <w:rPr>
                <w:rFonts w:cs="Arial"/>
                <w:sz w:val="16"/>
                <w:szCs w:val="16"/>
              </w:rPr>
            </w:pPr>
            <w:r w:rsidRPr="00170240">
              <w:rPr>
                <w:rFonts w:cs="Arial"/>
                <w:sz w:val="16"/>
                <w:szCs w:val="16"/>
              </w:rPr>
              <w:t xml:space="preserve">1. pol. </w:t>
            </w:r>
            <w:r w:rsidRPr="00170240">
              <w:rPr>
                <w:rFonts w:cs="Arial"/>
                <w:sz w:val="16"/>
                <w:szCs w:val="16"/>
              </w:rPr>
              <w:br/>
              <w:t>2014</w:t>
            </w:r>
          </w:p>
        </w:tc>
        <w:tc>
          <w:tcPr>
            <w:tcW w:w="630" w:type="dxa"/>
            <w:tcBorders>
              <w:top w:val="nil"/>
              <w:left w:val="nil"/>
              <w:bottom w:val="single" w:sz="4" w:space="0" w:color="auto"/>
              <w:right w:val="single" w:sz="4" w:space="0" w:color="auto"/>
            </w:tcBorders>
            <w:shd w:val="clear" w:color="000000" w:fill="F2DCDB"/>
            <w:vAlign w:val="center"/>
            <w:hideMark/>
          </w:tcPr>
          <w:p w14:paraId="4474C5DA" w14:textId="77777777" w:rsidR="00170240" w:rsidRPr="00170240" w:rsidRDefault="00170240" w:rsidP="0027197F">
            <w:pPr>
              <w:spacing w:after="0" w:line="240" w:lineRule="auto"/>
              <w:jc w:val="center"/>
              <w:rPr>
                <w:rFonts w:cs="Arial"/>
                <w:sz w:val="16"/>
                <w:szCs w:val="16"/>
              </w:rPr>
            </w:pPr>
            <w:r w:rsidRPr="00170240">
              <w:rPr>
                <w:rFonts w:cs="Arial"/>
                <w:sz w:val="16"/>
                <w:szCs w:val="16"/>
              </w:rPr>
              <w:t xml:space="preserve">1. pol. </w:t>
            </w:r>
            <w:r w:rsidRPr="00170240">
              <w:rPr>
                <w:rFonts w:cs="Arial"/>
                <w:sz w:val="16"/>
                <w:szCs w:val="16"/>
              </w:rPr>
              <w:br/>
              <w:t>2015</w:t>
            </w:r>
          </w:p>
        </w:tc>
        <w:tc>
          <w:tcPr>
            <w:tcW w:w="662" w:type="dxa"/>
            <w:tcBorders>
              <w:top w:val="nil"/>
              <w:left w:val="nil"/>
              <w:bottom w:val="single" w:sz="4" w:space="0" w:color="auto"/>
              <w:right w:val="single" w:sz="4" w:space="0" w:color="auto"/>
            </w:tcBorders>
            <w:shd w:val="clear" w:color="000000" w:fill="F2DCDB"/>
            <w:vAlign w:val="center"/>
            <w:hideMark/>
          </w:tcPr>
          <w:p w14:paraId="4ED7040D" w14:textId="77777777" w:rsidR="00170240" w:rsidRPr="00170240" w:rsidRDefault="00170240" w:rsidP="0027197F">
            <w:pPr>
              <w:spacing w:after="0" w:line="240" w:lineRule="auto"/>
              <w:jc w:val="center"/>
              <w:rPr>
                <w:rFonts w:cs="Arial"/>
                <w:sz w:val="16"/>
                <w:szCs w:val="16"/>
              </w:rPr>
            </w:pPr>
            <w:r w:rsidRPr="00170240">
              <w:rPr>
                <w:rFonts w:cs="Arial"/>
                <w:sz w:val="16"/>
                <w:szCs w:val="16"/>
              </w:rPr>
              <w:t xml:space="preserve">1. pol. </w:t>
            </w:r>
            <w:r w:rsidRPr="00170240">
              <w:rPr>
                <w:rFonts w:cs="Arial"/>
                <w:sz w:val="16"/>
                <w:szCs w:val="16"/>
              </w:rPr>
              <w:br/>
              <w:t>2016</w:t>
            </w:r>
          </w:p>
        </w:tc>
        <w:tc>
          <w:tcPr>
            <w:tcW w:w="630" w:type="dxa"/>
            <w:tcBorders>
              <w:top w:val="nil"/>
              <w:left w:val="nil"/>
              <w:bottom w:val="single" w:sz="4" w:space="0" w:color="auto"/>
              <w:right w:val="single" w:sz="4" w:space="0" w:color="auto"/>
            </w:tcBorders>
            <w:shd w:val="clear" w:color="000000" w:fill="F2DCDB"/>
            <w:vAlign w:val="center"/>
            <w:hideMark/>
          </w:tcPr>
          <w:p w14:paraId="29C347FB" w14:textId="77777777" w:rsidR="00170240" w:rsidRPr="00170240" w:rsidRDefault="00170240" w:rsidP="0027197F">
            <w:pPr>
              <w:spacing w:after="0" w:line="240" w:lineRule="auto"/>
              <w:jc w:val="center"/>
              <w:rPr>
                <w:rFonts w:cs="Arial"/>
                <w:sz w:val="16"/>
                <w:szCs w:val="16"/>
              </w:rPr>
            </w:pPr>
            <w:r w:rsidRPr="00170240">
              <w:rPr>
                <w:rFonts w:cs="Arial"/>
                <w:sz w:val="16"/>
                <w:szCs w:val="16"/>
              </w:rPr>
              <w:t xml:space="preserve">1. pol. </w:t>
            </w:r>
            <w:r w:rsidRPr="00170240">
              <w:rPr>
                <w:rFonts w:cs="Arial"/>
                <w:sz w:val="16"/>
                <w:szCs w:val="16"/>
              </w:rPr>
              <w:br/>
              <w:t>2017</w:t>
            </w:r>
          </w:p>
        </w:tc>
        <w:tc>
          <w:tcPr>
            <w:tcW w:w="630" w:type="dxa"/>
            <w:tcBorders>
              <w:top w:val="nil"/>
              <w:left w:val="nil"/>
              <w:bottom w:val="single" w:sz="4" w:space="0" w:color="auto"/>
              <w:right w:val="nil"/>
            </w:tcBorders>
            <w:shd w:val="clear" w:color="000000" w:fill="F2DCDB"/>
            <w:vAlign w:val="center"/>
            <w:hideMark/>
          </w:tcPr>
          <w:p w14:paraId="43AD392E" w14:textId="77777777" w:rsidR="00170240" w:rsidRPr="00170240" w:rsidRDefault="00170240" w:rsidP="0027197F">
            <w:pPr>
              <w:spacing w:after="0" w:line="240" w:lineRule="auto"/>
              <w:jc w:val="center"/>
              <w:rPr>
                <w:rFonts w:cs="Arial"/>
                <w:sz w:val="16"/>
                <w:szCs w:val="16"/>
              </w:rPr>
            </w:pPr>
            <w:r w:rsidRPr="00170240">
              <w:rPr>
                <w:rFonts w:cs="Arial"/>
                <w:sz w:val="16"/>
                <w:szCs w:val="16"/>
              </w:rPr>
              <w:t xml:space="preserve">1. pol. </w:t>
            </w:r>
            <w:r w:rsidRPr="00170240">
              <w:rPr>
                <w:rFonts w:cs="Arial"/>
                <w:sz w:val="16"/>
                <w:szCs w:val="16"/>
              </w:rPr>
              <w:br/>
              <w:t>2018</w:t>
            </w:r>
          </w:p>
        </w:tc>
        <w:tc>
          <w:tcPr>
            <w:tcW w:w="634" w:type="dxa"/>
            <w:tcBorders>
              <w:top w:val="nil"/>
              <w:left w:val="single" w:sz="4" w:space="0" w:color="auto"/>
              <w:bottom w:val="single" w:sz="4" w:space="0" w:color="auto"/>
              <w:right w:val="nil"/>
            </w:tcBorders>
            <w:shd w:val="clear" w:color="000000" w:fill="F2DCDB"/>
            <w:vAlign w:val="center"/>
            <w:hideMark/>
          </w:tcPr>
          <w:p w14:paraId="6777811C" w14:textId="77777777" w:rsidR="00170240" w:rsidRPr="00170240" w:rsidRDefault="00170240" w:rsidP="0027197F">
            <w:pPr>
              <w:spacing w:after="0" w:line="240" w:lineRule="auto"/>
              <w:jc w:val="center"/>
              <w:rPr>
                <w:rFonts w:cs="Arial"/>
                <w:sz w:val="16"/>
                <w:szCs w:val="16"/>
              </w:rPr>
            </w:pPr>
            <w:r w:rsidRPr="00170240">
              <w:rPr>
                <w:rFonts w:cs="Arial"/>
                <w:sz w:val="16"/>
                <w:szCs w:val="16"/>
              </w:rPr>
              <w:t>1. pol. 2019</w:t>
            </w:r>
          </w:p>
        </w:tc>
      </w:tr>
      <w:tr w:rsidR="009A4127" w:rsidRPr="00170240" w14:paraId="555E76B0" w14:textId="77777777" w:rsidTr="00B3736B">
        <w:trPr>
          <w:trHeight w:val="291"/>
        </w:trPr>
        <w:tc>
          <w:tcPr>
            <w:tcW w:w="3237" w:type="dxa"/>
            <w:tcBorders>
              <w:top w:val="nil"/>
              <w:left w:val="nil"/>
              <w:bottom w:val="nil"/>
              <w:right w:val="nil"/>
            </w:tcBorders>
            <w:shd w:val="clear" w:color="auto" w:fill="auto"/>
            <w:vAlign w:val="center"/>
            <w:hideMark/>
          </w:tcPr>
          <w:p w14:paraId="31E93DCB" w14:textId="3826BA4B" w:rsidR="009A4127" w:rsidRPr="00170240" w:rsidRDefault="009A4127" w:rsidP="009A4127">
            <w:pPr>
              <w:spacing w:after="0" w:line="240" w:lineRule="auto"/>
              <w:rPr>
                <w:rFonts w:ascii="Arial CE" w:hAnsi="Arial CE" w:cs="Arial CE"/>
                <w:b/>
                <w:bCs/>
                <w:sz w:val="16"/>
                <w:szCs w:val="16"/>
              </w:rPr>
            </w:pPr>
            <w:r>
              <w:rPr>
                <w:rFonts w:ascii="Arial CE" w:hAnsi="Arial CE" w:cs="Arial CE"/>
                <w:b/>
                <w:bCs/>
                <w:sz w:val="16"/>
                <w:szCs w:val="16"/>
              </w:rPr>
              <w:t>Celkem</w:t>
            </w:r>
          </w:p>
        </w:tc>
        <w:tc>
          <w:tcPr>
            <w:tcW w:w="630" w:type="dxa"/>
            <w:tcBorders>
              <w:top w:val="nil"/>
              <w:left w:val="nil"/>
              <w:bottom w:val="nil"/>
              <w:right w:val="nil"/>
            </w:tcBorders>
            <w:shd w:val="clear" w:color="auto" w:fill="auto"/>
            <w:noWrap/>
            <w:vAlign w:val="center"/>
            <w:hideMark/>
          </w:tcPr>
          <w:p w14:paraId="5BF45A34" w14:textId="77777777" w:rsidR="009A4127" w:rsidRPr="00170240" w:rsidRDefault="009A4127" w:rsidP="009A4127">
            <w:pPr>
              <w:spacing w:after="0" w:line="240" w:lineRule="auto"/>
              <w:jc w:val="right"/>
              <w:rPr>
                <w:rFonts w:cs="Arial"/>
                <w:b/>
                <w:bCs/>
                <w:sz w:val="16"/>
                <w:szCs w:val="16"/>
              </w:rPr>
            </w:pPr>
            <w:r w:rsidRPr="00170240">
              <w:rPr>
                <w:rFonts w:cs="Arial"/>
                <w:b/>
                <w:bCs/>
                <w:sz w:val="16"/>
                <w:szCs w:val="16"/>
              </w:rPr>
              <w:t>44,57</w:t>
            </w:r>
          </w:p>
        </w:tc>
        <w:tc>
          <w:tcPr>
            <w:tcW w:w="630" w:type="dxa"/>
            <w:tcBorders>
              <w:top w:val="nil"/>
              <w:left w:val="nil"/>
              <w:bottom w:val="nil"/>
              <w:right w:val="nil"/>
            </w:tcBorders>
            <w:shd w:val="clear" w:color="auto" w:fill="auto"/>
            <w:noWrap/>
            <w:vAlign w:val="center"/>
            <w:hideMark/>
          </w:tcPr>
          <w:p w14:paraId="48356557" w14:textId="77777777" w:rsidR="009A4127" w:rsidRPr="00170240" w:rsidRDefault="009A4127" w:rsidP="009A4127">
            <w:pPr>
              <w:spacing w:after="0" w:line="240" w:lineRule="auto"/>
              <w:jc w:val="right"/>
              <w:rPr>
                <w:rFonts w:cs="Arial"/>
                <w:b/>
                <w:bCs/>
                <w:sz w:val="16"/>
                <w:szCs w:val="16"/>
              </w:rPr>
            </w:pPr>
            <w:r w:rsidRPr="00170240">
              <w:rPr>
                <w:rFonts w:cs="Arial"/>
                <w:b/>
                <w:bCs/>
                <w:sz w:val="16"/>
                <w:szCs w:val="16"/>
              </w:rPr>
              <w:t>42,77</w:t>
            </w:r>
          </w:p>
        </w:tc>
        <w:tc>
          <w:tcPr>
            <w:tcW w:w="630" w:type="dxa"/>
            <w:tcBorders>
              <w:top w:val="nil"/>
              <w:left w:val="nil"/>
              <w:bottom w:val="nil"/>
              <w:right w:val="nil"/>
            </w:tcBorders>
            <w:shd w:val="clear" w:color="auto" w:fill="auto"/>
            <w:noWrap/>
            <w:vAlign w:val="center"/>
            <w:hideMark/>
          </w:tcPr>
          <w:p w14:paraId="437D9C63" w14:textId="77777777" w:rsidR="009A4127" w:rsidRPr="00170240" w:rsidRDefault="009A4127" w:rsidP="009A4127">
            <w:pPr>
              <w:spacing w:after="0" w:line="240" w:lineRule="auto"/>
              <w:jc w:val="right"/>
              <w:rPr>
                <w:rFonts w:cs="Arial"/>
                <w:b/>
                <w:bCs/>
                <w:sz w:val="16"/>
                <w:szCs w:val="16"/>
              </w:rPr>
            </w:pPr>
            <w:r w:rsidRPr="00170240">
              <w:rPr>
                <w:rFonts w:cs="Arial"/>
                <w:b/>
                <w:bCs/>
                <w:sz w:val="16"/>
                <w:szCs w:val="16"/>
              </w:rPr>
              <w:t>47,70</w:t>
            </w:r>
          </w:p>
        </w:tc>
        <w:tc>
          <w:tcPr>
            <w:tcW w:w="630" w:type="dxa"/>
            <w:tcBorders>
              <w:top w:val="nil"/>
              <w:left w:val="nil"/>
              <w:bottom w:val="nil"/>
              <w:right w:val="nil"/>
            </w:tcBorders>
            <w:shd w:val="clear" w:color="auto" w:fill="auto"/>
            <w:noWrap/>
            <w:vAlign w:val="center"/>
            <w:hideMark/>
          </w:tcPr>
          <w:p w14:paraId="44E55D61" w14:textId="77777777" w:rsidR="009A4127" w:rsidRPr="00170240" w:rsidRDefault="009A4127" w:rsidP="009A4127">
            <w:pPr>
              <w:spacing w:after="0" w:line="240" w:lineRule="auto"/>
              <w:jc w:val="right"/>
              <w:rPr>
                <w:rFonts w:cs="Arial"/>
                <w:b/>
                <w:bCs/>
                <w:sz w:val="16"/>
                <w:szCs w:val="16"/>
              </w:rPr>
            </w:pPr>
            <w:r w:rsidRPr="00170240">
              <w:rPr>
                <w:rFonts w:cs="Arial"/>
                <w:b/>
                <w:bCs/>
                <w:sz w:val="16"/>
                <w:szCs w:val="16"/>
              </w:rPr>
              <w:t>42,24</w:t>
            </w:r>
          </w:p>
        </w:tc>
        <w:tc>
          <w:tcPr>
            <w:tcW w:w="662" w:type="dxa"/>
            <w:tcBorders>
              <w:top w:val="nil"/>
              <w:left w:val="nil"/>
              <w:bottom w:val="nil"/>
              <w:right w:val="nil"/>
            </w:tcBorders>
            <w:shd w:val="clear" w:color="auto" w:fill="auto"/>
            <w:noWrap/>
            <w:vAlign w:val="center"/>
            <w:hideMark/>
          </w:tcPr>
          <w:p w14:paraId="2E3C1CCB" w14:textId="77777777" w:rsidR="009A4127" w:rsidRPr="00170240" w:rsidRDefault="009A4127" w:rsidP="009A4127">
            <w:pPr>
              <w:spacing w:after="0" w:line="240" w:lineRule="auto"/>
              <w:jc w:val="right"/>
              <w:rPr>
                <w:rFonts w:cs="Arial"/>
                <w:b/>
                <w:bCs/>
                <w:sz w:val="16"/>
                <w:szCs w:val="16"/>
              </w:rPr>
            </w:pPr>
            <w:r w:rsidRPr="00170240">
              <w:rPr>
                <w:rFonts w:cs="Arial"/>
                <w:b/>
                <w:bCs/>
                <w:sz w:val="16"/>
                <w:szCs w:val="16"/>
              </w:rPr>
              <w:t>45,94</w:t>
            </w:r>
          </w:p>
        </w:tc>
        <w:tc>
          <w:tcPr>
            <w:tcW w:w="630" w:type="dxa"/>
            <w:tcBorders>
              <w:top w:val="nil"/>
              <w:left w:val="nil"/>
              <w:bottom w:val="nil"/>
              <w:right w:val="nil"/>
            </w:tcBorders>
            <w:shd w:val="clear" w:color="auto" w:fill="auto"/>
            <w:noWrap/>
            <w:vAlign w:val="center"/>
            <w:hideMark/>
          </w:tcPr>
          <w:p w14:paraId="53296752" w14:textId="0F39FB76" w:rsidR="009A4127" w:rsidRPr="00170240" w:rsidRDefault="009A4127" w:rsidP="009A4127">
            <w:pPr>
              <w:spacing w:after="0" w:line="240" w:lineRule="auto"/>
              <w:jc w:val="right"/>
              <w:rPr>
                <w:rFonts w:cs="Arial"/>
                <w:b/>
                <w:bCs/>
                <w:sz w:val="16"/>
                <w:szCs w:val="16"/>
              </w:rPr>
            </w:pPr>
            <w:r>
              <w:rPr>
                <w:rFonts w:cs="Arial"/>
                <w:b/>
                <w:bCs/>
                <w:sz w:val="16"/>
                <w:szCs w:val="16"/>
              </w:rPr>
              <w:t>40,11</w:t>
            </w:r>
          </w:p>
        </w:tc>
        <w:tc>
          <w:tcPr>
            <w:tcW w:w="662" w:type="dxa"/>
            <w:tcBorders>
              <w:top w:val="nil"/>
              <w:left w:val="nil"/>
              <w:bottom w:val="nil"/>
              <w:right w:val="nil"/>
            </w:tcBorders>
            <w:shd w:val="clear" w:color="auto" w:fill="auto"/>
            <w:noWrap/>
            <w:vAlign w:val="center"/>
            <w:hideMark/>
          </w:tcPr>
          <w:p w14:paraId="766D8AE1" w14:textId="77777777" w:rsidR="009A4127" w:rsidRPr="00170240" w:rsidRDefault="009A4127" w:rsidP="009A4127">
            <w:pPr>
              <w:spacing w:after="0" w:line="240" w:lineRule="auto"/>
              <w:jc w:val="right"/>
              <w:rPr>
                <w:rFonts w:cs="Arial"/>
                <w:b/>
                <w:bCs/>
                <w:color w:val="000000"/>
                <w:sz w:val="16"/>
                <w:szCs w:val="16"/>
              </w:rPr>
            </w:pPr>
            <w:r w:rsidRPr="00170240">
              <w:rPr>
                <w:rFonts w:cs="Arial"/>
                <w:b/>
                <w:bCs/>
                <w:color w:val="000000"/>
                <w:sz w:val="16"/>
                <w:szCs w:val="16"/>
              </w:rPr>
              <w:t>41,97</w:t>
            </w:r>
          </w:p>
        </w:tc>
        <w:tc>
          <w:tcPr>
            <w:tcW w:w="630" w:type="dxa"/>
            <w:tcBorders>
              <w:top w:val="nil"/>
              <w:left w:val="nil"/>
              <w:bottom w:val="nil"/>
              <w:right w:val="nil"/>
            </w:tcBorders>
            <w:shd w:val="clear" w:color="auto" w:fill="auto"/>
            <w:noWrap/>
            <w:vAlign w:val="center"/>
            <w:hideMark/>
          </w:tcPr>
          <w:p w14:paraId="6375CEA0" w14:textId="77777777" w:rsidR="009A4127" w:rsidRPr="00170240" w:rsidRDefault="009A4127" w:rsidP="009A4127">
            <w:pPr>
              <w:spacing w:after="0" w:line="240" w:lineRule="auto"/>
              <w:jc w:val="right"/>
              <w:rPr>
                <w:rFonts w:cs="Arial"/>
                <w:b/>
                <w:bCs/>
                <w:color w:val="000000"/>
                <w:sz w:val="16"/>
                <w:szCs w:val="16"/>
              </w:rPr>
            </w:pPr>
            <w:r w:rsidRPr="00170240">
              <w:rPr>
                <w:rFonts w:cs="Arial"/>
                <w:b/>
                <w:bCs/>
                <w:color w:val="000000"/>
                <w:sz w:val="16"/>
                <w:szCs w:val="16"/>
              </w:rPr>
              <w:t>40,97</w:t>
            </w:r>
          </w:p>
        </w:tc>
        <w:tc>
          <w:tcPr>
            <w:tcW w:w="630" w:type="dxa"/>
            <w:tcBorders>
              <w:top w:val="nil"/>
              <w:left w:val="nil"/>
              <w:bottom w:val="nil"/>
              <w:right w:val="nil"/>
            </w:tcBorders>
            <w:shd w:val="clear" w:color="000000" w:fill="FFFFFF"/>
            <w:noWrap/>
            <w:vAlign w:val="center"/>
            <w:hideMark/>
          </w:tcPr>
          <w:p w14:paraId="3984B7C0" w14:textId="77777777" w:rsidR="009A4127" w:rsidRPr="00170240" w:rsidRDefault="009A4127" w:rsidP="009A4127">
            <w:pPr>
              <w:spacing w:after="0" w:line="240" w:lineRule="auto"/>
              <w:jc w:val="right"/>
              <w:rPr>
                <w:rFonts w:cs="Arial"/>
                <w:b/>
                <w:bCs/>
                <w:color w:val="000000"/>
                <w:sz w:val="16"/>
                <w:szCs w:val="16"/>
              </w:rPr>
            </w:pPr>
            <w:r w:rsidRPr="00170240">
              <w:rPr>
                <w:rFonts w:cs="Arial"/>
                <w:b/>
                <w:bCs/>
                <w:color w:val="000000"/>
                <w:sz w:val="16"/>
                <w:szCs w:val="16"/>
              </w:rPr>
              <w:t>39,05</w:t>
            </w:r>
          </w:p>
        </w:tc>
        <w:tc>
          <w:tcPr>
            <w:tcW w:w="634" w:type="dxa"/>
            <w:tcBorders>
              <w:top w:val="nil"/>
              <w:left w:val="nil"/>
              <w:bottom w:val="nil"/>
              <w:right w:val="nil"/>
            </w:tcBorders>
            <w:shd w:val="clear" w:color="auto" w:fill="auto"/>
            <w:noWrap/>
            <w:vAlign w:val="center"/>
            <w:hideMark/>
          </w:tcPr>
          <w:p w14:paraId="338A229C" w14:textId="77777777" w:rsidR="009A4127" w:rsidRPr="00170240" w:rsidRDefault="009A4127" w:rsidP="009A4127">
            <w:pPr>
              <w:spacing w:after="0" w:line="240" w:lineRule="auto"/>
              <w:jc w:val="right"/>
              <w:rPr>
                <w:rFonts w:cs="Arial"/>
                <w:b/>
                <w:bCs/>
                <w:color w:val="000000"/>
                <w:sz w:val="16"/>
                <w:szCs w:val="16"/>
              </w:rPr>
            </w:pPr>
            <w:r w:rsidRPr="00170240">
              <w:rPr>
                <w:rFonts w:cs="Arial"/>
                <w:b/>
                <w:bCs/>
                <w:color w:val="000000"/>
                <w:sz w:val="16"/>
                <w:szCs w:val="16"/>
              </w:rPr>
              <w:t>42,65</w:t>
            </w:r>
          </w:p>
        </w:tc>
      </w:tr>
      <w:tr w:rsidR="009A4127" w:rsidRPr="00170240" w14:paraId="3888D06A" w14:textId="77777777" w:rsidTr="00B3736B">
        <w:trPr>
          <w:trHeight w:val="291"/>
        </w:trPr>
        <w:tc>
          <w:tcPr>
            <w:tcW w:w="3237" w:type="dxa"/>
            <w:tcBorders>
              <w:top w:val="nil"/>
              <w:left w:val="nil"/>
              <w:bottom w:val="nil"/>
              <w:right w:val="nil"/>
            </w:tcBorders>
            <w:shd w:val="clear" w:color="auto" w:fill="auto"/>
            <w:vAlign w:val="center"/>
            <w:hideMark/>
          </w:tcPr>
          <w:p w14:paraId="23FC2ABC" w14:textId="77777777" w:rsidR="009A4127" w:rsidRPr="00170240" w:rsidRDefault="009A4127" w:rsidP="009A4127">
            <w:pPr>
              <w:spacing w:after="0" w:line="240" w:lineRule="auto"/>
              <w:ind w:firstLineChars="100" w:firstLine="160"/>
              <w:rPr>
                <w:rFonts w:ascii="Arial CE" w:hAnsi="Arial CE" w:cs="Arial CE"/>
                <w:sz w:val="16"/>
                <w:szCs w:val="16"/>
              </w:rPr>
            </w:pPr>
            <w:r w:rsidRPr="00170240">
              <w:rPr>
                <w:rFonts w:ascii="Arial CE" w:hAnsi="Arial CE" w:cs="Arial CE"/>
                <w:sz w:val="16"/>
                <w:szCs w:val="16"/>
              </w:rPr>
              <w:t>A – Zemědělství, lesnictví a rybářství</w:t>
            </w:r>
          </w:p>
        </w:tc>
        <w:tc>
          <w:tcPr>
            <w:tcW w:w="630" w:type="dxa"/>
            <w:tcBorders>
              <w:top w:val="nil"/>
              <w:left w:val="nil"/>
              <w:bottom w:val="nil"/>
              <w:right w:val="nil"/>
            </w:tcBorders>
            <w:shd w:val="clear" w:color="auto" w:fill="auto"/>
            <w:noWrap/>
            <w:vAlign w:val="center"/>
            <w:hideMark/>
          </w:tcPr>
          <w:p w14:paraId="1C003E3F" w14:textId="77777777" w:rsidR="009A4127" w:rsidRPr="00170240" w:rsidRDefault="009A4127" w:rsidP="009A4127">
            <w:pPr>
              <w:spacing w:after="0" w:line="240" w:lineRule="auto"/>
              <w:jc w:val="right"/>
              <w:rPr>
                <w:rFonts w:cs="Arial"/>
                <w:sz w:val="16"/>
                <w:szCs w:val="16"/>
              </w:rPr>
            </w:pPr>
            <w:r w:rsidRPr="00170240">
              <w:rPr>
                <w:rFonts w:cs="Arial"/>
                <w:sz w:val="16"/>
                <w:szCs w:val="16"/>
              </w:rPr>
              <w:t>61,34</w:t>
            </w:r>
          </w:p>
        </w:tc>
        <w:tc>
          <w:tcPr>
            <w:tcW w:w="630" w:type="dxa"/>
            <w:tcBorders>
              <w:top w:val="nil"/>
              <w:left w:val="nil"/>
              <w:bottom w:val="nil"/>
              <w:right w:val="nil"/>
            </w:tcBorders>
            <w:shd w:val="clear" w:color="auto" w:fill="auto"/>
            <w:noWrap/>
            <w:vAlign w:val="center"/>
            <w:hideMark/>
          </w:tcPr>
          <w:p w14:paraId="5060C975" w14:textId="77777777" w:rsidR="009A4127" w:rsidRPr="00170240" w:rsidRDefault="009A4127" w:rsidP="009A4127">
            <w:pPr>
              <w:spacing w:after="0" w:line="240" w:lineRule="auto"/>
              <w:jc w:val="right"/>
              <w:rPr>
                <w:rFonts w:cs="Arial"/>
                <w:sz w:val="16"/>
                <w:szCs w:val="16"/>
              </w:rPr>
            </w:pPr>
            <w:r w:rsidRPr="00170240">
              <w:rPr>
                <w:rFonts w:cs="Arial"/>
                <w:sz w:val="16"/>
                <w:szCs w:val="16"/>
              </w:rPr>
              <w:t>62,12</w:t>
            </w:r>
          </w:p>
        </w:tc>
        <w:tc>
          <w:tcPr>
            <w:tcW w:w="630" w:type="dxa"/>
            <w:tcBorders>
              <w:top w:val="nil"/>
              <w:left w:val="nil"/>
              <w:bottom w:val="nil"/>
              <w:right w:val="nil"/>
            </w:tcBorders>
            <w:shd w:val="clear" w:color="auto" w:fill="auto"/>
            <w:noWrap/>
            <w:vAlign w:val="center"/>
            <w:hideMark/>
          </w:tcPr>
          <w:p w14:paraId="2C1D6DCA" w14:textId="77777777" w:rsidR="009A4127" w:rsidRPr="00170240" w:rsidRDefault="009A4127" w:rsidP="009A4127">
            <w:pPr>
              <w:spacing w:after="0" w:line="240" w:lineRule="auto"/>
              <w:jc w:val="right"/>
              <w:rPr>
                <w:rFonts w:cs="Arial"/>
                <w:sz w:val="16"/>
                <w:szCs w:val="16"/>
              </w:rPr>
            </w:pPr>
            <w:r w:rsidRPr="00170240">
              <w:rPr>
                <w:rFonts w:cs="Arial"/>
                <w:sz w:val="16"/>
                <w:szCs w:val="16"/>
              </w:rPr>
              <w:t>63,80</w:t>
            </w:r>
          </w:p>
        </w:tc>
        <w:tc>
          <w:tcPr>
            <w:tcW w:w="630" w:type="dxa"/>
            <w:tcBorders>
              <w:top w:val="nil"/>
              <w:left w:val="nil"/>
              <w:bottom w:val="nil"/>
              <w:right w:val="nil"/>
            </w:tcBorders>
            <w:shd w:val="clear" w:color="auto" w:fill="auto"/>
            <w:noWrap/>
            <w:vAlign w:val="center"/>
            <w:hideMark/>
          </w:tcPr>
          <w:p w14:paraId="0009A186" w14:textId="77777777" w:rsidR="009A4127" w:rsidRPr="00170240" w:rsidRDefault="009A4127" w:rsidP="009A4127">
            <w:pPr>
              <w:spacing w:after="0" w:line="240" w:lineRule="auto"/>
              <w:jc w:val="right"/>
              <w:rPr>
                <w:rFonts w:cs="Arial"/>
                <w:sz w:val="16"/>
                <w:szCs w:val="16"/>
              </w:rPr>
            </w:pPr>
            <w:r w:rsidRPr="00170240">
              <w:rPr>
                <w:rFonts w:cs="Arial"/>
                <w:sz w:val="16"/>
                <w:szCs w:val="16"/>
              </w:rPr>
              <w:t>57,77</w:t>
            </w:r>
          </w:p>
        </w:tc>
        <w:tc>
          <w:tcPr>
            <w:tcW w:w="662" w:type="dxa"/>
            <w:tcBorders>
              <w:top w:val="nil"/>
              <w:left w:val="nil"/>
              <w:bottom w:val="nil"/>
              <w:right w:val="nil"/>
            </w:tcBorders>
            <w:shd w:val="clear" w:color="auto" w:fill="auto"/>
            <w:noWrap/>
            <w:vAlign w:val="center"/>
            <w:hideMark/>
          </w:tcPr>
          <w:p w14:paraId="0C863B91" w14:textId="77777777" w:rsidR="009A4127" w:rsidRPr="00170240" w:rsidRDefault="009A4127" w:rsidP="009A4127">
            <w:pPr>
              <w:spacing w:after="0" w:line="240" w:lineRule="auto"/>
              <w:jc w:val="right"/>
              <w:rPr>
                <w:rFonts w:cs="Arial"/>
                <w:sz w:val="16"/>
                <w:szCs w:val="16"/>
              </w:rPr>
            </w:pPr>
            <w:r w:rsidRPr="00170240">
              <w:rPr>
                <w:rFonts w:cs="Arial"/>
                <w:sz w:val="16"/>
                <w:szCs w:val="16"/>
              </w:rPr>
              <w:t>62,02</w:t>
            </w:r>
          </w:p>
        </w:tc>
        <w:tc>
          <w:tcPr>
            <w:tcW w:w="630" w:type="dxa"/>
            <w:tcBorders>
              <w:top w:val="nil"/>
              <w:left w:val="nil"/>
              <w:bottom w:val="nil"/>
              <w:right w:val="nil"/>
            </w:tcBorders>
            <w:shd w:val="clear" w:color="auto" w:fill="auto"/>
            <w:noWrap/>
            <w:vAlign w:val="center"/>
            <w:hideMark/>
          </w:tcPr>
          <w:p w14:paraId="14A7F1C3" w14:textId="0261ADAB" w:rsidR="009A4127" w:rsidRPr="00170240" w:rsidRDefault="009A4127" w:rsidP="009A4127">
            <w:pPr>
              <w:spacing w:after="0" w:line="240" w:lineRule="auto"/>
              <w:jc w:val="right"/>
              <w:rPr>
                <w:rFonts w:cs="Arial"/>
                <w:sz w:val="16"/>
                <w:szCs w:val="16"/>
              </w:rPr>
            </w:pPr>
            <w:r>
              <w:rPr>
                <w:rFonts w:cs="Arial"/>
                <w:sz w:val="16"/>
                <w:szCs w:val="16"/>
              </w:rPr>
              <w:t>54,89</w:t>
            </w:r>
          </w:p>
        </w:tc>
        <w:tc>
          <w:tcPr>
            <w:tcW w:w="662" w:type="dxa"/>
            <w:tcBorders>
              <w:top w:val="nil"/>
              <w:left w:val="nil"/>
              <w:bottom w:val="nil"/>
              <w:right w:val="nil"/>
            </w:tcBorders>
            <w:shd w:val="clear" w:color="auto" w:fill="auto"/>
            <w:noWrap/>
            <w:vAlign w:val="center"/>
            <w:hideMark/>
          </w:tcPr>
          <w:p w14:paraId="09F27CEF"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58,46</w:t>
            </w:r>
          </w:p>
        </w:tc>
        <w:tc>
          <w:tcPr>
            <w:tcW w:w="630" w:type="dxa"/>
            <w:tcBorders>
              <w:top w:val="nil"/>
              <w:left w:val="nil"/>
              <w:bottom w:val="nil"/>
              <w:right w:val="nil"/>
            </w:tcBorders>
            <w:shd w:val="clear" w:color="auto" w:fill="auto"/>
            <w:noWrap/>
            <w:vAlign w:val="center"/>
            <w:hideMark/>
          </w:tcPr>
          <w:p w14:paraId="36AF9BDC"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56,60</w:t>
            </w:r>
          </w:p>
        </w:tc>
        <w:tc>
          <w:tcPr>
            <w:tcW w:w="630" w:type="dxa"/>
            <w:tcBorders>
              <w:top w:val="nil"/>
              <w:left w:val="nil"/>
              <w:bottom w:val="nil"/>
              <w:right w:val="nil"/>
            </w:tcBorders>
            <w:shd w:val="clear" w:color="000000" w:fill="FFFFFF"/>
            <w:noWrap/>
            <w:vAlign w:val="center"/>
            <w:hideMark/>
          </w:tcPr>
          <w:p w14:paraId="09FB0FB3"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53,39</w:t>
            </w:r>
          </w:p>
        </w:tc>
        <w:tc>
          <w:tcPr>
            <w:tcW w:w="634" w:type="dxa"/>
            <w:tcBorders>
              <w:top w:val="nil"/>
              <w:left w:val="nil"/>
              <w:bottom w:val="nil"/>
              <w:right w:val="nil"/>
            </w:tcBorders>
            <w:shd w:val="clear" w:color="auto" w:fill="auto"/>
            <w:noWrap/>
            <w:vAlign w:val="center"/>
            <w:hideMark/>
          </w:tcPr>
          <w:p w14:paraId="7F95FFF2"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58,34</w:t>
            </w:r>
          </w:p>
        </w:tc>
      </w:tr>
      <w:tr w:rsidR="009A4127" w:rsidRPr="00170240" w14:paraId="2DABD78E" w14:textId="77777777" w:rsidTr="00B3736B">
        <w:trPr>
          <w:trHeight w:val="291"/>
        </w:trPr>
        <w:tc>
          <w:tcPr>
            <w:tcW w:w="3237" w:type="dxa"/>
            <w:tcBorders>
              <w:top w:val="nil"/>
              <w:left w:val="nil"/>
              <w:bottom w:val="nil"/>
              <w:right w:val="nil"/>
            </w:tcBorders>
            <w:shd w:val="clear" w:color="auto" w:fill="auto"/>
            <w:vAlign w:val="center"/>
            <w:hideMark/>
          </w:tcPr>
          <w:p w14:paraId="73B042C1" w14:textId="77777777" w:rsidR="009A4127" w:rsidRPr="00170240" w:rsidRDefault="009A4127" w:rsidP="009A4127">
            <w:pPr>
              <w:spacing w:after="0" w:line="240" w:lineRule="auto"/>
              <w:ind w:firstLineChars="100" w:firstLine="160"/>
              <w:rPr>
                <w:rFonts w:ascii="Arial CE" w:hAnsi="Arial CE" w:cs="Arial CE"/>
                <w:sz w:val="16"/>
                <w:szCs w:val="16"/>
              </w:rPr>
            </w:pPr>
            <w:r w:rsidRPr="00170240">
              <w:rPr>
                <w:rFonts w:ascii="Arial CE" w:hAnsi="Arial CE" w:cs="Arial CE"/>
                <w:sz w:val="16"/>
                <w:szCs w:val="16"/>
              </w:rPr>
              <w:t>B – Těžba a dobývání</w:t>
            </w:r>
          </w:p>
        </w:tc>
        <w:tc>
          <w:tcPr>
            <w:tcW w:w="630" w:type="dxa"/>
            <w:tcBorders>
              <w:top w:val="nil"/>
              <w:left w:val="nil"/>
              <w:bottom w:val="nil"/>
              <w:right w:val="nil"/>
            </w:tcBorders>
            <w:shd w:val="clear" w:color="auto" w:fill="auto"/>
            <w:noWrap/>
            <w:vAlign w:val="center"/>
            <w:hideMark/>
          </w:tcPr>
          <w:p w14:paraId="4BFDD48F" w14:textId="77777777" w:rsidR="009A4127" w:rsidRPr="00170240" w:rsidRDefault="009A4127" w:rsidP="009A4127">
            <w:pPr>
              <w:spacing w:after="0" w:line="240" w:lineRule="auto"/>
              <w:jc w:val="right"/>
              <w:rPr>
                <w:rFonts w:cs="Arial"/>
                <w:sz w:val="16"/>
                <w:szCs w:val="16"/>
              </w:rPr>
            </w:pPr>
            <w:r w:rsidRPr="00170240">
              <w:rPr>
                <w:rFonts w:cs="Arial"/>
                <w:sz w:val="16"/>
                <w:szCs w:val="16"/>
              </w:rPr>
              <w:t>39,60</w:t>
            </w:r>
          </w:p>
        </w:tc>
        <w:tc>
          <w:tcPr>
            <w:tcW w:w="630" w:type="dxa"/>
            <w:tcBorders>
              <w:top w:val="nil"/>
              <w:left w:val="nil"/>
              <w:bottom w:val="nil"/>
              <w:right w:val="nil"/>
            </w:tcBorders>
            <w:shd w:val="clear" w:color="auto" w:fill="auto"/>
            <w:noWrap/>
            <w:vAlign w:val="center"/>
            <w:hideMark/>
          </w:tcPr>
          <w:p w14:paraId="63D041E5" w14:textId="77777777" w:rsidR="009A4127" w:rsidRPr="00170240" w:rsidRDefault="009A4127" w:rsidP="009A4127">
            <w:pPr>
              <w:spacing w:after="0" w:line="240" w:lineRule="auto"/>
              <w:jc w:val="right"/>
              <w:rPr>
                <w:rFonts w:cs="Arial"/>
                <w:sz w:val="16"/>
                <w:szCs w:val="16"/>
              </w:rPr>
            </w:pPr>
            <w:r w:rsidRPr="00170240">
              <w:rPr>
                <w:rFonts w:cs="Arial"/>
                <w:sz w:val="16"/>
                <w:szCs w:val="16"/>
              </w:rPr>
              <w:t>41,79</w:t>
            </w:r>
          </w:p>
        </w:tc>
        <w:tc>
          <w:tcPr>
            <w:tcW w:w="630" w:type="dxa"/>
            <w:tcBorders>
              <w:top w:val="nil"/>
              <w:left w:val="nil"/>
              <w:bottom w:val="nil"/>
              <w:right w:val="nil"/>
            </w:tcBorders>
            <w:shd w:val="clear" w:color="auto" w:fill="auto"/>
            <w:noWrap/>
            <w:vAlign w:val="center"/>
            <w:hideMark/>
          </w:tcPr>
          <w:p w14:paraId="477CE720" w14:textId="77777777" w:rsidR="009A4127" w:rsidRPr="00170240" w:rsidRDefault="009A4127" w:rsidP="009A4127">
            <w:pPr>
              <w:spacing w:after="0" w:line="240" w:lineRule="auto"/>
              <w:jc w:val="right"/>
              <w:rPr>
                <w:rFonts w:cs="Arial"/>
                <w:sz w:val="16"/>
                <w:szCs w:val="16"/>
              </w:rPr>
            </w:pPr>
            <w:r w:rsidRPr="00170240">
              <w:rPr>
                <w:rFonts w:cs="Arial"/>
                <w:sz w:val="16"/>
                <w:szCs w:val="16"/>
              </w:rPr>
              <w:t>43,31</w:t>
            </w:r>
          </w:p>
        </w:tc>
        <w:tc>
          <w:tcPr>
            <w:tcW w:w="630" w:type="dxa"/>
            <w:tcBorders>
              <w:top w:val="nil"/>
              <w:left w:val="nil"/>
              <w:bottom w:val="nil"/>
              <w:right w:val="nil"/>
            </w:tcBorders>
            <w:shd w:val="clear" w:color="auto" w:fill="auto"/>
            <w:noWrap/>
            <w:vAlign w:val="center"/>
            <w:hideMark/>
          </w:tcPr>
          <w:p w14:paraId="1DBB96E9" w14:textId="77777777" w:rsidR="009A4127" w:rsidRPr="00170240" w:rsidRDefault="009A4127" w:rsidP="009A4127">
            <w:pPr>
              <w:spacing w:after="0" w:line="240" w:lineRule="auto"/>
              <w:jc w:val="right"/>
              <w:rPr>
                <w:rFonts w:cs="Arial"/>
                <w:sz w:val="16"/>
                <w:szCs w:val="16"/>
              </w:rPr>
            </w:pPr>
            <w:r w:rsidRPr="00170240">
              <w:rPr>
                <w:rFonts w:cs="Arial"/>
                <w:sz w:val="16"/>
                <w:szCs w:val="16"/>
              </w:rPr>
              <w:t>41,75</w:t>
            </w:r>
          </w:p>
        </w:tc>
        <w:tc>
          <w:tcPr>
            <w:tcW w:w="662" w:type="dxa"/>
            <w:tcBorders>
              <w:top w:val="nil"/>
              <w:left w:val="nil"/>
              <w:bottom w:val="nil"/>
              <w:right w:val="nil"/>
            </w:tcBorders>
            <w:shd w:val="clear" w:color="auto" w:fill="auto"/>
            <w:noWrap/>
            <w:vAlign w:val="center"/>
            <w:hideMark/>
          </w:tcPr>
          <w:p w14:paraId="40992BC8" w14:textId="77777777" w:rsidR="009A4127" w:rsidRPr="00170240" w:rsidRDefault="009A4127" w:rsidP="009A4127">
            <w:pPr>
              <w:spacing w:after="0" w:line="240" w:lineRule="auto"/>
              <w:jc w:val="right"/>
              <w:rPr>
                <w:rFonts w:cs="Arial"/>
                <w:sz w:val="16"/>
                <w:szCs w:val="16"/>
              </w:rPr>
            </w:pPr>
            <w:r w:rsidRPr="00170240">
              <w:rPr>
                <w:rFonts w:cs="Arial"/>
                <w:sz w:val="16"/>
                <w:szCs w:val="16"/>
              </w:rPr>
              <w:t>49,68</w:t>
            </w:r>
          </w:p>
        </w:tc>
        <w:tc>
          <w:tcPr>
            <w:tcW w:w="630" w:type="dxa"/>
            <w:tcBorders>
              <w:top w:val="nil"/>
              <w:left w:val="nil"/>
              <w:bottom w:val="nil"/>
              <w:right w:val="nil"/>
            </w:tcBorders>
            <w:shd w:val="clear" w:color="auto" w:fill="auto"/>
            <w:noWrap/>
            <w:vAlign w:val="center"/>
            <w:hideMark/>
          </w:tcPr>
          <w:p w14:paraId="4F3167E7" w14:textId="3478B607" w:rsidR="009A4127" w:rsidRPr="00170240" w:rsidRDefault="009A4127" w:rsidP="009A4127">
            <w:pPr>
              <w:spacing w:after="0" w:line="240" w:lineRule="auto"/>
              <w:jc w:val="right"/>
              <w:rPr>
                <w:rFonts w:cs="Arial"/>
                <w:sz w:val="16"/>
                <w:szCs w:val="16"/>
              </w:rPr>
            </w:pPr>
            <w:r>
              <w:rPr>
                <w:rFonts w:cs="Arial"/>
                <w:sz w:val="16"/>
                <w:szCs w:val="16"/>
              </w:rPr>
              <w:t>43,60</w:t>
            </w:r>
          </w:p>
        </w:tc>
        <w:tc>
          <w:tcPr>
            <w:tcW w:w="662" w:type="dxa"/>
            <w:tcBorders>
              <w:top w:val="nil"/>
              <w:left w:val="nil"/>
              <w:bottom w:val="nil"/>
              <w:right w:val="nil"/>
            </w:tcBorders>
            <w:shd w:val="clear" w:color="auto" w:fill="auto"/>
            <w:noWrap/>
            <w:vAlign w:val="center"/>
            <w:hideMark/>
          </w:tcPr>
          <w:p w14:paraId="356BF75D"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51,08</w:t>
            </w:r>
          </w:p>
        </w:tc>
        <w:tc>
          <w:tcPr>
            <w:tcW w:w="630" w:type="dxa"/>
            <w:tcBorders>
              <w:top w:val="nil"/>
              <w:left w:val="nil"/>
              <w:bottom w:val="nil"/>
              <w:right w:val="nil"/>
            </w:tcBorders>
            <w:shd w:val="clear" w:color="auto" w:fill="auto"/>
            <w:noWrap/>
            <w:vAlign w:val="center"/>
            <w:hideMark/>
          </w:tcPr>
          <w:p w14:paraId="09FD7A96"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55,56</w:t>
            </w:r>
          </w:p>
        </w:tc>
        <w:tc>
          <w:tcPr>
            <w:tcW w:w="630" w:type="dxa"/>
            <w:tcBorders>
              <w:top w:val="nil"/>
              <w:left w:val="nil"/>
              <w:bottom w:val="nil"/>
              <w:right w:val="nil"/>
            </w:tcBorders>
            <w:shd w:val="clear" w:color="000000" w:fill="FFFFFF"/>
            <w:noWrap/>
            <w:vAlign w:val="center"/>
            <w:hideMark/>
          </w:tcPr>
          <w:p w14:paraId="5C549120"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45,43</w:t>
            </w:r>
          </w:p>
        </w:tc>
        <w:tc>
          <w:tcPr>
            <w:tcW w:w="634" w:type="dxa"/>
            <w:tcBorders>
              <w:top w:val="nil"/>
              <w:left w:val="nil"/>
              <w:bottom w:val="nil"/>
              <w:right w:val="nil"/>
            </w:tcBorders>
            <w:shd w:val="clear" w:color="auto" w:fill="auto"/>
            <w:noWrap/>
            <w:vAlign w:val="center"/>
            <w:hideMark/>
          </w:tcPr>
          <w:p w14:paraId="33506127"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50,30</w:t>
            </w:r>
          </w:p>
        </w:tc>
      </w:tr>
      <w:tr w:rsidR="009A4127" w:rsidRPr="00170240" w14:paraId="1D128952" w14:textId="77777777" w:rsidTr="00B3736B">
        <w:trPr>
          <w:trHeight w:val="291"/>
        </w:trPr>
        <w:tc>
          <w:tcPr>
            <w:tcW w:w="3237" w:type="dxa"/>
            <w:tcBorders>
              <w:top w:val="nil"/>
              <w:left w:val="nil"/>
              <w:bottom w:val="nil"/>
              <w:right w:val="nil"/>
            </w:tcBorders>
            <w:shd w:val="clear" w:color="auto" w:fill="auto"/>
            <w:vAlign w:val="center"/>
            <w:hideMark/>
          </w:tcPr>
          <w:p w14:paraId="347939E1" w14:textId="77777777" w:rsidR="009A4127" w:rsidRPr="00170240" w:rsidRDefault="009A4127" w:rsidP="009A4127">
            <w:pPr>
              <w:spacing w:after="0" w:line="240" w:lineRule="auto"/>
              <w:ind w:firstLineChars="100" w:firstLine="160"/>
              <w:rPr>
                <w:rFonts w:ascii="Arial CE" w:hAnsi="Arial CE" w:cs="Arial CE"/>
                <w:sz w:val="16"/>
                <w:szCs w:val="16"/>
              </w:rPr>
            </w:pPr>
            <w:r w:rsidRPr="00170240">
              <w:rPr>
                <w:rFonts w:ascii="Arial CE" w:hAnsi="Arial CE" w:cs="Arial CE"/>
                <w:sz w:val="16"/>
                <w:szCs w:val="16"/>
              </w:rPr>
              <w:t>C – Zpracovatelský průmysl</w:t>
            </w:r>
          </w:p>
        </w:tc>
        <w:tc>
          <w:tcPr>
            <w:tcW w:w="630" w:type="dxa"/>
            <w:tcBorders>
              <w:top w:val="nil"/>
              <w:left w:val="nil"/>
              <w:bottom w:val="nil"/>
              <w:right w:val="nil"/>
            </w:tcBorders>
            <w:shd w:val="clear" w:color="auto" w:fill="auto"/>
            <w:noWrap/>
            <w:vAlign w:val="center"/>
            <w:hideMark/>
          </w:tcPr>
          <w:p w14:paraId="29AE37AB" w14:textId="77777777" w:rsidR="009A4127" w:rsidRPr="00170240" w:rsidRDefault="009A4127" w:rsidP="009A4127">
            <w:pPr>
              <w:spacing w:after="0" w:line="240" w:lineRule="auto"/>
              <w:jc w:val="right"/>
              <w:rPr>
                <w:rFonts w:cs="Arial"/>
                <w:sz w:val="16"/>
                <w:szCs w:val="16"/>
              </w:rPr>
            </w:pPr>
            <w:r w:rsidRPr="00170240">
              <w:rPr>
                <w:rFonts w:cs="Arial"/>
                <w:sz w:val="16"/>
                <w:szCs w:val="16"/>
              </w:rPr>
              <w:t>43,78</w:t>
            </w:r>
          </w:p>
        </w:tc>
        <w:tc>
          <w:tcPr>
            <w:tcW w:w="630" w:type="dxa"/>
            <w:tcBorders>
              <w:top w:val="nil"/>
              <w:left w:val="nil"/>
              <w:bottom w:val="nil"/>
              <w:right w:val="nil"/>
            </w:tcBorders>
            <w:shd w:val="clear" w:color="auto" w:fill="auto"/>
            <w:noWrap/>
            <w:vAlign w:val="center"/>
            <w:hideMark/>
          </w:tcPr>
          <w:p w14:paraId="1B9A672D" w14:textId="77777777" w:rsidR="009A4127" w:rsidRPr="00170240" w:rsidRDefault="009A4127" w:rsidP="009A4127">
            <w:pPr>
              <w:spacing w:after="0" w:line="240" w:lineRule="auto"/>
              <w:jc w:val="right"/>
              <w:rPr>
                <w:rFonts w:cs="Arial"/>
                <w:sz w:val="16"/>
                <w:szCs w:val="16"/>
              </w:rPr>
            </w:pPr>
            <w:r w:rsidRPr="00170240">
              <w:rPr>
                <w:rFonts w:cs="Arial"/>
                <w:sz w:val="16"/>
                <w:szCs w:val="16"/>
              </w:rPr>
              <w:t>39,44</w:t>
            </w:r>
          </w:p>
        </w:tc>
        <w:tc>
          <w:tcPr>
            <w:tcW w:w="630" w:type="dxa"/>
            <w:tcBorders>
              <w:top w:val="nil"/>
              <w:left w:val="nil"/>
              <w:bottom w:val="nil"/>
              <w:right w:val="nil"/>
            </w:tcBorders>
            <w:shd w:val="clear" w:color="auto" w:fill="auto"/>
            <w:noWrap/>
            <w:vAlign w:val="center"/>
            <w:hideMark/>
          </w:tcPr>
          <w:p w14:paraId="0D74EAD7" w14:textId="77777777" w:rsidR="009A4127" w:rsidRPr="00170240" w:rsidRDefault="009A4127" w:rsidP="009A4127">
            <w:pPr>
              <w:spacing w:after="0" w:line="240" w:lineRule="auto"/>
              <w:jc w:val="right"/>
              <w:rPr>
                <w:rFonts w:cs="Arial"/>
                <w:sz w:val="16"/>
                <w:szCs w:val="16"/>
              </w:rPr>
            </w:pPr>
            <w:r w:rsidRPr="00170240">
              <w:rPr>
                <w:rFonts w:cs="Arial"/>
                <w:sz w:val="16"/>
                <w:szCs w:val="16"/>
              </w:rPr>
              <w:t>45,08</w:t>
            </w:r>
          </w:p>
        </w:tc>
        <w:tc>
          <w:tcPr>
            <w:tcW w:w="630" w:type="dxa"/>
            <w:tcBorders>
              <w:top w:val="nil"/>
              <w:left w:val="nil"/>
              <w:bottom w:val="nil"/>
              <w:right w:val="nil"/>
            </w:tcBorders>
            <w:shd w:val="clear" w:color="auto" w:fill="auto"/>
            <w:noWrap/>
            <w:vAlign w:val="center"/>
            <w:hideMark/>
          </w:tcPr>
          <w:p w14:paraId="5961E424" w14:textId="77777777" w:rsidR="009A4127" w:rsidRPr="00170240" w:rsidRDefault="009A4127" w:rsidP="009A4127">
            <w:pPr>
              <w:spacing w:after="0" w:line="240" w:lineRule="auto"/>
              <w:jc w:val="right"/>
              <w:rPr>
                <w:rFonts w:cs="Arial"/>
                <w:sz w:val="16"/>
                <w:szCs w:val="16"/>
              </w:rPr>
            </w:pPr>
            <w:r w:rsidRPr="00170240">
              <w:rPr>
                <w:rFonts w:cs="Arial"/>
                <w:sz w:val="16"/>
                <w:szCs w:val="16"/>
              </w:rPr>
              <w:t>41,41</w:t>
            </w:r>
          </w:p>
        </w:tc>
        <w:tc>
          <w:tcPr>
            <w:tcW w:w="662" w:type="dxa"/>
            <w:tcBorders>
              <w:top w:val="nil"/>
              <w:left w:val="nil"/>
              <w:bottom w:val="nil"/>
              <w:right w:val="nil"/>
            </w:tcBorders>
            <w:shd w:val="clear" w:color="auto" w:fill="auto"/>
            <w:noWrap/>
            <w:vAlign w:val="center"/>
            <w:hideMark/>
          </w:tcPr>
          <w:p w14:paraId="1B7A0F19" w14:textId="77777777" w:rsidR="009A4127" w:rsidRPr="00170240" w:rsidRDefault="009A4127" w:rsidP="009A4127">
            <w:pPr>
              <w:spacing w:after="0" w:line="240" w:lineRule="auto"/>
              <w:jc w:val="right"/>
              <w:rPr>
                <w:rFonts w:cs="Arial"/>
                <w:sz w:val="16"/>
                <w:szCs w:val="16"/>
              </w:rPr>
            </w:pPr>
            <w:r w:rsidRPr="00170240">
              <w:rPr>
                <w:rFonts w:cs="Arial"/>
                <w:sz w:val="16"/>
                <w:szCs w:val="16"/>
              </w:rPr>
              <w:t>44,27</w:t>
            </w:r>
          </w:p>
        </w:tc>
        <w:tc>
          <w:tcPr>
            <w:tcW w:w="630" w:type="dxa"/>
            <w:tcBorders>
              <w:top w:val="nil"/>
              <w:left w:val="nil"/>
              <w:bottom w:val="nil"/>
              <w:right w:val="nil"/>
            </w:tcBorders>
            <w:shd w:val="clear" w:color="auto" w:fill="auto"/>
            <w:noWrap/>
            <w:vAlign w:val="center"/>
            <w:hideMark/>
          </w:tcPr>
          <w:p w14:paraId="34A1F9A4" w14:textId="196E40EA" w:rsidR="009A4127" w:rsidRPr="00170240" w:rsidRDefault="009A4127" w:rsidP="009A4127">
            <w:pPr>
              <w:spacing w:after="0" w:line="240" w:lineRule="auto"/>
              <w:jc w:val="right"/>
              <w:rPr>
                <w:rFonts w:cs="Arial"/>
                <w:sz w:val="16"/>
                <w:szCs w:val="16"/>
              </w:rPr>
            </w:pPr>
            <w:r>
              <w:rPr>
                <w:rFonts w:cs="Arial"/>
                <w:sz w:val="16"/>
                <w:szCs w:val="16"/>
              </w:rPr>
              <w:t>38,79</w:t>
            </w:r>
          </w:p>
        </w:tc>
        <w:tc>
          <w:tcPr>
            <w:tcW w:w="662" w:type="dxa"/>
            <w:tcBorders>
              <w:top w:val="nil"/>
              <w:left w:val="nil"/>
              <w:bottom w:val="nil"/>
              <w:right w:val="nil"/>
            </w:tcBorders>
            <w:shd w:val="clear" w:color="auto" w:fill="auto"/>
            <w:noWrap/>
            <w:vAlign w:val="center"/>
            <w:hideMark/>
          </w:tcPr>
          <w:p w14:paraId="44F2CDF6"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40,79</w:t>
            </w:r>
          </w:p>
        </w:tc>
        <w:tc>
          <w:tcPr>
            <w:tcW w:w="630" w:type="dxa"/>
            <w:tcBorders>
              <w:top w:val="nil"/>
              <w:left w:val="nil"/>
              <w:bottom w:val="nil"/>
              <w:right w:val="nil"/>
            </w:tcBorders>
            <w:shd w:val="clear" w:color="auto" w:fill="auto"/>
            <w:noWrap/>
            <w:vAlign w:val="center"/>
            <w:hideMark/>
          </w:tcPr>
          <w:p w14:paraId="31D437DA"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40,04</w:t>
            </w:r>
          </w:p>
        </w:tc>
        <w:tc>
          <w:tcPr>
            <w:tcW w:w="630" w:type="dxa"/>
            <w:tcBorders>
              <w:top w:val="nil"/>
              <w:left w:val="nil"/>
              <w:bottom w:val="nil"/>
              <w:right w:val="nil"/>
            </w:tcBorders>
            <w:shd w:val="clear" w:color="000000" w:fill="FFFFFF"/>
            <w:noWrap/>
            <w:vAlign w:val="center"/>
            <w:hideMark/>
          </w:tcPr>
          <w:p w14:paraId="356F65BC"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38,25</w:t>
            </w:r>
          </w:p>
        </w:tc>
        <w:tc>
          <w:tcPr>
            <w:tcW w:w="634" w:type="dxa"/>
            <w:tcBorders>
              <w:top w:val="nil"/>
              <w:left w:val="nil"/>
              <w:bottom w:val="nil"/>
              <w:right w:val="nil"/>
            </w:tcBorders>
            <w:shd w:val="clear" w:color="auto" w:fill="auto"/>
            <w:noWrap/>
            <w:vAlign w:val="center"/>
            <w:hideMark/>
          </w:tcPr>
          <w:p w14:paraId="0D9EB857"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41,99</w:t>
            </w:r>
          </w:p>
        </w:tc>
      </w:tr>
      <w:tr w:rsidR="009A4127" w:rsidRPr="00170240" w14:paraId="32BCC91E" w14:textId="77777777" w:rsidTr="00B3736B">
        <w:trPr>
          <w:trHeight w:val="460"/>
        </w:trPr>
        <w:tc>
          <w:tcPr>
            <w:tcW w:w="3237" w:type="dxa"/>
            <w:tcBorders>
              <w:top w:val="nil"/>
              <w:left w:val="nil"/>
              <w:bottom w:val="nil"/>
              <w:right w:val="nil"/>
            </w:tcBorders>
            <w:shd w:val="clear" w:color="auto" w:fill="auto"/>
            <w:vAlign w:val="center"/>
            <w:hideMark/>
          </w:tcPr>
          <w:p w14:paraId="2FFD3BEC" w14:textId="77777777" w:rsidR="009A4127" w:rsidRDefault="009A4127" w:rsidP="009A4127">
            <w:pPr>
              <w:spacing w:after="0" w:line="240" w:lineRule="auto"/>
              <w:ind w:firstLineChars="100" w:firstLine="160"/>
              <w:rPr>
                <w:rFonts w:ascii="Arial CE" w:hAnsi="Arial CE" w:cs="Arial CE"/>
                <w:sz w:val="16"/>
                <w:szCs w:val="16"/>
              </w:rPr>
            </w:pPr>
            <w:r w:rsidRPr="00170240">
              <w:rPr>
                <w:rFonts w:ascii="Arial CE" w:hAnsi="Arial CE" w:cs="Arial CE"/>
                <w:sz w:val="16"/>
                <w:szCs w:val="16"/>
              </w:rPr>
              <w:t>D – Výroba a rozvod elektřiny, plynu,</w:t>
            </w:r>
          </w:p>
          <w:p w14:paraId="6B2ACC9A" w14:textId="715F46A4" w:rsidR="009A4127" w:rsidRPr="00170240" w:rsidRDefault="009A4127" w:rsidP="009A4127">
            <w:pPr>
              <w:spacing w:after="0" w:line="240" w:lineRule="auto"/>
              <w:ind w:firstLineChars="100" w:firstLine="160"/>
              <w:rPr>
                <w:rFonts w:ascii="Arial CE" w:hAnsi="Arial CE" w:cs="Arial CE"/>
                <w:sz w:val="16"/>
                <w:szCs w:val="16"/>
              </w:rPr>
            </w:pPr>
            <w:r>
              <w:rPr>
                <w:rFonts w:ascii="Arial CE" w:hAnsi="Arial CE" w:cs="Arial CE"/>
                <w:sz w:val="16"/>
                <w:szCs w:val="16"/>
              </w:rPr>
              <w:t xml:space="preserve">     </w:t>
            </w:r>
            <w:r w:rsidRPr="00170240">
              <w:rPr>
                <w:rFonts w:ascii="Arial CE" w:hAnsi="Arial CE" w:cs="Arial CE"/>
                <w:sz w:val="16"/>
                <w:szCs w:val="16"/>
              </w:rPr>
              <w:t xml:space="preserve"> </w:t>
            </w:r>
            <w:r>
              <w:rPr>
                <w:rFonts w:ascii="Arial CE" w:hAnsi="Arial CE" w:cs="Arial CE"/>
                <w:sz w:val="16"/>
                <w:szCs w:val="16"/>
              </w:rPr>
              <w:t xml:space="preserve"> </w:t>
            </w:r>
            <w:r w:rsidRPr="00170240">
              <w:rPr>
                <w:rFonts w:ascii="Arial CE" w:hAnsi="Arial CE" w:cs="Arial CE"/>
                <w:sz w:val="16"/>
                <w:szCs w:val="16"/>
              </w:rPr>
              <w:t>tepla a klimatizovaného vzduchu</w:t>
            </w:r>
          </w:p>
        </w:tc>
        <w:tc>
          <w:tcPr>
            <w:tcW w:w="630" w:type="dxa"/>
            <w:tcBorders>
              <w:top w:val="nil"/>
              <w:left w:val="nil"/>
              <w:bottom w:val="nil"/>
              <w:right w:val="nil"/>
            </w:tcBorders>
            <w:shd w:val="clear" w:color="auto" w:fill="auto"/>
            <w:noWrap/>
            <w:vAlign w:val="center"/>
            <w:hideMark/>
          </w:tcPr>
          <w:p w14:paraId="63F82A87" w14:textId="77777777" w:rsidR="009A4127" w:rsidRPr="00170240" w:rsidRDefault="009A4127" w:rsidP="009A4127">
            <w:pPr>
              <w:spacing w:after="0" w:line="240" w:lineRule="auto"/>
              <w:jc w:val="right"/>
              <w:rPr>
                <w:rFonts w:cs="Arial"/>
                <w:sz w:val="16"/>
                <w:szCs w:val="16"/>
              </w:rPr>
            </w:pPr>
            <w:r w:rsidRPr="00170240">
              <w:rPr>
                <w:rFonts w:cs="Arial"/>
                <w:sz w:val="16"/>
                <w:szCs w:val="16"/>
              </w:rPr>
              <w:t>39,05</w:t>
            </w:r>
          </w:p>
        </w:tc>
        <w:tc>
          <w:tcPr>
            <w:tcW w:w="630" w:type="dxa"/>
            <w:tcBorders>
              <w:top w:val="nil"/>
              <w:left w:val="nil"/>
              <w:bottom w:val="nil"/>
              <w:right w:val="nil"/>
            </w:tcBorders>
            <w:shd w:val="clear" w:color="auto" w:fill="auto"/>
            <w:noWrap/>
            <w:vAlign w:val="center"/>
            <w:hideMark/>
          </w:tcPr>
          <w:p w14:paraId="42845D2D" w14:textId="77777777" w:rsidR="009A4127" w:rsidRPr="00170240" w:rsidRDefault="009A4127" w:rsidP="009A4127">
            <w:pPr>
              <w:spacing w:after="0" w:line="240" w:lineRule="auto"/>
              <w:jc w:val="right"/>
              <w:rPr>
                <w:rFonts w:cs="Arial"/>
                <w:sz w:val="16"/>
                <w:szCs w:val="16"/>
              </w:rPr>
            </w:pPr>
            <w:r w:rsidRPr="00170240">
              <w:rPr>
                <w:rFonts w:cs="Arial"/>
                <w:sz w:val="16"/>
                <w:szCs w:val="16"/>
              </w:rPr>
              <w:t>35,84</w:t>
            </w:r>
          </w:p>
        </w:tc>
        <w:tc>
          <w:tcPr>
            <w:tcW w:w="630" w:type="dxa"/>
            <w:tcBorders>
              <w:top w:val="nil"/>
              <w:left w:val="nil"/>
              <w:bottom w:val="nil"/>
              <w:right w:val="nil"/>
            </w:tcBorders>
            <w:shd w:val="clear" w:color="auto" w:fill="auto"/>
            <w:noWrap/>
            <w:vAlign w:val="center"/>
            <w:hideMark/>
          </w:tcPr>
          <w:p w14:paraId="6AF762E8" w14:textId="77777777" w:rsidR="009A4127" w:rsidRPr="00170240" w:rsidRDefault="009A4127" w:rsidP="009A4127">
            <w:pPr>
              <w:spacing w:after="0" w:line="240" w:lineRule="auto"/>
              <w:jc w:val="right"/>
              <w:rPr>
                <w:rFonts w:cs="Arial"/>
                <w:sz w:val="16"/>
                <w:szCs w:val="16"/>
              </w:rPr>
            </w:pPr>
            <w:r w:rsidRPr="00170240">
              <w:rPr>
                <w:rFonts w:cs="Arial"/>
                <w:sz w:val="16"/>
                <w:szCs w:val="16"/>
              </w:rPr>
              <w:t>44,06</w:t>
            </w:r>
          </w:p>
        </w:tc>
        <w:tc>
          <w:tcPr>
            <w:tcW w:w="630" w:type="dxa"/>
            <w:tcBorders>
              <w:top w:val="nil"/>
              <w:left w:val="nil"/>
              <w:bottom w:val="nil"/>
              <w:right w:val="nil"/>
            </w:tcBorders>
            <w:shd w:val="clear" w:color="auto" w:fill="auto"/>
            <w:noWrap/>
            <w:vAlign w:val="center"/>
            <w:hideMark/>
          </w:tcPr>
          <w:p w14:paraId="2F9A5D23" w14:textId="77777777" w:rsidR="009A4127" w:rsidRPr="00170240" w:rsidRDefault="009A4127" w:rsidP="009A4127">
            <w:pPr>
              <w:spacing w:after="0" w:line="240" w:lineRule="auto"/>
              <w:jc w:val="right"/>
              <w:rPr>
                <w:rFonts w:cs="Arial"/>
                <w:sz w:val="16"/>
                <w:szCs w:val="16"/>
              </w:rPr>
            </w:pPr>
            <w:r w:rsidRPr="00170240">
              <w:rPr>
                <w:rFonts w:cs="Arial"/>
                <w:sz w:val="16"/>
                <w:szCs w:val="16"/>
              </w:rPr>
              <w:t>36,50</w:t>
            </w:r>
          </w:p>
        </w:tc>
        <w:tc>
          <w:tcPr>
            <w:tcW w:w="662" w:type="dxa"/>
            <w:tcBorders>
              <w:top w:val="nil"/>
              <w:left w:val="nil"/>
              <w:bottom w:val="nil"/>
              <w:right w:val="nil"/>
            </w:tcBorders>
            <w:shd w:val="clear" w:color="auto" w:fill="auto"/>
            <w:noWrap/>
            <w:vAlign w:val="center"/>
            <w:hideMark/>
          </w:tcPr>
          <w:p w14:paraId="4FF3CF1F" w14:textId="77777777" w:rsidR="009A4127" w:rsidRPr="00170240" w:rsidRDefault="009A4127" w:rsidP="009A4127">
            <w:pPr>
              <w:spacing w:after="0" w:line="240" w:lineRule="auto"/>
              <w:jc w:val="right"/>
              <w:rPr>
                <w:rFonts w:cs="Arial"/>
                <w:sz w:val="16"/>
                <w:szCs w:val="16"/>
              </w:rPr>
            </w:pPr>
            <w:r w:rsidRPr="00170240">
              <w:rPr>
                <w:rFonts w:cs="Arial"/>
                <w:sz w:val="16"/>
                <w:szCs w:val="16"/>
              </w:rPr>
              <w:t>40,66</w:t>
            </w:r>
          </w:p>
        </w:tc>
        <w:tc>
          <w:tcPr>
            <w:tcW w:w="630" w:type="dxa"/>
            <w:tcBorders>
              <w:top w:val="nil"/>
              <w:left w:val="nil"/>
              <w:bottom w:val="nil"/>
              <w:right w:val="nil"/>
            </w:tcBorders>
            <w:shd w:val="clear" w:color="auto" w:fill="auto"/>
            <w:noWrap/>
            <w:vAlign w:val="center"/>
            <w:hideMark/>
          </w:tcPr>
          <w:p w14:paraId="575DB612" w14:textId="3327AF44" w:rsidR="009A4127" w:rsidRPr="00170240" w:rsidRDefault="009A4127" w:rsidP="009A4127">
            <w:pPr>
              <w:spacing w:after="0" w:line="240" w:lineRule="auto"/>
              <w:jc w:val="right"/>
              <w:rPr>
                <w:rFonts w:cs="Arial"/>
                <w:sz w:val="16"/>
                <w:szCs w:val="16"/>
              </w:rPr>
            </w:pPr>
            <w:r>
              <w:rPr>
                <w:rFonts w:cs="Arial"/>
                <w:sz w:val="16"/>
                <w:szCs w:val="16"/>
              </w:rPr>
              <w:t>37,49</w:t>
            </w:r>
          </w:p>
        </w:tc>
        <w:tc>
          <w:tcPr>
            <w:tcW w:w="662" w:type="dxa"/>
            <w:tcBorders>
              <w:top w:val="nil"/>
              <w:left w:val="nil"/>
              <w:bottom w:val="nil"/>
              <w:right w:val="nil"/>
            </w:tcBorders>
            <w:shd w:val="clear" w:color="auto" w:fill="auto"/>
            <w:noWrap/>
            <w:vAlign w:val="center"/>
            <w:hideMark/>
          </w:tcPr>
          <w:p w14:paraId="411EBA43"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40,80</w:t>
            </w:r>
          </w:p>
        </w:tc>
        <w:tc>
          <w:tcPr>
            <w:tcW w:w="630" w:type="dxa"/>
            <w:tcBorders>
              <w:top w:val="nil"/>
              <w:left w:val="nil"/>
              <w:bottom w:val="nil"/>
              <w:right w:val="nil"/>
            </w:tcBorders>
            <w:shd w:val="clear" w:color="auto" w:fill="auto"/>
            <w:noWrap/>
            <w:vAlign w:val="center"/>
            <w:hideMark/>
          </w:tcPr>
          <w:p w14:paraId="52DC817E"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39,04</w:t>
            </w:r>
          </w:p>
        </w:tc>
        <w:tc>
          <w:tcPr>
            <w:tcW w:w="630" w:type="dxa"/>
            <w:tcBorders>
              <w:top w:val="nil"/>
              <w:left w:val="nil"/>
              <w:bottom w:val="nil"/>
              <w:right w:val="nil"/>
            </w:tcBorders>
            <w:shd w:val="clear" w:color="000000" w:fill="FFFFFF"/>
            <w:noWrap/>
            <w:vAlign w:val="center"/>
            <w:hideMark/>
          </w:tcPr>
          <w:p w14:paraId="7060A0DA"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33,59</w:t>
            </w:r>
          </w:p>
        </w:tc>
        <w:tc>
          <w:tcPr>
            <w:tcW w:w="634" w:type="dxa"/>
            <w:tcBorders>
              <w:top w:val="nil"/>
              <w:left w:val="nil"/>
              <w:bottom w:val="nil"/>
              <w:right w:val="nil"/>
            </w:tcBorders>
            <w:shd w:val="clear" w:color="auto" w:fill="auto"/>
            <w:noWrap/>
            <w:vAlign w:val="center"/>
            <w:hideMark/>
          </w:tcPr>
          <w:p w14:paraId="4607C27B"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37,78</w:t>
            </w:r>
          </w:p>
        </w:tc>
      </w:tr>
      <w:tr w:rsidR="009A4127" w:rsidRPr="00170240" w14:paraId="3BB70C6B" w14:textId="77777777" w:rsidTr="00B3736B">
        <w:trPr>
          <w:trHeight w:val="690"/>
        </w:trPr>
        <w:tc>
          <w:tcPr>
            <w:tcW w:w="3237" w:type="dxa"/>
            <w:tcBorders>
              <w:top w:val="nil"/>
              <w:left w:val="nil"/>
              <w:bottom w:val="nil"/>
              <w:right w:val="nil"/>
            </w:tcBorders>
            <w:shd w:val="clear" w:color="auto" w:fill="auto"/>
            <w:vAlign w:val="center"/>
            <w:hideMark/>
          </w:tcPr>
          <w:p w14:paraId="5E56EAEB" w14:textId="77777777" w:rsidR="009A4127" w:rsidRDefault="009A4127" w:rsidP="009A4127">
            <w:pPr>
              <w:spacing w:after="0" w:line="240" w:lineRule="auto"/>
              <w:ind w:firstLineChars="100" w:firstLine="160"/>
              <w:rPr>
                <w:rFonts w:ascii="Arial CE" w:hAnsi="Arial CE" w:cs="Arial CE"/>
                <w:sz w:val="16"/>
                <w:szCs w:val="16"/>
              </w:rPr>
            </w:pPr>
            <w:r w:rsidRPr="00170240">
              <w:rPr>
                <w:rFonts w:ascii="Arial CE" w:hAnsi="Arial CE" w:cs="Arial CE"/>
                <w:sz w:val="16"/>
                <w:szCs w:val="16"/>
              </w:rPr>
              <w:t xml:space="preserve">E – Zásobování vodou; činnosti </w:t>
            </w:r>
          </w:p>
          <w:p w14:paraId="13E7FE4A" w14:textId="77777777" w:rsidR="009A4127" w:rsidRDefault="009A4127" w:rsidP="009A4127">
            <w:pPr>
              <w:spacing w:after="0" w:line="240" w:lineRule="auto"/>
              <w:ind w:firstLineChars="100" w:firstLine="160"/>
              <w:rPr>
                <w:rFonts w:ascii="Arial CE" w:hAnsi="Arial CE" w:cs="Arial CE"/>
                <w:sz w:val="16"/>
                <w:szCs w:val="16"/>
              </w:rPr>
            </w:pPr>
            <w:r>
              <w:rPr>
                <w:rFonts w:ascii="Arial CE" w:hAnsi="Arial CE" w:cs="Arial CE"/>
                <w:sz w:val="16"/>
                <w:szCs w:val="16"/>
              </w:rPr>
              <w:t xml:space="preserve">      </w:t>
            </w:r>
            <w:r w:rsidRPr="00170240">
              <w:rPr>
                <w:rFonts w:ascii="Arial CE" w:hAnsi="Arial CE" w:cs="Arial CE"/>
                <w:sz w:val="16"/>
                <w:szCs w:val="16"/>
              </w:rPr>
              <w:t>související s odpadními vodami,</w:t>
            </w:r>
          </w:p>
          <w:p w14:paraId="0F7C54F9" w14:textId="056A7C86" w:rsidR="009A4127" w:rsidRPr="00170240" w:rsidRDefault="009A4127" w:rsidP="009A4127">
            <w:pPr>
              <w:spacing w:after="0" w:line="240" w:lineRule="auto"/>
              <w:ind w:firstLineChars="100" w:firstLine="160"/>
              <w:rPr>
                <w:rFonts w:ascii="Arial CE" w:hAnsi="Arial CE" w:cs="Arial CE"/>
                <w:sz w:val="16"/>
                <w:szCs w:val="16"/>
              </w:rPr>
            </w:pPr>
            <w:r>
              <w:rPr>
                <w:rFonts w:ascii="Arial CE" w:hAnsi="Arial CE" w:cs="Arial CE"/>
                <w:sz w:val="16"/>
                <w:szCs w:val="16"/>
              </w:rPr>
              <w:t xml:space="preserve">     </w:t>
            </w:r>
            <w:r w:rsidRPr="00170240">
              <w:rPr>
                <w:rFonts w:ascii="Arial CE" w:hAnsi="Arial CE" w:cs="Arial CE"/>
                <w:sz w:val="16"/>
                <w:szCs w:val="16"/>
              </w:rPr>
              <w:t xml:space="preserve"> odpady a sanacemi</w:t>
            </w:r>
          </w:p>
        </w:tc>
        <w:tc>
          <w:tcPr>
            <w:tcW w:w="630" w:type="dxa"/>
            <w:tcBorders>
              <w:top w:val="nil"/>
              <w:left w:val="nil"/>
              <w:bottom w:val="nil"/>
              <w:right w:val="nil"/>
            </w:tcBorders>
            <w:shd w:val="clear" w:color="auto" w:fill="auto"/>
            <w:noWrap/>
            <w:vAlign w:val="center"/>
            <w:hideMark/>
          </w:tcPr>
          <w:p w14:paraId="2FD49C77" w14:textId="77777777" w:rsidR="009A4127" w:rsidRPr="00170240" w:rsidRDefault="009A4127" w:rsidP="009A4127">
            <w:pPr>
              <w:spacing w:after="0" w:line="240" w:lineRule="auto"/>
              <w:jc w:val="right"/>
              <w:rPr>
                <w:rFonts w:cs="Arial"/>
                <w:sz w:val="16"/>
                <w:szCs w:val="16"/>
              </w:rPr>
            </w:pPr>
            <w:r w:rsidRPr="00170240">
              <w:rPr>
                <w:rFonts w:cs="Arial"/>
                <w:sz w:val="16"/>
                <w:szCs w:val="16"/>
              </w:rPr>
              <w:t>45,16</w:t>
            </w:r>
          </w:p>
        </w:tc>
        <w:tc>
          <w:tcPr>
            <w:tcW w:w="630" w:type="dxa"/>
            <w:tcBorders>
              <w:top w:val="nil"/>
              <w:left w:val="nil"/>
              <w:bottom w:val="nil"/>
              <w:right w:val="nil"/>
            </w:tcBorders>
            <w:shd w:val="clear" w:color="auto" w:fill="auto"/>
            <w:noWrap/>
            <w:vAlign w:val="center"/>
            <w:hideMark/>
          </w:tcPr>
          <w:p w14:paraId="0A834A10" w14:textId="77777777" w:rsidR="009A4127" w:rsidRPr="00170240" w:rsidRDefault="009A4127" w:rsidP="009A4127">
            <w:pPr>
              <w:spacing w:after="0" w:line="240" w:lineRule="auto"/>
              <w:jc w:val="right"/>
              <w:rPr>
                <w:rFonts w:cs="Arial"/>
                <w:sz w:val="16"/>
                <w:szCs w:val="16"/>
              </w:rPr>
            </w:pPr>
            <w:r w:rsidRPr="00170240">
              <w:rPr>
                <w:rFonts w:cs="Arial"/>
                <w:sz w:val="16"/>
                <w:szCs w:val="16"/>
              </w:rPr>
              <w:t>43,10</w:t>
            </w:r>
          </w:p>
        </w:tc>
        <w:tc>
          <w:tcPr>
            <w:tcW w:w="630" w:type="dxa"/>
            <w:tcBorders>
              <w:top w:val="nil"/>
              <w:left w:val="nil"/>
              <w:bottom w:val="nil"/>
              <w:right w:val="nil"/>
            </w:tcBorders>
            <w:shd w:val="clear" w:color="auto" w:fill="auto"/>
            <w:noWrap/>
            <w:vAlign w:val="center"/>
            <w:hideMark/>
          </w:tcPr>
          <w:p w14:paraId="69BD1091" w14:textId="77777777" w:rsidR="009A4127" w:rsidRPr="00170240" w:rsidRDefault="009A4127" w:rsidP="009A4127">
            <w:pPr>
              <w:spacing w:after="0" w:line="240" w:lineRule="auto"/>
              <w:jc w:val="right"/>
              <w:rPr>
                <w:rFonts w:cs="Arial"/>
                <w:sz w:val="16"/>
                <w:szCs w:val="16"/>
              </w:rPr>
            </w:pPr>
            <w:r w:rsidRPr="00170240">
              <w:rPr>
                <w:rFonts w:cs="Arial"/>
                <w:sz w:val="16"/>
                <w:szCs w:val="16"/>
              </w:rPr>
              <w:t>49,06</w:t>
            </w:r>
          </w:p>
        </w:tc>
        <w:tc>
          <w:tcPr>
            <w:tcW w:w="630" w:type="dxa"/>
            <w:tcBorders>
              <w:top w:val="nil"/>
              <w:left w:val="nil"/>
              <w:bottom w:val="nil"/>
              <w:right w:val="nil"/>
            </w:tcBorders>
            <w:shd w:val="clear" w:color="auto" w:fill="auto"/>
            <w:noWrap/>
            <w:vAlign w:val="center"/>
            <w:hideMark/>
          </w:tcPr>
          <w:p w14:paraId="153172D4" w14:textId="77777777" w:rsidR="009A4127" w:rsidRPr="00170240" w:rsidRDefault="009A4127" w:rsidP="009A4127">
            <w:pPr>
              <w:spacing w:after="0" w:line="240" w:lineRule="auto"/>
              <w:jc w:val="right"/>
              <w:rPr>
                <w:rFonts w:cs="Arial"/>
                <w:sz w:val="16"/>
                <w:szCs w:val="16"/>
              </w:rPr>
            </w:pPr>
            <w:r w:rsidRPr="00170240">
              <w:rPr>
                <w:rFonts w:cs="Arial"/>
                <w:sz w:val="16"/>
                <w:szCs w:val="16"/>
              </w:rPr>
              <w:t>42,82</w:t>
            </w:r>
          </w:p>
        </w:tc>
        <w:tc>
          <w:tcPr>
            <w:tcW w:w="662" w:type="dxa"/>
            <w:tcBorders>
              <w:top w:val="nil"/>
              <w:left w:val="nil"/>
              <w:bottom w:val="nil"/>
              <w:right w:val="nil"/>
            </w:tcBorders>
            <w:shd w:val="clear" w:color="auto" w:fill="auto"/>
            <w:noWrap/>
            <w:vAlign w:val="center"/>
            <w:hideMark/>
          </w:tcPr>
          <w:p w14:paraId="250EF4ED" w14:textId="77777777" w:rsidR="009A4127" w:rsidRPr="00170240" w:rsidRDefault="009A4127" w:rsidP="009A4127">
            <w:pPr>
              <w:spacing w:after="0" w:line="240" w:lineRule="auto"/>
              <w:jc w:val="right"/>
              <w:rPr>
                <w:rFonts w:cs="Arial"/>
                <w:sz w:val="16"/>
                <w:szCs w:val="16"/>
              </w:rPr>
            </w:pPr>
            <w:r w:rsidRPr="00170240">
              <w:rPr>
                <w:rFonts w:cs="Arial"/>
                <w:sz w:val="16"/>
                <w:szCs w:val="16"/>
              </w:rPr>
              <w:t>48,69</w:t>
            </w:r>
          </w:p>
        </w:tc>
        <w:tc>
          <w:tcPr>
            <w:tcW w:w="630" w:type="dxa"/>
            <w:tcBorders>
              <w:top w:val="nil"/>
              <w:left w:val="nil"/>
              <w:bottom w:val="nil"/>
              <w:right w:val="nil"/>
            </w:tcBorders>
            <w:shd w:val="clear" w:color="auto" w:fill="auto"/>
            <w:noWrap/>
            <w:vAlign w:val="center"/>
            <w:hideMark/>
          </w:tcPr>
          <w:p w14:paraId="49D6EDA1" w14:textId="64BC7626" w:rsidR="009A4127" w:rsidRPr="00170240" w:rsidRDefault="009A4127" w:rsidP="009A4127">
            <w:pPr>
              <w:spacing w:after="0" w:line="240" w:lineRule="auto"/>
              <w:jc w:val="right"/>
              <w:rPr>
                <w:rFonts w:cs="Arial"/>
                <w:sz w:val="16"/>
                <w:szCs w:val="16"/>
              </w:rPr>
            </w:pPr>
            <w:r>
              <w:rPr>
                <w:rFonts w:cs="Arial"/>
                <w:sz w:val="16"/>
                <w:szCs w:val="16"/>
              </w:rPr>
              <w:t>42,98</w:t>
            </w:r>
          </w:p>
        </w:tc>
        <w:tc>
          <w:tcPr>
            <w:tcW w:w="662" w:type="dxa"/>
            <w:tcBorders>
              <w:top w:val="nil"/>
              <w:left w:val="nil"/>
              <w:bottom w:val="nil"/>
              <w:right w:val="nil"/>
            </w:tcBorders>
            <w:shd w:val="clear" w:color="auto" w:fill="auto"/>
            <w:noWrap/>
            <w:vAlign w:val="center"/>
            <w:hideMark/>
          </w:tcPr>
          <w:p w14:paraId="556728E8"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44,10</w:t>
            </w:r>
          </w:p>
        </w:tc>
        <w:tc>
          <w:tcPr>
            <w:tcW w:w="630" w:type="dxa"/>
            <w:tcBorders>
              <w:top w:val="nil"/>
              <w:left w:val="nil"/>
              <w:bottom w:val="nil"/>
              <w:right w:val="nil"/>
            </w:tcBorders>
            <w:shd w:val="clear" w:color="auto" w:fill="auto"/>
            <w:noWrap/>
            <w:vAlign w:val="center"/>
            <w:hideMark/>
          </w:tcPr>
          <w:p w14:paraId="719929F0"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43,38</w:t>
            </w:r>
          </w:p>
        </w:tc>
        <w:tc>
          <w:tcPr>
            <w:tcW w:w="630" w:type="dxa"/>
            <w:tcBorders>
              <w:top w:val="nil"/>
              <w:left w:val="nil"/>
              <w:bottom w:val="nil"/>
              <w:right w:val="nil"/>
            </w:tcBorders>
            <w:shd w:val="clear" w:color="000000" w:fill="FFFFFF"/>
            <w:noWrap/>
            <w:vAlign w:val="center"/>
            <w:hideMark/>
          </w:tcPr>
          <w:p w14:paraId="1BEADE57"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41,37</w:t>
            </w:r>
          </w:p>
        </w:tc>
        <w:tc>
          <w:tcPr>
            <w:tcW w:w="634" w:type="dxa"/>
            <w:tcBorders>
              <w:top w:val="nil"/>
              <w:left w:val="nil"/>
              <w:bottom w:val="nil"/>
              <w:right w:val="nil"/>
            </w:tcBorders>
            <w:shd w:val="clear" w:color="auto" w:fill="auto"/>
            <w:noWrap/>
            <w:vAlign w:val="center"/>
            <w:hideMark/>
          </w:tcPr>
          <w:p w14:paraId="1C6076B7"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46,03</w:t>
            </w:r>
          </w:p>
        </w:tc>
      </w:tr>
      <w:tr w:rsidR="009A4127" w:rsidRPr="00170240" w14:paraId="73BA3539" w14:textId="77777777" w:rsidTr="00B3736B">
        <w:trPr>
          <w:trHeight w:val="291"/>
        </w:trPr>
        <w:tc>
          <w:tcPr>
            <w:tcW w:w="3237" w:type="dxa"/>
            <w:tcBorders>
              <w:top w:val="nil"/>
              <w:left w:val="nil"/>
              <w:bottom w:val="nil"/>
              <w:right w:val="nil"/>
            </w:tcBorders>
            <w:shd w:val="clear" w:color="auto" w:fill="auto"/>
            <w:vAlign w:val="center"/>
            <w:hideMark/>
          </w:tcPr>
          <w:p w14:paraId="786438B6" w14:textId="77777777" w:rsidR="009A4127" w:rsidRPr="00170240" w:rsidRDefault="009A4127" w:rsidP="009A4127">
            <w:pPr>
              <w:spacing w:after="0" w:line="240" w:lineRule="auto"/>
              <w:ind w:firstLineChars="100" w:firstLine="160"/>
              <w:rPr>
                <w:rFonts w:ascii="Arial CE" w:hAnsi="Arial CE" w:cs="Arial CE"/>
                <w:sz w:val="16"/>
                <w:szCs w:val="16"/>
              </w:rPr>
            </w:pPr>
            <w:r w:rsidRPr="00170240">
              <w:rPr>
                <w:rFonts w:ascii="Arial CE" w:hAnsi="Arial CE" w:cs="Arial CE"/>
                <w:sz w:val="16"/>
                <w:szCs w:val="16"/>
              </w:rPr>
              <w:t>F – Stavebnictví</w:t>
            </w:r>
          </w:p>
        </w:tc>
        <w:tc>
          <w:tcPr>
            <w:tcW w:w="630" w:type="dxa"/>
            <w:tcBorders>
              <w:top w:val="nil"/>
              <w:left w:val="nil"/>
              <w:bottom w:val="nil"/>
              <w:right w:val="nil"/>
            </w:tcBorders>
            <w:shd w:val="clear" w:color="auto" w:fill="auto"/>
            <w:noWrap/>
            <w:vAlign w:val="center"/>
            <w:hideMark/>
          </w:tcPr>
          <w:p w14:paraId="37E0A823" w14:textId="77777777" w:rsidR="009A4127" w:rsidRPr="00170240" w:rsidRDefault="009A4127" w:rsidP="009A4127">
            <w:pPr>
              <w:spacing w:after="0" w:line="240" w:lineRule="auto"/>
              <w:jc w:val="right"/>
              <w:rPr>
                <w:rFonts w:cs="Arial"/>
                <w:sz w:val="16"/>
                <w:szCs w:val="16"/>
              </w:rPr>
            </w:pPr>
            <w:r w:rsidRPr="00170240">
              <w:rPr>
                <w:rFonts w:cs="Arial"/>
                <w:sz w:val="16"/>
                <w:szCs w:val="16"/>
              </w:rPr>
              <w:t>57,75</w:t>
            </w:r>
          </w:p>
        </w:tc>
        <w:tc>
          <w:tcPr>
            <w:tcW w:w="630" w:type="dxa"/>
            <w:tcBorders>
              <w:top w:val="nil"/>
              <w:left w:val="nil"/>
              <w:bottom w:val="nil"/>
              <w:right w:val="nil"/>
            </w:tcBorders>
            <w:shd w:val="clear" w:color="auto" w:fill="auto"/>
            <w:noWrap/>
            <w:vAlign w:val="center"/>
            <w:hideMark/>
          </w:tcPr>
          <w:p w14:paraId="409F10AB" w14:textId="77777777" w:rsidR="009A4127" w:rsidRPr="00170240" w:rsidRDefault="009A4127" w:rsidP="009A4127">
            <w:pPr>
              <w:spacing w:after="0" w:line="240" w:lineRule="auto"/>
              <w:jc w:val="right"/>
              <w:rPr>
                <w:rFonts w:cs="Arial"/>
                <w:sz w:val="16"/>
                <w:szCs w:val="16"/>
              </w:rPr>
            </w:pPr>
            <w:r w:rsidRPr="00170240">
              <w:rPr>
                <w:rFonts w:cs="Arial"/>
                <w:sz w:val="16"/>
                <w:szCs w:val="16"/>
              </w:rPr>
              <w:t>64,79</w:t>
            </w:r>
          </w:p>
        </w:tc>
        <w:tc>
          <w:tcPr>
            <w:tcW w:w="630" w:type="dxa"/>
            <w:tcBorders>
              <w:top w:val="nil"/>
              <w:left w:val="nil"/>
              <w:bottom w:val="nil"/>
              <w:right w:val="nil"/>
            </w:tcBorders>
            <w:shd w:val="clear" w:color="auto" w:fill="auto"/>
            <w:noWrap/>
            <w:vAlign w:val="center"/>
            <w:hideMark/>
          </w:tcPr>
          <w:p w14:paraId="314F54AD" w14:textId="77777777" w:rsidR="009A4127" w:rsidRPr="00170240" w:rsidRDefault="009A4127" w:rsidP="009A4127">
            <w:pPr>
              <w:spacing w:after="0" w:line="240" w:lineRule="auto"/>
              <w:jc w:val="right"/>
              <w:rPr>
                <w:rFonts w:cs="Arial"/>
                <w:sz w:val="16"/>
                <w:szCs w:val="16"/>
              </w:rPr>
            </w:pPr>
            <w:r w:rsidRPr="00170240">
              <w:rPr>
                <w:rFonts w:cs="Arial"/>
                <w:sz w:val="16"/>
                <w:szCs w:val="16"/>
              </w:rPr>
              <w:t>63,57</w:t>
            </w:r>
          </w:p>
        </w:tc>
        <w:tc>
          <w:tcPr>
            <w:tcW w:w="630" w:type="dxa"/>
            <w:tcBorders>
              <w:top w:val="nil"/>
              <w:left w:val="nil"/>
              <w:bottom w:val="nil"/>
              <w:right w:val="nil"/>
            </w:tcBorders>
            <w:shd w:val="clear" w:color="auto" w:fill="auto"/>
            <w:noWrap/>
            <w:vAlign w:val="center"/>
            <w:hideMark/>
          </w:tcPr>
          <w:p w14:paraId="4B70418C" w14:textId="77777777" w:rsidR="009A4127" w:rsidRPr="00170240" w:rsidRDefault="009A4127" w:rsidP="009A4127">
            <w:pPr>
              <w:spacing w:after="0" w:line="240" w:lineRule="auto"/>
              <w:jc w:val="right"/>
              <w:rPr>
                <w:rFonts w:cs="Arial"/>
                <w:sz w:val="16"/>
                <w:szCs w:val="16"/>
              </w:rPr>
            </w:pPr>
            <w:r w:rsidRPr="00170240">
              <w:rPr>
                <w:rFonts w:cs="Arial"/>
                <w:sz w:val="16"/>
                <w:szCs w:val="16"/>
              </w:rPr>
              <w:t>59,65</w:t>
            </w:r>
          </w:p>
        </w:tc>
        <w:tc>
          <w:tcPr>
            <w:tcW w:w="662" w:type="dxa"/>
            <w:tcBorders>
              <w:top w:val="nil"/>
              <w:left w:val="nil"/>
              <w:bottom w:val="nil"/>
              <w:right w:val="nil"/>
            </w:tcBorders>
            <w:shd w:val="clear" w:color="auto" w:fill="auto"/>
            <w:noWrap/>
            <w:vAlign w:val="center"/>
            <w:hideMark/>
          </w:tcPr>
          <w:p w14:paraId="2C8F6363" w14:textId="77777777" w:rsidR="009A4127" w:rsidRPr="00170240" w:rsidRDefault="009A4127" w:rsidP="009A4127">
            <w:pPr>
              <w:spacing w:after="0" w:line="240" w:lineRule="auto"/>
              <w:jc w:val="right"/>
              <w:rPr>
                <w:rFonts w:cs="Arial"/>
                <w:sz w:val="16"/>
                <w:szCs w:val="16"/>
              </w:rPr>
            </w:pPr>
            <w:r w:rsidRPr="00170240">
              <w:rPr>
                <w:rFonts w:cs="Arial"/>
                <w:sz w:val="16"/>
                <w:szCs w:val="16"/>
              </w:rPr>
              <w:t>64,55</w:t>
            </w:r>
          </w:p>
        </w:tc>
        <w:tc>
          <w:tcPr>
            <w:tcW w:w="630" w:type="dxa"/>
            <w:tcBorders>
              <w:top w:val="nil"/>
              <w:left w:val="nil"/>
              <w:bottom w:val="nil"/>
              <w:right w:val="nil"/>
            </w:tcBorders>
            <w:shd w:val="clear" w:color="auto" w:fill="auto"/>
            <w:noWrap/>
            <w:vAlign w:val="center"/>
            <w:hideMark/>
          </w:tcPr>
          <w:p w14:paraId="13E4AA67" w14:textId="7B23FC5D" w:rsidR="009A4127" w:rsidRPr="00170240" w:rsidRDefault="009A4127" w:rsidP="009A4127">
            <w:pPr>
              <w:spacing w:after="0" w:line="240" w:lineRule="auto"/>
              <w:jc w:val="right"/>
              <w:rPr>
                <w:rFonts w:cs="Arial"/>
                <w:sz w:val="16"/>
                <w:szCs w:val="16"/>
              </w:rPr>
            </w:pPr>
            <w:r>
              <w:rPr>
                <w:rFonts w:cs="Arial"/>
                <w:sz w:val="16"/>
                <w:szCs w:val="16"/>
              </w:rPr>
              <w:t>53,87</w:t>
            </w:r>
          </w:p>
        </w:tc>
        <w:tc>
          <w:tcPr>
            <w:tcW w:w="662" w:type="dxa"/>
            <w:tcBorders>
              <w:top w:val="nil"/>
              <w:left w:val="nil"/>
              <w:bottom w:val="nil"/>
              <w:right w:val="nil"/>
            </w:tcBorders>
            <w:shd w:val="clear" w:color="auto" w:fill="auto"/>
            <w:noWrap/>
            <w:vAlign w:val="center"/>
            <w:hideMark/>
          </w:tcPr>
          <w:p w14:paraId="4669F84D"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56,59</w:t>
            </w:r>
          </w:p>
        </w:tc>
        <w:tc>
          <w:tcPr>
            <w:tcW w:w="630" w:type="dxa"/>
            <w:tcBorders>
              <w:top w:val="nil"/>
              <w:left w:val="nil"/>
              <w:bottom w:val="nil"/>
              <w:right w:val="nil"/>
            </w:tcBorders>
            <w:shd w:val="clear" w:color="auto" w:fill="auto"/>
            <w:noWrap/>
            <w:vAlign w:val="center"/>
            <w:hideMark/>
          </w:tcPr>
          <w:p w14:paraId="6A67755E"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55,07</w:t>
            </w:r>
          </w:p>
        </w:tc>
        <w:tc>
          <w:tcPr>
            <w:tcW w:w="630" w:type="dxa"/>
            <w:tcBorders>
              <w:top w:val="nil"/>
              <w:left w:val="nil"/>
              <w:bottom w:val="nil"/>
              <w:right w:val="nil"/>
            </w:tcBorders>
            <w:shd w:val="clear" w:color="000000" w:fill="FFFFFF"/>
            <w:noWrap/>
            <w:vAlign w:val="center"/>
            <w:hideMark/>
          </w:tcPr>
          <w:p w14:paraId="1E0E775C"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51,78</w:t>
            </w:r>
          </w:p>
        </w:tc>
        <w:tc>
          <w:tcPr>
            <w:tcW w:w="634" w:type="dxa"/>
            <w:tcBorders>
              <w:top w:val="nil"/>
              <w:left w:val="nil"/>
              <w:bottom w:val="nil"/>
              <w:right w:val="nil"/>
            </w:tcBorders>
            <w:shd w:val="clear" w:color="auto" w:fill="auto"/>
            <w:noWrap/>
            <w:vAlign w:val="center"/>
            <w:hideMark/>
          </w:tcPr>
          <w:p w14:paraId="2C05C097"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54,98</w:t>
            </w:r>
          </w:p>
        </w:tc>
      </w:tr>
      <w:tr w:rsidR="009A4127" w:rsidRPr="00170240" w14:paraId="679A00BF" w14:textId="77777777" w:rsidTr="00B3736B">
        <w:trPr>
          <w:trHeight w:val="460"/>
        </w:trPr>
        <w:tc>
          <w:tcPr>
            <w:tcW w:w="3237" w:type="dxa"/>
            <w:tcBorders>
              <w:top w:val="nil"/>
              <w:left w:val="nil"/>
              <w:bottom w:val="nil"/>
              <w:right w:val="nil"/>
            </w:tcBorders>
            <w:shd w:val="clear" w:color="auto" w:fill="auto"/>
            <w:vAlign w:val="center"/>
            <w:hideMark/>
          </w:tcPr>
          <w:p w14:paraId="0FBF904B" w14:textId="77777777" w:rsidR="009A4127" w:rsidRDefault="009A4127" w:rsidP="009A4127">
            <w:pPr>
              <w:spacing w:after="0" w:line="240" w:lineRule="auto"/>
              <w:ind w:firstLineChars="100" w:firstLine="160"/>
              <w:rPr>
                <w:rFonts w:ascii="Arial CE" w:hAnsi="Arial CE" w:cs="Arial CE"/>
                <w:sz w:val="16"/>
                <w:szCs w:val="16"/>
              </w:rPr>
            </w:pPr>
            <w:r w:rsidRPr="00170240">
              <w:rPr>
                <w:rFonts w:ascii="Arial CE" w:hAnsi="Arial CE" w:cs="Arial CE"/>
                <w:sz w:val="16"/>
                <w:szCs w:val="16"/>
              </w:rPr>
              <w:t xml:space="preserve">G – Velkoobchod a maloobchod; </w:t>
            </w:r>
          </w:p>
          <w:p w14:paraId="2CDABA8A" w14:textId="7CF5BCAE" w:rsidR="009A4127" w:rsidRDefault="009A4127" w:rsidP="009A4127">
            <w:pPr>
              <w:spacing w:after="0" w:line="240" w:lineRule="auto"/>
              <w:ind w:firstLineChars="100" w:firstLine="160"/>
              <w:rPr>
                <w:rFonts w:ascii="Arial CE" w:hAnsi="Arial CE" w:cs="Arial CE"/>
                <w:sz w:val="16"/>
                <w:szCs w:val="16"/>
              </w:rPr>
            </w:pPr>
            <w:r>
              <w:rPr>
                <w:rFonts w:ascii="Arial CE" w:hAnsi="Arial CE" w:cs="Arial CE"/>
                <w:sz w:val="16"/>
                <w:szCs w:val="16"/>
              </w:rPr>
              <w:t xml:space="preserve">       opravy a údržba</w:t>
            </w:r>
            <w:r w:rsidRPr="00170240">
              <w:rPr>
                <w:rFonts w:ascii="Arial CE" w:hAnsi="Arial CE" w:cs="Arial CE"/>
                <w:sz w:val="16"/>
                <w:szCs w:val="16"/>
              </w:rPr>
              <w:t xml:space="preserve"> motorových </w:t>
            </w:r>
          </w:p>
          <w:p w14:paraId="4998B9C7" w14:textId="01F79B86" w:rsidR="009A4127" w:rsidRPr="00170240" w:rsidRDefault="009A4127" w:rsidP="009A4127">
            <w:pPr>
              <w:spacing w:after="0" w:line="240" w:lineRule="auto"/>
              <w:ind w:firstLineChars="100" w:firstLine="160"/>
              <w:rPr>
                <w:rFonts w:ascii="Arial CE" w:hAnsi="Arial CE" w:cs="Arial CE"/>
                <w:sz w:val="16"/>
                <w:szCs w:val="16"/>
              </w:rPr>
            </w:pPr>
            <w:r>
              <w:rPr>
                <w:rFonts w:ascii="Arial CE" w:hAnsi="Arial CE" w:cs="Arial CE"/>
                <w:sz w:val="16"/>
                <w:szCs w:val="16"/>
              </w:rPr>
              <w:t xml:space="preserve">       </w:t>
            </w:r>
            <w:r w:rsidRPr="00170240">
              <w:rPr>
                <w:rFonts w:ascii="Arial CE" w:hAnsi="Arial CE" w:cs="Arial CE"/>
                <w:sz w:val="16"/>
                <w:szCs w:val="16"/>
              </w:rPr>
              <w:t>vozidel</w:t>
            </w:r>
          </w:p>
        </w:tc>
        <w:tc>
          <w:tcPr>
            <w:tcW w:w="630" w:type="dxa"/>
            <w:tcBorders>
              <w:top w:val="nil"/>
              <w:left w:val="nil"/>
              <w:bottom w:val="nil"/>
              <w:right w:val="nil"/>
            </w:tcBorders>
            <w:shd w:val="clear" w:color="auto" w:fill="auto"/>
            <w:noWrap/>
            <w:vAlign w:val="center"/>
            <w:hideMark/>
          </w:tcPr>
          <w:p w14:paraId="031BDAB1" w14:textId="77777777" w:rsidR="009A4127" w:rsidRPr="00170240" w:rsidRDefault="009A4127" w:rsidP="009A4127">
            <w:pPr>
              <w:spacing w:after="0" w:line="240" w:lineRule="auto"/>
              <w:jc w:val="right"/>
              <w:rPr>
                <w:rFonts w:cs="Arial"/>
                <w:sz w:val="16"/>
                <w:szCs w:val="16"/>
              </w:rPr>
            </w:pPr>
            <w:r w:rsidRPr="00170240">
              <w:rPr>
                <w:rFonts w:cs="Arial"/>
                <w:sz w:val="16"/>
                <w:szCs w:val="16"/>
              </w:rPr>
              <w:t>48,06</w:t>
            </w:r>
          </w:p>
        </w:tc>
        <w:tc>
          <w:tcPr>
            <w:tcW w:w="630" w:type="dxa"/>
            <w:tcBorders>
              <w:top w:val="nil"/>
              <w:left w:val="nil"/>
              <w:bottom w:val="nil"/>
              <w:right w:val="nil"/>
            </w:tcBorders>
            <w:shd w:val="clear" w:color="auto" w:fill="auto"/>
            <w:noWrap/>
            <w:vAlign w:val="center"/>
            <w:hideMark/>
          </w:tcPr>
          <w:p w14:paraId="5EA17225" w14:textId="77777777" w:rsidR="009A4127" w:rsidRPr="00170240" w:rsidRDefault="009A4127" w:rsidP="009A4127">
            <w:pPr>
              <w:spacing w:after="0" w:line="240" w:lineRule="auto"/>
              <w:jc w:val="right"/>
              <w:rPr>
                <w:rFonts w:cs="Arial"/>
                <w:sz w:val="16"/>
                <w:szCs w:val="16"/>
              </w:rPr>
            </w:pPr>
            <w:r w:rsidRPr="00170240">
              <w:rPr>
                <w:rFonts w:cs="Arial"/>
                <w:sz w:val="16"/>
                <w:szCs w:val="16"/>
              </w:rPr>
              <w:t>46,96</w:t>
            </w:r>
          </w:p>
        </w:tc>
        <w:tc>
          <w:tcPr>
            <w:tcW w:w="630" w:type="dxa"/>
            <w:tcBorders>
              <w:top w:val="nil"/>
              <w:left w:val="nil"/>
              <w:bottom w:val="nil"/>
              <w:right w:val="nil"/>
            </w:tcBorders>
            <w:shd w:val="clear" w:color="auto" w:fill="auto"/>
            <w:noWrap/>
            <w:vAlign w:val="center"/>
            <w:hideMark/>
          </w:tcPr>
          <w:p w14:paraId="72A4D7F9" w14:textId="77777777" w:rsidR="009A4127" w:rsidRPr="00170240" w:rsidRDefault="009A4127" w:rsidP="009A4127">
            <w:pPr>
              <w:spacing w:after="0" w:line="240" w:lineRule="auto"/>
              <w:jc w:val="right"/>
              <w:rPr>
                <w:rFonts w:cs="Arial"/>
                <w:sz w:val="16"/>
                <w:szCs w:val="16"/>
              </w:rPr>
            </w:pPr>
            <w:r w:rsidRPr="00170240">
              <w:rPr>
                <w:rFonts w:cs="Arial"/>
                <w:sz w:val="16"/>
                <w:szCs w:val="16"/>
              </w:rPr>
              <w:t>51,93</w:t>
            </w:r>
          </w:p>
        </w:tc>
        <w:tc>
          <w:tcPr>
            <w:tcW w:w="630" w:type="dxa"/>
            <w:tcBorders>
              <w:top w:val="nil"/>
              <w:left w:val="nil"/>
              <w:bottom w:val="nil"/>
              <w:right w:val="nil"/>
            </w:tcBorders>
            <w:shd w:val="clear" w:color="auto" w:fill="auto"/>
            <w:noWrap/>
            <w:vAlign w:val="center"/>
            <w:hideMark/>
          </w:tcPr>
          <w:p w14:paraId="38FE56D4" w14:textId="77777777" w:rsidR="009A4127" w:rsidRPr="00170240" w:rsidRDefault="009A4127" w:rsidP="009A4127">
            <w:pPr>
              <w:spacing w:after="0" w:line="240" w:lineRule="auto"/>
              <w:jc w:val="right"/>
              <w:rPr>
                <w:rFonts w:cs="Arial"/>
                <w:sz w:val="16"/>
                <w:szCs w:val="16"/>
              </w:rPr>
            </w:pPr>
            <w:r w:rsidRPr="00170240">
              <w:rPr>
                <w:rFonts w:cs="Arial"/>
                <w:sz w:val="16"/>
                <w:szCs w:val="16"/>
              </w:rPr>
              <w:t>46,56</w:t>
            </w:r>
          </w:p>
        </w:tc>
        <w:tc>
          <w:tcPr>
            <w:tcW w:w="662" w:type="dxa"/>
            <w:tcBorders>
              <w:top w:val="nil"/>
              <w:left w:val="nil"/>
              <w:bottom w:val="nil"/>
              <w:right w:val="nil"/>
            </w:tcBorders>
            <w:shd w:val="clear" w:color="auto" w:fill="auto"/>
            <w:noWrap/>
            <w:vAlign w:val="center"/>
            <w:hideMark/>
          </w:tcPr>
          <w:p w14:paraId="1055E819" w14:textId="77777777" w:rsidR="009A4127" w:rsidRPr="00170240" w:rsidRDefault="009A4127" w:rsidP="009A4127">
            <w:pPr>
              <w:spacing w:after="0" w:line="240" w:lineRule="auto"/>
              <w:jc w:val="right"/>
              <w:rPr>
                <w:rFonts w:cs="Arial"/>
                <w:sz w:val="16"/>
                <w:szCs w:val="16"/>
              </w:rPr>
            </w:pPr>
            <w:r w:rsidRPr="00170240">
              <w:rPr>
                <w:rFonts w:cs="Arial"/>
                <w:sz w:val="16"/>
                <w:szCs w:val="16"/>
              </w:rPr>
              <w:t>50,91</w:t>
            </w:r>
          </w:p>
        </w:tc>
        <w:tc>
          <w:tcPr>
            <w:tcW w:w="630" w:type="dxa"/>
            <w:tcBorders>
              <w:top w:val="nil"/>
              <w:left w:val="nil"/>
              <w:bottom w:val="nil"/>
              <w:right w:val="nil"/>
            </w:tcBorders>
            <w:shd w:val="clear" w:color="auto" w:fill="auto"/>
            <w:noWrap/>
            <w:vAlign w:val="center"/>
            <w:hideMark/>
          </w:tcPr>
          <w:p w14:paraId="4AB5BBD5" w14:textId="3566C5D1" w:rsidR="009A4127" w:rsidRPr="00170240" w:rsidRDefault="009A4127" w:rsidP="009A4127">
            <w:pPr>
              <w:spacing w:after="0" w:line="240" w:lineRule="auto"/>
              <w:jc w:val="right"/>
              <w:rPr>
                <w:rFonts w:cs="Arial"/>
                <w:sz w:val="16"/>
                <w:szCs w:val="16"/>
              </w:rPr>
            </w:pPr>
            <w:r>
              <w:rPr>
                <w:rFonts w:cs="Arial"/>
                <w:sz w:val="16"/>
                <w:szCs w:val="16"/>
              </w:rPr>
              <w:t>44,43</w:t>
            </w:r>
          </w:p>
        </w:tc>
        <w:tc>
          <w:tcPr>
            <w:tcW w:w="662" w:type="dxa"/>
            <w:tcBorders>
              <w:top w:val="nil"/>
              <w:left w:val="nil"/>
              <w:bottom w:val="nil"/>
              <w:right w:val="nil"/>
            </w:tcBorders>
            <w:shd w:val="clear" w:color="auto" w:fill="auto"/>
            <w:noWrap/>
            <w:vAlign w:val="center"/>
            <w:hideMark/>
          </w:tcPr>
          <w:p w14:paraId="38F3AF6C"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44,45</w:t>
            </w:r>
          </w:p>
        </w:tc>
        <w:tc>
          <w:tcPr>
            <w:tcW w:w="630" w:type="dxa"/>
            <w:tcBorders>
              <w:top w:val="nil"/>
              <w:left w:val="nil"/>
              <w:bottom w:val="nil"/>
              <w:right w:val="nil"/>
            </w:tcBorders>
            <w:shd w:val="clear" w:color="auto" w:fill="auto"/>
            <w:noWrap/>
            <w:vAlign w:val="center"/>
            <w:hideMark/>
          </w:tcPr>
          <w:p w14:paraId="779DA24A"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43,41</w:t>
            </w:r>
          </w:p>
        </w:tc>
        <w:tc>
          <w:tcPr>
            <w:tcW w:w="630" w:type="dxa"/>
            <w:tcBorders>
              <w:top w:val="nil"/>
              <w:left w:val="nil"/>
              <w:bottom w:val="nil"/>
              <w:right w:val="nil"/>
            </w:tcBorders>
            <w:shd w:val="clear" w:color="000000" w:fill="FFFFFF"/>
            <w:noWrap/>
            <w:vAlign w:val="center"/>
            <w:hideMark/>
          </w:tcPr>
          <w:p w14:paraId="7567EBD6"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41,92</w:t>
            </w:r>
          </w:p>
        </w:tc>
        <w:tc>
          <w:tcPr>
            <w:tcW w:w="634" w:type="dxa"/>
            <w:tcBorders>
              <w:top w:val="nil"/>
              <w:left w:val="nil"/>
              <w:bottom w:val="nil"/>
              <w:right w:val="nil"/>
            </w:tcBorders>
            <w:shd w:val="clear" w:color="auto" w:fill="auto"/>
            <w:noWrap/>
            <w:vAlign w:val="center"/>
            <w:hideMark/>
          </w:tcPr>
          <w:p w14:paraId="2ECF73CB"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44,96</w:t>
            </w:r>
          </w:p>
        </w:tc>
      </w:tr>
      <w:tr w:rsidR="009A4127" w:rsidRPr="00170240" w14:paraId="512871E1" w14:textId="77777777" w:rsidTr="00B3736B">
        <w:trPr>
          <w:trHeight w:val="291"/>
        </w:trPr>
        <w:tc>
          <w:tcPr>
            <w:tcW w:w="3237" w:type="dxa"/>
            <w:tcBorders>
              <w:top w:val="nil"/>
              <w:left w:val="nil"/>
              <w:bottom w:val="nil"/>
              <w:right w:val="nil"/>
            </w:tcBorders>
            <w:shd w:val="clear" w:color="auto" w:fill="auto"/>
            <w:vAlign w:val="center"/>
            <w:hideMark/>
          </w:tcPr>
          <w:p w14:paraId="1A1B7C9A" w14:textId="77777777" w:rsidR="009A4127" w:rsidRPr="00170240" w:rsidRDefault="009A4127" w:rsidP="009A4127">
            <w:pPr>
              <w:spacing w:after="0" w:line="240" w:lineRule="auto"/>
              <w:ind w:firstLineChars="100" w:firstLine="160"/>
              <w:rPr>
                <w:rFonts w:ascii="Arial CE" w:hAnsi="Arial CE" w:cs="Arial CE"/>
                <w:sz w:val="16"/>
                <w:szCs w:val="16"/>
              </w:rPr>
            </w:pPr>
            <w:r w:rsidRPr="00170240">
              <w:rPr>
                <w:rFonts w:ascii="Arial CE" w:hAnsi="Arial CE" w:cs="Arial CE"/>
                <w:sz w:val="16"/>
                <w:szCs w:val="16"/>
              </w:rPr>
              <w:t>H – Doprava a skladování</w:t>
            </w:r>
          </w:p>
        </w:tc>
        <w:tc>
          <w:tcPr>
            <w:tcW w:w="630" w:type="dxa"/>
            <w:tcBorders>
              <w:top w:val="nil"/>
              <w:left w:val="nil"/>
              <w:bottom w:val="nil"/>
              <w:right w:val="nil"/>
            </w:tcBorders>
            <w:shd w:val="clear" w:color="auto" w:fill="auto"/>
            <w:noWrap/>
            <w:vAlign w:val="center"/>
            <w:hideMark/>
          </w:tcPr>
          <w:p w14:paraId="2B87D1ED" w14:textId="77777777" w:rsidR="009A4127" w:rsidRPr="00170240" w:rsidRDefault="009A4127" w:rsidP="009A4127">
            <w:pPr>
              <w:spacing w:after="0" w:line="240" w:lineRule="auto"/>
              <w:jc w:val="right"/>
              <w:rPr>
                <w:rFonts w:cs="Arial"/>
                <w:sz w:val="16"/>
                <w:szCs w:val="16"/>
              </w:rPr>
            </w:pPr>
            <w:r w:rsidRPr="00170240">
              <w:rPr>
                <w:rFonts w:cs="Arial"/>
                <w:sz w:val="16"/>
                <w:szCs w:val="16"/>
              </w:rPr>
              <w:t>47,92</w:t>
            </w:r>
          </w:p>
        </w:tc>
        <w:tc>
          <w:tcPr>
            <w:tcW w:w="630" w:type="dxa"/>
            <w:tcBorders>
              <w:top w:val="nil"/>
              <w:left w:val="nil"/>
              <w:bottom w:val="nil"/>
              <w:right w:val="nil"/>
            </w:tcBorders>
            <w:shd w:val="clear" w:color="auto" w:fill="auto"/>
            <w:noWrap/>
            <w:vAlign w:val="center"/>
            <w:hideMark/>
          </w:tcPr>
          <w:p w14:paraId="148D2A7F" w14:textId="77777777" w:rsidR="009A4127" w:rsidRPr="00170240" w:rsidRDefault="009A4127" w:rsidP="009A4127">
            <w:pPr>
              <w:spacing w:after="0" w:line="240" w:lineRule="auto"/>
              <w:jc w:val="right"/>
              <w:rPr>
                <w:rFonts w:cs="Arial"/>
                <w:sz w:val="16"/>
                <w:szCs w:val="16"/>
              </w:rPr>
            </w:pPr>
            <w:r w:rsidRPr="00170240">
              <w:rPr>
                <w:rFonts w:cs="Arial"/>
                <w:sz w:val="16"/>
                <w:szCs w:val="16"/>
              </w:rPr>
              <w:t>45,61</w:t>
            </w:r>
          </w:p>
        </w:tc>
        <w:tc>
          <w:tcPr>
            <w:tcW w:w="630" w:type="dxa"/>
            <w:tcBorders>
              <w:top w:val="nil"/>
              <w:left w:val="nil"/>
              <w:bottom w:val="nil"/>
              <w:right w:val="nil"/>
            </w:tcBorders>
            <w:shd w:val="clear" w:color="auto" w:fill="auto"/>
            <w:noWrap/>
            <w:vAlign w:val="center"/>
            <w:hideMark/>
          </w:tcPr>
          <w:p w14:paraId="06A402DC" w14:textId="77777777" w:rsidR="009A4127" w:rsidRPr="00170240" w:rsidRDefault="009A4127" w:rsidP="009A4127">
            <w:pPr>
              <w:spacing w:after="0" w:line="240" w:lineRule="auto"/>
              <w:jc w:val="right"/>
              <w:rPr>
                <w:rFonts w:cs="Arial"/>
                <w:sz w:val="16"/>
                <w:szCs w:val="16"/>
              </w:rPr>
            </w:pPr>
            <w:r w:rsidRPr="00170240">
              <w:rPr>
                <w:rFonts w:cs="Arial"/>
                <w:sz w:val="16"/>
                <w:szCs w:val="16"/>
              </w:rPr>
              <w:t>52,45</w:t>
            </w:r>
          </w:p>
        </w:tc>
        <w:tc>
          <w:tcPr>
            <w:tcW w:w="630" w:type="dxa"/>
            <w:tcBorders>
              <w:top w:val="nil"/>
              <w:left w:val="nil"/>
              <w:bottom w:val="nil"/>
              <w:right w:val="nil"/>
            </w:tcBorders>
            <w:shd w:val="clear" w:color="auto" w:fill="auto"/>
            <w:noWrap/>
            <w:vAlign w:val="center"/>
            <w:hideMark/>
          </w:tcPr>
          <w:p w14:paraId="5D0E78A7" w14:textId="77777777" w:rsidR="009A4127" w:rsidRPr="00170240" w:rsidRDefault="009A4127" w:rsidP="009A4127">
            <w:pPr>
              <w:spacing w:after="0" w:line="240" w:lineRule="auto"/>
              <w:jc w:val="right"/>
              <w:rPr>
                <w:rFonts w:cs="Arial"/>
                <w:sz w:val="16"/>
                <w:szCs w:val="16"/>
              </w:rPr>
            </w:pPr>
            <w:r w:rsidRPr="00170240">
              <w:rPr>
                <w:rFonts w:cs="Arial"/>
                <w:sz w:val="16"/>
                <w:szCs w:val="16"/>
              </w:rPr>
              <w:t>48,42</w:t>
            </w:r>
          </w:p>
        </w:tc>
        <w:tc>
          <w:tcPr>
            <w:tcW w:w="662" w:type="dxa"/>
            <w:tcBorders>
              <w:top w:val="nil"/>
              <w:left w:val="nil"/>
              <w:bottom w:val="nil"/>
              <w:right w:val="nil"/>
            </w:tcBorders>
            <w:shd w:val="clear" w:color="auto" w:fill="auto"/>
            <w:noWrap/>
            <w:vAlign w:val="center"/>
            <w:hideMark/>
          </w:tcPr>
          <w:p w14:paraId="0F378A7E" w14:textId="77777777" w:rsidR="009A4127" w:rsidRPr="00170240" w:rsidRDefault="009A4127" w:rsidP="009A4127">
            <w:pPr>
              <w:spacing w:after="0" w:line="240" w:lineRule="auto"/>
              <w:jc w:val="right"/>
              <w:rPr>
                <w:rFonts w:cs="Arial"/>
                <w:sz w:val="16"/>
                <w:szCs w:val="16"/>
              </w:rPr>
            </w:pPr>
            <w:r w:rsidRPr="00170240">
              <w:rPr>
                <w:rFonts w:cs="Arial"/>
                <w:sz w:val="16"/>
                <w:szCs w:val="16"/>
              </w:rPr>
              <w:t>52,54</w:t>
            </w:r>
          </w:p>
        </w:tc>
        <w:tc>
          <w:tcPr>
            <w:tcW w:w="630" w:type="dxa"/>
            <w:tcBorders>
              <w:top w:val="nil"/>
              <w:left w:val="nil"/>
              <w:bottom w:val="nil"/>
              <w:right w:val="nil"/>
            </w:tcBorders>
            <w:shd w:val="clear" w:color="auto" w:fill="auto"/>
            <w:noWrap/>
            <w:vAlign w:val="center"/>
            <w:hideMark/>
          </w:tcPr>
          <w:p w14:paraId="60C8C5DC" w14:textId="4F29EEDA" w:rsidR="009A4127" w:rsidRPr="00170240" w:rsidRDefault="009A4127" w:rsidP="009A4127">
            <w:pPr>
              <w:spacing w:after="0" w:line="240" w:lineRule="auto"/>
              <w:jc w:val="right"/>
              <w:rPr>
                <w:rFonts w:cs="Arial"/>
                <w:sz w:val="16"/>
                <w:szCs w:val="16"/>
              </w:rPr>
            </w:pPr>
            <w:r>
              <w:rPr>
                <w:rFonts w:cs="Arial"/>
                <w:sz w:val="16"/>
                <w:szCs w:val="16"/>
              </w:rPr>
              <w:t>43,89</w:t>
            </w:r>
          </w:p>
        </w:tc>
        <w:tc>
          <w:tcPr>
            <w:tcW w:w="662" w:type="dxa"/>
            <w:tcBorders>
              <w:top w:val="nil"/>
              <w:left w:val="nil"/>
              <w:bottom w:val="nil"/>
              <w:right w:val="nil"/>
            </w:tcBorders>
            <w:shd w:val="clear" w:color="auto" w:fill="auto"/>
            <w:noWrap/>
            <w:vAlign w:val="center"/>
            <w:hideMark/>
          </w:tcPr>
          <w:p w14:paraId="115B6AB5"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46,00</w:t>
            </w:r>
          </w:p>
        </w:tc>
        <w:tc>
          <w:tcPr>
            <w:tcW w:w="630" w:type="dxa"/>
            <w:tcBorders>
              <w:top w:val="nil"/>
              <w:left w:val="nil"/>
              <w:bottom w:val="nil"/>
              <w:right w:val="nil"/>
            </w:tcBorders>
            <w:shd w:val="clear" w:color="auto" w:fill="auto"/>
            <w:noWrap/>
            <w:vAlign w:val="center"/>
            <w:hideMark/>
          </w:tcPr>
          <w:p w14:paraId="7B1956CD"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44,08</w:t>
            </w:r>
          </w:p>
        </w:tc>
        <w:tc>
          <w:tcPr>
            <w:tcW w:w="630" w:type="dxa"/>
            <w:tcBorders>
              <w:top w:val="nil"/>
              <w:left w:val="nil"/>
              <w:bottom w:val="nil"/>
              <w:right w:val="nil"/>
            </w:tcBorders>
            <w:shd w:val="clear" w:color="000000" w:fill="FFFFFF"/>
            <w:noWrap/>
            <w:vAlign w:val="center"/>
            <w:hideMark/>
          </w:tcPr>
          <w:p w14:paraId="1623E764"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41,83</w:t>
            </w:r>
          </w:p>
        </w:tc>
        <w:tc>
          <w:tcPr>
            <w:tcW w:w="634" w:type="dxa"/>
            <w:tcBorders>
              <w:top w:val="nil"/>
              <w:left w:val="nil"/>
              <w:bottom w:val="nil"/>
              <w:right w:val="nil"/>
            </w:tcBorders>
            <w:shd w:val="clear" w:color="auto" w:fill="auto"/>
            <w:noWrap/>
            <w:vAlign w:val="center"/>
            <w:hideMark/>
          </w:tcPr>
          <w:p w14:paraId="7A70B6F9"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45,87</w:t>
            </w:r>
          </w:p>
        </w:tc>
      </w:tr>
      <w:tr w:rsidR="009A4127" w:rsidRPr="00170240" w14:paraId="50C15076" w14:textId="77777777" w:rsidTr="00B3736B">
        <w:trPr>
          <w:trHeight w:val="291"/>
        </w:trPr>
        <w:tc>
          <w:tcPr>
            <w:tcW w:w="3237" w:type="dxa"/>
            <w:tcBorders>
              <w:top w:val="nil"/>
              <w:left w:val="nil"/>
              <w:bottom w:val="nil"/>
              <w:right w:val="nil"/>
            </w:tcBorders>
            <w:shd w:val="clear" w:color="auto" w:fill="auto"/>
            <w:vAlign w:val="center"/>
            <w:hideMark/>
          </w:tcPr>
          <w:p w14:paraId="4FFCA905" w14:textId="77777777" w:rsidR="009A4127" w:rsidRDefault="009A4127" w:rsidP="009A4127">
            <w:pPr>
              <w:spacing w:after="0" w:line="240" w:lineRule="auto"/>
              <w:ind w:firstLineChars="100" w:firstLine="160"/>
              <w:rPr>
                <w:rFonts w:ascii="Arial CE" w:hAnsi="Arial CE" w:cs="Arial CE"/>
                <w:sz w:val="16"/>
                <w:szCs w:val="16"/>
              </w:rPr>
            </w:pPr>
            <w:r w:rsidRPr="00170240">
              <w:rPr>
                <w:rFonts w:ascii="Arial CE" w:hAnsi="Arial CE" w:cs="Arial CE"/>
                <w:sz w:val="16"/>
                <w:szCs w:val="16"/>
              </w:rPr>
              <w:t xml:space="preserve">I – Ubytování, stravování </w:t>
            </w:r>
          </w:p>
          <w:p w14:paraId="17A5B5A8" w14:textId="118CDFD8" w:rsidR="009A4127" w:rsidRPr="00170240" w:rsidRDefault="009A4127" w:rsidP="009A4127">
            <w:pPr>
              <w:spacing w:after="0" w:line="240" w:lineRule="auto"/>
              <w:ind w:firstLineChars="100" w:firstLine="160"/>
              <w:rPr>
                <w:rFonts w:ascii="Arial CE" w:hAnsi="Arial CE" w:cs="Arial CE"/>
                <w:sz w:val="16"/>
                <w:szCs w:val="16"/>
              </w:rPr>
            </w:pPr>
            <w:r>
              <w:rPr>
                <w:rFonts w:ascii="Arial CE" w:hAnsi="Arial CE" w:cs="Arial CE"/>
                <w:sz w:val="16"/>
                <w:szCs w:val="16"/>
              </w:rPr>
              <w:t xml:space="preserve">     </w:t>
            </w:r>
            <w:r w:rsidRPr="00170240">
              <w:rPr>
                <w:rFonts w:ascii="Arial CE" w:hAnsi="Arial CE" w:cs="Arial CE"/>
                <w:sz w:val="16"/>
                <w:szCs w:val="16"/>
              </w:rPr>
              <w:t>a pohostinství</w:t>
            </w:r>
          </w:p>
        </w:tc>
        <w:tc>
          <w:tcPr>
            <w:tcW w:w="630" w:type="dxa"/>
            <w:tcBorders>
              <w:top w:val="nil"/>
              <w:left w:val="nil"/>
              <w:bottom w:val="nil"/>
              <w:right w:val="nil"/>
            </w:tcBorders>
            <w:shd w:val="clear" w:color="auto" w:fill="auto"/>
            <w:noWrap/>
            <w:vAlign w:val="center"/>
            <w:hideMark/>
          </w:tcPr>
          <w:p w14:paraId="4B36BD9B" w14:textId="77777777" w:rsidR="009A4127" w:rsidRPr="00170240" w:rsidRDefault="009A4127" w:rsidP="009A4127">
            <w:pPr>
              <w:spacing w:after="0" w:line="240" w:lineRule="auto"/>
              <w:jc w:val="right"/>
              <w:rPr>
                <w:rFonts w:cs="Arial"/>
                <w:sz w:val="16"/>
                <w:szCs w:val="16"/>
              </w:rPr>
            </w:pPr>
            <w:r w:rsidRPr="00170240">
              <w:rPr>
                <w:rFonts w:cs="Arial"/>
                <w:sz w:val="16"/>
                <w:szCs w:val="16"/>
              </w:rPr>
              <w:t>56,95</w:t>
            </w:r>
          </w:p>
        </w:tc>
        <w:tc>
          <w:tcPr>
            <w:tcW w:w="630" w:type="dxa"/>
            <w:tcBorders>
              <w:top w:val="nil"/>
              <w:left w:val="nil"/>
              <w:bottom w:val="nil"/>
              <w:right w:val="nil"/>
            </w:tcBorders>
            <w:shd w:val="clear" w:color="auto" w:fill="auto"/>
            <w:noWrap/>
            <w:vAlign w:val="center"/>
            <w:hideMark/>
          </w:tcPr>
          <w:p w14:paraId="0E14B968" w14:textId="77777777" w:rsidR="009A4127" w:rsidRPr="00170240" w:rsidRDefault="009A4127" w:rsidP="009A4127">
            <w:pPr>
              <w:spacing w:after="0" w:line="240" w:lineRule="auto"/>
              <w:jc w:val="right"/>
              <w:rPr>
                <w:rFonts w:cs="Arial"/>
                <w:sz w:val="16"/>
                <w:szCs w:val="16"/>
              </w:rPr>
            </w:pPr>
            <w:r w:rsidRPr="00170240">
              <w:rPr>
                <w:rFonts w:cs="Arial"/>
                <w:sz w:val="16"/>
                <w:szCs w:val="16"/>
              </w:rPr>
              <w:t>60,44</w:t>
            </w:r>
          </w:p>
        </w:tc>
        <w:tc>
          <w:tcPr>
            <w:tcW w:w="630" w:type="dxa"/>
            <w:tcBorders>
              <w:top w:val="nil"/>
              <w:left w:val="nil"/>
              <w:bottom w:val="nil"/>
              <w:right w:val="nil"/>
            </w:tcBorders>
            <w:shd w:val="clear" w:color="auto" w:fill="auto"/>
            <w:noWrap/>
            <w:vAlign w:val="center"/>
            <w:hideMark/>
          </w:tcPr>
          <w:p w14:paraId="4C1972F1" w14:textId="77777777" w:rsidR="009A4127" w:rsidRPr="00170240" w:rsidRDefault="009A4127" w:rsidP="009A4127">
            <w:pPr>
              <w:spacing w:after="0" w:line="240" w:lineRule="auto"/>
              <w:jc w:val="right"/>
              <w:rPr>
                <w:rFonts w:cs="Arial"/>
                <w:sz w:val="16"/>
                <w:szCs w:val="16"/>
              </w:rPr>
            </w:pPr>
            <w:r w:rsidRPr="00170240">
              <w:rPr>
                <w:rFonts w:cs="Arial"/>
                <w:sz w:val="16"/>
                <w:szCs w:val="16"/>
              </w:rPr>
              <w:t>59,64</w:t>
            </w:r>
          </w:p>
        </w:tc>
        <w:tc>
          <w:tcPr>
            <w:tcW w:w="630" w:type="dxa"/>
            <w:tcBorders>
              <w:top w:val="nil"/>
              <w:left w:val="nil"/>
              <w:bottom w:val="nil"/>
              <w:right w:val="nil"/>
            </w:tcBorders>
            <w:shd w:val="clear" w:color="auto" w:fill="auto"/>
            <w:noWrap/>
            <w:vAlign w:val="center"/>
            <w:hideMark/>
          </w:tcPr>
          <w:p w14:paraId="075B6F2E" w14:textId="77777777" w:rsidR="009A4127" w:rsidRPr="00170240" w:rsidRDefault="009A4127" w:rsidP="009A4127">
            <w:pPr>
              <w:spacing w:after="0" w:line="240" w:lineRule="auto"/>
              <w:jc w:val="right"/>
              <w:rPr>
                <w:rFonts w:cs="Arial"/>
                <w:sz w:val="16"/>
                <w:szCs w:val="16"/>
              </w:rPr>
            </w:pPr>
            <w:r w:rsidRPr="00170240">
              <w:rPr>
                <w:rFonts w:cs="Arial"/>
                <w:sz w:val="16"/>
                <w:szCs w:val="16"/>
              </w:rPr>
              <w:t>57,28</w:t>
            </w:r>
          </w:p>
        </w:tc>
        <w:tc>
          <w:tcPr>
            <w:tcW w:w="662" w:type="dxa"/>
            <w:tcBorders>
              <w:top w:val="nil"/>
              <w:left w:val="nil"/>
              <w:bottom w:val="nil"/>
              <w:right w:val="nil"/>
            </w:tcBorders>
            <w:shd w:val="clear" w:color="auto" w:fill="auto"/>
            <w:noWrap/>
            <w:vAlign w:val="center"/>
            <w:hideMark/>
          </w:tcPr>
          <w:p w14:paraId="59C4F334" w14:textId="77777777" w:rsidR="009A4127" w:rsidRPr="00170240" w:rsidRDefault="009A4127" w:rsidP="009A4127">
            <w:pPr>
              <w:spacing w:after="0" w:line="240" w:lineRule="auto"/>
              <w:jc w:val="right"/>
              <w:rPr>
                <w:rFonts w:cs="Arial"/>
                <w:sz w:val="16"/>
                <w:szCs w:val="16"/>
              </w:rPr>
            </w:pPr>
            <w:r w:rsidRPr="00170240">
              <w:rPr>
                <w:rFonts w:cs="Arial"/>
                <w:sz w:val="16"/>
                <w:szCs w:val="16"/>
              </w:rPr>
              <w:t>59,22</w:t>
            </w:r>
          </w:p>
        </w:tc>
        <w:tc>
          <w:tcPr>
            <w:tcW w:w="630" w:type="dxa"/>
            <w:tcBorders>
              <w:top w:val="nil"/>
              <w:left w:val="nil"/>
              <w:bottom w:val="nil"/>
              <w:right w:val="nil"/>
            </w:tcBorders>
            <w:shd w:val="clear" w:color="auto" w:fill="auto"/>
            <w:noWrap/>
            <w:vAlign w:val="center"/>
            <w:hideMark/>
          </w:tcPr>
          <w:p w14:paraId="73B2F445" w14:textId="6A817F3E" w:rsidR="009A4127" w:rsidRPr="00170240" w:rsidRDefault="009A4127" w:rsidP="009A4127">
            <w:pPr>
              <w:spacing w:after="0" w:line="240" w:lineRule="auto"/>
              <w:jc w:val="right"/>
              <w:rPr>
                <w:rFonts w:cs="Arial"/>
                <w:sz w:val="16"/>
                <w:szCs w:val="16"/>
              </w:rPr>
            </w:pPr>
            <w:r>
              <w:rPr>
                <w:rFonts w:cs="Arial"/>
                <w:sz w:val="16"/>
                <w:szCs w:val="16"/>
              </w:rPr>
              <w:t>52,88</w:t>
            </w:r>
          </w:p>
        </w:tc>
        <w:tc>
          <w:tcPr>
            <w:tcW w:w="662" w:type="dxa"/>
            <w:tcBorders>
              <w:top w:val="nil"/>
              <w:left w:val="nil"/>
              <w:bottom w:val="nil"/>
              <w:right w:val="nil"/>
            </w:tcBorders>
            <w:shd w:val="clear" w:color="auto" w:fill="auto"/>
            <w:noWrap/>
            <w:vAlign w:val="center"/>
            <w:hideMark/>
          </w:tcPr>
          <w:p w14:paraId="3351E7DD"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53,49</w:t>
            </w:r>
          </w:p>
        </w:tc>
        <w:tc>
          <w:tcPr>
            <w:tcW w:w="630" w:type="dxa"/>
            <w:tcBorders>
              <w:top w:val="nil"/>
              <w:left w:val="nil"/>
              <w:bottom w:val="nil"/>
              <w:right w:val="nil"/>
            </w:tcBorders>
            <w:shd w:val="clear" w:color="auto" w:fill="auto"/>
            <w:noWrap/>
            <w:vAlign w:val="center"/>
            <w:hideMark/>
          </w:tcPr>
          <w:p w14:paraId="6838D93B"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53,29</w:t>
            </w:r>
          </w:p>
        </w:tc>
        <w:tc>
          <w:tcPr>
            <w:tcW w:w="630" w:type="dxa"/>
            <w:tcBorders>
              <w:top w:val="nil"/>
              <w:left w:val="nil"/>
              <w:bottom w:val="nil"/>
              <w:right w:val="nil"/>
            </w:tcBorders>
            <w:shd w:val="clear" w:color="000000" w:fill="FFFFFF"/>
            <w:noWrap/>
            <w:vAlign w:val="center"/>
            <w:hideMark/>
          </w:tcPr>
          <w:p w14:paraId="67F2A55E"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51,29</w:t>
            </w:r>
          </w:p>
        </w:tc>
        <w:tc>
          <w:tcPr>
            <w:tcW w:w="634" w:type="dxa"/>
            <w:tcBorders>
              <w:top w:val="nil"/>
              <w:left w:val="nil"/>
              <w:bottom w:val="nil"/>
              <w:right w:val="nil"/>
            </w:tcBorders>
            <w:shd w:val="clear" w:color="auto" w:fill="auto"/>
            <w:noWrap/>
            <w:vAlign w:val="center"/>
            <w:hideMark/>
          </w:tcPr>
          <w:p w14:paraId="62BEE76E"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54,59</w:t>
            </w:r>
          </w:p>
        </w:tc>
      </w:tr>
      <w:tr w:rsidR="009A4127" w:rsidRPr="00170240" w14:paraId="18991C35" w14:textId="77777777" w:rsidTr="00B3736B">
        <w:trPr>
          <w:trHeight w:val="291"/>
        </w:trPr>
        <w:tc>
          <w:tcPr>
            <w:tcW w:w="3237" w:type="dxa"/>
            <w:tcBorders>
              <w:top w:val="nil"/>
              <w:left w:val="nil"/>
              <w:bottom w:val="nil"/>
              <w:right w:val="nil"/>
            </w:tcBorders>
            <w:shd w:val="clear" w:color="auto" w:fill="auto"/>
            <w:vAlign w:val="center"/>
            <w:hideMark/>
          </w:tcPr>
          <w:p w14:paraId="23388F1E" w14:textId="77777777" w:rsidR="009A4127" w:rsidRPr="00170240" w:rsidRDefault="009A4127" w:rsidP="009A4127">
            <w:pPr>
              <w:spacing w:after="0" w:line="240" w:lineRule="auto"/>
              <w:ind w:firstLineChars="100" w:firstLine="160"/>
              <w:rPr>
                <w:rFonts w:ascii="Arial CE" w:hAnsi="Arial CE" w:cs="Arial CE"/>
                <w:sz w:val="16"/>
                <w:szCs w:val="16"/>
              </w:rPr>
            </w:pPr>
            <w:r w:rsidRPr="00170240">
              <w:rPr>
                <w:rFonts w:ascii="Arial CE" w:hAnsi="Arial CE" w:cs="Arial CE"/>
                <w:sz w:val="16"/>
                <w:szCs w:val="16"/>
              </w:rPr>
              <w:t>J – Informační a komunikační činnosti</w:t>
            </w:r>
          </w:p>
        </w:tc>
        <w:tc>
          <w:tcPr>
            <w:tcW w:w="630" w:type="dxa"/>
            <w:tcBorders>
              <w:top w:val="nil"/>
              <w:left w:val="nil"/>
              <w:bottom w:val="nil"/>
              <w:right w:val="nil"/>
            </w:tcBorders>
            <w:shd w:val="clear" w:color="auto" w:fill="auto"/>
            <w:noWrap/>
            <w:vAlign w:val="center"/>
            <w:hideMark/>
          </w:tcPr>
          <w:p w14:paraId="4BD739FB" w14:textId="77777777" w:rsidR="009A4127" w:rsidRPr="00170240" w:rsidRDefault="009A4127" w:rsidP="009A4127">
            <w:pPr>
              <w:spacing w:after="0" w:line="240" w:lineRule="auto"/>
              <w:jc w:val="right"/>
              <w:rPr>
                <w:rFonts w:cs="Arial"/>
                <w:sz w:val="16"/>
                <w:szCs w:val="16"/>
              </w:rPr>
            </w:pPr>
            <w:r w:rsidRPr="00170240">
              <w:rPr>
                <w:rFonts w:cs="Arial"/>
                <w:sz w:val="16"/>
                <w:szCs w:val="16"/>
              </w:rPr>
              <w:t>27,43</w:t>
            </w:r>
          </w:p>
        </w:tc>
        <w:tc>
          <w:tcPr>
            <w:tcW w:w="630" w:type="dxa"/>
            <w:tcBorders>
              <w:top w:val="nil"/>
              <w:left w:val="nil"/>
              <w:bottom w:val="nil"/>
              <w:right w:val="nil"/>
            </w:tcBorders>
            <w:shd w:val="clear" w:color="auto" w:fill="auto"/>
            <w:noWrap/>
            <w:vAlign w:val="center"/>
            <w:hideMark/>
          </w:tcPr>
          <w:p w14:paraId="1AD821FC" w14:textId="77777777" w:rsidR="009A4127" w:rsidRPr="00170240" w:rsidRDefault="009A4127" w:rsidP="009A4127">
            <w:pPr>
              <w:spacing w:after="0" w:line="240" w:lineRule="auto"/>
              <w:jc w:val="right"/>
              <w:rPr>
                <w:rFonts w:cs="Arial"/>
                <w:sz w:val="16"/>
                <w:szCs w:val="16"/>
              </w:rPr>
            </w:pPr>
            <w:r w:rsidRPr="00170240">
              <w:rPr>
                <w:rFonts w:cs="Arial"/>
                <w:sz w:val="16"/>
                <w:szCs w:val="16"/>
              </w:rPr>
              <w:t>25,36</w:t>
            </w:r>
          </w:p>
        </w:tc>
        <w:tc>
          <w:tcPr>
            <w:tcW w:w="630" w:type="dxa"/>
            <w:tcBorders>
              <w:top w:val="nil"/>
              <w:left w:val="nil"/>
              <w:bottom w:val="nil"/>
              <w:right w:val="nil"/>
            </w:tcBorders>
            <w:shd w:val="clear" w:color="auto" w:fill="auto"/>
            <w:noWrap/>
            <w:vAlign w:val="center"/>
            <w:hideMark/>
          </w:tcPr>
          <w:p w14:paraId="709C852E" w14:textId="77777777" w:rsidR="009A4127" w:rsidRPr="00170240" w:rsidRDefault="009A4127" w:rsidP="009A4127">
            <w:pPr>
              <w:spacing w:after="0" w:line="240" w:lineRule="auto"/>
              <w:jc w:val="right"/>
              <w:rPr>
                <w:rFonts w:cs="Arial"/>
                <w:sz w:val="16"/>
                <w:szCs w:val="16"/>
              </w:rPr>
            </w:pPr>
            <w:r w:rsidRPr="00170240">
              <w:rPr>
                <w:rFonts w:cs="Arial"/>
                <w:sz w:val="16"/>
                <w:szCs w:val="16"/>
              </w:rPr>
              <w:t>29,31</w:t>
            </w:r>
          </w:p>
        </w:tc>
        <w:tc>
          <w:tcPr>
            <w:tcW w:w="630" w:type="dxa"/>
            <w:tcBorders>
              <w:top w:val="nil"/>
              <w:left w:val="nil"/>
              <w:bottom w:val="nil"/>
              <w:right w:val="nil"/>
            </w:tcBorders>
            <w:shd w:val="clear" w:color="auto" w:fill="auto"/>
            <w:noWrap/>
            <w:vAlign w:val="center"/>
            <w:hideMark/>
          </w:tcPr>
          <w:p w14:paraId="3FAE1E3C" w14:textId="77777777" w:rsidR="009A4127" w:rsidRPr="00170240" w:rsidRDefault="009A4127" w:rsidP="009A4127">
            <w:pPr>
              <w:spacing w:after="0" w:line="240" w:lineRule="auto"/>
              <w:jc w:val="right"/>
              <w:rPr>
                <w:rFonts w:cs="Arial"/>
                <w:sz w:val="16"/>
                <w:szCs w:val="16"/>
              </w:rPr>
            </w:pPr>
            <w:r w:rsidRPr="00170240">
              <w:rPr>
                <w:rFonts w:cs="Arial"/>
                <w:sz w:val="16"/>
                <w:szCs w:val="16"/>
              </w:rPr>
              <w:t>25,65</w:t>
            </w:r>
          </w:p>
        </w:tc>
        <w:tc>
          <w:tcPr>
            <w:tcW w:w="662" w:type="dxa"/>
            <w:tcBorders>
              <w:top w:val="nil"/>
              <w:left w:val="nil"/>
              <w:bottom w:val="nil"/>
              <w:right w:val="nil"/>
            </w:tcBorders>
            <w:shd w:val="clear" w:color="auto" w:fill="auto"/>
            <w:noWrap/>
            <w:vAlign w:val="center"/>
            <w:hideMark/>
          </w:tcPr>
          <w:p w14:paraId="15CACCA0" w14:textId="77777777" w:rsidR="009A4127" w:rsidRPr="00170240" w:rsidRDefault="009A4127" w:rsidP="009A4127">
            <w:pPr>
              <w:spacing w:after="0" w:line="240" w:lineRule="auto"/>
              <w:jc w:val="right"/>
              <w:rPr>
                <w:rFonts w:cs="Arial"/>
                <w:sz w:val="16"/>
                <w:szCs w:val="16"/>
              </w:rPr>
            </w:pPr>
            <w:r w:rsidRPr="00170240">
              <w:rPr>
                <w:rFonts w:cs="Arial"/>
                <w:sz w:val="16"/>
                <w:szCs w:val="16"/>
              </w:rPr>
              <w:t>27,77</w:t>
            </w:r>
          </w:p>
        </w:tc>
        <w:tc>
          <w:tcPr>
            <w:tcW w:w="630" w:type="dxa"/>
            <w:tcBorders>
              <w:top w:val="nil"/>
              <w:left w:val="nil"/>
              <w:bottom w:val="nil"/>
              <w:right w:val="nil"/>
            </w:tcBorders>
            <w:shd w:val="clear" w:color="auto" w:fill="auto"/>
            <w:noWrap/>
            <w:vAlign w:val="center"/>
            <w:hideMark/>
          </w:tcPr>
          <w:p w14:paraId="2018CE06" w14:textId="392F5277" w:rsidR="009A4127" w:rsidRPr="00170240" w:rsidRDefault="009A4127" w:rsidP="009A4127">
            <w:pPr>
              <w:spacing w:after="0" w:line="240" w:lineRule="auto"/>
              <w:jc w:val="right"/>
              <w:rPr>
                <w:rFonts w:cs="Arial"/>
                <w:sz w:val="16"/>
                <w:szCs w:val="16"/>
              </w:rPr>
            </w:pPr>
            <w:r>
              <w:rPr>
                <w:rFonts w:cs="Arial"/>
                <w:sz w:val="16"/>
                <w:szCs w:val="16"/>
              </w:rPr>
              <w:t>25,76</w:t>
            </w:r>
          </w:p>
        </w:tc>
        <w:tc>
          <w:tcPr>
            <w:tcW w:w="662" w:type="dxa"/>
            <w:tcBorders>
              <w:top w:val="nil"/>
              <w:left w:val="nil"/>
              <w:bottom w:val="nil"/>
              <w:right w:val="nil"/>
            </w:tcBorders>
            <w:shd w:val="clear" w:color="auto" w:fill="auto"/>
            <w:noWrap/>
            <w:vAlign w:val="center"/>
            <w:hideMark/>
          </w:tcPr>
          <w:p w14:paraId="72A482FC"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25,73</w:t>
            </w:r>
          </w:p>
        </w:tc>
        <w:tc>
          <w:tcPr>
            <w:tcW w:w="630" w:type="dxa"/>
            <w:tcBorders>
              <w:top w:val="nil"/>
              <w:left w:val="nil"/>
              <w:bottom w:val="nil"/>
              <w:right w:val="nil"/>
            </w:tcBorders>
            <w:shd w:val="clear" w:color="auto" w:fill="auto"/>
            <w:noWrap/>
            <w:vAlign w:val="center"/>
            <w:hideMark/>
          </w:tcPr>
          <w:p w14:paraId="2C41F057"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25,50</w:t>
            </w:r>
          </w:p>
        </w:tc>
        <w:tc>
          <w:tcPr>
            <w:tcW w:w="630" w:type="dxa"/>
            <w:tcBorders>
              <w:top w:val="nil"/>
              <w:left w:val="nil"/>
              <w:bottom w:val="nil"/>
              <w:right w:val="nil"/>
            </w:tcBorders>
            <w:shd w:val="clear" w:color="000000" w:fill="FFFFFF"/>
            <w:noWrap/>
            <w:vAlign w:val="center"/>
            <w:hideMark/>
          </w:tcPr>
          <w:p w14:paraId="78ADF791"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25,48</w:t>
            </w:r>
          </w:p>
        </w:tc>
        <w:tc>
          <w:tcPr>
            <w:tcW w:w="634" w:type="dxa"/>
            <w:tcBorders>
              <w:top w:val="nil"/>
              <w:left w:val="nil"/>
              <w:bottom w:val="nil"/>
              <w:right w:val="nil"/>
            </w:tcBorders>
            <w:shd w:val="clear" w:color="auto" w:fill="auto"/>
            <w:noWrap/>
            <w:vAlign w:val="center"/>
            <w:hideMark/>
          </w:tcPr>
          <w:p w14:paraId="44FF7E32"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26,40</w:t>
            </w:r>
          </w:p>
        </w:tc>
      </w:tr>
      <w:tr w:rsidR="009A4127" w:rsidRPr="00170240" w14:paraId="64A9C2C4" w14:textId="77777777" w:rsidTr="00B3736B">
        <w:trPr>
          <w:trHeight w:val="291"/>
        </w:trPr>
        <w:tc>
          <w:tcPr>
            <w:tcW w:w="3237" w:type="dxa"/>
            <w:tcBorders>
              <w:top w:val="nil"/>
              <w:left w:val="nil"/>
              <w:bottom w:val="nil"/>
              <w:right w:val="nil"/>
            </w:tcBorders>
            <w:shd w:val="clear" w:color="auto" w:fill="auto"/>
            <w:vAlign w:val="center"/>
            <w:hideMark/>
          </w:tcPr>
          <w:p w14:paraId="44DBE124" w14:textId="77777777" w:rsidR="009A4127" w:rsidRPr="00170240" w:rsidRDefault="009A4127" w:rsidP="009A4127">
            <w:pPr>
              <w:spacing w:after="0" w:line="240" w:lineRule="auto"/>
              <w:ind w:firstLineChars="100" w:firstLine="160"/>
              <w:rPr>
                <w:rFonts w:ascii="Arial CE" w:hAnsi="Arial CE" w:cs="Arial CE"/>
                <w:sz w:val="16"/>
                <w:szCs w:val="16"/>
              </w:rPr>
            </w:pPr>
            <w:r w:rsidRPr="00170240">
              <w:rPr>
                <w:rFonts w:ascii="Arial CE" w:hAnsi="Arial CE" w:cs="Arial CE"/>
                <w:sz w:val="16"/>
                <w:szCs w:val="16"/>
              </w:rPr>
              <w:t>K – Peněžnictví a pojišťovnictví</w:t>
            </w:r>
          </w:p>
        </w:tc>
        <w:tc>
          <w:tcPr>
            <w:tcW w:w="630" w:type="dxa"/>
            <w:tcBorders>
              <w:top w:val="nil"/>
              <w:left w:val="nil"/>
              <w:bottom w:val="nil"/>
              <w:right w:val="nil"/>
            </w:tcBorders>
            <w:shd w:val="clear" w:color="auto" w:fill="auto"/>
            <w:noWrap/>
            <w:vAlign w:val="center"/>
            <w:hideMark/>
          </w:tcPr>
          <w:p w14:paraId="4258EB49" w14:textId="77777777" w:rsidR="009A4127" w:rsidRPr="00170240" w:rsidRDefault="009A4127" w:rsidP="009A4127">
            <w:pPr>
              <w:spacing w:after="0" w:line="240" w:lineRule="auto"/>
              <w:jc w:val="right"/>
              <w:rPr>
                <w:rFonts w:cs="Arial"/>
                <w:sz w:val="16"/>
                <w:szCs w:val="16"/>
              </w:rPr>
            </w:pPr>
            <w:r w:rsidRPr="00170240">
              <w:rPr>
                <w:rFonts w:cs="Arial"/>
                <w:sz w:val="16"/>
                <w:szCs w:val="16"/>
              </w:rPr>
              <w:t>31,73</w:t>
            </w:r>
          </w:p>
        </w:tc>
        <w:tc>
          <w:tcPr>
            <w:tcW w:w="630" w:type="dxa"/>
            <w:tcBorders>
              <w:top w:val="nil"/>
              <w:left w:val="nil"/>
              <w:bottom w:val="nil"/>
              <w:right w:val="nil"/>
            </w:tcBorders>
            <w:shd w:val="clear" w:color="auto" w:fill="auto"/>
            <w:noWrap/>
            <w:vAlign w:val="center"/>
            <w:hideMark/>
          </w:tcPr>
          <w:p w14:paraId="684714C0" w14:textId="77777777" w:rsidR="009A4127" w:rsidRPr="00170240" w:rsidRDefault="009A4127" w:rsidP="009A4127">
            <w:pPr>
              <w:spacing w:after="0" w:line="240" w:lineRule="auto"/>
              <w:jc w:val="right"/>
              <w:rPr>
                <w:rFonts w:cs="Arial"/>
                <w:sz w:val="16"/>
                <w:szCs w:val="16"/>
              </w:rPr>
            </w:pPr>
            <w:r w:rsidRPr="00170240">
              <w:rPr>
                <w:rFonts w:cs="Arial"/>
                <w:sz w:val="16"/>
                <w:szCs w:val="16"/>
              </w:rPr>
              <w:t>30,46</w:t>
            </w:r>
          </w:p>
        </w:tc>
        <w:tc>
          <w:tcPr>
            <w:tcW w:w="630" w:type="dxa"/>
            <w:tcBorders>
              <w:top w:val="nil"/>
              <w:left w:val="nil"/>
              <w:bottom w:val="nil"/>
              <w:right w:val="nil"/>
            </w:tcBorders>
            <w:shd w:val="clear" w:color="auto" w:fill="auto"/>
            <w:noWrap/>
            <w:vAlign w:val="center"/>
            <w:hideMark/>
          </w:tcPr>
          <w:p w14:paraId="09F403A9" w14:textId="77777777" w:rsidR="009A4127" w:rsidRPr="00170240" w:rsidRDefault="009A4127" w:rsidP="009A4127">
            <w:pPr>
              <w:spacing w:after="0" w:line="240" w:lineRule="auto"/>
              <w:jc w:val="right"/>
              <w:rPr>
                <w:rFonts w:cs="Arial"/>
                <w:sz w:val="16"/>
                <w:szCs w:val="16"/>
              </w:rPr>
            </w:pPr>
            <w:r w:rsidRPr="00170240">
              <w:rPr>
                <w:rFonts w:cs="Arial"/>
                <w:sz w:val="16"/>
                <w:szCs w:val="16"/>
              </w:rPr>
              <w:t>35,89</w:t>
            </w:r>
          </w:p>
        </w:tc>
        <w:tc>
          <w:tcPr>
            <w:tcW w:w="630" w:type="dxa"/>
            <w:tcBorders>
              <w:top w:val="nil"/>
              <w:left w:val="nil"/>
              <w:bottom w:val="nil"/>
              <w:right w:val="nil"/>
            </w:tcBorders>
            <w:shd w:val="clear" w:color="auto" w:fill="auto"/>
            <w:noWrap/>
            <w:vAlign w:val="center"/>
            <w:hideMark/>
          </w:tcPr>
          <w:p w14:paraId="713D322C" w14:textId="77777777" w:rsidR="009A4127" w:rsidRPr="00170240" w:rsidRDefault="009A4127" w:rsidP="009A4127">
            <w:pPr>
              <w:spacing w:after="0" w:line="240" w:lineRule="auto"/>
              <w:jc w:val="right"/>
              <w:rPr>
                <w:rFonts w:cs="Arial"/>
                <w:sz w:val="16"/>
                <w:szCs w:val="16"/>
              </w:rPr>
            </w:pPr>
            <w:r w:rsidRPr="00170240">
              <w:rPr>
                <w:rFonts w:cs="Arial"/>
                <w:sz w:val="16"/>
                <w:szCs w:val="16"/>
              </w:rPr>
              <w:t>30,07</w:t>
            </w:r>
          </w:p>
        </w:tc>
        <w:tc>
          <w:tcPr>
            <w:tcW w:w="662" w:type="dxa"/>
            <w:tcBorders>
              <w:top w:val="nil"/>
              <w:left w:val="nil"/>
              <w:bottom w:val="nil"/>
              <w:right w:val="nil"/>
            </w:tcBorders>
            <w:shd w:val="clear" w:color="auto" w:fill="auto"/>
            <w:noWrap/>
            <w:vAlign w:val="center"/>
            <w:hideMark/>
          </w:tcPr>
          <w:p w14:paraId="53BAC2A3" w14:textId="77777777" w:rsidR="009A4127" w:rsidRPr="00170240" w:rsidRDefault="009A4127" w:rsidP="009A4127">
            <w:pPr>
              <w:spacing w:after="0" w:line="240" w:lineRule="auto"/>
              <w:jc w:val="right"/>
              <w:rPr>
                <w:rFonts w:cs="Arial"/>
                <w:sz w:val="16"/>
                <w:szCs w:val="16"/>
              </w:rPr>
            </w:pPr>
            <w:r w:rsidRPr="00170240">
              <w:rPr>
                <w:rFonts w:cs="Arial"/>
                <w:sz w:val="16"/>
                <w:szCs w:val="16"/>
              </w:rPr>
              <w:t>34,28</w:t>
            </w:r>
          </w:p>
        </w:tc>
        <w:tc>
          <w:tcPr>
            <w:tcW w:w="630" w:type="dxa"/>
            <w:tcBorders>
              <w:top w:val="nil"/>
              <w:left w:val="nil"/>
              <w:bottom w:val="nil"/>
              <w:right w:val="nil"/>
            </w:tcBorders>
            <w:shd w:val="clear" w:color="auto" w:fill="auto"/>
            <w:noWrap/>
            <w:vAlign w:val="center"/>
            <w:hideMark/>
          </w:tcPr>
          <w:p w14:paraId="3EC9BC69" w14:textId="0368412D" w:rsidR="009A4127" w:rsidRPr="00170240" w:rsidRDefault="009A4127" w:rsidP="009A4127">
            <w:pPr>
              <w:spacing w:after="0" w:line="240" w:lineRule="auto"/>
              <w:jc w:val="right"/>
              <w:rPr>
                <w:rFonts w:cs="Arial"/>
                <w:sz w:val="16"/>
                <w:szCs w:val="16"/>
              </w:rPr>
            </w:pPr>
            <w:r>
              <w:rPr>
                <w:rFonts w:cs="Arial"/>
                <w:sz w:val="16"/>
                <w:szCs w:val="16"/>
              </w:rPr>
              <w:t>31,59</w:t>
            </w:r>
          </w:p>
        </w:tc>
        <w:tc>
          <w:tcPr>
            <w:tcW w:w="662" w:type="dxa"/>
            <w:tcBorders>
              <w:top w:val="nil"/>
              <w:left w:val="nil"/>
              <w:bottom w:val="nil"/>
              <w:right w:val="nil"/>
            </w:tcBorders>
            <w:shd w:val="clear" w:color="auto" w:fill="auto"/>
            <w:noWrap/>
            <w:vAlign w:val="center"/>
            <w:hideMark/>
          </w:tcPr>
          <w:p w14:paraId="5C4DCFC6"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32,81</w:t>
            </w:r>
          </w:p>
        </w:tc>
        <w:tc>
          <w:tcPr>
            <w:tcW w:w="630" w:type="dxa"/>
            <w:tcBorders>
              <w:top w:val="nil"/>
              <w:left w:val="nil"/>
              <w:bottom w:val="nil"/>
              <w:right w:val="nil"/>
            </w:tcBorders>
            <w:shd w:val="clear" w:color="auto" w:fill="auto"/>
            <w:noWrap/>
            <w:vAlign w:val="center"/>
            <w:hideMark/>
          </w:tcPr>
          <w:p w14:paraId="3028D1A5"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32,82</w:t>
            </w:r>
          </w:p>
        </w:tc>
        <w:tc>
          <w:tcPr>
            <w:tcW w:w="630" w:type="dxa"/>
            <w:tcBorders>
              <w:top w:val="nil"/>
              <w:left w:val="nil"/>
              <w:bottom w:val="nil"/>
              <w:right w:val="nil"/>
            </w:tcBorders>
            <w:shd w:val="clear" w:color="000000" w:fill="FFFFFF"/>
            <w:noWrap/>
            <w:vAlign w:val="center"/>
            <w:hideMark/>
          </w:tcPr>
          <w:p w14:paraId="28FF844E"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30,39</w:t>
            </w:r>
          </w:p>
        </w:tc>
        <w:tc>
          <w:tcPr>
            <w:tcW w:w="634" w:type="dxa"/>
            <w:tcBorders>
              <w:top w:val="nil"/>
              <w:left w:val="nil"/>
              <w:bottom w:val="nil"/>
              <w:right w:val="nil"/>
            </w:tcBorders>
            <w:shd w:val="clear" w:color="auto" w:fill="auto"/>
            <w:noWrap/>
            <w:vAlign w:val="center"/>
            <w:hideMark/>
          </w:tcPr>
          <w:p w14:paraId="6D83643F"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33,11</w:t>
            </w:r>
          </w:p>
        </w:tc>
      </w:tr>
      <w:tr w:rsidR="009A4127" w:rsidRPr="00170240" w14:paraId="1BD63E53" w14:textId="77777777" w:rsidTr="00B3736B">
        <w:trPr>
          <w:trHeight w:val="291"/>
        </w:trPr>
        <w:tc>
          <w:tcPr>
            <w:tcW w:w="3237" w:type="dxa"/>
            <w:tcBorders>
              <w:top w:val="nil"/>
              <w:left w:val="nil"/>
              <w:bottom w:val="nil"/>
              <w:right w:val="nil"/>
            </w:tcBorders>
            <w:shd w:val="clear" w:color="auto" w:fill="auto"/>
            <w:vAlign w:val="center"/>
            <w:hideMark/>
          </w:tcPr>
          <w:p w14:paraId="5FA1B909" w14:textId="77777777" w:rsidR="009A4127" w:rsidRPr="00170240" w:rsidRDefault="009A4127" w:rsidP="009A4127">
            <w:pPr>
              <w:spacing w:after="0" w:line="240" w:lineRule="auto"/>
              <w:ind w:firstLineChars="100" w:firstLine="160"/>
              <w:rPr>
                <w:rFonts w:ascii="Arial CE" w:hAnsi="Arial CE" w:cs="Arial CE"/>
                <w:sz w:val="16"/>
                <w:szCs w:val="16"/>
              </w:rPr>
            </w:pPr>
            <w:r w:rsidRPr="00170240">
              <w:rPr>
                <w:rFonts w:ascii="Arial CE" w:hAnsi="Arial CE" w:cs="Arial CE"/>
                <w:sz w:val="16"/>
                <w:szCs w:val="16"/>
              </w:rPr>
              <w:t>L – Činnosti v oblasti nemovitostí</w:t>
            </w:r>
          </w:p>
        </w:tc>
        <w:tc>
          <w:tcPr>
            <w:tcW w:w="630" w:type="dxa"/>
            <w:tcBorders>
              <w:top w:val="nil"/>
              <w:left w:val="nil"/>
              <w:bottom w:val="nil"/>
              <w:right w:val="nil"/>
            </w:tcBorders>
            <w:shd w:val="clear" w:color="auto" w:fill="auto"/>
            <w:noWrap/>
            <w:vAlign w:val="center"/>
            <w:hideMark/>
          </w:tcPr>
          <w:p w14:paraId="5A447452" w14:textId="77777777" w:rsidR="009A4127" w:rsidRPr="00170240" w:rsidRDefault="009A4127" w:rsidP="009A4127">
            <w:pPr>
              <w:spacing w:after="0" w:line="240" w:lineRule="auto"/>
              <w:jc w:val="right"/>
              <w:rPr>
                <w:rFonts w:cs="Arial"/>
                <w:sz w:val="16"/>
                <w:szCs w:val="16"/>
              </w:rPr>
            </w:pPr>
            <w:r w:rsidRPr="00170240">
              <w:rPr>
                <w:rFonts w:cs="Arial"/>
                <w:sz w:val="16"/>
                <w:szCs w:val="16"/>
              </w:rPr>
              <w:t>53,37</w:t>
            </w:r>
          </w:p>
        </w:tc>
        <w:tc>
          <w:tcPr>
            <w:tcW w:w="630" w:type="dxa"/>
            <w:tcBorders>
              <w:top w:val="nil"/>
              <w:left w:val="nil"/>
              <w:bottom w:val="nil"/>
              <w:right w:val="nil"/>
            </w:tcBorders>
            <w:shd w:val="clear" w:color="auto" w:fill="auto"/>
            <w:noWrap/>
            <w:vAlign w:val="center"/>
            <w:hideMark/>
          </w:tcPr>
          <w:p w14:paraId="0F2F56C4" w14:textId="77777777" w:rsidR="009A4127" w:rsidRPr="00170240" w:rsidRDefault="009A4127" w:rsidP="009A4127">
            <w:pPr>
              <w:spacing w:after="0" w:line="240" w:lineRule="auto"/>
              <w:jc w:val="right"/>
              <w:rPr>
                <w:rFonts w:cs="Arial"/>
                <w:sz w:val="16"/>
                <w:szCs w:val="16"/>
              </w:rPr>
            </w:pPr>
            <w:r w:rsidRPr="00170240">
              <w:rPr>
                <w:rFonts w:cs="Arial"/>
                <w:sz w:val="16"/>
                <w:szCs w:val="16"/>
              </w:rPr>
              <w:t>54,28</w:t>
            </w:r>
          </w:p>
        </w:tc>
        <w:tc>
          <w:tcPr>
            <w:tcW w:w="630" w:type="dxa"/>
            <w:tcBorders>
              <w:top w:val="nil"/>
              <w:left w:val="nil"/>
              <w:bottom w:val="nil"/>
              <w:right w:val="nil"/>
            </w:tcBorders>
            <w:shd w:val="clear" w:color="auto" w:fill="auto"/>
            <w:noWrap/>
            <w:vAlign w:val="center"/>
            <w:hideMark/>
          </w:tcPr>
          <w:p w14:paraId="2620630A" w14:textId="77777777" w:rsidR="009A4127" w:rsidRPr="00170240" w:rsidRDefault="009A4127" w:rsidP="009A4127">
            <w:pPr>
              <w:spacing w:after="0" w:line="240" w:lineRule="auto"/>
              <w:jc w:val="right"/>
              <w:rPr>
                <w:rFonts w:cs="Arial"/>
                <w:sz w:val="16"/>
                <w:szCs w:val="16"/>
              </w:rPr>
            </w:pPr>
            <w:r w:rsidRPr="00170240">
              <w:rPr>
                <w:rFonts w:cs="Arial"/>
                <w:sz w:val="16"/>
                <w:szCs w:val="16"/>
              </w:rPr>
              <w:t>56,96</w:t>
            </w:r>
          </w:p>
        </w:tc>
        <w:tc>
          <w:tcPr>
            <w:tcW w:w="630" w:type="dxa"/>
            <w:tcBorders>
              <w:top w:val="nil"/>
              <w:left w:val="nil"/>
              <w:bottom w:val="nil"/>
              <w:right w:val="nil"/>
            </w:tcBorders>
            <w:shd w:val="clear" w:color="auto" w:fill="auto"/>
            <w:noWrap/>
            <w:vAlign w:val="center"/>
            <w:hideMark/>
          </w:tcPr>
          <w:p w14:paraId="43843533" w14:textId="77777777" w:rsidR="009A4127" w:rsidRPr="00170240" w:rsidRDefault="009A4127" w:rsidP="009A4127">
            <w:pPr>
              <w:spacing w:after="0" w:line="240" w:lineRule="auto"/>
              <w:jc w:val="right"/>
              <w:rPr>
                <w:rFonts w:cs="Arial"/>
                <w:sz w:val="16"/>
                <w:szCs w:val="16"/>
              </w:rPr>
            </w:pPr>
            <w:r w:rsidRPr="00170240">
              <w:rPr>
                <w:rFonts w:cs="Arial"/>
                <w:sz w:val="16"/>
                <w:szCs w:val="16"/>
              </w:rPr>
              <w:t>52,14</w:t>
            </w:r>
          </w:p>
        </w:tc>
        <w:tc>
          <w:tcPr>
            <w:tcW w:w="662" w:type="dxa"/>
            <w:tcBorders>
              <w:top w:val="nil"/>
              <w:left w:val="nil"/>
              <w:bottom w:val="nil"/>
              <w:right w:val="nil"/>
            </w:tcBorders>
            <w:shd w:val="clear" w:color="auto" w:fill="auto"/>
            <w:noWrap/>
            <w:vAlign w:val="center"/>
            <w:hideMark/>
          </w:tcPr>
          <w:p w14:paraId="41F9B2B4" w14:textId="77777777" w:rsidR="009A4127" w:rsidRPr="00170240" w:rsidRDefault="009A4127" w:rsidP="009A4127">
            <w:pPr>
              <w:spacing w:after="0" w:line="240" w:lineRule="auto"/>
              <w:jc w:val="right"/>
              <w:rPr>
                <w:rFonts w:cs="Arial"/>
                <w:sz w:val="16"/>
                <w:szCs w:val="16"/>
              </w:rPr>
            </w:pPr>
            <w:r w:rsidRPr="00170240">
              <w:rPr>
                <w:rFonts w:cs="Arial"/>
                <w:sz w:val="16"/>
                <w:szCs w:val="16"/>
              </w:rPr>
              <w:t>56,15</w:t>
            </w:r>
          </w:p>
        </w:tc>
        <w:tc>
          <w:tcPr>
            <w:tcW w:w="630" w:type="dxa"/>
            <w:tcBorders>
              <w:top w:val="nil"/>
              <w:left w:val="nil"/>
              <w:bottom w:val="nil"/>
              <w:right w:val="nil"/>
            </w:tcBorders>
            <w:shd w:val="clear" w:color="auto" w:fill="auto"/>
            <w:noWrap/>
            <w:vAlign w:val="center"/>
            <w:hideMark/>
          </w:tcPr>
          <w:p w14:paraId="234980AE" w14:textId="78E5DA4B" w:rsidR="009A4127" w:rsidRPr="00170240" w:rsidRDefault="009A4127" w:rsidP="009A4127">
            <w:pPr>
              <w:spacing w:after="0" w:line="240" w:lineRule="auto"/>
              <w:jc w:val="right"/>
              <w:rPr>
                <w:rFonts w:cs="Arial"/>
                <w:sz w:val="16"/>
                <w:szCs w:val="16"/>
              </w:rPr>
            </w:pPr>
            <w:r>
              <w:rPr>
                <w:rFonts w:cs="Arial"/>
                <w:sz w:val="16"/>
                <w:szCs w:val="16"/>
              </w:rPr>
              <w:t>48,80</w:t>
            </w:r>
          </w:p>
        </w:tc>
        <w:tc>
          <w:tcPr>
            <w:tcW w:w="662" w:type="dxa"/>
            <w:tcBorders>
              <w:top w:val="nil"/>
              <w:left w:val="nil"/>
              <w:bottom w:val="nil"/>
              <w:right w:val="nil"/>
            </w:tcBorders>
            <w:shd w:val="clear" w:color="auto" w:fill="auto"/>
            <w:noWrap/>
            <w:vAlign w:val="center"/>
            <w:hideMark/>
          </w:tcPr>
          <w:p w14:paraId="55DA4C28"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50,71</w:t>
            </w:r>
          </w:p>
        </w:tc>
        <w:tc>
          <w:tcPr>
            <w:tcW w:w="630" w:type="dxa"/>
            <w:tcBorders>
              <w:top w:val="nil"/>
              <w:left w:val="nil"/>
              <w:bottom w:val="nil"/>
              <w:right w:val="nil"/>
            </w:tcBorders>
            <w:shd w:val="clear" w:color="auto" w:fill="auto"/>
            <w:noWrap/>
            <w:vAlign w:val="center"/>
            <w:hideMark/>
          </w:tcPr>
          <w:p w14:paraId="32A8762B"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51,77</w:t>
            </w:r>
          </w:p>
        </w:tc>
        <w:tc>
          <w:tcPr>
            <w:tcW w:w="630" w:type="dxa"/>
            <w:tcBorders>
              <w:top w:val="nil"/>
              <w:left w:val="nil"/>
              <w:bottom w:val="nil"/>
              <w:right w:val="nil"/>
            </w:tcBorders>
            <w:shd w:val="clear" w:color="000000" w:fill="FFFFFF"/>
            <w:noWrap/>
            <w:vAlign w:val="center"/>
            <w:hideMark/>
          </w:tcPr>
          <w:p w14:paraId="03CA2F15"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47,39</w:t>
            </w:r>
          </w:p>
        </w:tc>
        <w:tc>
          <w:tcPr>
            <w:tcW w:w="634" w:type="dxa"/>
            <w:tcBorders>
              <w:top w:val="nil"/>
              <w:left w:val="nil"/>
              <w:bottom w:val="nil"/>
              <w:right w:val="nil"/>
            </w:tcBorders>
            <w:shd w:val="clear" w:color="auto" w:fill="auto"/>
            <w:noWrap/>
            <w:vAlign w:val="center"/>
            <w:hideMark/>
          </w:tcPr>
          <w:p w14:paraId="7E7CFBD6"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52,03</w:t>
            </w:r>
          </w:p>
        </w:tc>
      </w:tr>
      <w:tr w:rsidR="009A4127" w:rsidRPr="00170240" w14:paraId="210D0238" w14:textId="77777777" w:rsidTr="00B3736B">
        <w:trPr>
          <w:trHeight w:val="460"/>
        </w:trPr>
        <w:tc>
          <w:tcPr>
            <w:tcW w:w="3237" w:type="dxa"/>
            <w:tcBorders>
              <w:top w:val="nil"/>
              <w:left w:val="nil"/>
              <w:bottom w:val="nil"/>
              <w:right w:val="nil"/>
            </w:tcBorders>
            <w:shd w:val="clear" w:color="auto" w:fill="auto"/>
            <w:vAlign w:val="center"/>
            <w:hideMark/>
          </w:tcPr>
          <w:p w14:paraId="0B6982E3" w14:textId="77777777" w:rsidR="009A4127" w:rsidRDefault="009A4127" w:rsidP="009A4127">
            <w:pPr>
              <w:spacing w:after="0" w:line="240" w:lineRule="auto"/>
              <w:ind w:firstLineChars="100" w:firstLine="160"/>
              <w:rPr>
                <w:rFonts w:ascii="Arial CE" w:hAnsi="Arial CE" w:cs="Arial CE"/>
                <w:sz w:val="16"/>
                <w:szCs w:val="16"/>
              </w:rPr>
            </w:pPr>
            <w:r w:rsidRPr="00170240">
              <w:rPr>
                <w:rFonts w:ascii="Arial CE" w:hAnsi="Arial CE" w:cs="Arial CE"/>
                <w:sz w:val="16"/>
                <w:szCs w:val="16"/>
              </w:rPr>
              <w:t>M – Profesní, vědecké a technické</w:t>
            </w:r>
          </w:p>
          <w:p w14:paraId="0521BA1E" w14:textId="3629A052" w:rsidR="009A4127" w:rsidRPr="00170240" w:rsidRDefault="009A4127" w:rsidP="009A4127">
            <w:pPr>
              <w:spacing w:after="0" w:line="240" w:lineRule="auto"/>
              <w:ind w:firstLineChars="100" w:firstLine="160"/>
              <w:rPr>
                <w:rFonts w:ascii="Arial CE" w:hAnsi="Arial CE" w:cs="Arial CE"/>
                <w:sz w:val="16"/>
                <w:szCs w:val="16"/>
              </w:rPr>
            </w:pPr>
            <w:r>
              <w:rPr>
                <w:rFonts w:ascii="Arial CE" w:hAnsi="Arial CE" w:cs="Arial CE"/>
                <w:sz w:val="16"/>
                <w:szCs w:val="16"/>
              </w:rPr>
              <w:t xml:space="preserve">      </w:t>
            </w:r>
            <w:r w:rsidRPr="00170240">
              <w:rPr>
                <w:rFonts w:ascii="Arial CE" w:hAnsi="Arial CE" w:cs="Arial CE"/>
                <w:sz w:val="16"/>
                <w:szCs w:val="16"/>
              </w:rPr>
              <w:t xml:space="preserve"> činnosti</w:t>
            </w:r>
          </w:p>
        </w:tc>
        <w:tc>
          <w:tcPr>
            <w:tcW w:w="630" w:type="dxa"/>
            <w:tcBorders>
              <w:top w:val="nil"/>
              <w:left w:val="nil"/>
              <w:bottom w:val="nil"/>
              <w:right w:val="nil"/>
            </w:tcBorders>
            <w:shd w:val="clear" w:color="auto" w:fill="auto"/>
            <w:noWrap/>
            <w:vAlign w:val="center"/>
            <w:hideMark/>
          </w:tcPr>
          <w:p w14:paraId="79EDBAB5" w14:textId="77777777" w:rsidR="009A4127" w:rsidRPr="00170240" w:rsidRDefault="009A4127" w:rsidP="009A4127">
            <w:pPr>
              <w:spacing w:after="0" w:line="240" w:lineRule="auto"/>
              <w:jc w:val="right"/>
              <w:rPr>
                <w:rFonts w:cs="Arial"/>
                <w:sz w:val="16"/>
                <w:szCs w:val="16"/>
              </w:rPr>
            </w:pPr>
            <w:r w:rsidRPr="00170240">
              <w:rPr>
                <w:rFonts w:cs="Arial"/>
                <w:sz w:val="16"/>
                <w:szCs w:val="16"/>
              </w:rPr>
              <w:t>43,58</w:t>
            </w:r>
          </w:p>
        </w:tc>
        <w:tc>
          <w:tcPr>
            <w:tcW w:w="630" w:type="dxa"/>
            <w:tcBorders>
              <w:top w:val="nil"/>
              <w:left w:val="nil"/>
              <w:bottom w:val="nil"/>
              <w:right w:val="nil"/>
            </w:tcBorders>
            <w:shd w:val="clear" w:color="auto" w:fill="auto"/>
            <w:noWrap/>
            <w:vAlign w:val="center"/>
            <w:hideMark/>
          </w:tcPr>
          <w:p w14:paraId="3020993B" w14:textId="77777777" w:rsidR="009A4127" w:rsidRPr="00170240" w:rsidRDefault="009A4127" w:rsidP="009A4127">
            <w:pPr>
              <w:spacing w:after="0" w:line="240" w:lineRule="auto"/>
              <w:jc w:val="right"/>
              <w:rPr>
                <w:rFonts w:cs="Arial"/>
                <w:sz w:val="16"/>
                <w:szCs w:val="16"/>
              </w:rPr>
            </w:pPr>
            <w:r w:rsidRPr="00170240">
              <w:rPr>
                <w:rFonts w:cs="Arial"/>
                <w:sz w:val="16"/>
                <w:szCs w:val="16"/>
              </w:rPr>
              <w:t>44,47</w:t>
            </w:r>
          </w:p>
        </w:tc>
        <w:tc>
          <w:tcPr>
            <w:tcW w:w="630" w:type="dxa"/>
            <w:tcBorders>
              <w:top w:val="nil"/>
              <w:left w:val="nil"/>
              <w:bottom w:val="nil"/>
              <w:right w:val="nil"/>
            </w:tcBorders>
            <w:shd w:val="clear" w:color="auto" w:fill="auto"/>
            <w:noWrap/>
            <w:vAlign w:val="center"/>
            <w:hideMark/>
          </w:tcPr>
          <w:p w14:paraId="6DA3406D" w14:textId="77777777" w:rsidR="009A4127" w:rsidRPr="00170240" w:rsidRDefault="009A4127" w:rsidP="009A4127">
            <w:pPr>
              <w:spacing w:after="0" w:line="240" w:lineRule="auto"/>
              <w:jc w:val="right"/>
              <w:rPr>
                <w:rFonts w:cs="Arial"/>
                <w:sz w:val="16"/>
                <w:szCs w:val="16"/>
              </w:rPr>
            </w:pPr>
            <w:r w:rsidRPr="00170240">
              <w:rPr>
                <w:rFonts w:cs="Arial"/>
                <w:sz w:val="16"/>
                <w:szCs w:val="16"/>
              </w:rPr>
              <w:t>43,77</w:t>
            </w:r>
          </w:p>
        </w:tc>
        <w:tc>
          <w:tcPr>
            <w:tcW w:w="630" w:type="dxa"/>
            <w:tcBorders>
              <w:top w:val="nil"/>
              <w:left w:val="nil"/>
              <w:bottom w:val="nil"/>
              <w:right w:val="nil"/>
            </w:tcBorders>
            <w:shd w:val="clear" w:color="auto" w:fill="auto"/>
            <w:noWrap/>
            <w:vAlign w:val="center"/>
            <w:hideMark/>
          </w:tcPr>
          <w:p w14:paraId="2AEB8731" w14:textId="77777777" w:rsidR="009A4127" w:rsidRPr="00170240" w:rsidRDefault="009A4127" w:rsidP="009A4127">
            <w:pPr>
              <w:spacing w:after="0" w:line="240" w:lineRule="auto"/>
              <w:jc w:val="right"/>
              <w:rPr>
                <w:rFonts w:cs="Arial"/>
                <w:sz w:val="16"/>
                <w:szCs w:val="16"/>
              </w:rPr>
            </w:pPr>
            <w:r w:rsidRPr="00170240">
              <w:rPr>
                <w:rFonts w:cs="Arial"/>
                <w:sz w:val="16"/>
                <w:szCs w:val="16"/>
              </w:rPr>
              <w:t>37,74</w:t>
            </w:r>
          </w:p>
        </w:tc>
        <w:tc>
          <w:tcPr>
            <w:tcW w:w="662" w:type="dxa"/>
            <w:tcBorders>
              <w:top w:val="nil"/>
              <w:left w:val="nil"/>
              <w:bottom w:val="nil"/>
              <w:right w:val="nil"/>
            </w:tcBorders>
            <w:shd w:val="clear" w:color="auto" w:fill="auto"/>
            <w:noWrap/>
            <w:vAlign w:val="center"/>
            <w:hideMark/>
          </w:tcPr>
          <w:p w14:paraId="28AE245D" w14:textId="77777777" w:rsidR="009A4127" w:rsidRPr="00170240" w:rsidRDefault="009A4127" w:rsidP="009A4127">
            <w:pPr>
              <w:spacing w:after="0" w:line="240" w:lineRule="auto"/>
              <w:jc w:val="right"/>
              <w:rPr>
                <w:rFonts w:cs="Arial"/>
                <w:sz w:val="16"/>
                <w:szCs w:val="16"/>
              </w:rPr>
            </w:pPr>
            <w:r w:rsidRPr="00170240">
              <w:rPr>
                <w:rFonts w:cs="Arial"/>
                <w:sz w:val="16"/>
                <w:szCs w:val="16"/>
              </w:rPr>
              <w:t>41,04</w:t>
            </w:r>
          </w:p>
        </w:tc>
        <w:tc>
          <w:tcPr>
            <w:tcW w:w="630" w:type="dxa"/>
            <w:tcBorders>
              <w:top w:val="nil"/>
              <w:left w:val="nil"/>
              <w:bottom w:val="nil"/>
              <w:right w:val="nil"/>
            </w:tcBorders>
            <w:shd w:val="clear" w:color="auto" w:fill="auto"/>
            <w:noWrap/>
            <w:vAlign w:val="center"/>
            <w:hideMark/>
          </w:tcPr>
          <w:p w14:paraId="3BB5DB27" w14:textId="506180BA" w:rsidR="009A4127" w:rsidRPr="00170240" w:rsidRDefault="009A4127" w:rsidP="009A4127">
            <w:pPr>
              <w:spacing w:after="0" w:line="240" w:lineRule="auto"/>
              <w:jc w:val="right"/>
              <w:rPr>
                <w:rFonts w:cs="Arial"/>
                <w:sz w:val="16"/>
                <w:szCs w:val="16"/>
              </w:rPr>
            </w:pPr>
            <w:r>
              <w:rPr>
                <w:rFonts w:cs="Arial"/>
                <w:sz w:val="16"/>
                <w:szCs w:val="16"/>
              </w:rPr>
              <w:t>35,99</w:t>
            </w:r>
          </w:p>
        </w:tc>
        <w:tc>
          <w:tcPr>
            <w:tcW w:w="662" w:type="dxa"/>
            <w:tcBorders>
              <w:top w:val="nil"/>
              <w:left w:val="nil"/>
              <w:bottom w:val="nil"/>
              <w:right w:val="nil"/>
            </w:tcBorders>
            <w:shd w:val="clear" w:color="auto" w:fill="auto"/>
            <w:noWrap/>
            <w:vAlign w:val="center"/>
            <w:hideMark/>
          </w:tcPr>
          <w:p w14:paraId="4AA53910"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37,10</w:t>
            </w:r>
          </w:p>
        </w:tc>
        <w:tc>
          <w:tcPr>
            <w:tcW w:w="630" w:type="dxa"/>
            <w:tcBorders>
              <w:top w:val="nil"/>
              <w:left w:val="nil"/>
              <w:bottom w:val="nil"/>
              <w:right w:val="nil"/>
            </w:tcBorders>
            <w:shd w:val="clear" w:color="auto" w:fill="auto"/>
            <w:noWrap/>
            <w:vAlign w:val="center"/>
            <w:hideMark/>
          </w:tcPr>
          <w:p w14:paraId="3F8B091B"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37,42</w:t>
            </w:r>
          </w:p>
        </w:tc>
        <w:tc>
          <w:tcPr>
            <w:tcW w:w="630" w:type="dxa"/>
            <w:tcBorders>
              <w:top w:val="nil"/>
              <w:left w:val="nil"/>
              <w:bottom w:val="nil"/>
              <w:right w:val="nil"/>
            </w:tcBorders>
            <w:shd w:val="clear" w:color="000000" w:fill="FFFFFF"/>
            <w:noWrap/>
            <w:vAlign w:val="center"/>
            <w:hideMark/>
          </w:tcPr>
          <w:p w14:paraId="53E93908"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36,62</w:t>
            </w:r>
          </w:p>
        </w:tc>
        <w:tc>
          <w:tcPr>
            <w:tcW w:w="634" w:type="dxa"/>
            <w:tcBorders>
              <w:top w:val="nil"/>
              <w:left w:val="nil"/>
              <w:bottom w:val="nil"/>
              <w:right w:val="nil"/>
            </w:tcBorders>
            <w:shd w:val="clear" w:color="auto" w:fill="auto"/>
            <w:noWrap/>
            <w:vAlign w:val="center"/>
            <w:hideMark/>
          </w:tcPr>
          <w:p w14:paraId="353DDB26"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40,13</w:t>
            </w:r>
          </w:p>
        </w:tc>
      </w:tr>
      <w:tr w:rsidR="009A4127" w:rsidRPr="00170240" w14:paraId="446BEEA9" w14:textId="77777777" w:rsidTr="00B3736B">
        <w:trPr>
          <w:trHeight w:val="291"/>
        </w:trPr>
        <w:tc>
          <w:tcPr>
            <w:tcW w:w="3237" w:type="dxa"/>
            <w:tcBorders>
              <w:top w:val="nil"/>
              <w:left w:val="nil"/>
              <w:bottom w:val="nil"/>
              <w:right w:val="nil"/>
            </w:tcBorders>
            <w:shd w:val="clear" w:color="auto" w:fill="auto"/>
            <w:vAlign w:val="center"/>
            <w:hideMark/>
          </w:tcPr>
          <w:p w14:paraId="193C2275" w14:textId="77777777" w:rsidR="009A4127" w:rsidRDefault="009A4127" w:rsidP="009A4127">
            <w:pPr>
              <w:spacing w:after="0" w:line="240" w:lineRule="auto"/>
              <w:ind w:firstLineChars="100" w:firstLine="160"/>
              <w:rPr>
                <w:rFonts w:ascii="Arial CE" w:hAnsi="Arial CE" w:cs="Arial CE"/>
                <w:sz w:val="16"/>
                <w:szCs w:val="16"/>
              </w:rPr>
            </w:pPr>
            <w:r w:rsidRPr="00170240">
              <w:rPr>
                <w:rFonts w:ascii="Arial CE" w:hAnsi="Arial CE" w:cs="Arial CE"/>
                <w:sz w:val="16"/>
                <w:szCs w:val="16"/>
              </w:rPr>
              <w:t xml:space="preserve">N – Administrativní a podpůrné </w:t>
            </w:r>
          </w:p>
          <w:p w14:paraId="0B1AE7C7" w14:textId="7219ED5B" w:rsidR="009A4127" w:rsidRPr="00170240" w:rsidRDefault="009A4127" w:rsidP="009A4127">
            <w:pPr>
              <w:spacing w:after="0" w:line="240" w:lineRule="auto"/>
              <w:ind w:firstLineChars="100" w:firstLine="160"/>
              <w:rPr>
                <w:rFonts w:ascii="Arial CE" w:hAnsi="Arial CE" w:cs="Arial CE"/>
                <w:sz w:val="16"/>
                <w:szCs w:val="16"/>
              </w:rPr>
            </w:pPr>
            <w:r>
              <w:rPr>
                <w:rFonts w:ascii="Arial CE" w:hAnsi="Arial CE" w:cs="Arial CE"/>
                <w:sz w:val="16"/>
                <w:szCs w:val="16"/>
              </w:rPr>
              <w:t xml:space="preserve">       </w:t>
            </w:r>
            <w:r w:rsidRPr="00170240">
              <w:rPr>
                <w:rFonts w:ascii="Arial CE" w:hAnsi="Arial CE" w:cs="Arial CE"/>
                <w:sz w:val="16"/>
                <w:szCs w:val="16"/>
              </w:rPr>
              <w:t>činnosti</w:t>
            </w:r>
          </w:p>
        </w:tc>
        <w:tc>
          <w:tcPr>
            <w:tcW w:w="630" w:type="dxa"/>
            <w:tcBorders>
              <w:top w:val="nil"/>
              <w:left w:val="nil"/>
              <w:bottom w:val="nil"/>
              <w:right w:val="nil"/>
            </w:tcBorders>
            <w:shd w:val="clear" w:color="auto" w:fill="auto"/>
            <w:noWrap/>
            <w:vAlign w:val="center"/>
            <w:hideMark/>
          </w:tcPr>
          <w:p w14:paraId="223A7112" w14:textId="77777777" w:rsidR="009A4127" w:rsidRPr="00170240" w:rsidRDefault="009A4127" w:rsidP="009A4127">
            <w:pPr>
              <w:spacing w:after="0" w:line="240" w:lineRule="auto"/>
              <w:jc w:val="right"/>
              <w:rPr>
                <w:rFonts w:cs="Arial"/>
                <w:sz w:val="16"/>
                <w:szCs w:val="16"/>
              </w:rPr>
            </w:pPr>
            <w:r w:rsidRPr="00170240">
              <w:rPr>
                <w:rFonts w:cs="Arial"/>
                <w:sz w:val="16"/>
                <w:szCs w:val="16"/>
              </w:rPr>
              <w:t>42,57</w:t>
            </w:r>
          </w:p>
        </w:tc>
        <w:tc>
          <w:tcPr>
            <w:tcW w:w="630" w:type="dxa"/>
            <w:tcBorders>
              <w:top w:val="nil"/>
              <w:left w:val="nil"/>
              <w:bottom w:val="nil"/>
              <w:right w:val="nil"/>
            </w:tcBorders>
            <w:shd w:val="clear" w:color="auto" w:fill="auto"/>
            <w:noWrap/>
            <w:vAlign w:val="center"/>
            <w:hideMark/>
          </w:tcPr>
          <w:p w14:paraId="371086B9" w14:textId="77777777" w:rsidR="009A4127" w:rsidRPr="00170240" w:rsidRDefault="009A4127" w:rsidP="009A4127">
            <w:pPr>
              <w:spacing w:after="0" w:line="240" w:lineRule="auto"/>
              <w:jc w:val="right"/>
              <w:rPr>
                <w:rFonts w:cs="Arial"/>
                <w:sz w:val="16"/>
                <w:szCs w:val="16"/>
              </w:rPr>
            </w:pPr>
            <w:r w:rsidRPr="00170240">
              <w:rPr>
                <w:rFonts w:cs="Arial"/>
                <w:sz w:val="16"/>
                <w:szCs w:val="16"/>
              </w:rPr>
              <w:t>37,62</w:t>
            </w:r>
          </w:p>
        </w:tc>
        <w:tc>
          <w:tcPr>
            <w:tcW w:w="630" w:type="dxa"/>
            <w:tcBorders>
              <w:top w:val="nil"/>
              <w:left w:val="nil"/>
              <w:bottom w:val="nil"/>
              <w:right w:val="nil"/>
            </w:tcBorders>
            <w:shd w:val="clear" w:color="auto" w:fill="auto"/>
            <w:noWrap/>
            <w:vAlign w:val="center"/>
            <w:hideMark/>
          </w:tcPr>
          <w:p w14:paraId="100D301E" w14:textId="77777777" w:rsidR="009A4127" w:rsidRPr="00170240" w:rsidRDefault="009A4127" w:rsidP="009A4127">
            <w:pPr>
              <w:spacing w:after="0" w:line="240" w:lineRule="auto"/>
              <w:jc w:val="right"/>
              <w:rPr>
                <w:rFonts w:cs="Arial"/>
                <w:sz w:val="16"/>
                <w:szCs w:val="16"/>
              </w:rPr>
            </w:pPr>
            <w:r w:rsidRPr="00170240">
              <w:rPr>
                <w:rFonts w:cs="Arial"/>
                <w:sz w:val="16"/>
                <w:szCs w:val="16"/>
              </w:rPr>
              <w:t>47,53</w:t>
            </w:r>
          </w:p>
        </w:tc>
        <w:tc>
          <w:tcPr>
            <w:tcW w:w="630" w:type="dxa"/>
            <w:tcBorders>
              <w:top w:val="nil"/>
              <w:left w:val="nil"/>
              <w:bottom w:val="nil"/>
              <w:right w:val="nil"/>
            </w:tcBorders>
            <w:shd w:val="clear" w:color="auto" w:fill="auto"/>
            <w:noWrap/>
            <w:vAlign w:val="center"/>
            <w:hideMark/>
          </w:tcPr>
          <w:p w14:paraId="64FB9842" w14:textId="77777777" w:rsidR="009A4127" w:rsidRPr="00170240" w:rsidRDefault="009A4127" w:rsidP="009A4127">
            <w:pPr>
              <w:spacing w:after="0" w:line="240" w:lineRule="auto"/>
              <w:jc w:val="right"/>
              <w:rPr>
                <w:rFonts w:cs="Arial"/>
                <w:sz w:val="16"/>
                <w:szCs w:val="16"/>
              </w:rPr>
            </w:pPr>
            <w:r w:rsidRPr="00170240">
              <w:rPr>
                <w:rFonts w:cs="Arial"/>
                <w:sz w:val="16"/>
                <w:szCs w:val="16"/>
              </w:rPr>
              <w:t>42,53</w:t>
            </w:r>
          </w:p>
        </w:tc>
        <w:tc>
          <w:tcPr>
            <w:tcW w:w="662" w:type="dxa"/>
            <w:tcBorders>
              <w:top w:val="nil"/>
              <w:left w:val="nil"/>
              <w:bottom w:val="nil"/>
              <w:right w:val="nil"/>
            </w:tcBorders>
            <w:shd w:val="clear" w:color="auto" w:fill="auto"/>
            <w:noWrap/>
            <w:vAlign w:val="center"/>
            <w:hideMark/>
          </w:tcPr>
          <w:p w14:paraId="230D0002" w14:textId="77777777" w:rsidR="009A4127" w:rsidRPr="00170240" w:rsidRDefault="009A4127" w:rsidP="009A4127">
            <w:pPr>
              <w:spacing w:after="0" w:line="240" w:lineRule="auto"/>
              <w:jc w:val="right"/>
              <w:rPr>
                <w:rFonts w:cs="Arial"/>
                <w:sz w:val="16"/>
                <w:szCs w:val="16"/>
              </w:rPr>
            </w:pPr>
            <w:r w:rsidRPr="00170240">
              <w:rPr>
                <w:rFonts w:cs="Arial"/>
                <w:sz w:val="16"/>
                <w:szCs w:val="16"/>
              </w:rPr>
              <w:t>42,28</w:t>
            </w:r>
          </w:p>
        </w:tc>
        <w:tc>
          <w:tcPr>
            <w:tcW w:w="630" w:type="dxa"/>
            <w:tcBorders>
              <w:top w:val="nil"/>
              <w:left w:val="nil"/>
              <w:bottom w:val="nil"/>
              <w:right w:val="nil"/>
            </w:tcBorders>
            <w:shd w:val="clear" w:color="auto" w:fill="auto"/>
            <w:noWrap/>
            <w:vAlign w:val="center"/>
            <w:hideMark/>
          </w:tcPr>
          <w:p w14:paraId="44C61302" w14:textId="1F0EC46D" w:rsidR="009A4127" w:rsidRPr="00170240" w:rsidRDefault="009A4127" w:rsidP="009A4127">
            <w:pPr>
              <w:spacing w:after="0" w:line="240" w:lineRule="auto"/>
              <w:jc w:val="right"/>
              <w:rPr>
                <w:rFonts w:cs="Arial"/>
                <w:sz w:val="16"/>
                <w:szCs w:val="16"/>
              </w:rPr>
            </w:pPr>
            <w:r>
              <w:rPr>
                <w:rFonts w:cs="Arial"/>
                <w:sz w:val="16"/>
                <w:szCs w:val="16"/>
              </w:rPr>
              <w:t>37,47</w:t>
            </w:r>
          </w:p>
        </w:tc>
        <w:tc>
          <w:tcPr>
            <w:tcW w:w="662" w:type="dxa"/>
            <w:tcBorders>
              <w:top w:val="nil"/>
              <w:left w:val="nil"/>
              <w:bottom w:val="nil"/>
              <w:right w:val="nil"/>
            </w:tcBorders>
            <w:shd w:val="clear" w:color="auto" w:fill="auto"/>
            <w:noWrap/>
            <w:vAlign w:val="center"/>
            <w:hideMark/>
          </w:tcPr>
          <w:p w14:paraId="7DD41C19"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38,49</w:t>
            </w:r>
          </w:p>
        </w:tc>
        <w:tc>
          <w:tcPr>
            <w:tcW w:w="630" w:type="dxa"/>
            <w:tcBorders>
              <w:top w:val="nil"/>
              <w:left w:val="nil"/>
              <w:bottom w:val="nil"/>
              <w:right w:val="nil"/>
            </w:tcBorders>
            <w:shd w:val="clear" w:color="auto" w:fill="auto"/>
            <w:noWrap/>
            <w:vAlign w:val="center"/>
            <w:hideMark/>
          </w:tcPr>
          <w:p w14:paraId="4D46EC42"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38,13</w:t>
            </w:r>
          </w:p>
        </w:tc>
        <w:tc>
          <w:tcPr>
            <w:tcW w:w="630" w:type="dxa"/>
            <w:tcBorders>
              <w:top w:val="nil"/>
              <w:left w:val="nil"/>
              <w:bottom w:val="nil"/>
              <w:right w:val="nil"/>
            </w:tcBorders>
            <w:shd w:val="clear" w:color="000000" w:fill="FFFFFF"/>
            <w:noWrap/>
            <w:vAlign w:val="center"/>
            <w:hideMark/>
          </w:tcPr>
          <w:p w14:paraId="34E27F83"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39,04</w:t>
            </w:r>
          </w:p>
        </w:tc>
        <w:tc>
          <w:tcPr>
            <w:tcW w:w="634" w:type="dxa"/>
            <w:tcBorders>
              <w:top w:val="nil"/>
              <w:left w:val="nil"/>
              <w:bottom w:val="nil"/>
              <w:right w:val="nil"/>
            </w:tcBorders>
            <w:shd w:val="clear" w:color="auto" w:fill="auto"/>
            <w:noWrap/>
            <w:vAlign w:val="center"/>
            <w:hideMark/>
          </w:tcPr>
          <w:p w14:paraId="70428EC4"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43,66</w:t>
            </w:r>
          </w:p>
        </w:tc>
      </w:tr>
      <w:tr w:rsidR="009A4127" w:rsidRPr="00170240" w14:paraId="6EDC79CF" w14:textId="77777777" w:rsidTr="00B3736B">
        <w:trPr>
          <w:trHeight w:val="460"/>
        </w:trPr>
        <w:tc>
          <w:tcPr>
            <w:tcW w:w="3237" w:type="dxa"/>
            <w:tcBorders>
              <w:top w:val="nil"/>
              <w:left w:val="nil"/>
              <w:bottom w:val="nil"/>
              <w:right w:val="nil"/>
            </w:tcBorders>
            <w:shd w:val="clear" w:color="auto" w:fill="auto"/>
            <w:vAlign w:val="center"/>
            <w:hideMark/>
          </w:tcPr>
          <w:p w14:paraId="5CDF205C" w14:textId="77777777" w:rsidR="009A4127" w:rsidRDefault="009A4127" w:rsidP="009A4127">
            <w:pPr>
              <w:spacing w:after="0" w:line="240" w:lineRule="auto"/>
              <w:ind w:firstLineChars="100" w:firstLine="160"/>
              <w:rPr>
                <w:rFonts w:ascii="Arial CE" w:hAnsi="Arial CE" w:cs="Arial CE"/>
                <w:sz w:val="16"/>
                <w:szCs w:val="16"/>
              </w:rPr>
            </w:pPr>
            <w:r w:rsidRPr="00170240">
              <w:rPr>
                <w:rFonts w:ascii="Arial CE" w:hAnsi="Arial CE" w:cs="Arial CE"/>
                <w:sz w:val="16"/>
                <w:szCs w:val="16"/>
              </w:rPr>
              <w:t>O – Veřejná správa a obrana; povinné</w:t>
            </w:r>
          </w:p>
          <w:p w14:paraId="7BAFB42A" w14:textId="748AC9A0" w:rsidR="009A4127" w:rsidRPr="00170240" w:rsidRDefault="009A4127" w:rsidP="009A4127">
            <w:pPr>
              <w:spacing w:after="0" w:line="240" w:lineRule="auto"/>
              <w:ind w:firstLineChars="100" w:firstLine="160"/>
              <w:rPr>
                <w:rFonts w:ascii="Arial CE" w:hAnsi="Arial CE" w:cs="Arial CE"/>
                <w:sz w:val="16"/>
                <w:szCs w:val="16"/>
              </w:rPr>
            </w:pPr>
            <w:r>
              <w:rPr>
                <w:rFonts w:ascii="Arial CE" w:hAnsi="Arial CE" w:cs="Arial CE"/>
                <w:sz w:val="16"/>
                <w:szCs w:val="16"/>
              </w:rPr>
              <w:t xml:space="preserve">      </w:t>
            </w:r>
            <w:r w:rsidRPr="00170240">
              <w:rPr>
                <w:rFonts w:ascii="Arial CE" w:hAnsi="Arial CE" w:cs="Arial CE"/>
                <w:sz w:val="16"/>
                <w:szCs w:val="16"/>
              </w:rPr>
              <w:t xml:space="preserve"> sociální zabezpečení</w:t>
            </w:r>
          </w:p>
        </w:tc>
        <w:tc>
          <w:tcPr>
            <w:tcW w:w="630" w:type="dxa"/>
            <w:tcBorders>
              <w:top w:val="nil"/>
              <w:left w:val="nil"/>
              <w:bottom w:val="nil"/>
              <w:right w:val="nil"/>
            </w:tcBorders>
            <w:shd w:val="clear" w:color="auto" w:fill="auto"/>
            <w:noWrap/>
            <w:vAlign w:val="center"/>
            <w:hideMark/>
          </w:tcPr>
          <w:p w14:paraId="1E9FA93E" w14:textId="77777777" w:rsidR="009A4127" w:rsidRPr="00170240" w:rsidRDefault="009A4127" w:rsidP="009A4127">
            <w:pPr>
              <w:spacing w:after="0" w:line="240" w:lineRule="auto"/>
              <w:jc w:val="right"/>
              <w:rPr>
                <w:rFonts w:cs="Arial"/>
                <w:sz w:val="16"/>
                <w:szCs w:val="16"/>
              </w:rPr>
            </w:pPr>
            <w:r w:rsidRPr="00170240">
              <w:rPr>
                <w:rFonts w:cs="Arial"/>
                <w:sz w:val="16"/>
                <w:szCs w:val="16"/>
              </w:rPr>
              <w:t>32,39</w:t>
            </w:r>
          </w:p>
        </w:tc>
        <w:tc>
          <w:tcPr>
            <w:tcW w:w="630" w:type="dxa"/>
            <w:tcBorders>
              <w:top w:val="nil"/>
              <w:left w:val="nil"/>
              <w:bottom w:val="nil"/>
              <w:right w:val="nil"/>
            </w:tcBorders>
            <w:shd w:val="clear" w:color="auto" w:fill="auto"/>
            <w:noWrap/>
            <w:vAlign w:val="center"/>
            <w:hideMark/>
          </w:tcPr>
          <w:p w14:paraId="6E2C7E45" w14:textId="77777777" w:rsidR="009A4127" w:rsidRPr="00170240" w:rsidRDefault="009A4127" w:rsidP="009A4127">
            <w:pPr>
              <w:spacing w:after="0" w:line="240" w:lineRule="auto"/>
              <w:jc w:val="right"/>
              <w:rPr>
                <w:rFonts w:cs="Arial"/>
                <w:sz w:val="16"/>
                <w:szCs w:val="16"/>
              </w:rPr>
            </w:pPr>
            <w:r w:rsidRPr="00170240">
              <w:rPr>
                <w:rFonts w:cs="Arial"/>
                <w:sz w:val="16"/>
                <w:szCs w:val="16"/>
              </w:rPr>
              <w:t>33,10</w:t>
            </w:r>
          </w:p>
        </w:tc>
        <w:tc>
          <w:tcPr>
            <w:tcW w:w="630" w:type="dxa"/>
            <w:tcBorders>
              <w:top w:val="nil"/>
              <w:left w:val="nil"/>
              <w:bottom w:val="nil"/>
              <w:right w:val="nil"/>
            </w:tcBorders>
            <w:shd w:val="clear" w:color="auto" w:fill="auto"/>
            <w:noWrap/>
            <w:vAlign w:val="center"/>
            <w:hideMark/>
          </w:tcPr>
          <w:p w14:paraId="3BF51999" w14:textId="77777777" w:rsidR="009A4127" w:rsidRPr="00170240" w:rsidRDefault="009A4127" w:rsidP="009A4127">
            <w:pPr>
              <w:spacing w:after="0" w:line="240" w:lineRule="auto"/>
              <w:jc w:val="right"/>
              <w:rPr>
                <w:rFonts w:cs="Arial"/>
                <w:sz w:val="16"/>
                <w:szCs w:val="16"/>
              </w:rPr>
            </w:pPr>
            <w:r w:rsidRPr="00170240">
              <w:rPr>
                <w:rFonts w:cs="Arial"/>
                <w:sz w:val="16"/>
                <w:szCs w:val="16"/>
              </w:rPr>
              <w:t>39,96</w:t>
            </w:r>
          </w:p>
        </w:tc>
        <w:tc>
          <w:tcPr>
            <w:tcW w:w="630" w:type="dxa"/>
            <w:tcBorders>
              <w:top w:val="nil"/>
              <w:left w:val="nil"/>
              <w:bottom w:val="nil"/>
              <w:right w:val="nil"/>
            </w:tcBorders>
            <w:shd w:val="clear" w:color="auto" w:fill="auto"/>
            <w:noWrap/>
            <w:vAlign w:val="center"/>
            <w:hideMark/>
          </w:tcPr>
          <w:p w14:paraId="44E3D83A" w14:textId="77777777" w:rsidR="009A4127" w:rsidRPr="00170240" w:rsidRDefault="009A4127" w:rsidP="009A4127">
            <w:pPr>
              <w:spacing w:after="0" w:line="240" w:lineRule="auto"/>
              <w:jc w:val="right"/>
              <w:rPr>
                <w:rFonts w:cs="Arial"/>
                <w:sz w:val="16"/>
                <w:szCs w:val="16"/>
              </w:rPr>
            </w:pPr>
            <w:r w:rsidRPr="00170240">
              <w:rPr>
                <w:rFonts w:cs="Arial"/>
                <w:sz w:val="16"/>
                <w:szCs w:val="16"/>
              </w:rPr>
              <w:t>32,31</w:t>
            </w:r>
          </w:p>
        </w:tc>
        <w:tc>
          <w:tcPr>
            <w:tcW w:w="662" w:type="dxa"/>
            <w:tcBorders>
              <w:top w:val="nil"/>
              <w:left w:val="nil"/>
              <w:bottom w:val="nil"/>
              <w:right w:val="nil"/>
            </w:tcBorders>
            <w:shd w:val="clear" w:color="auto" w:fill="auto"/>
            <w:noWrap/>
            <w:vAlign w:val="center"/>
            <w:hideMark/>
          </w:tcPr>
          <w:p w14:paraId="73EAF425" w14:textId="77777777" w:rsidR="009A4127" w:rsidRPr="00170240" w:rsidRDefault="009A4127" w:rsidP="009A4127">
            <w:pPr>
              <w:spacing w:after="0" w:line="240" w:lineRule="auto"/>
              <w:jc w:val="right"/>
              <w:rPr>
                <w:rFonts w:cs="Arial"/>
                <w:sz w:val="16"/>
                <w:szCs w:val="16"/>
              </w:rPr>
            </w:pPr>
            <w:r w:rsidRPr="00170240">
              <w:rPr>
                <w:rFonts w:cs="Arial"/>
                <w:sz w:val="16"/>
                <w:szCs w:val="16"/>
              </w:rPr>
              <w:t>37,93</w:t>
            </w:r>
          </w:p>
        </w:tc>
        <w:tc>
          <w:tcPr>
            <w:tcW w:w="630" w:type="dxa"/>
            <w:tcBorders>
              <w:top w:val="nil"/>
              <w:left w:val="nil"/>
              <w:bottom w:val="nil"/>
              <w:right w:val="nil"/>
            </w:tcBorders>
            <w:shd w:val="clear" w:color="auto" w:fill="auto"/>
            <w:noWrap/>
            <w:vAlign w:val="center"/>
            <w:hideMark/>
          </w:tcPr>
          <w:p w14:paraId="17A52FCC" w14:textId="4D85024D" w:rsidR="009A4127" w:rsidRPr="00170240" w:rsidRDefault="009A4127" w:rsidP="009A4127">
            <w:pPr>
              <w:spacing w:after="0" w:line="240" w:lineRule="auto"/>
              <w:jc w:val="right"/>
              <w:rPr>
                <w:rFonts w:cs="Arial"/>
                <w:sz w:val="16"/>
                <w:szCs w:val="16"/>
              </w:rPr>
            </w:pPr>
            <w:r>
              <w:rPr>
                <w:rFonts w:cs="Arial"/>
                <w:sz w:val="16"/>
                <w:szCs w:val="16"/>
              </w:rPr>
              <w:t>32,69</w:t>
            </w:r>
          </w:p>
        </w:tc>
        <w:tc>
          <w:tcPr>
            <w:tcW w:w="662" w:type="dxa"/>
            <w:tcBorders>
              <w:top w:val="nil"/>
              <w:left w:val="nil"/>
              <w:bottom w:val="nil"/>
              <w:right w:val="nil"/>
            </w:tcBorders>
            <w:shd w:val="clear" w:color="auto" w:fill="auto"/>
            <w:noWrap/>
            <w:vAlign w:val="center"/>
            <w:hideMark/>
          </w:tcPr>
          <w:p w14:paraId="37275E6E"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35,96</w:t>
            </w:r>
          </w:p>
        </w:tc>
        <w:tc>
          <w:tcPr>
            <w:tcW w:w="630" w:type="dxa"/>
            <w:tcBorders>
              <w:top w:val="nil"/>
              <w:left w:val="nil"/>
              <w:bottom w:val="nil"/>
              <w:right w:val="nil"/>
            </w:tcBorders>
            <w:shd w:val="clear" w:color="auto" w:fill="auto"/>
            <w:noWrap/>
            <w:vAlign w:val="center"/>
            <w:hideMark/>
          </w:tcPr>
          <w:p w14:paraId="7C5E7A13"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34,52</w:t>
            </w:r>
          </w:p>
        </w:tc>
        <w:tc>
          <w:tcPr>
            <w:tcW w:w="630" w:type="dxa"/>
            <w:tcBorders>
              <w:top w:val="nil"/>
              <w:left w:val="nil"/>
              <w:bottom w:val="nil"/>
              <w:right w:val="nil"/>
            </w:tcBorders>
            <w:shd w:val="clear" w:color="000000" w:fill="FFFFFF"/>
            <w:noWrap/>
            <w:vAlign w:val="center"/>
            <w:hideMark/>
          </w:tcPr>
          <w:p w14:paraId="4F7E1C1E"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32,23</w:t>
            </w:r>
          </w:p>
        </w:tc>
        <w:tc>
          <w:tcPr>
            <w:tcW w:w="634" w:type="dxa"/>
            <w:tcBorders>
              <w:top w:val="nil"/>
              <w:left w:val="nil"/>
              <w:bottom w:val="nil"/>
              <w:right w:val="nil"/>
            </w:tcBorders>
            <w:shd w:val="clear" w:color="auto" w:fill="auto"/>
            <w:noWrap/>
            <w:vAlign w:val="center"/>
            <w:hideMark/>
          </w:tcPr>
          <w:p w14:paraId="3409966C"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35,56</w:t>
            </w:r>
          </w:p>
        </w:tc>
      </w:tr>
      <w:tr w:rsidR="009A4127" w:rsidRPr="00170240" w14:paraId="73ED4D82" w14:textId="77777777" w:rsidTr="00B3736B">
        <w:trPr>
          <w:trHeight w:val="291"/>
        </w:trPr>
        <w:tc>
          <w:tcPr>
            <w:tcW w:w="3237" w:type="dxa"/>
            <w:tcBorders>
              <w:top w:val="nil"/>
              <w:left w:val="nil"/>
              <w:bottom w:val="nil"/>
              <w:right w:val="nil"/>
            </w:tcBorders>
            <w:shd w:val="clear" w:color="auto" w:fill="auto"/>
            <w:vAlign w:val="center"/>
            <w:hideMark/>
          </w:tcPr>
          <w:p w14:paraId="1B39EC78" w14:textId="77777777" w:rsidR="009A4127" w:rsidRPr="00170240" w:rsidRDefault="009A4127" w:rsidP="009A4127">
            <w:pPr>
              <w:spacing w:after="0" w:line="240" w:lineRule="auto"/>
              <w:ind w:firstLineChars="100" w:firstLine="160"/>
              <w:rPr>
                <w:rFonts w:ascii="Arial CE" w:hAnsi="Arial CE" w:cs="Arial CE"/>
                <w:sz w:val="16"/>
                <w:szCs w:val="16"/>
              </w:rPr>
            </w:pPr>
            <w:r w:rsidRPr="00170240">
              <w:rPr>
                <w:rFonts w:ascii="Arial CE" w:hAnsi="Arial CE" w:cs="Arial CE"/>
                <w:sz w:val="16"/>
                <w:szCs w:val="16"/>
              </w:rPr>
              <w:t>P – Vzdělávání</w:t>
            </w:r>
          </w:p>
        </w:tc>
        <w:tc>
          <w:tcPr>
            <w:tcW w:w="630" w:type="dxa"/>
            <w:tcBorders>
              <w:top w:val="nil"/>
              <w:left w:val="nil"/>
              <w:bottom w:val="nil"/>
              <w:right w:val="nil"/>
            </w:tcBorders>
            <w:shd w:val="clear" w:color="auto" w:fill="auto"/>
            <w:noWrap/>
            <w:vAlign w:val="center"/>
            <w:hideMark/>
          </w:tcPr>
          <w:p w14:paraId="18316B39" w14:textId="77777777" w:rsidR="009A4127" w:rsidRPr="00170240" w:rsidRDefault="009A4127" w:rsidP="009A4127">
            <w:pPr>
              <w:spacing w:after="0" w:line="240" w:lineRule="auto"/>
              <w:jc w:val="right"/>
              <w:rPr>
                <w:rFonts w:cs="Arial"/>
                <w:sz w:val="16"/>
                <w:szCs w:val="16"/>
              </w:rPr>
            </w:pPr>
            <w:r w:rsidRPr="00170240">
              <w:rPr>
                <w:rFonts w:cs="Arial"/>
                <w:sz w:val="16"/>
                <w:szCs w:val="16"/>
              </w:rPr>
              <w:t>31,51</w:t>
            </w:r>
          </w:p>
        </w:tc>
        <w:tc>
          <w:tcPr>
            <w:tcW w:w="630" w:type="dxa"/>
            <w:tcBorders>
              <w:top w:val="nil"/>
              <w:left w:val="nil"/>
              <w:bottom w:val="nil"/>
              <w:right w:val="nil"/>
            </w:tcBorders>
            <w:shd w:val="clear" w:color="auto" w:fill="auto"/>
            <w:noWrap/>
            <w:vAlign w:val="center"/>
            <w:hideMark/>
          </w:tcPr>
          <w:p w14:paraId="3AEB22F4" w14:textId="77777777" w:rsidR="009A4127" w:rsidRPr="00170240" w:rsidRDefault="009A4127" w:rsidP="009A4127">
            <w:pPr>
              <w:spacing w:after="0" w:line="240" w:lineRule="auto"/>
              <w:jc w:val="right"/>
              <w:rPr>
                <w:rFonts w:cs="Arial"/>
                <w:sz w:val="16"/>
                <w:szCs w:val="16"/>
              </w:rPr>
            </w:pPr>
            <w:r w:rsidRPr="00170240">
              <w:rPr>
                <w:rFonts w:cs="Arial"/>
                <w:sz w:val="16"/>
                <w:szCs w:val="16"/>
              </w:rPr>
              <w:t>29,94</w:t>
            </w:r>
          </w:p>
        </w:tc>
        <w:tc>
          <w:tcPr>
            <w:tcW w:w="630" w:type="dxa"/>
            <w:tcBorders>
              <w:top w:val="nil"/>
              <w:left w:val="nil"/>
              <w:bottom w:val="nil"/>
              <w:right w:val="nil"/>
            </w:tcBorders>
            <w:shd w:val="clear" w:color="auto" w:fill="auto"/>
            <w:noWrap/>
            <w:vAlign w:val="center"/>
            <w:hideMark/>
          </w:tcPr>
          <w:p w14:paraId="69A8BBC9" w14:textId="77777777" w:rsidR="009A4127" w:rsidRPr="00170240" w:rsidRDefault="009A4127" w:rsidP="009A4127">
            <w:pPr>
              <w:spacing w:after="0" w:line="240" w:lineRule="auto"/>
              <w:jc w:val="right"/>
              <w:rPr>
                <w:rFonts w:cs="Arial"/>
                <w:sz w:val="16"/>
                <w:szCs w:val="16"/>
              </w:rPr>
            </w:pPr>
            <w:r w:rsidRPr="00170240">
              <w:rPr>
                <w:rFonts w:cs="Arial"/>
                <w:sz w:val="16"/>
                <w:szCs w:val="16"/>
              </w:rPr>
              <w:t>35,76</w:t>
            </w:r>
          </w:p>
        </w:tc>
        <w:tc>
          <w:tcPr>
            <w:tcW w:w="630" w:type="dxa"/>
            <w:tcBorders>
              <w:top w:val="nil"/>
              <w:left w:val="nil"/>
              <w:bottom w:val="nil"/>
              <w:right w:val="nil"/>
            </w:tcBorders>
            <w:shd w:val="clear" w:color="auto" w:fill="auto"/>
            <w:noWrap/>
            <w:vAlign w:val="center"/>
            <w:hideMark/>
          </w:tcPr>
          <w:p w14:paraId="0939035C" w14:textId="77777777" w:rsidR="009A4127" w:rsidRPr="00170240" w:rsidRDefault="009A4127" w:rsidP="009A4127">
            <w:pPr>
              <w:spacing w:after="0" w:line="240" w:lineRule="auto"/>
              <w:jc w:val="right"/>
              <w:rPr>
                <w:rFonts w:cs="Arial"/>
                <w:sz w:val="16"/>
                <w:szCs w:val="16"/>
              </w:rPr>
            </w:pPr>
            <w:r w:rsidRPr="00170240">
              <w:rPr>
                <w:rFonts w:cs="Arial"/>
                <w:sz w:val="16"/>
                <w:szCs w:val="16"/>
              </w:rPr>
              <w:t>30,90</w:t>
            </w:r>
          </w:p>
        </w:tc>
        <w:tc>
          <w:tcPr>
            <w:tcW w:w="662" w:type="dxa"/>
            <w:tcBorders>
              <w:top w:val="nil"/>
              <w:left w:val="nil"/>
              <w:bottom w:val="nil"/>
              <w:right w:val="nil"/>
            </w:tcBorders>
            <w:shd w:val="clear" w:color="auto" w:fill="auto"/>
            <w:noWrap/>
            <w:vAlign w:val="center"/>
            <w:hideMark/>
          </w:tcPr>
          <w:p w14:paraId="6B42A521" w14:textId="77777777" w:rsidR="009A4127" w:rsidRPr="00170240" w:rsidRDefault="009A4127" w:rsidP="009A4127">
            <w:pPr>
              <w:spacing w:after="0" w:line="240" w:lineRule="auto"/>
              <w:jc w:val="right"/>
              <w:rPr>
                <w:rFonts w:cs="Arial"/>
                <w:sz w:val="16"/>
                <w:szCs w:val="16"/>
              </w:rPr>
            </w:pPr>
            <w:r w:rsidRPr="00170240">
              <w:rPr>
                <w:rFonts w:cs="Arial"/>
                <w:sz w:val="16"/>
                <w:szCs w:val="16"/>
              </w:rPr>
              <w:t>35,02</w:t>
            </w:r>
          </w:p>
        </w:tc>
        <w:tc>
          <w:tcPr>
            <w:tcW w:w="630" w:type="dxa"/>
            <w:tcBorders>
              <w:top w:val="nil"/>
              <w:left w:val="nil"/>
              <w:bottom w:val="nil"/>
              <w:right w:val="nil"/>
            </w:tcBorders>
            <w:shd w:val="clear" w:color="auto" w:fill="auto"/>
            <w:noWrap/>
            <w:vAlign w:val="center"/>
            <w:hideMark/>
          </w:tcPr>
          <w:p w14:paraId="76C5D27B" w14:textId="1FFBA23A" w:rsidR="009A4127" w:rsidRPr="00170240" w:rsidRDefault="009A4127" w:rsidP="009A4127">
            <w:pPr>
              <w:spacing w:after="0" w:line="240" w:lineRule="auto"/>
              <w:jc w:val="right"/>
              <w:rPr>
                <w:rFonts w:cs="Arial"/>
                <w:sz w:val="16"/>
                <w:szCs w:val="16"/>
              </w:rPr>
            </w:pPr>
            <w:r>
              <w:rPr>
                <w:rFonts w:cs="Arial"/>
                <w:sz w:val="16"/>
                <w:szCs w:val="16"/>
              </w:rPr>
              <w:t>28,72</w:t>
            </w:r>
          </w:p>
        </w:tc>
        <w:tc>
          <w:tcPr>
            <w:tcW w:w="662" w:type="dxa"/>
            <w:tcBorders>
              <w:top w:val="nil"/>
              <w:left w:val="nil"/>
              <w:bottom w:val="nil"/>
              <w:right w:val="nil"/>
            </w:tcBorders>
            <w:shd w:val="clear" w:color="auto" w:fill="auto"/>
            <w:noWrap/>
            <w:vAlign w:val="center"/>
            <w:hideMark/>
          </w:tcPr>
          <w:p w14:paraId="1E289D51"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31,26</w:t>
            </w:r>
          </w:p>
        </w:tc>
        <w:tc>
          <w:tcPr>
            <w:tcW w:w="630" w:type="dxa"/>
            <w:tcBorders>
              <w:top w:val="nil"/>
              <w:left w:val="nil"/>
              <w:bottom w:val="nil"/>
              <w:right w:val="nil"/>
            </w:tcBorders>
            <w:shd w:val="clear" w:color="auto" w:fill="auto"/>
            <w:noWrap/>
            <w:vAlign w:val="center"/>
            <w:hideMark/>
          </w:tcPr>
          <w:p w14:paraId="1727DDCE"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29,80</w:t>
            </w:r>
          </w:p>
        </w:tc>
        <w:tc>
          <w:tcPr>
            <w:tcW w:w="630" w:type="dxa"/>
            <w:tcBorders>
              <w:top w:val="nil"/>
              <w:left w:val="nil"/>
              <w:bottom w:val="nil"/>
              <w:right w:val="nil"/>
            </w:tcBorders>
            <w:shd w:val="clear" w:color="000000" w:fill="FFFFFF"/>
            <w:noWrap/>
            <w:vAlign w:val="center"/>
            <w:hideMark/>
          </w:tcPr>
          <w:p w14:paraId="6F74F635"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27,71</w:t>
            </w:r>
          </w:p>
        </w:tc>
        <w:tc>
          <w:tcPr>
            <w:tcW w:w="634" w:type="dxa"/>
            <w:tcBorders>
              <w:top w:val="nil"/>
              <w:left w:val="nil"/>
              <w:bottom w:val="nil"/>
              <w:right w:val="nil"/>
            </w:tcBorders>
            <w:shd w:val="clear" w:color="auto" w:fill="auto"/>
            <w:noWrap/>
            <w:vAlign w:val="center"/>
            <w:hideMark/>
          </w:tcPr>
          <w:p w14:paraId="75164F4E"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30,42</w:t>
            </w:r>
          </w:p>
        </w:tc>
      </w:tr>
      <w:tr w:rsidR="009A4127" w:rsidRPr="00170240" w14:paraId="0C7D6DA6" w14:textId="77777777" w:rsidTr="00B3736B">
        <w:trPr>
          <w:trHeight w:val="291"/>
        </w:trPr>
        <w:tc>
          <w:tcPr>
            <w:tcW w:w="3237" w:type="dxa"/>
            <w:tcBorders>
              <w:top w:val="nil"/>
              <w:left w:val="nil"/>
              <w:bottom w:val="nil"/>
              <w:right w:val="nil"/>
            </w:tcBorders>
            <w:shd w:val="clear" w:color="auto" w:fill="auto"/>
            <w:vAlign w:val="center"/>
            <w:hideMark/>
          </w:tcPr>
          <w:p w14:paraId="71C35CE6" w14:textId="77777777" w:rsidR="009A4127" w:rsidRPr="00170240" w:rsidRDefault="009A4127" w:rsidP="009A4127">
            <w:pPr>
              <w:spacing w:after="0" w:line="240" w:lineRule="auto"/>
              <w:ind w:firstLineChars="100" w:firstLine="160"/>
              <w:rPr>
                <w:rFonts w:ascii="Arial CE" w:hAnsi="Arial CE" w:cs="Arial CE"/>
                <w:sz w:val="16"/>
                <w:szCs w:val="16"/>
              </w:rPr>
            </w:pPr>
            <w:r w:rsidRPr="00170240">
              <w:rPr>
                <w:rFonts w:ascii="Arial CE" w:hAnsi="Arial CE" w:cs="Arial CE"/>
                <w:sz w:val="16"/>
                <w:szCs w:val="16"/>
              </w:rPr>
              <w:t>Q – Zdravotní a sociální péče</w:t>
            </w:r>
          </w:p>
        </w:tc>
        <w:tc>
          <w:tcPr>
            <w:tcW w:w="630" w:type="dxa"/>
            <w:tcBorders>
              <w:top w:val="nil"/>
              <w:left w:val="nil"/>
              <w:bottom w:val="nil"/>
              <w:right w:val="nil"/>
            </w:tcBorders>
            <w:shd w:val="clear" w:color="auto" w:fill="auto"/>
            <w:noWrap/>
            <w:vAlign w:val="center"/>
            <w:hideMark/>
          </w:tcPr>
          <w:p w14:paraId="6ECFDA50" w14:textId="77777777" w:rsidR="009A4127" w:rsidRPr="00170240" w:rsidRDefault="009A4127" w:rsidP="009A4127">
            <w:pPr>
              <w:spacing w:after="0" w:line="240" w:lineRule="auto"/>
              <w:jc w:val="right"/>
              <w:rPr>
                <w:rFonts w:cs="Arial"/>
                <w:sz w:val="16"/>
                <w:szCs w:val="16"/>
              </w:rPr>
            </w:pPr>
            <w:r w:rsidRPr="00170240">
              <w:rPr>
                <w:rFonts w:cs="Arial"/>
                <w:sz w:val="16"/>
                <w:szCs w:val="16"/>
              </w:rPr>
              <w:t>46,01</w:t>
            </w:r>
          </w:p>
        </w:tc>
        <w:tc>
          <w:tcPr>
            <w:tcW w:w="630" w:type="dxa"/>
            <w:tcBorders>
              <w:top w:val="nil"/>
              <w:left w:val="nil"/>
              <w:bottom w:val="nil"/>
              <w:right w:val="nil"/>
            </w:tcBorders>
            <w:shd w:val="clear" w:color="auto" w:fill="auto"/>
            <w:noWrap/>
            <w:vAlign w:val="center"/>
            <w:hideMark/>
          </w:tcPr>
          <w:p w14:paraId="36F72B85" w14:textId="77777777" w:rsidR="009A4127" w:rsidRPr="00170240" w:rsidRDefault="009A4127" w:rsidP="009A4127">
            <w:pPr>
              <w:spacing w:after="0" w:line="240" w:lineRule="auto"/>
              <w:jc w:val="right"/>
              <w:rPr>
                <w:rFonts w:cs="Arial"/>
                <w:sz w:val="16"/>
                <w:szCs w:val="16"/>
              </w:rPr>
            </w:pPr>
            <w:r w:rsidRPr="00170240">
              <w:rPr>
                <w:rFonts w:cs="Arial"/>
                <w:sz w:val="16"/>
                <w:szCs w:val="16"/>
              </w:rPr>
              <w:t>46,18</w:t>
            </w:r>
          </w:p>
        </w:tc>
        <w:tc>
          <w:tcPr>
            <w:tcW w:w="630" w:type="dxa"/>
            <w:tcBorders>
              <w:top w:val="nil"/>
              <w:left w:val="nil"/>
              <w:bottom w:val="nil"/>
              <w:right w:val="nil"/>
            </w:tcBorders>
            <w:shd w:val="clear" w:color="auto" w:fill="auto"/>
            <w:noWrap/>
            <w:vAlign w:val="center"/>
            <w:hideMark/>
          </w:tcPr>
          <w:p w14:paraId="434D5BEB" w14:textId="77777777" w:rsidR="009A4127" w:rsidRPr="00170240" w:rsidRDefault="009A4127" w:rsidP="009A4127">
            <w:pPr>
              <w:spacing w:after="0" w:line="240" w:lineRule="auto"/>
              <w:jc w:val="right"/>
              <w:rPr>
                <w:rFonts w:cs="Arial"/>
                <w:sz w:val="16"/>
                <w:szCs w:val="16"/>
              </w:rPr>
            </w:pPr>
            <w:r w:rsidRPr="00170240">
              <w:rPr>
                <w:rFonts w:cs="Arial"/>
                <w:sz w:val="16"/>
                <w:szCs w:val="16"/>
              </w:rPr>
              <w:t>51,93</w:t>
            </w:r>
          </w:p>
        </w:tc>
        <w:tc>
          <w:tcPr>
            <w:tcW w:w="630" w:type="dxa"/>
            <w:tcBorders>
              <w:top w:val="nil"/>
              <w:left w:val="nil"/>
              <w:bottom w:val="nil"/>
              <w:right w:val="nil"/>
            </w:tcBorders>
            <w:shd w:val="clear" w:color="auto" w:fill="auto"/>
            <w:noWrap/>
            <w:vAlign w:val="center"/>
            <w:hideMark/>
          </w:tcPr>
          <w:p w14:paraId="09CC0E9B" w14:textId="77777777" w:rsidR="009A4127" w:rsidRPr="00170240" w:rsidRDefault="009A4127" w:rsidP="009A4127">
            <w:pPr>
              <w:spacing w:after="0" w:line="240" w:lineRule="auto"/>
              <w:jc w:val="right"/>
              <w:rPr>
                <w:rFonts w:cs="Arial"/>
                <w:sz w:val="16"/>
                <w:szCs w:val="16"/>
              </w:rPr>
            </w:pPr>
            <w:r w:rsidRPr="00170240">
              <w:rPr>
                <w:rFonts w:cs="Arial"/>
                <w:sz w:val="16"/>
                <w:szCs w:val="16"/>
              </w:rPr>
              <w:t>45,06</w:t>
            </w:r>
          </w:p>
        </w:tc>
        <w:tc>
          <w:tcPr>
            <w:tcW w:w="662" w:type="dxa"/>
            <w:tcBorders>
              <w:top w:val="nil"/>
              <w:left w:val="nil"/>
              <w:bottom w:val="nil"/>
              <w:right w:val="nil"/>
            </w:tcBorders>
            <w:shd w:val="clear" w:color="auto" w:fill="auto"/>
            <w:noWrap/>
            <w:vAlign w:val="center"/>
            <w:hideMark/>
          </w:tcPr>
          <w:p w14:paraId="745907AE" w14:textId="77777777" w:rsidR="009A4127" w:rsidRPr="00170240" w:rsidRDefault="009A4127" w:rsidP="009A4127">
            <w:pPr>
              <w:spacing w:after="0" w:line="240" w:lineRule="auto"/>
              <w:jc w:val="right"/>
              <w:rPr>
                <w:rFonts w:cs="Arial"/>
                <w:sz w:val="16"/>
                <w:szCs w:val="16"/>
              </w:rPr>
            </w:pPr>
            <w:r w:rsidRPr="00170240">
              <w:rPr>
                <w:rFonts w:cs="Arial"/>
                <w:sz w:val="16"/>
                <w:szCs w:val="16"/>
              </w:rPr>
              <w:t>50,87</w:t>
            </w:r>
          </w:p>
        </w:tc>
        <w:tc>
          <w:tcPr>
            <w:tcW w:w="630" w:type="dxa"/>
            <w:tcBorders>
              <w:top w:val="nil"/>
              <w:left w:val="nil"/>
              <w:bottom w:val="nil"/>
              <w:right w:val="nil"/>
            </w:tcBorders>
            <w:shd w:val="clear" w:color="auto" w:fill="auto"/>
            <w:noWrap/>
            <w:vAlign w:val="center"/>
            <w:hideMark/>
          </w:tcPr>
          <w:p w14:paraId="168880F8" w14:textId="63B41DF3" w:rsidR="009A4127" w:rsidRPr="00170240" w:rsidRDefault="009A4127" w:rsidP="009A4127">
            <w:pPr>
              <w:spacing w:after="0" w:line="240" w:lineRule="auto"/>
              <w:jc w:val="right"/>
              <w:rPr>
                <w:rFonts w:cs="Arial"/>
                <w:sz w:val="16"/>
                <w:szCs w:val="16"/>
              </w:rPr>
            </w:pPr>
            <w:r>
              <w:rPr>
                <w:rFonts w:cs="Arial"/>
                <w:sz w:val="16"/>
                <w:szCs w:val="16"/>
              </w:rPr>
              <w:t>44,49</w:t>
            </w:r>
          </w:p>
        </w:tc>
        <w:tc>
          <w:tcPr>
            <w:tcW w:w="662" w:type="dxa"/>
            <w:tcBorders>
              <w:top w:val="nil"/>
              <w:left w:val="nil"/>
              <w:bottom w:val="nil"/>
              <w:right w:val="nil"/>
            </w:tcBorders>
            <w:shd w:val="clear" w:color="auto" w:fill="auto"/>
            <w:noWrap/>
            <w:vAlign w:val="center"/>
            <w:hideMark/>
          </w:tcPr>
          <w:p w14:paraId="0DC86D28"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46,86</w:t>
            </w:r>
          </w:p>
        </w:tc>
        <w:tc>
          <w:tcPr>
            <w:tcW w:w="630" w:type="dxa"/>
            <w:tcBorders>
              <w:top w:val="nil"/>
              <w:left w:val="nil"/>
              <w:bottom w:val="nil"/>
              <w:right w:val="nil"/>
            </w:tcBorders>
            <w:shd w:val="clear" w:color="auto" w:fill="auto"/>
            <w:noWrap/>
            <w:vAlign w:val="center"/>
            <w:hideMark/>
          </w:tcPr>
          <w:p w14:paraId="5D1060CF"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45,44</w:t>
            </w:r>
          </w:p>
        </w:tc>
        <w:tc>
          <w:tcPr>
            <w:tcW w:w="630" w:type="dxa"/>
            <w:tcBorders>
              <w:top w:val="nil"/>
              <w:left w:val="nil"/>
              <w:bottom w:val="nil"/>
              <w:right w:val="nil"/>
            </w:tcBorders>
            <w:shd w:val="clear" w:color="000000" w:fill="FFFFFF"/>
            <w:noWrap/>
            <w:vAlign w:val="center"/>
            <w:hideMark/>
          </w:tcPr>
          <w:p w14:paraId="585ED7C3"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42,36</w:t>
            </w:r>
          </w:p>
        </w:tc>
        <w:tc>
          <w:tcPr>
            <w:tcW w:w="634" w:type="dxa"/>
            <w:tcBorders>
              <w:top w:val="nil"/>
              <w:left w:val="nil"/>
              <w:bottom w:val="nil"/>
              <w:right w:val="nil"/>
            </w:tcBorders>
            <w:shd w:val="clear" w:color="auto" w:fill="auto"/>
            <w:noWrap/>
            <w:vAlign w:val="center"/>
            <w:hideMark/>
          </w:tcPr>
          <w:p w14:paraId="498849A0"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45,95</w:t>
            </w:r>
          </w:p>
        </w:tc>
      </w:tr>
      <w:tr w:rsidR="009A4127" w:rsidRPr="00170240" w14:paraId="1F8C32BF" w14:textId="77777777" w:rsidTr="00B3736B">
        <w:trPr>
          <w:trHeight w:val="460"/>
        </w:trPr>
        <w:tc>
          <w:tcPr>
            <w:tcW w:w="3237" w:type="dxa"/>
            <w:tcBorders>
              <w:top w:val="nil"/>
              <w:left w:val="nil"/>
              <w:bottom w:val="nil"/>
              <w:right w:val="nil"/>
            </w:tcBorders>
            <w:shd w:val="clear" w:color="auto" w:fill="auto"/>
            <w:vAlign w:val="center"/>
            <w:hideMark/>
          </w:tcPr>
          <w:p w14:paraId="3F55E5A2" w14:textId="77777777" w:rsidR="009A4127" w:rsidRDefault="009A4127" w:rsidP="009A4127">
            <w:pPr>
              <w:spacing w:after="0" w:line="240" w:lineRule="auto"/>
              <w:ind w:firstLineChars="100" w:firstLine="160"/>
              <w:rPr>
                <w:rFonts w:ascii="Arial CE" w:hAnsi="Arial CE" w:cs="Arial CE"/>
                <w:sz w:val="16"/>
                <w:szCs w:val="16"/>
              </w:rPr>
            </w:pPr>
            <w:r w:rsidRPr="00170240">
              <w:rPr>
                <w:rFonts w:ascii="Arial CE" w:hAnsi="Arial CE" w:cs="Arial CE"/>
                <w:sz w:val="16"/>
                <w:szCs w:val="16"/>
              </w:rPr>
              <w:t xml:space="preserve">R – Kulturní, zábavní a rekreační </w:t>
            </w:r>
          </w:p>
          <w:p w14:paraId="42E429B5" w14:textId="49313856" w:rsidR="009A4127" w:rsidRPr="00170240" w:rsidRDefault="009A4127" w:rsidP="009A4127">
            <w:pPr>
              <w:spacing w:after="0" w:line="240" w:lineRule="auto"/>
              <w:ind w:firstLineChars="100" w:firstLine="160"/>
              <w:rPr>
                <w:rFonts w:ascii="Arial CE" w:hAnsi="Arial CE" w:cs="Arial CE"/>
                <w:sz w:val="16"/>
                <w:szCs w:val="16"/>
              </w:rPr>
            </w:pPr>
            <w:r>
              <w:rPr>
                <w:rFonts w:ascii="Arial CE" w:hAnsi="Arial CE" w:cs="Arial CE"/>
                <w:sz w:val="16"/>
                <w:szCs w:val="16"/>
              </w:rPr>
              <w:t xml:space="preserve">       </w:t>
            </w:r>
            <w:r w:rsidRPr="00170240">
              <w:rPr>
                <w:rFonts w:ascii="Arial CE" w:hAnsi="Arial CE" w:cs="Arial CE"/>
                <w:sz w:val="16"/>
                <w:szCs w:val="16"/>
              </w:rPr>
              <w:t>činnosti</w:t>
            </w:r>
          </w:p>
        </w:tc>
        <w:tc>
          <w:tcPr>
            <w:tcW w:w="630" w:type="dxa"/>
            <w:tcBorders>
              <w:top w:val="nil"/>
              <w:left w:val="nil"/>
              <w:bottom w:val="nil"/>
              <w:right w:val="nil"/>
            </w:tcBorders>
            <w:shd w:val="clear" w:color="auto" w:fill="auto"/>
            <w:noWrap/>
            <w:vAlign w:val="center"/>
            <w:hideMark/>
          </w:tcPr>
          <w:p w14:paraId="4620EBA1" w14:textId="77777777" w:rsidR="009A4127" w:rsidRPr="00170240" w:rsidRDefault="009A4127" w:rsidP="009A4127">
            <w:pPr>
              <w:spacing w:after="0" w:line="240" w:lineRule="auto"/>
              <w:jc w:val="right"/>
              <w:rPr>
                <w:rFonts w:cs="Arial"/>
                <w:sz w:val="16"/>
                <w:szCs w:val="16"/>
              </w:rPr>
            </w:pPr>
            <w:r w:rsidRPr="00170240">
              <w:rPr>
                <w:rFonts w:cs="Arial"/>
                <w:sz w:val="16"/>
                <w:szCs w:val="16"/>
              </w:rPr>
              <w:t>40,38</w:t>
            </w:r>
          </w:p>
        </w:tc>
        <w:tc>
          <w:tcPr>
            <w:tcW w:w="630" w:type="dxa"/>
            <w:tcBorders>
              <w:top w:val="nil"/>
              <w:left w:val="nil"/>
              <w:bottom w:val="nil"/>
              <w:right w:val="nil"/>
            </w:tcBorders>
            <w:shd w:val="clear" w:color="auto" w:fill="auto"/>
            <w:noWrap/>
            <w:vAlign w:val="center"/>
            <w:hideMark/>
          </w:tcPr>
          <w:p w14:paraId="77FC6863" w14:textId="77777777" w:rsidR="009A4127" w:rsidRPr="00170240" w:rsidRDefault="009A4127" w:rsidP="009A4127">
            <w:pPr>
              <w:spacing w:after="0" w:line="240" w:lineRule="auto"/>
              <w:jc w:val="right"/>
              <w:rPr>
                <w:rFonts w:cs="Arial"/>
                <w:sz w:val="16"/>
                <w:szCs w:val="16"/>
              </w:rPr>
            </w:pPr>
            <w:r w:rsidRPr="00170240">
              <w:rPr>
                <w:rFonts w:cs="Arial"/>
                <w:sz w:val="16"/>
                <w:szCs w:val="16"/>
              </w:rPr>
              <w:t>40,90</w:t>
            </w:r>
          </w:p>
        </w:tc>
        <w:tc>
          <w:tcPr>
            <w:tcW w:w="630" w:type="dxa"/>
            <w:tcBorders>
              <w:top w:val="nil"/>
              <w:left w:val="nil"/>
              <w:bottom w:val="nil"/>
              <w:right w:val="nil"/>
            </w:tcBorders>
            <w:shd w:val="clear" w:color="auto" w:fill="auto"/>
            <w:noWrap/>
            <w:vAlign w:val="center"/>
            <w:hideMark/>
          </w:tcPr>
          <w:p w14:paraId="293D8332" w14:textId="77777777" w:rsidR="009A4127" w:rsidRPr="00170240" w:rsidRDefault="009A4127" w:rsidP="009A4127">
            <w:pPr>
              <w:spacing w:after="0" w:line="240" w:lineRule="auto"/>
              <w:jc w:val="right"/>
              <w:rPr>
                <w:rFonts w:cs="Arial"/>
                <w:sz w:val="16"/>
                <w:szCs w:val="16"/>
              </w:rPr>
            </w:pPr>
            <w:r w:rsidRPr="00170240">
              <w:rPr>
                <w:rFonts w:cs="Arial"/>
                <w:sz w:val="16"/>
                <w:szCs w:val="16"/>
              </w:rPr>
              <w:t>46,30</w:t>
            </w:r>
          </w:p>
        </w:tc>
        <w:tc>
          <w:tcPr>
            <w:tcW w:w="630" w:type="dxa"/>
            <w:tcBorders>
              <w:top w:val="nil"/>
              <w:left w:val="nil"/>
              <w:bottom w:val="nil"/>
              <w:right w:val="nil"/>
            </w:tcBorders>
            <w:shd w:val="clear" w:color="auto" w:fill="auto"/>
            <w:noWrap/>
            <w:vAlign w:val="center"/>
            <w:hideMark/>
          </w:tcPr>
          <w:p w14:paraId="37DED7ED" w14:textId="77777777" w:rsidR="009A4127" w:rsidRPr="00170240" w:rsidRDefault="009A4127" w:rsidP="009A4127">
            <w:pPr>
              <w:spacing w:after="0" w:line="240" w:lineRule="auto"/>
              <w:jc w:val="right"/>
              <w:rPr>
                <w:rFonts w:cs="Arial"/>
                <w:sz w:val="16"/>
                <w:szCs w:val="16"/>
              </w:rPr>
            </w:pPr>
            <w:r w:rsidRPr="00170240">
              <w:rPr>
                <w:rFonts w:cs="Arial"/>
                <w:sz w:val="16"/>
                <w:szCs w:val="16"/>
              </w:rPr>
              <w:t>40,30</w:t>
            </w:r>
          </w:p>
        </w:tc>
        <w:tc>
          <w:tcPr>
            <w:tcW w:w="662" w:type="dxa"/>
            <w:tcBorders>
              <w:top w:val="nil"/>
              <w:left w:val="nil"/>
              <w:bottom w:val="nil"/>
              <w:right w:val="nil"/>
            </w:tcBorders>
            <w:shd w:val="clear" w:color="auto" w:fill="auto"/>
            <w:noWrap/>
            <w:vAlign w:val="center"/>
            <w:hideMark/>
          </w:tcPr>
          <w:p w14:paraId="7B0E72DD" w14:textId="77777777" w:rsidR="009A4127" w:rsidRPr="00170240" w:rsidRDefault="009A4127" w:rsidP="009A4127">
            <w:pPr>
              <w:spacing w:after="0" w:line="240" w:lineRule="auto"/>
              <w:jc w:val="right"/>
              <w:rPr>
                <w:rFonts w:cs="Arial"/>
                <w:sz w:val="16"/>
                <w:szCs w:val="16"/>
              </w:rPr>
            </w:pPr>
            <w:r w:rsidRPr="00170240">
              <w:rPr>
                <w:rFonts w:cs="Arial"/>
                <w:sz w:val="16"/>
                <w:szCs w:val="16"/>
              </w:rPr>
              <w:t>44,90</w:t>
            </w:r>
          </w:p>
        </w:tc>
        <w:tc>
          <w:tcPr>
            <w:tcW w:w="630" w:type="dxa"/>
            <w:tcBorders>
              <w:top w:val="nil"/>
              <w:left w:val="nil"/>
              <w:bottom w:val="nil"/>
              <w:right w:val="nil"/>
            </w:tcBorders>
            <w:shd w:val="clear" w:color="auto" w:fill="auto"/>
            <w:noWrap/>
            <w:vAlign w:val="center"/>
            <w:hideMark/>
          </w:tcPr>
          <w:p w14:paraId="74598B55" w14:textId="340D651A" w:rsidR="009A4127" w:rsidRPr="00170240" w:rsidRDefault="009A4127" w:rsidP="009A4127">
            <w:pPr>
              <w:spacing w:after="0" w:line="240" w:lineRule="auto"/>
              <w:jc w:val="right"/>
              <w:rPr>
                <w:rFonts w:cs="Arial"/>
                <w:sz w:val="16"/>
                <w:szCs w:val="16"/>
              </w:rPr>
            </w:pPr>
            <w:r>
              <w:rPr>
                <w:rFonts w:cs="Arial"/>
                <w:sz w:val="16"/>
                <w:szCs w:val="16"/>
              </w:rPr>
              <w:t>38,42</w:t>
            </w:r>
          </w:p>
        </w:tc>
        <w:tc>
          <w:tcPr>
            <w:tcW w:w="662" w:type="dxa"/>
            <w:tcBorders>
              <w:top w:val="nil"/>
              <w:left w:val="nil"/>
              <w:bottom w:val="nil"/>
              <w:right w:val="nil"/>
            </w:tcBorders>
            <w:shd w:val="clear" w:color="auto" w:fill="auto"/>
            <w:noWrap/>
            <w:vAlign w:val="center"/>
            <w:hideMark/>
          </w:tcPr>
          <w:p w14:paraId="2A43303F"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40,92</w:t>
            </w:r>
          </w:p>
        </w:tc>
        <w:tc>
          <w:tcPr>
            <w:tcW w:w="630" w:type="dxa"/>
            <w:tcBorders>
              <w:top w:val="nil"/>
              <w:left w:val="nil"/>
              <w:bottom w:val="nil"/>
              <w:right w:val="nil"/>
            </w:tcBorders>
            <w:shd w:val="clear" w:color="auto" w:fill="auto"/>
            <w:noWrap/>
            <w:vAlign w:val="center"/>
            <w:hideMark/>
          </w:tcPr>
          <w:p w14:paraId="6E9E97CF"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40,24</w:t>
            </w:r>
          </w:p>
        </w:tc>
        <w:tc>
          <w:tcPr>
            <w:tcW w:w="630" w:type="dxa"/>
            <w:tcBorders>
              <w:top w:val="nil"/>
              <w:left w:val="nil"/>
              <w:bottom w:val="nil"/>
              <w:right w:val="nil"/>
            </w:tcBorders>
            <w:shd w:val="clear" w:color="000000" w:fill="FFFFFF"/>
            <w:noWrap/>
            <w:vAlign w:val="center"/>
            <w:hideMark/>
          </w:tcPr>
          <w:p w14:paraId="5532BF82"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38,52</w:t>
            </w:r>
          </w:p>
        </w:tc>
        <w:tc>
          <w:tcPr>
            <w:tcW w:w="634" w:type="dxa"/>
            <w:tcBorders>
              <w:top w:val="nil"/>
              <w:left w:val="nil"/>
              <w:bottom w:val="nil"/>
              <w:right w:val="nil"/>
            </w:tcBorders>
            <w:shd w:val="clear" w:color="auto" w:fill="auto"/>
            <w:noWrap/>
            <w:vAlign w:val="center"/>
            <w:hideMark/>
          </w:tcPr>
          <w:p w14:paraId="16E9B9DE"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40,40</w:t>
            </w:r>
          </w:p>
        </w:tc>
      </w:tr>
      <w:tr w:rsidR="009A4127" w:rsidRPr="00170240" w14:paraId="05726B14" w14:textId="77777777" w:rsidTr="00B3736B">
        <w:trPr>
          <w:trHeight w:val="291"/>
        </w:trPr>
        <w:tc>
          <w:tcPr>
            <w:tcW w:w="3237" w:type="dxa"/>
            <w:tcBorders>
              <w:top w:val="nil"/>
              <w:left w:val="nil"/>
              <w:bottom w:val="nil"/>
              <w:right w:val="nil"/>
            </w:tcBorders>
            <w:shd w:val="clear" w:color="auto" w:fill="auto"/>
            <w:vAlign w:val="center"/>
            <w:hideMark/>
          </w:tcPr>
          <w:p w14:paraId="60838C99" w14:textId="77777777" w:rsidR="009A4127" w:rsidRPr="00170240" w:rsidRDefault="009A4127" w:rsidP="009A4127">
            <w:pPr>
              <w:spacing w:after="0" w:line="240" w:lineRule="auto"/>
              <w:ind w:firstLineChars="100" w:firstLine="160"/>
              <w:rPr>
                <w:rFonts w:ascii="Arial CE" w:hAnsi="Arial CE" w:cs="Arial CE"/>
                <w:sz w:val="16"/>
                <w:szCs w:val="16"/>
              </w:rPr>
            </w:pPr>
            <w:r w:rsidRPr="00170240">
              <w:rPr>
                <w:rFonts w:ascii="Arial CE" w:hAnsi="Arial CE" w:cs="Arial CE"/>
                <w:sz w:val="16"/>
                <w:szCs w:val="16"/>
              </w:rPr>
              <w:t>S – Ostatní činnosti</w:t>
            </w:r>
          </w:p>
        </w:tc>
        <w:tc>
          <w:tcPr>
            <w:tcW w:w="630" w:type="dxa"/>
            <w:tcBorders>
              <w:top w:val="nil"/>
              <w:left w:val="nil"/>
              <w:bottom w:val="nil"/>
              <w:right w:val="nil"/>
            </w:tcBorders>
            <w:shd w:val="clear" w:color="auto" w:fill="auto"/>
            <w:noWrap/>
            <w:vAlign w:val="center"/>
            <w:hideMark/>
          </w:tcPr>
          <w:p w14:paraId="31B5A0CD" w14:textId="77777777" w:rsidR="009A4127" w:rsidRPr="00170240" w:rsidRDefault="009A4127" w:rsidP="009A4127">
            <w:pPr>
              <w:spacing w:after="0" w:line="240" w:lineRule="auto"/>
              <w:jc w:val="right"/>
              <w:rPr>
                <w:rFonts w:cs="Arial"/>
                <w:sz w:val="16"/>
                <w:szCs w:val="16"/>
              </w:rPr>
            </w:pPr>
            <w:r w:rsidRPr="00170240">
              <w:rPr>
                <w:rFonts w:cs="Arial"/>
                <w:sz w:val="16"/>
                <w:szCs w:val="16"/>
              </w:rPr>
              <w:t>49,92</w:t>
            </w:r>
          </w:p>
        </w:tc>
        <w:tc>
          <w:tcPr>
            <w:tcW w:w="630" w:type="dxa"/>
            <w:tcBorders>
              <w:top w:val="nil"/>
              <w:left w:val="nil"/>
              <w:bottom w:val="nil"/>
              <w:right w:val="nil"/>
            </w:tcBorders>
            <w:shd w:val="clear" w:color="auto" w:fill="auto"/>
            <w:noWrap/>
            <w:vAlign w:val="center"/>
            <w:hideMark/>
          </w:tcPr>
          <w:p w14:paraId="1FE69C6F" w14:textId="77777777" w:rsidR="009A4127" w:rsidRPr="00170240" w:rsidRDefault="009A4127" w:rsidP="009A4127">
            <w:pPr>
              <w:spacing w:after="0" w:line="240" w:lineRule="auto"/>
              <w:jc w:val="right"/>
              <w:rPr>
                <w:rFonts w:cs="Arial"/>
                <w:sz w:val="16"/>
                <w:szCs w:val="16"/>
              </w:rPr>
            </w:pPr>
            <w:r w:rsidRPr="00170240">
              <w:rPr>
                <w:rFonts w:cs="Arial"/>
                <w:sz w:val="16"/>
                <w:szCs w:val="16"/>
              </w:rPr>
              <w:t>52,46</w:t>
            </w:r>
          </w:p>
        </w:tc>
        <w:tc>
          <w:tcPr>
            <w:tcW w:w="630" w:type="dxa"/>
            <w:tcBorders>
              <w:top w:val="nil"/>
              <w:left w:val="nil"/>
              <w:bottom w:val="nil"/>
              <w:right w:val="nil"/>
            </w:tcBorders>
            <w:shd w:val="clear" w:color="auto" w:fill="auto"/>
            <w:noWrap/>
            <w:vAlign w:val="center"/>
            <w:hideMark/>
          </w:tcPr>
          <w:p w14:paraId="6D0C1E7F" w14:textId="77777777" w:rsidR="009A4127" w:rsidRPr="00170240" w:rsidRDefault="009A4127" w:rsidP="009A4127">
            <w:pPr>
              <w:spacing w:after="0" w:line="240" w:lineRule="auto"/>
              <w:jc w:val="right"/>
              <w:rPr>
                <w:rFonts w:cs="Arial"/>
                <w:sz w:val="16"/>
                <w:szCs w:val="16"/>
              </w:rPr>
            </w:pPr>
            <w:r w:rsidRPr="00170240">
              <w:rPr>
                <w:rFonts w:cs="Arial"/>
                <w:sz w:val="16"/>
                <w:szCs w:val="16"/>
              </w:rPr>
              <w:t>51,31</w:t>
            </w:r>
          </w:p>
        </w:tc>
        <w:tc>
          <w:tcPr>
            <w:tcW w:w="630" w:type="dxa"/>
            <w:tcBorders>
              <w:top w:val="nil"/>
              <w:left w:val="nil"/>
              <w:bottom w:val="nil"/>
              <w:right w:val="nil"/>
            </w:tcBorders>
            <w:shd w:val="clear" w:color="auto" w:fill="auto"/>
            <w:noWrap/>
            <w:vAlign w:val="center"/>
            <w:hideMark/>
          </w:tcPr>
          <w:p w14:paraId="04FAD59E" w14:textId="77777777" w:rsidR="009A4127" w:rsidRPr="00170240" w:rsidRDefault="009A4127" w:rsidP="009A4127">
            <w:pPr>
              <w:spacing w:after="0" w:line="240" w:lineRule="auto"/>
              <w:jc w:val="right"/>
              <w:rPr>
                <w:rFonts w:cs="Arial"/>
                <w:sz w:val="16"/>
                <w:szCs w:val="16"/>
              </w:rPr>
            </w:pPr>
            <w:r w:rsidRPr="00170240">
              <w:rPr>
                <w:rFonts w:cs="Arial"/>
                <w:sz w:val="16"/>
                <w:szCs w:val="16"/>
              </w:rPr>
              <w:t>46,14</w:t>
            </w:r>
          </w:p>
        </w:tc>
        <w:tc>
          <w:tcPr>
            <w:tcW w:w="662" w:type="dxa"/>
            <w:tcBorders>
              <w:top w:val="nil"/>
              <w:left w:val="nil"/>
              <w:bottom w:val="nil"/>
              <w:right w:val="nil"/>
            </w:tcBorders>
            <w:shd w:val="clear" w:color="auto" w:fill="auto"/>
            <w:noWrap/>
            <w:vAlign w:val="center"/>
            <w:hideMark/>
          </w:tcPr>
          <w:p w14:paraId="25E1BC08" w14:textId="77777777" w:rsidR="009A4127" w:rsidRPr="00170240" w:rsidRDefault="009A4127" w:rsidP="009A4127">
            <w:pPr>
              <w:spacing w:after="0" w:line="240" w:lineRule="auto"/>
              <w:jc w:val="right"/>
              <w:rPr>
                <w:rFonts w:cs="Arial"/>
                <w:sz w:val="16"/>
                <w:szCs w:val="16"/>
              </w:rPr>
            </w:pPr>
            <w:r w:rsidRPr="00170240">
              <w:rPr>
                <w:rFonts w:cs="Arial"/>
                <w:sz w:val="16"/>
                <w:szCs w:val="16"/>
              </w:rPr>
              <w:t>50,47</w:t>
            </w:r>
          </w:p>
        </w:tc>
        <w:tc>
          <w:tcPr>
            <w:tcW w:w="630" w:type="dxa"/>
            <w:tcBorders>
              <w:top w:val="nil"/>
              <w:left w:val="nil"/>
              <w:bottom w:val="nil"/>
              <w:right w:val="nil"/>
            </w:tcBorders>
            <w:shd w:val="clear" w:color="auto" w:fill="auto"/>
            <w:noWrap/>
            <w:vAlign w:val="center"/>
            <w:hideMark/>
          </w:tcPr>
          <w:p w14:paraId="5FF74A22" w14:textId="07DC065F" w:rsidR="009A4127" w:rsidRPr="00170240" w:rsidRDefault="009A4127" w:rsidP="009A4127">
            <w:pPr>
              <w:spacing w:after="0" w:line="240" w:lineRule="auto"/>
              <w:jc w:val="right"/>
              <w:rPr>
                <w:rFonts w:cs="Arial"/>
                <w:sz w:val="16"/>
                <w:szCs w:val="16"/>
              </w:rPr>
            </w:pPr>
            <w:r>
              <w:rPr>
                <w:rFonts w:cs="Arial"/>
                <w:sz w:val="16"/>
                <w:szCs w:val="16"/>
              </w:rPr>
              <w:t>44,62</w:t>
            </w:r>
          </w:p>
        </w:tc>
        <w:tc>
          <w:tcPr>
            <w:tcW w:w="662" w:type="dxa"/>
            <w:tcBorders>
              <w:top w:val="nil"/>
              <w:left w:val="nil"/>
              <w:bottom w:val="nil"/>
              <w:right w:val="nil"/>
            </w:tcBorders>
            <w:shd w:val="clear" w:color="auto" w:fill="auto"/>
            <w:noWrap/>
            <w:vAlign w:val="center"/>
            <w:hideMark/>
          </w:tcPr>
          <w:p w14:paraId="2CE3E247"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47,97</w:t>
            </w:r>
          </w:p>
        </w:tc>
        <w:tc>
          <w:tcPr>
            <w:tcW w:w="630" w:type="dxa"/>
            <w:tcBorders>
              <w:top w:val="nil"/>
              <w:left w:val="nil"/>
              <w:bottom w:val="nil"/>
              <w:right w:val="nil"/>
            </w:tcBorders>
            <w:shd w:val="clear" w:color="auto" w:fill="auto"/>
            <w:noWrap/>
            <w:vAlign w:val="center"/>
            <w:hideMark/>
          </w:tcPr>
          <w:p w14:paraId="3D6C9529"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45,64</w:t>
            </w:r>
          </w:p>
        </w:tc>
        <w:tc>
          <w:tcPr>
            <w:tcW w:w="630" w:type="dxa"/>
            <w:tcBorders>
              <w:top w:val="nil"/>
              <w:left w:val="nil"/>
              <w:bottom w:val="nil"/>
              <w:right w:val="nil"/>
            </w:tcBorders>
            <w:shd w:val="clear" w:color="000000" w:fill="FFFFFF"/>
            <w:noWrap/>
            <w:vAlign w:val="center"/>
            <w:hideMark/>
          </w:tcPr>
          <w:p w14:paraId="09A317CB"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42,73</w:t>
            </w:r>
          </w:p>
        </w:tc>
        <w:tc>
          <w:tcPr>
            <w:tcW w:w="634" w:type="dxa"/>
            <w:tcBorders>
              <w:top w:val="nil"/>
              <w:left w:val="nil"/>
              <w:bottom w:val="nil"/>
              <w:right w:val="nil"/>
            </w:tcBorders>
            <w:shd w:val="clear" w:color="auto" w:fill="auto"/>
            <w:noWrap/>
            <w:vAlign w:val="center"/>
            <w:hideMark/>
          </w:tcPr>
          <w:p w14:paraId="50D48EAD" w14:textId="77777777" w:rsidR="009A4127" w:rsidRPr="00170240" w:rsidRDefault="009A4127" w:rsidP="009A4127">
            <w:pPr>
              <w:spacing w:after="0" w:line="240" w:lineRule="auto"/>
              <w:jc w:val="right"/>
              <w:rPr>
                <w:rFonts w:cs="Arial"/>
                <w:color w:val="000000"/>
                <w:sz w:val="16"/>
                <w:szCs w:val="16"/>
              </w:rPr>
            </w:pPr>
            <w:r w:rsidRPr="00170240">
              <w:rPr>
                <w:rFonts w:cs="Arial"/>
                <w:color w:val="000000"/>
                <w:sz w:val="16"/>
                <w:szCs w:val="16"/>
              </w:rPr>
              <w:t>46,09</w:t>
            </w:r>
          </w:p>
        </w:tc>
      </w:tr>
    </w:tbl>
    <w:p w14:paraId="76F2B8BE" w14:textId="77777777" w:rsidR="00B47D35" w:rsidRPr="001338A0" w:rsidRDefault="00B47D35" w:rsidP="00F022F9">
      <w:pPr>
        <w:spacing w:before="120"/>
        <w:jc w:val="both"/>
        <w:rPr>
          <w:rFonts w:cs="Arial"/>
          <w:sz w:val="16"/>
          <w:szCs w:val="16"/>
        </w:rPr>
      </w:pPr>
      <w:r>
        <w:rPr>
          <w:rFonts w:cs="Arial"/>
          <w:sz w:val="16"/>
          <w:szCs w:val="16"/>
        </w:rPr>
        <w:t>Zdroj: ČSÚ</w:t>
      </w:r>
    </w:p>
    <w:p w14:paraId="58A644C9" w14:textId="6DFC2A96" w:rsidR="00E835E4" w:rsidRDefault="00E835E4" w:rsidP="00E835E4">
      <w:pPr>
        <w:pStyle w:val="Zkladntextodsazen"/>
        <w:spacing w:after="240" w:line="288" w:lineRule="auto"/>
        <w:ind w:left="0"/>
        <w:jc w:val="both"/>
        <w:rPr>
          <w:rFonts w:cs="Arial"/>
        </w:rPr>
      </w:pPr>
      <w:r>
        <w:rPr>
          <w:rFonts w:cs="Arial"/>
        </w:rPr>
        <w:t>Vývoj hodnot ukazatele průměrn</w:t>
      </w:r>
      <w:r w:rsidR="0047242F">
        <w:rPr>
          <w:rFonts w:cs="Arial"/>
        </w:rPr>
        <w:t>á</w:t>
      </w:r>
      <w:r>
        <w:rPr>
          <w:rFonts w:cs="Arial"/>
        </w:rPr>
        <w:t xml:space="preserve"> délk</w:t>
      </w:r>
      <w:r w:rsidR="0047242F">
        <w:rPr>
          <w:rFonts w:cs="Arial"/>
        </w:rPr>
        <w:t>a</w:t>
      </w:r>
      <w:r>
        <w:rPr>
          <w:rFonts w:cs="Arial"/>
        </w:rPr>
        <w:t xml:space="preserve"> případu pracovní neschopnosti v jednotlivých odvětvích je zřejmý z tabulky 2.5. </w:t>
      </w:r>
      <w:r w:rsidR="00662C4F">
        <w:rPr>
          <w:rFonts w:cs="Arial"/>
        </w:rPr>
        <w:t>Prudší pokles byl zaznamenán v odvětví Stavebnictví mezi 1. pol. 2014 a 2015,</w:t>
      </w:r>
      <w:r w:rsidR="00885538">
        <w:rPr>
          <w:rFonts w:cs="Arial"/>
        </w:rPr>
        <w:t xml:space="preserve"> a sice z 64,6</w:t>
      </w:r>
      <w:r w:rsidR="005A0510">
        <w:rPr>
          <w:rFonts w:cs="Arial"/>
        </w:rPr>
        <w:t> </w:t>
      </w:r>
      <w:r w:rsidR="00885538">
        <w:rPr>
          <w:rFonts w:cs="Arial"/>
        </w:rPr>
        <w:t>dne na 5</w:t>
      </w:r>
      <w:r w:rsidR="00D7766B">
        <w:rPr>
          <w:rFonts w:cs="Arial"/>
        </w:rPr>
        <w:t>3</w:t>
      </w:r>
      <w:r w:rsidR="00885538">
        <w:rPr>
          <w:rFonts w:cs="Arial"/>
        </w:rPr>
        <w:t>,9 dne na jeden případ pracovní neschopnosti</w:t>
      </w:r>
      <w:r w:rsidR="00662C4F">
        <w:rPr>
          <w:rFonts w:cs="Arial"/>
        </w:rPr>
        <w:t>.</w:t>
      </w:r>
      <w:r w:rsidR="00885538">
        <w:rPr>
          <w:rFonts w:cs="Arial"/>
        </w:rPr>
        <w:t xml:space="preserve"> Naopak nárůst byl nejvyšší v odvětví Administrativní a</w:t>
      </w:r>
      <w:r w:rsidR="005A0510">
        <w:rPr>
          <w:rFonts w:cs="Arial"/>
        </w:rPr>
        <w:t> </w:t>
      </w:r>
      <w:r w:rsidR="00885538">
        <w:rPr>
          <w:rFonts w:cs="Arial"/>
        </w:rPr>
        <w:t xml:space="preserve">podpůrné činnosti z 37,6 dne v 1. pol. 2011 na 47,5 dne v 1. pol. 2012. Za delší časové období největší nárůst v trvání pracovní neschopnosti vykazovalo odvětví Těžba a dobývání. Od 1. pol. 2010 do 1. pol. 2019 došlo k prodloužení pracovní neschopnosti v průměru o 10,7 dne, tj. navýšení o 27 %. Naopak odvětvím, kde se doba připadající na </w:t>
      </w:r>
      <w:r w:rsidR="00B75D15">
        <w:rPr>
          <w:rFonts w:cs="Arial"/>
        </w:rPr>
        <w:t>jeden</w:t>
      </w:r>
      <w:r w:rsidR="00885538">
        <w:rPr>
          <w:rFonts w:cs="Arial"/>
        </w:rPr>
        <w:t xml:space="preserve"> případ pracovní neschopnosti nejvíce snížila, bylo odvětví Profesní, vědecké a</w:t>
      </w:r>
      <w:r w:rsidR="005A0510">
        <w:rPr>
          <w:rFonts w:cs="Arial"/>
        </w:rPr>
        <w:t> </w:t>
      </w:r>
      <w:r w:rsidR="00B75D15">
        <w:rPr>
          <w:rFonts w:cs="Arial"/>
        </w:rPr>
        <w:t>technické</w:t>
      </w:r>
      <w:r w:rsidR="00885538">
        <w:rPr>
          <w:rFonts w:cs="Arial"/>
        </w:rPr>
        <w:t xml:space="preserve"> činnosti. Zatímco v 1. pol. 2010 činila 43,6 dne, v 1. pol. 2019 to bylo 40,1 dne. V relativním vyjádření se jedná o pokles o 8 %.</w:t>
      </w:r>
    </w:p>
    <w:p w14:paraId="006A37A1" w14:textId="2F34BE33" w:rsidR="00907B59" w:rsidRDefault="00907B59" w:rsidP="00907B59">
      <w:pPr>
        <w:jc w:val="both"/>
      </w:pPr>
      <w:r w:rsidRPr="00885538">
        <w:rPr>
          <w:b/>
        </w:rPr>
        <w:t>V regionálním kontextu</w:t>
      </w:r>
      <w:r>
        <w:t xml:space="preserve"> byla n</w:t>
      </w:r>
      <w:r w:rsidRPr="00AF3FDC">
        <w:t>ejdelší průměrná doba trvání jednoho případu dočasné pracovní neschopnosti v 1. pol. 201</w:t>
      </w:r>
      <w:r>
        <w:t>9</w:t>
      </w:r>
      <w:r w:rsidRPr="00AF3FDC">
        <w:t xml:space="preserve"> zaznamenána </w:t>
      </w:r>
      <w:r>
        <w:t xml:space="preserve">na Moravě a ve Slezsku – </w:t>
      </w:r>
      <w:r w:rsidRPr="00AF3FDC">
        <w:t>ve Zlínském (4</w:t>
      </w:r>
      <w:r>
        <w:t>9</w:t>
      </w:r>
      <w:r w:rsidRPr="00AF3FDC">
        <w:t>,</w:t>
      </w:r>
      <w:r>
        <w:t>3</w:t>
      </w:r>
      <w:r w:rsidRPr="00AF3FDC">
        <w:t xml:space="preserve"> dne), v Moravskoslezském (</w:t>
      </w:r>
      <w:r>
        <w:t>49 dnů</w:t>
      </w:r>
      <w:r w:rsidR="0047242F">
        <w:t xml:space="preserve">) a </w:t>
      </w:r>
      <w:r w:rsidRPr="00AF3FDC">
        <w:t>Olomouckém kraji (</w:t>
      </w:r>
      <w:r>
        <w:t xml:space="preserve">46,3 </w:t>
      </w:r>
      <w:r w:rsidRPr="00AF3FDC">
        <w:t>dne)</w:t>
      </w:r>
      <w:r>
        <w:t>. Ve všech krajích ČR hodnoty tohoto ukazatele meziročně vzrostly, nejvíce v Moravskoslezském kraji, a sice o 4,6 dne. Od 1. pololetí 2018 trvá neschopnost nejkratší dobu v Libereckém kraji. Do té doby již od 1. pol. 2013 v průměru nejkratší případy vykazovala Praha.</w:t>
      </w:r>
    </w:p>
    <w:p w14:paraId="093823B5" w14:textId="77777777" w:rsidR="00907B59" w:rsidRDefault="00907B59">
      <w:pPr>
        <w:spacing w:after="0" w:line="240" w:lineRule="auto"/>
      </w:pPr>
      <w:r>
        <w:br w:type="page"/>
      </w:r>
    </w:p>
    <w:p w14:paraId="7DA9C548" w14:textId="49BD9634" w:rsidR="00052494" w:rsidRDefault="00355A67" w:rsidP="0019246C">
      <w:pPr>
        <w:spacing w:after="120"/>
        <w:jc w:val="both"/>
      </w:pPr>
      <w:r w:rsidRPr="00355A67">
        <w:rPr>
          <w:b/>
        </w:rPr>
        <w:lastRenderedPageBreak/>
        <w:t>Graf 2.8: Průměrná délka trvání případu pracovní neschopnosti podle krajů ČR v 1. pol. 2019</w:t>
      </w:r>
    </w:p>
    <w:p w14:paraId="767A89F6" w14:textId="64C9B524" w:rsidR="00DD6112" w:rsidRPr="00E91FAA" w:rsidRDefault="00355A67" w:rsidP="00DD6112">
      <w:pPr>
        <w:jc w:val="both"/>
      </w:pPr>
      <w:r>
        <w:rPr>
          <w:noProof/>
        </w:rPr>
        <w:drawing>
          <wp:inline distT="0" distB="0" distL="0" distR="0" wp14:anchorId="78E0055A" wp14:editId="281F9EF3">
            <wp:extent cx="6124575" cy="3133725"/>
            <wp:effectExtent l="0" t="0" r="0" b="0"/>
            <wp:docPr id="52" name="Graf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DD6112">
        <w:rPr>
          <w:rFonts w:cs="Arial"/>
          <w:sz w:val="16"/>
          <w:szCs w:val="16"/>
        </w:rPr>
        <w:t>Zdroj: ČSÚ</w:t>
      </w:r>
    </w:p>
    <w:p w14:paraId="16BC148C" w14:textId="6D2AB407" w:rsidR="00AF3FDC" w:rsidRPr="006C605D" w:rsidRDefault="006C605D" w:rsidP="001B64E2">
      <w:pPr>
        <w:jc w:val="both"/>
      </w:pPr>
      <w:r w:rsidRPr="006C605D">
        <w:t xml:space="preserve">Z pohledu </w:t>
      </w:r>
      <w:r w:rsidRPr="00186617">
        <w:rPr>
          <w:b/>
        </w:rPr>
        <w:t>detailnějšího územního členění</w:t>
      </w:r>
      <w:r w:rsidRPr="006C605D">
        <w:t xml:space="preserve"> je zřejmý větší rozptyl hodnot tohoto relativního ukazatele. Nejvyšší průměrnou délku jednoho případu má okres Vsetín (5</w:t>
      </w:r>
      <w:r w:rsidR="00867653">
        <w:t xml:space="preserve">5 </w:t>
      </w:r>
      <w:r w:rsidRPr="006C605D">
        <w:t>dn</w:t>
      </w:r>
      <w:r w:rsidR="00867653">
        <w:t>ů</w:t>
      </w:r>
      <w:r w:rsidRPr="006C605D">
        <w:t>) ve Zlínském kraji, který se pohybuje na předních místech mezi okresy s nejdelší pracovní neschopností již několik let. Následuje okres Frýdek</w:t>
      </w:r>
      <w:r w:rsidR="00350C28">
        <w:t>-</w:t>
      </w:r>
      <w:r w:rsidRPr="006C605D">
        <w:t>Místek (</w:t>
      </w:r>
      <w:r w:rsidR="00867653">
        <w:t>53</w:t>
      </w:r>
      <w:r w:rsidRPr="006C605D">
        <w:t>,</w:t>
      </w:r>
      <w:r w:rsidR="00867653">
        <w:t xml:space="preserve">5 </w:t>
      </w:r>
      <w:r w:rsidRPr="006C605D">
        <w:t>dne) v Moravskoslezském kraji</w:t>
      </w:r>
      <w:r w:rsidR="00687770">
        <w:t xml:space="preserve">, </w:t>
      </w:r>
      <w:r w:rsidR="00867653">
        <w:t>Šumperk</w:t>
      </w:r>
      <w:r w:rsidR="00687770">
        <w:t xml:space="preserve"> </w:t>
      </w:r>
      <w:r w:rsidR="0047242F">
        <w:t xml:space="preserve">(53,4) </w:t>
      </w:r>
      <w:r w:rsidR="00687770">
        <w:t>v</w:t>
      </w:r>
      <w:r w:rsidR="00867653">
        <w:t> Olomouckém kraji</w:t>
      </w:r>
      <w:r w:rsidR="0047242F">
        <w:t>,</w:t>
      </w:r>
      <w:r w:rsidR="00867653">
        <w:t xml:space="preserve"> </w:t>
      </w:r>
      <w:r w:rsidR="00687770">
        <w:t>v Jiho</w:t>
      </w:r>
      <w:r w:rsidR="00867653">
        <w:t>moravském</w:t>
      </w:r>
      <w:r w:rsidR="00687770">
        <w:t xml:space="preserve"> kraji </w:t>
      </w:r>
      <w:r w:rsidRPr="006C605D">
        <w:t>okres</w:t>
      </w:r>
      <w:r w:rsidR="00867653">
        <w:t>y</w:t>
      </w:r>
      <w:r w:rsidRPr="006C605D">
        <w:t xml:space="preserve"> </w:t>
      </w:r>
      <w:r w:rsidR="00867653">
        <w:t>Hodonín</w:t>
      </w:r>
      <w:r w:rsidRPr="006C605D">
        <w:t xml:space="preserve"> (</w:t>
      </w:r>
      <w:r w:rsidR="00867653">
        <w:t>53 dnů)</w:t>
      </w:r>
      <w:r w:rsidR="00687770">
        <w:t xml:space="preserve"> a </w:t>
      </w:r>
      <w:r w:rsidR="00867653">
        <w:t>Blansko</w:t>
      </w:r>
      <w:r w:rsidRPr="006C605D">
        <w:t xml:space="preserve"> (</w:t>
      </w:r>
      <w:r w:rsidR="00867653">
        <w:t>52,8</w:t>
      </w:r>
      <w:r w:rsidRPr="006C605D">
        <w:t xml:space="preserve">). Nejkratší průměrnou dobu trvání pracovní neschopnosti zaznamenáváme u </w:t>
      </w:r>
      <w:r w:rsidR="00867653">
        <w:t xml:space="preserve">okresu Rychnov nad Kněžnou </w:t>
      </w:r>
      <w:r w:rsidR="0047242F">
        <w:t xml:space="preserve">(32,4 dne) </w:t>
      </w:r>
      <w:r w:rsidR="00867653">
        <w:t xml:space="preserve">v Královéhradeckém kraji, u středočeského okresu </w:t>
      </w:r>
      <w:r w:rsidRPr="006C605D">
        <w:t>Mladá Boleslav (</w:t>
      </w:r>
      <w:r w:rsidR="00867653">
        <w:t>33,9</w:t>
      </w:r>
      <w:r w:rsidRPr="006C605D">
        <w:t xml:space="preserve"> dne) a </w:t>
      </w:r>
      <w:r w:rsidR="00867653">
        <w:t>okres</w:t>
      </w:r>
      <w:r w:rsidR="00E740C2">
        <w:t>u</w:t>
      </w:r>
      <w:r w:rsidR="00867653">
        <w:t xml:space="preserve"> Liberec (35 dn</w:t>
      </w:r>
      <w:r w:rsidR="00E613B6">
        <w:t>í</w:t>
      </w:r>
      <w:r w:rsidRPr="006C605D">
        <w:t>)</w:t>
      </w:r>
      <w:r w:rsidR="00867653">
        <w:t>.</w:t>
      </w:r>
    </w:p>
    <w:p w14:paraId="7F63645D" w14:textId="206F5038" w:rsidR="00297A8F" w:rsidRDefault="00713B8F" w:rsidP="0064109D">
      <w:pPr>
        <w:spacing w:after="120"/>
        <w:jc w:val="both"/>
        <w:rPr>
          <w:b/>
        </w:rPr>
      </w:pPr>
      <w:r w:rsidRPr="00713B8F">
        <w:rPr>
          <w:b/>
        </w:rPr>
        <w:t>Tab. 2.6</w:t>
      </w:r>
      <w:r>
        <w:rPr>
          <w:b/>
        </w:rPr>
        <w:t xml:space="preserve">: </w:t>
      </w:r>
      <w:r w:rsidRPr="00713B8F">
        <w:rPr>
          <w:b/>
        </w:rPr>
        <w:t>P</w:t>
      </w:r>
      <w:r w:rsidR="00EA35EB">
        <w:rPr>
          <w:b/>
        </w:rPr>
        <w:t xml:space="preserve">růměrná délka trvání </w:t>
      </w:r>
      <w:r w:rsidRPr="00713B8F">
        <w:rPr>
          <w:b/>
        </w:rPr>
        <w:t>případu dočasné pracovní</w:t>
      </w:r>
      <w:r w:rsidR="00040960">
        <w:rPr>
          <w:b/>
        </w:rPr>
        <w:t xml:space="preserve"> neschopnosti podle krajů ČR v </w:t>
      </w:r>
      <w:r w:rsidRPr="00713B8F">
        <w:rPr>
          <w:b/>
        </w:rPr>
        <w:t xml:space="preserve">1. pol. </w:t>
      </w:r>
      <w:r w:rsidR="0019246C">
        <w:rPr>
          <w:b/>
        </w:rPr>
        <w:br/>
      </w:r>
      <w:r w:rsidRPr="00713B8F">
        <w:rPr>
          <w:b/>
        </w:rPr>
        <w:t>200</w:t>
      </w:r>
      <w:r>
        <w:rPr>
          <w:b/>
        </w:rPr>
        <w:t>9</w:t>
      </w:r>
      <w:r w:rsidRPr="00713B8F">
        <w:rPr>
          <w:b/>
        </w:rPr>
        <w:t xml:space="preserve"> – 1.</w:t>
      </w:r>
      <w:r>
        <w:rPr>
          <w:b/>
        </w:rPr>
        <w:t xml:space="preserve"> </w:t>
      </w:r>
      <w:r w:rsidRPr="00713B8F">
        <w:rPr>
          <w:b/>
        </w:rPr>
        <w:t>pol. 2019</w:t>
      </w:r>
    </w:p>
    <w:tbl>
      <w:tblPr>
        <w:tblW w:w="9652" w:type="dxa"/>
        <w:tblCellMar>
          <w:left w:w="70" w:type="dxa"/>
          <w:right w:w="70" w:type="dxa"/>
        </w:tblCellMar>
        <w:tblLook w:val="04A0" w:firstRow="1" w:lastRow="0" w:firstColumn="1" w:lastColumn="0" w:noHBand="0" w:noVBand="1"/>
      </w:tblPr>
      <w:tblGrid>
        <w:gridCol w:w="1985"/>
        <w:gridCol w:w="697"/>
        <w:gridCol w:w="697"/>
        <w:gridCol w:w="697"/>
        <w:gridCol w:w="697"/>
        <w:gridCol w:w="697"/>
        <w:gridCol w:w="697"/>
        <w:gridCol w:w="697"/>
        <w:gridCol w:w="697"/>
        <w:gridCol w:w="697"/>
        <w:gridCol w:w="697"/>
        <w:gridCol w:w="684"/>
        <w:gridCol w:w="13"/>
      </w:tblGrid>
      <w:tr w:rsidR="00713B8F" w:rsidRPr="00713B8F" w14:paraId="66A49A8C" w14:textId="77777777" w:rsidTr="00E613B6">
        <w:trPr>
          <w:gridAfter w:val="1"/>
          <w:wAfter w:w="13" w:type="dxa"/>
          <w:trHeight w:val="285"/>
        </w:trPr>
        <w:tc>
          <w:tcPr>
            <w:tcW w:w="1985" w:type="dxa"/>
            <w:vMerge w:val="restart"/>
            <w:tcBorders>
              <w:top w:val="single" w:sz="4" w:space="0" w:color="auto"/>
              <w:left w:val="nil"/>
              <w:bottom w:val="single" w:sz="4" w:space="0" w:color="000000"/>
              <w:right w:val="nil"/>
            </w:tcBorders>
            <w:shd w:val="clear" w:color="000000" w:fill="F2DCDB"/>
            <w:vAlign w:val="center"/>
            <w:hideMark/>
          </w:tcPr>
          <w:p w14:paraId="65AEFAF5" w14:textId="77777777" w:rsidR="00713B8F" w:rsidRPr="00713B8F" w:rsidRDefault="00713B8F" w:rsidP="00713B8F">
            <w:pPr>
              <w:spacing w:after="0" w:line="240" w:lineRule="auto"/>
              <w:jc w:val="center"/>
              <w:rPr>
                <w:rFonts w:cs="Arial"/>
                <w:sz w:val="16"/>
                <w:szCs w:val="16"/>
              </w:rPr>
            </w:pPr>
            <w:r w:rsidRPr="00713B8F">
              <w:rPr>
                <w:rFonts w:cs="Arial"/>
                <w:sz w:val="16"/>
                <w:szCs w:val="16"/>
              </w:rPr>
              <w:t>Kraj ČR</w:t>
            </w:r>
          </w:p>
        </w:tc>
        <w:tc>
          <w:tcPr>
            <w:tcW w:w="7654" w:type="dxa"/>
            <w:gridSpan w:val="11"/>
            <w:tcBorders>
              <w:top w:val="single" w:sz="4" w:space="0" w:color="auto"/>
              <w:left w:val="single" w:sz="4" w:space="0" w:color="auto"/>
              <w:bottom w:val="single" w:sz="4" w:space="0" w:color="auto"/>
              <w:right w:val="nil"/>
            </w:tcBorders>
            <w:shd w:val="clear" w:color="000000" w:fill="F2DCDB"/>
            <w:vAlign w:val="center"/>
            <w:hideMark/>
          </w:tcPr>
          <w:p w14:paraId="04DE7E6C" w14:textId="17F06599" w:rsidR="00713B8F" w:rsidRPr="00713B8F" w:rsidRDefault="00B75D15" w:rsidP="00B75D15">
            <w:pPr>
              <w:spacing w:after="0" w:line="240" w:lineRule="auto"/>
              <w:jc w:val="center"/>
              <w:rPr>
                <w:rFonts w:cs="Arial"/>
                <w:sz w:val="16"/>
                <w:szCs w:val="16"/>
              </w:rPr>
            </w:pPr>
            <w:r>
              <w:rPr>
                <w:rFonts w:cs="Arial"/>
                <w:sz w:val="16"/>
                <w:szCs w:val="16"/>
              </w:rPr>
              <w:t>Průměrná délka trvání</w:t>
            </w:r>
            <w:r w:rsidR="00713B8F" w:rsidRPr="00713B8F">
              <w:rPr>
                <w:rFonts w:cs="Arial"/>
                <w:sz w:val="16"/>
                <w:szCs w:val="16"/>
              </w:rPr>
              <w:t xml:space="preserve"> případu DPN (dny)</w:t>
            </w:r>
          </w:p>
        </w:tc>
      </w:tr>
      <w:tr w:rsidR="00713B8F" w:rsidRPr="00713B8F" w14:paraId="0BA9035F" w14:textId="77777777" w:rsidTr="0047242F">
        <w:trPr>
          <w:trHeight w:val="450"/>
        </w:trPr>
        <w:tc>
          <w:tcPr>
            <w:tcW w:w="1985" w:type="dxa"/>
            <w:vMerge/>
            <w:tcBorders>
              <w:top w:val="single" w:sz="4" w:space="0" w:color="000000"/>
              <w:left w:val="nil"/>
              <w:bottom w:val="single" w:sz="4" w:space="0" w:color="000000"/>
              <w:right w:val="single" w:sz="4" w:space="0" w:color="auto"/>
            </w:tcBorders>
            <w:vAlign w:val="center"/>
            <w:hideMark/>
          </w:tcPr>
          <w:p w14:paraId="53C9D83B" w14:textId="77777777" w:rsidR="00713B8F" w:rsidRPr="00713B8F" w:rsidRDefault="00713B8F" w:rsidP="00713B8F">
            <w:pPr>
              <w:spacing w:after="0" w:line="240" w:lineRule="auto"/>
              <w:rPr>
                <w:rFonts w:cs="Arial"/>
                <w:sz w:val="16"/>
                <w:szCs w:val="16"/>
              </w:rPr>
            </w:pPr>
          </w:p>
        </w:tc>
        <w:tc>
          <w:tcPr>
            <w:tcW w:w="697" w:type="dxa"/>
            <w:tcBorders>
              <w:top w:val="nil"/>
              <w:left w:val="single" w:sz="4" w:space="0" w:color="auto"/>
              <w:bottom w:val="single" w:sz="4" w:space="0" w:color="auto"/>
              <w:right w:val="single" w:sz="4" w:space="0" w:color="auto"/>
            </w:tcBorders>
            <w:shd w:val="clear" w:color="000000" w:fill="F2DCDB"/>
            <w:vAlign w:val="center"/>
            <w:hideMark/>
          </w:tcPr>
          <w:p w14:paraId="21DD80D6" w14:textId="77777777" w:rsidR="00713B8F" w:rsidRPr="00713B8F" w:rsidRDefault="00713B8F" w:rsidP="0047242F">
            <w:pPr>
              <w:spacing w:after="0" w:line="240" w:lineRule="auto"/>
              <w:jc w:val="center"/>
              <w:rPr>
                <w:rFonts w:cs="Arial"/>
                <w:sz w:val="16"/>
                <w:szCs w:val="16"/>
              </w:rPr>
            </w:pPr>
            <w:r w:rsidRPr="00713B8F">
              <w:rPr>
                <w:rFonts w:cs="Arial"/>
                <w:sz w:val="16"/>
                <w:szCs w:val="16"/>
              </w:rPr>
              <w:t xml:space="preserve">1. pol. </w:t>
            </w:r>
            <w:r w:rsidRPr="00713B8F">
              <w:rPr>
                <w:rFonts w:cs="Arial"/>
                <w:sz w:val="16"/>
                <w:szCs w:val="16"/>
              </w:rPr>
              <w:br/>
              <w:t>2009</w:t>
            </w:r>
          </w:p>
        </w:tc>
        <w:tc>
          <w:tcPr>
            <w:tcW w:w="697" w:type="dxa"/>
            <w:tcBorders>
              <w:top w:val="nil"/>
              <w:left w:val="nil"/>
              <w:bottom w:val="single" w:sz="4" w:space="0" w:color="auto"/>
              <w:right w:val="single" w:sz="4" w:space="0" w:color="auto"/>
            </w:tcBorders>
            <w:shd w:val="clear" w:color="000000" w:fill="F2DCDB"/>
            <w:vAlign w:val="center"/>
            <w:hideMark/>
          </w:tcPr>
          <w:p w14:paraId="49A4448B" w14:textId="77777777" w:rsidR="00713B8F" w:rsidRPr="00713B8F" w:rsidRDefault="00713B8F" w:rsidP="0047242F">
            <w:pPr>
              <w:spacing w:after="0" w:line="240" w:lineRule="auto"/>
              <w:jc w:val="center"/>
              <w:rPr>
                <w:rFonts w:cs="Arial"/>
                <w:sz w:val="16"/>
                <w:szCs w:val="16"/>
              </w:rPr>
            </w:pPr>
            <w:r w:rsidRPr="00713B8F">
              <w:rPr>
                <w:rFonts w:cs="Arial"/>
                <w:sz w:val="16"/>
                <w:szCs w:val="16"/>
              </w:rPr>
              <w:t xml:space="preserve">1. pol. </w:t>
            </w:r>
            <w:r w:rsidRPr="00713B8F">
              <w:rPr>
                <w:rFonts w:cs="Arial"/>
                <w:sz w:val="16"/>
                <w:szCs w:val="16"/>
              </w:rPr>
              <w:br/>
              <w:t>2010</w:t>
            </w:r>
          </w:p>
        </w:tc>
        <w:tc>
          <w:tcPr>
            <w:tcW w:w="697" w:type="dxa"/>
            <w:tcBorders>
              <w:top w:val="nil"/>
              <w:left w:val="nil"/>
              <w:bottom w:val="single" w:sz="4" w:space="0" w:color="auto"/>
              <w:right w:val="single" w:sz="4" w:space="0" w:color="auto"/>
            </w:tcBorders>
            <w:shd w:val="clear" w:color="000000" w:fill="F2DCDB"/>
            <w:vAlign w:val="center"/>
            <w:hideMark/>
          </w:tcPr>
          <w:p w14:paraId="3DE673AE" w14:textId="77777777" w:rsidR="00713B8F" w:rsidRPr="00713B8F" w:rsidRDefault="00713B8F" w:rsidP="0047242F">
            <w:pPr>
              <w:spacing w:after="0" w:line="240" w:lineRule="auto"/>
              <w:jc w:val="center"/>
              <w:rPr>
                <w:rFonts w:cs="Arial"/>
                <w:sz w:val="16"/>
                <w:szCs w:val="16"/>
              </w:rPr>
            </w:pPr>
            <w:r w:rsidRPr="00713B8F">
              <w:rPr>
                <w:rFonts w:cs="Arial"/>
                <w:sz w:val="16"/>
                <w:szCs w:val="16"/>
              </w:rPr>
              <w:t xml:space="preserve">1. pol. </w:t>
            </w:r>
            <w:r w:rsidRPr="00713B8F">
              <w:rPr>
                <w:rFonts w:cs="Arial"/>
                <w:sz w:val="16"/>
                <w:szCs w:val="16"/>
              </w:rPr>
              <w:br/>
              <w:t>2011</w:t>
            </w:r>
          </w:p>
        </w:tc>
        <w:tc>
          <w:tcPr>
            <w:tcW w:w="697" w:type="dxa"/>
            <w:tcBorders>
              <w:top w:val="nil"/>
              <w:left w:val="nil"/>
              <w:bottom w:val="single" w:sz="4" w:space="0" w:color="auto"/>
              <w:right w:val="single" w:sz="4" w:space="0" w:color="auto"/>
            </w:tcBorders>
            <w:shd w:val="clear" w:color="000000" w:fill="F2DCDB"/>
            <w:vAlign w:val="center"/>
            <w:hideMark/>
          </w:tcPr>
          <w:p w14:paraId="4CF0C103" w14:textId="77777777" w:rsidR="00713B8F" w:rsidRPr="00713B8F" w:rsidRDefault="00713B8F" w:rsidP="0047242F">
            <w:pPr>
              <w:spacing w:after="0" w:line="240" w:lineRule="auto"/>
              <w:jc w:val="center"/>
              <w:rPr>
                <w:rFonts w:cs="Arial"/>
                <w:sz w:val="16"/>
                <w:szCs w:val="16"/>
              </w:rPr>
            </w:pPr>
            <w:r w:rsidRPr="00713B8F">
              <w:rPr>
                <w:rFonts w:cs="Arial"/>
                <w:sz w:val="16"/>
                <w:szCs w:val="16"/>
              </w:rPr>
              <w:t xml:space="preserve">1. pol. </w:t>
            </w:r>
            <w:r w:rsidRPr="00713B8F">
              <w:rPr>
                <w:rFonts w:cs="Arial"/>
                <w:sz w:val="16"/>
                <w:szCs w:val="16"/>
              </w:rPr>
              <w:br/>
              <w:t>2012</w:t>
            </w:r>
          </w:p>
        </w:tc>
        <w:tc>
          <w:tcPr>
            <w:tcW w:w="697" w:type="dxa"/>
            <w:tcBorders>
              <w:top w:val="nil"/>
              <w:left w:val="nil"/>
              <w:bottom w:val="single" w:sz="4" w:space="0" w:color="auto"/>
              <w:right w:val="single" w:sz="4" w:space="0" w:color="auto"/>
            </w:tcBorders>
            <w:shd w:val="clear" w:color="000000" w:fill="F2DCDB"/>
            <w:vAlign w:val="center"/>
            <w:hideMark/>
          </w:tcPr>
          <w:p w14:paraId="4B297205" w14:textId="77777777" w:rsidR="00713B8F" w:rsidRPr="00713B8F" w:rsidRDefault="00713B8F" w:rsidP="0047242F">
            <w:pPr>
              <w:spacing w:after="0" w:line="240" w:lineRule="auto"/>
              <w:jc w:val="center"/>
              <w:rPr>
                <w:rFonts w:cs="Arial"/>
                <w:sz w:val="16"/>
                <w:szCs w:val="16"/>
              </w:rPr>
            </w:pPr>
            <w:r w:rsidRPr="00713B8F">
              <w:rPr>
                <w:rFonts w:cs="Arial"/>
                <w:sz w:val="16"/>
                <w:szCs w:val="16"/>
              </w:rPr>
              <w:t xml:space="preserve">1. pol. </w:t>
            </w:r>
            <w:r w:rsidRPr="00713B8F">
              <w:rPr>
                <w:rFonts w:cs="Arial"/>
                <w:sz w:val="16"/>
                <w:szCs w:val="16"/>
              </w:rPr>
              <w:br/>
              <w:t>2013</w:t>
            </w:r>
          </w:p>
        </w:tc>
        <w:tc>
          <w:tcPr>
            <w:tcW w:w="697" w:type="dxa"/>
            <w:tcBorders>
              <w:top w:val="nil"/>
              <w:left w:val="nil"/>
              <w:bottom w:val="single" w:sz="4" w:space="0" w:color="auto"/>
              <w:right w:val="single" w:sz="4" w:space="0" w:color="auto"/>
            </w:tcBorders>
            <w:shd w:val="clear" w:color="000000" w:fill="F2DCDB"/>
            <w:vAlign w:val="center"/>
            <w:hideMark/>
          </w:tcPr>
          <w:p w14:paraId="1008132B" w14:textId="77777777" w:rsidR="00713B8F" w:rsidRPr="00713B8F" w:rsidRDefault="00713B8F" w:rsidP="0047242F">
            <w:pPr>
              <w:spacing w:after="0" w:line="240" w:lineRule="auto"/>
              <w:jc w:val="center"/>
              <w:rPr>
                <w:rFonts w:cs="Arial"/>
                <w:sz w:val="16"/>
                <w:szCs w:val="16"/>
              </w:rPr>
            </w:pPr>
            <w:r w:rsidRPr="00713B8F">
              <w:rPr>
                <w:rFonts w:cs="Arial"/>
                <w:sz w:val="16"/>
                <w:szCs w:val="16"/>
              </w:rPr>
              <w:t xml:space="preserve">1. pol. </w:t>
            </w:r>
            <w:r w:rsidRPr="00713B8F">
              <w:rPr>
                <w:rFonts w:cs="Arial"/>
                <w:sz w:val="16"/>
                <w:szCs w:val="16"/>
              </w:rPr>
              <w:br/>
              <w:t>2014</w:t>
            </w:r>
          </w:p>
        </w:tc>
        <w:tc>
          <w:tcPr>
            <w:tcW w:w="697" w:type="dxa"/>
            <w:tcBorders>
              <w:top w:val="nil"/>
              <w:left w:val="nil"/>
              <w:bottom w:val="single" w:sz="4" w:space="0" w:color="auto"/>
              <w:right w:val="single" w:sz="4" w:space="0" w:color="auto"/>
            </w:tcBorders>
            <w:shd w:val="clear" w:color="000000" w:fill="F2DCDB"/>
            <w:vAlign w:val="center"/>
            <w:hideMark/>
          </w:tcPr>
          <w:p w14:paraId="20D41AEF" w14:textId="77777777" w:rsidR="00713B8F" w:rsidRPr="00713B8F" w:rsidRDefault="00713B8F" w:rsidP="0047242F">
            <w:pPr>
              <w:spacing w:after="0" w:line="240" w:lineRule="auto"/>
              <w:jc w:val="center"/>
              <w:rPr>
                <w:rFonts w:cs="Arial"/>
                <w:sz w:val="16"/>
                <w:szCs w:val="16"/>
              </w:rPr>
            </w:pPr>
            <w:r w:rsidRPr="00713B8F">
              <w:rPr>
                <w:rFonts w:cs="Arial"/>
                <w:sz w:val="16"/>
                <w:szCs w:val="16"/>
              </w:rPr>
              <w:t xml:space="preserve">1. pol. </w:t>
            </w:r>
            <w:r w:rsidRPr="00713B8F">
              <w:rPr>
                <w:rFonts w:cs="Arial"/>
                <w:sz w:val="16"/>
                <w:szCs w:val="16"/>
              </w:rPr>
              <w:br/>
              <w:t>2015</w:t>
            </w:r>
          </w:p>
        </w:tc>
        <w:tc>
          <w:tcPr>
            <w:tcW w:w="697" w:type="dxa"/>
            <w:tcBorders>
              <w:top w:val="nil"/>
              <w:left w:val="nil"/>
              <w:bottom w:val="single" w:sz="4" w:space="0" w:color="auto"/>
              <w:right w:val="single" w:sz="4" w:space="0" w:color="auto"/>
            </w:tcBorders>
            <w:shd w:val="clear" w:color="000000" w:fill="F2DCDB"/>
            <w:vAlign w:val="center"/>
            <w:hideMark/>
          </w:tcPr>
          <w:p w14:paraId="041A1327" w14:textId="77777777" w:rsidR="00713B8F" w:rsidRPr="00713B8F" w:rsidRDefault="00713B8F" w:rsidP="0047242F">
            <w:pPr>
              <w:spacing w:after="0" w:line="240" w:lineRule="auto"/>
              <w:jc w:val="center"/>
              <w:rPr>
                <w:rFonts w:cs="Arial"/>
                <w:sz w:val="16"/>
                <w:szCs w:val="16"/>
              </w:rPr>
            </w:pPr>
            <w:r w:rsidRPr="00713B8F">
              <w:rPr>
                <w:rFonts w:cs="Arial"/>
                <w:sz w:val="16"/>
                <w:szCs w:val="16"/>
              </w:rPr>
              <w:t xml:space="preserve">1. pol. </w:t>
            </w:r>
            <w:r w:rsidRPr="00713B8F">
              <w:rPr>
                <w:rFonts w:cs="Arial"/>
                <w:sz w:val="16"/>
                <w:szCs w:val="16"/>
              </w:rPr>
              <w:br/>
              <w:t>2016</w:t>
            </w:r>
          </w:p>
        </w:tc>
        <w:tc>
          <w:tcPr>
            <w:tcW w:w="697" w:type="dxa"/>
            <w:tcBorders>
              <w:top w:val="nil"/>
              <w:left w:val="nil"/>
              <w:bottom w:val="single" w:sz="4" w:space="0" w:color="auto"/>
              <w:right w:val="single" w:sz="4" w:space="0" w:color="auto"/>
            </w:tcBorders>
            <w:shd w:val="clear" w:color="000000" w:fill="F2DCDB"/>
            <w:vAlign w:val="center"/>
            <w:hideMark/>
          </w:tcPr>
          <w:p w14:paraId="775D67DA" w14:textId="77777777" w:rsidR="00713B8F" w:rsidRPr="00713B8F" w:rsidRDefault="00713B8F" w:rsidP="0047242F">
            <w:pPr>
              <w:spacing w:after="0" w:line="240" w:lineRule="auto"/>
              <w:jc w:val="center"/>
              <w:rPr>
                <w:rFonts w:cs="Arial"/>
                <w:sz w:val="16"/>
                <w:szCs w:val="16"/>
              </w:rPr>
            </w:pPr>
            <w:r w:rsidRPr="00713B8F">
              <w:rPr>
                <w:rFonts w:cs="Arial"/>
                <w:sz w:val="16"/>
                <w:szCs w:val="16"/>
              </w:rPr>
              <w:t xml:space="preserve">1. pol. </w:t>
            </w:r>
            <w:r w:rsidRPr="00713B8F">
              <w:rPr>
                <w:rFonts w:cs="Arial"/>
                <w:sz w:val="16"/>
                <w:szCs w:val="16"/>
              </w:rPr>
              <w:br/>
              <w:t>2017</w:t>
            </w:r>
          </w:p>
        </w:tc>
        <w:tc>
          <w:tcPr>
            <w:tcW w:w="697" w:type="dxa"/>
            <w:tcBorders>
              <w:top w:val="nil"/>
              <w:left w:val="nil"/>
              <w:bottom w:val="single" w:sz="4" w:space="0" w:color="auto"/>
              <w:right w:val="nil"/>
            </w:tcBorders>
            <w:shd w:val="clear" w:color="000000" w:fill="F2DCDB"/>
            <w:vAlign w:val="center"/>
            <w:hideMark/>
          </w:tcPr>
          <w:p w14:paraId="5566083C" w14:textId="77777777" w:rsidR="00713B8F" w:rsidRPr="00713B8F" w:rsidRDefault="00713B8F" w:rsidP="0047242F">
            <w:pPr>
              <w:spacing w:after="0" w:line="240" w:lineRule="auto"/>
              <w:jc w:val="center"/>
              <w:rPr>
                <w:rFonts w:cs="Arial"/>
                <w:sz w:val="16"/>
                <w:szCs w:val="16"/>
              </w:rPr>
            </w:pPr>
            <w:r w:rsidRPr="00713B8F">
              <w:rPr>
                <w:rFonts w:cs="Arial"/>
                <w:sz w:val="16"/>
                <w:szCs w:val="16"/>
              </w:rPr>
              <w:t xml:space="preserve">1. pol. </w:t>
            </w:r>
            <w:r w:rsidRPr="00713B8F">
              <w:rPr>
                <w:rFonts w:cs="Arial"/>
                <w:sz w:val="16"/>
                <w:szCs w:val="16"/>
              </w:rPr>
              <w:br/>
              <w:t>2018</w:t>
            </w:r>
          </w:p>
        </w:tc>
        <w:tc>
          <w:tcPr>
            <w:tcW w:w="697" w:type="dxa"/>
            <w:gridSpan w:val="2"/>
            <w:tcBorders>
              <w:top w:val="nil"/>
              <w:left w:val="single" w:sz="4" w:space="0" w:color="auto"/>
              <w:bottom w:val="single" w:sz="4" w:space="0" w:color="auto"/>
              <w:right w:val="nil"/>
            </w:tcBorders>
            <w:shd w:val="clear" w:color="000000" w:fill="F2DCDB"/>
            <w:vAlign w:val="center"/>
            <w:hideMark/>
          </w:tcPr>
          <w:p w14:paraId="4656D152" w14:textId="77777777" w:rsidR="00713B8F" w:rsidRPr="00713B8F" w:rsidRDefault="00713B8F" w:rsidP="0047242F">
            <w:pPr>
              <w:spacing w:after="0" w:line="240" w:lineRule="auto"/>
              <w:jc w:val="center"/>
              <w:rPr>
                <w:rFonts w:cs="Arial"/>
                <w:sz w:val="16"/>
                <w:szCs w:val="16"/>
              </w:rPr>
            </w:pPr>
            <w:r w:rsidRPr="00713B8F">
              <w:rPr>
                <w:rFonts w:cs="Arial"/>
                <w:sz w:val="16"/>
                <w:szCs w:val="16"/>
              </w:rPr>
              <w:t>1. pol. 2019</w:t>
            </w:r>
          </w:p>
        </w:tc>
      </w:tr>
      <w:tr w:rsidR="00713B8F" w:rsidRPr="00713B8F" w14:paraId="3842D4AB" w14:textId="77777777" w:rsidTr="00713B8F">
        <w:trPr>
          <w:trHeight w:val="300"/>
        </w:trPr>
        <w:tc>
          <w:tcPr>
            <w:tcW w:w="1985" w:type="dxa"/>
            <w:tcBorders>
              <w:top w:val="nil"/>
              <w:left w:val="nil"/>
              <w:bottom w:val="nil"/>
              <w:right w:val="nil"/>
            </w:tcBorders>
            <w:shd w:val="clear" w:color="auto" w:fill="auto"/>
            <w:noWrap/>
            <w:vAlign w:val="center"/>
            <w:hideMark/>
          </w:tcPr>
          <w:p w14:paraId="6DF2F90C" w14:textId="77777777" w:rsidR="00713B8F" w:rsidRPr="00713B8F" w:rsidRDefault="00713B8F" w:rsidP="00713B8F">
            <w:pPr>
              <w:spacing w:after="0" w:line="240" w:lineRule="auto"/>
              <w:rPr>
                <w:rFonts w:cs="Arial"/>
                <w:b/>
                <w:bCs/>
                <w:sz w:val="16"/>
                <w:szCs w:val="16"/>
              </w:rPr>
            </w:pPr>
            <w:r w:rsidRPr="00713B8F">
              <w:rPr>
                <w:rFonts w:cs="Arial"/>
                <w:b/>
                <w:bCs/>
                <w:sz w:val="16"/>
                <w:szCs w:val="16"/>
              </w:rPr>
              <w:t>ČR celkem</w:t>
            </w:r>
          </w:p>
        </w:tc>
        <w:tc>
          <w:tcPr>
            <w:tcW w:w="697" w:type="dxa"/>
            <w:tcBorders>
              <w:top w:val="nil"/>
              <w:left w:val="nil"/>
              <w:bottom w:val="nil"/>
              <w:right w:val="nil"/>
            </w:tcBorders>
            <w:shd w:val="clear" w:color="auto" w:fill="auto"/>
            <w:noWrap/>
            <w:vAlign w:val="center"/>
            <w:hideMark/>
          </w:tcPr>
          <w:p w14:paraId="1E67E2DB" w14:textId="77777777" w:rsidR="00713B8F" w:rsidRPr="00713B8F" w:rsidRDefault="00713B8F" w:rsidP="00713B8F">
            <w:pPr>
              <w:spacing w:after="0" w:line="240" w:lineRule="auto"/>
              <w:jc w:val="right"/>
              <w:rPr>
                <w:rFonts w:cs="Arial"/>
                <w:b/>
                <w:bCs/>
                <w:sz w:val="16"/>
                <w:szCs w:val="16"/>
              </w:rPr>
            </w:pPr>
            <w:r w:rsidRPr="00713B8F">
              <w:rPr>
                <w:rFonts w:cs="Arial"/>
                <w:b/>
                <w:bCs/>
                <w:sz w:val="16"/>
                <w:szCs w:val="16"/>
              </w:rPr>
              <w:t>44,55</w:t>
            </w:r>
          </w:p>
        </w:tc>
        <w:tc>
          <w:tcPr>
            <w:tcW w:w="697" w:type="dxa"/>
            <w:tcBorders>
              <w:top w:val="nil"/>
              <w:left w:val="nil"/>
              <w:bottom w:val="nil"/>
              <w:right w:val="nil"/>
            </w:tcBorders>
            <w:shd w:val="clear" w:color="auto" w:fill="auto"/>
            <w:noWrap/>
            <w:vAlign w:val="center"/>
            <w:hideMark/>
          </w:tcPr>
          <w:p w14:paraId="1276C0D5" w14:textId="77777777" w:rsidR="00713B8F" w:rsidRPr="00713B8F" w:rsidRDefault="00713B8F" w:rsidP="00713B8F">
            <w:pPr>
              <w:spacing w:after="0" w:line="240" w:lineRule="auto"/>
              <w:jc w:val="right"/>
              <w:rPr>
                <w:rFonts w:cs="Arial"/>
                <w:b/>
                <w:bCs/>
                <w:sz w:val="16"/>
                <w:szCs w:val="16"/>
              </w:rPr>
            </w:pPr>
            <w:r w:rsidRPr="00713B8F">
              <w:rPr>
                <w:rFonts w:cs="Arial"/>
                <w:b/>
                <w:bCs/>
                <w:sz w:val="16"/>
                <w:szCs w:val="16"/>
              </w:rPr>
              <w:t>44,57</w:t>
            </w:r>
          </w:p>
        </w:tc>
        <w:tc>
          <w:tcPr>
            <w:tcW w:w="697" w:type="dxa"/>
            <w:tcBorders>
              <w:top w:val="nil"/>
              <w:left w:val="nil"/>
              <w:bottom w:val="nil"/>
              <w:right w:val="nil"/>
            </w:tcBorders>
            <w:shd w:val="clear" w:color="auto" w:fill="auto"/>
            <w:noWrap/>
            <w:vAlign w:val="center"/>
            <w:hideMark/>
          </w:tcPr>
          <w:p w14:paraId="70D0539D" w14:textId="77777777" w:rsidR="00713B8F" w:rsidRPr="00713B8F" w:rsidRDefault="00713B8F" w:rsidP="00713B8F">
            <w:pPr>
              <w:spacing w:after="0" w:line="240" w:lineRule="auto"/>
              <w:jc w:val="right"/>
              <w:rPr>
                <w:rFonts w:cs="Arial"/>
                <w:b/>
                <w:bCs/>
                <w:sz w:val="16"/>
                <w:szCs w:val="16"/>
              </w:rPr>
            </w:pPr>
            <w:r w:rsidRPr="00713B8F">
              <w:rPr>
                <w:rFonts w:cs="Arial"/>
                <w:b/>
                <w:bCs/>
                <w:sz w:val="16"/>
                <w:szCs w:val="16"/>
              </w:rPr>
              <w:t>42,77</w:t>
            </w:r>
          </w:p>
        </w:tc>
        <w:tc>
          <w:tcPr>
            <w:tcW w:w="697" w:type="dxa"/>
            <w:tcBorders>
              <w:top w:val="nil"/>
              <w:left w:val="nil"/>
              <w:bottom w:val="nil"/>
              <w:right w:val="nil"/>
            </w:tcBorders>
            <w:shd w:val="clear" w:color="auto" w:fill="auto"/>
            <w:noWrap/>
            <w:vAlign w:val="center"/>
            <w:hideMark/>
          </w:tcPr>
          <w:p w14:paraId="03249CA2" w14:textId="77777777" w:rsidR="00713B8F" w:rsidRPr="00713B8F" w:rsidRDefault="00713B8F" w:rsidP="00713B8F">
            <w:pPr>
              <w:spacing w:after="0" w:line="240" w:lineRule="auto"/>
              <w:jc w:val="right"/>
              <w:rPr>
                <w:rFonts w:cs="Arial"/>
                <w:b/>
                <w:bCs/>
                <w:sz w:val="16"/>
                <w:szCs w:val="16"/>
              </w:rPr>
            </w:pPr>
            <w:r w:rsidRPr="00713B8F">
              <w:rPr>
                <w:rFonts w:cs="Arial"/>
                <w:b/>
                <w:bCs/>
                <w:sz w:val="16"/>
                <w:szCs w:val="16"/>
              </w:rPr>
              <w:t>47,70</w:t>
            </w:r>
          </w:p>
        </w:tc>
        <w:tc>
          <w:tcPr>
            <w:tcW w:w="697" w:type="dxa"/>
            <w:tcBorders>
              <w:top w:val="nil"/>
              <w:left w:val="nil"/>
              <w:bottom w:val="nil"/>
              <w:right w:val="nil"/>
            </w:tcBorders>
            <w:shd w:val="clear" w:color="auto" w:fill="auto"/>
            <w:noWrap/>
            <w:vAlign w:val="center"/>
            <w:hideMark/>
          </w:tcPr>
          <w:p w14:paraId="2E99AA3A" w14:textId="77777777" w:rsidR="00713B8F" w:rsidRPr="00713B8F" w:rsidRDefault="00713B8F" w:rsidP="00713B8F">
            <w:pPr>
              <w:spacing w:after="0" w:line="240" w:lineRule="auto"/>
              <w:jc w:val="right"/>
              <w:rPr>
                <w:rFonts w:cs="Arial"/>
                <w:b/>
                <w:bCs/>
                <w:sz w:val="16"/>
                <w:szCs w:val="16"/>
              </w:rPr>
            </w:pPr>
            <w:r w:rsidRPr="00713B8F">
              <w:rPr>
                <w:rFonts w:cs="Arial"/>
                <w:b/>
                <w:bCs/>
                <w:sz w:val="16"/>
                <w:szCs w:val="16"/>
              </w:rPr>
              <w:t>42,24</w:t>
            </w:r>
          </w:p>
        </w:tc>
        <w:tc>
          <w:tcPr>
            <w:tcW w:w="697" w:type="dxa"/>
            <w:tcBorders>
              <w:top w:val="nil"/>
              <w:left w:val="nil"/>
              <w:bottom w:val="nil"/>
              <w:right w:val="nil"/>
            </w:tcBorders>
            <w:shd w:val="clear" w:color="auto" w:fill="auto"/>
            <w:noWrap/>
            <w:vAlign w:val="center"/>
            <w:hideMark/>
          </w:tcPr>
          <w:p w14:paraId="58242F77" w14:textId="77777777" w:rsidR="00713B8F" w:rsidRPr="00713B8F" w:rsidRDefault="00713B8F" w:rsidP="00713B8F">
            <w:pPr>
              <w:spacing w:after="0" w:line="240" w:lineRule="auto"/>
              <w:jc w:val="right"/>
              <w:rPr>
                <w:rFonts w:cs="Arial"/>
                <w:b/>
                <w:bCs/>
                <w:sz w:val="16"/>
                <w:szCs w:val="16"/>
              </w:rPr>
            </w:pPr>
            <w:r w:rsidRPr="00713B8F">
              <w:rPr>
                <w:rFonts w:cs="Arial"/>
                <w:b/>
                <w:bCs/>
                <w:sz w:val="16"/>
                <w:szCs w:val="16"/>
              </w:rPr>
              <w:t>45,94</w:t>
            </w:r>
          </w:p>
        </w:tc>
        <w:tc>
          <w:tcPr>
            <w:tcW w:w="697" w:type="dxa"/>
            <w:tcBorders>
              <w:top w:val="nil"/>
              <w:left w:val="nil"/>
              <w:bottom w:val="nil"/>
              <w:right w:val="nil"/>
            </w:tcBorders>
            <w:shd w:val="clear" w:color="auto" w:fill="auto"/>
            <w:noWrap/>
            <w:vAlign w:val="center"/>
            <w:hideMark/>
          </w:tcPr>
          <w:p w14:paraId="7F3DC224" w14:textId="77777777" w:rsidR="00713B8F" w:rsidRPr="00713B8F" w:rsidRDefault="00713B8F" w:rsidP="00713B8F">
            <w:pPr>
              <w:spacing w:after="0" w:line="240" w:lineRule="auto"/>
              <w:jc w:val="right"/>
              <w:rPr>
                <w:rFonts w:cs="Arial"/>
                <w:b/>
                <w:bCs/>
                <w:sz w:val="16"/>
                <w:szCs w:val="16"/>
              </w:rPr>
            </w:pPr>
            <w:r w:rsidRPr="00713B8F">
              <w:rPr>
                <w:rFonts w:cs="Arial"/>
                <w:b/>
                <w:bCs/>
                <w:sz w:val="16"/>
                <w:szCs w:val="16"/>
              </w:rPr>
              <w:t>40,11</w:t>
            </w:r>
          </w:p>
        </w:tc>
        <w:tc>
          <w:tcPr>
            <w:tcW w:w="697" w:type="dxa"/>
            <w:tcBorders>
              <w:top w:val="nil"/>
              <w:left w:val="nil"/>
              <w:bottom w:val="nil"/>
              <w:right w:val="nil"/>
            </w:tcBorders>
            <w:shd w:val="clear" w:color="auto" w:fill="auto"/>
            <w:noWrap/>
            <w:vAlign w:val="center"/>
            <w:hideMark/>
          </w:tcPr>
          <w:p w14:paraId="7F4DDE14" w14:textId="77777777" w:rsidR="00713B8F" w:rsidRPr="00713B8F" w:rsidRDefault="00713B8F" w:rsidP="00713B8F">
            <w:pPr>
              <w:spacing w:after="0" w:line="240" w:lineRule="auto"/>
              <w:jc w:val="right"/>
              <w:rPr>
                <w:rFonts w:cs="Arial"/>
                <w:b/>
                <w:bCs/>
                <w:sz w:val="16"/>
                <w:szCs w:val="16"/>
              </w:rPr>
            </w:pPr>
            <w:r w:rsidRPr="00713B8F">
              <w:rPr>
                <w:rFonts w:cs="Arial"/>
                <w:b/>
                <w:bCs/>
                <w:sz w:val="16"/>
                <w:szCs w:val="16"/>
              </w:rPr>
              <w:t>41,97</w:t>
            </w:r>
          </w:p>
        </w:tc>
        <w:tc>
          <w:tcPr>
            <w:tcW w:w="697" w:type="dxa"/>
            <w:tcBorders>
              <w:top w:val="nil"/>
              <w:left w:val="nil"/>
              <w:bottom w:val="nil"/>
              <w:right w:val="nil"/>
            </w:tcBorders>
            <w:shd w:val="clear" w:color="auto" w:fill="auto"/>
            <w:noWrap/>
            <w:vAlign w:val="center"/>
            <w:hideMark/>
          </w:tcPr>
          <w:p w14:paraId="694DA0F8" w14:textId="77777777" w:rsidR="00713B8F" w:rsidRPr="00713B8F" w:rsidRDefault="00713B8F" w:rsidP="00713B8F">
            <w:pPr>
              <w:spacing w:after="0" w:line="240" w:lineRule="auto"/>
              <w:jc w:val="right"/>
              <w:rPr>
                <w:rFonts w:cs="Arial"/>
                <w:b/>
                <w:bCs/>
                <w:sz w:val="16"/>
                <w:szCs w:val="16"/>
              </w:rPr>
            </w:pPr>
            <w:r w:rsidRPr="00713B8F">
              <w:rPr>
                <w:rFonts w:cs="Arial"/>
                <w:b/>
                <w:bCs/>
                <w:sz w:val="16"/>
                <w:szCs w:val="16"/>
              </w:rPr>
              <w:t>40,97</w:t>
            </w:r>
          </w:p>
        </w:tc>
        <w:tc>
          <w:tcPr>
            <w:tcW w:w="697" w:type="dxa"/>
            <w:tcBorders>
              <w:top w:val="nil"/>
              <w:left w:val="nil"/>
              <w:bottom w:val="nil"/>
              <w:right w:val="nil"/>
            </w:tcBorders>
            <w:shd w:val="clear" w:color="000000" w:fill="FFFFFF"/>
            <w:noWrap/>
            <w:vAlign w:val="center"/>
            <w:hideMark/>
          </w:tcPr>
          <w:p w14:paraId="62254619" w14:textId="77777777" w:rsidR="00713B8F" w:rsidRPr="00713B8F" w:rsidRDefault="00713B8F" w:rsidP="00713B8F">
            <w:pPr>
              <w:spacing w:after="0" w:line="240" w:lineRule="auto"/>
              <w:jc w:val="right"/>
              <w:rPr>
                <w:rFonts w:cs="Arial"/>
                <w:b/>
                <w:bCs/>
                <w:color w:val="000000"/>
                <w:sz w:val="16"/>
                <w:szCs w:val="16"/>
              </w:rPr>
            </w:pPr>
            <w:r w:rsidRPr="00713B8F">
              <w:rPr>
                <w:rFonts w:cs="Arial"/>
                <w:b/>
                <w:bCs/>
                <w:color w:val="000000"/>
                <w:sz w:val="16"/>
                <w:szCs w:val="16"/>
              </w:rPr>
              <w:t>39,05</w:t>
            </w:r>
          </w:p>
        </w:tc>
        <w:tc>
          <w:tcPr>
            <w:tcW w:w="697" w:type="dxa"/>
            <w:gridSpan w:val="2"/>
            <w:tcBorders>
              <w:top w:val="nil"/>
              <w:left w:val="nil"/>
              <w:bottom w:val="nil"/>
              <w:right w:val="nil"/>
            </w:tcBorders>
            <w:shd w:val="clear" w:color="000000" w:fill="FFFFFF"/>
            <w:noWrap/>
            <w:vAlign w:val="center"/>
            <w:hideMark/>
          </w:tcPr>
          <w:p w14:paraId="4AFF1E86" w14:textId="77777777" w:rsidR="00713B8F" w:rsidRPr="00713B8F" w:rsidRDefault="00713B8F" w:rsidP="00713B8F">
            <w:pPr>
              <w:spacing w:after="0" w:line="240" w:lineRule="auto"/>
              <w:jc w:val="right"/>
              <w:rPr>
                <w:rFonts w:cs="Arial"/>
                <w:b/>
                <w:bCs/>
                <w:color w:val="000000"/>
                <w:sz w:val="16"/>
                <w:szCs w:val="16"/>
              </w:rPr>
            </w:pPr>
            <w:r w:rsidRPr="00713B8F">
              <w:rPr>
                <w:rFonts w:cs="Arial"/>
                <w:b/>
                <w:bCs/>
                <w:color w:val="000000"/>
                <w:sz w:val="16"/>
                <w:szCs w:val="16"/>
              </w:rPr>
              <w:t>42,65</w:t>
            </w:r>
          </w:p>
        </w:tc>
      </w:tr>
      <w:tr w:rsidR="00713B8F" w:rsidRPr="00713B8F" w14:paraId="0134B7C1" w14:textId="77777777" w:rsidTr="00713B8F">
        <w:trPr>
          <w:trHeight w:val="300"/>
        </w:trPr>
        <w:tc>
          <w:tcPr>
            <w:tcW w:w="1985" w:type="dxa"/>
            <w:tcBorders>
              <w:top w:val="nil"/>
              <w:left w:val="nil"/>
              <w:bottom w:val="nil"/>
              <w:right w:val="nil"/>
            </w:tcBorders>
            <w:shd w:val="clear" w:color="auto" w:fill="auto"/>
            <w:noWrap/>
            <w:vAlign w:val="center"/>
            <w:hideMark/>
          </w:tcPr>
          <w:p w14:paraId="76E583BA" w14:textId="77777777" w:rsidR="00713B8F" w:rsidRPr="00713B8F" w:rsidRDefault="00713B8F" w:rsidP="00713B8F">
            <w:pPr>
              <w:spacing w:after="0" w:line="240" w:lineRule="auto"/>
              <w:ind w:firstLineChars="100" w:firstLine="160"/>
              <w:rPr>
                <w:rFonts w:cs="Arial"/>
                <w:sz w:val="16"/>
                <w:szCs w:val="16"/>
              </w:rPr>
            </w:pPr>
            <w:r w:rsidRPr="00713B8F">
              <w:rPr>
                <w:rFonts w:cs="Arial"/>
                <w:sz w:val="16"/>
                <w:szCs w:val="16"/>
              </w:rPr>
              <w:t>Hl. m. Praha</w:t>
            </w:r>
          </w:p>
        </w:tc>
        <w:tc>
          <w:tcPr>
            <w:tcW w:w="697" w:type="dxa"/>
            <w:tcBorders>
              <w:top w:val="nil"/>
              <w:left w:val="nil"/>
              <w:bottom w:val="nil"/>
              <w:right w:val="nil"/>
            </w:tcBorders>
            <w:shd w:val="clear" w:color="auto" w:fill="auto"/>
            <w:noWrap/>
            <w:vAlign w:val="center"/>
            <w:hideMark/>
          </w:tcPr>
          <w:p w14:paraId="11BAEAAE" w14:textId="77777777" w:rsidR="00713B8F" w:rsidRPr="00713B8F" w:rsidRDefault="00713B8F" w:rsidP="00713B8F">
            <w:pPr>
              <w:spacing w:after="0" w:line="240" w:lineRule="auto"/>
              <w:jc w:val="right"/>
              <w:rPr>
                <w:rFonts w:cs="Arial"/>
                <w:sz w:val="16"/>
                <w:szCs w:val="16"/>
              </w:rPr>
            </w:pPr>
            <w:r w:rsidRPr="00713B8F">
              <w:rPr>
                <w:rFonts w:cs="Arial"/>
                <w:sz w:val="16"/>
                <w:szCs w:val="16"/>
              </w:rPr>
              <w:t>35,71</w:t>
            </w:r>
          </w:p>
        </w:tc>
        <w:tc>
          <w:tcPr>
            <w:tcW w:w="697" w:type="dxa"/>
            <w:tcBorders>
              <w:top w:val="nil"/>
              <w:left w:val="nil"/>
              <w:bottom w:val="nil"/>
              <w:right w:val="nil"/>
            </w:tcBorders>
            <w:shd w:val="clear" w:color="auto" w:fill="auto"/>
            <w:noWrap/>
            <w:vAlign w:val="center"/>
            <w:hideMark/>
          </w:tcPr>
          <w:p w14:paraId="4AC9E0E3" w14:textId="77777777" w:rsidR="00713B8F" w:rsidRPr="00713B8F" w:rsidRDefault="00713B8F" w:rsidP="00713B8F">
            <w:pPr>
              <w:spacing w:after="0" w:line="240" w:lineRule="auto"/>
              <w:jc w:val="right"/>
              <w:rPr>
                <w:rFonts w:cs="Arial"/>
                <w:sz w:val="16"/>
                <w:szCs w:val="16"/>
              </w:rPr>
            </w:pPr>
            <w:r w:rsidRPr="00713B8F">
              <w:rPr>
                <w:rFonts w:cs="Arial"/>
                <w:sz w:val="16"/>
                <w:szCs w:val="16"/>
              </w:rPr>
              <w:t>37,67</w:t>
            </w:r>
          </w:p>
        </w:tc>
        <w:tc>
          <w:tcPr>
            <w:tcW w:w="697" w:type="dxa"/>
            <w:tcBorders>
              <w:top w:val="nil"/>
              <w:left w:val="nil"/>
              <w:bottom w:val="nil"/>
              <w:right w:val="nil"/>
            </w:tcBorders>
            <w:shd w:val="clear" w:color="auto" w:fill="auto"/>
            <w:noWrap/>
            <w:vAlign w:val="center"/>
            <w:hideMark/>
          </w:tcPr>
          <w:p w14:paraId="3DC54FD6" w14:textId="77777777" w:rsidR="00713B8F" w:rsidRPr="00713B8F" w:rsidRDefault="00713B8F" w:rsidP="00713B8F">
            <w:pPr>
              <w:spacing w:after="0" w:line="240" w:lineRule="auto"/>
              <w:jc w:val="right"/>
              <w:rPr>
                <w:rFonts w:cs="Arial"/>
                <w:sz w:val="16"/>
                <w:szCs w:val="16"/>
              </w:rPr>
            </w:pPr>
            <w:r w:rsidRPr="00713B8F">
              <w:rPr>
                <w:rFonts w:cs="Arial"/>
                <w:sz w:val="16"/>
                <w:szCs w:val="16"/>
              </w:rPr>
              <w:t>36,19</w:t>
            </w:r>
          </w:p>
        </w:tc>
        <w:tc>
          <w:tcPr>
            <w:tcW w:w="697" w:type="dxa"/>
            <w:tcBorders>
              <w:top w:val="nil"/>
              <w:left w:val="nil"/>
              <w:bottom w:val="nil"/>
              <w:right w:val="nil"/>
            </w:tcBorders>
            <w:shd w:val="clear" w:color="auto" w:fill="auto"/>
            <w:noWrap/>
            <w:vAlign w:val="center"/>
            <w:hideMark/>
          </w:tcPr>
          <w:p w14:paraId="5594A9BF" w14:textId="77777777" w:rsidR="00713B8F" w:rsidRPr="00713B8F" w:rsidRDefault="00713B8F" w:rsidP="00713B8F">
            <w:pPr>
              <w:spacing w:after="0" w:line="240" w:lineRule="auto"/>
              <w:jc w:val="right"/>
              <w:rPr>
                <w:rFonts w:cs="Arial"/>
                <w:sz w:val="16"/>
                <w:szCs w:val="16"/>
              </w:rPr>
            </w:pPr>
            <w:r w:rsidRPr="00713B8F">
              <w:rPr>
                <w:rFonts w:cs="Arial"/>
                <w:sz w:val="16"/>
                <w:szCs w:val="16"/>
              </w:rPr>
              <w:t>42,36</w:t>
            </w:r>
          </w:p>
        </w:tc>
        <w:tc>
          <w:tcPr>
            <w:tcW w:w="697" w:type="dxa"/>
            <w:tcBorders>
              <w:top w:val="nil"/>
              <w:left w:val="nil"/>
              <w:bottom w:val="nil"/>
              <w:right w:val="nil"/>
            </w:tcBorders>
            <w:shd w:val="clear" w:color="auto" w:fill="auto"/>
            <w:noWrap/>
            <w:vAlign w:val="center"/>
            <w:hideMark/>
          </w:tcPr>
          <w:p w14:paraId="4340D888" w14:textId="77777777" w:rsidR="00713B8F" w:rsidRPr="00713B8F" w:rsidRDefault="00713B8F" w:rsidP="00713B8F">
            <w:pPr>
              <w:spacing w:after="0" w:line="240" w:lineRule="auto"/>
              <w:jc w:val="right"/>
              <w:rPr>
                <w:rFonts w:cs="Arial"/>
                <w:sz w:val="16"/>
                <w:szCs w:val="16"/>
              </w:rPr>
            </w:pPr>
            <w:r w:rsidRPr="00713B8F">
              <w:rPr>
                <w:rFonts w:cs="Arial"/>
                <w:sz w:val="16"/>
                <w:szCs w:val="16"/>
              </w:rPr>
              <w:t>37,39</w:t>
            </w:r>
          </w:p>
        </w:tc>
        <w:tc>
          <w:tcPr>
            <w:tcW w:w="697" w:type="dxa"/>
            <w:tcBorders>
              <w:top w:val="nil"/>
              <w:left w:val="nil"/>
              <w:bottom w:val="nil"/>
              <w:right w:val="nil"/>
            </w:tcBorders>
            <w:shd w:val="clear" w:color="auto" w:fill="auto"/>
            <w:noWrap/>
            <w:vAlign w:val="center"/>
            <w:hideMark/>
          </w:tcPr>
          <w:p w14:paraId="29BFB293" w14:textId="77777777" w:rsidR="00713B8F" w:rsidRPr="00713B8F" w:rsidRDefault="00713B8F" w:rsidP="00713B8F">
            <w:pPr>
              <w:spacing w:after="0" w:line="240" w:lineRule="auto"/>
              <w:jc w:val="right"/>
              <w:rPr>
                <w:rFonts w:cs="Arial"/>
                <w:sz w:val="16"/>
                <w:szCs w:val="16"/>
              </w:rPr>
            </w:pPr>
            <w:r w:rsidRPr="00713B8F">
              <w:rPr>
                <w:rFonts w:cs="Arial"/>
                <w:sz w:val="16"/>
                <w:szCs w:val="16"/>
              </w:rPr>
              <w:t>40,29</w:t>
            </w:r>
          </w:p>
        </w:tc>
        <w:tc>
          <w:tcPr>
            <w:tcW w:w="697" w:type="dxa"/>
            <w:tcBorders>
              <w:top w:val="nil"/>
              <w:left w:val="nil"/>
              <w:bottom w:val="nil"/>
              <w:right w:val="nil"/>
            </w:tcBorders>
            <w:shd w:val="clear" w:color="auto" w:fill="auto"/>
            <w:noWrap/>
            <w:vAlign w:val="center"/>
            <w:hideMark/>
          </w:tcPr>
          <w:p w14:paraId="3A326AB9" w14:textId="77777777" w:rsidR="00713B8F" w:rsidRPr="00713B8F" w:rsidRDefault="00713B8F" w:rsidP="00713B8F">
            <w:pPr>
              <w:spacing w:after="0" w:line="240" w:lineRule="auto"/>
              <w:jc w:val="right"/>
              <w:rPr>
                <w:rFonts w:cs="Arial"/>
                <w:sz w:val="16"/>
                <w:szCs w:val="16"/>
              </w:rPr>
            </w:pPr>
            <w:r w:rsidRPr="00713B8F">
              <w:rPr>
                <w:rFonts w:cs="Arial"/>
                <w:sz w:val="16"/>
                <w:szCs w:val="16"/>
              </w:rPr>
              <w:t>36,54</w:t>
            </w:r>
          </w:p>
        </w:tc>
        <w:tc>
          <w:tcPr>
            <w:tcW w:w="697" w:type="dxa"/>
            <w:tcBorders>
              <w:top w:val="nil"/>
              <w:left w:val="nil"/>
              <w:bottom w:val="nil"/>
              <w:right w:val="nil"/>
            </w:tcBorders>
            <w:shd w:val="clear" w:color="auto" w:fill="auto"/>
            <w:noWrap/>
            <w:vAlign w:val="center"/>
            <w:hideMark/>
          </w:tcPr>
          <w:p w14:paraId="3B351353" w14:textId="77777777" w:rsidR="00713B8F" w:rsidRPr="00713B8F" w:rsidRDefault="00713B8F" w:rsidP="00713B8F">
            <w:pPr>
              <w:spacing w:after="0" w:line="240" w:lineRule="auto"/>
              <w:jc w:val="right"/>
              <w:rPr>
                <w:rFonts w:cs="Arial"/>
                <w:sz w:val="16"/>
                <w:szCs w:val="16"/>
              </w:rPr>
            </w:pPr>
            <w:r w:rsidRPr="00713B8F">
              <w:rPr>
                <w:rFonts w:cs="Arial"/>
                <w:sz w:val="16"/>
                <w:szCs w:val="16"/>
              </w:rPr>
              <w:t>37,34</w:t>
            </w:r>
          </w:p>
        </w:tc>
        <w:tc>
          <w:tcPr>
            <w:tcW w:w="697" w:type="dxa"/>
            <w:tcBorders>
              <w:top w:val="nil"/>
              <w:left w:val="nil"/>
              <w:bottom w:val="nil"/>
              <w:right w:val="nil"/>
            </w:tcBorders>
            <w:shd w:val="clear" w:color="auto" w:fill="auto"/>
            <w:noWrap/>
            <w:vAlign w:val="center"/>
            <w:hideMark/>
          </w:tcPr>
          <w:p w14:paraId="7E332201" w14:textId="77777777" w:rsidR="00713B8F" w:rsidRPr="00713B8F" w:rsidRDefault="00713B8F" w:rsidP="00713B8F">
            <w:pPr>
              <w:spacing w:after="0" w:line="240" w:lineRule="auto"/>
              <w:jc w:val="right"/>
              <w:rPr>
                <w:rFonts w:cs="Arial"/>
                <w:sz w:val="16"/>
                <w:szCs w:val="16"/>
              </w:rPr>
            </w:pPr>
            <w:r w:rsidRPr="00713B8F">
              <w:rPr>
                <w:rFonts w:cs="Arial"/>
                <w:sz w:val="16"/>
                <w:szCs w:val="16"/>
              </w:rPr>
              <w:t>37,18</w:t>
            </w:r>
          </w:p>
        </w:tc>
        <w:tc>
          <w:tcPr>
            <w:tcW w:w="697" w:type="dxa"/>
            <w:tcBorders>
              <w:top w:val="nil"/>
              <w:left w:val="nil"/>
              <w:bottom w:val="nil"/>
              <w:right w:val="nil"/>
            </w:tcBorders>
            <w:shd w:val="clear" w:color="000000" w:fill="FFFFFF"/>
            <w:noWrap/>
            <w:vAlign w:val="center"/>
            <w:hideMark/>
          </w:tcPr>
          <w:p w14:paraId="0AAC6BD0" w14:textId="77777777" w:rsidR="00713B8F" w:rsidRPr="00713B8F" w:rsidRDefault="00713B8F" w:rsidP="00713B8F">
            <w:pPr>
              <w:spacing w:after="0" w:line="240" w:lineRule="auto"/>
              <w:jc w:val="right"/>
              <w:rPr>
                <w:rFonts w:cs="Arial"/>
                <w:color w:val="000000"/>
                <w:sz w:val="16"/>
                <w:szCs w:val="16"/>
              </w:rPr>
            </w:pPr>
            <w:r w:rsidRPr="00713B8F">
              <w:rPr>
                <w:rFonts w:cs="Arial"/>
                <w:color w:val="000000"/>
                <w:sz w:val="16"/>
                <w:szCs w:val="16"/>
              </w:rPr>
              <w:t>36,66</w:t>
            </w:r>
          </w:p>
        </w:tc>
        <w:tc>
          <w:tcPr>
            <w:tcW w:w="697" w:type="dxa"/>
            <w:gridSpan w:val="2"/>
            <w:tcBorders>
              <w:top w:val="nil"/>
              <w:left w:val="nil"/>
              <w:bottom w:val="nil"/>
              <w:right w:val="nil"/>
            </w:tcBorders>
            <w:shd w:val="clear" w:color="000000" w:fill="FFFFFF"/>
            <w:noWrap/>
            <w:vAlign w:val="center"/>
            <w:hideMark/>
          </w:tcPr>
          <w:p w14:paraId="13B0D053" w14:textId="77777777" w:rsidR="00713B8F" w:rsidRPr="00713B8F" w:rsidRDefault="00713B8F" w:rsidP="00713B8F">
            <w:pPr>
              <w:spacing w:after="0" w:line="240" w:lineRule="auto"/>
              <w:jc w:val="right"/>
              <w:rPr>
                <w:rFonts w:cs="Arial"/>
                <w:color w:val="000000"/>
                <w:sz w:val="16"/>
                <w:szCs w:val="16"/>
              </w:rPr>
            </w:pPr>
            <w:r w:rsidRPr="00713B8F">
              <w:rPr>
                <w:rFonts w:cs="Arial"/>
                <w:color w:val="000000"/>
                <w:sz w:val="16"/>
                <w:szCs w:val="16"/>
              </w:rPr>
              <w:t>39,47</w:t>
            </w:r>
          </w:p>
        </w:tc>
      </w:tr>
      <w:tr w:rsidR="00713B8F" w:rsidRPr="00713B8F" w14:paraId="69BF177E" w14:textId="77777777" w:rsidTr="00713B8F">
        <w:trPr>
          <w:trHeight w:val="300"/>
        </w:trPr>
        <w:tc>
          <w:tcPr>
            <w:tcW w:w="1985" w:type="dxa"/>
            <w:tcBorders>
              <w:top w:val="nil"/>
              <w:left w:val="nil"/>
              <w:bottom w:val="nil"/>
              <w:right w:val="nil"/>
            </w:tcBorders>
            <w:shd w:val="clear" w:color="auto" w:fill="auto"/>
            <w:noWrap/>
            <w:vAlign w:val="center"/>
            <w:hideMark/>
          </w:tcPr>
          <w:p w14:paraId="5E7A120C" w14:textId="77777777" w:rsidR="00713B8F" w:rsidRPr="00713B8F" w:rsidRDefault="00713B8F" w:rsidP="00713B8F">
            <w:pPr>
              <w:spacing w:after="0" w:line="240" w:lineRule="auto"/>
              <w:ind w:firstLineChars="100" w:firstLine="160"/>
              <w:rPr>
                <w:rFonts w:cs="Arial"/>
                <w:sz w:val="16"/>
                <w:szCs w:val="16"/>
              </w:rPr>
            </w:pPr>
            <w:r w:rsidRPr="00713B8F">
              <w:rPr>
                <w:rFonts w:cs="Arial"/>
                <w:sz w:val="16"/>
                <w:szCs w:val="16"/>
              </w:rPr>
              <w:t>Středočeský kraj</w:t>
            </w:r>
          </w:p>
        </w:tc>
        <w:tc>
          <w:tcPr>
            <w:tcW w:w="697" w:type="dxa"/>
            <w:tcBorders>
              <w:top w:val="nil"/>
              <w:left w:val="nil"/>
              <w:bottom w:val="nil"/>
              <w:right w:val="nil"/>
            </w:tcBorders>
            <w:shd w:val="clear" w:color="auto" w:fill="auto"/>
            <w:noWrap/>
            <w:vAlign w:val="center"/>
            <w:hideMark/>
          </w:tcPr>
          <w:p w14:paraId="57A2CC5C" w14:textId="77777777" w:rsidR="00713B8F" w:rsidRPr="00713B8F" w:rsidRDefault="00713B8F" w:rsidP="00713B8F">
            <w:pPr>
              <w:spacing w:after="0" w:line="240" w:lineRule="auto"/>
              <w:jc w:val="right"/>
              <w:rPr>
                <w:rFonts w:cs="Arial"/>
                <w:sz w:val="16"/>
                <w:szCs w:val="16"/>
              </w:rPr>
            </w:pPr>
            <w:r w:rsidRPr="00713B8F">
              <w:rPr>
                <w:rFonts w:cs="Arial"/>
                <w:sz w:val="16"/>
                <w:szCs w:val="16"/>
              </w:rPr>
              <w:t>41,46</w:t>
            </w:r>
          </w:p>
        </w:tc>
        <w:tc>
          <w:tcPr>
            <w:tcW w:w="697" w:type="dxa"/>
            <w:tcBorders>
              <w:top w:val="nil"/>
              <w:left w:val="nil"/>
              <w:bottom w:val="nil"/>
              <w:right w:val="nil"/>
            </w:tcBorders>
            <w:shd w:val="clear" w:color="auto" w:fill="auto"/>
            <w:noWrap/>
            <w:vAlign w:val="center"/>
            <w:hideMark/>
          </w:tcPr>
          <w:p w14:paraId="1B86CDA6" w14:textId="77777777" w:rsidR="00713B8F" w:rsidRPr="00713B8F" w:rsidRDefault="00713B8F" w:rsidP="00713B8F">
            <w:pPr>
              <w:spacing w:after="0" w:line="240" w:lineRule="auto"/>
              <w:jc w:val="right"/>
              <w:rPr>
                <w:rFonts w:cs="Arial"/>
                <w:sz w:val="16"/>
                <w:szCs w:val="16"/>
              </w:rPr>
            </w:pPr>
            <w:r w:rsidRPr="00713B8F">
              <w:rPr>
                <w:rFonts w:cs="Arial"/>
                <w:sz w:val="16"/>
                <w:szCs w:val="16"/>
              </w:rPr>
              <w:t>43,48</w:t>
            </w:r>
          </w:p>
        </w:tc>
        <w:tc>
          <w:tcPr>
            <w:tcW w:w="697" w:type="dxa"/>
            <w:tcBorders>
              <w:top w:val="nil"/>
              <w:left w:val="nil"/>
              <w:bottom w:val="nil"/>
              <w:right w:val="nil"/>
            </w:tcBorders>
            <w:shd w:val="clear" w:color="auto" w:fill="auto"/>
            <w:noWrap/>
            <w:vAlign w:val="center"/>
            <w:hideMark/>
          </w:tcPr>
          <w:p w14:paraId="1D8C262F" w14:textId="77777777" w:rsidR="00713B8F" w:rsidRPr="00713B8F" w:rsidRDefault="00713B8F" w:rsidP="00713B8F">
            <w:pPr>
              <w:spacing w:after="0" w:line="240" w:lineRule="auto"/>
              <w:jc w:val="right"/>
              <w:rPr>
                <w:rFonts w:cs="Arial"/>
                <w:sz w:val="16"/>
                <w:szCs w:val="16"/>
              </w:rPr>
            </w:pPr>
            <w:r w:rsidRPr="00713B8F">
              <w:rPr>
                <w:rFonts w:cs="Arial"/>
                <w:sz w:val="16"/>
                <w:szCs w:val="16"/>
              </w:rPr>
              <w:t>41,27</w:t>
            </w:r>
          </w:p>
        </w:tc>
        <w:tc>
          <w:tcPr>
            <w:tcW w:w="697" w:type="dxa"/>
            <w:tcBorders>
              <w:top w:val="nil"/>
              <w:left w:val="nil"/>
              <w:bottom w:val="nil"/>
              <w:right w:val="nil"/>
            </w:tcBorders>
            <w:shd w:val="clear" w:color="auto" w:fill="auto"/>
            <w:noWrap/>
            <w:vAlign w:val="center"/>
            <w:hideMark/>
          </w:tcPr>
          <w:p w14:paraId="24A19A7D" w14:textId="77777777" w:rsidR="00713B8F" w:rsidRPr="00713B8F" w:rsidRDefault="00713B8F" w:rsidP="00713B8F">
            <w:pPr>
              <w:spacing w:after="0" w:line="240" w:lineRule="auto"/>
              <w:jc w:val="right"/>
              <w:rPr>
                <w:rFonts w:cs="Arial"/>
                <w:sz w:val="16"/>
                <w:szCs w:val="16"/>
              </w:rPr>
            </w:pPr>
            <w:r w:rsidRPr="00713B8F">
              <w:rPr>
                <w:rFonts w:cs="Arial"/>
                <w:sz w:val="16"/>
                <w:szCs w:val="16"/>
              </w:rPr>
              <w:t>46,51</w:t>
            </w:r>
          </w:p>
        </w:tc>
        <w:tc>
          <w:tcPr>
            <w:tcW w:w="697" w:type="dxa"/>
            <w:tcBorders>
              <w:top w:val="nil"/>
              <w:left w:val="nil"/>
              <w:bottom w:val="nil"/>
              <w:right w:val="nil"/>
            </w:tcBorders>
            <w:shd w:val="clear" w:color="auto" w:fill="auto"/>
            <w:noWrap/>
            <w:vAlign w:val="center"/>
            <w:hideMark/>
          </w:tcPr>
          <w:p w14:paraId="66B076D6" w14:textId="77777777" w:rsidR="00713B8F" w:rsidRPr="00713B8F" w:rsidRDefault="00713B8F" w:rsidP="00713B8F">
            <w:pPr>
              <w:spacing w:after="0" w:line="240" w:lineRule="auto"/>
              <w:jc w:val="right"/>
              <w:rPr>
                <w:rFonts w:cs="Arial"/>
                <w:sz w:val="16"/>
                <w:szCs w:val="16"/>
              </w:rPr>
            </w:pPr>
            <w:r w:rsidRPr="00713B8F">
              <w:rPr>
                <w:rFonts w:cs="Arial"/>
                <w:sz w:val="16"/>
                <w:szCs w:val="16"/>
              </w:rPr>
              <w:t>40,28</w:t>
            </w:r>
          </w:p>
        </w:tc>
        <w:tc>
          <w:tcPr>
            <w:tcW w:w="697" w:type="dxa"/>
            <w:tcBorders>
              <w:top w:val="nil"/>
              <w:left w:val="nil"/>
              <w:bottom w:val="nil"/>
              <w:right w:val="nil"/>
            </w:tcBorders>
            <w:shd w:val="clear" w:color="auto" w:fill="auto"/>
            <w:noWrap/>
            <w:vAlign w:val="center"/>
            <w:hideMark/>
          </w:tcPr>
          <w:p w14:paraId="1ACBF03F" w14:textId="77777777" w:rsidR="00713B8F" w:rsidRPr="00713B8F" w:rsidRDefault="00713B8F" w:rsidP="00713B8F">
            <w:pPr>
              <w:spacing w:after="0" w:line="240" w:lineRule="auto"/>
              <w:jc w:val="right"/>
              <w:rPr>
                <w:rFonts w:cs="Arial"/>
                <w:sz w:val="16"/>
                <w:szCs w:val="16"/>
              </w:rPr>
            </w:pPr>
            <w:r w:rsidRPr="00713B8F">
              <w:rPr>
                <w:rFonts w:cs="Arial"/>
                <w:sz w:val="16"/>
                <w:szCs w:val="16"/>
              </w:rPr>
              <w:t>43,34</w:t>
            </w:r>
          </w:p>
        </w:tc>
        <w:tc>
          <w:tcPr>
            <w:tcW w:w="697" w:type="dxa"/>
            <w:tcBorders>
              <w:top w:val="nil"/>
              <w:left w:val="nil"/>
              <w:bottom w:val="nil"/>
              <w:right w:val="nil"/>
            </w:tcBorders>
            <w:shd w:val="clear" w:color="auto" w:fill="auto"/>
            <w:noWrap/>
            <w:vAlign w:val="center"/>
            <w:hideMark/>
          </w:tcPr>
          <w:p w14:paraId="1CCC6812" w14:textId="77777777" w:rsidR="00713B8F" w:rsidRPr="00713B8F" w:rsidRDefault="00713B8F" w:rsidP="00713B8F">
            <w:pPr>
              <w:spacing w:after="0" w:line="240" w:lineRule="auto"/>
              <w:jc w:val="right"/>
              <w:rPr>
                <w:rFonts w:cs="Arial"/>
                <w:sz w:val="16"/>
                <w:szCs w:val="16"/>
              </w:rPr>
            </w:pPr>
            <w:r w:rsidRPr="00713B8F">
              <w:rPr>
                <w:rFonts w:cs="Arial"/>
                <w:sz w:val="16"/>
                <w:szCs w:val="16"/>
              </w:rPr>
              <w:t>38,29</w:t>
            </w:r>
          </w:p>
        </w:tc>
        <w:tc>
          <w:tcPr>
            <w:tcW w:w="697" w:type="dxa"/>
            <w:tcBorders>
              <w:top w:val="nil"/>
              <w:left w:val="nil"/>
              <w:bottom w:val="nil"/>
              <w:right w:val="nil"/>
            </w:tcBorders>
            <w:shd w:val="clear" w:color="auto" w:fill="auto"/>
            <w:noWrap/>
            <w:vAlign w:val="center"/>
            <w:hideMark/>
          </w:tcPr>
          <w:p w14:paraId="68C14371" w14:textId="77777777" w:rsidR="00713B8F" w:rsidRPr="00713B8F" w:rsidRDefault="00713B8F" w:rsidP="00713B8F">
            <w:pPr>
              <w:spacing w:after="0" w:line="240" w:lineRule="auto"/>
              <w:jc w:val="right"/>
              <w:rPr>
                <w:rFonts w:cs="Arial"/>
                <w:sz w:val="16"/>
                <w:szCs w:val="16"/>
              </w:rPr>
            </w:pPr>
            <w:r w:rsidRPr="00713B8F">
              <w:rPr>
                <w:rFonts w:cs="Arial"/>
                <w:sz w:val="16"/>
                <w:szCs w:val="16"/>
              </w:rPr>
              <w:t>39,29</w:t>
            </w:r>
          </w:p>
        </w:tc>
        <w:tc>
          <w:tcPr>
            <w:tcW w:w="697" w:type="dxa"/>
            <w:tcBorders>
              <w:top w:val="nil"/>
              <w:left w:val="nil"/>
              <w:bottom w:val="nil"/>
              <w:right w:val="nil"/>
            </w:tcBorders>
            <w:shd w:val="clear" w:color="auto" w:fill="auto"/>
            <w:noWrap/>
            <w:vAlign w:val="center"/>
            <w:hideMark/>
          </w:tcPr>
          <w:p w14:paraId="59453C23" w14:textId="77777777" w:rsidR="00713B8F" w:rsidRPr="00713B8F" w:rsidRDefault="00713B8F" w:rsidP="00713B8F">
            <w:pPr>
              <w:spacing w:after="0" w:line="240" w:lineRule="auto"/>
              <w:jc w:val="right"/>
              <w:rPr>
                <w:rFonts w:cs="Arial"/>
                <w:sz w:val="16"/>
                <w:szCs w:val="16"/>
              </w:rPr>
            </w:pPr>
            <w:r w:rsidRPr="00713B8F">
              <w:rPr>
                <w:rFonts w:cs="Arial"/>
                <w:sz w:val="16"/>
                <w:szCs w:val="16"/>
              </w:rPr>
              <w:t>38,91</w:t>
            </w:r>
          </w:p>
        </w:tc>
        <w:tc>
          <w:tcPr>
            <w:tcW w:w="697" w:type="dxa"/>
            <w:tcBorders>
              <w:top w:val="nil"/>
              <w:left w:val="nil"/>
              <w:bottom w:val="nil"/>
              <w:right w:val="nil"/>
            </w:tcBorders>
            <w:shd w:val="clear" w:color="000000" w:fill="FFFFFF"/>
            <w:noWrap/>
            <w:vAlign w:val="center"/>
            <w:hideMark/>
          </w:tcPr>
          <w:p w14:paraId="5020EEBE" w14:textId="77777777" w:rsidR="00713B8F" w:rsidRPr="00713B8F" w:rsidRDefault="00713B8F" w:rsidP="00713B8F">
            <w:pPr>
              <w:spacing w:after="0" w:line="240" w:lineRule="auto"/>
              <w:jc w:val="right"/>
              <w:rPr>
                <w:rFonts w:cs="Arial"/>
                <w:color w:val="000000"/>
                <w:sz w:val="16"/>
                <w:szCs w:val="16"/>
              </w:rPr>
            </w:pPr>
            <w:r w:rsidRPr="00713B8F">
              <w:rPr>
                <w:rFonts w:cs="Arial"/>
                <w:color w:val="000000"/>
                <w:sz w:val="16"/>
                <w:szCs w:val="16"/>
              </w:rPr>
              <w:t>36,85</w:t>
            </w:r>
          </w:p>
        </w:tc>
        <w:tc>
          <w:tcPr>
            <w:tcW w:w="697" w:type="dxa"/>
            <w:gridSpan w:val="2"/>
            <w:tcBorders>
              <w:top w:val="nil"/>
              <w:left w:val="nil"/>
              <w:bottom w:val="nil"/>
              <w:right w:val="nil"/>
            </w:tcBorders>
            <w:shd w:val="clear" w:color="000000" w:fill="FFFFFF"/>
            <w:noWrap/>
            <w:vAlign w:val="center"/>
            <w:hideMark/>
          </w:tcPr>
          <w:p w14:paraId="1A73DBAC" w14:textId="77777777" w:rsidR="00713B8F" w:rsidRPr="00713B8F" w:rsidRDefault="00713B8F" w:rsidP="00713B8F">
            <w:pPr>
              <w:spacing w:after="0" w:line="240" w:lineRule="auto"/>
              <w:jc w:val="right"/>
              <w:rPr>
                <w:rFonts w:cs="Arial"/>
                <w:color w:val="000000"/>
                <w:sz w:val="16"/>
                <w:szCs w:val="16"/>
              </w:rPr>
            </w:pPr>
            <w:r w:rsidRPr="00713B8F">
              <w:rPr>
                <w:rFonts w:cs="Arial"/>
                <w:color w:val="000000"/>
                <w:sz w:val="16"/>
                <w:szCs w:val="16"/>
              </w:rPr>
              <w:t>40,63</w:t>
            </w:r>
          </w:p>
        </w:tc>
      </w:tr>
      <w:tr w:rsidR="00713B8F" w:rsidRPr="00713B8F" w14:paraId="4FD2E419" w14:textId="77777777" w:rsidTr="00713B8F">
        <w:trPr>
          <w:trHeight w:val="300"/>
        </w:trPr>
        <w:tc>
          <w:tcPr>
            <w:tcW w:w="1985" w:type="dxa"/>
            <w:tcBorders>
              <w:top w:val="nil"/>
              <w:left w:val="nil"/>
              <w:bottom w:val="nil"/>
              <w:right w:val="nil"/>
            </w:tcBorders>
            <w:shd w:val="clear" w:color="auto" w:fill="auto"/>
            <w:noWrap/>
            <w:vAlign w:val="center"/>
            <w:hideMark/>
          </w:tcPr>
          <w:p w14:paraId="62F53DF3" w14:textId="77777777" w:rsidR="00713B8F" w:rsidRPr="00713B8F" w:rsidRDefault="00713B8F" w:rsidP="00713B8F">
            <w:pPr>
              <w:spacing w:after="0" w:line="240" w:lineRule="auto"/>
              <w:ind w:firstLineChars="100" w:firstLine="160"/>
              <w:rPr>
                <w:rFonts w:cs="Arial"/>
                <w:sz w:val="16"/>
                <w:szCs w:val="16"/>
              </w:rPr>
            </w:pPr>
            <w:r w:rsidRPr="00713B8F">
              <w:rPr>
                <w:rFonts w:cs="Arial"/>
                <w:sz w:val="16"/>
                <w:szCs w:val="16"/>
              </w:rPr>
              <w:t>Jihočeský kraj</w:t>
            </w:r>
          </w:p>
        </w:tc>
        <w:tc>
          <w:tcPr>
            <w:tcW w:w="697" w:type="dxa"/>
            <w:tcBorders>
              <w:top w:val="nil"/>
              <w:left w:val="nil"/>
              <w:bottom w:val="nil"/>
              <w:right w:val="nil"/>
            </w:tcBorders>
            <w:shd w:val="clear" w:color="auto" w:fill="auto"/>
            <w:noWrap/>
            <w:vAlign w:val="center"/>
            <w:hideMark/>
          </w:tcPr>
          <w:p w14:paraId="107F5FBF" w14:textId="77777777" w:rsidR="00713B8F" w:rsidRPr="00713B8F" w:rsidRDefault="00713B8F" w:rsidP="00713B8F">
            <w:pPr>
              <w:spacing w:after="0" w:line="240" w:lineRule="auto"/>
              <w:jc w:val="right"/>
              <w:rPr>
                <w:rFonts w:cs="Arial"/>
                <w:sz w:val="16"/>
                <w:szCs w:val="16"/>
              </w:rPr>
            </w:pPr>
            <w:r w:rsidRPr="00713B8F">
              <w:rPr>
                <w:rFonts w:cs="Arial"/>
                <w:sz w:val="16"/>
                <w:szCs w:val="16"/>
              </w:rPr>
              <w:t>46,33</w:t>
            </w:r>
          </w:p>
        </w:tc>
        <w:tc>
          <w:tcPr>
            <w:tcW w:w="697" w:type="dxa"/>
            <w:tcBorders>
              <w:top w:val="nil"/>
              <w:left w:val="nil"/>
              <w:bottom w:val="nil"/>
              <w:right w:val="nil"/>
            </w:tcBorders>
            <w:shd w:val="clear" w:color="auto" w:fill="auto"/>
            <w:noWrap/>
            <w:vAlign w:val="center"/>
            <w:hideMark/>
          </w:tcPr>
          <w:p w14:paraId="0188CF46" w14:textId="77777777" w:rsidR="00713B8F" w:rsidRPr="00713B8F" w:rsidRDefault="00713B8F" w:rsidP="00713B8F">
            <w:pPr>
              <w:spacing w:after="0" w:line="240" w:lineRule="auto"/>
              <w:jc w:val="right"/>
              <w:rPr>
                <w:rFonts w:cs="Arial"/>
                <w:sz w:val="16"/>
                <w:szCs w:val="16"/>
              </w:rPr>
            </w:pPr>
            <w:r w:rsidRPr="00713B8F">
              <w:rPr>
                <w:rFonts w:cs="Arial"/>
                <w:sz w:val="16"/>
                <w:szCs w:val="16"/>
              </w:rPr>
              <w:t>47,30</w:t>
            </w:r>
          </w:p>
        </w:tc>
        <w:tc>
          <w:tcPr>
            <w:tcW w:w="697" w:type="dxa"/>
            <w:tcBorders>
              <w:top w:val="nil"/>
              <w:left w:val="nil"/>
              <w:bottom w:val="nil"/>
              <w:right w:val="nil"/>
            </w:tcBorders>
            <w:shd w:val="clear" w:color="auto" w:fill="auto"/>
            <w:noWrap/>
            <w:vAlign w:val="center"/>
            <w:hideMark/>
          </w:tcPr>
          <w:p w14:paraId="78845C56" w14:textId="77777777" w:rsidR="00713B8F" w:rsidRPr="00713B8F" w:rsidRDefault="00713B8F" w:rsidP="00713B8F">
            <w:pPr>
              <w:spacing w:after="0" w:line="240" w:lineRule="auto"/>
              <w:jc w:val="right"/>
              <w:rPr>
                <w:rFonts w:cs="Arial"/>
                <w:sz w:val="16"/>
                <w:szCs w:val="16"/>
              </w:rPr>
            </w:pPr>
            <w:r w:rsidRPr="00713B8F">
              <w:rPr>
                <w:rFonts w:cs="Arial"/>
                <w:sz w:val="16"/>
                <w:szCs w:val="16"/>
              </w:rPr>
              <w:t>47,62</w:t>
            </w:r>
          </w:p>
        </w:tc>
        <w:tc>
          <w:tcPr>
            <w:tcW w:w="697" w:type="dxa"/>
            <w:tcBorders>
              <w:top w:val="nil"/>
              <w:left w:val="nil"/>
              <w:bottom w:val="nil"/>
              <w:right w:val="nil"/>
            </w:tcBorders>
            <w:shd w:val="clear" w:color="auto" w:fill="auto"/>
            <w:noWrap/>
            <w:vAlign w:val="center"/>
            <w:hideMark/>
          </w:tcPr>
          <w:p w14:paraId="08D73A05" w14:textId="77777777" w:rsidR="00713B8F" w:rsidRPr="00713B8F" w:rsidRDefault="00713B8F" w:rsidP="00713B8F">
            <w:pPr>
              <w:spacing w:after="0" w:line="240" w:lineRule="auto"/>
              <w:jc w:val="right"/>
              <w:rPr>
                <w:rFonts w:cs="Arial"/>
                <w:sz w:val="16"/>
                <w:szCs w:val="16"/>
              </w:rPr>
            </w:pPr>
            <w:r w:rsidRPr="00713B8F">
              <w:rPr>
                <w:rFonts w:cs="Arial"/>
                <w:sz w:val="16"/>
                <w:szCs w:val="16"/>
              </w:rPr>
              <w:t>51,41</w:t>
            </w:r>
          </w:p>
        </w:tc>
        <w:tc>
          <w:tcPr>
            <w:tcW w:w="697" w:type="dxa"/>
            <w:tcBorders>
              <w:top w:val="nil"/>
              <w:left w:val="nil"/>
              <w:bottom w:val="nil"/>
              <w:right w:val="nil"/>
            </w:tcBorders>
            <w:shd w:val="clear" w:color="auto" w:fill="auto"/>
            <w:noWrap/>
            <w:vAlign w:val="center"/>
            <w:hideMark/>
          </w:tcPr>
          <w:p w14:paraId="43D98AB0" w14:textId="77777777" w:rsidR="00713B8F" w:rsidRPr="00713B8F" w:rsidRDefault="00713B8F" w:rsidP="00713B8F">
            <w:pPr>
              <w:spacing w:after="0" w:line="240" w:lineRule="auto"/>
              <w:jc w:val="right"/>
              <w:rPr>
                <w:rFonts w:cs="Arial"/>
                <w:sz w:val="16"/>
                <w:szCs w:val="16"/>
              </w:rPr>
            </w:pPr>
            <w:r w:rsidRPr="00713B8F">
              <w:rPr>
                <w:rFonts w:cs="Arial"/>
                <w:sz w:val="16"/>
                <w:szCs w:val="16"/>
              </w:rPr>
              <w:t>43,66</w:t>
            </w:r>
          </w:p>
        </w:tc>
        <w:tc>
          <w:tcPr>
            <w:tcW w:w="697" w:type="dxa"/>
            <w:tcBorders>
              <w:top w:val="nil"/>
              <w:left w:val="nil"/>
              <w:bottom w:val="nil"/>
              <w:right w:val="nil"/>
            </w:tcBorders>
            <w:shd w:val="clear" w:color="auto" w:fill="auto"/>
            <w:noWrap/>
            <w:vAlign w:val="center"/>
            <w:hideMark/>
          </w:tcPr>
          <w:p w14:paraId="0BAA569C" w14:textId="77777777" w:rsidR="00713B8F" w:rsidRPr="00713B8F" w:rsidRDefault="00713B8F" w:rsidP="00713B8F">
            <w:pPr>
              <w:spacing w:after="0" w:line="240" w:lineRule="auto"/>
              <w:jc w:val="right"/>
              <w:rPr>
                <w:rFonts w:cs="Arial"/>
                <w:sz w:val="16"/>
                <w:szCs w:val="16"/>
              </w:rPr>
            </w:pPr>
            <w:r w:rsidRPr="00713B8F">
              <w:rPr>
                <w:rFonts w:cs="Arial"/>
                <w:sz w:val="16"/>
                <w:szCs w:val="16"/>
              </w:rPr>
              <w:t>48,33</w:t>
            </w:r>
          </w:p>
        </w:tc>
        <w:tc>
          <w:tcPr>
            <w:tcW w:w="697" w:type="dxa"/>
            <w:tcBorders>
              <w:top w:val="nil"/>
              <w:left w:val="nil"/>
              <w:bottom w:val="nil"/>
              <w:right w:val="nil"/>
            </w:tcBorders>
            <w:shd w:val="clear" w:color="auto" w:fill="auto"/>
            <w:noWrap/>
            <w:vAlign w:val="center"/>
            <w:hideMark/>
          </w:tcPr>
          <w:p w14:paraId="20C95BE4" w14:textId="77777777" w:rsidR="00713B8F" w:rsidRPr="00713B8F" w:rsidRDefault="00713B8F" w:rsidP="00713B8F">
            <w:pPr>
              <w:spacing w:after="0" w:line="240" w:lineRule="auto"/>
              <w:jc w:val="right"/>
              <w:rPr>
                <w:rFonts w:cs="Arial"/>
                <w:sz w:val="16"/>
                <w:szCs w:val="16"/>
              </w:rPr>
            </w:pPr>
            <w:r w:rsidRPr="00713B8F">
              <w:rPr>
                <w:rFonts w:cs="Arial"/>
                <w:sz w:val="16"/>
                <w:szCs w:val="16"/>
              </w:rPr>
              <w:t>41,08</w:t>
            </w:r>
          </w:p>
        </w:tc>
        <w:tc>
          <w:tcPr>
            <w:tcW w:w="697" w:type="dxa"/>
            <w:tcBorders>
              <w:top w:val="nil"/>
              <w:left w:val="nil"/>
              <w:bottom w:val="nil"/>
              <w:right w:val="nil"/>
            </w:tcBorders>
            <w:shd w:val="clear" w:color="auto" w:fill="auto"/>
            <w:noWrap/>
            <w:vAlign w:val="center"/>
            <w:hideMark/>
          </w:tcPr>
          <w:p w14:paraId="67D6FCA9" w14:textId="77777777" w:rsidR="00713B8F" w:rsidRPr="00713B8F" w:rsidRDefault="00713B8F" w:rsidP="00713B8F">
            <w:pPr>
              <w:spacing w:after="0" w:line="240" w:lineRule="auto"/>
              <w:jc w:val="right"/>
              <w:rPr>
                <w:rFonts w:cs="Arial"/>
                <w:sz w:val="16"/>
                <w:szCs w:val="16"/>
              </w:rPr>
            </w:pPr>
            <w:r w:rsidRPr="00713B8F">
              <w:rPr>
                <w:rFonts w:cs="Arial"/>
                <w:sz w:val="16"/>
                <w:szCs w:val="16"/>
              </w:rPr>
              <w:t>44,08</w:t>
            </w:r>
          </w:p>
        </w:tc>
        <w:tc>
          <w:tcPr>
            <w:tcW w:w="697" w:type="dxa"/>
            <w:tcBorders>
              <w:top w:val="nil"/>
              <w:left w:val="nil"/>
              <w:bottom w:val="nil"/>
              <w:right w:val="nil"/>
            </w:tcBorders>
            <w:shd w:val="clear" w:color="auto" w:fill="auto"/>
            <w:noWrap/>
            <w:vAlign w:val="center"/>
            <w:hideMark/>
          </w:tcPr>
          <w:p w14:paraId="3DA7E07F" w14:textId="77777777" w:rsidR="00713B8F" w:rsidRPr="00713B8F" w:rsidRDefault="00713B8F" w:rsidP="00713B8F">
            <w:pPr>
              <w:spacing w:after="0" w:line="240" w:lineRule="auto"/>
              <w:jc w:val="right"/>
              <w:rPr>
                <w:rFonts w:cs="Arial"/>
                <w:sz w:val="16"/>
                <w:szCs w:val="16"/>
              </w:rPr>
            </w:pPr>
            <w:r w:rsidRPr="00713B8F">
              <w:rPr>
                <w:rFonts w:cs="Arial"/>
                <w:sz w:val="16"/>
                <w:szCs w:val="16"/>
              </w:rPr>
              <w:t>42,81</w:t>
            </w:r>
          </w:p>
        </w:tc>
        <w:tc>
          <w:tcPr>
            <w:tcW w:w="697" w:type="dxa"/>
            <w:tcBorders>
              <w:top w:val="nil"/>
              <w:left w:val="nil"/>
              <w:bottom w:val="nil"/>
              <w:right w:val="nil"/>
            </w:tcBorders>
            <w:shd w:val="clear" w:color="000000" w:fill="FFFFFF"/>
            <w:noWrap/>
            <w:vAlign w:val="center"/>
            <w:hideMark/>
          </w:tcPr>
          <w:p w14:paraId="6C5C40B3" w14:textId="77777777" w:rsidR="00713B8F" w:rsidRPr="00713B8F" w:rsidRDefault="00713B8F" w:rsidP="00713B8F">
            <w:pPr>
              <w:spacing w:after="0" w:line="240" w:lineRule="auto"/>
              <w:jc w:val="right"/>
              <w:rPr>
                <w:rFonts w:cs="Arial"/>
                <w:color w:val="000000"/>
                <w:sz w:val="16"/>
                <w:szCs w:val="16"/>
              </w:rPr>
            </w:pPr>
            <w:r w:rsidRPr="00713B8F">
              <w:rPr>
                <w:rFonts w:cs="Arial"/>
                <w:color w:val="000000"/>
                <w:sz w:val="16"/>
                <w:szCs w:val="16"/>
              </w:rPr>
              <w:t>40,51</w:t>
            </w:r>
          </w:p>
        </w:tc>
        <w:tc>
          <w:tcPr>
            <w:tcW w:w="697" w:type="dxa"/>
            <w:gridSpan w:val="2"/>
            <w:tcBorders>
              <w:top w:val="nil"/>
              <w:left w:val="nil"/>
              <w:bottom w:val="nil"/>
              <w:right w:val="nil"/>
            </w:tcBorders>
            <w:shd w:val="clear" w:color="000000" w:fill="FFFFFF"/>
            <w:noWrap/>
            <w:vAlign w:val="center"/>
            <w:hideMark/>
          </w:tcPr>
          <w:p w14:paraId="2A2B07B1" w14:textId="77777777" w:rsidR="00713B8F" w:rsidRPr="00713B8F" w:rsidRDefault="00713B8F" w:rsidP="00713B8F">
            <w:pPr>
              <w:spacing w:after="0" w:line="240" w:lineRule="auto"/>
              <w:jc w:val="right"/>
              <w:rPr>
                <w:rFonts w:cs="Arial"/>
                <w:color w:val="000000"/>
                <w:sz w:val="16"/>
                <w:szCs w:val="16"/>
              </w:rPr>
            </w:pPr>
            <w:r w:rsidRPr="00713B8F">
              <w:rPr>
                <w:rFonts w:cs="Arial"/>
                <w:color w:val="000000"/>
                <w:sz w:val="16"/>
                <w:szCs w:val="16"/>
              </w:rPr>
              <w:t>44,67</w:t>
            </w:r>
          </w:p>
        </w:tc>
      </w:tr>
      <w:tr w:rsidR="00713B8F" w:rsidRPr="00713B8F" w14:paraId="27D61F96" w14:textId="77777777" w:rsidTr="00713B8F">
        <w:trPr>
          <w:trHeight w:val="300"/>
        </w:trPr>
        <w:tc>
          <w:tcPr>
            <w:tcW w:w="1985" w:type="dxa"/>
            <w:tcBorders>
              <w:top w:val="nil"/>
              <w:left w:val="nil"/>
              <w:bottom w:val="nil"/>
              <w:right w:val="nil"/>
            </w:tcBorders>
            <w:shd w:val="clear" w:color="auto" w:fill="auto"/>
            <w:noWrap/>
            <w:vAlign w:val="center"/>
            <w:hideMark/>
          </w:tcPr>
          <w:p w14:paraId="688561E8" w14:textId="77777777" w:rsidR="00713B8F" w:rsidRPr="00713B8F" w:rsidRDefault="00713B8F" w:rsidP="00713B8F">
            <w:pPr>
              <w:spacing w:after="0" w:line="240" w:lineRule="auto"/>
              <w:ind w:firstLineChars="100" w:firstLine="160"/>
              <w:rPr>
                <w:rFonts w:cs="Arial"/>
                <w:sz w:val="16"/>
                <w:szCs w:val="16"/>
              </w:rPr>
            </w:pPr>
            <w:r w:rsidRPr="00713B8F">
              <w:rPr>
                <w:rFonts w:cs="Arial"/>
                <w:sz w:val="16"/>
                <w:szCs w:val="16"/>
              </w:rPr>
              <w:t>Plzeňský kraj</w:t>
            </w:r>
          </w:p>
        </w:tc>
        <w:tc>
          <w:tcPr>
            <w:tcW w:w="697" w:type="dxa"/>
            <w:tcBorders>
              <w:top w:val="nil"/>
              <w:left w:val="nil"/>
              <w:bottom w:val="nil"/>
              <w:right w:val="nil"/>
            </w:tcBorders>
            <w:shd w:val="clear" w:color="auto" w:fill="auto"/>
            <w:noWrap/>
            <w:vAlign w:val="center"/>
            <w:hideMark/>
          </w:tcPr>
          <w:p w14:paraId="75A6803E" w14:textId="77777777" w:rsidR="00713B8F" w:rsidRPr="00713B8F" w:rsidRDefault="00713B8F" w:rsidP="00713B8F">
            <w:pPr>
              <w:spacing w:after="0" w:line="240" w:lineRule="auto"/>
              <w:jc w:val="right"/>
              <w:rPr>
                <w:rFonts w:cs="Arial"/>
                <w:sz w:val="16"/>
                <w:szCs w:val="16"/>
              </w:rPr>
            </w:pPr>
            <w:r w:rsidRPr="00713B8F">
              <w:rPr>
                <w:rFonts w:cs="Arial"/>
                <w:sz w:val="16"/>
                <w:szCs w:val="16"/>
              </w:rPr>
              <w:t>41,92</w:t>
            </w:r>
          </w:p>
        </w:tc>
        <w:tc>
          <w:tcPr>
            <w:tcW w:w="697" w:type="dxa"/>
            <w:tcBorders>
              <w:top w:val="nil"/>
              <w:left w:val="nil"/>
              <w:bottom w:val="nil"/>
              <w:right w:val="nil"/>
            </w:tcBorders>
            <w:shd w:val="clear" w:color="auto" w:fill="auto"/>
            <w:noWrap/>
            <w:vAlign w:val="center"/>
            <w:hideMark/>
          </w:tcPr>
          <w:p w14:paraId="0F92AE68" w14:textId="77777777" w:rsidR="00713B8F" w:rsidRPr="00713B8F" w:rsidRDefault="00713B8F" w:rsidP="00713B8F">
            <w:pPr>
              <w:spacing w:after="0" w:line="240" w:lineRule="auto"/>
              <w:jc w:val="right"/>
              <w:rPr>
                <w:rFonts w:cs="Arial"/>
                <w:sz w:val="16"/>
                <w:szCs w:val="16"/>
              </w:rPr>
            </w:pPr>
            <w:r w:rsidRPr="00713B8F">
              <w:rPr>
                <w:rFonts w:cs="Arial"/>
                <w:sz w:val="16"/>
                <w:szCs w:val="16"/>
              </w:rPr>
              <w:t>42,66</w:t>
            </w:r>
          </w:p>
        </w:tc>
        <w:tc>
          <w:tcPr>
            <w:tcW w:w="697" w:type="dxa"/>
            <w:tcBorders>
              <w:top w:val="nil"/>
              <w:left w:val="nil"/>
              <w:bottom w:val="nil"/>
              <w:right w:val="nil"/>
            </w:tcBorders>
            <w:shd w:val="clear" w:color="auto" w:fill="auto"/>
            <w:noWrap/>
            <w:vAlign w:val="center"/>
            <w:hideMark/>
          </w:tcPr>
          <w:p w14:paraId="09398435" w14:textId="77777777" w:rsidR="00713B8F" w:rsidRPr="00713B8F" w:rsidRDefault="00713B8F" w:rsidP="00713B8F">
            <w:pPr>
              <w:spacing w:after="0" w:line="240" w:lineRule="auto"/>
              <w:jc w:val="right"/>
              <w:rPr>
                <w:rFonts w:cs="Arial"/>
                <w:sz w:val="16"/>
                <w:szCs w:val="16"/>
              </w:rPr>
            </w:pPr>
            <w:r w:rsidRPr="00713B8F">
              <w:rPr>
                <w:rFonts w:cs="Arial"/>
                <w:sz w:val="16"/>
                <w:szCs w:val="16"/>
              </w:rPr>
              <w:t>38,88</w:t>
            </w:r>
          </w:p>
        </w:tc>
        <w:tc>
          <w:tcPr>
            <w:tcW w:w="697" w:type="dxa"/>
            <w:tcBorders>
              <w:top w:val="nil"/>
              <w:left w:val="nil"/>
              <w:bottom w:val="nil"/>
              <w:right w:val="nil"/>
            </w:tcBorders>
            <w:shd w:val="clear" w:color="auto" w:fill="auto"/>
            <w:noWrap/>
            <w:vAlign w:val="center"/>
            <w:hideMark/>
          </w:tcPr>
          <w:p w14:paraId="7E91901C" w14:textId="77777777" w:rsidR="00713B8F" w:rsidRPr="00713B8F" w:rsidRDefault="00713B8F" w:rsidP="00713B8F">
            <w:pPr>
              <w:spacing w:after="0" w:line="240" w:lineRule="auto"/>
              <w:jc w:val="right"/>
              <w:rPr>
                <w:rFonts w:cs="Arial"/>
                <w:sz w:val="16"/>
                <w:szCs w:val="16"/>
              </w:rPr>
            </w:pPr>
            <w:r w:rsidRPr="00713B8F">
              <w:rPr>
                <w:rFonts w:cs="Arial"/>
                <w:sz w:val="16"/>
                <w:szCs w:val="16"/>
              </w:rPr>
              <w:t>44,04</w:t>
            </w:r>
          </w:p>
        </w:tc>
        <w:tc>
          <w:tcPr>
            <w:tcW w:w="697" w:type="dxa"/>
            <w:tcBorders>
              <w:top w:val="nil"/>
              <w:left w:val="nil"/>
              <w:bottom w:val="nil"/>
              <w:right w:val="nil"/>
            </w:tcBorders>
            <w:shd w:val="clear" w:color="auto" w:fill="auto"/>
            <w:noWrap/>
            <w:vAlign w:val="center"/>
            <w:hideMark/>
          </w:tcPr>
          <w:p w14:paraId="31527E7B" w14:textId="77777777" w:rsidR="00713B8F" w:rsidRPr="00713B8F" w:rsidRDefault="00713B8F" w:rsidP="00713B8F">
            <w:pPr>
              <w:spacing w:after="0" w:line="240" w:lineRule="auto"/>
              <w:jc w:val="right"/>
              <w:rPr>
                <w:rFonts w:cs="Arial"/>
                <w:sz w:val="16"/>
                <w:szCs w:val="16"/>
              </w:rPr>
            </w:pPr>
            <w:r w:rsidRPr="00713B8F">
              <w:rPr>
                <w:rFonts w:cs="Arial"/>
                <w:sz w:val="16"/>
                <w:szCs w:val="16"/>
              </w:rPr>
              <w:t>40,04</w:t>
            </w:r>
          </w:p>
        </w:tc>
        <w:tc>
          <w:tcPr>
            <w:tcW w:w="697" w:type="dxa"/>
            <w:tcBorders>
              <w:top w:val="nil"/>
              <w:left w:val="nil"/>
              <w:bottom w:val="nil"/>
              <w:right w:val="nil"/>
            </w:tcBorders>
            <w:shd w:val="clear" w:color="auto" w:fill="auto"/>
            <w:noWrap/>
            <w:vAlign w:val="center"/>
            <w:hideMark/>
          </w:tcPr>
          <w:p w14:paraId="44CAF559" w14:textId="77777777" w:rsidR="00713B8F" w:rsidRPr="00713B8F" w:rsidRDefault="00713B8F" w:rsidP="00713B8F">
            <w:pPr>
              <w:spacing w:after="0" w:line="240" w:lineRule="auto"/>
              <w:jc w:val="right"/>
              <w:rPr>
                <w:rFonts w:cs="Arial"/>
                <w:sz w:val="16"/>
                <w:szCs w:val="16"/>
              </w:rPr>
            </w:pPr>
            <w:r w:rsidRPr="00713B8F">
              <w:rPr>
                <w:rFonts w:cs="Arial"/>
                <w:sz w:val="16"/>
                <w:szCs w:val="16"/>
              </w:rPr>
              <w:t>41,90</w:t>
            </w:r>
          </w:p>
        </w:tc>
        <w:tc>
          <w:tcPr>
            <w:tcW w:w="697" w:type="dxa"/>
            <w:tcBorders>
              <w:top w:val="nil"/>
              <w:left w:val="nil"/>
              <w:bottom w:val="nil"/>
              <w:right w:val="nil"/>
            </w:tcBorders>
            <w:shd w:val="clear" w:color="auto" w:fill="auto"/>
            <w:noWrap/>
            <w:vAlign w:val="center"/>
            <w:hideMark/>
          </w:tcPr>
          <w:p w14:paraId="393327CE" w14:textId="77777777" w:rsidR="00713B8F" w:rsidRPr="00713B8F" w:rsidRDefault="00713B8F" w:rsidP="00713B8F">
            <w:pPr>
              <w:spacing w:after="0" w:line="240" w:lineRule="auto"/>
              <w:jc w:val="right"/>
              <w:rPr>
                <w:rFonts w:cs="Arial"/>
                <w:sz w:val="16"/>
                <w:szCs w:val="16"/>
              </w:rPr>
            </w:pPr>
            <w:r w:rsidRPr="00713B8F">
              <w:rPr>
                <w:rFonts w:cs="Arial"/>
                <w:sz w:val="16"/>
                <w:szCs w:val="16"/>
              </w:rPr>
              <w:t>36,60</w:t>
            </w:r>
          </w:p>
        </w:tc>
        <w:tc>
          <w:tcPr>
            <w:tcW w:w="697" w:type="dxa"/>
            <w:tcBorders>
              <w:top w:val="nil"/>
              <w:left w:val="nil"/>
              <w:bottom w:val="nil"/>
              <w:right w:val="nil"/>
            </w:tcBorders>
            <w:shd w:val="clear" w:color="auto" w:fill="auto"/>
            <w:noWrap/>
            <w:vAlign w:val="center"/>
            <w:hideMark/>
          </w:tcPr>
          <w:p w14:paraId="7A8AE6D2" w14:textId="77777777" w:rsidR="00713B8F" w:rsidRPr="00713B8F" w:rsidRDefault="00713B8F" w:rsidP="00713B8F">
            <w:pPr>
              <w:spacing w:after="0" w:line="240" w:lineRule="auto"/>
              <w:jc w:val="right"/>
              <w:rPr>
                <w:rFonts w:cs="Arial"/>
                <w:sz w:val="16"/>
                <w:szCs w:val="16"/>
              </w:rPr>
            </w:pPr>
            <w:r w:rsidRPr="00713B8F">
              <w:rPr>
                <w:rFonts w:cs="Arial"/>
                <w:sz w:val="16"/>
                <w:szCs w:val="16"/>
              </w:rPr>
              <w:t>39,14</w:t>
            </w:r>
          </w:p>
        </w:tc>
        <w:tc>
          <w:tcPr>
            <w:tcW w:w="697" w:type="dxa"/>
            <w:tcBorders>
              <w:top w:val="nil"/>
              <w:left w:val="nil"/>
              <w:bottom w:val="nil"/>
              <w:right w:val="nil"/>
            </w:tcBorders>
            <w:shd w:val="clear" w:color="auto" w:fill="auto"/>
            <w:noWrap/>
            <w:vAlign w:val="center"/>
            <w:hideMark/>
          </w:tcPr>
          <w:p w14:paraId="3DC5F017" w14:textId="77777777" w:rsidR="00713B8F" w:rsidRPr="00713B8F" w:rsidRDefault="00713B8F" w:rsidP="00713B8F">
            <w:pPr>
              <w:spacing w:after="0" w:line="240" w:lineRule="auto"/>
              <w:jc w:val="right"/>
              <w:rPr>
                <w:rFonts w:cs="Arial"/>
                <w:sz w:val="16"/>
                <w:szCs w:val="16"/>
              </w:rPr>
            </w:pPr>
            <w:r w:rsidRPr="00713B8F">
              <w:rPr>
                <w:rFonts w:cs="Arial"/>
                <w:sz w:val="16"/>
                <w:szCs w:val="16"/>
              </w:rPr>
              <w:t>37,55</w:t>
            </w:r>
          </w:p>
        </w:tc>
        <w:tc>
          <w:tcPr>
            <w:tcW w:w="697" w:type="dxa"/>
            <w:tcBorders>
              <w:top w:val="nil"/>
              <w:left w:val="nil"/>
              <w:bottom w:val="nil"/>
              <w:right w:val="nil"/>
            </w:tcBorders>
            <w:shd w:val="clear" w:color="000000" w:fill="FFFFFF"/>
            <w:noWrap/>
            <w:vAlign w:val="center"/>
            <w:hideMark/>
          </w:tcPr>
          <w:p w14:paraId="6D98681C" w14:textId="77777777" w:rsidR="00713B8F" w:rsidRPr="00713B8F" w:rsidRDefault="00713B8F" w:rsidP="00713B8F">
            <w:pPr>
              <w:spacing w:after="0" w:line="240" w:lineRule="auto"/>
              <w:jc w:val="right"/>
              <w:rPr>
                <w:rFonts w:cs="Arial"/>
                <w:color w:val="000000"/>
                <w:sz w:val="16"/>
                <w:szCs w:val="16"/>
              </w:rPr>
            </w:pPr>
            <w:r w:rsidRPr="00713B8F">
              <w:rPr>
                <w:rFonts w:cs="Arial"/>
                <w:color w:val="000000"/>
                <w:sz w:val="16"/>
                <w:szCs w:val="16"/>
              </w:rPr>
              <w:t>35,71</w:t>
            </w:r>
          </w:p>
        </w:tc>
        <w:tc>
          <w:tcPr>
            <w:tcW w:w="697" w:type="dxa"/>
            <w:gridSpan w:val="2"/>
            <w:tcBorders>
              <w:top w:val="nil"/>
              <w:left w:val="nil"/>
              <w:bottom w:val="nil"/>
              <w:right w:val="nil"/>
            </w:tcBorders>
            <w:shd w:val="clear" w:color="000000" w:fill="FFFFFF"/>
            <w:noWrap/>
            <w:vAlign w:val="center"/>
            <w:hideMark/>
          </w:tcPr>
          <w:p w14:paraId="0ADEFE80" w14:textId="77777777" w:rsidR="00713B8F" w:rsidRPr="00713B8F" w:rsidRDefault="00713B8F" w:rsidP="00713B8F">
            <w:pPr>
              <w:spacing w:after="0" w:line="240" w:lineRule="auto"/>
              <w:jc w:val="right"/>
              <w:rPr>
                <w:rFonts w:cs="Arial"/>
                <w:color w:val="000000"/>
                <w:sz w:val="16"/>
                <w:szCs w:val="16"/>
              </w:rPr>
            </w:pPr>
            <w:r w:rsidRPr="00713B8F">
              <w:rPr>
                <w:rFonts w:cs="Arial"/>
                <w:color w:val="000000"/>
                <w:sz w:val="16"/>
                <w:szCs w:val="16"/>
              </w:rPr>
              <w:t>39,25</w:t>
            </w:r>
          </w:p>
        </w:tc>
      </w:tr>
      <w:tr w:rsidR="00713B8F" w:rsidRPr="00713B8F" w14:paraId="3289345E" w14:textId="77777777" w:rsidTr="00713B8F">
        <w:trPr>
          <w:trHeight w:val="300"/>
        </w:trPr>
        <w:tc>
          <w:tcPr>
            <w:tcW w:w="1985" w:type="dxa"/>
            <w:tcBorders>
              <w:top w:val="nil"/>
              <w:left w:val="nil"/>
              <w:bottom w:val="nil"/>
              <w:right w:val="nil"/>
            </w:tcBorders>
            <w:shd w:val="clear" w:color="auto" w:fill="auto"/>
            <w:noWrap/>
            <w:vAlign w:val="center"/>
            <w:hideMark/>
          </w:tcPr>
          <w:p w14:paraId="5C8681FA" w14:textId="77777777" w:rsidR="00713B8F" w:rsidRPr="00713B8F" w:rsidRDefault="00713B8F" w:rsidP="00713B8F">
            <w:pPr>
              <w:spacing w:after="0" w:line="240" w:lineRule="auto"/>
              <w:ind w:firstLineChars="100" w:firstLine="160"/>
              <w:rPr>
                <w:rFonts w:cs="Arial"/>
                <w:sz w:val="16"/>
                <w:szCs w:val="16"/>
              </w:rPr>
            </w:pPr>
            <w:r w:rsidRPr="00713B8F">
              <w:rPr>
                <w:rFonts w:cs="Arial"/>
                <w:sz w:val="16"/>
                <w:szCs w:val="16"/>
              </w:rPr>
              <w:t>Karlovarský kraj</w:t>
            </w:r>
          </w:p>
        </w:tc>
        <w:tc>
          <w:tcPr>
            <w:tcW w:w="697" w:type="dxa"/>
            <w:tcBorders>
              <w:top w:val="nil"/>
              <w:left w:val="nil"/>
              <w:bottom w:val="nil"/>
              <w:right w:val="nil"/>
            </w:tcBorders>
            <w:shd w:val="clear" w:color="auto" w:fill="auto"/>
            <w:noWrap/>
            <w:vAlign w:val="center"/>
            <w:hideMark/>
          </w:tcPr>
          <w:p w14:paraId="26423CC6" w14:textId="77777777" w:rsidR="00713B8F" w:rsidRPr="00713B8F" w:rsidRDefault="00713B8F" w:rsidP="00713B8F">
            <w:pPr>
              <w:spacing w:after="0" w:line="240" w:lineRule="auto"/>
              <w:jc w:val="right"/>
              <w:rPr>
                <w:rFonts w:cs="Arial"/>
                <w:sz w:val="16"/>
                <w:szCs w:val="16"/>
              </w:rPr>
            </w:pPr>
            <w:r w:rsidRPr="00713B8F">
              <w:rPr>
                <w:rFonts w:cs="Arial"/>
                <w:sz w:val="16"/>
                <w:szCs w:val="16"/>
              </w:rPr>
              <w:t>42,92</w:t>
            </w:r>
          </w:p>
        </w:tc>
        <w:tc>
          <w:tcPr>
            <w:tcW w:w="697" w:type="dxa"/>
            <w:tcBorders>
              <w:top w:val="nil"/>
              <w:left w:val="nil"/>
              <w:bottom w:val="nil"/>
              <w:right w:val="nil"/>
            </w:tcBorders>
            <w:shd w:val="clear" w:color="auto" w:fill="auto"/>
            <w:noWrap/>
            <w:vAlign w:val="center"/>
            <w:hideMark/>
          </w:tcPr>
          <w:p w14:paraId="56224E79" w14:textId="77777777" w:rsidR="00713B8F" w:rsidRPr="00713B8F" w:rsidRDefault="00713B8F" w:rsidP="00713B8F">
            <w:pPr>
              <w:spacing w:after="0" w:line="240" w:lineRule="auto"/>
              <w:jc w:val="right"/>
              <w:rPr>
                <w:rFonts w:cs="Arial"/>
                <w:sz w:val="16"/>
                <w:szCs w:val="16"/>
              </w:rPr>
            </w:pPr>
            <w:r w:rsidRPr="00713B8F">
              <w:rPr>
                <w:rFonts w:cs="Arial"/>
                <w:sz w:val="16"/>
                <w:szCs w:val="16"/>
              </w:rPr>
              <w:t>41,00</w:t>
            </w:r>
          </w:p>
        </w:tc>
        <w:tc>
          <w:tcPr>
            <w:tcW w:w="697" w:type="dxa"/>
            <w:tcBorders>
              <w:top w:val="nil"/>
              <w:left w:val="nil"/>
              <w:bottom w:val="nil"/>
              <w:right w:val="nil"/>
            </w:tcBorders>
            <w:shd w:val="clear" w:color="auto" w:fill="auto"/>
            <w:noWrap/>
            <w:vAlign w:val="center"/>
            <w:hideMark/>
          </w:tcPr>
          <w:p w14:paraId="7D2949ED" w14:textId="77777777" w:rsidR="00713B8F" w:rsidRPr="00713B8F" w:rsidRDefault="00713B8F" w:rsidP="00713B8F">
            <w:pPr>
              <w:spacing w:after="0" w:line="240" w:lineRule="auto"/>
              <w:jc w:val="right"/>
              <w:rPr>
                <w:rFonts w:cs="Arial"/>
                <w:sz w:val="16"/>
                <w:szCs w:val="16"/>
              </w:rPr>
            </w:pPr>
            <w:r w:rsidRPr="00713B8F">
              <w:rPr>
                <w:rFonts w:cs="Arial"/>
                <w:sz w:val="16"/>
                <w:szCs w:val="16"/>
              </w:rPr>
              <w:t>37,18</w:t>
            </w:r>
          </w:p>
        </w:tc>
        <w:tc>
          <w:tcPr>
            <w:tcW w:w="697" w:type="dxa"/>
            <w:tcBorders>
              <w:top w:val="nil"/>
              <w:left w:val="nil"/>
              <w:bottom w:val="nil"/>
              <w:right w:val="nil"/>
            </w:tcBorders>
            <w:shd w:val="clear" w:color="auto" w:fill="auto"/>
            <w:noWrap/>
            <w:vAlign w:val="center"/>
            <w:hideMark/>
          </w:tcPr>
          <w:p w14:paraId="3405FE5D" w14:textId="77777777" w:rsidR="00713B8F" w:rsidRPr="00713B8F" w:rsidRDefault="00713B8F" w:rsidP="00713B8F">
            <w:pPr>
              <w:spacing w:after="0" w:line="240" w:lineRule="auto"/>
              <w:jc w:val="right"/>
              <w:rPr>
                <w:rFonts w:cs="Arial"/>
                <w:sz w:val="16"/>
                <w:szCs w:val="16"/>
              </w:rPr>
            </w:pPr>
            <w:r w:rsidRPr="00713B8F">
              <w:rPr>
                <w:rFonts w:cs="Arial"/>
                <w:sz w:val="16"/>
                <w:szCs w:val="16"/>
              </w:rPr>
              <w:t>41,89</w:t>
            </w:r>
          </w:p>
        </w:tc>
        <w:tc>
          <w:tcPr>
            <w:tcW w:w="697" w:type="dxa"/>
            <w:tcBorders>
              <w:top w:val="nil"/>
              <w:left w:val="nil"/>
              <w:bottom w:val="nil"/>
              <w:right w:val="nil"/>
            </w:tcBorders>
            <w:shd w:val="clear" w:color="auto" w:fill="auto"/>
            <w:noWrap/>
            <w:vAlign w:val="center"/>
            <w:hideMark/>
          </w:tcPr>
          <w:p w14:paraId="64FBF399" w14:textId="77777777" w:rsidR="00713B8F" w:rsidRPr="00713B8F" w:rsidRDefault="00713B8F" w:rsidP="00713B8F">
            <w:pPr>
              <w:spacing w:after="0" w:line="240" w:lineRule="auto"/>
              <w:jc w:val="right"/>
              <w:rPr>
                <w:rFonts w:cs="Arial"/>
                <w:sz w:val="16"/>
                <w:szCs w:val="16"/>
              </w:rPr>
            </w:pPr>
            <w:r w:rsidRPr="00713B8F">
              <w:rPr>
                <w:rFonts w:cs="Arial"/>
                <w:sz w:val="16"/>
                <w:szCs w:val="16"/>
              </w:rPr>
              <w:t>40,19</w:t>
            </w:r>
          </w:p>
        </w:tc>
        <w:tc>
          <w:tcPr>
            <w:tcW w:w="697" w:type="dxa"/>
            <w:tcBorders>
              <w:top w:val="nil"/>
              <w:left w:val="nil"/>
              <w:bottom w:val="nil"/>
              <w:right w:val="nil"/>
            </w:tcBorders>
            <w:shd w:val="clear" w:color="auto" w:fill="auto"/>
            <w:noWrap/>
            <w:vAlign w:val="center"/>
            <w:hideMark/>
          </w:tcPr>
          <w:p w14:paraId="30BD2F2A" w14:textId="77777777" w:rsidR="00713B8F" w:rsidRPr="00713B8F" w:rsidRDefault="00713B8F" w:rsidP="00713B8F">
            <w:pPr>
              <w:spacing w:after="0" w:line="240" w:lineRule="auto"/>
              <w:jc w:val="right"/>
              <w:rPr>
                <w:rFonts w:cs="Arial"/>
                <w:sz w:val="16"/>
                <w:szCs w:val="16"/>
              </w:rPr>
            </w:pPr>
            <w:r w:rsidRPr="00713B8F">
              <w:rPr>
                <w:rFonts w:cs="Arial"/>
                <w:sz w:val="16"/>
                <w:szCs w:val="16"/>
              </w:rPr>
              <w:t>41,15</w:t>
            </w:r>
          </w:p>
        </w:tc>
        <w:tc>
          <w:tcPr>
            <w:tcW w:w="697" w:type="dxa"/>
            <w:tcBorders>
              <w:top w:val="nil"/>
              <w:left w:val="nil"/>
              <w:bottom w:val="nil"/>
              <w:right w:val="nil"/>
            </w:tcBorders>
            <w:shd w:val="clear" w:color="auto" w:fill="auto"/>
            <w:noWrap/>
            <w:vAlign w:val="center"/>
            <w:hideMark/>
          </w:tcPr>
          <w:p w14:paraId="64C73E64" w14:textId="77777777" w:rsidR="00713B8F" w:rsidRPr="00713B8F" w:rsidRDefault="00713B8F" w:rsidP="00713B8F">
            <w:pPr>
              <w:spacing w:after="0" w:line="240" w:lineRule="auto"/>
              <w:jc w:val="right"/>
              <w:rPr>
                <w:rFonts w:cs="Arial"/>
                <w:sz w:val="16"/>
                <w:szCs w:val="16"/>
              </w:rPr>
            </w:pPr>
            <w:r w:rsidRPr="00713B8F">
              <w:rPr>
                <w:rFonts w:cs="Arial"/>
                <w:sz w:val="16"/>
                <w:szCs w:val="16"/>
              </w:rPr>
              <w:t>36,77</w:t>
            </w:r>
          </w:p>
        </w:tc>
        <w:tc>
          <w:tcPr>
            <w:tcW w:w="697" w:type="dxa"/>
            <w:tcBorders>
              <w:top w:val="nil"/>
              <w:left w:val="nil"/>
              <w:bottom w:val="nil"/>
              <w:right w:val="nil"/>
            </w:tcBorders>
            <w:shd w:val="clear" w:color="auto" w:fill="auto"/>
            <w:noWrap/>
            <w:vAlign w:val="center"/>
            <w:hideMark/>
          </w:tcPr>
          <w:p w14:paraId="4AB15DE4" w14:textId="77777777" w:rsidR="00713B8F" w:rsidRPr="00713B8F" w:rsidRDefault="00713B8F" w:rsidP="00713B8F">
            <w:pPr>
              <w:spacing w:after="0" w:line="240" w:lineRule="auto"/>
              <w:jc w:val="right"/>
              <w:rPr>
                <w:rFonts w:cs="Arial"/>
                <w:sz w:val="16"/>
                <w:szCs w:val="16"/>
              </w:rPr>
            </w:pPr>
            <w:r w:rsidRPr="00713B8F">
              <w:rPr>
                <w:rFonts w:cs="Arial"/>
                <w:sz w:val="16"/>
                <w:szCs w:val="16"/>
              </w:rPr>
              <w:t>38,73</w:t>
            </w:r>
          </w:p>
        </w:tc>
        <w:tc>
          <w:tcPr>
            <w:tcW w:w="697" w:type="dxa"/>
            <w:tcBorders>
              <w:top w:val="nil"/>
              <w:left w:val="nil"/>
              <w:bottom w:val="nil"/>
              <w:right w:val="nil"/>
            </w:tcBorders>
            <w:shd w:val="clear" w:color="auto" w:fill="auto"/>
            <w:noWrap/>
            <w:vAlign w:val="center"/>
            <w:hideMark/>
          </w:tcPr>
          <w:p w14:paraId="116BCC52" w14:textId="77777777" w:rsidR="00713B8F" w:rsidRPr="00713B8F" w:rsidRDefault="00713B8F" w:rsidP="00713B8F">
            <w:pPr>
              <w:spacing w:after="0" w:line="240" w:lineRule="auto"/>
              <w:jc w:val="right"/>
              <w:rPr>
                <w:rFonts w:cs="Arial"/>
                <w:sz w:val="16"/>
                <w:szCs w:val="16"/>
              </w:rPr>
            </w:pPr>
            <w:r w:rsidRPr="00713B8F">
              <w:rPr>
                <w:rFonts w:cs="Arial"/>
                <w:sz w:val="16"/>
                <w:szCs w:val="16"/>
              </w:rPr>
              <w:t>37,49</w:t>
            </w:r>
          </w:p>
        </w:tc>
        <w:tc>
          <w:tcPr>
            <w:tcW w:w="697" w:type="dxa"/>
            <w:tcBorders>
              <w:top w:val="nil"/>
              <w:left w:val="nil"/>
              <w:bottom w:val="nil"/>
              <w:right w:val="nil"/>
            </w:tcBorders>
            <w:shd w:val="clear" w:color="000000" w:fill="FFFFFF"/>
            <w:noWrap/>
            <w:vAlign w:val="center"/>
            <w:hideMark/>
          </w:tcPr>
          <w:p w14:paraId="6F8A2D1E" w14:textId="77777777" w:rsidR="00713B8F" w:rsidRPr="00713B8F" w:rsidRDefault="00713B8F" w:rsidP="00713B8F">
            <w:pPr>
              <w:spacing w:after="0" w:line="240" w:lineRule="auto"/>
              <w:jc w:val="right"/>
              <w:rPr>
                <w:rFonts w:cs="Arial"/>
                <w:color w:val="000000"/>
                <w:sz w:val="16"/>
                <w:szCs w:val="16"/>
              </w:rPr>
            </w:pPr>
            <w:r w:rsidRPr="00713B8F">
              <w:rPr>
                <w:rFonts w:cs="Arial"/>
                <w:color w:val="000000"/>
                <w:sz w:val="16"/>
                <w:szCs w:val="16"/>
              </w:rPr>
              <w:t>36,11</w:t>
            </w:r>
          </w:p>
        </w:tc>
        <w:tc>
          <w:tcPr>
            <w:tcW w:w="697" w:type="dxa"/>
            <w:gridSpan w:val="2"/>
            <w:tcBorders>
              <w:top w:val="nil"/>
              <w:left w:val="nil"/>
              <w:bottom w:val="nil"/>
              <w:right w:val="nil"/>
            </w:tcBorders>
            <w:shd w:val="clear" w:color="000000" w:fill="FFFFFF"/>
            <w:noWrap/>
            <w:vAlign w:val="center"/>
            <w:hideMark/>
          </w:tcPr>
          <w:p w14:paraId="22F1D51B" w14:textId="77777777" w:rsidR="00713B8F" w:rsidRPr="00713B8F" w:rsidRDefault="00713B8F" w:rsidP="00713B8F">
            <w:pPr>
              <w:spacing w:after="0" w:line="240" w:lineRule="auto"/>
              <w:jc w:val="right"/>
              <w:rPr>
                <w:rFonts w:cs="Arial"/>
                <w:color w:val="000000"/>
                <w:sz w:val="16"/>
                <w:szCs w:val="16"/>
              </w:rPr>
            </w:pPr>
            <w:r w:rsidRPr="00713B8F">
              <w:rPr>
                <w:rFonts w:cs="Arial"/>
                <w:color w:val="000000"/>
                <w:sz w:val="16"/>
                <w:szCs w:val="16"/>
              </w:rPr>
              <w:t>40,35</w:t>
            </w:r>
          </w:p>
        </w:tc>
      </w:tr>
      <w:tr w:rsidR="00713B8F" w:rsidRPr="00713B8F" w14:paraId="438E8F55" w14:textId="77777777" w:rsidTr="00713B8F">
        <w:trPr>
          <w:trHeight w:val="300"/>
        </w:trPr>
        <w:tc>
          <w:tcPr>
            <w:tcW w:w="1985" w:type="dxa"/>
            <w:tcBorders>
              <w:top w:val="nil"/>
              <w:left w:val="nil"/>
              <w:bottom w:val="nil"/>
              <w:right w:val="nil"/>
            </w:tcBorders>
            <w:shd w:val="clear" w:color="auto" w:fill="auto"/>
            <w:noWrap/>
            <w:vAlign w:val="center"/>
            <w:hideMark/>
          </w:tcPr>
          <w:p w14:paraId="54AABF88" w14:textId="77777777" w:rsidR="00713B8F" w:rsidRPr="00713B8F" w:rsidRDefault="00713B8F" w:rsidP="00713B8F">
            <w:pPr>
              <w:spacing w:after="0" w:line="240" w:lineRule="auto"/>
              <w:ind w:firstLineChars="100" w:firstLine="160"/>
              <w:rPr>
                <w:rFonts w:cs="Arial"/>
                <w:sz w:val="16"/>
                <w:szCs w:val="16"/>
              </w:rPr>
            </w:pPr>
            <w:r w:rsidRPr="00713B8F">
              <w:rPr>
                <w:rFonts w:cs="Arial"/>
                <w:sz w:val="16"/>
                <w:szCs w:val="16"/>
              </w:rPr>
              <w:t>Ústecký kraj</w:t>
            </w:r>
          </w:p>
        </w:tc>
        <w:tc>
          <w:tcPr>
            <w:tcW w:w="697" w:type="dxa"/>
            <w:tcBorders>
              <w:top w:val="nil"/>
              <w:left w:val="nil"/>
              <w:bottom w:val="nil"/>
              <w:right w:val="nil"/>
            </w:tcBorders>
            <w:shd w:val="clear" w:color="auto" w:fill="auto"/>
            <w:noWrap/>
            <w:vAlign w:val="center"/>
            <w:hideMark/>
          </w:tcPr>
          <w:p w14:paraId="7022DB5D" w14:textId="77777777" w:rsidR="00713B8F" w:rsidRPr="00713B8F" w:rsidRDefault="00713B8F" w:rsidP="00713B8F">
            <w:pPr>
              <w:spacing w:after="0" w:line="240" w:lineRule="auto"/>
              <w:jc w:val="right"/>
              <w:rPr>
                <w:rFonts w:cs="Arial"/>
                <w:sz w:val="16"/>
                <w:szCs w:val="16"/>
              </w:rPr>
            </w:pPr>
            <w:r w:rsidRPr="00713B8F">
              <w:rPr>
                <w:rFonts w:cs="Arial"/>
                <w:sz w:val="16"/>
                <w:szCs w:val="16"/>
              </w:rPr>
              <w:t>45,19</w:t>
            </w:r>
          </w:p>
        </w:tc>
        <w:tc>
          <w:tcPr>
            <w:tcW w:w="697" w:type="dxa"/>
            <w:tcBorders>
              <w:top w:val="nil"/>
              <w:left w:val="nil"/>
              <w:bottom w:val="nil"/>
              <w:right w:val="nil"/>
            </w:tcBorders>
            <w:shd w:val="clear" w:color="auto" w:fill="auto"/>
            <w:noWrap/>
            <w:vAlign w:val="center"/>
            <w:hideMark/>
          </w:tcPr>
          <w:p w14:paraId="04468031" w14:textId="77777777" w:rsidR="00713B8F" w:rsidRPr="00713B8F" w:rsidRDefault="00713B8F" w:rsidP="00713B8F">
            <w:pPr>
              <w:spacing w:after="0" w:line="240" w:lineRule="auto"/>
              <w:jc w:val="right"/>
              <w:rPr>
                <w:rFonts w:cs="Arial"/>
                <w:sz w:val="16"/>
                <w:szCs w:val="16"/>
              </w:rPr>
            </w:pPr>
            <w:r w:rsidRPr="00713B8F">
              <w:rPr>
                <w:rFonts w:cs="Arial"/>
                <w:sz w:val="16"/>
                <w:szCs w:val="16"/>
              </w:rPr>
              <w:t>44,14</w:t>
            </w:r>
          </w:p>
        </w:tc>
        <w:tc>
          <w:tcPr>
            <w:tcW w:w="697" w:type="dxa"/>
            <w:tcBorders>
              <w:top w:val="nil"/>
              <w:left w:val="nil"/>
              <w:bottom w:val="nil"/>
              <w:right w:val="nil"/>
            </w:tcBorders>
            <w:shd w:val="clear" w:color="auto" w:fill="auto"/>
            <w:noWrap/>
            <w:vAlign w:val="center"/>
            <w:hideMark/>
          </w:tcPr>
          <w:p w14:paraId="1FB07F97" w14:textId="77777777" w:rsidR="00713B8F" w:rsidRPr="00713B8F" w:rsidRDefault="00713B8F" w:rsidP="00713B8F">
            <w:pPr>
              <w:spacing w:after="0" w:line="240" w:lineRule="auto"/>
              <w:jc w:val="right"/>
              <w:rPr>
                <w:rFonts w:cs="Arial"/>
                <w:sz w:val="16"/>
                <w:szCs w:val="16"/>
              </w:rPr>
            </w:pPr>
            <w:r w:rsidRPr="00713B8F">
              <w:rPr>
                <w:rFonts w:cs="Arial"/>
                <w:sz w:val="16"/>
                <w:szCs w:val="16"/>
              </w:rPr>
              <w:t>42,07</w:t>
            </w:r>
          </w:p>
        </w:tc>
        <w:tc>
          <w:tcPr>
            <w:tcW w:w="697" w:type="dxa"/>
            <w:tcBorders>
              <w:top w:val="nil"/>
              <w:left w:val="nil"/>
              <w:bottom w:val="nil"/>
              <w:right w:val="nil"/>
            </w:tcBorders>
            <w:shd w:val="clear" w:color="auto" w:fill="auto"/>
            <w:noWrap/>
            <w:vAlign w:val="center"/>
            <w:hideMark/>
          </w:tcPr>
          <w:p w14:paraId="511B88A4" w14:textId="77777777" w:rsidR="00713B8F" w:rsidRPr="00713B8F" w:rsidRDefault="00713B8F" w:rsidP="00713B8F">
            <w:pPr>
              <w:spacing w:after="0" w:line="240" w:lineRule="auto"/>
              <w:jc w:val="right"/>
              <w:rPr>
                <w:rFonts w:cs="Arial"/>
                <w:sz w:val="16"/>
                <w:szCs w:val="16"/>
              </w:rPr>
            </w:pPr>
            <w:r w:rsidRPr="00713B8F">
              <w:rPr>
                <w:rFonts w:cs="Arial"/>
                <w:sz w:val="16"/>
                <w:szCs w:val="16"/>
              </w:rPr>
              <w:t>50,37</w:t>
            </w:r>
          </w:p>
        </w:tc>
        <w:tc>
          <w:tcPr>
            <w:tcW w:w="697" w:type="dxa"/>
            <w:tcBorders>
              <w:top w:val="nil"/>
              <w:left w:val="nil"/>
              <w:bottom w:val="nil"/>
              <w:right w:val="nil"/>
            </w:tcBorders>
            <w:shd w:val="clear" w:color="auto" w:fill="auto"/>
            <w:noWrap/>
            <w:vAlign w:val="center"/>
            <w:hideMark/>
          </w:tcPr>
          <w:p w14:paraId="2855CBAE" w14:textId="77777777" w:rsidR="00713B8F" w:rsidRPr="00713B8F" w:rsidRDefault="00713B8F" w:rsidP="00713B8F">
            <w:pPr>
              <w:spacing w:after="0" w:line="240" w:lineRule="auto"/>
              <w:jc w:val="right"/>
              <w:rPr>
                <w:rFonts w:cs="Arial"/>
                <w:sz w:val="16"/>
                <w:szCs w:val="16"/>
              </w:rPr>
            </w:pPr>
            <w:r w:rsidRPr="00713B8F">
              <w:rPr>
                <w:rFonts w:cs="Arial"/>
                <w:sz w:val="16"/>
                <w:szCs w:val="16"/>
              </w:rPr>
              <w:t>44,78</w:t>
            </w:r>
          </w:p>
        </w:tc>
        <w:tc>
          <w:tcPr>
            <w:tcW w:w="697" w:type="dxa"/>
            <w:tcBorders>
              <w:top w:val="nil"/>
              <w:left w:val="nil"/>
              <w:bottom w:val="nil"/>
              <w:right w:val="nil"/>
            </w:tcBorders>
            <w:shd w:val="clear" w:color="auto" w:fill="auto"/>
            <w:noWrap/>
            <w:vAlign w:val="center"/>
            <w:hideMark/>
          </w:tcPr>
          <w:p w14:paraId="7E738C5A" w14:textId="77777777" w:rsidR="00713B8F" w:rsidRPr="00713B8F" w:rsidRDefault="00713B8F" w:rsidP="00713B8F">
            <w:pPr>
              <w:spacing w:after="0" w:line="240" w:lineRule="auto"/>
              <w:jc w:val="right"/>
              <w:rPr>
                <w:rFonts w:cs="Arial"/>
                <w:sz w:val="16"/>
                <w:szCs w:val="16"/>
              </w:rPr>
            </w:pPr>
            <w:r w:rsidRPr="00713B8F">
              <w:rPr>
                <w:rFonts w:cs="Arial"/>
                <w:sz w:val="16"/>
                <w:szCs w:val="16"/>
              </w:rPr>
              <w:t>48,15</w:t>
            </w:r>
          </w:p>
        </w:tc>
        <w:tc>
          <w:tcPr>
            <w:tcW w:w="697" w:type="dxa"/>
            <w:tcBorders>
              <w:top w:val="nil"/>
              <w:left w:val="nil"/>
              <w:bottom w:val="nil"/>
              <w:right w:val="nil"/>
            </w:tcBorders>
            <w:shd w:val="clear" w:color="auto" w:fill="auto"/>
            <w:noWrap/>
            <w:vAlign w:val="center"/>
            <w:hideMark/>
          </w:tcPr>
          <w:p w14:paraId="31DC571A" w14:textId="77777777" w:rsidR="00713B8F" w:rsidRPr="00713B8F" w:rsidRDefault="00713B8F" w:rsidP="00713B8F">
            <w:pPr>
              <w:spacing w:after="0" w:line="240" w:lineRule="auto"/>
              <w:jc w:val="right"/>
              <w:rPr>
                <w:rFonts w:cs="Arial"/>
                <w:sz w:val="16"/>
                <w:szCs w:val="16"/>
              </w:rPr>
            </w:pPr>
            <w:r w:rsidRPr="00713B8F">
              <w:rPr>
                <w:rFonts w:cs="Arial"/>
                <w:sz w:val="16"/>
                <w:szCs w:val="16"/>
              </w:rPr>
              <w:t>41,58</w:t>
            </w:r>
          </w:p>
        </w:tc>
        <w:tc>
          <w:tcPr>
            <w:tcW w:w="697" w:type="dxa"/>
            <w:tcBorders>
              <w:top w:val="nil"/>
              <w:left w:val="nil"/>
              <w:bottom w:val="nil"/>
              <w:right w:val="nil"/>
            </w:tcBorders>
            <w:shd w:val="clear" w:color="auto" w:fill="auto"/>
            <w:noWrap/>
            <w:vAlign w:val="center"/>
            <w:hideMark/>
          </w:tcPr>
          <w:p w14:paraId="6D064467" w14:textId="77777777" w:rsidR="00713B8F" w:rsidRPr="00713B8F" w:rsidRDefault="00713B8F" w:rsidP="00713B8F">
            <w:pPr>
              <w:spacing w:after="0" w:line="240" w:lineRule="auto"/>
              <w:jc w:val="right"/>
              <w:rPr>
                <w:rFonts w:cs="Arial"/>
                <w:sz w:val="16"/>
                <w:szCs w:val="16"/>
              </w:rPr>
            </w:pPr>
            <w:r w:rsidRPr="00713B8F">
              <w:rPr>
                <w:rFonts w:cs="Arial"/>
                <w:sz w:val="16"/>
                <w:szCs w:val="16"/>
              </w:rPr>
              <w:t>42,04</w:t>
            </w:r>
          </w:p>
        </w:tc>
        <w:tc>
          <w:tcPr>
            <w:tcW w:w="697" w:type="dxa"/>
            <w:tcBorders>
              <w:top w:val="nil"/>
              <w:left w:val="nil"/>
              <w:bottom w:val="nil"/>
              <w:right w:val="nil"/>
            </w:tcBorders>
            <w:shd w:val="clear" w:color="auto" w:fill="auto"/>
            <w:noWrap/>
            <w:vAlign w:val="center"/>
            <w:hideMark/>
          </w:tcPr>
          <w:p w14:paraId="247B19F5" w14:textId="77777777" w:rsidR="00713B8F" w:rsidRPr="00713B8F" w:rsidRDefault="00713B8F" w:rsidP="00713B8F">
            <w:pPr>
              <w:spacing w:after="0" w:line="240" w:lineRule="auto"/>
              <w:jc w:val="right"/>
              <w:rPr>
                <w:rFonts w:cs="Arial"/>
                <w:sz w:val="16"/>
                <w:szCs w:val="16"/>
              </w:rPr>
            </w:pPr>
            <w:r w:rsidRPr="00713B8F">
              <w:rPr>
                <w:rFonts w:cs="Arial"/>
                <w:sz w:val="16"/>
                <w:szCs w:val="16"/>
              </w:rPr>
              <w:t>41,72</w:t>
            </w:r>
          </w:p>
        </w:tc>
        <w:tc>
          <w:tcPr>
            <w:tcW w:w="697" w:type="dxa"/>
            <w:tcBorders>
              <w:top w:val="nil"/>
              <w:left w:val="nil"/>
              <w:bottom w:val="nil"/>
              <w:right w:val="nil"/>
            </w:tcBorders>
            <w:shd w:val="clear" w:color="000000" w:fill="FFFFFF"/>
            <w:noWrap/>
            <w:vAlign w:val="center"/>
            <w:hideMark/>
          </w:tcPr>
          <w:p w14:paraId="219F8D45" w14:textId="77777777" w:rsidR="00713B8F" w:rsidRPr="00713B8F" w:rsidRDefault="00713B8F" w:rsidP="00713B8F">
            <w:pPr>
              <w:spacing w:after="0" w:line="240" w:lineRule="auto"/>
              <w:jc w:val="right"/>
              <w:rPr>
                <w:rFonts w:cs="Arial"/>
                <w:color w:val="000000"/>
                <w:sz w:val="16"/>
                <w:szCs w:val="16"/>
              </w:rPr>
            </w:pPr>
            <w:r w:rsidRPr="00713B8F">
              <w:rPr>
                <w:rFonts w:cs="Arial"/>
                <w:color w:val="000000"/>
                <w:sz w:val="16"/>
                <w:szCs w:val="16"/>
              </w:rPr>
              <w:t>39,07</w:t>
            </w:r>
          </w:p>
        </w:tc>
        <w:tc>
          <w:tcPr>
            <w:tcW w:w="697" w:type="dxa"/>
            <w:gridSpan w:val="2"/>
            <w:tcBorders>
              <w:top w:val="nil"/>
              <w:left w:val="nil"/>
              <w:bottom w:val="nil"/>
              <w:right w:val="nil"/>
            </w:tcBorders>
            <w:shd w:val="clear" w:color="000000" w:fill="FFFFFF"/>
            <w:noWrap/>
            <w:vAlign w:val="center"/>
            <w:hideMark/>
          </w:tcPr>
          <w:p w14:paraId="00FB4B90" w14:textId="77777777" w:rsidR="00713B8F" w:rsidRPr="00713B8F" w:rsidRDefault="00713B8F" w:rsidP="00713B8F">
            <w:pPr>
              <w:spacing w:after="0" w:line="240" w:lineRule="auto"/>
              <w:jc w:val="right"/>
              <w:rPr>
                <w:rFonts w:cs="Arial"/>
                <w:color w:val="000000"/>
                <w:sz w:val="16"/>
                <w:szCs w:val="16"/>
              </w:rPr>
            </w:pPr>
            <w:r w:rsidRPr="00713B8F">
              <w:rPr>
                <w:rFonts w:cs="Arial"/>
                <w:color w:val="000000"/>
                <w:sz w:val="16"/>
                <w:szCs w:val="16"/>
              </w:rPr>
              <w:t>42,22</w:t>
            </w:r>
          </w:p>
        </w:tc>
      </w:tr>
      <w:tr w:rsidR="00713B8F" w:rsidRPr="00713B8F" w14:paraId="7925874B" w14:textId="77777777" w:rsidTr="00713B8F">
        <w:trPr>
          <w:trHeight w:val="300"/>
        </w:trPr>
        <w:tc>
          <w:tcPr>
            <w:tcW w:w="1985" w:type="dxa"/>
            <w:tcBorders>
              <w:top w:val="nil"/>
              <w:left w:val="nil"/>
              <w:bottom w:val="nil"/>
              <w:right w:val="nil"/>
            </w:tcBorders>
            <w:shd w:val="clear" w:color="auto" w:fill="auto"/>
            <w:noWrap/>
            <w:vAlign w:val="center"/>
            <w:hideMark/>
          </w:tcPr>
          <w:p w14:paraId="4F1D7650" w14:textId="77777777" w:rsidR="00713B8F" w:rsidRPr="00713B8F" w:rsidRDefault="00713B8F" w:rsidP="00713B8F">
            <w:pPr>
              <w:spacing w:after="0" w:line="240" w:lineRule="auto"/>
              <w:ind w:firstLineChars="100" w:firstLine="160"/>
              <w:rPr>
                <w:rFonts w:cs="Arial"/>
                <w:sz w:val="16"/>
                <w:szCs w:val="16"/>
              </w:rPr>
            </w:pPr>
            <w:r w:rsidRPr="00713B8F">
              <w:rPr>
                <w:rFonts w:cs="Arial"/>
                <w:sz w:val="16"/>
                <w:szCs w:val="16"/>
              </w:rPr>
              <w:t>Liberecký kraj</w:t>
            </w:r>
          </w:p>
        </w:tc>
        <w:tc>
          <w:tcPr>
            <w:tcW w:w="697" w:type="dxa"/>
            <w:tcBorders>
              <w:top w:val="nil"/>
              <w:left w:val="nil"/>
              <w:bottom w:val="nil"/>
              <w:right w:val="nil"/>
            </w:tcBorders>
            <w:shd w:val="clear" w:color="auto" w:fill="auto"/>
            <w:noWrap/>
            <w:vAlign w:val="center"/>
            <w:hideMark/>
          </w:tcPr>
          <w:p w14:paraId="0B7530E1" w14:textId="77777777" w:rsidR="00713B8F" w:rsidRPr="00713B8F" w:rsidRDefault="00713B8F" w:rsidP="00713B8F">
            <w:pPr>
              <w:spacing w:after="0" w:line="240" w:lineRule="auto"/>
              <w:jc w:val="right"/>
              <w:rPr>
                <w:rFonts w:cs="Arial"/>
                <w:sz w:val="16"/>
                <w:szCs w:val="16"/>
              </w:rPr>
            </w:pPr>
            <w:r w:rsidRPr="00713B8F">
              <w:rPr>
                <w:rFonts w:cs="Arial"/>
                <w:sz w:val="16"/>
                <w:szCs w:val="16"/>
              </w:rPr>
              <w:t>46,75</w:t>
            </w:r>
          </w:p>
        </w:tc>
        <w:tc>
          <w:tcPr>
            <w:tcW w:w="697" w:type="dxa"/>
            <w:tcBorders>
              <w:top w:val="nil"/>
              <w:left w:val="nil"/>
              <w:bottom w:val="nil"/>
              <w:right w:val="nil"/>
            </w:tcBorders>
            <w:shd w:val="clear" w:color="auto" w:fill="auto"/>
            <w:noWrap/>
            <w:vAlign w:val="center"/>
            <w:hideMark/>
          </w:tcPr>
          <w:p w14:paraId="29E0D0F3" w14:textId="77777777" w:rsidR="00713B8F" w:rsidRPr="00713B8F" w:rsidRDefault="00713B8F" w:rsidP="00713B8F">
            <w:pPr>
              <w:spacing w:after="0" w:line="240" w:lineRule="auto"/>
              <w:jc w:val="right"/>
              <w:rPr>
                <w:rFonts w:cs="Arial"/>
                <w:sz w:val="16"/>
                <w:szCs w:val="16"/>
              </w:rPr>
            </w:pPr>
            <w:r w:rsidRPr="00713B8F">
              <w:rPr>
                <w:rFonts w:cs="Arial"/>
                <w:sz w:val="16"/>
                <w:szCs w:val="16"/>
              </w:rPr>
              <w:t>45,56</w:t>
            </w:r>
          </w:p>
        </w:tc>
        <w:tc>
          <w:tcPr>
            <w:tcW w:w="697" w:type="dxa"/>
            <w:tcBorders>
              <w:top w:val="nil"/>
              <w:left w:val="nil"/>
              <w:bottom w:val="nil"/>
              <w:right w:val="nil"/>
            </w:tcBorders>
            <w:shd w:val="clear" w:color="auto" w:fill="auto"/>
            <w:noWrap/>
            <w:vAlign w:val="center"/>
            <w:hideMark/>
          </w:tcPr>
          <w:p w14:paraId="30BCD05F" w14:textId="77777777" w:rsidR="00713B8F" w:rsidRPr="00713B8F" w:rsidRDefault="00713B8F" w:rsidP="00713B8F">
            <w:pPr>
              <w:spacing w:after="0" w:line="240" w:lineRule="auto"/>
              <w:jc w:val="right"/>
              <w:rPr>
                <w:rFonts w:cs="Arial"/>
                <w:sz w:val="16"/>
                <w:szCs w:val="16"/>
              </w:rPr>
            </w:pPr>
            <w:r w:rsidRPr="00713B8F">
              <w:rPr>
                <w:rFonts w:cs="Arial"/>
                <w:sz w:val="16"/>
                <w:szCs w:val="16"/>
              </w:rPr>
              <w:t>42,65</w:t>
            </w:r>
          </w:p>
        </w:tc>
        <w:tc>
          <w:tcPr>
            <w:tcW w:w="697" w:type="dxa"/>
            <w:tcBorders>
              <w:top w:val="nil"/>
              <w:left w:val="nil"/>
              <w:bottom w:val="nil"/>
              <w:right w:val="nil"/>
            </w:tcBorders>
            <w:shd w:val="clear" w:color="auto" w:fill="auto"/>
            <w:noWrap/>
            <w:vAlign w:val="center"/>
            <w:hideMark/>
          </w:tcPr>
          <w:p w14:paraId="56929B09" w14:textId="77777777" w:rsidR="00713B8F" w:rsidRPr="00713B8F" w:rsidRDefault="00713B8F" w:rsidP="00713B8F">
            <w:pPr>
              <w:spacing w:after="0" w:line="240" w:lineRule="auto"/>
              <w:jc w:val="right"/>
              <w:rPr>
                <w:rFonts w:cs="Arial"/>
                <w:sz w:val="16"/>
                <w:szCs w:val="16"/>
              </w:rPr>
            </w:pPr>
            <w:r w:rsidRPr="00713B8F">
              <w:rPr>
                <w:rFonts w:cs="Arial"/>
                <w:sz w:val="16"/>
                <w:szCs w:val="16"/>
              </w:rPr>
              <w:t>47,25</w:t>
            </w:r>
          </w:p>
        </w:tc>
        <w:tc>
          <w:tcPr>
            <w:tcW w:w="697" w:type="dxa"/>
            <w:tcBorders>
              <w:top w:val="nil"/>
              <w:left w:val="nil"/>
              <w:bottom w:val="nil"/>
              <w:right w:val="nil"/>
            </w:tcBorders>
            <w:shd w:val="clear" w:color="auto" w:fill="auto"/>
            <w:noWrap/>
            <w:vAlign w:val="center"/>
            <w:hideMark/>
          </w:tcPr>
          <w:p w14:paraId="51528FE5" w14:textId="77777777" w:rsidR="00713B8F" w:rsidRPr="00713B8F" w:rsidRDefault="00713B8F" w:rsidP="00713B8F">
            <w:pPr>
              <w:spacing w:after="0" w:line="240" w:lineRule="auto"/>
              <w:jc w:val="right"/>
              <w:rPr>
                <w:rFonts w:cs="Arial"/>
                <w:sz w:val="16"/>
                <w:szCs w:val="16"/>
              </w:rPr>
            </w:pPr>
            <w:r w:rsidRPr="00713B8F">
              <w:rPr>
                <w:rFonts w:cs="Arial"/>
                <w:sz w:val="16"/>
                <w:szCs w:val="16"/>
              </w:rPr>
              <w:t>40,17</w:t>
            </w:r>
          </w:p>
        </w:tc>
        <w:tc>
          <w:tcPr>
            <w:tcW w:w="697" w:type="dxa"/>
            <w:tcBorders>
              <w:top w:val="nil"/>
              <w:left w:val="nil"/>
              <w:bottom w:val="nil"/>
              <w:right w:val="nil"/>
            </w:tcBorders>
            <w:shd w:val="clear" w:color="auto" w:fill="auto"/>
            <w:noWrap/>
            <w:vAlign w:val="center"/>
            <w:hideMark/>
          </w:tcPr>
          <w:p w14:paraId="6767260C" w14:textId="77777777" w:rsidR="00713B8F" w:rsidRPr="00713B8F" w:rsidRDefault="00713B8F" w:rsidP="00713B8F">
            <w:pPr>
              <w:spacing w:after="0" w:line="240" w:lineRule="auto"/>
              <w:jc w:val="right"/>
              <w:rPr>
                <w:rFonts w:cs="Arial"/>
                <w:sz w:val="16"/>
                <w:szCs w:val="16"/>
              </w:rPr>
            </w:pPr>
            <w:r w:rsidRPr="00713B8F">
              <w:rPr>
                <w:rFonts w:cs="Arial"/>
                <w:sz w:val="16"/>
                <w:szCs w:val="16"/>
              </w:rPr>
              <w:t>43,16</w:t>
            </w:r>
          </w:p>
        </w:tc>
        <w:tc>
          <w:tcPr>
            <w:tcW w:w="697" w:type="dxa"/>
            <w:tcBorders>
              <w:top w:val="nil"/>
              <w:left w:val="nil"/>
              <w:bottom w:val="nil"/>
              <w:right w:val="nil"/>
            </w:tcBorders>
            <w:shd w:val="clear" w:color="auto" w:fill="auto"/>
            <w:noWrap/>
            <w:vAlign w:val="center"/>
            <w:hideMark/>
          </w:tcPr>
          <w:p w14:paraId="7B2B7CBD" w14:textId="77777777" w:rsidR="00713B8F" w:rsidRPr="00713B8F" w:rsidRDefault="00713B8F" w:rsidP="00713B8F">
            <w:pPr>
              <w:spacing w:after="0" w:line="240" w:lineRule="auto"/>
              <w:jc w:val="right"/>
              <w:rPr>
                <w:rFonts w:cs="Arial"/>
                <w:sz w:val="16"/>
                <w:szCs w:val="16"/>
              </w:rPr>
            </w:pPr>
            <w:r w:rsidRPr="00713B8F">
              <w:rPr>
                <w:rFonts w:cs="Arial"/>
                <w:sz w:val="16"/>
                <w:szCs w:val="16"/>
              </w:rPr>
              <w:t>37,80</w:t>
            </w:r>
          </w:p>
        </w:tc>
        <w:tc>
          <w:tcPr>
            <w:tcW w:w="697" w:type="dxa"/>
            <w:tcBorders>
              <w:top w:val="nil"/>
              <w:left w:val="nil"/>
              <w:bottom w:val="nil"/>
              <w:right w:val="nil"/>
            </w:tcBorders>
            <w:shd w:val="clear" w:color="auto" w:fill="auto"/>
            <w:noWrap/>
            <w:vAlign w:val="center"/>
            <w:hideMark/>
          </w:tcPr>
          <w:p w14:paraId="4E5D4B75" w14:textId="77777777" w:rsidR="00713B8F" w:rsidRPr="00713B8F" w:rsidRDefault="00713B8F" w:rsidP="00713B8F">
            <w:pPr>
              <w:spacing w:after="0" w:line="240" w:lineRule="auto"/>
              <w:jc w:val="right"/>
              <w:rPr>
                <w:rFonts w:cs="Arial"/>
                <w:sz w:val="16"/>
                <w:szCs w:val="16"/>
              </w:rPr>
            </w:pPr>
            <w:r w:rsidRPr="00713B8F">
              <w:rPr>
                <w:rFonts w:cs="Arial"/>
                <w:sz w:val="16"/>
                <w:szCs w:val="16"/>
              </w:rPr>
              <w:t>38,52</w:t>
            </w:r>
          </w:p>
        </w:tc>
        <w:tc>
          <w:tcPr>
            <w:tcW w:w="697" w:type="dxa"/>
            <w:tcBorders>
              <w:top w:val="nil"/>
              <w:left w:val="nil"/>
              <w:bottom w:val="nil"/>
              <w:right w:val="nil"/>
            </w:tcBorders>
            <w:shd w:val="clear" w:color="auto" w:fill="auto"/>
            <w:noWrap/>
            <w:vAlign w:val="center"/>
            <w:hideMark/>
          </w:tcPr>
          <w:p w14:paraId="6C249773" w14:textId="77777777" w:rsidR="00713B8F" w:rsidRPr="00713B8F" w:rsidRDefault="00713B8F" w:rsidP="00713B8F">
            <w:pPr>
              <w:spacing w:after="0" w:line="240" w:lineRule="auto"/>
              <w:jc w:val="right"/>
              <w:rPr>
                <w:rFonts w:cs="Arial"/>
                <w:sz w:val="16"/>
                <w:szCs w:val="16"/>
              </w:rPr>
            </w:pPr>
            <w:r w:rsidRPr="00713B8F">
              <w:rPr>
                <w:rFonts w:cs="Arial"/>
                <w:sz w:val="16"/>
                <w:szCs w:val="16"/>
              </w:rPr>
              <w:t>37,76</w:t>
            </w:r>
          </w:p>
        </w:tc>
        <w:tc>
          <w:tcPr>
            <w:tcW w:w="697" w:type="dxa"/>
            <w:tcBorders>
              <w:top w:val="nil"/>
              <w:left w:val="nil"/>
              <w:bottom w:val="nil"/>
              <w:right w:val="nil"/>
            </w:tcBorders>
            <w:shd w:val="clear" w:color="000000" w:fill="FFFFFF"/>
            <w:noWrap/>
            <w:vAlign w:val="center"/>
            <w:hideMark/>
          </w:tcPr>
          <w:p w14:paraId="52D30FB6" w14:textId="77777777" w:rsidR="00713B8F" w:rsidRPr="00713B8F" w:rsidRDefault="00713B8F" w:rsidP="00713B8F">
            <w:pPr>
              <w:spacing w:after="0" w:line="240" w:lineRule="auto"/>
              <w:jc w:val="right"/>
              <w:rPr>
                <w:rFonts w:cs="Arial"/>
                <w:color w:val="000000"/>
                <w:sz w:val="16"/>
                <w:szCs w:val="16"/>
              </w:rPr>
            </w:pPr>
            <w:r w:rsidRPr="00713B8F">
              <w:rPr>
                <w:rFonts w:cs="Arial"/>
                <w:color w:val="000000"/>
                <w:sz w:val="16"/>
                <w:szCs w:val="16"/>
              </w:rPr>
              <w:t>35,32</w:t>
            </w:r>
          </w:p>
        </w:tc>
        <w:tc>
          <w:tcPr>
            <w:tcW w:w="697" w:type="dxa"/>
            <w:gridSpan w:val="2"/>
            <w:tcBorders>
              <w:top w:val="nil"/>
              <w:left w:val="nil"/>
              <w:bottom w:val="nil"/>
              <w:right w:val="nil"/>
            </w:tcBorders>
            <w:shd w:val="clear" w:color="000000" w:fill="FFFFFF"/>
            <w:noWrap/>
            <w:vAlign w:val="center"/>
            <w:hideMark/>
          </w:tcPr>
          <w:p w14:paraId="060E998E" w14:textId="77777777" w:rsidR="00713B8F" w:rsidRPr="00713B8F" w:rsidRDefault="00713B8F" w:rsidP="00713B8F">
            <w:pPr>
              <w:spacing w:after="0" w:line="240" w:lineRule="auto"/>
              <w:jc w:val="right"/>
              <w:rPr>
                <w:rFonts w:cs="Arial"/>
                <w:color w:val="000000"/>
                <w:sz w:val="16"/>
                <w:szCs w:val="16"/>
              </w:rPr>
            </w:pPr>
            <w:r w:rsidRPr="00713B8F">
              <w:rPr>
                <w:rFonts w:cs="Arial"/>
                <w:color w:val="000000"/>
                <w:sz w:val="16"/>
                <w:szCs w:val="16"/>
              </w:rPr>
              <w:t>38,56</w:t>
            </w:r>
          </w:p>
        </w:tc>
      </w:tr>
      <w:tr w:rsidR="00713B8F" w:rsidRPr="00713B8F" w14:paraId="71E785C1" w14:textId="77777777" w:rsidTr="00713B8F">
        <w:trPr>
          <w:trHeight w:val="300"/>
        </w:trPr>
        <w:tc>
          <w:tcPr>
            <w:tcW w:w="1985" w:type="dxa"/>
            <w:tcBorders>
              <w:top w:val="nil"/>
              <w:left w:val="nil"/>
              <w:bottom w:val="nil"/>
              <w:right w:val="nil"/>
            </w:tcBorders>
            <w:shd w:val="clear" w:color="auto" w:fill="auto"/>
            <w:noWrap/>
            <w:vAlign w:val="center"/>
            <w:hideMark/>
          </w:tcPr>
          <w:p w14:paraId="2FC4369E" w14:textId="77777777" w:rsidR="00713B8F" w:rsidRPr="00713B8F" w:rsidRDefault="00713B8F" w:rsidP="00713B8F">
            <w:pPr>
              <w:spacing w:after="0" w:line="240" w:lineRule="auto"/>
              <w:ind w:firstLineChars="100" w:firstLine="160"/>
              <w:rPr>
                <w:rFonts w:cs="Arial"/>
                <w:sz w:val="16"/>
                <w:szCs w:val="16"/>
              </w:rPr>
            </w:pPr>
            <w:r w:rsidRPr="00713B8F">
              <w:rPr>
                <w:rFonts w:cs="Arial"/>
                <w:sz w:val="16"/>
                <w:szCs w:val="16"/>
              </w:rPr>
              <w:t>Královéhradecký kraj</w:t>
            </w:r>
          </w:p>
        </w:tc>
        <w:tc>
          <w:tcPr>
            <w:tcW w:w="697" w:type="dxa"/>
            <w:tcBorders>
              <w:top w:val="nil"/>
              <w:left w:val="nil"/>
              <w:bottom w:val="nil"/>
              <w:right w:val="nil"/>
            </w:tcBorders>
            <w:shd w:val="clear" w:color="auto" w:fill="auto"/>
            <w:noWrap/>
            <w:vAlign w:val="center"/>
            <w:hideMark/>
          </w:tcPr>
          <w:p w14:paraId="07C7C410" w14:textId="77777777" w:rsidR="00713B8F" w:rsidRPr="00713B8F" w:rsidRDefault="00713B8F" w:rsidP="00713B8F">
            <w:pPr>
              <w:spacing w:after="0" w:line="240" w:lineRule="auto"/>
              <w:jc w:val="right"/>
              <w:rPr>
                <w:rFonts w:cs="Arial"/>
                <w:sz w:val="16"/>
                <w:szCs w:val="16"/>
              </w:rPr>
            </w:pPr>
            <w:r w:rsidRPr="00713B8F">
              <w:rPr>
                <w:rFonts w:cs="Arial"/>
                <w:sz w:val="16"/>
                <w:szCs w:val="16"/>
              </w:rPr>
              <w:t>44,65</w:t>
            </w:r>
          </w:p>
        </w:tc>
        <w:tc>
          <w:tcPr>
            <w:tcW w:w="697" w:type="dxa"/>
            <w:tcBorders>
              <w:top w:val="nil"/>
              <w:left w:val="nil"/>
              <w:bottom w:val="nil"/>
              <w:right w:val="nil"/>
            </w:tcBorders>
            <w:shd w:val="clear" w:color="auto" w:fill="auto"/>
            <w:noWrap/>
            <w:vAlign w:val="center"/>
            <w:hideMark/>
          </w:tcPr>
          <w:p w14:paraId="15B9577B" w14:textId="77777777" w:rsidR="00713B8F" w:rsidRPr="00713B8F" w:rsidRDefault="00713B8F" w:rsidP="00713B8F">
            <w:pPr>
              <w:spacing w:after="0" w:line="240" w:lineRule="auto"/>
              <w:jc w:val="right"/>
              <w:rPr>
                <w:rFonts w:cs="Arial"/>
                <w:sz w:val="16"/>
                <w:szCs w:val="16"/>
              </w:rPr>
            </w:pPr>
            <w:r w:rsidRPr="00713B8F">
              <w:rPr>
                <w:rFonts w:cs="Arial"/>
                <w:sz w:val="16"/>
                <w:szCs w:val="16"/>
              </w:rPr>
              <w:t>43,43</w:t>
            </w:r>
          </w:p>
        </w:tc>
        <w:tc>
          <w:tcPr>
            <w:tcW w:w="697" w:type="dxa"/>
            <w:tcBorders>
              <w:top w:val="nil"/>
              <w:left w:val="nil"/>
              <w:bottom w:val="nil"/>
              <w:right w:val="nil"/>
            </w:tcBorders>
            <w:shd w:val="clear" w:color="auto" w:fill="auto"/>
            <w:noWrap/>
            <w:vAlign w:val="center"/>
            <w:hideMark/>
          </w:tcPr>
          <w:p w14:paraId="025DCFF8" w14:textId="77777777" w:rsidR="00713B8F" w:rsidRPr="00713B8F" w:rsidRDefault="00713B8F" w:rsidP="00713B8F">
            <w:pPr>
              <w:spacing w:after="0" w:line="240" w:lineRule="auto"/>
              <w:jc w:val="right"/>
              <w:rPr>
                <w:rFonts w:cs="Arial"/>
                <w:sz w:val="16"/>
                <w:szCs w:val="16"/>
              </w:rPr>
            </w:pPr>
            <w:r w:rsidRPr="00713B8F">
              <w:rPr>
                <w:rFonts w:cs="Arial"/>
                <w:sz w:val="16"/>
                <w:szCs w:val="16"/>
              </w:rPr>
              <w:t>41,42</w:t>
            </w:r>
          </w:p>
        </w:tc>
        <w:tc>
          <w:tcPr>
            <w:tcW w:w="697" w:type="dxa"/>
            <w:tcBorders>
              <w:top w:val="nil"/>
              <w:left w:val="nil"/>
              <w:bottom w:val="nil"/>
              <w:right w:val="nil"/>
            </w:tcBorders>
            <w:shd w:val="clear" w:color="auto" w:fill="auto"/>
            <w:noWrap/>
            <w:vAlign w:val="center"/>
            <w:hideMark/>
          </w:tcPr>
          <w:p w14:paraId="64001F1B" w14:textId="77777777" w:rsidR="00713B8F" w:rsidRPr="00713B8F" w:rsidRDefault="00713B8F" w:rsidP="00713B8F">
            <w:pPr>
              <w:spacing w:after="0" w:line="240" w:lineRule="auto"/>
              <w:jc w:val="right"/>
              <w:rPr>
                <w:rFonts w:cs="Arial"/>
                <w:sz w:val="16"/>
                <w:szCs w:val="16"/>
              </w:rPr>
            </w:pPr>
            <w:r w:rsidRPr="00713B8F">
              <w:rPr>
                <w:rFonts w:cs="Arial"/>
                <w:sz w:val="16"/>
                <w:szCs w:val="16"/>
              </w:rPr>
              <w:t>45,20</w:t>
            </w:r>
          </w:p>
        </w:tc>
        <w:tc>
          <w:tcPr>
            <w:tcW w:w="697" w:type="dxa"/>
            <w:tcBorders>
              <w:top w:val="nil"/>
              <w:left w:val="nil"/>
              <w:bottom w:val="nil"/>
              <w:right w:val="nil"/>
            </w:tcBorders>
            <w:shd w:val="clear" w:color="auto" w:fill="auto"/>
            <w:noWrap/>
            <w:vAlign w:val="center"/>
            <w:hideMark/>
          </w:tcPr>
          <w:p w14:paraId="73B6299F" w14:textId="77777777" w:rsidR="00713B8F" w:rsidRPr="00713B8F" w:rsidRDefault="00713B8F" w:rsidP="00713B8F">
            <w:pPr>
              <w:spacing w:after="0" w:line="240" w:lineRule="auto"/>
              <w:jc w:val="right"/>
              <w:rPr>
                <w:rFonts w:cs="Arial"/>
                <w:sz w:val="16"/>
                <w:szCs w:val="16"/>
              </w:rPr>
            </w:pPr>
            <w:r w:rsidRPr="00713B8F">
              <w:rPr>
                <w:rFonts w:cs="Arial"/>
                <w:sz w:val="16"/>
                <w:szCs w:val="16"/>
              </w:rPr>
              <w:t>39,51</w:t>
            </w:r>
          </w:p>
        </w:tc>
        <w:tc>
          <w:tcPr>
            <w:tcW w:w="697" w:type="dxa"/>
            <w:tcBorders>
              <w:top w:val="nil"/>
              <w:left w:val="nil"/>
              <w:bottom w:val="nil"/>
              <w:right w:val="nil"/>
            </w:tcBorders>
            <w:shd w:val="clear" w:color="auto" w:fill="auto"/>
            <w:noWrap/>
            <w:vAlign w:val="center"/>
            <w:hideMark/>
          </w:tcPr>
          <w:p w14:paraId="2E67AF4D" w14:textId="77777777" w:rsidR="00713B8F" w:rsidRPr="00713B8F" w:rsidRDefault="00713B8F" w:rsidP="00713B8F">
            <w:pPr>
              <w:spacing w:after="0" w:line="240" w:lineRule="auto"/>
              <w:jc w:val="right"/>
              <w:rPr>
                <w:rFonts w:cs="Arial"/>
                <w:sz w:val="16"/>
                <w:szCs w:val="16"/>
              </w:rPr>
            </w:pPr>
            <w:r w:rsidRPr="00713B8F">
              <w:rPr>
                <w:rFonts w:cs="Arial"/>
                <w:sz w:val="16"/>
                <w:szCs w:val="16"/>
              </w:rPr>
              <w:t>43,69</w:t>
            </w:r>
          </w:p>
        </w:tc>
        <w:tc>
          <w:tcPr>
            <w:tcW w:w="697" w:type="dxa"/>
            <w:tcBorders>
              <w:top w:val="nil"/>
              <w:left w:val="nil"/>
              <w:bottom w:val="nil"/>
              <w:right w:val="nil"/>
            </w:tcBorders>
            <w:shd w:val="clear" w:color="auto" w:fill="auto"/>
            <w:noWrap/>
            <w:vAlign w:val="center"/>
            <w:hideMark/>
          </w:tcPr>
          <w:p w14:paraId="5ABCDE3C" w14:textId="77777777" w:rsidR="00713B8F" w:rsidRPr="00713B8F" w:rsidRDefault="00713B8F" w:rsidP="00713B8F">
            <w:pPr>
              <w:spacing w:after="0" w:line="240" w:lineRule="auto"/>
              <w:jc w:val="right"/>
              <w:rPr>
                <w:rFonts w:cs="Arial"/>
                <w:sz w:val="16"/>
                <w:szCs w:val="16"/>
              </w:rPr>
            </w:pPr>
            <w:r w:rsidRPr="00713B8F">
              <w:rPr>
                <w:rFonts w:cs="Arial"/>
                <w:sz w:val="16"/>
                <w:szCs w:val="16"/>
              </w:rPr>
              <w:t>38,42</w:t>
            </w:r>
          </w:p>
        </w:tc>
        <w:tc>
          <w:tcPr>
            <w:tcW w:w="697" w:type="dxa"/>
            <w:tcBorders>
              <w:top w:val="nil"/>
              <w:left w:val="nil"/>
              <w:bottom w:val="nil"/>
              <w:right w:val="nil"/>
            </w:tcBorders>
            <w:shd w:val="clear" w:color="auto" w:fill="auto"/>
            <w:noWrap/>
            <w:vAlign w:val="center"/>
            <w:hideMark/>
          </w:tcPr>
          <w:p w14:paraId="1AA685A8" w14:textId="77777777" w:rsidR="00713B8F" w:rsidRPr="00713B8F" w:rsidRDefault="00713B8F" w:rsidP="00713B8F">
            <w:pPr>
              <w:spacing w:after="0" w:line="240" w:lineRule="auto"/>
              <w:jc w:val="right"/>
              <w:rPr>
                <w:rFonts w:cs="Arial"/>
                <w:sz w:val="16"/>
                <w:szCs w:val="16"/>
              </w:rPr>
            </w:pPr>
            <w:r w:rsidRPr="00713B8F">
              <w:rPr>
                <w:rFonts w:cs="Arial"/>
                <w:sz w:val="16"/>
                <w:szCs w:val="16"/>
              </w:rPr>
              <w:t>39,01</w:t>
            </w:r>
          </w:p>
        </w:tc>
        <w:tc>
          <w:tcPr>
            <w:tcW w:w="697" w:type="dxa"/>
            <w:tcBorders>
              <w:top w:val="nil"/>
              <w:left w:val="nil"/>
              <w:bottom w:val="nil"/>
              <w:right w:val="nil"/>
            </w:tcBorders>
            <w:shd w:val="clear" w:color="auto" w:fill="auto"/>
            <w:noWrap/>
            <w:vAlign w:val="center"/>
            <w:hideMark/>
          </w:tcPr>
          <w:p w14:paraId="01623A0E" w14:textId="77777777" w:rsidR="00713B8F" w:rsidRPr="00713B8F" w:rsidRDefault="00713B8F" w:rsidP="00713B8F">
            <w:pPr>
              <w:spacing w:after="0" w:line="240" w:lineRule="auto"/>
              <w:jc w:val="right"/>
              <w:rPr>
                <w:rFonts w:cs="Arial"/>
                <w:sz w:val="16"/>
                <w:szCs w:val="16"/>
              </w:rPr>
            </w:pPr>
            <w:r w:rsidRPr="00713B8F">
              <w:rPr>
                <w:rFonts w:cs="Arial"/>
                <w:sz w:val="16"/>
                <w:szCs w:val="16"/>
              </w:rPr>
              <w:t>38,20</w:t>
            </w:r>
          </w:p>
        </w:tc>
        <w:tc>
          <w:tcPr>
            <w:tcW w:w="697" w:type="dxa"/>
            <w:tcBorders>
              <w:top w:val="nil"/>
              <w:left w:val="nil"/>
              <w:bottom w:val="nil"/>
              <w:right w:val="nil"/>
            </w:tcBorders>
            <w:shd w:val="clear" w:color="000000" w:fill="FFFFFF"/>
            <w:noWrap/>
            <w:vAlign w:val="center"/>
            <w:hideMark/>
          </w:tcPr>
          <w:p w14:paraId="3059CB28" w14:textId="77777777" w:rsidR="00713B8F" w:rsidRPr="00713B8F" w:rsidRDefault="00713B8F" w:rsidP="00713B8F">
            <w:pPr>
              <w:spacing w:after="0" w:line="240" w:lineRule="auto"/>
              <w:jc w:val="right"/>
              <w:rPr>
                <w:rFonts w:cs="Arial"/>
                <w:color w:val="000000"/>
                <w:sz w:val="16"/>
                <w:szCs w:val="16"/>
              </w:rPr>
            </w:pPr>
            <w:r w:rsidRPr="00713B8F">
              <w:rPr>
                <w:rFonts w:cs="Arial"/>
                <w:color w:val="000000"/>
                <w:sz w:val="16"/>
                <w:szCs w:val="16"/>
              </w:rPr>
              <w:t>36,09</w:t>
            </w:r>
          </w:p>
        </w:tc>
        <w:tc>
          <w:tcPr>
            <w:tcW w:w="697" w:type="dxa"/>
            <w:gridSpan w:val="2"/>
            <w:tcBorders>
              <w:top w:val="nil"/>
              <w:left w:val="nil"/>
              <w:bottom w:val="nil"/>
              <w:right w:val="nil"/>
            </w:tcBorders>
            <w:shd w:val="clear" w:color="000000" w:fill="FFFFFF"/>
            <w:noWrap/>
            <w:vAlign w:val="center"/>
            <w:hideMark/>
          </w:tcPr>
          <w:p w14:paraId="7FD38D7A" w14:textId="77777777" w:rsidR="00713B8F" w:rsidRPr="00713B8F" w:rsidRDefault="00713B8F" w:rsidP="00713B8F">
            <w:pPr>
              <w:spacing w:after="0" w:line="240" w:lineRule="auto"/>
              <w:jc w:val="right"/>
              <w:rPr>
                <w:rFonts w:cs="Arial"/>
                <w:color w:val="000000"/>
                <w:sz w:val="16"/>
                <w:szCs w:val="16"/>
              </w:rPr>
            </w:pPr>
            <w:r w:rsidRPr="00713B8F">
              <w:rPr>
                <w:rFonts w:cs="Arial"/>
                <w:color w:val="000000"/>
                <w:sz w:val="16"/>
                <w:szCs w:val="16"/>
              </w:rPr>
              <w:t>38,72</w:t>
            </w:r>
          </w:p>
        </w:tc>
      </w:tr>
      <w:tr w:rsidR="00713B8F" w:rsidRPr="00713B8F" w14:paraId="3A82C5C4" w14:textId="77777777" w:rsidTr="00713B8F">
        <w:trPr>
          <w:trHeight w:val="300"/>
        </w:trPr>
        <w:tc>
          <w:tcPr>
            <w:tcW w:w="1985" w:type="dxa"/>
            <w:tcBorders>
              <w:top w:val="nil"/>
              <w:left w:val="nil"/>
              <w:bottom w:val="nil"/>
              <w:right w:val="nil"/>
            </w:tcBorders>
            <w:shd w:val="clear" w:color="auto" w:fill="auto"/>
            <w:noWrap/>
            <w:vAlign w:val="center"/>
            <w:hideMark/>
          </w:tcPr>
          <w:p w14:paraId="5A032C15" w14:textId="77777777" w:rsidR="00713B8F" w:rsidRPr="00713B8F" w:rsidRDefault="00713B8F" w:rsidP="00713B8F">
            <w:pPr>
              <w:spacing w:after="0" w:line="240" w:lineRule="auto"/>
              <w:ind w:firstLineChars="100" w:firstLine="160"/>
              <w:rPr>
                <w:rFonts w:cs="Arial"/>
                <w:sz w:val="16"/>
                <w:szCs w:val="16"/>
              </w:rPr>
            </w:pPr>
            <w:r w:rsidRPr="00713B8F">
              <w:rPr>
                <w:rFonts w:cs="Arial"/>
                <w:sz w:val="16"/>
                <w:szCs w:val="16"/>
              </w:rPr>
              <w:t>Pardubický kraj</w:t>
            </w:r>
          </w:p>
        </w:tc>
        <w:tc>
          <w:tcPr>
            <w:tcW w:w="697" w:type="dxa"/>
            <w:tcBorders>
              <w:top w:val="nil"/>
              <w:left w:val="nil"/>
              <w:bottom w:val="nil"/>
              <w:right w:val="nil"/>
            </w:tcBorders>
            <w:shd w:val="clear" w:color="auto" w:fill="auto"/>
            <w:noWrap/>
            <w:vAlign w:val="center"/>
            <w:hideMark/>
          </w:tcPr>
          <w:p w14:paraId="27D33B7E" w14:textId="77777777" w:rsidR="00713B8F" w:rsidRPr="00713B8F" w:rsidRDefault="00713B8F" w:rsidP="00713B8F">
            <w:pPr>
              <w:spacing w:after="0" w:line="240" w:lineRule="auto"/>
              <w:jc w:val="right"/>
              <w:rPr>
                <w:rFonts w:cs="Arial"/>
                <w:sz w:val="16"/>
                <w:szCs w:val="16"/>
              </w:rPr>
            </w:pPr>
            <w:r w:rsidRPr="00713B8F">
              <w:rPr>
                <w:rFonts w:cs="Arial"/>
                <w:sz w:val="16"/>
                <w:szCs w:val="16"/>
              </w:rPr>
              <w:t>46,75</w:t>
            </w:r>
          </w:p>
        </w:tc>
        <w:tc>
          <w:tcPr>
            <w:tcW w:w="697" w:type="dxa"/>
            <w:tcBorders>
              <w:top w:val="nil"/>
              <w:left w:val="nil"/>
              <w:bottom w:val="nil"/>
              <w:right w:val="nil"/>
            </w:tcBorders>
            <w:shd w:val="clear" w:color="auto" w:fill="auto"/>
            <w:noWrap/>
            <w:vAlign w:val="center"/>
            <w:hideMark/>
          </w:tcPr>
          <w:p w14:paraId="6D9E116F" w14:textId="77777777" w:rsidR="00713B8F" w:rsidRPr="00713B8F" w:rsidRDefault="00713B8F" w:rsidP="00713B8F">
            <w:pPr>
              <w:spacing w:after="0" w:line="240" w:lineRule="auto"/>
              <w:jc w:val="right"/>
              <w:rPr>
                <w:rFonts w:cs="Arial"/>
                <w:sz w:val="16"/>
                <w:szCs w:val="16"/>
              </w:rPr>
            </w:pPr>
            <w:r w:rsidRPr="00713B8F">
              <w:rPr>
                <w:rFonts w:cs="Arial"/>
                <w:sz w:val="16"/>
                <w:szCs w:val="16"/>
              </w:rPr>
              <w:t>44,55</w:t>
            </w:r>
          </w:p>
        </w:tc>
        <w:tc>
          <w:tcPr>
            <w:tcW w:w="697" w:type="dxa"/>
            <w:tcBorders>
              <w:top w:val="nil"/>
              <w:left w:val="nil"/>
              <w:bottom w:val="nil"/>
              <w:right w:val="nil"/>
            </w:tcBorders>
            <w:shd w:val="clear" w:color="auto" w:fill="auto"/>
            <w:noWrap/>
            <w:vAlign w:val="center"/>
            <w:hideMark/>
          </w:tcPr>
          <w:p w14:paraId="640FC629" w14:textId="77777777" w:rsidR="00713B8F" w:rsidRPr="00713B8F" w:rsidRDefault="00713B8F" w:rsidP="00713B8F">
            <w:pPr>
              <w:spacing w:after="0" w:line="240" w:lineRule="auto"/>
              <w:jc w:val="right"/>
              <w:rPr>
                <w:rFonts w:cs="Arial"/>
                <w:sz w:val="16"/>
                <w:szCs w:val="16"/>
              </w:rPr>
            </w:pPr>
            <w:r w:rsidRPr="00713B8F">
              <w:rPr>
                <w:rFonts w:cs="Arial"/>
                <w:sz w:val="16"/>
                <w:szCs w:val="16"/>
              </w:rPr>
              <w:t>41,27</w:t>
            </w:r>
          </w:p>
        </w:tc>
        <w:tc>
          <w:tcPr>
            <w:tcW w:w="697" w:type="dxa"/>
            <w:tcBorders>
              <w:top w:val="nil"/>
              <w:left w:val="nil"/>
              <w:bottom w:val="nil"/>
              <w:right w:val="nil"/>
            </w:tcBorders>
            <w:shd w:val="clear" w:color="auto" w:fill="auto"/>
            <w:noWrap/>
            <w:vAlign w:val="center"/>
            <w:hideMark/>
          </w:tcPr>
          <w:p w14:paraId="4C31F008" w14:textId="77777777" w:rsidR="00713B8F" w:rsidRPr="00713B8F" w:rsidRDefault="00713B8F" w:rsidP="00713B8F">
            <w:pPr>
              <w:spacing w:after="0" w:line="240" w:lineRule="auto"/>
              <w:jc w:val="right"/>
              <w:rPr>
                <w:rFonts w:cs="Arial"/>
                <w:sz w:val="16"/>
                <w:szCs w:val="16"/>
              </w:rPr>
            </w:pPr>
            <w:r w:rsidRPr="00713B8F">
              <w:rPr>
                <w:rFonts w:cs="Arial"/>
                <w:sz w:val="16"/>
                <w:szCs w:val="16"/>
              </w:rPr>
              <w:t>46,62</w:t>
            </w:r>
          </w:p>
        </w:tc>
        <w:tc>
          <w:tcPr>
            <w:tcW w:w="697" w:type="dxa"/>
            <w:tcBorders>
              <w:top w:val="nil"/>
              <w:left w:val="nil"/>
              <w:bottom w:val="nil"/>
              <w:right w:val="nil"/>
            </w:tcBorders>
            <w:shd w:val="clear" w:color="auto" w:fill="auto"/>
            <w:noWrap/>
            <w:vAlign w:val="center"/>
            <w:hideMark/>
          </w:tcPr>
          <w:p w14:paraId="32D23448" w14:textId="77777777" w:rsidR="00713B8F" w:rsidRPr="00713B8F" w:rsidRDefault="00713B8F" w:rsidP="00713B8F">
            <w:pPr>
              <w:spacing w:after="0" w:line="240" w:lineRule="auto"/>
              <w:jc w:val="right"/>
              <w:rPr>
                <w:rFonts w:cs="Arial"/>
                <w:sz w:val="16"/>
                <w:szCs w:val="16"/>
              </w:rPr>
            </w:pPr>
            <w:r w:rsidRPr="00713B8F">
              <w:rPr>
                <w:rFonts w:cs="Arial"/>
                <w:sz w:val="16"/>
                <w:szCs w:val="16"/>
              </w:rPr>
              <w:t>41,38</w:t>
            </w:r>
          </w:p>
        </w:tc>
        <w:tc>
          <w:tcPr>
            <w:tcW w:w="697" w:type="dxa"/>
            <w:tcBorders>
              <w:top w:val="nil"/>
              <w:left w:val="nil"/>
              <w:bottom w:val="nil"/>
              <w:right w:val="nil"/>
            </w:tcBorders>
            <w:shd w:val="clear" w:color="auto" w:fill="auto"/>
            <w:noWrap/>
            <w:vAlign w:val="center"/>
            <w:hideMark/>
          </w:tcPr>
          <w:p w14:paraId="452C6BAC" w14:textId="77777777" w:rsidR="00713B8F" w:rsidRPr="00713B8F" w:rsidRDefault="00713B8F" w:rsidP="00713B8F">
            <w:pPr>
              <w:spacing w:after="0" w:line="240" w:lineRule="auto"/>
              <w:jc w:val="right"/>
              <w:rPr>
                <w:rFonts w:cs="Arial"/>
                <w:sz w:val="16"/>
                <w:szCs w:val="16"/>
              </w:rPr>
            </w:pPr>
            <w:r w:rsidRPr="00713B8F">
              <w:rPr>
                <w:rFonts w:cs="Arial"/>
                <w:sz w:val="16"/>
                <w:szCs w:val="16"/>
              </w:rPr>
              <w:t>45,52</w:t>
            </w:r>
          </w:p>
        </w:tc>
        <w:tc>
          <w:tcPr>
            <w:tcW w:w="697" w:type="dxa"/>
            <w:tcBorders>
              <w:top w:val="nil"/>
              <w:left w:val="nil"/>
              <w:bottom w:val="nil"/>
              <w:right w:val="nil"/>
            </w:tcBorders>
            <w:shd w:val="clear" w:color="auto" w:fill="auto"/>
            <w:noWrap/>
            <w:vAlign w:val="center"/>
            <w:hideMark/>
          </w:tcPr>
          <w:p w14:paraId="542B8431" w14:textId="77777777" w:rsidR="00713B8F" w:rsidRPr="00713B8F" w:rsidRDefault="00713B8F" w:rsidP="00713B8F">
            <w:pPr>
              <w:spacing w:after="0" w:line="240" w:lineRule="auto"/>
              <w:jc w:val="right"/>
              <w:rPr>
                <w:rFonts w:cs="Arial"/>
                <w:sz w:val="16"/>
                <w:szCs w:val="16"/>
              </w:rPr>
            </w:pPr>
            <w:r w:rsidRPr="00713B8F">
              <w:rPr>
                <w:rFonts w:cs="Arial"/>
                <w:sz w:val="16"/>
                <w:szCs w:val="16"/>
              </w:rPr>
              <w:t>39,68</w:t>
            </w:r>
          </w:p>
        </w:tc>
        <w:tc>
          <w:tcPr>
            <w:tcW w:w="697" w:type="dxa"/>
            <w:tcBorders>
              <w:top w:val="nil"/>
              <w:left w:val="nil"/>
              <w:bottom w:val="nil"/>
              <w:right w:val="nil"/>
            </w:tcBorders>
            <w:shd w:val="clear" w:color="auto" w:fill="auto"/>
            <w:noWrap/>
            <w:vAlign w:val="center"/>
            <w:hideMark/>
          </w:tcPr>
          <w:p w14:paraId="247B3C6C" w14:textId="77777777" w:rsidR="00713B8F" w:rsidRPr="00713B8F" w:rsidRDefault="00713B8F" w:rsidP="00713B8F">
            <w:pPr>
              <w:spacing w:after="0" w:line="240" w:lineRule="auto"/>
              <w:jc w:val="right"/>
              <w:rPr>
                <w:rFonts w:cs="Arial"/>
                <w:sz w:val="16"/>
                <w:szCs w:val="16"/>
              </w:rPr>
            </w:pPr>
            <w:r w:rsidRPr="00713B8F">
              <w:rPr>
                <w:rFonts w:cs="Arial"/>
                <w:sz w:val="16"/>
                <w:szCs w:val="16"/>
              </w:rPr>
              <w:t>42,02</w:t>
            </w:r>
          </w:p>
        </w:tc>
        <w:tc>
          <w:tcPr>
            <w:tcW w:w="697" w:type="dxa"/>
            <w:tcBorders>
              <w:top w:val="nil"/>
              <w:left w:val="nil"/>
              <w:bottom w:val="nil"/>
              <w:right w:val="nil"/>
            </w:tcBorders>
            <w:shd w:val="clear" w:color="auto" w:fill="auto"/>
            <w:noWrap/>
            <w:vAlign w:val="center"/>
            <w:hideMark/>
          </w:tcPr>
          <w:p w14:paraId="26C9AEF0" w14:textId="77777777" w:rsidR="00713B8F" w:rsidRPr="00713B8F" w:rsidRDefault="00713B8F" w:rsidP="00713B8F">
            <w:pPr>
              <w:spacing w:after="0" w:line="240" w:lineRule="auto"/>
              <w:jc w:val="right"/>
              <w:rPr>
                <w:rFonts w:cs="Arial"/>
                <w:sz w:val="16"/>
                <w:szCs w:val="16"/>
              </w:rPr>
            </w:pPr>
            <w:r w:rsidRPr="00713B8F">
              <w:rPr>
                <w:rFonts w:cs="Arial"/>
                <w:sz w:val="16"/>
                <w:szCs w:val="16"/>
              </w:rPr>
              <w:t>40,95</w:t>
            </w:r>
          </w:p>
        </w:tc>
        <w:tc>
          <w:tcPr>
            <w:tcW w:w="697" w:type="dxa"/>
            <w:tcBorders>
              <w:top w:val="nil"/>
              <w:left w:val="nil"/>
              <w:bottom w:val="nil"/>
              <w:right w:val="nil"/>
            </w:tcBorders>
            <w:shd w:val="clear" w:color="000000" w:fill="FFFFFF"/>
            <w:noWrap/>
            <w:vAlign w:val="center"/>
            <w:hideMark/>
          </w:tcPr>
          <w:p w14:paraId="2248ED67" w14:textId="77777777" w:rsidR="00713B8F" w:rsidRPr="00713B8F" w:rsidRDefault="00713B8F" w:rsidP="00713B8F">
            <w:pPr>
              <w:spacing w:after="0" w:line="240" w:lineRule="auto"/>
              <w:jc w:val="right"/>
              <w:rPr>
                <w:rFonts w:cs="Arial"/>
                <w:color w:val="000000"/>
                <w:sz w:val="16"/>
                <w:szCs w:val="16"/>
              </w:rPr>
            </w:pPr>
            <w:r w:rsidRPr="00713B8F">
              <w:rPr>
                <w:rFonts w:cs="Arial"/>
                <w:color w:val="000000"/>
                <w:sz w:val="16"/>
                <w:szCs w:val="16"/>
              </w:rPr>
              <w:t>38,29</w:t>
            </w:r>
          </w:p>
        </w:tc>
        <w:tc>
          <w:tcPr>
            <w:tcW w:w="697" w:type="dxa"/>
            <w:gridSpan w:val="2"/>
            <w:tcBorders>
              <w:top w:val="nil"/>
              <w:left w:val="nil"/>
              <w:bottom w:val="nil"/>
              <w:right w:val="nil"/>
            </w:tcBorders>
            <w:shd w:val="clear" w:color="000000" w:fill="FFFFFF"/>
            <w:noWrap/>
            <w:vAlign w:val="center"/>
            <w:hideMark/>
          </w:tcPr>
          <w:p w14:paraId="62C85571" w14:textId="77777777" w:rsidR="00713B8F" w:rsidRPr="00713B8F" w:rsidRDefault="00713B8F" w:rsidP="00713B8F">
            <w:pPr>
              <w:spacing w:after="0" w:line="240" w:lineRule="auto"/>
              <w:jc w:val="right"/>
              <w:rPr>
                <w:rFonts w:cs="Arial"/>
                <w:color w:val="000000"/>
                <w:sz w:val="16"/>
                <w:szCs w:val="16"/>
              </w:rPr>
            </w:pPr>
            <w:r w:rsidRPr="00713B8F">
              <w:rPr>
                <w:rFonts w:cs="Arial"/>
                <w:color w:val="000000"/>
                <w:sz w:val="16"/>
                <w:szCs w:val="16"/>
              </w:rPr>
              <w:t>41,87</w:t>
            </w:r>
          </w:p>
        </w:tc>
      </w:tr>
      <w:tr w:rsidR="00713B8F" w:rsidRPr="00713B8F" w14:paraId="67B0BB02" w14:textId="77777777" w:rsidTr="00713B8F">
        <w:trPr>
          <w:trHeight w:val="300"/>
        </w:trPr>
        <w:tc>
          <w:tcPr>
            <w:tcW w:w="1985" w:type="dxa"/>
            <w:tcBorders>
              <w:top w:val="nil"/>
              <w:left w:val="nil"/>
              <w:bottom w:val="nil"/>
              <w:right w:val="nil"/>
            </w:tcBorders>
            <w:shd w:val="clear" w:color="auto" w:fill="auto"/>
            <w:noWrap/>
            <w:vAlign w:val="center"/>
            <w:hideMark/>
          </w:tcPr>
          <w:p w14:paraId="45E9B164" w14:textId="77777777" w:rsidR="00713B8F" w:rsidRPr="00713B8F" w:rsidRDefault="00713B8F" w:rsidP="00713B8F">
            <w:pPr>
              <w:spacing w:after="0" w:line="240" w:lineRule="auto"/>
              <w:ind w:firstLineChars="100" w:firstLine="160"/>
              <w:rPr>
                <w:rFonts w:cs="Arial"/>
                <w:sz w:val="16"/>
                <w:szCs w:val="16"/>
              </w:rPr>
            </w:pPr>
            <w:r w:rsidRPr="00713B8F">
              <w:rPr>
                <w:rFonts w:cs="Arial"/>
                <w:sz w:val="16"/>
                <w:szCs w:val="16"/>
              </w:rPr>
              <w:t>Vysočina</w:t>
            </w:r>
          </w:p>
        </w:tc>
        <w:tc>
          <w:tcPr>
            <w:tcW w:w="697" w:type="dxa"/>
            <w:tcBorders>
              <w:top w:val="nil"/>
              <w:left w:val="nil"/>
              <w:bottom w:val="nil"/>
              <w:right w:val="nil"/>
            </w:tcBorders>
            <w:shd w:val="clear" w:color="auto" w:fill="auto"/>
            <w:noWrap/>
            <w:vAlign w:val="center"/>
            <w:hideMark/>
          </w:tcPr>
          <w:p w14:paraId="1145387C" w14:textId="77777777" w:rsidR="00713B8F" w:rsidRPr="00713B8F" w:rsidRDefault="00713B8F" w:rsidP="00713B8F">
            <w:pPr>
              <w:spacing w:after="0" w:line="240" w:lineRule="auto"/>
              <w:jc w:val="right"/>
              <w:rPr>
                <w:rFonts w:cs="Arial"/>
                <w:sz w:val="16"/>
                <w:szCs w:val="16"/>
              </w:rPr>
            </w:pPr>
            <w:r w:rsidRPr="00713B8F">
              <w:rPr>
                <w:rFonts w:cs="Arial"/>
                <w:sz w:val="16"/>
                <w:szCs w:val="16"/>
              </w:rPr>
              <w:t>46,02</w:t>
            </w:r>
          </w:p>
        </w:tc>
        <w:tc>
          <w:tcPr>
            <w:tcW w:w="697" w:type="dxa"/>
            <w:tcBorders>
              <w:top w:val="nil"/>
              <w:left w:val="nil"/>
              <w:bottom w:val="nil"/>
              <w:right w:val="nil"/>
            </w:tcBorders>
            <w:shd w:val="clear" w:color="auto" w:fill="auto"/>
            <w:noWrap/>
            <w:vAlign w:val="center"/>
            <w:hideMark/>
          </w:tcPr>
          <w:p w14:paraId="2794B31B" w14:textId="77777777" w:rsidR="00713B8F" w:rsidRPr="00713B8F" w:rsidRDefault="00713B8F" w:rsidP="00713B8F">
            <w:pPr>
              <w:spacing w:after="0" w:line="240" w:lineRule="auto"/>
              <w:jc w:val="right"/>
              <w:rPr>
                <w:rFonts w:cs="Arial"/>
                <w:sz w:val="16"/>
                <w:szCs w:val="16"/>
              </w:rPr>
            </w:pPr>
            <w:r w:rsidRPr="00713B8F">
              <w:rPr>
                <w:rFonts w:cs="Arial"/>
                <w:sz w:val="16"/>
                <w:szCs w:val="16"/>
              </w:rPr>
              <w:t>44,76</w:t>
            </w:r>
          </w:p>
        </w:tc>
        <w:tc>
          <w:tcPr>
            <w:tcW w:w="697" w:type="dxa"/>
            <w:tcBorders>
              <w:top w:val="nil"/>
              <w:left w:val="nil"/>
              <w:bottom w:val="nil"/>
              <w:right w:val="nil"/>
            </w:tcBorders>
            <w:shd w:val="clear" w:color="auto" w:fill="auto"/>
            <w:noWrap/>
            <w:vAlign w:val="center"/>
            <w:hideMark/>
          </w:tcPr>
          <w:p w14:paraId="0EA7E648" w14:textId="77777777" w:rsidR="00713B8F" w:rsidRPr="00713B8F" w:rsidRDefault="00713B8F" w:rsidP="00713B8F">
            <w:pPr>
              <w:spacing w:after="0" w:line="240" w:lineRule="auto"/>
              <w:jc w:val="right"/>
              <w:rPr>
                <w:rFonts w:cs="Arial"/>
                <w:sz w:val="16"/>
                <w:szCs w:val="16"/>
              </w:rPr>
            </w:pPr>
            <w:r w:rsidRPr="00713B8F">
              <w:rPr>
                <w:rFonts w:cs="Arial"/>
                <w:sz w:val="16"/>
                <w:szCs w:val="16"/>
              </w:rPr>
              <w:t>43,40</w:t>
            </w:r>
          </w:p>
        </w:tc>
        <w:tc>
          <w:tcPr>
            <w:tcW w:w="697" w:type="dxa"/>
            <w:tcBorders>
              <w:top w:val="nil"/>
              <w:left w:val="nil"/>
              <w:bottom w:val="nil"/>
              <w:right w:val="nil"/>
            </w:tcBorders>
            <w:shd w:val="clear" w:color="auto" w:fill="auto"/>
            <w:noWrap/>
            <w:vAlign w:val="center"/>
            <w:hideMark/>
          </w:tcPr>
          <w:p w14:paraId="5A3A18F8" w14:textId="77777777" w:rsidR="00713B8F" w:rsidRPr="00713B8F" w:rsidRDefault="00713B8F" w:rsidP="00713B8F">
            <w:pPr>
              <w:spacing w:after="0" w:line="240" w:lineRule="auto"/>
              <w:jc w:val="right"/>
              <w:rPr>
                <w:rFonts w:cs="Arial"/>
                <w:sz w:val="16"/>
                <w:szCs w:val="16"/>
              </w:rPr>
            </w:pPr>
            <w:r w:rsidRPr="00713B8F">
              <w:rPr>
                <w:rFonts w:cs="Arial"/>
                <w:sz w:val="16"/>
                <w:szCs w:val="16"/>
              </w:rPr>
              <w:t>45,56</w:t>
            </w:r>
          </w:p>
        </w:tc>
        <w:tc>
          <w:tcPr>
            <w:tcW w:w="697" w:type="dxa"/>
            <w:tcBorders>
              <w:top w:val="nil"/>
              <w:left w:val="nil"/>
              <w:bottom w:val="nil"/>
              <w:right w:val="nil"/>
            </w:tcBorders>
            <w:shd w:val="clear" w:color="auto" w:fill="auto"/>
            <w:noWrap/>
            <w:vAlign w:val="center"/>
            <w:hideMark/>
          </w:tcPr>
          <w:p w14:paraId="01DCC082" w14:textId="77777777" w:rsidR="00713B8F" w:rsidRPr="00713B8F" w:rsidRDefault="00713B8F" w:rsidP="00713B8F">
            <w:pPr>
              <w:spacing w:after="0" w:line="240" w:lineRule="auto"/>
              <w:jc w:val="right"/>
              <w:rPr>
                <w:rFonts w:cs="Arial"/>
                <w:sz w:val="16"/>
                <w:szCs w:val="16"/>
              </w:rPr>
            </w:pPr>
            <w:r w:rsidRPr="00713B8F">
              <w:rPr>
                <w:rFonts w:cs="Arial"/>
                <w:sz w:val="16"/>
                <w:szCs w:val="16"/>
              </w:rPr>
              <w:t>41,64</w:t>
            </w:r>
          </w:p>
        </w:tc>
        <w:tc>
          <w:tcPr>
            <w:tcW w:w="697" w:type="dxa"/>
            <w:tcBorders>
              <w:top w:val="nil"/>
              <w:left w:val="nil"/>
              <w:bottom w:val="nil"/>
              <w:right w:val="nil"/>
            </w:tcBorders>
            <w:shd w:val="clear" w:color="auto" w:fill="auto"/>
            <w:noWrap/>
            <w:vAlign w:val="center"/>
            <w:hideMark/>
          </w:tcPr>
          <w:p w14:paraId="0CD1E99C" w14:textId="77777777" w:rsidR="00713B8F" w:rsidRPr="00713B8F" w:rsidRDefault="00713B8F" w:rsidP="00713B8F">
            <w:pPr>
              <w:spacing w:after="0" w:line="240" w:lineRule="auto"/>
              <w:jc w:val="right"/>
              <w:rPr>
                <w:rFonts w:cs="Arial"/>
                <w:sz w:val="16"/>
                <w:szCs w:val="16"/>
              </w:rPr>
            </w:pPr>
            <w:r w:rsidRPr="00713B8F">
              <w:rPr>
                <w:rFonts w:cs="Arial"/>
                <w:sz w:val="16"/>
                <w:szCs w:val="16"/>
              </w:rPr>
              <w:t>46,57</w:t>
            </w:r>
          </w:p>
        </w:tc>
        <w:tc>
          <w:tcPr>
            <w:tcW w:w="697" w:type="dxa"/>
            <w:tcBorders>
              <w:top w:val="nil"/>
              <w:left w:val="nil"/>
              <w:bottom w:val="nil"/>
              <w:right w:val="nil"/>
            </w:tcBorders>
            <w:shd w:val="clear" w:color="auto" w:fill="auto"/>
            <w:noWrap/>
            <w:vAlign w:val="center"/>
            <w:hideMark/>
          </w:tcPr>
          <w:p w14:paraId="6BFBC9DB" w14:textId="77777777" w:rsidR="00713B8F" w:rsidRPr="00713B8F" w:rsidRDefault="00713B8F" w:rsidP="00713B8F">
            <w:pPr>
              <w:spacing w:after="0" w:line="240" w:lineRule="auto"/>
              <w:jc w:val="right"/>
              <w:rPr>
                <w:rFonts w:cs="Arial"/>
                <w:sz w:val="16"/>
                <w:szCs w:val="16"/>
              </w:rPr>
            </w:pPr>
            <w:r w:rsidRPr="00713B8F">
              <w:rPr>
                <w:rFonts w:cs="Arial"/>
                <w:sz w:val="16"/>
                <w:szCs w:val="16"/>
              </w:rPr>
              <w:t>40,40</w:t>
            </w:r>
          </w:p>
        </w:tc>
        <w:tc>
          <w:tcPr>
            <w:tcW w:w="697" w:type="dxa"/>
            <w:tcBorders>
              <w:top w:val="nil"/>
              <w:left w:val="nil"/>
              <w:bottom w:val="nil"/>
              <w:right w:val="nil"/>
            </w:tcBorders>
            <w:shd w:val="clear" w:color="auto" w:fill="auto"/>
            <w:noWrap/>
            <w:vAlign w:val="center"/>
            <w:hideMark/>
          </w:tcPr>
          <w:p w14:paraId="357BD2A2" w14:textId="77777777" w:rsidR="00713B8F" w:rsidRPr="00713B8F" w:rsidRDefault="00713B8F" w:rsidP="00713B8F">
            <w:pPr>
              <w:spacing w:after="0" w:line="240" w:lineRule="auto"/>
              <w:jc w:val="right"/>
              <w:rPr>
                <w:rFonts w:cs="Arial"/>
                <w:sz w:val="16"/>
                <w:szCs w:val="16"/>
              </w:rPr>
            </w:pPr>
            <w:r w:rsidRPr="00713B8F">
              <w:rPr>
                <w:rFonts w:cs="Arial"/>
                <w:sz w:val="16"/>
                <w:szCs w:val="16"/>
              </w:rPr>
              <w:t>43,72</w:t>
            </w:r>
          </w:p>
        </w:tc>
        <w:tc>
          <w:tcPr>
            <w:tcW w:w="697" w:type="dxa"/>
            <w:tcBorders>
              <w:top w:val="nil"/>
              <w:left w:val="nil"/>
              <w:bottom w:val="nil"/>
              <w:right w:val="nil"/>
            </w:tcBorders>
            <w:shd w:val="clear" w:color="auto" w:fill="auto"/>
            <w:noWrap/>
            <w:vAlign w:val="center"/>
            <w:hideMark/>
          </w:tcPr>
          <w:p w14:paraId="6A4C53C3" w14:textId="77777777" w:rsidR="00713B8F" w:rsidRPr="00713B8F" w:rsidRDefault="00713B8F" w:rsidP="00713B8F">
            <w:pPr>
              <w:spacing w:after="0" w:line="240" w:lineRule="auto"/>
              <w:jc w:val="right"/>
              <w:rPr>
                <w:rFonts w:cs="Arial"/>
                <w:sz w:val="16"/>
                <w:szCs w:val="16"/>
              </w:rPr>
            </w:pPr>
            <w:r w:rsidRPr="00713B8F">
              <w:rPr>
                <w:rFonts w:cs="Arial"/>
                <w:sz w:val="16"/>
                <w:szCs w:val="16"/>
              </w:rPr>
              <w:t>42,89</w:t>
            </w:r>
          </w:p>
        </w:tc>
        <w:tc>
          <w:tcPr>
            <w:tcW w:w="697" w:type="dxa"/>
            <w:tcBorders>
              <w:top w:val="nil"/>
              <w:left w:val="nil"/>
              <w:bottom w:val="nil"/>
              <w:right w:val="nil"/>
            </w:tcBorders>
            <w:shd w:val="clear" w:color="000000" w:fill="FFFFFF"/>
            <w:noWrap/>
            <w:vAlign w:val="center"/>
            <w:hideMark/>
          </w:tcPr>
          <w:p w14:paraId="0D36418D" w14:textId="77777777" w:rsidR="00713B8F" w:rsidRPr="00713B8F" w:rsidRDefault="00713B8F" w:rsidP="00713B8F">
            <w:pPr>
              <w:spacing w:after="0" w:line="240" w:lineRule="auto"/>
              <w:jc w:val="right"/>
              <w:rPr>
                <w:rFonts w:cs="Arial"/>
                <w:color w:val="000000"/>
                <w:sz w:val="16"/>
                <w:szCs w:val="16"/>
              </w:rPr>
            </w:pPr>
            <w:r w:rsidRPr="00713B8F">
              <w:rPr>
                <w:rFonts w:cs="Arial"/>
                <w:color w:val="000000"/>
                <w:sz w:val="16"/>
                <w:szCs w:val="16"/>
              </w:rPr>
              <w:t>40,82</w:t>
            </w:r>
          </w:p>
        </w:tc>
        <w:tc>
          <w:tcPr>
            <w:tcW w:w="697" w:type="dxa"/>
            <w:gridSpan w:val="2"/>
            <w:tcBorders>
              <w:top w:val="nil"/>
              <w:left w:val="nil"/>
              <w:bottom w:val="nil"/>
              <w:right w:val="nil"/>
            </w:tcBorders>
            <w:shd w:val="clear" w:color="000000" w:fill="FFFFFF"/>
            <w:noWrap/>
            <w:vAlign w:val="center"/>
            <w:hideMark/>
          </w:tcPr>
          <w:p w14:paraId="757D6C4D" w14:textId="77777777" w:rsidR="00713B8F" w:rsidRPr="00713B8F" w:rsidRDefault="00713B8F" w:rsidP="00713B8F">
            <w:pPr>
              <w:spacing w:after="0" w:line="240" w:lineRule="auto"/>
              <w:jc w:val="right"/>
              <w:rPr>
                <w:rFonts w:cs="Arial"/>
                <w:color w:val="000000"/>
                <w:sz w:val="16"/>
                <w:szCs w:val="16"/>
              </w:rPr>
            </w:pPr>
            <w:r w:rsidRPr="00713B8F">
              <w:rPr>
                <w:rFonts w:cs="Arial"/>
                <w:color w:val="000000"/>
                <w:sz w:val="16"/>
                <w:szCs w:val="16"/>
              </w:rPr>
              <w:t>45,24</w:t>
            </w:r>
          </w:p>
        </w:tc>
      </w:tr>
      <w:tr w:rsidR="00713B8F" w:rsidRPr="00713B8F" w14:paraId="4B7B5FD3" w14:textId="77777777" w:rsidTr="00713B8F">
        <w:trPr>
          <w:trHeight w:val="300"/>
        </w:trPr>
        <w:tc>
          <w:tcPr>
            <w:tcW w:w="1985" w:type="dxa"/>
            <w:tcBorders>
              <w:top w:val="nil"/>
              <w:left w:val="nil"/>
              <w:bottom w:val="nil"/>
              <w:right w:val="nil"/>
            </w:tcBorders>
            <w:shd w:val="clear" w:color="auto" w:fill="auto"/>
            <w:noWrap/>
            <w:vAlign w:val="center"/>
            <w:hideMark/>
          </w:tcPr>
          <w:p w14:paraId="02033171" w14:textId="77777777" w:rsidR="00713B8F" w:rsidRPr="00713B8F" w:rsidRDefault="00713B8F" w:rsidP="00713B8F">
            <w:pPr>
              <w:spacing w:after="0" w:line="240" w:lineRule="auto"/>
              <w:ind w:firstLineChars="100" w:firstLine="160"/>
              <w:rPr>
                <w:rFonts w:cs="Arial"/>
                <w:sz w:val="16"/>
                <w:szCs w:val="16"/>
              </w:rPr>
            </w:pPr>
            <w:r w:rsidRPr="00713B8F">
              <w:rPr>
                <w:rFonts w:cs="Arial"/>
                <w:sz w:val="16"/>
                <w:szCs w:val="16"/>
              </w:rPr>
              <w:t>Jihomoravský kraj</w:t>
            </w:r>
          </w:p>
        </w:tc>
        <w:tc>
          <w:tcPr>
            <w:tcW w:w="697" w:type="dxa"/>
            <w:tcBorders>
              <w:top w:val="nil"/>
              <w:left w:val="nil"/>
              <w:bottom w:val="nil"/>
              <w:right w:val="nil"/>
            </w:tcBorders>
            <w:shd w:val="clear" w:color="auto" w:fill="auto"/>
            <w:noWrap/>
            <w:vAlign w:val="center"/>
            <w:hideMark/>
          </w:tcPr>
          <w:p w14:paraId="5BAD680D" w14:textId="77777777" w:rsidR="00713B8F" w:rsidRPr="00713B8F" w:rsidRDefault="00713B8F" w:rsidP="00713B8F">
            <w:pPr>
              <w:spacing w:after="0" w:line="240" w:lineRule="auto"/>
              <w:jc w:val="right"/>
              <w:rPr>
                <w:rFonts w:cs="Arial"/>
                <w:sz w:val="16"/>
                <w:szCs w:val="16"/>
              </w:rPr>
            </w:pPr>
            <w:r w:rsidRPr="00713B8F">
              <w:rPr>
                <w:rFonts w:cs="Arial"/>
                <w:sz w:val="16"/>
                <w:szCs w:val="16"/>
              </w:rPr>
              <w:t>46,57</w:t>
            </w:r>
          </w:p>
        </w:tc>
        <w:tc>
          <w:tcPr>
            <w:tcW w:w="697" w:type="dxa"/>
            <w:tcBorders>
              <w:top w:val="nil"/>
              <w:left w:val="nil"/>
              <w:bottom w:val="nil"/>
              <w:right w:val="nil"/>
            </w:tcBorders>
            <w:shd w:val="clear" w:color="auto" w:fill="auto"/>
            <w:noWrap/>
            <w:vAlign w:val="center"/>
            <w:hideMark/>
          </w:tcPr>
          <w:p w14:paraId="267D91DE" w14:textId="77777777" w:rsidR="00713B8F" w:rsidRPr="00713B8F" w:rsidRDefault="00713B8F" w:rsidP="00713B8F">
            <w:pPr>
              <w:spacing w:after="0" w:line="240" w:lineRule="auto"/>
              <w:jc w:val="right"/>
              <w:rPr>
                <w:rFonts w:cs="Arial"/>
                <w:sz w:val="16"/>
                <w:szCs w:val="16"/>
              </w:rPr>
            </w:pPr>
            <w:r w:rsidRPr="00713B8F">
              <w:rPr>
                <w:rFonts w:cs="Arial"/>
                <w:sz w:val="16"/>
                <w:szCs w:val="16"/>
              </w:rPr>
              <w:t>47,45</w:t>
            </w:r>
          </w:p>
        </w:tc>
        <w:tc>
          <w:tcPr>
            <w:tcW w:w="697" w:type="dxa"/>
            <w:tcBorders>
              <w:top w:val="nil"/>
              <w:left w:val="nil"/>
              <w:bottom w:val="nil"/>
              <w:right w:val="nil"/>
            </w:tcBorders>
            <w:shd w:val="clear" w:color="auto" w:fill="auto"/>
            <w:noWrap/>
            <w:vAlign w:val="center"/>
            <w:hideMark/>
          </w:tcPr>
          <w:p w14:paraId="3A51AEA4" w14:textId="77777777" w:rsidR="00713B8F" w:rsidRPr="00713B8F" w:rsidRDefault="00713B8F" w:rsidP="00713B8F">
            <w:pPr>
              <w:spacing w:after="0" w:line="240" w:lineRule="auto"/>
              <w:jc w:val="right"/>
              <w:rPr>
                <w:rFonts w:cs="Arial"/>
                <w:sz w:val="16"/>
                <w:szCs w:val="16"/>
              </w:rPr>
            </w:pPr>
            <w:r w:rsidRPr="00713B8F">
              <w:rPr>
                <w:rFonts w:cs="Arial"/>
                <w:sz w:val="16"/>
                <w:szCs w:val="16"/>
              </w:rPr>
              <w:t>45,42</w:t>
            </w:r>
          </w:p>
        </w:tc>
        <w:tc>
          <w:tcPr>
            <w:tcW w:w="697" w:type="dxa"/>
            <w:tcBorders>
              <w:top w:val="nil"/>
              <w:left w:val="nil"/>
              <w:bottom w:val="nil"/>
              <w:right w:val="nil"/>
            </w:tcBorders>
            <w:shd w:val="clear" w:color="auto" w:fill="auto"/>
            <w:noWrap/>
            <w:vAlign w:val="center"/>
            <w:hideMark/>
          </w:tcPr>
          <w:p w14:paraId="6AA59DDF" w14:textId="77777777" w:rsidR="00713B8F" w:rsidRPr="00713B8F" w:rsidRDefault="00713B8F" w:rsidP="00713B8F">
            <w:pPr>
              <w:spacing w:after="0" w:line="240" w:lineRule="auto"/>
              <w:jc w:val="right"/>
              <w:rPr>
                <w:rFonts w:cs="Arial"/>
                <w:sz w:val="16"/>
                <w:szCs w:val="16"/>
              </w:rPr>
            </w:pPr>
            <w:r w:rsidRPr="00713B8F">
              <w:rPr>
                <w:rFonts w:cs="Arial"/>
                <w:sz w:val="16"/>
                <w:szCs w:val="16"/>
              </w:rPr>
              <w:t>49,57</w:t>
            </w:r>
          </w:p>
        </w:tc>
        <w:tc>
          <w:tcPr>
            <w:tcW w:w="697" w:type="dxa"/>
            <w:tcBorders>
              <w:top w:val="nil"/>
              <w:left w:val="nil"/>
              <w:bottom w:val="nil"/>
              <w:right w:val="nil"/>
            </w:tcBorders>
            <w:shd w:val="clear" w:color="auto" w:fill="auto"/>
            <w:noWrap/>
            <w:vAlign w:val="center"/>
            <w:hideMark/>
          </w:tcPr>
          <w:p w14:paraId="6EA65B1C" w14:textId="77777777" w:rsidR="00713B8F" w:rsidRPr="00713B8F" w:rsidRDefault="00713B8F" w:rsidP="00713B8F">
            <w:pPr>
              <w:spacing w:after="0" w:line="240" w:lineRule="auto"/>
              <w:jc w:val="right"/>
              <w:rPr>
                <w:rFonts w:cs="Arial"/>
                <w:sz w:val="16"/>
                <w:szCs w:val="16"/>
              </w:rPr>
            </w:pPr>
            <w:r w:rsidRPr="00713B8F">
              <w:rPr>
                <w:rFonts w:cs="Arial"/>
                <w:sz w:val="16"/>
                <w:szCs w:val="16"/>
              </w:rPr>
              <w:t>43,54</w:t>
            </w:r>
          </w:p>
        </w:tc>
        <w:tc>
          <w:tcPr>
            <w:tcW w:w="697" w:type="dxa"/>
            <w:tcBorders>
              <w:top w:val="nil"/>
              <w:left w:val="nil"/>
              <w:bottom w:val="nil"/>
              <w:right w:val="nil"/>
            </w:tcBorders>
            <w:shd w:val="clear" w:color="auto" w:fill="auto"/>
            <w:noWrap/>
            <w:vAlign w:val="center"/>
            <w:hideMark/>
          </w:tcPr>
          <w:p w14:paraId="7F023EF9" w14:textId="77777777" w:rsidR="00713B8F" w:rsidRPr="00713B8F" w:rsidRDefault="00713B8F" w:rsidP="00713B8F">
            <w:pPr>
              <w:spacing w:after="0" w:line="240" w:lineRule="auto"/>
              <w:jc w:val="right"/>
              <w:rPr>
                <w:rFonts w:cs="Arial"/>
                <w:sz w:val="16"/>
                <w:szCs w:val="16"/>
              </w:rPr>
            </w:pPr>
            <w:r w:rsidRPr="00713B8F">
              <w:rPr>
                <w:rFonts w:cs="Arial"/>
                <w:sz w:val="16"/>
                <w:szCs w:val="16"/>
              </w:rPr>
              <w:t>47,24</w:t>
            </w:r>
          </w:p>
        </w:tc>
        <w:tc>
          <w:tcPr>
            <w:tcW w:w="697" w:type="dxa"/>
            <w:tcBorders>
              <w:top w:val="nil"/>
              <w:left w:val="nil"/>
              <w:bottom w:val="nil"/>
              <w:right w:val="nil"/>
            </w:tcBorders>
            <w:shd w:val="clear" w:color="auto" w:fill="auto"/>
            <w:noWrap/>
            <w:vAlign w:val="center"/>
            <w:hideMark/>
          </w:tcPr>
          <w:p w14:paraId="1436D5C3" w14:textId="77777777" w:rsidR="00713B8F" w:rsidRPr="00713B8F" w:rsidRDefault="00713B8F" w:rsidP="00713B8F">
            <w:pPr>
              <w:spacing w:after="0" w:line="240" w:lineRule="auto"/>
              <w:jc w:val="right"/>
              <w:rPr>
                <w:rFonts w:cs="Arial"/>
                <w:sz w:val="16"/>
                <w:szCs w:val="16"/>
              </w:rPr>
            </w:pPr>
            <w:r w:rsidRPr="00713B8F">
              <w:rPr>
                <w:rFonts w:cs="Arial"/>
                <w:sz w:val="16"/>
                <w:szCs w:val="16"/>
              </w:rPr>
              <w:t>41,39</w:t>
            </w:r>
          </w:p>
        </w:tc>
        <w:tc>
          <w:tcPr>
            <w:tcW w:w="697" w:type="dxa"/>
            <w:tcBorders>
              <w:top w:val="nil"/>
              <w:left w:val="nil"/>
              <w:bottom w:val="nil"/>
              <w:right w:val="nil"/>
            </w:tcBorders>
            <w:shd w:val="clear" w:color="auto" w:fill="auto"/>
            <w:noWrap/>
            <w:vAlign w:val="center"/>
            <w:hideMark/>
          </w:tcPr>
          <w:p w14:paraId="16B364B2" w14:textId="77777777" w:rsidR="00713B8F" w:rsidRPr="00713B8F" w:rsidRDefault="00713B8F" w:rsidP="00713B8F">
            <w:pPr>
              <w:spacing w:after="0" w:line="240" w:lineRule="auto"/>
              <w:jc w:val="right"/>
              <w:rPr>
                <w:rFonts w:cs="Arial"/>
                <w:sz w:val="16"/>
                <w:szCs w:val="16"/>
              </w:rPr>
            </w:pPr>
            <w:r w:rsidRPr="00713B8F">
              <w:rPr>
                <w:rFonts w:cs="Arial"/>
                <w:sz w:val="16"/>
                <w:szCs w:val="16"/>
              </w:rPr>
              <w:t>44,30</w:t>
            </w:r>
          </w:p>
        </w:tc>
        <w:tc>
          <w:tcPr>
            <w:tcW w:w="697" w:type="dxa"/>
            <w:tcBorders>
              <w:top w:val="nil"/>
              <w:left w:val="nil"/>
              <w:bottom w:val="nil"/>
              <w:right w:val="nil"/>
            </w:tcBorders>
            <w:shd w:val="clear" w:color="auto" w:fill="auto"/>
            <w:noWrap/>
            <w:vAlign w:val="center"/>
            <w:hideMark/>
          </w:tcPr>
          <w:p w14:paraId="7B2AC5BF" w14:textId="77777777" w:rsidR="00713B8F" w:rsidRPr="00713B8F" w:rsidRDefault="00713B8F" w:rsidP="00713B8F">
            <w:pPr>
              <w:spacing w:after="0" w:line="240" w:lineRule="auto"/>
              <w:jc w:val="right"/>
              <w:rPr>
                <w:rFonts w:cs="Arial"/>
                <w:sz w:val="16"/>
                <w:szCs w:val="16"/>
              </w:rPr>
            </w:pPr>
            <w:r w:rsidRPr="00713B8F">
              <w:rPr>
                <w:rFonts w:cs="Arial"/>
                <w:sz w:val="16"/>
                <w:szCs w:val="16"/>
              </w:rPr>
              <w:t>41,96</w:t>
            </w:r>
          </w:p>
        </w:tc>
        <w:tc>
          <w:tcPr>
            <w:tcW w:w="697" w:type="dxa"/>
            <w:tcBorders>
              <w:top w:val="nil"/>
              <w:left w:val="nil"/>
              <w:bottom w:val="nil"/>
              <w:right w:val="nil"/>
            </w:tcBorders>
            <w:shd w:val="clear" w:color="000000" w:fill="FFFFFF"/>
            <w:noWrap/>
            <w:vAlign w:val="center"/>
            <w:hideMark/>
          </w:tcPr>
          <w:p w14:paraId="32F11C5C" w14:textId="77777777" w:rsidR="00713B8F" w:rsidRPr="00713B8F" w:rsidRDefault="00713B8F" w:rsidP="00713B8F">
            <w:pPr>
              <w:spacing w:after="0" w:line="240" w:lineRule="auto"/>
              <w:jc w:val="right"/>
              <w:rPr>
                <w:rFonts w:cs="Arial"/>
                <w:color w:val="000000"/>
                <w:sz w:val="16"/>
                <w:szCs w:val="16"/>
              </w:rPr>
            </w:pPr>
            <w:r w:rsidRPr="00713B8F">
              <w:rPr>
                <w:rFonts w:cs="Arial"/>
                <w:color w:val="000000"/>
                <w:sz w:val="16"/>
                <w:szCs w:val="16"/>
              </w:rPr>
              <w:t>39,95</w:t>
            </w:r>
          </w:p>
        </w:tc>
        <w:tc>
          <w:tcPr>
            <w:tcW w:w="697" w:type="dxa"/>
            <w:gridSpan w:val="2"/>
            <w:tcBorders>
              <w:top w:val="nil"/>
              <w:left w:val="nil"/>
              <w:bottom w:val="nil"/>
              <w:right w:val="nil"/>
            </w:tcBorders>
            <w:shd w:val="clear" w:color="000000" w:fill="FFFFFF"/>
            <w:noWrap/>
            <w:vAlign w:val="center"/>
            <w:hideMark/>
          </w:tcPr>
          <w:p w14:paraId="66D9C585" w14:textId="77777777" w:rsidR="00713B8F" w:rsidRPr="00713B8F" w:rsidRDefault="00713B8F" w:rsidP="00713B8F">
            <w:pPr>
              <w:spacing w:after="0" w:line="240" w:lineRule="auto"/>
              <w:jc w:val="right"/>
              <w:rPr>
                <w:rFonts w:cs="Arial"/>
                <w:color w:val="000000"/>
                <w:sz w:val="16"/>
                <w:szCs w:val="16"/>
              </w:rPr>
            </w:pPr>
            <w:r w:rsidRPr="00713B8F">
              <w:rPr>
                <w:rFonts w:cs="Arial"/>
                <w:color w:val="000000"/>
                <w:sz w:val="16"/>
                <w:szCs w:val="16"/>
              </w:rPr>
              <w:t>43,98</w:t>
            </w:r>
          </w:p>
        </w:tc>
      </w:tr>
      <w:tr w:rsidR="00713B8F" w:rsidRPr="00713B8F" w14:paraId="73525D3A" w14:textId="77777777" w:rsidTr="00713B8F">
        <w:trPr>
          <w:trHeight w:val="300"/>
        </w:trPr>
        <w:tc>
          <w:tcPr>
            <w:tcW w:w="1985" w:type="dxa"/>
            <w:tcBorders>
              <w:top w:val="nil"/>
              <w:left w:val="nil"/>
              <w:bottom w:val="nil"/>
              <w:right w:val="nil"/>
            </w:tcBorders>
            <w:shd w:val="clear" w:color="auto" w:fill="auto"/>
            <w:noWrap/>
            <w:vAlign w:val="center"/>
            <w:hideMark/>
          </w:tcPr>
          <w:p w14:paraId="5717F9B1" w14:textId="77777777" w:rsidR="00713B8F" w:rsidRPr="00713B8F" w:rsidRDefault="00713B8F" w:rsidP="00713B8F">
            <w:pPr>
              <w:spacing w:after="0" w:line="240" w:lineRule="auto"/>
              <w:ind w:firstLineChars="100" w:firstLine="160"/>
              <w:rPr>
                <w:rFonts w:cs="Arial"/>
                <w:sz w:val="16"/>
                <w:szCs w:val="16"/>
              </w:rPr>
            </w:pPr>
            <w:r w:rsidRPr="00713B8F">
              <w:rPr>
                <w:rFonts w:cs="Arial"/>
                <w:sz w:val="16"/>
                <w:szCs w:val="16"/>
              </w:rPr>
              <w:t>Olomoucký kraj</w:t>
            </w:r>
          </w:p>
        </w:tc>
        <w:tc>
          <w:tcPr>
            <w:tcW w:w="697" w:type="dxa"/>
            <w:tcBorders>
              <w:top w:val="nil"/>
              <w:left w:val="nil"/>
              <w:bottom w:val="nil"/>
              <w:right w:val="nil"/>
            </w:tcBorders>
            <w:shd w:val="clear" w:color="auto" w:fill="auto"/>
            <w:noWrap/>
            <w:vAlign w:val="center"/>
            <w:hideMark/>
          </w:tcPr>
          <w:p w14:paraId="2EBD1B6E" w14:textId="77777777" w:rsidR="00713B8F" w:rsidRPr="00713B8F" w:rsidRDefault="00713B8F" w:rsidP="00713B8F">
            <w:pPr>
              <w:spacing w:after="0" w:line="240" w:lineRule="auto"/>
              <w:jc w:val="right"/>
              <w:rPr>
                <w:rFonts w:cs="Arial"/>
                <w:sz w:val="16"/>
                <w:szCs w:val="16"/>
              </w:rPr>
            </w:pPr>
            <w:r w:rsidRPr="00713B8F">
              <w:rPr>
                <w:rFonts w:cs="Arial"/>
                <w:sz w:val="16"/>
                <w:szCs w:val="16"/>
              </w:rPr>
              <w:t>52,07</w:t>
            </w:r>
          </w:p>
        </w:tc>
        <w:tc>
          <w:tcPr>
            <w:tcW w:w="697" w:type="dxa"/>
            <w:tcBorders>
              <w:top w:val="nil"/>
              <w:left w:val="nil"/>
              <w:bottom w:val="nil"/>
              <w:right w:val="nil"/>
            </w:tcBorders>
            <w:shd w:val="clear" w:color="auto" w:fill="auto"/>
            <w:noWrap/>
            <w:vAlign w:val="center"/>
            <w:hideMark/>
          </w:tcPr>
          <w:p w14:paraId="27D21032" w14:textId="77777777" w:rsidR="00713B8F" w:rsidRPr="00713B8F" w:rsidRDefault="00713B8F" w:rsidP="00713B8F">
            <w:pPr>
              <w:spacing w:after="0" w:line="240" w:lineRule="auto"/>
              <w:jc w:val="right"/>
              <w:rPr>
                <w:rFonts w:cs="Arial"/>
                <w:sz w:val="16"/>
                <w:szCs w:val="16"/>
              </w:rPr>
            </w:pPr>
            <w:r w:rsidRPr="00713B8F">
              <w:rPr>
                <w:rFonts w:cs="Arial"/>
                <w:sz w:val="16"/>
                <w:szCs w:val="16"/>
              </w:rPr>
              <w:t>50,16</w:t>
            </w:r>
          </w:p>
        </w:tc>
        <w:tc>
          <w:tcPr>
            <w:tcW w:w="697" w:type="dxa"/>
            <w:tcBorders>
              <w:top w:val="nil"/>
              <w:left w:val="nil"/>
              <w:bottom w:val="nil"/>
              <w:right w:val="nil"/>
            </w:tcBorders>
            <w:shd w:val="clear" w:color="auto" w:fill="auto"/>
            <w:noWrap/>
            <w:vAlign w:val="center"/>
            <w:hideMark/>
          </w:tcPr>
          <w:p w14:paraId="40C421B6" w14:textId="77777777" w:rsidR="00713B8F" w:rsidRPr="00713B8F" w:rsidRDefault="00713B8F" w:rsidP="00713B8F">
            <w:pPr>
              <w:spacing w:after="0" w:line="240" w:lineRule="auto"/>
              <w:jc w:val="right"/>
              <w:rPr>
                <w:rFonts w:cs="Arial"/>
                <w:sz w:val="16"/>
                <w:szCs w:val="16"/>
              </w:rPr>
            </w:pPr>
            <w:r w:rsidRPr="00713B8F">
              <w:rPr>
                <w:rFonts w:cs="Arial"/>
                <w:sz w:val="16"/>
                <w:szCs w:val="16"/>
              </w:rPr>
              <w:t>50,52</w:t>
            </w:r>
          </w:p>
        </w:tc>
        <w:tc>
          <w:tcPr>
            <w:tcW w:w="697" w:type="dxa"/>
            <w:tcBorders>
              <w:top w:val="nil"/>
              <w:left w:val="nil"/>
              <w:bottom w:val="nil"/>
              <w:right w:val="nil"/>
            </w:tcBorders>
            <w:shd w:val="clear" w:color="auto" w:fill="auto"/>
            <w:noWrap/>
            <w:vAlign w:val="center"/>
            <w:hideMark/>
          </w:tcPr>
          <w:p w14:paraId="3F4E0AE6" w14:textId="77777777" w:rsidR="00713B8F" w:rsidRPr="00713B8F" w:rsidRDefault="00713B8F" w:rsidP="00713B8F">
            <w:pPr>
              <w:spacing w:after="0" w:line="240" w:lineRule="auto"/>
              <w:jc w:val="right"/>
              <w:rPr>
                <w:rFonts w:cs="Arial"/>
                <w:sz w:val="16"/>
                <w:szCs w:val="16"/>
              </w:rPr>
            </w:pPr>
            <w:r w:rsidRPr="00713B8F">
              <w:rPr>
                <w:rFonts w:cs="Arial"/>
                <w:sz w:val="16"/>
                <w:szCs w:val="16"/>
              </w:rPr>
              <w:t>54,53</w:t>
            </w:r>
          </w:p>
        </w:tc>
        <w:tc>
          <w:tcPr>
            <w:tcW w:w="697" w:type="dxa"/>
            <w:tcBorders>
              <w:top w:val="nil"/>
              <w:left w:val="nil"/>
              <w:bottom w:val="nil"/>
              <w:right w:val="nil"/>
            </w:tcBorders>
            <w:shd w:val="clear" w:color="auto" w:fill="auto"/>
            <w:noWrap/>
            <w:vAlign w:val="center"/>
            <w:hideMark/>
          </w:tcPr>
          <w:p w14:paraId="3004F3D8" w14:textId="77777777" w:rsidR="00713B8F" w:rsidRPr="00713B8F" w:rsidRDefault="00713B8F" w:rsidP="00713B8F">
            <w:pPr>
              <w:spacing w:after="0" w:line="240" w:lineRule="auto"/>
              <w:jc w:val="right"/>
              <w:rPr>
                <w:rFonts w:cs="Arial"/>
                <w:sz w:val="16"/>
                <w:szCs w:val="16"/>
              </w:rPr>
            </w:pPr>
            <w:r w:rsidRPr="00713B8F">
              <w:rPr>
                <w:rFonts w:cs="Arial"/>
                <w:sz w:val="16"/>
                <w:szCs w:val="16"/>
              </w:rPr>
              <w:t>48,03</w:t>
            </w:r>
          </w:p>
        </w:tc>
        <w:tc>
          <w:tcPr>
            <w:tcW w:w="697" w:type="dxa"/>
            <w:tcBorders>
              <w:top w:val="nil"/>
              <w:left w:val="nil"/>
              <w:bottom w:val="nil"/>
              <w:right w:val="nil"/>
            </w:tcBorders>
            <w:shd w:val="clear" w:color="auto" w:fill="auto"/>
            <w:noWrap/>
            <w:vAlign w:val="center"/>
            <w:hideMark/>
          </w:tcPr>
          <w:p w14:paraId="490B7A96" w14:textId="77777777" w:rsidR="00713B8F" w:rsidRPr="00713B8F" w:rsidRDefault="00713B8F" w:rsidP="00713B8F">
            <w:pPr>
              <w:spacing w:after="0" w:line="240" w:lineRule="auto"/>
              <w:jc w:val="right"/>
              <w:rPr>
                <w:rFonts w:cs="Arial"/>
                <w:sz w:val="16"/>
                <w:szCs w:val="16"/>
              </w:rPr>
            </w:pPr>
            <w:r w:rsidRPr="00713B8F">
              <w:rPr>
                <w:rFonts w:cs="Arial"/>
                <w:sz w:val="16"/>
                <w:szCs w:val="16"/>
              </w:rPr>
              <w:t>54,83</w:t>
            </w:r>
          </w:p>
        </w:tc>
        <w:tc>
          <w:tcPr>
            <w:tcW w:w="697" w:type="dxa"/>
            <w:tcBorders>
              <w:top w:val="nil"/>
              <w:left w:val="nil"/>
              <w:bottom w:val="nil"/>
              <w:right w:val="nil"/>
            </w:tcBorders>
            <w:shd w:val="clear" w:color="auto" w:fill="auto"/>
            <w:noWrap/>
            <w:vAlign w:val="center"/>
            <w:hideMark/>
          </w:tcPr>
          <w:p w14:paraId="586AB384" w14:textId="77777777" w:rsidR="00713B8F" w:rsidRPr="00713B8F" w:rsidRDefault="00713B8F" w:rsidP="00713B8F">
            <w:pPr>
              <w:spacing w:after="0" w:line="240" w:lineRule="auto"/>
              <w:jc w:val="right"/>
              <w:rPr>
                <w:rFonts w:cs="Arial"/>
                <w:sz w:val="16"/>
                <w:szCs w:val="16"/>
              </w:rPr>
            </w:pPr>
            <w:r w:rsidRPr="00713B8F">
              <w:rPr>
                <w:rFonts w:cs="Arial"/>
                <w:sz w:val="16"/>
                <w:szCs w:val="16"/>
              </w:rPr>
              <w:t>44,02</w:t>
            </w:r>
          </w:p>
        </w:tc>
        <w:tc>
          <w:tcPr>
            <w:tcW w:w="697" w:type="dxa"/>
            <w:tcBorders>
              <w:top w:val="nil"/>
              <w:left w:val="nil"/>
              <w:bottom w:val="nil"/>
              <w:right w:val="nil"/>
            </w:tcBorders>
            <w:shd w:val="clear" w:color="auto" w:fill="auto"/>
            <w:noWrap/>
            <w:vAlign w:val="center"/>
            <w:hideMark/>
          </w:tcPr>
          <w:p w14:paraId="1075C5CB" w14:textId="77777777" w:rsidR="00713B8F" w:rsidRPr="00713B8F" w:rsidRDefault="00713B8F" w:rsidP="00713B8F">
            <w:pPr>
              <w:spacing w:after="0" w:line="240" w:lineRule="auto"/>
              <w:jc w:val="right"/>
              <w:rPr>
                <w:rFonts w:cs="Arial"/>
                <w:sz w:val="16"/>
                <w:szCs w:val="16"/>
              </w:rPr>
            </w:pPr>
            <w:r w:rsidRPr="00713B8F">
              <w:rPr>
                <w:rFonts w:cs="Arial"/>
                <w:sz w:val="16"/>
                <w:szCs w:val="16"/>
              </w:rPr>
              <w:t>47,04</w:t>
            </w:r>
          </w:p>
        </w:tc>
        <w:tc>
          <w:tcPr>
            <w:tcW w:w="697" w:type="dxa"/>
            <w:tcBorders>
              <w:top w:val="nil"/>
              <w:left w:val="nil"/>
              <w:bottom w:val="nil"/>
              <w:right w:val="nil"/>
            </w:tcBorders>
            <w:shd w:val="clear" w:color="auto" w:fill="auto"/>
            <w:noWrap/>
            <w:vAlign w:val="center"/>
            <w:hideMark/>
          </w:tcPr>
          <w:p w14:paraId="1131B35F" w14:textId="77777777" w:rsidR="00713B8F" w:rsidRPr="00713B8F" w:rsidRDefault="00713B8F" w:rsidP="00713B8F">
            <w:pPr>
              <w:spacing w:after="0" w:line="240" w:lineRule="auto"/>
              <w:jc w:val="right"/>
              <w:rPr>
                <w:rFonts w:cs="Arial"/>
                <w:sz w:val="16"/>
                <w:szCs w:val="16"/>
              </w:rPr>
            </w:pPr>
            <w:r w:rsidRPr="00713B8F">
              <w:rPr>
                <w:rFonts w:cs="Arial"/>
                <w:sz w:val="16"/>
                <w:szCs w:val="16"/>
              </w:rPr>
              <w:t>44,99</w:t>
            </w:r>
          </w:p>
        </w:tc>
        <w:tc>
          <w:tcPr>
            <w:tcW w:w="697" w:type="dxa"/>
            <w:tcBorders>
              <w:top w:val="nil"/>
              <w:left w:val="nil"/>
              <w:bottom w:val="nil"/>
              <w:right w:val="nil"/>
            </w:tcBorders>
            <w:shd w:val="clear" w:color="000000" w:fill="FFFFFF"/>
            <w:noWrap/>
            <w:vAlign w:val="center"/>
            <w:hideMark/>
          </w:tcPr>
          <w:p w14:paraId="3ABB06F3" w14:textId="77777777" w:rsidR="00713B8F" w:rsidRPr="00713B8F" w:rsidRDefault="00713B8F" w:rsidP="00713B8F">
            <w:pPr>
              <w:spacing w:after="0" w:line="240" w:lineRule="auto"/>
              <w:jc w:val="right"/>
              <w:rPr>
                <w:rFonts w:cs="Arial"/>
                <w:color w:val="000000"/>
                <w:sz w:val="16"/>
                <w:szCs w:val="16"/>
              </w:rPr>
            </w:pPr>
            <w:r w:rsidRPr="00713B8F">
              <w:rPr>
                <w:rFonts w:cs="Arial"/>
                <w:color w:val="000000"/>
                <w:sz w:val="16"/>
                <w:szCs w:val="16"/>
              </w:rPr>
              <w:t>42,67</w:t>
            </w:r>
          </w:p>
        </w:tc>
        <w:tc>
          <w:tcPr>
            <w:tcW w:w="697" w:type="dxa"/>
            <w:gridSpan w:val="2"/>
            <w:tcBorders>
              <w:top w:val="nil"/>
              <w:left w:val="nil"/>
              <w:bottom w:val="nil"/>
              <w:right w:val="nil"/>
            </w:tcBorders>
            <w:shd w:val="clear" w:color="000000" w:fill="FFFFFF"/>
            <w:noWrap/>
            <w:vAlign w:val="center"/>
            <w:hideMark/>
          </w:tcPr>
          <w:p w14:paraId="34065E09" w14:textId="77777777" w:rsidR="00713B8F" w:rsidRPr="00713B8F" w:rsidRDefault="00713B8F" w:rsidP="00713B8F">
            <w:pPr>
              <w:spacing w:after="0" w:line="240" w:lineRule="auto"/>
              <w:jc w:val="right"/>
              <w:rPr>
                <w:rFonts w:cs="Arial"/>
                <w:color w:val="000000"/>
                <w:sz w:val="16"/>
                <w:szCs w:val="16"/>
              </w:rPr>
            </w:pPr>
            <w:r w:rsidRPr="00713B8F">
              <w:rPr>
                <w:rFonts w:cs="Arial"/>
                <w:color w:val="000000"/>
                <w:sz w:val="16"/>
                <w:szCs w:val="16"/>
              </w:rPr>
              <w:t>46,33</w:t>
            </w:r>
          </w:p>
        </w:tc>
      </w:tr>
      <w:tr w:rsidR="00713B8F" w:rsidRPr="00713B8F" w14:paraId="0DD859E3" w14:textId="77777777" w:rsidTr="00713B8F">
        <w:trPr>
          <w:trHeight w:val="300"/>
        </w:trPr>
        <w:tc>
          <w:tcPr>
            <w:tcW w:w="1985" w:type="dxa"/>
            <w:tcBorders>
              <w:top w:val="nil"/>
              <w:left w:val="nil"/>
              <w:bottom w:val="nil"/>
              <w:right w:val="nil"/>
            </w:tcBorders>
            <w:shd w:val="clear" w:color="auto" w:fill="auto"/>
            <w:noWrap/>
            <w:vAlign w:val="center"/>
            <w:hideMark/>
          </w:tcPr>
          <w:p w14:paraId="39CF71BB" w14:textId="77777777" w:rsidR="00713B8F" w:rsidRPr="00713B8F" w:rsidRDefault="00713B8F" w:rsidP="00713B8F">
            <w:pPr>
              <w:spacing w:after="0" w:line="240" w:lineRule="auto"/>
              <w:ind w:firstLineChars="100" w:firstLine="160"/>
              <w:rPr>
                <w:rFonts w:cs="Arial"/>
                <w:sz w:val="16"/>
                <w:szCs w:val="16"/>
              </w:rPr>
            </w:pPr>
            <w:r w:rsidRPr="00713B8F">
              <w:rPr>
                <w:rFonts w:cs="Arial"/>
                <w:sz w:val="16"/>
                <w:szCs w:val="16"/>
              </w:rPr>
              <w:t>Zlínský kraj</w:t>
            </w:r>
          </w:p>
        </w:tc>
        <w:tc>
          <w:tcPr>
            <w:tcW w:w="697" w:type="dxa"/>
            <w:tcBorders>
              <w:top w:val="nil"/>
              <w:left w:val="nil"/>
              <w:bottom w:val="nil"/>
              <w:right w:val="nil"/>
            </w:tcBorders>
            <w:shd w:val="clear" w:color="auto" w:fill="auto"/>
            <w:noWrap/>
            <w:vAlign w:val="center"/>
            <w:hideMark/>
          </w:tcPr>
          <w:p w14:paraId="63E2F42B" w14:textId="77777777" w:rsidR="00713B8F" w:rsidRPr="00713B8F" w:rsidRDefault="00713B8F" w:rsidP="00713B8F">
            <w:pPr>
              <w:spacing w:after="0" w:line="240" w:lineRule="auto"/>
              <w:jc w:val="right"/>
              <w:rPr>
                <w:rFonts w:cs="Arial"/>
                <w:sz w:val="16"/>
                <w:szCs w:val="16"/>
              </w:rPr>
            </w:pPr>
            <w:r w:rsidRPr="00713B8F">
              <w:rPr>
                <w:rFonts w:cs="Arial"/>
                <w:sz w:val="16"/>
                <w:szCs w:val="16"/>
              </w:rPr>
              <w:t>57,32</w:t>
            </w:r>
          </w:p>
        </w:tc>
        <w:tc>
          <w:tcPr>
            <w:tcW w:w="697" w:type="dxa"/>
            <w:tcBorders>
              <w:top w:val="nil"/>
              <w:left w:val="nil"/>
              <w:bottom w:val="nil"/>
              <w:right w:val="nil"/>
            </w:tcBorders>
            <w:shd w:val="clear" w:color="auto" w:fill="auto"/>
            <w:noWrap/>
            <w:vAlign w:val="center"/>
            <w:hideMark/>
          </w:tcPr>
          <w:p w14:paraId="14BE01BF" w14:textId="77777777" w:rsidR="00713B8F" w:rsidRPr="00713B8F" w:rsidRDefault="00713B8F" w:rsidP="00713B8F">
            <w:pPr>
              <w:spacing w:after="0" w:line="240" w:lineRule="auto"/>
              <w:jc w:val="right"/>
              <w:rPr>
                <w:rFonts w:cs="Arial"/>
                <w:sz w:val="16"/>
                <w:szCs w:val="16"/>
              </w:rPr>
            </w:pPr>
            <w:r w:rsidRPr="00713B8F">
              <w:rPr>
                <w:rFonts w:cs="Arial"/>
                <w:sz w:val="16"/>
                <w:szCs w:val="16"/>
              </w:rPr>
              <w:t>55,88</w:t>
            </w:r>
          </w:p>
        </w:tc>
        <w:tc>
          <w:tcPr>
            <w:tcW w:w="697" w:type="dxa"/>
            <w:tcBorders>
              <w:top w:val="nil"/>
              <w:left w:val="nil"/>
              <w:bottom w:val="nil"/>
              <w:right w:val="nil"/>
            </w:tcBorders>
            <w:shd w:val="clear" w:color="auto" w:fill="auto"/>
            <w:noWrap/>
            <w:vAlign w:val="center"/>
            <w:hideMark/>
          </w:tcPr>
          <w:p w14:paraId="5855B3FB" w14:textId="77777777" w:rsidR="00713B8F" w:rsidRPr="00713B8F" w:rsidRDefault="00713B8F" w:rsidP="00713B8F">
            <w:pPr>
              <w:spacing w:after="0" w:line="240" w:lineRule="auto"/>
              <w:jc w:val="right"/>
              <w:rPr>
                <w:rFonts w:cs="Arial"/>
                <w:sz w:val="16"/>
                <w:szCs w:val="16"/>
              </w:rPr>
            </w:pPr>
            <w:r w:rsidRPr="00713B8F">
              <w:rPr>
                <w:rFonts w:cs="Arial"/>
                <w:sz w:val="16"/>
                <w:szCs w:val="16"/>
              </w:rPr>
              <w:t>55,54</w:t>
            </w:r>
          </w:p>
        </w:tc>
        <w:tc>
          <w:tcPr>
            <w:tcW w:w="697" w:type="dxa"/>
            <w:tcBorders>
              <w:top w:val="nil"/>
              <w:left w:val="nil"/>
              <w:bottom w:val="nil"/>
              <w:right w:val="nil"/>
            </w:tcBorders>
            <w:shd w:val="clear" w:color="auto" w:fill="auto"/>
            <w:noWrap/>
            <w:vAlign w:val="center"/>
            <w:hideMark/>
          </w:tcPr>
          <w:p w14:paraId="6AE69BD7" w14:textId="77777777" w:rsidR="00713B8F" w:rsidRPr="00713B8F" w:rsidRDefault="00713B8F" w:rsidP="00713B8F">
            <w:pPr>
              <w:spacing w:after="0" w:line="240" w:lineRule="auto"/>
              <w:jc w:val="right"/>
              <w:rPr>
                <w:rFonts w:cs="Arial"/>
                <w:sz w:val="16"/>
                <w:szCs w:val="16"/>
              </w:rPr>
            </w:pPr>
            <w:r w:rsidRPr="00713B8F">
              <w:rPr>
                <w:rFonts w:cs="Arial"/>
                <w:sz w:val="16"/>
                <w:szCs w:val="16"/>
              </w:rPr>
              <w:t>56,11</w:t>
            </w:r>
          </w:p>
        </w:tc>
        <w:tc>
          <w:tcPr>
            <w:tcW w:w="697" w:type="dxa"/>
            <w:tcBorders>
              <w:top w:val="nil"/>
              <w:left w:val="nil"/>
              <w:bottom w:val="nil"/>
              <w:right w:val="nil"/>
            </w:tcBorders>
            <w:shd w:val="clear" w:color="auto" w:fill="auto"/>
            <w:noWrap/>
            <w:vAlign w:val="center"/>
            <w:hideMark/>
          </w:tcPr>
          <w:p w14:paraId="2BF58A62" w14:textId="77777777" w:rsidR="00713B8F" w:rsidRPr="00713B8F" w:rsidRDefault="00713B8F" w:rsidP="00713B8F">
            <w:pPr>
              <w:spacing w:after="0" w:line="240" w:lineRule="auto"/>
              <w:jc w:val="right"/>
              <w:rPr>
                <w:rFonts w:cs="Arial"/>
                <w:sz w:val="16"/>
                <w:szCs w:val="16"/>
              </w:rPr>
            </w:pPr>
            <w:r w:rsidRPr="00713B8F">
              <w:rPr>
                <w:rFonts w:cs="Arial"/>
                <w:sz w:val="16"/>
                <w:szCs w:val="16"/>
              </w:rPr>
              <w:t>51,43</w:t>
            </w:r>
          </w:p>
        </w:tc>
        <w:tc>
          <w:tcPr>
            <w:tcW w:w="697" w:type="dxa"/>
            <w:tcBorders>
              <w:top w:val="nil"/>
              <w:left w:val="nil"/>
              <w:bottom w:val="nil"/>
              <w:right w:val="nil"/>
            </w:tcBorders>
            <w:shd w:val="clear" w:color="auto" w:fill="auto"/>
            <w:noWrap/>
            <w:vAlign w:val="center"/>
            <w:hideMark/>
          </w:tcPr>
          <w:p w14:paraId="05CA8E13" w14:textId="77777777" w:rsidR="00713B8F" w:rsidRPr="00713B8F" w:rsidRDefault="00713B8F" w:rsidP="00713B8F">
            <w:pPr>
              <w:spacing w:after="0" w:line="240" w:lineRule="auto"/>
              <w:jc w:val="right"/>
              <w:rPr>
                <w:rFonts w:cs="Arial"/>
                <w:sz w:val="16"/>
                <w:szCs w:val="16"/>
              </w:rPr>
            </w:pPr>
            <w:r w:rsidRPr="00713B8F">
              <w:rPr>
                <w:rFonts w:cs="Arial"/>
                <w:sz w:val="16"/>
                <w:szCs w:val="16"/>
              </w:rPr>
              <w:t>56,36</w:t>
            </w:r>
          </w:p>
        </w:tc>
        <w:tc>
          <w:tcPr>
            <w:tcW w:w="697" w:type="dxa"/>
            <w:tcBorders>
              <w:top w:val="nil"/>
              <w:left w:val="nil"/>
              <w:bottom w:val="nil"/>
              <w:right w:val="nil"/>
            </w:tcBorders>
            <w:shd w:val="clear" w:color="auto" w:fill="auto"/>
            <w:noWrap/>
            <w:vAlign w:val="center"/>
            <w:hideMark/>
          </w:tcPr>
          <w:p w14:paraId="46B9126B" w14:textId="77777777" w:rsidR="00713B8F" w:rsidRPr="00713B8F" w:rsidRDefault="00713B8F" w:rsidP="00713B8F">
            <w:pPr>
              <w:spacing w:after="0" w:line="240" w:lineRule="auto"/>
              <w:jc w:val="right"/>
              <w:rPr>
                <w:rFonts w:cs="Arial"/>
                <w:sz w:val="16"/>
                <w:szCs w:val="16"/>
              </w:rPr>
            </w:pPr>
            <w:r w:rsidRPr="00713B8F">
              <w:rPr>
                <w:rFonts w:cs="Arial"/>
                <w:sz w:val="16"/>
                <w:szCs w:val="16"/>
              </w:rPr>
              <w:t>47,01</w:t>
            </w:r>
          </w:p>
        </w:tc>
        <w:tc>
          <w:tcPr>
            <w:tcW w:w="697" w:type="dxa"/>
            <w:tcBorders>
              <w:top w:val="nil"/>
              <w:left w:val="nil"/>
              <w:bottom w:val="nil"/>
              <w:right w:val="nil"/>
            </w:tcBorders>
            <w:shd w:val="clear" w:color="auto" w:fill="auto"/>
            <w:noWrap/>
            <w:vAlign w:val="center"/>
            <w:hideMark/>
          </w:tcPr>
          <w:p w14:paraId="45047075" w14:textId="77777777" w:rsidR="00713B8F" w:rsidRPr="00713B8F" w:rsidRDefault="00713B8F" w:rsidP="00713B8F">
            <w:pPr>
              <w:spacing w:after="0" w:line="240" w:lineRule="auto"/>
              <w:jc w:val="right"/>
              <w:rPr>
                <w:rFonts w:cs="Arial"/>
                <w:sz w:val="16"/>
                <w:szCs w:val="16"/>
              </w:rPr>
            </w:pPr>
            <w:r w:rsidRPr="00713B8F">
              <w:rPr>
                <w:rFonts w:cs="Arial"/>
                <w:sz w:val="16"/>
                <w:szCs w:val="16"/>
              </w:rPr>
              <w:t>50,54</w:t>
            </w:r>
          </w:p>
        </w:tc>
        <w:tc>
          <w:tcPr>
            <w:tcW w:w="697" w:type="dxa"/>
            <w:tcBorders>
              <w:top w:val="nil"/>
              <w:left w:val="nil"/>
              <w:bottom w:val="nil"/>
              <w:right w:val="nil"/>
            </w:tcBorders>
            <w:shd w:val="clear" w:color="auto" w:fill="auto"/>
            <w:noWrap/>
            <w:vAlign w:val="center"/>
            <w:hideMark/>
          </w:tcPr>
          <w:p w14:paraId="565B0D52" w14:textId="77777777" w:rsidR="00713B8F" w:rsidRPr="00713B8F" w:rsidRDefault="00713B8F" w:rsidP="00713B8F">
            <w:pPr>
              <w:spacing w:after="0" w:line="240" w:lineRule="auto"/>
              <w:jc w:val="right"/>
              <w:rPr>
                <w:rFonts w:cs="Arial"/>
                <w:sz w:val="16"/>
                <w:szCs w:val="16"/>
              </w:rPr>
            </w:pPr>
            <w:r w:rsidRPr="00713B8F">
              <w:rPr>
                <w:rFonts w:cs="Arial"/>
                <w:sz w:val="16"/>
                <w:szCs w:val="16"/>
              </w:rPr>
              <w:t>48,24</w:t>
            </w:r>
          </w:p>
        </w:tc>
        <w:tc>
          <w:tcPr>
            <w:tcW w:w="697" w:type="dxa"/>
            <w:tcBorders>
              <w:top w:val="nil"/>
              <w:left w:val="nil"/>
              <w:bottom w:val="nil"/>
              <w:right w:val="nil"/>
            </w:tcBorders>
            <w:shd w:val="clear" w:color="000000" w:fill="FFFFFF"/>
            <w:noWrap/>
            <w:vAlign w:val="center"/>
            <w:hideMark/>
          </w:tcPr>
          <w:p w14:paraId="7E1AF44D" w14:textId="77777777" w:rsidR="00713B8F" w:rsidRPr="00713B8F" w:rsidRDefault="00713B8F" w:rsidP="00713B8F">
            <w:pPr>
              <w:spacing w:after="0" w:line="240" w:lineRule="auto"/>
              <w:jc w:val="right"/>
              <w:rPr>
                <w:rFonts w:cs="Arial"/>
                <w:color w:val="000000"/>
                <w:sz w:val="16"/>
                <w:szCs w:val="16"/>
              </w:rPr>
            </w:pPr>
            <w:r w:rsidRPr="00713B8F">
              <w:rPr>
                <w:rFonts w:cs="Arial"/>
                <w:color w:val="000000"/>
                <w:sz w:val="16"/>
                <w:szCs w:val="16"/>
              </w:rPr>
              <w:t>46,11</w:t>
            </w:r>
          </w:p>
        </w:tc>
        <w:tc>
          <w:tcPr>
            <w:tcW w:w="697" w:type="dxa"/>
            <w:gridSpan w:val="2"/>
            <w:tcBorders>
              <w:top w:val="nil"/>
              <w:left w:val="nil"/>
              <w:bottom w:val="nil"/>
              <w:right w:val="nil"/>
            </w:tcBorders>
            <w:shd w:val="clear" w:color="000000" w:fill="FFFFFF"/>
            <w:noWrap/>
            <w:vAlign w:val="center"/>
            <w:hideMark/>
          </w:tcPr>
          <w:p w14:paraId="6B1B354A" w14:textId="77777777" w:rsidR="00713B8F" w:rsidRPr="00713B8F" w:rsidRDefault="00713B8F" w:rsidP="00713B8F">
            <w:pPr>
              <w:spacing w:after="0" w:line="240" w:lineRule="auto"/>
              <w:jc w:val="right"/>
              <w:rPr>
                <w:rFonts w:cs="Arial"/>
                <w:color w:val="000000"/>
                <w:sz w:val="16"/>
                <w:szCs w:val="16"/>
              </w:rPr>
            </w:pPr>
            <w:r w:rsidRPr="00713B8F">
              <w:rPr>
                <w:rFonts w:cs="Arial"/>
                <w:color w:val="000000"/>
                <w:sz w:val="16"/>
                <w:szCs w:val="16"/>
              </w:rPr>
              <w:t>49,34</w:t>
            </w:r>
          </w:p>
        </w:tc>
      </w:tr>
      <w:tr w:rsidR="00713B8F" w:rsidRPr="00713B8F" w14:paraId="1575A57B" w14:textId="77777777" w:rsidTr="00713B8F">
        <w:trPr>
          <w:trHeight w:val="300"/>
        </w:trPr>
        <w:tc>
          <w:tcPr>
            <w:tcW w:w="1985" w:type="dxa"/>
            <w:tcBorders>
              <w:top w:val="nil"/>
              <w:left w:val="nil"/>
              <w:bottom w:val="nil"/>
              <w:right w:val="nil"/>
            </w:tcBorders>
            <w:shd w:val="clear" w:color="auto" w:fill="auto"/>
            <w:noWrap/>
            <w:vAlign w:val="center"/>
            <w:hideMark/>
          </w:tcPr>
          <w:p w14:paraId="3FFD12A3" w14:textId="77777777" w:rsidR="00713B8F" w:rsidRPr="00713B8F" w:rsidRDefault="00713B8F" w:rsidP="00713B8F">
            <w:pPr>
              <w:spacing w:after="0" w:line="240" w:lineRule="auto"/>
              <w:ind w:firstLineChars="100" w:firstLine="160"/>
              <w:rPr>
                <w:rFonts w:cs="Arial"/>
                <w:sz w:val="16"/>
                <w:szCs w:val="16"/>
              </w:rPr>
            </w:pPr>
            <w:r w:rsidRPr="00713B8F">
              <w:rPr>
                <w:rFonts w:cs="Arial"/>
                <w:sz w:val="16"/>
                <w:szCs w:val="16"/>
              </w:rPr>
              <w:t>Moravskoslezský kraj</w:t>
            </w:r>
          </w:p>
        </w:tc>
        <w:tc>
          <w:tcPr>
            <w:tcW w:w="697" w:type="dxa"/>
            <w:tcBorders>
              <w:top w:val="nil"/>
              <w:left w:val="nil"/>
              <w:bottom w:val="nil"/>
              <w:right w:val="nil"/>
            </w:tcBorders>
            <w:shd w:val="clear" w:color="auto" w:fill="auto"/>
            <w:noWrap/>
            <w:vAlign w:val="center"/>
            <w:hideMark/>
          </w:tcPr>
          <w:p w14:paraId="7FC812C9" w14:textId="77777777" w:rsidR="00713B8F" w:rsidRPr="00713B8F" w:rsidRDefault="00713B8F" w:rsidP="00713B8F">
            <w:pPr>
              <w:spacing w:after="0" w:line="240" w:lineRule="auto"/>
              <w:jc w:val="right"/>
              <w:rPr>
                <w:rFonts w:cs="Arial"/>
                <w:sz w:val="16"/>
                <w:szCs w:val="16"/>
              </w:rPr>
            </w:pPr>
            <w:r w:rsidRPr="00713B8F">
              <w:rPr>
                <w:rFonts w:cs="Arial"/>
                <w:sz w:val="16"/>
                <w:szCs w:val="16"/>
              </w:rPr>
              <w:t>52,73</w:t>
            </w:r>
          </w:p>
        </w:tc>
        <w:tc>
          <w:tcPr>
            <w:tcW w:w="697" w:type="dxa"/>
            <w:tcBorders>
              <w:top w:val="nil"/>
              <w:left w:val="nil"/>
              <w:bottom w:val="nil"/>
              <w:right w:val="nil"/>
            </w:tcBorders>
            <w:shd w:val="clear" w:color="auto" w:fill="auto"/>
            <w:noWrap/>
            <w:vAlign w:val="center"/>
            <w:hideMark/>
          </w:tcPr>
          <w:p w14:paraId="398593B8" w14:textId="77777777" w:rsidR="00713B8F" w:rsidRPr="00713B8F" w:rsidRDefault="00713B8F" w:rsidP="00713B8F">
            <w:pPr>
              <w:spacing w:after="0" w:line="240" w:lineRule="auto"/>
              <w:jc w:val="right"/>
              <w:rPr>
                <w:rFonts w:cs="Arial"/>
                <w:sz w:val="16"/>
                <w:szCs w:val="16"/>
              </w:rPr>
            </w:pPr>
            <w:r w:rsidRPr="00713B8F">
              <w:rPr>
                <w:rFonts w:cs="Arial"/>
                <w:sz w:val="16"/>
                <w:szCs w:val="16"/>
              </w:rPr>
              <w:t>49,36</w:t>
            </w:r>
          </w:p>
        </w:tc>
        <w:tc>
          <w:tcPr>
            <w:tcW w:w="697" w:type="dxa"/>
            <w:tcBorders>
              <w:top w:val="nil"/>
              <w:left w:val="nil"/>
              <w:bottom w:val="nil"/>
              <w:right w:val="nil"/>
            </w:tcBorders>
            <w:shd w:val="clear" w:color="auto" w:fill="auto"/>
            <w:noWrap/>
            <w:vAlign w:val="center"/>
            <w:hideMark/>
          </w:tcPr>
          <w:p w14:paraId="5480C67F" w14:textId="77777777" w:rsidR="00713B8F" w:rsidRPr="00713B8F" w:rsidRDefault="00713B8F" w:rsidP="00713B8F">
            <w:pPr>
              <w:spacing w:after="0" w:line="240" w:lineRule="auto"/>
              <w:jc w:val="right"/>
              <w:rPr>
                <w:rFonts w:cs="Arial"/>
                <w:sz w:val="16"/>
                <w:szCs w:val="16"/>
              </w:rPr>
            </w:pPr>
            <w:r w:rsidRPr="00713B8F">
              <w:rPr>
                <w:rFonts w:cs="Arial"/>
                <w:sz w:val="16"/>
                <w:szCs w:val="16"/>
              </w:rPr>
              <w:t>48,19</w:t>
            </w:r>
          </w:p>
        </w:tc>
        <w:tc>
          <w:tcPr>
            <w:tcW w:w="697" w:type="dxa"/>
            <w:tcBorders>
              <w:top w:val="nil"/>
              <w:left w:val="nil"/>
              <w:bottom w:val="nil"/>
              <w:right w:val="nil"/>
            </w:tcBorders>
            <w:shd w:val="clear" w:color="auto" w:fill="auto"/>
            <w:noWrap/>
            <w:vAlign w:val="center"/>
            <w:hideMark/>
          </w:tcPr>
          <w:p w14:paraId="6B4BC901" w14:textId="77777777" w:rsidR="00713B8F" w:rsidRPr="00713B8F" w:rsidRDefault="00713B8F" w:rsidP="00713B8F">
            <w:pPr>
              <w:spacing w:after="0" w:line="240" w:lineRule="auto"/>
              <w:jc w:val="right"/>
              <w:rPr>
                <w:rFonts w:cs="Arial"/>
                <w:sz w:val="16"/>
                <w:szCs w:val="16"/>
              </w:rPr>
            </w:pPr>
            <w:r w:rsidRPr="00713B8F">
              <w:rPr>
                <w:rFonts w:cs="Arial"/>
                <w:sz w:val="16"/>
                <w:szCs w:val="16"/>
              </w:rPr>
              <w:t>52,23</w:t>
            </w:r>
          </w:p>
        </w:tc>
        <w:tc>
          <w:tcPr>
            <w:tcW w:w="697" w:type="dxa"/>
            <w:tcBorders>
              <w:top w:val="nil"/>
              <w:left w:val="nil"/>
              <w:bottom w:val="nil"/>
              <w:right w:val="nil"/>
            </w:tcBorders>
            <w:shd w:val="clear" w:color="auto" w:fill="auto"/>
            <w:noWrap/>
            <w:vAlign w:val="center"/>
            <w:hideMark/>
          </w:tcPr>
          <w:p w14:paraId="556B2785" w14:textId="77777777" w:rsidR="00713B8F" w:rsidRPr="00713B8F" w:rsidRDefault="00713B8F" w:rsidP="00713B8F">
            <w:pPr>
              <w:spacing w:after="0" w:line="240" w:lineRule="auto"/>
              <w:jc w:val="right"/>
              <w:rPr>
                <w:rFonts w:cs="Arial"/>
                <w:sz w:val="16"/>
                <w:szCs w:val="16"/>
              </w:rPr>
            </w:pPr>
            <w:r w:rsidRPr="00713B8F">
              <w:rPr>
                <w:rFonts w:cs="Arial"/>
                <w:sz w:val="16"/>
                <w:szCs w:val="16"/>
              </w:rPr>
              <w:t>47,58</w:t>
            </w:r>
          </w:p>
        </w:tc>
        <w:tc>
          <w:tcPr>
            <w:tcW w:w="697" w:type="dxa"/>
            <w:tcBorders>
              <w:top w:val="nil"/>
              <w:left w:val="nil"/>
              <w:bottom w:val="nil"/>
              <w:right w:val="nil"/>
            </w:tcBorders>
            <w:shd w:val="clear" w:color="auto" w:fill="auto"/>
            <w:noWrap/>
            <w:vAlign w:val="center"/>
            <w:hideMark/>
          </w:tcPr>
          <w:p w14:paraId="0AD7F269" w14:textId="77777777" w:rsidR="00713B8F" w:rsidRPr="00713B8F" w:rsidRDefault="00713B8F" w:rsidP="00713B8F">
            <w:pPr>
              <w:spacing w:after="0" w:line="240" w:lineRule="auto"/>
              <w:jc w:val="right"/>
              <w:rPr>
                <w:rFonts w:cs="Arial"/>
                <w:sz w:val="16"/>
                <w:szCs w:val="16"/>
              </w:rPr>
            </w:pPr>
            <w:r w:rsidRPr="00713B8F">
              <w:rPr>
                <w:rFonts w:cs="Arial"/>
                <w:sz w:val="16"/>
                <w:szCs w:val="16"/>
              </w:rPr>
              <w:t>53,41</w:t>
            </w:r>
          </w:p>
        </w:tc>
        <w:tc>
          <w:tcPr>
            <w:tcW w:w="697" w:type="dxa"/>
            <w:tcBorders>
              <w:top w:val="nil"/>
              <w:left w:val="nil"/>
              <w:bottom w:val="nil"/>
              <w:right w:val="nil"/>
            </w:tcBorders>
            <w:shd w:val="clear" w:color="auto" w:fill="auto"/>
            <w:noWrap/>
            <w:vAlign w:val="center"/>
            <w:hideMark/>
          </w:tcPr>
          <w:p w14:paraId="197B5880" w14:textId="77777777" w:rsidR="00713B8F" w:rsidRPr="00713B8F" w:rsidRDefault="00713B8F" w:rsidP="00713B8F">
            <w:pPr>
              <w:spacing w:after="0" w:line="240" w:lineRule="auto"/>
              <w:jc w:val="right"/>
              <w:rPr>
                <w:rFonts w:cs="Arial"/>
                <w:sz w:val="16"/>
                <w:szCs w:val="16"/>
              </w:rPr>
            </w:pPr>
            <w:r w:rsidRPr="00713B8F">
              <w:rPr>
                <w:rFonts w:cs="Arial"/>
                <w:sz w:val="16"/>
                <w:szCs w:val="16"/>
              </w:rPr>
              <w:t>46,03</w:t>
            </w:r>
          </w:p>
        </w:tc>
        <w:tc>
          <w:tcPr>
            <w:tcW w:w="697" w:type="dxa"/>
            <w:tcBorders>
              <w:top w:val="nil"/>
              <w:left w:val="nil"/>
              <w:bottom w:val="nil"/>
              <w:right w:val="nil"/>
            </w:tcBorders>
            <w:shd w:val="clear" w:color="auto" w:fill="auto"/>
            <w:noWrap/>
            <w:vAlign w:val="center"/>
            <w:hideMark/>
          </w:tcPr>
          <w:p w14:paraId="2BFEDC60" w14:textId="77777777" w:rsidR="00713B8F" w:rsidRPr="00713B8F" w:rsidRDefault="00713B8F" w:rsidP="00713B8F">
            <w:pPr>
              <w:spacing w:after="0" w:line="240" w:lineRule="auto"/>
              <w:jc w:val="right"/>
              <w:rPr>
                <w:rFonts w:cs="Arial"/>
                <w:sz w:val="16"/>
                <w:szCs w:val="16"/>
              </w:rPr>
            </w:pPr>
            <w:r w:rsidRPr="00713B8F">
              <w:rPr>
                <w:rFonts w:cs="Arial"/>
                <w:sz w:val="16"/>
                <w:szCs w:val="16"/>
              </w:rPr>
              <w:t>48,64</w:t>
            </w:r>
          </w:p>
        </w:tc>
        <w:tc>
          <w:tcPr>
            <w:tcW w:w="697" w:type="dxa"/>
            <w:tcBorders>
              <w:top w:val="nil"/>
              <w:left w:val="nil"/>
              <w:bottom w:val="nil"/>
              <w:right w:val="nil"/>
            </w:tcBorders>
            <w:shd w:val="clear" w:color="auto" w:fill="auto"/>
            <w:noWrap/>
            <w:vAlign w:val="center"/>
            <w:hideMark/>
          </w:tcPr>
          <w:p w14:paraId="6B59195A" w14:textId="77777777" w:rsidR="00713B8F" w:rsidRPr="00713B8F" w:rsidRDefault="00713B8F" w:rsidP="00713B8F">
            <w:pPr>
              <w:spacing w:after="0" w:line="240" w:lineRule="auto"/>
              <w:jc w:val="right"/>
              <w:rPr>
                <w:rFonts w:cs="Arial"/>
                <w:sz w:val="16"/>
                <w:szCs w:val="16"/>
              </w:rPr>
            </w:pPr>
            <w:r w:rsidRPr="00713B8F">
              <w:rPr>
                <w:rFonts w:cs="Arial"/>
                <w:sz w:val="16"/>
                <w:szCs w:val="16"/>
              </w:rPr>
              <w:t>47,38</w:t>
            </w:r>
          </w:p>
        </w:tc>
        <w:tc>
          <w:tcPr>
            <w:tcW w:w="697" w:type="dxa"/>
            <w:tcBorders>
              <w:top w:val="nil"/>
              <w:left w:val="nil"/>
              <w:bottom w:val="nil"/>
              <w:right w:val="nil"/>
            </w:tcBorders>
            <w:shd w:val="clear" w:color="000000" w:fill="FFFFFF"/>
            <w:noWrap/>
            <w:vAlign w:val="center"/>
            <w:hideMark/>
          </w:tcPr>
          <w:p w14:paraId="542E80AA" w14:textId="77777777" w:rsidR="00713B8F" w:rsidRPr="00713B8F" w:rsidRDefault="00713B8F" w:rsidP="00713B8F">
            <w:pPr>
              <w:spacing w:after="0" w:line="240" w:lineRule="auto"/>
              <w:jc w:val="right"/>
              <w:rPr>
                <w:rFonts w:cs="Arial"/>
                <w:color w:val="000000"/>
                <w:sz w:val="16"/>
                <w:szCs w:val="16"/>
              </w:rPr>
            </w:pPr>
            <w:r w:rsidRPr="00713B8F">
              <w:rPr>
                <w:rFonts w:cs="Arial"/>
                <w:color w:val="000000"/>
                <w:sz w:val="16"/>
                <w:szCs w:val="16"/>
              </w:rPr>
              <w:t>44,36</w:t>
            </w:r>
          </w:p>
        </w:tc>
        <w:tc>
          <w:tcPr>
            <w:tcW w:w="697" w:type="dxa"/>
            <w:gridSpan w:val="2"/>
            <w:tcBorders>
              <w:top w:val="nil"/>
              <w:left w:val="nil"/>
              <w:bottom w:val="nil"/>
              <w:right w:val="nil"/>
            </w:tcBorders>
            <w:shd w:val="clear" w:color="000000" w:fill="FFFFFF"/>
            <w:noWrap/>
            <w:vAlign w:val="center"/>
            <w:hideMark/>
          </w:tcPr>
          <w:p w14:paraId="170AD40D" w14:textId="77777777" w:rsidR="00713B8F" w:rsidRPr="00713B8F" w:rsidRDefault="00713B8F" w:rsidP="00713B8F">
            <w:pPr>
              <w:spacing w:after="0" w:line="240" w:lineRule="auto"/>
              <w:jc w:val="right"/>
              <w:rPr>
                <w:rFonts w:cs="Arial"/>
                <w:color w:val="000000"/>
                <w:sz w:val="16"/>
                <w:szCs w:val="16"/>
              </w:rPr>
            </w:pPr>
            <w:r w:rsidRPr="00713B8F">
              <w:rPr>
                <w:rFonts w:cs="Arial"/>
                <w:color w:val="000000"/>
                <w:sz w:val="16"/>
                <w:szCs w:val="16"/>
              </w:rPr>
              <w:t>48,98</w:t>
            </w:r>
          </w:p>
        </w:tc>
      </w:tr>
    </w:tbl>
    <w:p w14:paraId="777DD99E" w14:textId="5B5AA0BF" w:rsidR="00297A8F" w:rsidRDefault="00297A8F" w:rsidP="00E91FAA">
      <w:pPr>
        <w:spacing w:before="120"/>
        <w:jc w:val="both"/>
        <w:rPr>
          <w:b/>
        </w:rPr>
      </w:pPr>
      <w:r>
        <w:rPr>
          <w:rFonts w:cs="Arial"/>
          <w:sz w:val="16"/>
          <w:szCs w:val="16"/>
        </w:rPr>
        <w:t>Zdroj: ČSÚ</w:t>
      </w:r>
    </w:p>
    <w:p w14:paraId="163E74B9" w14:textId="015AEF39" w:rsidR="008917BA" w:rsidRDefault="00E91FAA" w:rsidP="00F022F9">
      <w:pPr>
        <w:jc w:val="both"/>
      </w:pPr>
      <w:r>
        <w:lastRenderedPageBreak/>
        <w:t xml:space="preserve">Zajímavá skutečnost nastala u kategorie </w:t>
      </w:r>
      <w:r w:rsidRPr="00E91FAA">
        <w:rPr>
          <w:b/>
        </w:rPr>
        <w:t>osob samostatně výdělečně činných</w:t>
      </w:r>
      <w:r>
        <w:t xml:space="preserve">, které do pracovní neschopnosti nastupují méně často než zaměstnanci (7 </w:t>
      </w:r>
      <w:r w:rsidR="00DB3F89">
        <w:t xml:space="preserve">oproti 21 případům </w:t>
      </w:r>
      <w:r>
        <w:t xml:space="preserve">na 100 pojištěnců </w:t>
      </w:r>
      <w:r w:rsidR="008917BA">
        <w:t xml:space="preserve">za 1. pol. 2019), ale pokud jsou ze zdravotních důvodů z výkonu práce </w:t>
      </w:r>
      <w:r w:rsidR="00DB3F89">
        <w:t xml:space="preserve">dočasně </w:t>
      </w:r>
      <w:r w:rsidR="008917BA">
        <w:t xml:space="preserve">indisponováni, průměrná délka jejich pracovní neschopnosti značně převyšuje </w:t>
      </w:r>
      <w:r w:rsidR="00350C28">
        <w:t xml:space="preserve">průměrnou </w:t>
      </w:r>
      <w:r w:rsidR="00E765D3">
        <w:t>délku pro zaměstnance</w:t>
      </w:r>
      <w:r w:rsidR="00DB3F89">
        <w:t xml:space="preserve">. </w:t>
      </w:r>
      <w:r w:rsidR="00E765D3">
        <w:t>D</w:t>
      </w:r>
      <w:r w:rsidR="008917BA">
        <w:t xml:space="preserve">očasná pracovní neschopnost </w:t>
      </w:r>
      <w:r w:rsidR="00E765D3">
        <w:t xml:space="preserve">OSVČ </w:t>
      </w:r>
      <w:r w:rsidR="008917BA">
        <w:t>trvá průměrně 113 dní, zatímco v podnicích majících 50 a více zaměstnanců se pohybuje okolo 40 dnů, u</w:t>
      </w:r>
      <w:r w:rsidR="0047242F">
        <w:t> </w:t>
      </w:r>
      <w:r w:rsidR="008917BA">
        <w:t xml:space="preserve">kategorie do 50 zaměstnanců pak 47,6 dne. </w:t>
      </w:r>
      <w:r w:rsidR="00E765D3">
        <w:t>D</w:t>
      </w:r>
      <w:r w:rsidR="008917BA">
        <w:t>oba pracovní neschopnosti OSVČ z důvodu nemoci (115,2</w:t>
      </w:r>
      <w:r w:rsidR="00614C38">
        <w:t> </w:t>
      </w:r>
      <w:r w:rsidR="008917BA">
        <w:t>dne)</w:t>
      </w:r>
      <w:r w:rsidR="00E765D3">
        <w:t xml:space="preserve"> dokonce</w:t>
      </w:r>
      <w:r w:rsidR="008917BA">
        <w:t xml:space="preserve"> převyšuje délku pracovní neschopnosti z důvodu pracovního či jiného úrazu, což u</w:t>
      </w:r>
      <w:r w:rsidR="00614C38">
        <w:t> </w:t>
      </w:r>
      <w:r w:rsidR="008917BA">
        <w:t>zaměstnanců je přesně naopak. Delší doba trvání pracovní neschopnosti u OSVČ může souviset se skutečností, že tato skupina pojištěnců v době prvních 14 dní trvání pracovní neschopnosti není finančně zabezpečena jako ostatní pojištěnci, je jim vypláceno až nemocenské od 15. dne. Vzhledem k tomuto faktu pak krátkodobé případy lehčích forem nemocí neřeší pracovní neschopností, tu si nechají vystavit až při onemocnění vážnější chorobou, která si žádá dlouhodobější pracovní neschopnost.</w:t>
      </w:r>
    </w:p>
    <w:p w14:paraId="1480DF17" w14:textId="56DC45BB" w:rsidR="00883D0A" w:rsidRDefault="00883D0A" w:rsidP="0064109D">
      <w:pPr>
        <w:spacing w:after="120"/>
        <w:jc w:val="both"/>
        <w:rPr>
          <w:b/>
        </w:rPr>
      </w:pPr>
      <w:r w:rsidRPr="00883D0A">
        <w:rPr>
          <w:b/>
        </w:rPr>
        <w:t xml:space="preserve">Graf 2.9: Průměrná délka trvání případu dočasné pracovní neschopnosti </w:t>
      </w:r>
      <w:r w:rsidR="00E765D3">
        <w:rPr>
          <w:b/>
        </w:rPr>
        <w:t>OSVČ a zaměstnanců dle</w:t>
      </w:r>
      <w:r w:rsidRPr="00883D0A">
        <w:rPr>
          <w:b/>
        </w:rPr>
        <w:t xml:space="preserve"> velikosti</w:t>
      </w:r>
      <w:r w:rsidR="00E765D3">
        <w:rPr>
          <w:b/>
        </w:rPr>
        <w:t xml:space="preserve"> </w:t>
      </w:r>
      <w:r w:rsidRPr="00883D0A">
        <w:rPr>
          <w:b/>
        </w:rPr>
        <w:t>podniku</w:t>
      </w:r>
      <w:r w:rsidR="00E765D3">
        <w:rPr>
          <w:b/>
        </w:rPr>
        <w:t xml:space="preserve"> </w:t>
      </w:r>
      <w:r w:rsidRPr="00883D0A">
        <w:rPr>
          <w:b/>
        </w:rPr>
        <w:t>v 1. pol. 2019</w:t>
      </w:r>
    </w:p>
    <w:p w14:paraId="2493034D" w14:textId="7CE3F8AD" w:rsidR="00DD6112" w:rsidRPr="00E91FAA" w:rsidRDefault="00713B8F" w:rsidP="00DD6112">
      <w:pPr>
        <w:jc w:val="both"/>
        <w:rPr>
          <w:b/>
        </w:rPr>
      </w:pPr>
      <w:r>
        <w:rPr>
          <w:noProof/>
        </w:rPr>
        <w:drawing>
          <wp:inline distT="0" distB="0" distL="0" distR="0" wp14:anchorId="431D8DB6" wp14:editId="18CA5824">
            <wp:extent cx="6134100" cy="3343275"/>
            <wp:effectExtent l="0" t="0" r="0" b="0"/>
            <wp:docPr id="54" name="Graf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DD6112">
        <w:rPr>
          <w:rFonts w:cs="Arial"/>
          <w:sz w:val="16"/>
          <w:szCs w:val="16"/>
        </w:rPr>
        <w:t>Zdroj: ČSÚ</w:t>
      </w:r>
    </w:p>
    <w:p w14:paraId="36F25F3D" w14:textId="16C27460" w:rsidR="0047735C" w:rsidRDefault="00977F2A" w:rsidP="0047242F">
      <w:pPr>
        <w:pStyle w:val="Nadpis3"/>
        <w:spacing w:after="100"/>
        <w:jc w:val="both"/>
      </w:pPr>
      <w:bookmarkStart w:id="6" w:name="_Toc23318729"/>
      <w:r>
        <w:t xml:space="preserve">4.2.3. Průměrné procento dočasné pracovní neschopnosti a průměrný denní stav </w:t>
      </w:r>
      <w:r w:rsidR="0047242F">
        <w:t xml:space="preserve">dočasně </w:t>
      </w:r>
      <w:r>
        <w:t>práce neschopných</w:t>
      </w:r>
      <w:bookmarkEnd w:id="6"/>
    </w:p>
    <w:p w14:paraId="0B3C7ED4" w14:textId="4D67688C" w:rsidR="002E0185" w:rsidRPr="002E0185" w:rsidRDefault="002E0185" w:rsidP="002E0185">
      <w:pPr>
        <w:jc w:val="both"/>
      </w:pPr>
      <w:r>
        <w:t>Nejkomplexnějším ukazatelem statistiky pracovní neschopnosti pro nemoc a úraz je průměrné procento dočasné pracovní neschopnosti.</w:t>
      </w:r>
      <w:r w:rsidRPr="002E0185">
        <w:t xml:space="preserve"> </w:t>
      </w:r>
      <w:r w:rsidRPr="00F40DD1">
        <w:t xml:space="preserve">Zohledňuje jak celkový počet případů pracovní neschopnosti (jak často lidé do pracovní neschopnosti nastupují), tak i průměrné trvání jednoho případu pracovní neschopnosti (jak dlouho v pracovní neschopnosti </w:t>
      </w:r>
      <w:r w:rsidR="00935C87">
        <w:t>setrvávají</w:t>
      </w:r>
      <w:r w:rsidRPr="00F40DD1">
        <w:t>).</w:t>
      </w:r>
      <w:r w:rsidR="00C26C4E">
        <w:t xml:space="preserve"> Statistiky pak doplňuje ještě další relativní ukazatel – průměrný denní stav práce neschopných, který </w:t>
      </w:r>
      <w:r w:rsidR="00935C87">
        <w:t>říká</w:t>
      </w:r>
      <w:r w:rsidR="00C26C4E">
        <w:t xml:space="preserve">, kolik </w:t>
      </w:r>
      <w:r w:rsidR="00935C87">
        <w:t xml:space="preserve">osob </w:t>
      </w:r>
      <w:r w:rsidR="00C26C4E">
        <w:t>průměrně denně chybělo na svém pracovišti v důsledku dočasné pracovní neschopnosti pro nemoc a úraz.</w:t>
      </w:r>
    </w:p>
    <w:p w14:paraId="2ADA526D" w14:textId="29FC0E1F" w:rsidR="003116A3" w:rsidRPr="003116A3" w:rsidRDefault="003116A3" w:rsidP="005A0510">
      <w:pPr>
        <w:pStyle w:val="Box1"/>
        <w:jc w:val="both"/>
        <w:rPr>
          <w:i/>
        </w:rPr>
      </w:pPr>
      <w:r>
        <w:rPr>
          <w:b/>
          <w:i/>
        </w:rPr>
        <w:t>P</w:t>
      </w:r>
      <w:r w:rsidRPr="003116A3">
        <w:rPr>
          <w:b/>
          <w:i/>
        </w:rPr>
        <w:t xml:space="preserve">růměrné procento </w:t>
      </w:r>
      <w:r>
        <w:rPr>
          <w:b/>
          <w:i/>
        </w:rPr>
        <w:t xml:space="preserve">dočasné </w:t>
      </w:r>
      <w:r w:rsidRPr="003116A3">
        <w:rPr>
          <w:b/>
          <w:i/>
        </w:rPr>
        <w:t xml:space="preserve">pracovní neschopnosti </w:t>
      </w:r>
      <w:r w:rsidR="008701E4" w:rsidRPr="00F46EA8">
        <w:rPr>
          <w:i/>
        </w:rPr>
        <w:t xml:space="preserve">– </w:t>
      </w:r>
      <w:r>
        <w:rPr>
          <w:i/>
        </w:rPr>
        <w:t>u</w:t>
      </w:r>
      <w:r w:rsidRPr="003116A3">
        <w:rPr>
          <w:i/>
        </w:rPr>
        <w:t>kazatel udává, kolik ze 100 pojištěnců je průměrně každý den v pracovní neschopnosti pro nemoc</w:t>
      </w:r>
      <w:r>
        <w:rPr>
          <w:i/>
        </w:rPr>
        <w:t xml:space="preserve"> či úraz. </w:t>
      </w:r>
      <w:r w:rsidRPr="003116A3">
        <w:rPr>
          <w:i/>
        </w:rPr>
        <w:t>Vyjadřuje podíl kalendářních dnů pracovní neschopnosti na celkovém kalendářním fondu pojištěnců ve sledovaném období (</w:t>
      </w:r>
      <w:r w:rsidR="00935C87">
        <w:rPr>
          <w:i/>
        </w:rPr>
        <w:t>pololetí</w:t>
      </w:r>
      <w:r w:rsidRPr="003116A3">
        <w:rPr>
          <w:i/>
        </w:rPr>
        <w:t xml:space="preserve">) vyjádřený v procentech. </w:t>
      </w:r>
    </w:p>
    <w:p w14:paraId="72B12D70" w14:textId="77777777" w:rsidR="0047242F" w:rsidRDefault="0047242F">
      <w:pPr>
        <w:spacing w:after="0" w:line="240" w:lineRule="auto"/>
        <w:rPr>
          <w:rFonts w:eastAsia="Calibri" w:cs="Arial"/>
          <w:i/>
          <w:szCs w:val="20"/>
          <w:u w:val="single"/>
        </w:rPr>
      </w:pPr>
      <w:r>
        <w:rPr>
          <w:i/>
          <w:u w:val="single"/>
        </w:rPr>
        <w:br w:type="page"/>
      </w:r>
    </w:p>
    <w:p w14:paraId="1498D70C" w14:textId="20B8F58F" w:rsidR="003116A3" w:rsidRPr="003116A3" w:rsidRDefault="003116A3" w:rsidP="005A0510">
      <w:pPr>
        <w:pStyle w:val="Box1"/>
        <w:jc w:val="both"/>
        <w:rPr>
          <w:i/>
          <w:u w:val="single"/>
        </w:rPr>
      </w:pPr>
      <w:r w:rsidRPr="003116A3">
        <w:rPr>
          <w:i/>
          <w:u w:val="single"/>
        </w:rPr>
        <w:lastRenderedPageBreak/>
        <w:t>Způsob výpočtu:</w:t>
      </w:r>
    </w:p>
    <w:p w14:paraId="467EAAB8" w14:textId="77777777" w:rsidR="00764989" w:rsidRDefault="003116A3" w:rsidP="005A0510">
      <w:pPr>
        <w:pStyle w:val="Box1"/>
        <w:jc w:val="both"/>
        <w:rPr>
          <w:i/>
        </w:rPr>
      </w:pPr>
      <w:r w:rsidRPr="003116A3">
        <w:rPr>
          <w:i/>
        </w:rPr>
        <w:t xml:space="preserve">Průměrné procento </w:t>
      </w:r>
      <w:r w:rsidR="00C53647">
        <w:rPr>
          <w:i/>
        </w:rPr>
        <w:t xml:space="preserve">dočasné </w:t>
      </w:r>
      <w:r w:rsidRPr="003116A3">
        <w:rPr>
          <w:i/>
        </w:rPr>
        <w:t>pracovní neschopnosti = počet kalendářních dnů dočasné pracovní neschopnosti x 10</w:t>
      </w:r>
      <w:r w:rsidR="0089159B">
        <w:rPr>
          <w:i/>
        </w:rPr>
        <w:t>0</w:t>
      </w:r>
      <w:r w:rsidRPr="003116A3">
        <w:rPr>
          <w:i/>
        </w:rPr>
        <w:t xml:space="preserve"> / (průměrný počet osob nemocensky pojištěných x počet kalendářních dnů ve sledovaném období</w:t>
      </w:r>
      <w:r w:rsidR="0089159B">
        <w:rPr>
          <w:i/>
        </w:rPr>
        <w:t>)</w:t>
      </w:r>
      <w:r w:rsidR="00764989">
        <w:rPr>
          <w:i/>
        </w:rPr>
        <w:t>.</w:t>
      </w:r>
    </w:p>
    <w:p w14:paraId="04683A00" w14:textId="77777777" w:rsidR="00764989" w:rsidRDefault="00764989" w:rsidP="005A0510">
      <w:pPr>
        <w:pStyle w:val="Box1"/>
        <w:jc w:val="both"/>
        <w:rPr>
          <w:i/>
        </w:rPr>
      </w:pPr>
    </w:p>
    <w:p w14:paraId="2D85CDB8" w14:textId="086CD465" w:rsidR="00764989" w:rsidRPr="0089159B" w:rsidRDefault="00764989" w:rsidP="005A0510">
      <w:pPr>
        <w:pStyle w:val="Box1"/>
        <w:jc w:val="both"/>
        <w:rPr>
          <w:i/>
        </w:rPr>
      </w:pPr>
      <w:r w:rsidRPr="0089159B">
        <w:rPr>
          <w:b/>
          <w:i/>
        </w:rPr>
        <w:t xml:space="preserve">Průměrný denní stav </w:t>
      </w:r>
      <w:r w:rsidR="0047242F">
        <w:rPr>
          <w:b/>
          <w:i/>
        </w:rPr>
        <w:t xml:space="preserve">dočasně </w:t>
      </w:r>
      <w:r w:rsidRPr="0089159B">
        <w:rPr>
          <w:b/>
          <w:i/>
        </w:rPr>
        <w:t>práce neschopných</w:t>
      </w:r>
      <w:r>
        <w:rPr>
          <w:b/>
          <w:i/>
        </w:rPr>
        <w:t xml:space="preserve"> </w:t>
      </w:r>
      <w:r w:rsidRPr="00F46EA8">
        <w:rPr>
          <w:i/>
        </w:rPr>
        <w:t xml:space="preserve">– </w:t>
      </w:r>
      <w:r>
        <w:rPr>
          <w:i/>
        </w:rPr>
        <w:t>u</w:t>
      </w:r>
      <w:r w:rsidRPr="0089159B">
        <w:rPr>
          <w:i/>
        </w:rPr>
        <w:t xml:space="preserve">kazatel </w:t>
      </w:r>
      <w:r>
        <w:rPr>
          <w:i/>
        </w:rPr>
        <w:t>vyjadřuje</w:t>
      </w:r>
      <w:r w:rsidRPr="0089159B">
        <w:rPr>
          <w:i/>
        </w:rPr>
        <w:t xml:space="preserve"> počet nemocensky pojištěných, kteří byli ve sledovaném období (</w:t>
      </w:r>
      <w:r w:rsidR="001D40F4">
        <w:rPr>
          <w:i/>
        </w:rPr>
        <w:t>pololetí</w:t>
      </w:r>
      <w:r w:rsidRPr="0089159B">
        <w:rPr>
          <w:i/>
        </w:rPr>
        <w:t>) průměrně denně nepřítomni v práci z důvod</w:t>
      </w:r>
      <w:r w:rsidR="0047242F">
        <w:rPr>
          <w:i/>
        </w:rPr>
        <w:t>u</w:t>
      </w:r>
      <w:r w:rsidRPr="0089159B">
        <w:rPr>
          <w:i/>
        </w:rPr>
        <w:t xml:space="preserve"> pracovní neschopnosti. </w:t>
      </w:r>
    </w:p>
    <w:p w14:paraId="0131DCC5" w14:textId="77777777" w:rsidR="00764989" w:rsidRPr="0089159B" w:rsidRDefault="00764989" w:rsidP="005A0510">
      <w:pPr>
        <w:pStyle w:val="Box1"/>
        <w:jc w:val="both"/>
        <w:rPr>
          <w:i/>
          <w:u w:val="single"/>
        </w:rPr>
      </w:pPr>
      <w:r w:rsidRPr="0089159B">
        <w:rPr>
          <w:i/>
          <w:u w:val="single"/>
        </w:rPr>
        <w:t>Způsob výpočtu:</w:t>
      </w:r>
    </w:p>
    <w:p w14:paraId="70EF2BA2" w14:textId="427235B9" w:rsidR="00764989" w:rsidRPr="00F46EA8" w:rsidRDefault="00764989" w:rsidP="005A0510">
      <w:pPr>
        <w:pStyle w:val="Box1"/>
        <w:jc w:val="both"/>
        <w:rPr>
          <w:i/>
        </w:rPr>
      </w:pPr>
      <w:r w:rsidRPr="0089159B">
        <w:rPr>
          <w:i/>
        </w:rPr>
        <w:t>Průměrný denní stav</w:t>
      </w:r>
      <w:r w:rsidR="0047242F">
        <w:rPr>
          <w:i/>
        </w:rPr>
        <w:t xml:space="preserve"> dočasně</w:t>
      </w:r>
      <w:r w:rsidRPr="0089159B">
        <w:rPr>
          <w:i/>
        </w:rPr>
        <w:t xml:space="preserve"> práce neschopných = </w:t>
      </w:r>
      <w:r w:rsidR="00D044F5">
        <w:rPr>
          <w:i/>
        </w:rPr>
        <w:t xml:space="preserve">počet </w:t>
      </w:r>
      <w:r w:rsidRPr="0089159B">
        <w:rPr>
          <w:i/>
        </w:rPr>
        <w:t>kalendářní</w:t>
      </w:r>
      <w:r w:rsidR="00D044F5">
        <w:rPr>
          <w:i/>
        </w:rPr>
        <w:t>ch</w:t>
      </w:r>
      <w:r w:rsidRPr="0089159B">
        <w:rPr>
          <w:i/>
        </w:rPr>
        <w:t xml:space="preserve"> dn</w:t>
      </w:r>
      <w:r w:rsidR="00D044F5">
        <w:rPr>
          <w:i/>
        </w:rPr>
        <w:t>ů</w:t>
      </w:r>
      <w:r w:rsidRPr="0089159B">
        <w:rPr>
          <w:i/>
        </w:rPr>
        <w:t xml:space="preserve"> dočasné pracovní neschopnosti / počet kalendářních dnů ve sledovaném období</w:t>
      </w:r>
      <w:r>
        <w:rPr>
          <w:i/>
        </w:rPr>
        <w:t>.</w:t>
      </w:r>
    </w:p>
    <w:p w14:paraId="43EE8AB9" w14:textId="727A206D" w:rsidR="00C45357" w:rsidRDefault="00935C87" w:rsidP="00F42CC1">
      <w:pPr>
        <w:pStyle w:val="Zkladntextodsazen"/>
        <w:spacing w:after="240" w:line="288" w:lineRule="auto"/>
        <w:ind w:left="0"/>
        <w:jc w:val="both"/>
        <w:rPr>
          <w:rFonts w:cs="Arial"/>
        </w:rPr>
      </w:pPr>
      <w:r>
        <w:rPr>
          <w:rFonts w:cs="Arial"/>
        </w:rPr>
        <w:t xml:space="preserve">V 1. pol. 2019 bylo v průměru 4,85 % pojištěnců </w:t>
      </w:r>
      <w:r w:rsidR="0021523B">
        <w:rPr>
          <w:rFonts w:cs="Arial"/>
        </w:rPr>
        <w:t>denně</w:t>
      </w:r>
      <w:r>
        <w:rPr>
          <w:rFonts w:cs="Arial"/>
        </w:rPr>
        <w:t xml:space="preserve"> v pracovní neschopnosti. </w:t>
      </w:r>
      <w:r w:rsidR="00F42CC1">
        <w:rPr>
          <w:rFonts w:cs="Arial"/>
        </w:rPr>
        <w:t xml:space="preserve">Ve stejném období roku 2018 činila hodnota ukazatele 4,76 %, došlo tedy k nárůstu o </w:t>
      </w:r>
      <w:r>
        <w:rPr>
          <w:rFonts w:cs="Arial"/>
        </w:rPr>
        <w:t>0,</w:t>
      </w:r>
      <w:r w:rsidR="0021523B">
        <w:rPr>
          <w:rFonts w:cs="Arial"/>
        </w:rPr>
        <w:t>09</w:t>
      </w:r>
      <w:r>
        <w:rPr>
          <w:rFonts w:cs="Arial"/>
        </w:rPr>
        <w:t xml:space="preserve"> </w:t>
      </w:r>
      <w:r w:rsidR="00F42CC1">
        <w:rPr>
          <w:rFonts w:cs="Arial"/>
        </w:rPr>
        <w:t>p. b</w:t>
      </w:r>
      <w:r>
        <w:rPr>
          <w:rFonts w:cs="Arial"/>
        </w:rPr>
        <w:t>. Hodnota tohoto ukazatele již od roku 201</w:t>
      </w:r>
      <w:r w:rsidR="00D044F5">
        <w:rPr>
          <w:rFonts w:cs="Arial"/>
        </w:rPr>
        <w:t>5</w:t>
      </w:r>
      <w:r>
        <w:rPr>
          <w:rFonts w:cs="Arial"/>
        </w:rPr>
        <w:t xml:space="preserve"> neustále roste a </w:t>
      </w:r>
      <w:r w:rsidR="00D044F5">
        <w:rPr>
          <w:rFonts w:cs="Arial"/>
        </w:rPr>
        <w:t xml:space="preserve">v současnosti se </w:t>
      </w:r>
      <w:r>
        <w:rPr>
          <w:rFonts w:cs="Arial"/>
        </w:rPr>
        <w:t>blíží k 5% hranici, která byla naposledy překročena v roce 2008.</w:t>
      </w:r>
      <w:r w:rsidR="00D46673">
        <w:rPr>
          <w:rFonts w:cs="Arial"/>
        </w:rPr>
        <w:t xml:space="preserve"> Vyšší procento dlouhodobě vykazují ženy. V 1. pol. 2019 bylo každý den v pracovní neschopnosti v průměru 5,35 % žen, kdežto 4,36 % mužů.</w:t>
      </w:r>
    </w:p>
    <w:p w14:paraId="0D644D23" w14:textId="6DF09298" w:rsidR="00C3345B" w:rsidRDefault="00690A91" w:rsidP="0064109D">
      <w:pPr>
        <w:spacing w:after="120"/>
        <w:jc w:val="both"/>
        <w:rPr>
          <w:b/>
        </w:rPr>
      </w:pPr>
      <w:r w:rsidRPr="00690A91">
        <w:rPr>
          <w:b/>
        </w:rPr>
        <w:t>Tab. 2.7</w:t>
      </w:r>
      <w:r>
        <w:rPr>
          <w:b/>
        </w:rPr>
        <w:t xml:space="preserve">: </w:t>
      </w:r>
      <w:r w:rsidRPr="00690A91">
        <w:rPr>
          <w:b/>
        </w:rPr>
        <w:t>Průměrné procento dočasné pracovní neschopnosti dle odvětví ekonomické činnosti</w:t>
      </w:r>
      <w:r w:rsidR="00C45357">
        <w:rPr>
          <w:b/>
        </w:rPr>
        <w:t xml:space="preserve"> (sekcí CZ-NACE)</w:t>
      </w:r>
      <w:r w:rsidRPr="00690A91">
        <w:rPr>
          <w:b/>
        </w:rPr>
        <w:t xml:space="preserve"> v 1. pol. 2010 – 1. pol. 2019</w:t>
      </w:r>
    </w:p>
    <w:tbl>
      <w:tblPr>
        <w:tblW w:w="9766" w:type="dxa"/>
        <w:tblCellMar>
          <w:left w:w="70" w:type="dxa"/>
          <w:right w:w="70" w:type="dxa"/>
        </w:tblCellMar>
        <w:tblLook w:val="04A0" w:firstRow="1" w:lastRow="0" w:firstColumn="1" w:lastColumn="0" w:noHBand="0" w:noVBand="1"/>
      </w:tblPr>
      <w:tblGrid>
        <w:gridCol w:w="3390"/>
        <w:gridCol w:w="635"/>
        <w:gridCol w:w="635"/>
        <w:gridCol w:w="635"/>
        <w:gridCol w:w="635"/>
        <w:gridCol w:w="635"/>
        <w:gridCol w:w="635"/>
        <w:gridCol w:w="635"/>
        <w:gridCol w:w="635"/>
        <w:gridCol w:w="635"/>
        <w:gridCol w:w="634"/>
        <w:gridCol w:w="27"/>
      </w:tblGrid>
      <w:tr w:rsidR="00690A91" w:rsidRPr="00690A91" w14:paraId="75609881" w14:textId="77777777" w:rsidTr="00B3736B">
        <w:trPr>
          <w:gridAfter w:val="1"/>
          <w:wAfter w:w="27" w:type="dxa"/>
          <w:trHeight w:val="302"/>
        </w:trPr>
        <w:tc>
          <w:tcPr>
            <w:tcW w:w="3390" w:type="dxa"/>
            <w:vMerge w:val="restart"/>
            <w:tcBorders>
              <w:top w:val="single" w:sz="4" w:space="0" w:color="auto"/>
              <w:left w:val="nil"/>
              <w:bottom w:val="single" w:sz="4" w:space="0" w:color="000000"/>
              <w:right w:val="nil"/>
            </w:tcBorders>
            <w:shd w:val="clear" w:color="000000" w:fill="F5DADD"/>
            <w:vAlign w:val="center"/>
            <w:hideMark/>
          </w:tcPr>
          <w:p w14:paraId="70EC923C" w14:textId="77777777" w:rsidR="00690A91" w:rsidRPr="00690A91" w:rsidRDefault="00690A91" w:rsidP="00690A91">
            <w:pPr>
              <w:spacing w:after="0" w:line="240" w:lineRule="auto"/>
              <w:jc w:val="center"/>
              <w:rPr>
                <w:rFonts w:ascii="Arial CE" w:hAnsi="Arial CE" w:cs="Arial CE"/>
                <w:sz w:val="16"/>
                <w:szCs w:val="16"/>
              </w:rPr>
            </w:pPr>
            <w:r w:rsidRPr="00690A91">
              <w:rPr>
                <w:rFonts w:ascii="Arial CE" w:hAnsi="Arial CE" w:cs="Arial CE"/>
                <w:sz w:val="16"/>
                <w:szCs w:val="16"/>
              </w:rPr>
              <w:t>Sekce CZ-NACE</w:t>
            </w:r>
          </w:p>
        </w:tc>
        <w:tc>
          <w:tcPr>
            <w:tcW w:w="6349" w:type="dxa"/>
            <w:gridSpan w:val="10"/>
            <w:tcBorders>
              <w:top w:val="single" w:sz="4" w:space="0" w:color="auto"/>
              <w:left w:val="single" w:sz="4" w:space="0" w:color="auto"/>
              <w:bottom w:val="single" w:sz="4" w:space="0" w:color="auto"/>
              <w:right w:val="nil"/>
            </w:tcBorders>
            <w:shd w:val="clear" w:color="000000" w:fill="F2DCDB"/>
            <w:vAlign w:val="center"/>
            <w:hideMark/>
          </w:tcPr>
          <w:p w14:paraId="3EB308AD" w14:textId="77777777" w:rsidR="00690A91" w:rsidRPr="00690A91" w:rsidRDefault="00690A91" w:rsidP="0021523B">
            <w:pPr>
              <w:spacing w:after="0" w:line="240" w:lineRule="auto"/>
              <w:jc w:val="center"/>
              <w:rPr>
                <w:rFonts w:ascii="Arial CE" w:hAnsi="Arial CE" w:cs="Arial CE"/>
                <w:sz w:val="16"/>
                <w:szCs w:val="16"/>
              </w:rPr>
            </w:pPr>
            <w:r w:rsidRPr="00690A91">
              <w:rPr>
                <w:rFonts w:ascii="Arial CE" w:hAnsi="Arial CE" w:cs="Arial CE"/>
                <w:sz w:val="16"/>
                <w:szCs w:val="16"/>
              </w:rPr>
              <w:t>Průměrné procento dočasné pracovní neschopnosti</w:t>
            </w:r>
          </w:p>
        </w:tc>
      </w:tr>
      <w:tr w:rsidR="00690A91" w:rsidRPr="00690A91" w14:paraId="30F9090D" w14:textId="77777777" w:rsidTr="00B3736B">
        <w:trPr>
          <w:gridAfter w:val="1"/>
          <w:wAfter w:w="27" w:type="dxa"/>
          <w:trHeight w:val="454"/>
        </w:trPr>
        <w:tc>
          <w:tcPr>
            <w:tcW w:w="3390" w:type="dxa"/>
            <w:vMerge/>
            <w:tcBorders>
              <w:top w:val="single" w:sz="4" w:space="0" w:color="auto"/>
              <w:left w:val="nil"/>
              <w:bottom w:val="single" w:sz="4" w:space="0" w:color="000000"/>
              <w:right w:val="nil"/>
            </w:tcBorders>
            <w:vAlign w:val="center"/>
            <w:hideMark/>
          </w:tcPr>
          <w:p w14:paraId="15C78DE5" w14:textId="77777777" w:rsidR="00690A91" w:rsidRPr="00690A91" w:rsidRDefault="00690A91" w:rsidP="00690A91">
            <w:pPr>
              <w:spacing w:after="0" w:line="240" w:lineRule="auto"/>
              <w:rPr>
                <w:rFonts w:ascii="Arial CE" w:hAnsi="Arial CE" w:cs="Arial CE"/>
                <w:sz w:val="16"/>
                <w:szCs w:val="16"/>
              </w:rPr>
            </w:pPr>
          </w:p>
        </w:tc>
        <w:tc>
          <w:tcPr>
            <w:tcW w:w="635" w:type="dxa"/>
            <w:tcBorders>
              <w:top w:val="nil"/>
              <w:left w:val="single" w:sz="4" w:space="0" w:color="auto"/>
              <w:bottom w:val="single" w:sz="4" w:space="0" w:color="auto"/>
              <w:right w:val="single" w:sz="4" w:space="0" w:color="auto"/>
            </w:tcBorders>
            <w:shd w:val="clear" w:color="000000" w:fill="F2DCDB"/>
            <w:vAlign w:val="center"/>
            <w:hideMark/>
          </w:tcPr>
          <w:p w14:paraId="239B3594" w14:textId="77777777" w:rsidR="00690A91" w:rsidRPr="00690A91" w:rsidRDefault="00690A91" w:rsidP="0021523B">
            <w:pPr>
              <w:spacing w:after="0" w:line="240" w:lineRule="auto"/>
              <w:jc w:val="center"/>
              <w:rPr>
                <w:rFonts w:cs="Arial"/>
                <w:sz w:val="16"/>
                <w:szCs w:val="16"/>
              </w:rPr>
            </w:pPr>
            <w:r w:rsidRPr="00690A91">
              <w:rPr>
                <w:rFonts w:cs="Arial"/>
                <w:sz w:val="16"/>
                <w:szCs w:val="16"/>
              </w:rPr>
              <w:t xml:space="preserve">1. pol. </w:t>
            </w:r>
            <w:r w:rsidRPr="00690A91">
              <w:rPr>
                <w:rFonts w:cs="Arial"/>
                <w:sz w:val="16"/>
                <w:szCs w:val="16"/>
              </w:rPr>
              <w:br/>
              <w:t>2010</w:t>
            </w:r>
          </w:p>
        </w:tc>
        <w:tc>
          <w:tcPr>
            <w:tcW w:w="635" w:type="dxa"/>
            <w:tcBorders>
              <w:top w:val="nil"/>
              <w:left w:val="nil"/>
              <w:bottom w:val="single" w:sz="4" w:space="0" w:color="auto"/>
              <w:right w:val="single" w:sz="4" w:space="0" w:color="auto"/>
            </w:tcBorders>
            <w:shd w:val="clear" w:color="000000" w:fill="F2DCDB"/>
            <w:vAlign w:val="center"/>
            <w:hideMark/>
          </w:tcPr>
          <w:p w14:paraId="146328C3" w14:textId="77777777" w:rsidR="00690A91" w:rsidRPr="00690A91" w:rsidRDefault="00690A91" w:rsidP="0021523B">
            <w:pPr>
              <w:spacing w:after="0" w:line="240" w:lineRule="auto"/>
              <w:jc w:val="center"/>
              <w:rPr>
                <w:rFonts w:cs="Arial"/>
                <w:sz w:val="16"/>
                <w:szCs w:val="16"/>
              </w:rPr>
            </w:pPr>
            <w:r w:rsidRPr="00690A91">
              <w:rPr>
                <w:rFonts w:cs="Arial"/>
                <w:sz w:val="16"/>
                <w:szCs w:val="16"/>
              </w:rPr>
              <w:t xml:space="preserve">1. pol. </w:t>
            </w:r>
            <w:r w:rsidRPr="00690A91">
              <w:rPr>
                <w:rFonts w:cs="Arial"/>
                <w:sz w:val="16"/>
                <w:szCs w:val="16"/>
              </w:rPr>
              <w:br/>
              <w:t>2011</w:t>
            </w:r>
          </w:p>
        </w:tc>
        <w:tc>
          <w:tcPr>
            <w:tcW w:w="635" w:type="dxa"/>
            <w:tcBorders>
              <w:top w:val="nil"/>
              <w:left w:val="nil"/>
              <w:bottom w:val="single" w:sz="4" w:space="0" w:color="auto"/>
              <w:right w:val="single" w:sz="4" w:space="0" w:color="auto"/>
            </w:tcBorders>
            <w:shd w:val="clear" w:color="000000" w:fill="F2DCDB"/>
            <w:vAlign w:val="center"/>
            <w:hideMark/>
          </w:tcPr>
          <w:p w14:paraId="3B1F8AF2" w14:textId="77777777" w:rsidR="00690A91" w:rsidRPr="00690A91" w:rsidRDefault="00690A91" w:rsidP="0021523B">
            <w:pPr>
              <w:spacing w:after="0" w:line="240" w:lineRule="auto"/>
              <w:jc w:val="center"/>
              <w:rPr>
                <w:rFonts w:cs="Arial"/>
                <w:sz w:val="16"/>
                <w:szCs w:val="16"/>
              </w:rPr>
            </w:pPr>
            <w:r w:rsidRPr="00690A91">
              <w:rPr>
                <w:rFonts w:cs="Arial"/>
                <w:sz w:val="16"/>
                <w:szCs w:val="16"/>
              </w:rPr>
              <w:t xml:space="preserve">1. pol. </w:t>
            </w:r>
            <w:r w:rsidRPr="00690A91">
              <w:rPr>
                <w:rFonts w:cs="Arial"/>
                <w:sz w:val="16"/>
                <w:szCs w:val="16"/>
              </w:rPr>
              <w:br/>
              <w:t>2012</w:t>
            </w:r>
          </w:p>
        </w:tc>
        <w:tc>
          <w:tcPr>
            <w:tcW w:w="635" w:type="dxa"/>
            <w:tcBorders>
              <w:top w:val="nil"/>
              <w:left w:val="nil"/>
              <w:bottom w:val="single" w:sz="4" w:space="0" w:color="auto"/>
              <w:right w:val="single" w:sz="4" w:space="0" w:color="auto"/>
            </w:tcBorders>
            <w:shd w:val="clear" w:color="000000" w:fill="F2DCDB"/>
            <w:vAlign w:val="center"/>
            <w:hideMark/>
          </w:tcPr>
          <w:p w14:paraId="4422320B" w14:textId="77777777" w:rsidR="00690A91" w:rsidRPr="00690A91" w:rsidRDefault="00690A91" w:rsidP="0021523B">
            <w:pPr>
              <w:spacing w:after="0" w:line="240" w:lineRule="auto"/>
              <w:jc w:val="center"/>
              <w:rPr>
                <w:rFonts w:cs="Arial"/>
                <w:sz w:val="16"/>
                <w:szCs w:val="16"/>
              </w:rPr>
            </w:pPr>
            <w:r w:rsidRPr="00690A91">
              <w:rPr>
                <w:rFonts w:cs="Arial"/>
                <w:sz w:val="16"/>
                <w:szCs w:val="16"/>
              </w:rPr>
              <w:t xml:space="preserve">1. pol. </w:t>
            </w:r>
            <w:r w:rsidRPr="00690A91">
              <w:rPr>
                <w:rFonts w:cs="Arial"/>
                <w:sz w:val="16"/>
                <w:szCs w:val="16"/>
              </w:rPr>
              <w:br/>
              <w:t>2013</w:t>
            </w:r>
          </w:p>
        </w:tc>
        <w:tc>
          <w:tcPr>
            <w:tcW w:w="635" w:type="dxa"/>
            <w:tcBorders>
              <w:top w:val="nil"/>
              <w:left w:val="nil"/>
              <w:bottom w:val="single" w:sz="4" w:space="0" w:color="auto"/>
              <w:right w:val="single" w:sz="4" w:space="0" w:color="auto"/>
            </w:tcBorders>
            <w:shd w:val="clear" w:color="000000" w:fill="F2DCDB"/>
            <w:vAlign w:val="center"/>
            <w:hideMark/>
          </w:tcPr>
          <w:p w14:paraId="6EE69873" w14:textId="77777777" w:rsidR="00690A91" w:rsidRPr="00690A91" w:rsidRDefault="00690A91" w:rsidP="0021523B">
            <w:pPr>
              <w:spacing w:after="0" w:line="240" w:lineRule="auto"/>
              <w:jc w:val="center"/>
              <w:rPr>
                <w:rFonts w:cs="Arial"/>
                <w:sz w:val="16"/>
                <w:szCs w:val="16"/>
              </w:rPr>
            </w:pPr>
            <w:r w:rsidRPr="00690A91">
              <w:rPr>
                <w:rFonts w:cs="Arial"/>
                <w:sz w:val="16"/>
                <w:szCs w:val="16"/>
              </w:rPr>
              <w:t xml:space="preserve">1. pol. </w:t>
            </w:r>
            <w:r w:rsidRPr="00690A91">
              <w:rPr>
                <w:rFonts w:cs="Arial"/>
                <w:sz w:val="16"/>
                <w:szCs w:val="16"/>
              </w:rPr>
              <w:br/>
              <w:t>2014</w:t>
            </w:r>
          </w:p>
        </w:tc>
        <w:tc>
          <w:tcPr>
            <w:tcW w:w="635" w:type="dxa"/>
            <w:tcBorders>
              <w:top w:val="nil"/>
              <w:left w:val="nil"/>
              <w:bottom w:val="single" w:sz="4" w:space="0" w:color="auto"/>
              <w:right w:val="single" w:sz="4" w:space="0" w:color="auto"/>
            </w:tcBorders>
            <w:shd w:val="clear" w:color="000000" w:fill="F2DCDB"/>
            <w:vAlign w:val="center"/>
            <w:hideMark/>
          </w:tcPr>
          <w:p w14:paraId="1F73666C" w14:textId="77777777" w:rsidR="00690A91" w:rsidRPr="00690A91" w:rsidRDefault="00690A91" w:rsidP="0021523B">
            <w:pPr>
              <w:spacing w:after="0" w:line="240" w:lineRule="auto"/>
              <w:jc w:val="center"/>
              <w:rPr>
                <w:rFonts w:cs="Arial"/>
                <w:sz w:val="16"/>
                <w:szCs w:val="16"/>
              </w:rPr>
            </w:pPr>
            <w:r w:rsidRPr="00690A91">
              <w:rPr>
                <w:rFonts w:cs="Arial"/>
                <w:sz w:val="16"/>
                <w:szCs w:val="16"/>
              </w:rPr>
              <w:t xml:space="preserve">1. pol. </w:t>
            </w:r>
            <w:r w:rsidRPr="00690A91">
              <w:rPr>
                <w:rFonts w:cs="Arial"/>
                <w:sz w:val="16"/>
                <w:szCs w:val="16"/>
              </w:rPr>
              <w:br/>
              <w:t>2015</w:t>
            </w:r>
          </w:p>
        </w:tc>
        <w:tc>
          <w:tcPr>
            <w:tcW w:w="635" w:type="dxa"/>
            <w:tcBorders>
              <w:top w:val="nil"/>
              <w:left w:val="nil"/>
              <w:bottom w:val="single" w:sz="4" w:space="0" w:color="auto"/>
              <w:right w:val="single" w:sz="4" w:space="0" w:color="auto"/>
            </w:tcBorders>
            <w:shd w:val="clear" w:color="000000" w:fill="F2DCDB"/>
            <w:vAlign w:val="center"/>
            <w:hideMark/>
          </w:tcPr>
          <w:p w14:paraId="292CED6A" w14:textId="77777777" w:rsidR="00690A91" w:rsidRPr="00690A91" w:rsidRDefault="00690A91" w:rsidP="0021523B">
            <w:pPr>
              <w:spacing w:after="0" w:line="240" w:lineRule="auto"/>
              <w:jc w:val="center"/>
              <w:rPr>
                <w:rFonts w:cs="Arial"/>
                <w:sz w:val="16"/>
                <w:szCs w:val="16"/>
              </w:rPr>
            </w:pPr>
            <w:r w:rsidRPr="00690A91">
              <w:rPr>
                <w:rFonts w:cs="Arial"/>
                <w:sz w:val="16"/>
                <w:szCs w:val="16"/>
              </w:rPr>
              <w:t xml:space="preserve">1. pol. </w:t>
            </w:r>
            <w:r w:rsidRPr="00690A91">
              <w:rPr>
                <w:rFonts w:cs="Arial"/>
                <w:sz w:val="16"/>
                <w:szCs w:val="16"/>
              </w:rPr>
              <w:br/>
              <w:t>2016</w:t>
            </w:r>
          </w:p>
        </w:tc>
        <w:tc>
          <w:tcPr>
            <w:tcW w:w="635" w:type="dxa"/>
            <w:tcBorders>
              <w:top w:val="nil"/>
              <w:left w:val="nil"/>
              <w:bottom w:val="single" w:sz="4" w:space="0" w:color="auto"/>
              <w:right w:val="single" w:sz="4" w:space="0" w:color="auto"/>
            </w:tcBorders>
            <w:shd w:val="clear" w:color="000000" w:fill="F2DCDB"/>
            <w:vAlign w:val="center"/>
            <w:hideMark/>
          </w:tcPr>
          <w:p w14:paraId="3B9CCD7B" w14:textId="77777777" w:rsidR="00690A91" w:rsidRPr="00690A91" w:rsidRDefault="00690A91" w:rsidP="0021523B">
            <w:pPr>
              <w:spacing w:after="0" w:line="240" w:lineRule="auto"/>
              <w:jc w:val="center"/>
              <w:rPr>
                <w:rFonts w:cs="Arial"/>
                <w:sz w:val="16"/>
                <w:szCs w:val="16"/>
              </w:rPr>
            </w:pPr>
            <w:r w:rsidRPr="00690A91">
              <w:rPr>
                <w:rFonts w:cs="Arial"/>
                <w:sz w:val="16"/>
                <w:szCs w:val="16"/>
              </w:rPr>
              <w:t xml:space="preserve">1. pol. </w:t>
            </w:r>
            <w:r w:rsidRPr="00690A91">
              <w:rPr>
                <w:rFonts w:cs="Arial"/>
                <w:sz w:val="16"/>
                <w:szCs w:val="16"/>
              </w:rPr>
              <w:br/>
              <w:t>2017</w:t>
            </w:r>
          </w:p>
        </w:tc>
        <w:tc>
          <w:tcPr>
            <w:tcW w:w="635" w:type="dxa"/>
            <w:tcBorders>
              <w:top w:val="nil"/>
              <w:left w:val="nil"/>
              <w:bottom w:val="single" w:sz="4" w:space="0" w:color="auto"/>
              <w:right w:val="nil"/>
            </w:tcBorders>
            <w:shd w:val="clear" w:color="000000" w:fill="F2DCDB"/>
            <w:vAlign w:val="center"/>
            <w:hideMark/>
          </w:tcPr>
          <w:p w14:paraId="0983B696" w14:textId="77777777" w:rsidR="00690A91" w:rsidRPr="00690A91" w:rsidRDefault="00690A91" w:rsidP="0021523B">
            <w:pPr>
              <w:spacing w:after="0" w:line="240" w:lineRule="auto"/>
              <w:jc w:val="center"/>
              <w:rPr>
                <w:rFonts w:cs="Arial"/>
                <w:sz w:val="16"/>
                <w:szCs w:val="16"/>
              </w:rPr>
            </w:pPr>
            <w:r w:rsidRPr="00690A91">
              <w:rPr>
                <w:rFonts w:cs="Arial"/>
                <w:sz w:val="16"/>
                <w:szCs w:val="16"/>
              </w:rPr>
              <w:t xml:space="preserve">1. pol. </w:t>
            </w:r>
            <w:r w:rsidRPr="00690A91">
              <w:rPr>
                <w:rFonts w:cs="Arial"/>
                <w:sz w:val="16"/>
                <w:szCs w:val="16"/>
              </w:rPr>
              <w:br/>
              <w:t>2018</w:t>
            </w:r>
          </w:p>
        </w:tc>
        <w:tc>
          <w:tcPr>
            <w:tcW w:w="634" w:type="dxa"/>
            <w:tcBorders>
              <w:top w:val="nil"/>
              <w:left w:val="single" w:sz="4" w:space="0" w:color="auto"/>
              <w:bottom w:val="single" w:sz="4" w:space="0" w:color="auto"/>
              <w:right w:val="nil"/>
            </w:tcBorders>
            <w:shd w:val="clear" w:color="000000" w:fill="F2DCDB"/>
            <w:vAlign w:val="center"/>
            <w:hideMark/>
          </w:tcPr>
          <w:p w14:paraId="1D00563C" w14:textId="77777777" w:rsidR="00690A91" w:rsidRPr="00690A91" w:rsidRDefault="00690A91" w:rsidP="0021523B">
            <w:pPr>
              <w:spacing w:after="0" w:line="240" w:lineRule="auto"/>
              <w:jc w:val="center"/>
              <w:rPr>
                <w:rFonts w:cs="Arial"/>
                <w:sz w:val="16"/>
                <w:szCs w:val="16"/>
              </w:rPr>
            </w:pPr>
            <w:r w:rsidRPr="00690A91">
              <w:rPr>
                <w:rFonts w:cs="Arial"/>
                <w:sz w:val="16"/>
                <w:szCs w:val="16"/>
              </w:rPr>
              <w:t>1. pol. 2019</w:t>
            </w:r>
          </w:p>
        </w:tc>
      </w:tr>
      <w:tr w:rsidR="00690A91" w:rsidRPr="00690A91" w14:paraId="49EE51D2" w14:textId="77777777" w:rsidTr="00B3736B">
        <w:trPr>
          <w:trHeight w:val="287"/>
        </w:trPr>
        <w:tc>
          <w:tcPr>
            <w:tcW w:w="3390" w:type="dxa"/>
            <w:tcBorders>
              <w:top w:val="nil"/>
              <w:left w:val="nil"/>
              <w:bottom w:val="nil"/>
              <w:right w:val="nil"/>
            </w:tcBorders>
            <w:shd w:val="clear" w:color="auto" w:fill="auto"/>
            <w:vAlign w:val="center"/>
            <w:hideMark/>
          </w:tcPr>
          <w:p w14:paraId="5CDCF59D" w14:textId="7EF7C1DD" w:rsidR="00690A91" w:rsidRPr="00690A91" w:rsidRDefault="00690A91" w:rsidP="00496B5A">
            <w:pPr>
              <w:spacing w:after="0" w:line="240" w:lineRule="auto"/>
              <w:rPr>
                <w:rFonts w:ascii="Arial CE" w:hAnsi="Arial CE" w:cs="Arial CE"/>
                <w:b/>
                <w:bCs/>
                <w:sz w:val="16"/>
                <w:szCs w:val="16"/>
              </w:rPr>
            </w:pPr>
            <w:r w:rsidRPr="00690A91">
              <w:rPr>
                <w:rFonts w:ascii="Arial CE" w:hAnsi="Arial CE" w:cs="Arial CE"/>
                <w:b/>
                <w:bCs/>
                <w:sz w:val="16"/>
                <w:szCs w:val="16"/>
              </w:rPr>
              <w:t>Celkem</w:t>
            </w:r>
          </w:p>
        </w:tc>
        <w:tc>
          <w:tcPr>
            <w:tcW w:w="635" w:type="dxa"/>
            <w:tcBorders>
              <w:top w:val="nil"/>
              <w:left w:val="nil"/>
              <w:bottom w:val="nil"/>
              <w:right w:val="nil"/>
            </w:tcBorders>
            <w:shd w:val="clear" w:color="auto" w:fill="auto"/>
            <w:noWrap/>
            <w:vAlign w:val="center"/>
            <w:hideMark/>
          </w:tcPr>
          <w:p w14:paraId="23C7633A" w14:textId="77777777" w:rsidR="00690A91" w:rsidRPr="00690A91" w:rsidRDefault="00690A91" w:rsidP="00690A91">
            <w:pPr>
              <w:spacing w:after="0" w:line="240" w:lineRule="auto"/>
              <w:jc w:val="right"/>
              <w:rPr>
                <w:rFonts w:cs="Arial"/>
                <w:b/>
                <w:bCs/>
                <w:sz w:val="16"/>
                <w:szCs w:val="16"/>
              </w:rPr>
            </w:pPr>
            <w:r w:rsidRPr="00690A91">
              <w:rPr>
                <w:rFonts w:cs="Arial"/>
                <w:b/>
                <w:bCs/>
                <w:sz w:val="16"/>
                <w:szCs w:val="16"/>
              </w:rPr>
              <w:t>4,09</w:t>
            </w:r>
          </w:p>
        </w:tc>
        <w:tc>
          <w:tcPr>
            <w:tcW w:w="635" w:type="dxa"/>
            <w:tcBorders>
              <w:top w:val="nil"/>
              <w:left w:val="nil"/>
              <w:bottom w:val="nil"/>
              <w:right w:val="nil"/>
            </w:tcBorders>
            <w:shd w:val="clear" w:color="auto" w:fill="auto"/>
            <w:noWrap/>
            <w:vAlign w:val="center"/>
            <w:hideMark/>
          </w:tcPr>
          <w:p w14:paraId="33365DB8" w14:textId="77777777" w:rsidR="00690A91" w:rsidRPr="00690A91" w:rsidRDefault="00690A91" w:rsidP="00690A91">
            <w:pPr>
              <w:spacing w:after="0" w:line="240" w:lineRule="auto"/>
              <w:jc w:val="right"/>
              <w:rPr>
                <w:rFonts w:ascii="Arial CE" w:hAnsi="Arial CE" w:cs="Arial CE"/>
                <w:b/>
                <w:bCs/>
                <w:sz w:val="16"/>
                <w:szCs w:val="16"/>
              </w:rPr>
            </w:pPr>
            <w:r w:rsidRPr="00690A91">
              <w:rPr>
                <w:rFonts w:ascii="Arial CE" w:hAnsi="Arial CE" w:cs="Arial CE"/>
                <w:b/>
                <w:bCs/>
                <w:sz w:val="16"/>
                <w:szCs w:val="16"/>
              </w:rPr>
              <w:t>4,02</w:t>
            </w:r>
          </w:p>
        </w:tc>
        <w:tc>
          <w:tcPr>
            <w:tcW w:w="635" w:type="dxa"/>
            <w:tcBorders>
              <w:top w:val="nil"/>
              <w:left w:val="nil"/>
              <w:bottom w:val="nil"/>
              <w:right w:val="nil"/>
            </w:tcBorders>
            <w:shd w:val="clear" w:color="auto" w:fill="auto"/>
            <w:noWrap/>
            <w:vAlign w:val="center"/>
            <w:hideMark/>
          </w:tcPr>
          <w:p w14:paraId="47B637C8" w14:textId="77777777" w:rsidR="00690A91" w:rsidRPr="00690A91" w:rsidRDefault="00690A91" w:rsidP="00690A91">
            <w:pPr>
              <w:spacing w:after="0" w:line="240" w:lineRule="auto"/>
              <w:jc w:val="right"/>
              <w:rPr>
                <w:rFonts w:cs="Arial"/>
                <w:b/>
                <w:bCs/>
                <w:sz w:val="16"/>
                <w:szCs w:val="16"/>
              </w:rPr>
            </w:pPr>
            <w:r w:rsidRPr="00690A91">
              <w:rPr>
                <w:rFonts w:cs="Arial"/>
                <w:b/>
                <w:bCs/>
                <w:sz w:val="16"/>
                <w:szCs w:val="16"/>
              </w:rPr>
              <w:t>3,57</w:t>
            </w:r>
          </w:p>
        </w:tc>
        <w:tc>
          <w:tcPr>
            <w:tcW w:w="635" w:type="dxa"/>
            <w:tcBorders>
              <w:top w:val="nil"/>
              <w:left w:val="nil"/>
              <w:bottom w:val="nil"/>
              <w:right w:val="nil"/>
            </w:tcBorders>
            <w:shd w:val="clear" w:color="auto" w:fill="auto"/>
            <w:noWrap/>
            <w:vAlign w:val="center"/>
            <w:hideMark/>
          </w:tcPr>
          <w:p w14:paraId="3486C8A0" w14:textId="77777777" w:rsidR="00690A91" w:rsidRPr="00690A91" w:rsidRDefault="00690A91" w:rsidP="00690A91">
            <w:pPr>
              <w:spacing w:after="0" w:line="240" w:lineRule="auto"/>
              <w:jc w:val="right"/>
              <w:rPr>
                <w:rFonts w:cs="Arial"/>
                <w:b/>
                <w:bCs/>
                <w:sz w:val="16"/>
                <w:szCs w:val="16"/>
              </w:rPr>
            </w:pPr>
            <w:r w:rsidRPr="00690A91">
              <w:rPr>
                <w:rFonts w:cs="Arial"/>
                <w:b/>
                <w:bCs/>
                <w:sz w:val="16"/>
                <w:szCs w:val="16"/>
              </w:rPr>
              <w:t>3,99</w:t>
            </w:r>
          </w:p>
        </w:tc>
        <w:tc>
          <w:tcPr>
            <w:tcW w:w="635" w:type="dxa"/>
            <w:tcBorders>
              <w:top w:val="nil"/>
              <w:left w:val="nil"/>
              <w:bottom w:val="nil"/>
              <w:right w:val="nil"/>
            </w:tcBorders>
            <w:shd w:val="clear" w:color="auto" w:fill="auto"/>
            <w:noWrap/>
            <w:vAlign w:val="center"/>
            <w:hideMark/>
          </w:tcPr>
          <w:p w14:paraId="31CB7B37" w14:textId="77777777" w:rsidR="00690A91" w:rsidRPr="00690A91" w:rsidRDefault="00690A91" w:rsidP="00690A91">
            <w:pPr>
              <w:spacing w:after="0" w:line="240" w:lineRule="auto"/>
              <w:jc w:val="right"/>
              <w:rPr>
                <w:rFonts w:cs="Arial"/>
                <w:b/>
                <w:bCs/>
                <w:sz w:val="16"/>
                <w:szCs w:val="16"/>
              </w:rPr>
            </w:pPr>
            <w:r w:rsidRPr="00690A91">
              <w:rPr>
                <w:rFonts w:cs="Arial"/>
                <w:b/>
                <w:bCs/>
                <w:sz w:val="16"/>
                <w:szCs w:val="16"/>
              </w:rPr>
              <w:t>3,82</w:t>
            </w:r>
          </w:p>
        </w:tc>
        <w:tc>
          <w:tcPr>
            <w:tcW w:w="635" w:type="dxa"/>
            <w:tcBorders>
              <w:top w:val="nil"/>
              <w:left w:val="nil"/>
              <w:bottom w:val="nil"/>
              <w:right w:val="nil"/>
            </w:tcBorders>
            <w:shd w:val="clear" w:color="auto" w:fill="auto"/>
            <w:noWrap/>
            <w:vAlign w:val="center"/>
            <w:hideMark/>
          </w:tcPr>
          <w:p w14:paraId="6642C5B2" w14:textId="77777777" w:rsidR="00690A91" w:rsidRPr="00690A91" w:rsidRDefault="00690A91" w:rsidP="00690A91">
            <w:pPr>
              <w:spacing w:after="0" w:line="240" w:lineRule="auto"/>
              <w:jc w:val="right"/>
              <w:rPr>
                <w:rFonts w:cs="Arial"/>
                <w:b/>
                <w:bCs/>
                <w:sz w:val="16"/>
                <w:szCs w:val="16"/>
              </w:rPr>
            </w:pPr>
            <w:r w:rsidRPr="00690A91">
              <w:rPr>
                <w:rFonts w:cs="Arial"/>
                <w:b/>
                <w:bCs/>
                <w:sz w:val="16"/>
                <w:szCs w:val="16"/>
              </w:rPr>
              <w:t>4,33</w:t>
            </w:r>
          </w:p>
        </w:tc>
        <w:tc>
          <w:tcPr>
            <w:tcW w:w="635" w:type="dxa"/>
            <w:tcBorders>
              <w:top w:val="nil"/>
              <w:left w:val="nil"/>
              <w:bottom w:val="nil"/>
              <w:right w:val="nil"/>
            </w:tcBorders>
            <w:shd w:val="clear" w:color="auto" w:fill="auto"/>
            <w:noWrap/>
            <w:vAlign w:val="center"/>
            <w:hideMark/>
          </w:tcPr>
          <w:p w14:paraId="2AA719E7" w14:textId="77777777" w:rsidR="00690A91" w:rsidRPr="00690A91" w:rsidRDefault="00690A91" w:rsidP="00690A91">
            <w:pPr>
              <w:spacing w:after="0" w:line="240" w:lineRule="auto"/>
              <w:jc w:val="right"/>
              <w:rPr>
                <w:rFonts w:cs="Arial"/>
                <w:b/>
                <w:bCs/>
                <w:color w:val="000000"/>
                <w:sz w:val="16"/>
                <w:szCs w:val="16"/>
              </w:rPr>
            </w:pPr>
            <w:r w:rsidRPr="00690A91">
              <w:rPr>
                <w:rFonts w:cs="Arial"/>
                <w:b/>
                <w:bCs/>
                <w:color w:val="000000"/>
                <w:sz w:val="16"/>
                <w:szCs w:val="16"/>
              </w:rPr>
              <w:t>4,45</w:t>
            </w:r>
          </w:p>
        </w:tc>
        <w:tc>
          <w:tcPr>
            <w:tcW w:w="635" w:type="dxa"/>
            <w:tcBorders>
              <w:top w:val="nil"/>
              <w:left w:val="nil"/>
              <w:bottom w:val="nil"/>
              <w:right w:val="nil"/>
            </w:tcBorders>
            <w:shd w:val="clear" w:color="auto" w:fill="auto"/>
            <w:noWrap/>
            <w:vAlign w:val="center"/>
            <w:hideMark/>
          </w:tcPr>
          <w:p w14:paraId="67997D65" w14:textId="77777777" w:rsidR="00690A91" w:rsidRPr="00690A91" w:rsidRDefault="00690A91" w:rsidP="00690A91">
            <w:pPr>
              <w:spacing w:after="0" w:line="240" w:lineRule="auto"/>
              <w:jc w:val="right"/>
              <w:rPr>
                <w:rFonts w:cs="Arial"/>
                <w:b/>
                <w:bCs/>
                <w:color w:val="000000"/>
                <w:sz w:val="16"/>
                <w:szCs w:val="16"/>
              </w:rPr>
            </w:pPr>
            <w:r w:rsidRPr="00690A91">
              <w:rPr>
                <w:rFonts w:cs="Arial"/>
                <w:b/>
                <w:bCs/>
                <w:color w:val="000000"/>
                <w:sz w:val="16"/>
                <w:szCs w:val="16"/>
              </w:rPr>
              <w:t>4,62</w:t>
            </w:r>
          </w:p>
        </w:tc>
        <w:tc>
          <w:tcPr>
            <w:tcW w:w="635" w:type="dxa"/>
            <w:tcBorders>
              <w:top w:val="nil"/>
              <w:left w:val="nil"/>
              <w:bottom w:val="nil"/>
              <w:right w:val="nil"/>
            </w:tcBorders>
            <w:shd w:val="clear" w:color="000000" w:fill="FFFFFF"/>
            <w:noWrap/>
            <w:vAlign w:val="center"/>
            <w:hideMark/>
          </w:tcPr>
          <w:p w14:paraId="066C7AAA" w14:textId="77777777" w:rsidR="00690A91" w:rsidRPr="00690A91" w:rsidRDefault="00690A91" w:rsidP="00690A91">
            <w:pPr>
              <w:spacing w:after="0" w:line="240" w:lineRule="auto"/>
              <w:jc w:val="right"/>
              <w:rPr>
                <w:rFonts w:cs="Arial"/>
                <w:b/>
                <w:bCs/>
                <w:color w:val="000000"/>
                <w:sz w:val="16"/>
                <w:szCs w:val="16"/>
              </w:rPr>
            </w:pPr>
            <w:r w:rsidRPr="00690A91">
              <w:rPr>
                <w:rFonts w:cs="Arial"/>
                <w:b/>
                <w:bCs/>
                <w:color w:val="000000"/>
                <w:sz w:val="16"/>
                <w:szCs w:val="16"/>
              </w:rPr>
              <w:t>4,76</w:t>
            </w:r>
          </w:p>
        </w:tc>
        <w:tc>
          <w:tcPr>
            <w:tcW w:w="661" w:type="dxa"/>
            <w:gridSpan w:val="2"/>
            <w:tcBorders>
              <w:top w:val="nil"/>
              <w:left w:val="nil"/>
              <w:bottom w:val="nil"/>
              <w:right w:val="nil"/>
            </w:tcBorders>
            <w:shd w:val="clear" w:color="000000" w:fill="FFFFFF"/>
            <w:noWrap/>
            <w:vAlign w:val="center"/>
            <w:hideMark/>
          </w:tcPr>
          <w:p w14:paraId="0AAA7F9D" w14:textId="77777777" w:rsidR="00690A91" w:rsidRPr="00690A91" w:rsidRDefault="00690A91" w:rsidP="00690A91">
            <w:pPr>
              <w:spacing w:after="0" w:line="240" w:lineRule="auto"/>
              <w:jc w:val="right"/>
              <w:rPr>
                <w:rFonts w:cs="Arial"/>
                <w:b/>
                <w:bCs/>
                <w:color w:val="000000"/>
                <w:sz w:val="16"/>
                <w:szCs w:val="16"/>
              </w:rPr>
            </w:pPr>
            <w:r w:rsidRPr="00690A91">
              <w:rPr>
                <w:rFonts w:cs="Arial"/>
                <w:b/>
                <w:bCs/>
                <w:color w:val="000000"/>
                <w:sz w:val="16"/>
                <w:szCs w:val="16"/>
              </w:rPr>
              <w:t>4,85</w:t>
            </w:r>
          </w:p>
        </w:tc>
      </w:tr>
      <w:tr w:rsidR="00690A91" w:rsidRPr="00690A91" w14:paraId="3579469D" w14:textId="77777777" w:rsidTr="00B3736B">
        <w:trPr>
          <w:trHeight w:val="287"/>
        </w:trPr>
        <w:tc>
          <w:tcPr>
            <w:tcW w:w="3390" w:type="dxa"/>
            <w:tcBorders>
              <w:top w:val="nil"/>
              <w:left w:val="nil"/>
              <w:bottom w:val="nil"/>
              <w:right w:val="nil"/>
            </w:tcBorders>
            <w:shd w:val="clear" w:color="auto" w:fill="auto"/>
            <w:vAlign w:val="center"/>
            <w:hideMark/>
          </w:tcPr>
          <w:p w14:paraId="56C5D06F" w14:textId="77777777" w:rsidR="00690A91" w:rsidRPr="00690A91" w:rsidRDefault="00690A91" w:rsidP="00690A91">
            <w:pPr>
              <w:spacing w:after="0" w:line="240" w:lineRule="auto"/>
              <w:ind w:firstLineChars="100" w:firstLine="160"/>
              <w:rPr>
                <w:rFonts w:ascii="Arial CE" w:hAnsi="Arial CE" w:cs="Arial CE"/>
                <w:sz w:val="16"/>
                <w:szCs w:val="16"/>
              </w:rPr>
            </w:pPr>
            <w:r w:rsidRPr="00690A91">
              <w:rPr>
                <w:rFonts w:ascii="Arial CE" w:hAnsi="Arial CE" w:cs="Arial CE"/>
                <w:sz w:val="16"/>
                <w:szCs w:val="16"/>
              </w:rPr>
              <w:t>A – Zemědělství, lesnictví a rybářství</w:t>
            </w:r>
          </w:p>
        </w:tc>
        <w:tc>
          <w:tcPr>
            <w:tcW w:w="635" w:type="dxa"/>
            <w:tcBorders>
              <w:top w:val="nil"/>
              <w:left w:val="nil"/>
              <w:bottom w:val="nil"/>
              <w:right w:val="nil"/>
            </w:tcBorders>
            <w:shd w:val="clear" w:color="auto" w:fill="auto"/>
            <w:noWrap/>
            <w:vAlign w:val="center"/>
            <w:hideMark/>
          </w:tcPr>
          <w:p w14:paraId="7DDA28C8" w14:textId="77777777" w:rsidR="00690A91" w:rsidRPr="00690A91" w:rsidRDefault="00690A91" w:rsidP="00690A91">
            <w:pPr>
              <w:spacing w:after="0" w:line="240" w:lineRule="auto"/>
              <w:jc w:val="right"/>
              <w:rPr>
                <w:rFonts w:cs="Arial"/>
                <w:sz w:val="16"/>
                <w:szCs w:val="16"/>
              </w:rPr>
            </w:pPr>
            <w:r w:rsidRPr="00690A91">
              <w:rPr>
                <w:rFonts w:cs="Arial"/>
                <w:sz w:val="16"/>
                <w:szCs w:val="16"/>
              </w:rPr>
              <w:t>5,45</w:t>
            </w:r>
          </w:p>
        </w:tc>
        <w:tc>
          <w:tcPr>
            <w:tcW w:w="635" w:type="dxa"/>
            <w:tcBorders>
              <w:top w:val="nil"/>
              <w:left w:val="nil"/>
              <w:bottom w:val="nil"/>
              <w:right w:val="nil"/>
            </w:tcBorders>
            <w:shd w:val="clear" w:color="auto" w:fill="auto"/>
            <w:noWrap/>
            <w:vAlign w:val="center"/>
            <w:hideMark/>
          </w:tcPr>
          <w:p w14:paraId="355B8787" w14:textId="77777777" w:rsidR="00690A91" w:rsidRPr="00690A91" w:rsidRDefault="00690A91" w:rsidP="00690A91">
            <w:pPr>
              <w:spacing w:after="0" w:line="240" w:lineRule="auto"/>
              <w:jc w:val="right"/>
              <w:rPr>
                <w:rFonts w:ascii="Arial CE" w:hAnsi="Arial CE" w:cs="Arial CE"/>
                <w:sz w:val="16"/>
                <w:szCs w:val="16"/>
              </w:rPr>
            </w:pPr>
            <w:r w:rsidRPr="00690A91">
              <w:rPr>
                <w:rFonts w:ascii="Arial CE" w:hAnsi="Arial CE" w:cs="Arial CE"/>
                <w:sz w:val="16"/>
                <w:szCs w:val="16"/>
              </w:rPr>
              <w:t>5,23</w:t>
            </w:r>
          </w:p>
        </w:tc>
        <w:tc>
          <w:tcPr>
            <w:tcW w:w="635" w:type="dxa"/>
            <w:tcBorders>
              <w:top w:val="nil"/>
              <w:left w:val="nil"/>
              <w:bottom w:val="nil"/>
              <w:right w:val="nil"/>
            </w:tcBorders>
            <w:shd w:val="clear" w:color="auto" w:fill="auto"/>
            <w:noWrap/>
            <w:vAlign w:val="center"/>
            <w:hideMark/>
          </w:tcPr>
          <w:p w14:paraId="136B1E16" w14:textId="77777777" w:rsidR="00690A91" w:rsidRPr="00690A91" w:rsidRDefault="00690A91" w:rsidP="00690A91">
            <w:pPr>
              <w:spacing w:after="0" w:line="240" w:lineRule="auto"/>
              <w:jc w:val="right"/>
              <w:rPr>
                <w:rFonts w:cs="Arial"/>
                <w:sz w:val="16"/>
                <w:szCs w:val="16"/>
              </w:rPr>
            </w:pPr>
            <w:r w:rsidRPr="00690A91">
              <w:rPr>
                <w:rFonts w:cs="Arial"/>
                <w:sz w:val="16"/>
                <w:szCs w:val="16"/>
              </w:rPr>
              <w:t>4,55</w:t>
            </w:r>
          </w:p>
        </w:tc>
        <w:tc>
          <w:tcPr>
            <w:tcW w:w="635" w:type="dxa"/>
            <w:tcBorders>
              <w:top w:val="nil"/>
              <w:left w:val="nil"/>
              <w:bottom w:val="nil"/>
              <w:right w:val="nil"/>
            </w:tcBorders>
            <w:shd w:val="clear" w:color="auto" w:fill="auto"/>
            <w:noWrap/>
            <w:vAlign w:val="center"/>
            <w:hideMark/>
          </w:tcPr>
          <w:p w14:paraId="0F6DF5E1" w14:textId="77777777" w:rsidR="00690A91" w:rsidRPr="00690A91" w:rsidRDefault="00690A91" w:rsidP="00690A91">
            <w:pPr>
              <w:spacing w:after="0" w:line="240" w:lineRule="auto"/>
              <w:jc w:val="right"/>
              <w:rPr>
                <w:rFonts w:cs="Arial"/>
                <w:sz w:val="16"/>
                <w:szCs w:val="16"/>
              </w:rPr>
            </w:pPr>
            <w:r w:rsidRPr="00690A91">
              <w:rPr>
                <w:rFonts w:cs="Arial"/>
                <w:sz w:val="16"/>
                <w:szCs w:val="16"/>
              </w:rPr>
              <w:t>5,01</w:t>
            </w:r>
          </w:p>
        </w:tc>
        <w:tc>
          <w:tcPr>
            <w:tcW w:w="635" w:type="dxa"/>
            <w:tcBorders>
              <w:top w:val="nil"/>
              <w:left w:val="nil"/>
              <w:bottom w:val="nil"/>
              <w:right w:val="nil"/>
            </w:tcBorders>
            <w:shd w:val="clear" w:color="auto" w:fill="auto"/>
            <w:noWrap/>
            <w:vAlign w:val="center"/>
            <w:hideMark/>
          </w:tcPr>
          <w:p w14:paraId="087E81F2" w14:textId="77777777" w:rsidR="00690A91" w:rsidRPr="00690A91" w:rsidRDefault="00690A91" w:rsidP="00690A91">
            <w:pPr>
              <w:spacing w:after="0" w:line="240" w:lineRule="auto"/>
              <w:jc w:val="right"/>
              <w:rPr>
                <w:rFonts w:cs="Arial"/>
                <w:sz w:val="16"/>
                <w:szCs w:val="16"/>
              </w:rPr>
            </w:pPr>
            <w:r w:rsidRPr="00690A91">
              <w:rPr>
                <w:rFonts w:cs="Arial"/>
                <w:sz w:val="16"/>
                <w:szCs w:val="16"/>
              </w:rPr>
              <w:t>4,75</w:t>
            </w:r>
          </w:p>
        </w:tc>
        <w:tc>
          <w:tcPr>
            <w:tcW w:w="635" w:type="dxa"/>
            <w:tcBorders>
              <w:top w:val="nil"/>
              <w:left w:val="nil"/>
              <w:bottom w:val="nil"/>
              <w:right w:val="nil"/>
            </w:tcBorders>
            <w:shd w:val="clear" w:color="auto" w:fill="auto"/>
            <w:noWrap/>
            <w:vAlign w:val="center"/>
            <w:hideMark/>
          </w:tcPr>
          <w:p w14:paraId="784BE625" w14:textId="77777777" w:rsidR="00690A91" w:rsidRPr="00690A91" w:rsidRDefault="00690A91" w:rsidP="00690A91">
            <w:pPr>
              <w:spacing w:after="0" w:line="240" w:lineRule="auto"/>
              <w:jc w:val="right"/>
              <w:rPr>
                <w:rFonts w:cs="Arial"/>
                <w:sz w:val="16"/>
                <w:szCs w:val="16"/>
              </w:rPr>
            </w:pPr>
            <w:r w:rsidRPr="00690A91">
              <w:rPr>
                <w:rFonts w:cs="Arial"/>
                <w:sz w:val="16"/>
                <w:szCs w:val="16"/>
              </w:rPr>
              <w:t>5,32</w:t>
            </w:r>
          </w:p>
        </w:tc>
        <w:tc>
          <w:tcPr>
            <w:tcW w:w="635" w:type="dxa"/>
            <w:tcBorders>
              <w:top w:val="nil"/>
              <w:left w:val="nil"/>
              <w:bottom w:val="nil"/>
              <w:right w:val="nil"/>
            </w:tcBorders>
            <w:shd w:val="clear" w:color="auto" w:fill="auto"/>
            <w:noWrap/>
            <w:vAlign w:val="center"/>
            <w:hideMark/>
          </w:tcPr>
          <w:p w14:paraId="12C9135A"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5,43</w:t>
            </w:r>
          </w:p>
        </w:tc>
        <w:tc>
          <w:tcPr>
            <w:tcW w:w="635" w:type="dxa"/>
            <w:tcBorders>
              <w:top w:val="nil"/>
              <w:left w:val="nil"/>
              <w:bottom w:val="nil"/>
              <w:right w:val="nil"/>
            </w:tcBorders>
            <w:shd w:val="clear" w:color="auto" w:fill="auto"/>
            <w:noWrap/>
            <w:vAlign w:val="center"/>
            <w:hideMark/>
          </w:tcPr>
          <w:p w14:paraId="46F82B8D"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5,73</w:t>
            </w:r>
          </w:p>
        </w:tc>
        <w:tc>
          <w:tcPr>
            <w:tcW w:w="635" w:type="dxa"/>
            <w:tcBorders>
              <w:top w:val="nil"/>
              <w:left w:val="nil"/>
              <w:bottom w:val="nil"/>
              <w:right w:val="nil"/>
            </w:tcBorders>
            <w:shd w:val="clear" w:color="000000" w:fill="FFFFFF"/>
            <w:noWrap/>
            <w:vAlign w:val="center"/>
            <w:hideMark/>
          </w:tcPr>
          <w:p w14:paraId="39ABA17B"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5,79</w:t>
            </w:r>
          </w:p>
        </w:tc>
        <w:tc>
          <w:tcPr>
            <w:tcW w:w="661" w:type="dxa"/>
            <w:gridSpan w:val="2"/>
            <w:tcBorders>
              <w:top w:val="nil"/>
              <w:left w:val="nil"/>
              <w:bottom w:val="nil"/>
              <w:right w:val="nil"/>
            </w:tcBorders>
            <w:shd w:val="clear" w:color="000000" w:fill="FFFFFF"/>
            <w:noWrap/>
            <w:vAlign w:val="center"/>
            <w:hideMark/>
          </w:tcPr>
          <w:p w14:paraId="085EBCAF"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5,84</w:t>
            </w:r>
          </w:p>
        </w:tc>
      </w:tr>
      <w:tr w:rsidR="00690A91" w:rsidRPr="00690A91" w14:paraId="22DC210C" w14:textId="77777777" w:rsidTr="00B3736B">
        <w:trPr>
          <w:trHeight w:val="287"/>
        </w:trPr>
        <w:tc>
          <w:tcPr>
            <w:tcW w:w="3390" w:type="dxa"/>
            <w:tcBorders>
              <w:top w:val="nil"/>
              <w:left w:val="nil"/>
              <w:bottom w:val="nil"/>
              <w:right w:val="nil"/>
            </w:tcBorders>
            <w:shd w:val="clear" w:color="auto" w:fill="auto"/>
            <w:vAlign w:val="center"/>
            <w:hideMark/>
          </w:tcPr>
          <w:p w14:paraId="0896C1FD" w14:textId="77777777" w:rsidR="00690A91" w:rsidRPr="00690A91" w:rsidRDefault="00690A91" w:rsidP="00690A91">
            <w:pPr>
              <w:spacing w:after="0" w:line="240" w:lineRule="auto"/>
              <w:ind w:firstLineChars="100" w:firstLine="160"/>
              <w:rPr>
                <w:rFonts w:ascii="Arial CE" w:hAnsi="Arial CE" w:cs="Arial CE"/>
                <w:sz w:val="16"/>
                <w:szCs w:val="16"/>
              </w:rPr>
            </w:pPr>
            <w:r w:rsidRPr="00690A91">
              <w:rPr>
                <w:rFonts w:ascii="Arial CE" w:hAnsi="Arial CE" w:cs="Arial CE"/>
                <w:sz w:val="16"/>
                <w:szCs w:val="16"/>
              </w:rPr>
              <w:t>B – Těžba a dobývání</w:t>
            </w:r>
          </w:p>
        </w:tc>
        <w:tc>
          <w:tcPr>
            <w:tcW w:w="635" w:type="dxa"/>
            <w:tcBorders>
              <w:top w:val="nil"/>
              <w:left w:val="nil"/>
              <w:bottom w:val="nil"/>
              <w:right w:val="nil"/>
            </w:tcBorders>
            <w:shd w:val="clear" w:color="auto" w:fill="auto"/>
            <w:noWrap/>
            <w:vAlign w:val="center"/>
            <w:hideMark/>
          </w:tcPr>
          <w:p w14:paraId="1A9CCF4B" w14:textId="77777777" w:rsidR="00690A91" w:rsidRPr="00690A91" w:rsidRDefault="00690A91" w:rsidP="00690A91">
            <w:pPr>
              <w:spacing w:after="0" w:line="240" w:lineRule="auto"/>
              <w:jc w:val="right"/>
              <w:rPr>
                <w:rFonts w:cs="Arial"/>
                <w:sz w:val="16"/>
                <w:szCs w:val="16"/>
              </w:rPr>
            </w:pPr>
            <w:r w:rsidRPr="00690A91">
              <w:rPr>
                <w:rFonts w:cs="Arial"/>
                <w:sz w:val="16"/>
                <w:szCs w:val="16"/>
              </w:rPr>
              <w:t>4,39</w:t>
            </w:r>
          </w:p>
        </w:tc>
        <w:tc>
          <w:tcPr>
            <w:tcW w:w="635" w:type="dxa"/>
            <w:tcBorders>
              <w:top w:val="nil"/>
              <w:left w:val="nil"/>
              <w:bottom w:val="nil"/>
              <w:right w:val="nil"/>
            </w:tcBorders>
            <w:shd w:val="clear" w:color="auto" w:fill="auto"/>
            <w:noWrap/>
            <w:vAlign w:val="center"/>
            <w:hideMark/>
          </w:tcPr>
          <w:p w14:paraId="0CC9358F" w14:textId="77777777" w:rsidR="00690A91" w:rsidRPr="00690A91" w:rsidRDefault="00690A91" w:rsidP="00690A91">
            <w:pPr>
              <w:spacing w:after="0" w:line="240" w:lineRule="auto"/>
              <w:jc w:val="right"/>
              <w:rPr>
                <w:rFonts w:ascii="Arial CE" w:hAnsi="Arial CE" w:cs="Arial CE"/>
                <w:sz w:val="16"/>
                <w:szCs w:val="16"/>
              </w:rPr>
            </w:pPr>
            <w:r w:rsidRPr="00690A91">
              <w:rPr>
                <w:rFonts w:ascii="Arial CE" w:hAnsi="Arial CE" w:cs="Arial CE"/>
                <w:sz w:val="16"/>
                <w:szCs w:val="16"/>
              </w:rPr>
              <w:t>4,40</w:t>
            </w:r>
          </w:p>
        </w:tc>
        <w:tc>
          <w:tcPr>
            <w:tcW w:w="635" w:type="dxa"/>
            <w:tcBorders>
              <w:top w:val="nil"/>
              <w:left w:val="nil"/>
              <w:bottom w:val="nil"/>
              <w:right w:val="nil"/>
            </w:tcBorders>
            <w:shd w:val="clear" w:color="auto" w:fill="auto"/>
            <w:noWrap/>
            <w:vAlign w:val="center"/>
            <w:hideMark/>
          </w:tcPr>
          <w:p w14:paraId="1E18631A" w14:textId="77777777" w:rsidR="00690A91" w:rsidRPr="00690A91" w:rsidRDefault="00690A91" w:rsidP="00690A91">
            <w:pPr>
              <w:spacing w:after="0" w:line="240" w:lineRule="auto"/>
              <w:jc w:val="right"/>
              <w:rPr>
                <w:rFonts w:cs="Arial"/>
                <w:sz w:val="16"/>
                <w:szCs w:val="16"/>
              </w:rPr>
            </w:pPr>
            <w:r w:rsidRPr="00690A91">
              <w:rPr>
                <w:rFonts w:cs="Arial"/>
                <w:sz w:val="16"/>
                <w:szCs w:val="16"/>
              </w:rPr>
              <w:t>4,31</w:t>
            </w:r>
          </w:p>
        </w:tc>
        <w:tc>
          <w:tcPr>
            <w:tcW w:w="635" w:type="dxa"/>
            <w:tcBorders>
              <w:top w:val="nil"/>
              <w:left w:val="nil"/>
              <w:bottom w:val="nil"/>
              <w:right w:val="nil"/>
            </w:tcBorders>
            <w:shd w:val="clear" w:color="auto" w:fill="auto"/>
            <w:noWrap/>
            <w:vAlign w:val="center"/>
            <w:hideMark/>
          </w:tcPr>
          <w:p w14:paraId="289EA01B" w14:textId="77777777" w:rsidR="00690A91" w:rsidRPr="00690A91" w:rsidRDefault="00690A91" w:rsidP="00690A91">
            <w:pPr>
              <w:spacing w:after="0" w:line="240" w:lineRule="auto"/>
              <w:jc w:val="right"/>
              <w:rPr>
                <w:rFonts w:cs="Arial"/>
                <w:sz w:val="16"/>
                <w:szCs w:val="16"/>
              </w:rPr>
            </w:pPr>
            <w:r w:rsidRPr="00690A91">
              <w:rPr>
                <w:rFonts w:cs="Arial"/>
                <w:sz w:val="16"/>
                <w:szCs w:val="16"/>
              </w:rPr>
              <w:t>4,91</w:t>
            </w:r>
          </w:p>
        </w:tc>
        <w:tc>
          <w:tcPr>
            <w:tcW w:w="635" w:type="dxa"/>
            <w:tcBorders>
              <w:top w:val="nil"/>
              <w:left w:val="nil"/>
              <w:bottom w:val="nil"/>
              <w:right w:val="nil"/>
            </w:tcBorders>
            <w:shd w:val="clear" w:color="auto" w:fill="auto"/>
            <w:noWrap/>
            <w:vAlign w:val="center"/>
            <w:hideMark/>
          </w:tcPr>
          <w:p w14:paraId="68710678" w14:textId="77777777" w:rsidR="00690A91" w:rsidRPr="00690A91" w:rsidRDefault="00690A91" w:rsidP="00690A91">
            <w:pPr>
              <w:spacing w:after="0" w:line="240" w:lineRule="auto"/>
              <w:jc w:val="right"/>
              <w:rPr>
                <w:rFonts w:cs="Arial"/>
                <w:sz w:val="16"/>
                <w:szCs w:val="16"/>
              </w:rPr>
            </w:pPr>
            <w:r w:rsidRPr="00690A91">
              <w:rPr>
                <w:rFonts w:cs="Arial"/>
                <w:sz w:val="16"/>
                <w:szCs w:val="16"/>
              </w:rPr>
              <w:t>4,80</w:t>
            </w:r>
          </w:p>
        </w:tc>
        <w:tc>
          <w:tcPr>
            <w:tcW w:w="635" w:type="dxa"/>
            <w:tcBorders>
              <w:top w:val="nil"/>
              <w:left w:val="nil"/>
              <w:bottom w:val="nil"/>
              <w:right w:val="nil"/>
            </w:tcBorders>
            <w:shd w:val="clear" w:color="auto" w:fill="auto"/>
            <w:noWrap/>
            <w:vAlign w:val="center"/>
            <w:hideMark/>
          </w:tcPr>
          <w:p w14:paraId="5312218E" w14:textId="77777777" w:rsidR="00690A91" w:rsidRPr="00690A91" w:rsidRDefault="00690A91" w:rsidP="00690A91">
            <w:pPr>
              <w:spacing w:after="0" w:line="240" w:lineRule="auto"/>
              <w:jc w:val="right"/>
              <w:rPr>
                <w:rFonts w:cs="Arial"/>
                <w:sz w:val="16"/>
                <w:szCs w:val="16"/>
              </w:rPr>
            </w:pPr>
            <w:r w:rsidRPr="00690A91">
              <w:rPr>
                <w:rFonts w:cs="Arial"/>
                <w:sz w:val="16"/>
                <w:szCs w:val="16"/>
              </w:rPr>
              <w:t>5,05</w:t>
            </w:r>
          </w:p>
        </w:tc>
        <w:tc>
          <w:tcPr>
            <w:tcW w:w="635" w:type="dxa"/>
            <w:tcBorders>
              <w:top w:val="nil"/>
              <w:left w:val="nil"/>
              <w:bottom w:val="nil"/>
              <w:right w:val="nil"/>
            </w:tcBorders>
            <w:shd w:val="clear" w:color="auto" w:fill="auto"/>
            <w:noWrap/>
            <w:vAlign w:val="center"/>
            <w:hideMark/>
          </w:tcPr>
          <w:p w14:paraId="799E1701"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5,74</w:t>
            </w:r>
          </w:p>
        </w:tc>
        <w:tc>
          <w:tcPr>
            <w:tcW w:w="635" w:type="dxa"/>
            <w:tcBorders>
              <w:top w:val="nil"/>
              <w:left w:val="nil"/>
              <w:bottom w:val="nil"/>
              <w:right w:val="nil"/>
            </w:tcBorders>
            <w:shd w:val="clear" w:color="auto" w:fill="auto"/>
            <w:noWrap/>
            <w:vAlign w:val="center"/>
            <w:hideMark/>
          </w:tcPr>
          <w:p w14:paraId="40E57A13"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6,63</w:t>
            </w:r>
          </w:p>
        </w:tc>
        <w:tc>
          <w:tcPr>
            <w:tcW w:w="635" w:type="dxa"/>
            <w:tcBorders>
              <w:top w:val="nil"/>
              <w:left w:val="nil"/>
              <w:bottom w:val="nil"/>
              <w:right w:val="nil"/>
            </w:tcBorders>
            <w:shd w:val="clear" w:color="000000" w:fill="FFFFFF"/>
            <w:noWrap/>
            <w:vAlign w:val="center"/>
            <w:hideMark/>
          </w:tcPr>
          <w:p w14:paraId="3E88F65B"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5,87</w:t>
            </w:r>
          </w:p>
        </w:tc>
        <w:tc>
          <w:tcPr>
            <w:tcW w:w="661" w:type="dxa"/>
            <w:gridSpan w:val="2"/>
            <w:tcBorders>
              <w:top w:val="nil"/>
              <w:left w:val="nil"/>
              <w:bottom w:val="nil"/>
              <w:right w:val="nil"/>
            </w:tcBorders>
            <w:shd w:val="clear" w:color="000000" w:fill="FFFFFF"/>
            <w:noWrap/>
            <w:vAlign w:val="center"/>
            <w:hideMark/>
          </w:tcPr>
          <w:p w14:paraId="275FD787"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6,11</w:t>
            </w:r>
          </w:p>
        </w:tc>
      </w:tr>
      <w:tr w:rsidR="00690A91" w:rsidRPr="00690A91" w14:paraId="29272754" w14:textId="77777777" w:rsidTr="00B3736B">
        <w:trPr>
          <w:trHeight w:val="287"/>
        </w:trPr>
        <w:tc>
          <w:tcPr>
            <w:tcW w:w="3390" w:type="dxa"/>
            <w:tcBorders>
              <w:top w:val="nil"/>
              <w:left w:val="nil"/>
              <w:bottom w:val="nil"/>
              <w:right w:val="nil"/>
            </w:tcBorders>
            <w:shd w:val="clear" w:color="auto" w:fill="auto"/>
            <w:vAlign w:val="center"/>
            <w:hideMark/>
          </w:tcPr>
          <w:p w14:paraId="71EC9C61" w14:textId="77777777" w:rsidR="00690A91" w:rsidRPr="00690A91" w:rsidRDefault="00690A91" w:rsidP="00690A91">
            <w:pPr>
              <w:spacing w:after="0" w:line="240" w:lineRule="auto"/>
              <w:ind w:firstLineChars="100" w:firstLine="160"/>
              <w:rPr>
                <w:rFonts w:ascii="Arial CE" w:hAnsi="Arial CE" w:cs="Arial CE"/>
                <w:sz w:val="16"/>
                <w:szCs w:val="16"/>
              </w:rPr>
            </w:pPr>
            <w:r w:rsidRPr="00690A91">
              <w:rPr>
                <w:rFonts w:ascii="Arial CE" w:hAnsi="Arial CE" w:cs="Arial CE"/>
                <w:sz w:val="16"/>
                <w:szCs w:val="16"/>
              </w:rPr>
              <w:t>C – Zpracovatelský průmysl</w:t>
            </w:r>
          </w:p>
        </w:tc>
        <w:tc>
          <w:tcPr>
            <w:tcW w:w="635" w:type="dxa"/>
            <w:tcBorders>
              <w:top w:val="nil"/>
              <w:left w:val="nil"/>
              <w:bottom w:val="nil"/>
              <w:right w:val="nil"/>
            </w:tcBorders>
            <w:shd w:val="clear" w:color="auto" w:fill="auto"/>
            <w:noWrap/>
            <w:vAlign w:val="center"/>
            <w:hideMark/>
          </w:tcPr>
          <w:p w14:paraId="1D3818F8" w14:textId="77777777" w:rsidR="00690A91" w:rsidRPr="00690A91" w:rsidRDefault="00690A91" w:rsidP="00690A91">
            <w:pPr>
              <w:spacing w:after="0" w:line="240" w:lineRule="auto"/>
              <w:jc w:val="right"/>
              <w:rPr>
                <w:rFonts w:cs="Arial"/>
                <w:sz w:val="16"/>
                <w:szCs w:val="16"/>
              </w:rPr>
            </w:pPr>
            <w:r w:rsidRPr="00690A91">
              <w:rPr>
                <w:rFonts w:cs="Arial"/>
                <w:sz w:val="16"/>
                <w:szCs w:val="16"/>
              </w:rPr>
              <w:t>4,76</w:t>
            </w:r>
          </w:p>
        </w:tc>
        <w:tc>
          <w:tcPr>
            <w:tcW w:w="635" w:type="dxa"/>
            <w:tcBorders>
              <w:top w:val="nil"/>
              <w:left w:val="nil"/>
              <w:bottom w:val="nil"/>
              <w:right w:val="nil"/>
            </w:tcBorders>
            <w:shd w:val="clear" w:color="auto" w:fill="auto"/>
            <w:noWrap/>
            <w:vAlign w:val="center"/>
            <w:hideMark/>
          </w:tcPr>
          <w:p w14:paraId="0C22B2F2" w14:textId="77777777" w:rsidR="00690A91" w:rsidRPr="00690A91" w:rsidRDefault="00690A91" w:rsidP="00690A91">
            <w:pPr>
              <w:spacing w:after="0" w:line="240" w:lineRule="auto"/>
              <w:jc w:val="right"/>
              <w:rPr>
                <w:rFonts w:ascii="Arial CE" w:hAnsi="Arial CE" w:cs="Arial CE"/>
                <w:sz w:val="16"/>
                <w:szCs w:val="16"/>
              </w:rPr>
            </w:pPr>
            <w:r w:rsidRPr="00690A91">
              <w:rPr>
                <w:rFonts w:ascii="Arial CE" w:hAnsi="Arial CE" w:cs="Arial CE"/>
                <w:sz w:val="16"/>
                <w:szCs w:val="16"/>
              </w:rPr>
              <w:t>4,56</w:t>
            </w:r>
          </w:p>
        </w:tc>
        <w:tc>
          <w:tcPr>
            <w:tcW w:w="635" w:type="dxa"/>
            <w:tcBorders>
              <w:top w:val="nil"/>
              <w:left w:val="nil"/>
              <w:bottom w:val="nil"/>
              <w:right w:val="nil"/>
            </w:tcBorders>
            <w:shd w:val="clear" w:color="auto" w:fill="auto"/>
            <w:noWrap/>
            <w:vAlign w:val="center"/>
            <w:hideMark/>
          </w:tcPr>
          <w:p w14:paraId="2A37A104" w14:textId="77777777" w:rsidR="00690A91" w:rsidRPr="00690A91" w:rsidRDefault="00690A91" w:rsidP="00690A91">
            <w:pPr>
              <w:spacing w:after="0" w:line="240" w:lineRule="auto"/>
              <w:jc w:val="right"/>
              <w:rPr>
                <w:rFonts w:cs="Arial"/>
                <w:sz w:val="16"/>
                <w:szCs w:val="16"/>
              </w:rPr>
            </w:pPr>
            <w:r w:rsidRPr="00690A91">
              <w:rPr>
                <w:rFonts w:cs="Arial"/>
                <w:sz w:val="16"/>
                <w:szCs w:val="16"/>
              </w:rPr>
              <w:t>4,36</w:t>
            </w:r>
          </w:p>
        </w:tc>
        <w:tc>
          <w:tcPr>
            <w:tcW w:w="635" w:type="dxa"/>
            <w:tcBorders>
              <w:top w:val="nil"/>
              <w:left w:val="nil"/>
              <w:bottom w:val="nil"/>
              <w:right w:val="nil"/>
            </w:tcBorders>
            <w:shd w:val="clear" w:color="auto" w:fill="auto"/>
            <w:noWrap/>
            <w:vAlign w:val="center"/>
            <w:hideMark/>
          </w:tcPr>
          <w:p w14:paraId="3328EBA6" w14:textId="77777777" w:rsidR="00690A91" w:rsidRPr="00690A91" w:rsidRDefault="00690A91" w:rsidP="00690A91">
            <w:pPr>
              <w:spacing w:after="0" w:line="240" w:lineRule="auto"/>
              <w:jc w:val="right"/>
              <w:rPr>
                <w:rFonts w:cs="Arial"/>
                <w:sz w:val="16"/>
                <w:szCs w:val="16"/>
              </w:rPr>
            </w:pPr>
            <w:r w:rsidRPr="00690A91">
              <w:rPr>
                <w:rFonts w:cs="Arial"/>
                <w:sz w:val="16"/>
                <w:szCs w:val="16"/>
              </w:rPr>
              <w:t>4,84</w:t>
            </w:r>
          </w:p>
        </w:tc>
        <w:tc>
          <w:tcPr>
            <w:tcW w:w="635" w:type="dxa"/>
            <w:tcBorders>
              <w:top w:val="nil"/>
              <w:left w:val="nil"/>
              <w:bottom w:val="nil"/>
              <w:right w:val="nil"/>
            </w:tcBorders>
            <w:shd w:val="clear" w:color="auto" w:fill="auto"/>
            <w:noWrap/>
            <w:vAlign w:val="center"/>
            <w:hideMark/>
          </w:tcPr>
          <w:p w14:paraId="43E506F0" w14:textId="77777777" w:rsidR="00690A91" w:rsidRPr="00690A91" w:rsidRDefault="00690A91" w:rsidP="00690A91">
            <w:pPr>
              <w:spacing w:after="0" w:line="240" w:lineRule="auto"/>
              <w:jc w:val="right"/>
              <w:rPr>
                <w:rFonts w:cs="Arial"/>
                <w:sz w:val="16"/>
                <w:szCs w:val="16"/>
              </w:rPr>
            </w:pPr>
            <w:r w:rsidRPr="00690A91">
              <w:rPr>
                <w:rFonts w:cs="Arial"/>
                <w:sz w:val="16"/>
                <w:szCs w:val="16"/>
              </w:rPr>
              <w:t>4,63</w:t>
            </w:r>
          </w:p>
        </w:tc>
        <w:tc>
          <w:tcPr>
            <w:tcW w:w="635" w:type="dxa"/>
            <w:tcBorders>
              <w:top w:val="nil"/>
              <w:left w:val="nil"/>
              <w:bottom w:val="nil"/>
              <w:right w:val="nil"/>
            </w:tcBorders>
            <w:shd w:val="clear" w:color="auto" w:fill="auto"/>
            <w:noWrap/>
            <w:vAlign w:val="center"/>
            <w:hideMark/>
          </w:tcPr>
          <w:p w14:paraId="4447F18A" w14:textId="77777777" w:rsidR="00690A91" w:rsidRPr="00690A91" w:rsidRDefault="00690A91" w:rsidP="00690A91">
            <w:pPr>
              <w:spacing w:after="0" w:line="240" w:lineRule="auto"/>
              <w:jc w:val="right"/>
              <w:rPr>
                <w:rFonts w:cs="Arial"/>
                <w:sz w:val="16"/>
                <w:szCs w:val="16"/>
              </w:rPr>
            </w:pPr>
            <w:r w:rsidRPr="00690A91">
              <w:rPr>
                <w:rFonts w:cs="Arial"/>
                <w:sz w:val="16"/>
                <w:szCs w:val="16"/>
              </w:rPr>
              <w:t>5,33</w:t>
            </w:r>
          </w:p>
        </w:tc>
        <w:tc>
          <w:tcPr>
            <w:tcW w:w="635" w:type="dxa"/>
            <w:tcBorders>
              <w:top w:val="nil"/>
              <w:left w:val="nil"/>
              <w:bottom w:val="nil"/>
              <w:right w:val="nil"/>
            </w:tcBorders>
            <w:shd w:val="clear" w:color="auto" w:fill="auto"/>
            <w:noWrap/>
            <w:vAlign w:val="center"/>
            <w:hideMark/>
          </w:tcPr>
          <w:p w14:paraId="170A187F"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5,67</w:t>
            </w:r>
          </w:p>
        </w:tc>
        <w:tc>
          <w:tcPr>
            <w:tcW w:w="635" w:type="dxa"/>
            <w:tcBorders>
              <w:top w:val="nil"/>
              <w:left w:val="nil"/>
              <w:bottom w:val="nil"/>
              <w:right w:val="nil"/>
            </w:tcBorders>
            <w:shd w:val="clear" w:color="auto" w:fill="auto"/>
            <w:noWrap/>
            <w:vAlign w:val="center"/>
            <w:hideMark/>
          </w:tcPr>
          <w:p w14:paraId="795A800C"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5,86</w:t>
            </w:r>
          </w:p>
        </w:tc>
        <w:tc>
          <w:tcPr>
            <w:tcW w:w="635" w:type="dxa"/>
            <w:tcBorders>
              <w:top w:val="nil"/>
              <w:left w:val="nil"/>
              <w:bottom w:val="nil"/>
              <w:right w:val="nil"/>
            </w:tcBorders>
            <w:shd w:val="clear" w:color="000000" w:fill="FFFFFF"/>
            <w:noWrap/>
            <w:vAlign w:val="center"/>
            <w:hideMark/>
          </w:tcPr>
          <w:p w14:paraId="1FEF4A3E"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6,08</w:t>
            </w:r>
          </w:p>
        </w:tc>
        <w:tc>
          <w:tcPr>
            <w:tcW w:w="661" w:type="dxa"/>
            <w:gridSpan w:val="2"/>
            <w:tcBorders>
              <w:top w:val="nil"/>
              <w:left w:val="nil"/>
              <w:bottom w:val="nil"/>
              <w:right w:val="nil"/>
            </w:tcBorders>
            <w:shd w:val="clear" w:color="000000" w:fill="FFFFFF"/>
            <w:noWrap/>
            <w:vAlign w:val="center"/>
            <w:hideMark/>
          </w:tcPr>
          <w:p w14:paraId="39FFE5FE"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6,27</w:t>
            </w:r>
          </w:p>
        </w:tc>
      </w:tr>
      <w:tr w:rsidR="00690A91" w:rsidRPr="00690A91" w14:paraId="5886B9FF" w14:textId="77777777" w:rsidTr="00B3736B">
        <w:trPr>
          <w:trHeight w:val="454"/>
        </w:trPr>
        <w:tc>
          <w:tcPr>
            <w:tcW w:w="3390" w:type="dxa"/>
            <w:tcBorders>
              <w:top w:val="nil"/>
              <w:left w:val="nil"/>
              <w:bottom w:val="nil"/>
              <w:right w:val="nil"/>
            </w:tcBorders>
            <w:shd w:val="clear" w:color="auto" w:fill="auto"/>
            <w:vAlign w:val="center"/>
            <w:hideMark/>
          </w:tcPr>
          <w:p w14:paraId="239ADC08" w14:textId="77777777" w:rsidR="00690A91" w:rsidRDefault="00690A91" w:rsidP="00690A91">
            <w:pPr>
              <w:spacing w:after="0" w:line="240" w:lineRule="auto"/>
              <w:ind w:firstLineChars="100" w:firstLine="160"/>
              <w:rPr>
                <w:rFonts w:ascii="Arial CE" w:hAnsi="Arial CE" w:cs="Arial CE"/>
                <w:sz w:val="16"/>
                <w:szCs w:val="16"/>
              </w:rPr>
            </w:pPr>
            <w:r w:rsidRPr="00690A91">
              <w:rPr>
                <w:rFonts w:ascii="Arial CE" w:hAnsi="Arial CE" w:cs="Arial CE"/>
                <w:sz w:val="16"/>
                <w:szCs w:val="16"/>
              </w:rPr>
              <w:t>D – Výroba a rozvod elektřiny, plynu, tepla</w:t>
            </w:r>
          </w:p>
          <w:p w14:paraId="5E1C8420" w14:textId="7FFF09A5" w:rsidR="00690A91" w:rsidRPr="00690A91" w:rsidRDefault="00690A91" w:rsidP="00690A91">
            <w:pPr>
              <w:spacing w:after="0" w:line="240" w:lineRule="auto"/>
              <w:ind w:firstLineChars="100" w:firstLine="160"/>
              <w:rPr>
                <w:rFonts w:ascii="Arial CE" w:hAnsi="Arial CE" w:cs="Arial CE"/>
                <w:sz w:val="16"/>
                <w:szCs w:val="16"/>
              </w:rPr>
            </w:pPr>
            <w:r>
              <w:rPr>
                <w:rFonts w:ascii="Arial CE" w:hAnsi="Arial CE" w:cs="Arial CE"/>
                <w:sz w:val="16"/>
                <w:szCs w:val="16"/>
              </w:rPr>
              <w:t xml:space="preserve">      </w:t>
            </w:r>
            <w:r w:rsidRPr="00690A91">
              <w:rPr>
                <w:rFonts w:ascii="Arial CE" w:hAnsi="Arial CE" w:cs="Arial CE"/>
                <w:sz w:val="16"/>
                <w:szCs w:val="16"/>
              </w:rPr>
              <w:t xml:space="preserve"> a klimatizovaného vzduchu</w:t>
            </w:r>
          </w:p>
        </w:tc>
        <w:tc>
          <w:tcPr>
            <w:tcW w:w="635" w:type="dxa"/>
            <w:tcBorders>
              <w:top w:val="nil"/>
              <w:left w:val="nil"/>
              <w:bottom w:val="nil"/>
              <w:right w:val="nil"/>
            </w:tcBorders>
            <w:shd w:val="clear" w:color="auto" w:fill="auto"/>
            <w:noWrap/>
            <w:vAlign w:val="center"/>
            <w:hideMark/>
          </w:tcPr>
          <w:p w14:paraId="0705ABD3" w14:textId="77777777" w:rsidR="00690A91" w:rsidRPr="00690A91" w:rsidRDefault="00690A91" w:rsidP="00690A91">
            <w:pPr>
              <w:spacing w:after="0" w:line="240" w:lineRule="auto"/>
              <w:jc w:val="right"/>
              <w:rPr>
                <w:rFonts w:cs="Arial"/>
                <w:sz w:val="16"/>
                <w:szCs w:val="16"/>
              </w:rPr>
            </w:pPr>
            <w:r w:rsidRPr="00690A91">
              <w:rPr>
                <w:rFonts w:cs="Arial"/>
                <w:sz w:val="16"/>
                <w:szCs w:val="16"/>
              </w:rPr>
              <w:t>2,25</w:t>
            </w:r>
          </w:p>
        </w:tc>
        <w:tc>
          <w:tcPr>
            <w:tcW w:w="635" w:type="dxa"/>
            <w:tcBorders>
              <w:top w:val="nil"/>
              <w:left w:val="nil"/>
              <w:bottom w:val="nil"/>
              <w:right w:val="nil"/>
            </w:tcBorders>
            <w:shd w:val="clear" w:color="auto" w:fill="auto"/>
            <w:noWrap/>
            <w:vAlign w:val="center"/>
            <w:hideMark/>
          </w:tcPr>
          <w:p w14:paraId="7F9D7C37" w14:textId="77777777" w:rsidR="00690A91" w:rsidRPr="00690A91" w:rsidRDefault="00690A91" w:rsidP="00690A91">
            <w:pPr>
              <w:spacing w:after="0" w:line="240" w:lineRule="auto"/>
              <w:jc w:val="right"/>
              <w:rPr>
                <w:rFonts w:ascii="Arial CE" w:hAnsi="Arial CE" w:cs="Arial CE"/>
                <w:sz w:val="16"/>
                <w:szCs w:val="16"/>
              </w:rPr>
            </w:pPr>
            <w:r w:rsidRPr="00690A91">
              <w:rPr>
                <w:rFonts w:ascii="Arial CE" w:hAnsi="Arial CE" w:cs="Arial CE"/>
                <w:sz w:val="16"/>
                <w:szCs w:val="16"/>
              </w:rPr>
              <w:t>2,22</w:t>
            </w:r>
          </w:p>
        </w:tc>
        <w:tc>
          <w:tcPr>
            <w:tcW w:w="635" w:type="dxa"/>
            <w:tcBorders>
              <w:top w:val="nil"/>
              <w:left w:val="nil"/>
              <w:bottom w:val="nil"/>
              <w:right w:val="nil"/>
            </w:tcBorders>
            <w:shd w:val="clear" w:color="auto" w:fill="auto"/>
            <w:noWrap/>
            <w:vAlign w:val="center"/>
            <w:hideMark/>
          </w:tcPr>
          <w:p w14:paraId="57B33D85" w14:textId="77777777" w:rsidR="00690A91" w:rsidRPr="00690A91" w:rsidRDefault="00690A91" w:rsidP="00690A91">
            <w:pPr>
              <w:spacing w:after="0" w:line="240" w:lineRule="auto"/>
              <w:jc w:val="right"/>
              <w:rPr>
                <w:rFonts w:cs="Arial"/>
                <w:sz w:val="16"/>
                <w:szCs w:val="16"/>
              </w:rPr>
            </w:pPr>
            <w:r w:rsidRPr="00690A91">
              <w:rPr>
                <w:rFonts w:cs="Arial"/>
                <w:sz w:val="16"/>
                <w:szCs w:val="16"/>
              </w:rPr>
              <w:t>2,16</w:t>
            </w:r>
          </w:p>
        </w:tc>
        <w:tc>
          <w:tcPr>
            <w:tcW w:w="635" w:type="dxa"/>
            <w:tcBorders>
              <w:top w:val="nil"/>
              <w:left w:val="nil"/>
              <w:bottom w:val="nil"/>
              <w:right w:val="nil"/>
            </w:tcBorders>
            <w:shd w:val="clear" w:color="auto" w:fill="auto"/>
            <w:noWrap/>
            <w:vAlign w:val="center"/>
            <w:hideMark/>
          </w:tcPr>
          <w:p w14:paraId="124BF4C1" w14:textId="77777777" w:rsidR="00690A91" w:rsidRPr="00690A91" w:rsidRDefault="00690A91" w:rsidP="00690A91">
            <w:pPr>
              <w:spacing w:after="0" w:line="240" w:lineRule="auto"/>
              <w:jc w:val="right"/>
              <w:rPr>
                <w:rFonts w:cs="Arial"/>
                <w:sz w:val="16"/>
                <w:szCs w:val="16"/>
              </w:rPr>
            </w:pPr>
            <w:r w:rsidRPr="00690A91">
              <w:rPr>
                <w:rFonts w:cs="Arial"/>
                <w:sz w:val="16"/>
                <w:szCs w:val="16"/>
              </w:rPr>
              <w:t>2,37</w:t>
            </w:r>
          </w:p>
        </w:tc>
        <w:tc>
          <w:tcPr>
            <w:tcW w:w="635" w:type="dxa"/>
            <w:tcBorders>
              <w:top w:val="nil"/>
              <w:left w:val="nil"/>
              <w:bottom w:val="nil"/>
              <w:right w:val="nil"/>
            </w:tcBorders>
            <w:shd w:val="clear" w:color="auto" w:fill="auto"/>
            <w:noWrap/>
            <w:vAlign w:val="center"/>
            <w:hideMark/>
          </w:tcPr>
          <w:p w14:paraId="06F95700" w14:textId="77777777" w:rsidR="00690A91" w:rsidRPr="00690A91" w:rsidRDefault="00690A91" w:rsidP="00690A91">
            <w:pPr>
              <w:spacing w:after="0" w:line="240" w:lineRule="auto"/>
              <w:jc w:val="right"/>
              <w:rPr>
                <w:rFonts w:cs="Arial"/>
                <w:sz w:val="16"/>
                <w:szCs w:val="16"/>
              </w:rPr>
            </w:pPr>
            <w:r w:rsidRPr="00690A91">
              <w:rPr>
                <w:rFonts w:cs="Arial"/>
                <w:sz w:val="16"/>
                <w:szCs w:val="16"/>
              </w:rPr>
              <w:t>2,20</w:t>
            </w:r>
          </w:p>
        </w:tc>
        <w:tc>
          <w:tcPr>
            <w:tcW w:w="635" w:type="dxa"/>
            <w:tcBorders>
              <w:top w:val="nil"/>
              <w:left w:val="nil"/>
              <w:bottom w:val="nil"/>
              <w:right w:val="nil"/>
            </w:tcBorders>
            <w:shd w:val="clear" w:color="auto" w:fill="auto"/>
            <w:noWrap/>
            <w:vAlign w:val="center"/>
            <w:hideMark/>
          </w:tcPr>
          <w:p w14:paraId="268B4809" w14:textId="77777777" w:rsidR="00690A91" w:rsidRPr="00690A91" w:rsidRDefault="00690A91" w:rsidP="00690A91">
            <w:pPr>
              <w:spacing w:after="0" w:line="240" w:lineRule="auto"/>
              <w:jc w:val="right"/>
              <w:rPr>
                <w:rFonts w:cs="Arial"/>
                <w:sz w:val="16"/>
                <w:szCs w:val="16"/>
              </w:rPr>
            </w:pPr>
            <w:r w:rsidRPr="00690A91">
              <w:rPr>
                <w:rFonts w:cs="Arial"/>
                <w:sz w:val="16"/>
                <w:szCs w:val="16"/>
              </w:rPr>
              <w:t>2,75</w:t>
            </w:r>
          </w:p>
        </w:tc>
        <w:tc>
          <w:tcPr>
            <w:tcW w:w="635" w:type="dxa"/>
            <w:tcBorders>
              <w:top w:val="nil"/>
              <w:left w:val="nil"/>
              <w:bottom w:val="nil"/>
              <w:right w:val="nil"/>
            </w:tcBorders>
            <w:shd w:val="clear" w:color="auto" w:fill="auto"/>
            <w:noWrap/>
            <w:vAlign w:val="center"/>
            <w:hideMark/>
          </w:tcPr>
          <w:p w14:paraId="48573B1D"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2,76</w:t>
            </w:r>
          </w:p>
        </w:tc>
        <w:tc>
          <w:tcPr>
            <w:tcW w:w="635" w:type="dxa"/>
            <w:tcBorders>
              <w:top w:val="nil"/>
              <w:left w:val="nil"/>
              <w:bottom w:val="nil"/>
              <w:right w:val="nil"/>
            </w:tcBorders>
            <w:shd w:val="clear" w:color="auto" w:fill="auto"/>
            <w:noWrap/>
            <w:vAlign w:val="center"/>
            <w:hideMark/>
          </w:tcPr>
          <w:p w14:paraId="5583AA11"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3,07</w:t>
            </w:r>
          </w:p>
        </w:tc>
        <w:tc>
          <w:tcPr>
            <w:tcW w:w="635" w:type="dxa"/>
            <w:tcBorders>
              <w:top w:val="nil"/>
              <w:left w:val="nil"/>
              <w:bottom w:val="nil"/>
              <w:right w:val="nil"/>
            </w:tcBorders>
            <w:shd w:val="clear" w:color="000000" w:fill="FFFFFF"/>
            <w:noWrap/>
            <w:vAlign w:val="center"/>
            <w:hideMark/>
          </w:tcPr>
          <w:p w14:paraId="3720228C"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3,04</w:t>
            </w:r>
          </w:p>
        </w:tc>
        <w:tc>
          <w:tcPr>
            <w:tcW w:w="661" w:type="dxa"/>
            <w:gridSpan w:val="2"/>
            <w:tcBorders>
              <w:top w:val="nil"/>
              <w:left w:val="nil"/>
              <w:bottom w:val="nil"/>
              <w:right w:val="nil"/>
            </w:tcBorders>
            <w:shd w:val="clear" w:color="000000" w:fill="FFFFFF"/>
            <w:noWrap/>
            <w:vAlign w:val="center"/>
            <w:hideMark/>
          </w:tcPr>
          <w:p w14:paraId="66DA1C90"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3,28</w:t>
            </w:r>
          </w:p>
        </w:tc>
      </w:tr>
      <w:tr w:rsidR="00690A91" w:rsidRPr="00690A91" w14:paraId="05C52B7D" w14:textId="77777777" w:rsidTr="00B3736B">
        <w:trPr>
          <w:trHeight w:val="681"/>
        </w:trPr>
        <w:tc>
          <w:tcPr>
            <w:tcW w:w="3390" w:type="dxa"/>
            <w:tcBorders>
              <w:top w:val="nil"/>
              <w:left w:val="nil"/>
              <w:bottom w:val="nil"/>
              <w:right w:val="nil"/>
            </w:tcBorders>
            <w:shd w:val="clear" w:color="auto" w:fill="auto"/>
            <w:vAlign w:val="center"/>
            <w:hideMark/>
          </w:tcPr>
          <w:p w14:paraId="5853A197" w14:textId="77777777" w:rsidR="00690A91" w:rsidRDefault="00690A91" w:rsidP="00690A91">
            <w:pPr>
              <w:spacing w:after="0" w:line="240" w:lineRule="auto"/>
              <w:ind w:firstLineChars="100" w:firstLine="160"/>
              <w:rPr>
                <w:rFonts w:ascii="Arial CE" w:hAnsi="Arial CE" w:cs="Arial CE"/>
                <w:sz w:val="16"/>
                <w:szCs w:val="16"/>
              </w:rPr>
            </w:pPr>
            <w:r w:rsidRPr="00690A91">
              <w:rPr>
                <w:rFonts w:ascii="Arial CE" w:hAnsi="Arial CE" w:cs="Arial CE"/>
                <w:sz w:val="16"/>
                <w:szCs w:val="16"/>
              </w:rPr>
              <w:t>E – Zásobování vodou; činnosti související</w:t>
            </w:r>
          </w:p>
          <w:p w14:paraId="4F617CD0" w14:textId="77777777" w:rsidR="00690A91" w:rsidRDefault="00690A91" w:rsidP="00690A91">
            <w:pPr>
              <w:spacing w:after="0" w:line="240" w:lineRule="auto"/>
              <w:ind w:firstLineChars="100" w:firstLine="160"/>
              <w:rPr>
                <w:rFonts w:ascii="Arial CE" w:hAnsi="Arial CE" w:cs="Arial CE"/>
                <w:sz w:val="16"/>
                <w:szCs w:val="16"/>
              </w:rPr>
            </w:pPr>
            <w:r>
              <w:rPr>
                <w:rFonts w:ascii="Arial CE" w:hAnsi="Arial CE" w:cs="Arial CE"/>
                <w:sz w:val="16"/>
                <w:szCs w:val="16"/>
              </w:rPr>
              <w:t xml:space="preserve">     </w:t>
            </w:r>
            <w:r w:rsidRPr="00690A91">
              <w:rPr>
                <w:rFonts w:ascii="Arial CE" w:hAnsi="Arial CE" w:cs="Arial CE"/>
                <w:sz w:val="16"/>
                <w:szCs w:val="16"/>
              </w:rPr>
              <w:t xml:space="preserve"> s odpadními vodami, odpady</w:t>
            </w:r>
          </w:p>
          <w:p w14:paraId="439A44E0" w14:textId="2068E583" w:rsidR="00690A91" w:rsidRPr="00690A91" w:rsidRDefault="00690A91" w:rsidP="00690A91">
            <w:pPr>
              <w:spacing w:after="0" w:line="240" w:lineRule="auto"/>
              <w:ind w:firstLineChars="100" w:firstLine="160"/>
              <w:rPr>
                <w:rFonts w:ascii="Arial CE" w:hAnsi="Arial CE" w:cs="Arial CE"/>
                <w:sz w:val="16"/>
                <w:szCs w:val="16"/>
              </w:rPr>
            </w:pPr>
            <w:r>
              <w:rPr>
                <w:rFonts w:ascii="Arial CE" w:hAnsi="Arial CE" w:cs="Arial CE"/>
                <w:sz w:val="16"/>
                <w:szCs w:val="16"/>
              </w:rPr>
              <w:t xml:space="preserve">     </w:t>
            </w:r>
            <w:r w:rsidRPr="00690A91">
              <w:rPr>
                <w:rFonts w:ascii="Arial CE" w:hAnsi="Arial CE" w:cs="Arial CE"/>
                <w:sz w:val="16"/>
                <w:szCs w:val="16"/>
              </w:rPr>
              <w:t xml:space="preserve"> a sanacemi</w:t>
            </w:r>
          </w:p>
        </w:tc>
        <w:tc>
          <w:tcPr>
            <w:tcW w:w="635" w:type="dxa"/>
            <w:tcBorders>
              <w:top w:val="nil"/>
              <w:left w:val="nil"/>
              <w:bottom w:val="nil"/>
              <w:right w:val="nil"/>
            </w:tcBorders>
            <w:shd w:val="clear" w:color="auto" w:fill="auto"/>
            <w:noWrap/>
            <w:vAlign w:val="center"/>
            <w:hideMark/>
          </w:tcPr>
          <w:p w14:paraId="10512C08" w14:textId="77777777" w:rsidR="00690A91" w:rsidRPr="00690A91" w:rsidRDefault="00690A91" w:rsidP="00690A91">
            <w:pPr>
              <w:spacing w:after="0" w:line="240" w:lineRule="auto"/>
              <w:jc w:val="right"/>
              <w:rPr>
                <w:rFonts w:cs="Arial"/>
                <w:sz w:val="16"/>
                <w:szCs w:val="16"/>
              </w:rPr>
            </w:pPr>
            <w:r w:rsidRPr="00690A91">
              <w:rPr>
                <w:rFonts w:cs="Arial"/>
                <w:sz w:val="16"/>
                <w:szCs w:val="16"/>
              </w:rPr>
              <w:t>4,08</w:t>
            </w:r>
          </w:p>
        </w:tc>
        <w:tc>
          <w:tcPr>
            <w:tcW w:w="635" w:type="dxa"/>
            <w:tcBorders>
              <w:top w:val="nil"/>
              <w:left w:val="nil"/>
              <w:bottom w:val="nil"/>
              <w:right w:val="nil"/>
            </w:tcBorders>
            <w:shd w:val="clear" w:color="auto" w:fill="auto"/>
            <w:noWrap/>
            <w:vAlign w:val="center"/>
            <w:hideMark/>
          </w:tcPr>
          <w:p w14:paraId="1512DC8A" w14:textId="77777777" w:rsidR="00690A91" w:rsidRPr="00690A91" w:rsidRDefault="00690A91" w:rsidP="00690A91">
            <w:pPr>
              <w:spacing w:after="0" w:line="240" w:lineRule="auto"/>
              <w:jc w:val="right"/>
              <w:rPr>
                <w:rFonts w:ascii="Arial CE" w:hAnsi="Arial CE" w:cs="Arial CE"/>
                <w:sz w:val="16"/>
                <w:szCs w:val="16"/>
              </w:rPr>
            </w:pPr>
            <w:r w:rsidRPr="00690A91">
              <w:rPr>
                <w:rFonts w:ascii="Arial CE" w:hAnsi="Arial CE" w:cs="Arial CE"/>
                <w:sz w:val="16"/>
                <w:szCs w:val="16"/>
              </w:rPr>
              <w:t>3,93</w:t>
            </w:r>
          </w:p>
        </w:tc>
        <w:tc>
          <w:tcPr>
            <w:tcW w:w="635" w:type="dxa"/>
            <w:tcBorders>
              <w:top w:val="nil"/>
              <w:left w:val="nil"/>
              <w:bottom w:val="nil"/>
              <w:right w:val="nil"/>
            </w:tcBorders>
            <w:shd w:val="clear" w:color="auto" w:fill="auto"/>
            <w:noWrap/>
            <w:vAlign w:val="center"/>
            <w:hideMark/>
          </w:tcPr>
          <w:p w14:paraId="0FA3655D" w14:textId="77777777" w:rsidR="00690A91" w:rsidRPr="00690A91" w:rsidRDefault="00690A91" w:rsidP="00690A91">
            <w:pPr>
              <w:spacing w:after="0" w:line="240" w:lineRule="auto"/>
              <w:jc w:val="right"/>
              <w:rPr>
                <w:rFonts w:cs="Arial"/>
                <w:sz w:val="16"/>
                <w:szCs w:val="16"/>
              </w:rPr>
            </w:pPr>
            <w:r w:rsidRPr="00690A91">
              <w:rPr>
                <w:rFonts w:cs="Arial"/>
                <w:sz w:val="16"/>
                <w:szCs w:val="16"/>
              </w:rPr>
              <w:t>3,57</w:t>
            </w:r>
          </w:p>
        </w:tc>
        <w:tc>
          <w:tcPr>
            <w:tcW w:w="635" w:type="dxa"/>
            <w:tcBorders>
              <w:top w:val="nil"/>
              <w:left w:val="nil"/>
              <w:bottom w:val="nil"/>
              <w:right w:val="nil"/>
            </w:tcBorders>
            <w:shd w:val="clear" w:color="auto" w:fill="auto"/>
            <w:noWrap/>
            <w:vAlign w:val="center"/>
            <w:hideMark/>
          </w:tcPr>
          <w:p w14:paraId="0A74625A" w14:textId="77777777" w:rsidR="00690A91" w:rsidRPr="00690A91" w:rsidRDefault="00690A91" w:rsidP="00690A91">
            <w:pPr>
              <w:spacing w:after="0" w:line="240" w:lineRule="auto"/>
              <w:jc w:val="right"/>
              <w:rPr>
                <w:rFonts w:cs="Arial"/>
                <w:sz w:val="16"/>
                <w:szCs w:val="16"/>
              </w:rPr>
            </w:pPr>
            <w:r w:rsidRPr="00690A91">
              <w:rPr>
                <w:rFonts w:cs="Arial"/>
                <w:sz w:val="16"/>
                <w:szCs w:val="16"/>
              </w:rPr>
              <w:t>3,90</w:t>
            </w:r>
          </w:p>
        </w:tc>
        <w:tc>
          <w:tcPr>
            <w:tcW w:w="635" w:type="dxa"/>
            <w:tcBorders>
              <w:top w:val="nil"/>
              <w:left w:val="nil"/>
              <w:bottom w:val="nil"/>
              <w:right w:val="nil"/>
            </w:tcBorders>
            <w:shd w:val="clear" w:color="auto" w:fill="auto"/>
            <w:noWrap/>
            <w:vAlign w:val="center"/>
            <w:hideMark/>
          </w:tcPr>
          <w:p w14:paraId="2DEDC7B3" w14:textId="77777777" w:rsidR="00690A91" w:rsidRPr="00690A91" w:rsidRDefault="00690A91" w:rsidP="00690A91">
            <w:pPr>
              <w:spacing w:after="0" w:line="240" w:lineRule="auto"/>
              <w:jc w:val="right"/>
              <w:rPr>
                <w:rFonts w:cs="Arial"/>
                <w:sz w:val="16"/>
                <w:szCs w:val="16"/>
              </w:rPr>
            </w:pPr>
            <w:r w:rsidRPr="00690A91">
              <w:rPr>
                <w:rFonts w:cs="Arial"/>
                <w:sz w:val="16"/>
                <w:szCs w:val="16"/>
              </w:rPr>
              <w:t>4,01</w:t>
            </w:r>
          </w:p>
        </w:tc>
        <w:tc>
          <w:tcPr>
            <w:tcW w:w="635" w:type="dxa"/>
            <w:tcBorders>
              <w:top w:val="nil"/>
              <w:left w:val="nil"/>
              <w:bottom w:val="nil"/>
              <w:right w:val="nil"/>
            </w:tcBorders>
            <w:shd w:val="clear" w:color="auto" w:fill="auto"/>
            <w:noWrap/>
            <w:vAlign w:val="center"/>
            <w:hideMark/>
          </w:tcPr>
          <w:p w14:paraId="1612EFED" w14:textId="77777777" w:rsidR="00690A91" w:rsidRPr="00690A91" w:rsidRDefault="00690A91" w:rsidP="00690A91">
            <w:pPr>
              <w:spacing w:after="0" w:line="240" w:lineRule="auto"/>
              <w:jc w:val="right"/>
              <w:rPr>
                <w:rFonts w:cs="Arial"/>
                <w:sz w:val="16"/>
                <w:szCs w:val="16"/>
              </w:rPr>
            </w:pPr>
            <w:r w:rsidRPr="00690A91">
              <w:rPr>
                <w:rFonts w:cs="Arial"/>
                <w:sz w:val="16"/>
                <w:szCs w:val="16"/>
              </w:rPr>
              <w:t>4,51</w:t>
            </w:r>
          </w:p>
        </w:tc>
        <w:tc>
          <w:tcPr>
            <w:tcW w:w="635" w:type="dxa"/>
            <w:tcBorders>
              <w:top w:val="nil"/>
              <w:left w:val="nil"/>
              <w:bottom w:val="nil"/>
              <w:right w:val="nil"/>
            </w:tcBorders>
            <w:shd w:val="clear" w:color="auto" w:fill="auto"/>
            <w:noWrap/>
            <w:vAlign w:val="center"/>
            <w:hideMark/>
          </w:tcPr>
          <w:p w14:paraId="6F8B1F07"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4,60</w:t>
            </w:r>
          </w:p>
        </w:tc>
        <w:tc>
          <w:tcPr>
            <w:tcW w:w="635" w:type="dxa"/>
            <w:tcBorders>
              <w:top w:val="nil"/>
              <w:left w:val="nil"/>
              <w:bottom w:val="nil"/>
              <w:right w:val="nil"/>
            </w:tcBorders>
            <w:shd w:val="clear" w:color="auto" w:fill="auto"/>
            <w:noWrap/>
            <w:vAlign w:val="center"/>
            <w:hideMark/>
          </w:tcPr>
          <w:p w14:paraId="473237C5"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4,98</w:t>
            </w:r>
          </w:p>
        </w:tc>
        <w:tc>
          <w:tcPr>
            <w:tcW w:w="635" w:type="dxa"/>
            <w:tcBorders>
              <w:top w:val="nil"/>
              <w:left w:val="nil"/>
              <w:bottom w:val="nil"/>
              <w:right w:val="nil"/>
            </w:tcBorders>
            <w:shd w:val="clear" w:color="000000" w:fill="FFFFFF"/>
            <w:noWrap/>
            <w:vAlign w:val="center"/>
            <w:hideMark/>
          </w:tcPr>
          <w:p w14:paraId="6C924D84"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5,20</w:t>
            </w:r>
          </w:p>
        </w:tc>
        <w:tc>
          <w:tcPr>
            <w:tcW w:w="661" w:type="dxa"/>
            <w:gridSpan w:val="2"/>
            <w:tcBorders>
              <w:top w:val="nil"/>
              <w:left w:val="nil"/>
              <w:bottom w:val="nil"/>
              <w:right w:val="nil"/>
            </w:tcBorders>
            <w:shd w:val="clear" w:color="000000" w:fill="FFFFFF"/>
            <w:noWrap/>
            <w:vAlign w:val="center"/>
            <w:hideMark/>
          </w:tcPr>
          <w:p w14:paraId="43B4AFB2"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5,42</w:t>
            </w:r>
          </w:p>
        </w:tc>
      </w:tr>
      <w:tr w:rsidR="00690A91" w:rsidRPr="00690A91" w14:paraId="2B4E6565" w14:textId="77777777" w:rsidTr="00B3736B">
        <w:trPr>
          <w:trHeight w:val="287"/>
        </w:trPr>
        <w:tc>
          <w:tcPr>
            <w:tcW w:w="3390" w:type="dxa"/>
            <w:tcBorders>
              <w:top w:val="nil"/>
              <w:left w:val="nil"/>
              <w:bottom w:val="nil"/>
              <w:right w:val="nil"/>
            </w:tcBorders>
            <w:shd w:val="clear" w:color="auto" w:fill="auto"/>
            <w:vAlign w:val="center"/>
            <w:hideMark/>
          </w:tcPr>
          <w:p w14:paraId="78221C7E" w14:textId="77777777" w:rsidR="00690A91" w:rsidRPr="00690A91" w:rsidRDefault="00690A91" w:rsidP="00690A91">
            <w:pPr>
              <w:spacing w:after="0" w:line="240" w:lineRule="auto"/>
              <w:ind w:firstLineChars="100" w:firstLine="160"/>
              <w:rPr>
                <w:rFonts w:ascii="Arial CE" w:hAnsi="Arial CE" w:cs="Arial CE"/>
                <w:sz w:val="16"/>
                <w:szCs w:val="16"/>
              </w:rPr>
            </w:pPr>
            <w:r w:rsidRPr="00690A91">
              <w:rPr>
                <w:rFonts w:ascii="Arial CE" w:hAnsi="Arial CE" w:cs="Arial CE"/>
                <w:sz w:val="16"/>
                <w:szCs w:val="16"/>
              </w:rPr>
              <w:t>F – Stavebnictví</w:t>
            </w:r>
          </w:p>
        </w:tc>
        <w:tc>
          <w:tcPr>
            <w:tcW w:w="635" w:type="dxa"/>
            <w:tcBorders>
              <w:top w:val="nil"/>
              <w:left w:val="nil"/>
              <w:bottom w:val="nil"/>
              <w:right w:val="nil"/>
            </w:tcBorders>
            <w:shd w:val="clear" w:color="auto" w:fill="auto"/>
            <w:noWrap/>
            <w:vAlign w:val="center"/>
            <w:hideMark/>
          </w:tcPr>
          <w:p w14:paraId="4FAC15EB" w14:textId="77777777" w:rsidR="00690A91" w:rsidRPr="00690A91" w:rsidRDefault="00690A91" w:rsidP="00690A91">
            <w:pPr>
              <w:spacing w:after="0" w:line="240" w:lineRule="auto"/>
              <w:jc w:val="right"/>
              <w:rPr>
                <w:rFonts w:cs="Arial"/>
                <w:sz w:val="16"/>
                <w:szCs w:val="16"/>
              </w:rPr>
            </w:pPr>
            <w:r w:rsidRPr="00690A91">
              <w:rPr>
                <w:rFonts w:cs="Arial"/>
                <w:sz w:val="16"/>
                <w:szCs w:val="16"/>
              </w:rPr>
              <w:t>5,63</w:t>
            </w:r>
          </w:p>
        </w:tc>
        <w:tc>
          <w:tcPr>
            <w:tcW w:w="635" w:type="dxa"/>
            <w:tcBorders>
              <w:top w:val="nil"/>
              <w:left w:val="nil"/>
              <w:bottom w:val="nil"/>
              <w:right w:val="nil"/>
            </w:tcBorders>
            <w:shd w:val="clear" w:color="auto" w:fill="auto"/>
            <w:noWrap/>
            <w:vAlign w:val="center"/>
            <w:hideMark/>
          </w:tcPr>
          <w:p w14:paraId="17D1B3DC" w14:textId="77777777" w:rsidR="00690A91" w:rsidRPr="00690A91" w:rsidRDefault="00690A91" w:rsidP="00690A91">
            <w:pPr>
              <w:spacing w:after="0" w:line="240" w:lineRule="auto"/>
              <w:jc w:val="right"/>
              <w:rPr>
                <w:rFonts w:ascii="Arial CE" w:hAnsi="Arial CE" w:cs="Arial CE"/>
                <w:sz w:val="16"/>
                <w:szCs w:val="16"/>
              </w:rPr>
            </w:pPr>
            <w:r w:rsidRPr="00690A91">
              <w:rPr>
                <w:rFonts w:ascii="Arial CE" w:hAnsi="Arial CE" w:cs="Arial CE"/>
                <w:sz w:val="16"/>
                <w:szCs w:val="16"/>
              </w:rPr>
              <w:t>5,67</w:t>
            </w:r>
          </w:p>
        </w:tc>
        <w:tc>
          <w:tcPr>
            <w:tcW w:w="635" w:type="dxa"/>
            <w:tcBorders>
              <w:top w:val="nil"/>
              <w:left w:val="nil"/>
              <w:bottom w:val="nil"/>
              <w:right w:val="nil"/>
            </w:tcBorders>
            <w:shd w:val="clear" w:color="auto" w:fill="auto"/>
            <w:noWrap/>
            <w:vAlign w:val="center"/>
            <w:hideMark/>
          </w:tcPr>
          <w:p w14:paraId="62EDD071" w14:textId="77777777" w:rsidR="00690A91" w:rsidRPr="00690A91" w:rsidRDefault="00690A91" w:rsidP="00690A91">
            <w:pPr>
              <w:spacing w:after="0" w:line="240" w:lineRule="auto"/>
              <w:jc w:val="right"/>
              <w:rPr>
                <w:rFonts w:cs="Arial"/>
                <w:sz w:val="16"/>
                <w:szCs w:val="16"/>
              </w:rPr>
            </w:pPr>
            <w:r w:rsidRPr="00690A91">
              <w:rPr>
                <w:rFonts w:cs="Arial"/>
                <w:sz w:val="16"/>
                <w:szCs w:val="16"/>
              </w:rPr>
              <w:t>4,81</w:t>
            </w:r>
          </w:p>
        </w:tc>
        <w:tc>
          <w:tcPr>
            <w:tcW w:w="635" w:type="dxa"/>
            <w:tcBorders>
              <w:top w:val="nil"/>
              <w:left w:val="nil"/>
              <w:bottom w:val="nil"/>
              <w:right w:val="nil"/>
            </w:tcBorders>
            <w:shd w:val="clear" w:color="auto" w:fill="auto"/>
            <w:noWrap/>
            <w:vAlign w:val="center"/>
            <w:hideMark/>
          </w:tcPr>
          <w:p w14:paraId="586270DE" w14:textId="77777777" w:rsidR="00690A91" w:rsidRPr="00690A91" w:rsidRDefault="00690A91" w:rsidP="00690A91">
            <w:pPr>
              <w:spacing w:after="0" w:line="240" w:lineRule="auto"/>
              <w:jc w:val="right"/>
              <w:rPr>
                <w:rFonts w:cs="Arial"/>
                <w:sz w:val="16"/>
                <w:szCs w:val="16"/>
              </w:rPr>
            </w:pPr>
            <w:r w:rsidRPr="00690A91">
              <w:rPr>
                <w:rFonts w:cs="Arial"/>
                <w:sz w:val="16"/>
                <w:szCs w:val="16"/>
              </w:rPr>
              <w:t>5,37</w:t>
            </w:r>
          </w:p>
        </w:tc>
        <w:tc>
          <w:tcPr>
            <w:tcW w:w="635" w:type="dxa"/>
            <w:tcBorders>
              <w:top w:val="nil"/>
              <w:left w:val="nil"/>
              <w:bottom w:val="nil"/>
              <w:right w:val="nil"/>
            </w:tcBorders>
            <w:shd w:val="clear" w:color="auto" w:fill="auto"/>
            <w:noWrap/>
            <w:vAlign w:val="center"/>
            <w:hideMark/>
          </w:tcPr>
          <w:p w14:paraId="5390CB1D" w14:textId="77777777" w:rsidR="00690A91" w:rsidRPr="00690A91" w:rsidRDefault="00690A91" w:rsidP="00690A91">
            <w:pPr>
              <w:spacing w:after="0" w:line="240" w:lineRule="auto"/>
              <w:jc w:val="right"/>
              <w:rPr>
                <w:rFonts w:cs="Arial"/>
                <w:sz w:val="16"/>
                <w:szCs w:val="16"/>
              </w:rPr>
            </w:pPr>
            <w:r w:rsidRPr="00690A91">
              <w:rPr>
                <w:rFonts w:cs="Arial"/>
                <w:sz w:val="16"/>
                <w:szCs w:val="16"/>
              </w:rPr>
              <w:t>4,92</w:t>
            </w:r>
          </w:p>
        </w:tc>
        <w:tc>
          <w:tcPr>
            <w:tcW w:w="635" w:type="dxa"/>
            <w:tcBorders>
              <w:top w:val="nil"/>
              <w:left w:val="nil"/>
              <w:bottom w:val="nil"/>
              <w:right w:val="nil"/>
            </w:tcBorders>
            <w:shd w:val="clear" w:color="auto" w:fill="auto"/>
            <w:noWrap/>
            <w:vAlign w:val="center"/>
            <w:hideMark/>
          </w:tcPr>
          <w:p w14:paraId="74CD08E6" w14:textId="77777777" w:rsidR="00690A91" w:rsidRPr="00690A91" w:rsidRDefault="00690A91" w:rsidP="00690A91">
            <w:pPr>
              <w:spacing w:after="0" w:line="240" w:lineRule="auto"/>
              <w:jc w:val="right"/>
              <w:rPr>
                <w:rFonts w:cs="Arial"/>
                <w:sz w:val="16"/>
                <w:szCs w:val="16"/>
              </w:rPr>
            </w:pPr>
            <w:r w:rsidRPr="00690A91">
              <w:rPr>
                <w:rFonts w:cs="Arial"/>
                <w:sz w:val="16"/>
                <w:szCs w:val="16"/>
              </w:rPr>
              <w:t>5,11</w:t>
            </w:r>
          </w:p>
        </w:tc>
        <w:tc>
          <w:tcPr>
            <w:tcW w:w="635" w:type="dxa"/>
            <w:tcBorders>
              <w:top w:val="nil"/>
              <w:left w:val="nil"/>
              <w:bottom w:val="nil"/>
              <w:right w:val="nil"/>
            </w:tcBorders>
            <w:shd w:val="clear" w:color="auto" w:fill="auto"/>
            <w:noWrap/>
            <w:vAlign w:val="center"/>
            <w:hideMark/>
          </w:tcPr>
          <w:p w14:paraId="78DB58EF"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5,17</w:t>
            </w:r>
          </w:p>
        </w:tc>
        <w:tc>
          <w:tcPr>
            <w:tcW w:w="635" w:type="dxa"/>
            <w:tcBorders>
              <w:top w:val="nil"/>
              <w:left w:val="nil"/>
              <w:bottom w:val="nil"/>
              <w:right w:val="nil"/>
            </w:tcBorders>
            <w:shd w:val="clear" w:color="auto" w:fill="auto"/>
            <w:noWrap/>
            <w:vAlign w:val="center"/>
            <w:hideMark/>
          </w:tcPr>
          <w:p w14:paraId="11EFD2EC"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5,32</w:t>
            </w:r>
          </w:p>
        </w:tc>
        <w:tc>
          <w:tcPr>
            <w:tcW w:w="635" w:type="dxa"/>
            <w:tcBorders>
              <w:top w:val="nil"/>
              <w:left w:val="nil"/>
              <w:bottom w:val="nil"/>
              <w:right w:val="nil"/>
            </w:tcBorders>
            <w:shd w:val="clear" w:color="000000" w:fill="FFFFFF"/>
            <w:noWrap/>
            <w:vAlign w:val="center"/>
            <w:hideMark/>
          </w:tcPr>
          <w:p w14:paraId="387B5238"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5,21</w:t>
            </w:r>
          </w:p>
        </w:tc>
        <w:tc>
          <w:tcPr>
            <w:tcW w:w="661" w:type="dxa"/>
            <w:gridSpan w:val="2"/>
            <w:tcBorders>
              <w:top w:val="nil"/>
              <w:left w:val="nil"/>
              <w:bottom w:val="nil"/>
              <w:right w:val="nil"/>
            </w:tcBorders>
            <w:shd w:val="clear" w:color="000000" w:fill="FFFFFF"/>
            <w:noWrap/>
            <w:vAlign w:val="center"/>
            <w:hideMark/>
          </w:tcPr>
          <w:p w14:paraId="6E0E07CE"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5,24</w:t>
            </w:r>
          </w:p>
        </w:tc>
      </w:tr>
      <w:tr w:rsidR="00690A91" w:rsidRPr="00690A91" w14:paraId="753C7B12" w14:textId="77777777" w:rsidTr="00B3736B">
        <w:trPr>
          <w:trHeight w:val="454"/>
        </w:trPr>
        <w:tc>
          <w:tcPr>
            <w:tcW w:w="3390" w:type="dxa"/>
            <w:tcBorders>
              <w:top w:val="nil"/>
              <w:left w:val="nil"/>
              <w:bottom w:val="nil"/>
              <w:right w:val="nil"/>
            </w:tcBorders>
            <w:shd w:val="clear" w:color="auto" w:fill="auto"/>
            <w:vAlign w:val="center"/>
            <w:hideMark/>
          </w:tcPr>
          <w:p w14:paraId="3D10C2A7" w14:textId="77777777" w:rsidR="00690A91" w:rsidRDefault="00690A91" w:rsidP="00690A91">
            <w:pPr>
              <w:spacing w:after="0" w:line="240" w:lineRule="auto"/>
              <w:ind w:firstLineChars="100" w:firstLine="160"/>
              <w:rPr>
                <w:rFonts w:ascii="Arial CE" w:hAnsi="Arial CE" w:cs="Arial CE"/>
                <w:sz w:val="16"/>
                <w:szCs w:val="16"/>
              </w:rPr>
            </w:pPr>
            <w:r w:rsidRPr="00690A91">
              <w:rPr>
                <w:rFonts w:ascii="Arial CE" w:hAnsi="Arial CE" w:cs="Arial CE"/>
                <w:sz w:val="16"/>
                <w:szCs w:val="16"/>
              </w:rPr>
              <w:t xml:space="preserve">G – Velkoobchod a maloobchod; opravy </w:t>
            </w:r>
          </w:p>
          <w:p w14:paraId="79949B65" w14:textId="2DB4770C" w:rsidR="00690A91" w:rsidRPr="00690A91" w:rsidRDefault="00690A91" w:rsidP="00690A91">
            <w:pPr>
              <w:spacing w:after="0" w:line="240" w:lineRule="auto"/>
              <w:ind w:firstLineChars="100" w:firstLine="160"/>
              <w:rPr>
                <w:rFonts w:ascii="Arial CE" w:hAnsi="Arial CE" w:cs="Arial CE"/>
                <w:sz w:val="16"/>
                <w:szCs w:val="16"/>
              </w:rPr>
            </w:pPr>
            <w:r>
              <w:rPr>
                <w:rFonts w:ascii="Arial CE" w:hAnsi="Arial CE" w:cs="Arial CE"/>
                <w:sz w:val="16"/>
                <w:szCs w:val="16"/>
              </w:rPr>
              <w:t xml:space="preserve">       a údržba </w:t>
            </w:r>
            <w:r w:rsidRPr="00690A91">
              <w:rPr>
                <w:rFonts w:ascii="Arial CE" w:hAnsi="Arial CE" w:cs="Arial CE"/>
                <w:sz w:val="16"/>
                <w:szCs w:val="16"/>
              </w:rPr>
              <w:t>motorových vozidel</w:t>
            </w:r>
          </w:p>
        </w:tc>
        <w:tc>
          <w:tcPr>
            <w:tcW w:w="635" w:type="dxa"/>
            <w:tcBorders>
              <w:top w:val="nil"/>
              <w:left w:val="nil"/>
              <w:bottom w:val="nil"/>
              <w:right w:val="nil"/>
            </w:tcBorders>
            <w:shd w:val="clear" w:color="auto" w:fill="auto"/>
            <w:noWrap/>
            <w:vAlign w:val="center"/>
            <w:hideMark/>
          </w:tcPr>
          <w:p w14:paraId="551A6B60" w14:textId="77777777" w:rsidR="00690A91" w:rsidRPr="00690A91" w:rsidRDefault="00690A91" w:rsidP="00690A91">
            <w:pPr>
              <w:spacing w:after="0" w:line="240" w:lineRule="auto"/>
              <w:jc w:val="right"/>
              <w:rPr>
                <w:rFonts w:cs="Arial"/>
                <w:sz w:val="16"/>
                <w:szCs w:val="16"/>
              </w:rPr>
            </w:pPr>
            <w:r w:rsidRPr="00690A91">
              <w:rPr>
                <w:rFonts w:cs="Arial"/>
                <w:sz w:val="16"/>
                <w:szCs w:val="16"/>
              </w:rPr>
              <w:t>4,21</w:t>
            </w:r>
          </w:p>
        </w:tc>
        <w:tc>
          <w:tcPr>
            <w:tcW w:w="635" w:type="dxa"/>
            <w:tcBorders>
              <w:top w:val="nil"/>
              <w:left w:val="nil"/>
              <w:bottom w:val="nil"/>
              <w:right w:val="nil"/>
            </w:tcBorders>
            <w:shd w:val="clear" w:color="auto" w:fill="auto"/>
            <w:noWrap/>
            <w:vAlign w:val="center"/>
            <w:hideMark/>
          </w:tcPr>
          <w:p w14:paraId="71961B1D" w14:textId="77777777" w:rsidR="00690A91" w:rsidRPr="00690A91" w:rsidRDefault="00690A91" w:rsidP="00690A91">
            <w:pPr>
              <w:spacing w:after="0" w:line="240" w:lineRule="auto"/>
              <w:jc w:val="right"/>
              <w:rPr>
                <w:rFonts w:ascii="Arial CE" w:hAnsi="Arial CE" w:cs="Arial CE"/>
                <w:sz w:val="16"/>
                <w:szCs w:val="16"/>
              </w:rPr>
            </w:pPr>
            <w:r w:rsidRPr="00690A91">
              <w:rPr>
                <w:rFonts w:ascii="Arial CE" w:hAnsi="Arial CE" w:cs="Arial CE"/>
                <w:sz w:val="16"/>
                <w:szCs w:val="16"/>
              </w:rPr>
              <w:t>4,02</w:t>
            </w:r>
          </w:p>
        </w:tc>
        <w:tc>
          <w:tcPr>
            <w:tcW w:w="635" w:type="dxa"/>
            <w:tcBorders>
              <w:top w:val="nil"/>
              <w:left w:val="nil"/>
              <w:bottom w:val="nil"/>
              <w:right w:val="nil"/>
            </w:tcBorders>
            <w:shd w:val="clear" w:color="auto" w:fill="auto"/>
            <w:noWrap/>
            <w:vAlign w:val="center"/>
            <w:hideMark/>
          </w:tcPr>
          <w:p w14:paraId="269B0E30" w14:textId="77777777" w:rsidR="00690A91" w:rsidRPr="00690A91" w:rsidRDefault="00690A91" w:rsidP="00690A91">
            <w:pPr>
              <w:spacing w:after="0" w:line="240" w:lineRule="auto"/>
              <w:jc w:val="right"/>
              <w:rPr>
                <w:rFonts w:cs="Arial"/>
                <w:sz w:val="16"/>
                <w:szCs w:val="16"/>
              </w:rPr>
            </w:pPr>
            <w:r w:rsidRPr="00690A91">
              <w:rPr>
                <w:rFonts w:cs="Arial"/>
                <w:sz w:val="16"/>
                <w:szCs w:val="16"/>
              </w:rPr>
              <w:t>3,53</w:t>
            </w:r>
          </w:p>
        </w:tc>
        <w:tc>
          <w:tcPr>
            <w:tcW w:w="635" w:type="dxa"/>
            <w:tcBorders>
              <w:top w:val="nil"/>
              <w:left w:val="nil"/>
              <w:bottom w:val="nil"/>
              <w:right w:val="nil"/>
            </w:tcBorders>
            <w:shd w:val="clear" w:color="auto" w:fill="auto"/>
            <w:noWrap/>
            <w:vAlign w:val="center"/>
            <w:hideMark/>
          </w:tcPr>
          <w:p w14:paraId="257C1B95" w14:textId="77777777" w:rsidR="00690A91" w:rsidRPr="00690A91" w:rsidRDefault="00690A91" w:rsidP="00690A91">
            <w:pPr>
              <w:spacing w:after="0" w:line="240" w:lineRule="auto"/>
              <w:jc w:val="right"/>
              <w:rPr>
                <w:rFonts w:cs="Arial"/>
                <w:sz w:val="16"/>
                <w:szCs w:val="16"/>
              </w:rPr>
            </w:pPr>
            <w:r w:rsidRPr="00690A91">
              <w:rPr>
                <w:rFonts w:cs="Arial"/>
                <w:sz w:val="16"/>
                <w:szCs w:val="16"/>
              </w:rPr>
              <w:t>3,87</w:t>
            </w:r>
          </w:p>
        </w:tc>
        <w:tc>
          <w:tcPr>
            <w:tcW w:w="635" w:type="dxa"/>
            <w:tcBorders>
              <w:top w:val="nil"/>
              <w:left w:val="nil"/>
              <w:bottom w:val="nil"/>
              <w:right w:val="nil"/>
            </w:tcBorders>
            <w:shd w:val="clear" w:color="auto" w:fill="auto"/>
            <w:noWrap/>
            <w:vAlign w:val="center"/>
            <w:hideMark/>
          </w:tcPr>
          <w:p w14:paraId="253AFC4C" w14:textId="77777777" w:rsidR="00690A91" w:rsidRPr="00690A91" w:rsidRDefault="00690A91" w:rsidP="00690A91">
            <w:pPr>
              <w:spacing w:after="0" w:line="240" w:lineRule="auto"/>
              <w:jc w:val="right"/>
              <w:rPr>
                <w:rFonts w:cs="Arial"/>
                <w:sz w:val="16"/>
                <w:szCs w:val="16"/>
              </w:rPr>
            </w:pPr>
            <w:r w:rsidRPr="00690A91">
              <w:rPr>
                <w:rFonts w:cs="Arial"/>
                <w:sz w:val="16"/>
                <w:szCs w:val="16"/>
              </w:rPr>
              <w:t>3,77</w:t>
            </w:r>
          </w:p>
        </w:tc>
        <w:tc>
          <w:tcPr>
            <w:tcW w:w="635" w:type="dxa"/>
            <w:tcBorders>
              <w:top w:val="nil"/>
              <w:left w:val="nil"/>
              <w:bottom w:val="nil"/>
              <w:right w:val="nil"/>
            </w:tcBorders>
            <w:shd w:val="clear" w:color="auto" w:fill="auto"/>
            <w:noWrap/>
            <w:vAlign w:val="center"/>
            <w:hideMark/>
          </w:tcPr>
          <w:p w14:paraId="62EDA8ED" w14:textId="77777777" w:rsidR="00690A91" w:rsidRPr="00690A91" w:rsidRDefault="00690A91" w:rsidP="00690A91">
            <w:pPr>
              <w:spacing w:after="0" w:line="240" w:lineRule="auto"/>
              <w:jc w:val="right"/>
              <w:rPr>
                <w:rFonts w:cs="Arial"/>
                <w:sz w:val="16"/>
                <w:szCs w:val="16"/>
              </w:rPr>
            </w:pPr>
            <w:r w:rsidRPr="00690A91">
              <w:rPr>
                <w:rFonts w:cs="Arial"/>
                <w:sz w:val="16"/>
                <w:szCs w:val="16"/>
              </w:rPr>
              <w:t>4,15</w:t>
            </w:r>
          </w:p>
        </w:tc>
        <w:tc>
          <w:tcPr>
            <w:tcW w:w="635" w:type="dxa"/>
            <w:tcBorders>
              <w:top w:val="nil"/>
              <w:left w:val="nil"/>
              <w:bottom w:val="nil"/>
              <w:right w:val="nil"/>
            </w:tcBorders>
            <w:shd w:val="clear" w:color="auto" w:fill="auto"/>
            <w:noWrap/>
            <w:vAlign w:val="center"/>
            <w:hideMark/>
          </w:tcPr>
          <w:p w14:paraId="52768A93"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4,42</w:t>
            </w:r>
          </w:p>
        </w:tc>
        <w:tc>
          <w:tcPr>
            <w:tcW w:w="635" w:type="dxa"/>
            <w:tcBorders>
              <w:top w:val="nil"/>
              <w:left w:val="nil"/>
              <w:bottom w:val="nil"/>
              <w:right w:val="nil"/>
            </w:tcBorders>
            <w:shd w:val="clear" w:color="auto" w:fill="auto"/>
            <w:noWrap/>
            <w:vAlign w:val="center"/>
            <w:hideMark/>
          </w:tcPr>
          <w:p w14:paraId="28AF1A9F"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4,59</w:t>
            </w:r>
          </w:p>
        </w:tc>
        <w:tc>
          <w:tcPr>
            <w:tcW w:w="635" w:type="dxa"/>
            <w:tcBorders>
              <w:top w:val="nil"/>
              <w:left w:val="nil"/>
              <w:bottom w:val="nil"/>
              <w:right w:val="nil"/>
            </w:tcBorders>
            <w:shd w:val="clear" w:color="000000" w:fill="FFFFFF"/>
            <w:noWrap/>
            <w:vAlign w:val="center"/>
            <w:hideMark/>
          </w:tcPr>
          <w:p w14:paraId="609D0AD8"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4,87</w:t>
            </w:r>
          </w:p>
        </w:tc>
        <w:tc>
          <w:tcPr>
            <w:tcW w:w="661" w:type="dxa"/>
            <w:gridSpan w:val="2"/>
            <w:tcBorders>
              <w:top w:val="nil"/>
              <w:left w:val="nil"/>
              <w:bottom w:val="nil"/>
              <w:right w:val="nil"/>
            </w:tcBorders>
            <w:shd w:val="clear" w:color="000000" w:fill="FFFFFF"/>
            <w:noWrap/>
            <w:vAlign w:val="center"/>
            <w:hideMark/>
          </w:tcPr>
          <w:p w14:paraId="03B5EC72"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5,07</w:t>
            </w:r>
          </w:p>
        </w:tc>
      </w:tr>
      <w:tr w:rsidR="00690A91" w:rsidRPr="00690A91" w14:paraId="6E48EE78" w14:textId="77777777" w:rsidTr="00B3736B">
        <w:trPr>
          <w:trHeight w:val="287"/>
        </w:trPr>
        <w:tc>
          <w:tcPr>
            <w:tcW w:w="3390" w:type="dxa"/>
            <w:tcBorders>
              <w:top w:val="nil"/>
              <w:left w:val="nil"/>
              <w:bottom w:val="nil"/>
              <w:right w:val="nil"/>
            </w:tcBorders>
            <w:shd w:val="clear" w:color="auto" w:fill="auto"/>
            <w:vAlign w:val="center"/>
            <w:hideMark/>
          </w:tcPr>
          <w:p w14:paraId="2C4A6171" w14:textId="77777777" w:rsidR="00690A91" w:rsidRPr="00690A91" w:rsidRDefault="00690A91" w:rsidP="00690A91">
            <w:pPr>
              <w:spacing w:after="0" w:line="240" w:lineRule="auto"/>
              <w:ind w:firstLineChars="100" w:firstLine="160"/>
              <w:rPr>
                <w:rFonts w:ascii="Arial CE" w:hAnsi="Arial CE" w:cs="Arial CE"/>
                <w:sz w:val="16"/>
                <w:szCs w:val="16"/>
              </w:rPr>
            </w:pPr>
            <w:r w:rsidRPr="00690A91">
              <w:rPr>
                <w:rFonts w:ascii="Arial CE" w:hAnsi="Arial CE" w:cs="Arial CE"/>
                <w:sz w:val="16"/>
                <w:szCs w:val="16"/>
              </w:rPr>
              <w:t>H – Doprava a skladování</w:t>
            </w:r>
          </w:p>
        </w:tc>
        <w:tc>
          <w:tcPr>
            <w:tcW w:w="635" w:type="dxa"/>
            <w:tcBorders>
              <w:top w:val="nil"/>
              <w:left w:val="nil"/>
              <w:bottom w:val="nil"/>
              <w:right w:val="nil"/>
            </w:tcBorders>
            <w:shd w:val="clear" w:color="auto" w:fill="auto"/>
            <w:noWrap/>
            <w:vAlign w:val="center"/>
            <w:hideMark/>
          </w:tcPr>
          <w:p w14:paraId="3C89084A" w14:textId="77777777" w:rsidR="00690A91" w:rsidRPr="00690A91" w:rsidRDefault="00690A91" w:rsidP="00690A91">
            <w:pPr>
              <w:spacing w:after="0" w:line="240" w:lineRule="auto"/>
              <w:jc w:val="right"/>
              <w:rPr>
                <w:rFonts w:cs="Arial"/>
                <w:sz w:val="16"/>
                <w:szCs w:val="16"/>
              </w:rPr>
            </w:pPr>
            <w:r w:rsidRPr="00690A91">
              <w:rPr>
                <w:rFonts w:cs="Arial"/>
                <w:sz w:val="16"/>
                <w:szCs w:val="16"/>
              </w:rPr>
              <w:t>4,25</w:t>
            </w:r>
          </w:p>
        </w:tc>
        <w:tc>
          <w:tcPr>
            <w:tcW w:w="635" w:type="dxa"/>
            <w:tcBorders>
              <w:top w:val="nil"/>
              <w:left w:val="nil"/>
              <w:bottom w:val="nil"/>
              <w:right w:val="nil"/>
            </w:tcBorders>
            <w:shd w:val="clear" w:color="auto" w:fill="auto"/>
            <w:noWrap/>
            <w:vAlign w:val="center"/>
            <w:hideMark/>
          </w:tcPr>
          <w:p w14:paraId="700FC95C" w14:textId="77777777" w:rsidR="00690A91" w:rsidRPr="00690A91" w:rsidRDefault="00690A91" w:rsidP="00690A91">
            <w:pPr>
              <w:spacing w:after="0" w:line="240" w:lineRule="auto"/>
              <w:jc w:val="right"/>
              <w:rPr>
                <w:rFonts w:ascii="Arial CE" w:hAnsi="Arial CE" w:cs="Arial CE"/>
                <w:sz w:val="16"/>
                <w:szCs w:val="16"/>
              </w:rPr>
            </w:pPr>
            <w:r w:rsidRPr="00690A91">
              <w:rPr>
                <w:rFonts w:ascii="Arial CE" w:hAnsi="Arial CE" w:cs="Arial CE"/>
                <w:sz w:val="16"/>
                <w:szCs w:val="16"/>
              </w:rPr>
              <w:t>4,01</w:t>
            </w:r>
          </w:p>
        </w:tc>
        <w:tc>
          <w:tcPr>
            <w:tcW w:w="635" w:type="dxa"/>
            <w:tcBorders>
              <w:top w:val="nil"/>
              <w:left w:val="nil"/>
              <w:bottom w:val="nil"/>
              <w:right w:val="nil"/>
            </w:tcBorders>
            <w:shd w:val="clear" w:color="auto" w:fill="auto"/>
            <w:noWrap/>
            <w:vAlign w:val="center"/>
            <w:hideMark/>
          </w:tcPr>
          <w:p w14:paraId="28ACBD64" w14:textId="77777777" w:rsidR="00690A91" w:rsidRPr="00690A91" w:rsidRDefault="00690A91" w:rsidP="00690A91">
            <w:pPr>
              <w:spacing w:after="0" w:line="240" w:lineRule="auto"/>
              <w:jc w:val="right"/>
              <w:rPr>
                <w:rFonts w:cs="Arial"/>
                <w:sz w:val="16"/>
                <w:szCs w:val="16"/>
              </w:rPr>
            </w:pPr>
            <w:r w:rsidRPr="00690A91">
              <w:rPr>
                <w:rFonts w:cs="Arial"/>
                <w:sz w:val="16"/>
                <w:szCs w:val="16"/>
              </w:rPr>
              <w:t>3,63</w:t>
            </w:r>
          </w:p>
        </w:tc>
        <w:tc>
          <w:tcPr>
            <w:tcW w:w="635" w:type="dxa"/>
            <w:tcBorders>
              <w:top w:val="nil"/>
              <w:left w:val="nil"/>
              <w:bottom w:val="nil"/>
              <w:right w:val="nil"/>
            </w:tcBorders>
            <w:shd w:val="clear" w:color="auto" w:fill="auto"/>
            <w:noWrap/>
            <w:vAlign w:val="center"/>
            <w:hideMark/>
          </w:tcPr>
          <w:p w14:paraId="05EA7F9F" w14:textId="77777777" w:rsidR="00690A91" w:rsidRPr="00690A91" w:rsidRDefault="00690A91" w:rsidP="00690A91">
            <w:pPr>
              <w:spacing w:after="0" w:line="240" w:lineRule="auto"/>
              <w:jc w:val="right"/>
              <w:rPr>
                <w:rFonts w:cs="Arial"/>
                <w:sz w:val="16"/>
                <w:szCs w:val="16"/>
              </w:rPr>
            </w:pPr>
            <w:r w:rsidRPr="00690A91">
              <w:rPr>
                <w:rFonts w:cs="Arial"/>
                <w:sz w:val="16"/>
                <w:szCs w:val="16"/>
              </w:rPr>
              <w:t>4,14</w:t>
            </w:r>
          </w:p>
        </w:tc>
        <w:tc>
          <w:tcPr>
            <w:tcW w:w="635" w:type="dxa"/>
            <w:tcBorders>
              <w:top w:val="nil"/>
              <w:left w:val="nil"/>
              <w:bottom w:val="nil"/>
              <w:right w:val="nil"/>
            </w:tcBorders>
            <w:shd w:val="clear" w:color="auto" w:fill="auto"/>
            <w:noWrap/>
            <w:vAlign w:val="center"/>
            <w:hideMark/>
          </w:tcPr>
          <w:p w14:paraId="102EA585" w14:textId="77777777" w:rsidR="00690A91" w:rsidRPr="00690A91" w:rsidRDefault="00690A91" w:rsidP="00690A91">
            <w:pPr>
              <w:spacing w:after="0" w:line="240" w:lineRule="auto"/>
              <w:jc w:val="right"/>
              <w:rPr>
                <w:rFonts w:cs="Arial"/>
                <w:sz w:val="16"/>
                <w:szCs w:val="16"/>
              </w:rPr>
            </w:pPr>
            <w:r w:rsidRPr="00690A91">
              <w:rPr>
                <w:rFonts w:cs="Arial"/>
                <w:sz w:val="16"/>
                <w:szCs w:val="16"/>
              </w:rPr>
              <w:t>3,98</w:t>
            </w:r>
          </w:p>
        </w:tc>
        <w:tc>
          <w:tcPr>
            <w:tcW w:w="635" w:type="dxa"/>
            <w:tcBorders>
              <w:top w:val="nil"/>
              <w:left w:val="nil"/>
              <w:bottom w:val="nil"/>
              <w:right w:val="nil"/>
            </w:tcBorders>
            <w:shd w:val="clear" w:color="auto" w:fill="auto"/>
            <w:noWrap/>
            <w:vAlign w:val="center"/>
            <w:hideMark/>
          </w:tcPr>
          <w:p w14:paraId="68909FFA" w14:textId="77777777" w:rsidR="00690A91" w:rsidRPr="00690A91" w:rsidRDefault="00690A91" w:rsidP="00690A91">
            <w:pPr>
              <w:spacing w:after="0" w:line="240" w:lineRule="auto"/>
              <w:jc w:val="right"/>
              <w:rPr>
                <w:rFonts w:cs="Arial"/>
                <w:sz w:val="16"/>
                <w:szCs w:val="16"/>
              </w:rPr>
            </w:pPr>
            <w:r w:rsidRPr="00690A91">
              <w:rPr>
                <w:rFonts w:cs="Arial"/>
                <w:sz w:val="16"/>
                <w:szCs w:val="16"/>
              </w:rPr>
              <w:t>4,35</w:t>
            </w:r>
          </w:p>
        </w:tc>
        <w:tc>
          <w:tcPr>
            <w:tcW w:w="635" w:type="dxa"/>
            <w:tcBorders>
              <w:top w:val="nil"/>
              <w:left w:val="nil"/>
              <w:bottom w:val="nil"/>
              <w:right w:val="nil"/>
            </w:tcBorders>
            <w:shd w:val="clear" w:color="auto" w:fill="auto"/>
            <w:noWrap/>
            <w:vAlign w:val="center"/>
            <w:hideMark/>
          </w:tcPr>
          <w:p w14:paraId="0F5630A9"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4,46</w:t>
            </w:r>
          </w:p>
        </w:tc>
        <w:tc>
          <w:tcPr>
            <w:tcW w:w="635" w:type="dxa"/>
            <w:tcBorders>
              <w:top w:val="nil"/>
              <w:left w:val="nil"/>
              <w:bottom w:val="nil"/>
              <w:right w:val="nil"/>
            </w:tcBorders>
            <w:shd w:val="clear" w:color="auto" w:fill="auto"/>
            <w:noWrap/>
            <w:vAlign w:val="center"/>
            <w:hideMark/>
          </w:tcPr>
          <w:p w14:paraId="78957A04"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4,75</w:t>
            </w:r>
          </w:p>
        </w:tc>
        <w:tc>
          <w:tcPr>
            <w:tcW w:w="635" w:type="dxa"/>
            <w:tcBorders>
              <w:top w:val="nil"/>
              <w:left w:val="nil"/>
              <w:bottom w:val="nil"/>
              <w:right w:val="nil"/>
            </w:tcBorders>
            <w:shd w:val="clear" w:color="000000" w:fill="FFFFFF"/>
            <w:noWrap/>
            <w:vAlign w:val="center"/>
            <w:hideMark/>
          </w:tcPr>
          <w:p w14:paraId="1976D541"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5,07</w:t>
            </w:r>
          </w:p>
        </w:tc>
        <w:tc>
          <w:tcPr>
            <w:tcW w:w="661" w:type="dxa"/>
            <w:gridSpan w:val="2"/>
            <w:tcBorders>
              <w:top w:val="nil"/>
              <w:left w:val="nil"/>
              <w:bottom w:val="nil"/>
              <w:right w:val="nil"/>
            </w:tcBorders>
            <w:shd w:val="clear" w:color="000000" w:fill="FFFFFF"/>
            <w:noWrap/>
            <w:vAlign w:val="center"/>
            <w:hideMark/>
          </w:tcPr>
          <w:p w14:paraId="7EDFE45E"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5,11</w:t>
            </w:r>
          </w:p>
        </w:tc>
      </w:tr>
      <w:tr w:rsidR="00690A91" w:rsidRPr="00690A91" w14:paraId="3EAD3BC8" w14:textId="77777777" w:rsidTr="00B3736B">
        <w:trPr>
          <w:trHeight w:val="287"/>
        </w:trPr>
        <w:tc>
          <w:tcPr>
            <w:tcW w:w="3390" w:type="dxa"/>
            <w:tcBorders>
              <w:top w:val="nil"/>
              <w:left w:val="nil"/>
              <w:bottom w:val="nil"/>
              <w:right w:val="nil"/>
            </w:tcBorders>
            <w:shd w:val="clear" w:color="auto" w:fill="auto"/>
            <w:vAlign w:val="center"/>
            <w:hideMark/>
          </w:tcPr>
          <w:p w14:paraId="7EF16967" w14:textId="77777777" w:rsidR="00690A91" w:rsidRPr="00690A91" w:rsidRDefault="00690A91" w:rsidP="00690A91">
            <w:pPr>
              <w:spacing w:after="0" w:line="240" w:lineRule="auto"/>
              <w:ind w:firstLineChars="100" w:firstLine="160"/>
              <w:rPr>
                <w:rFonts w:ascii="Arial CE" w:hAnsi="Arial CE" w:cs="Arial CE"/>
                <w:sz w:val="16"/>
                <w:szCs w:val="16"/>
              </w:rPr>
            </w:pPr>
            <w:r w:rsidRPr="00690A91">
              <w:rPr>
                <w:rFonts w:ascii="Arial CE" w:hAnsi="Arial CE" w:cs="Arial CE"/>
                <w:sz w:val="16"/>
                <w:szCs w:val="16"/>
              </w:rPr>
              <w:t>I – Ubytování, stravování a pohostinství</w:t>
            </w:r>
          </w:p>
        </w:tc>
        <w:tc>
          <w:tcPr>
            <w:tcW w:w="635" w:type="dxa"/>
            <w:tcBorders>
              <w:top w:val="nil"/>
              <w:left w:val="nil"/>
              <w:bottom w:val="nil"/>
              <w:right w:val="nil"/>
            </w:tcBorders>
            <w:shd w:val="clear" w:color="auto" w:fill="auto"/>
            <w:noWrap/>
            <w:vAlign w:val="center"/>
            <w:hideMark/>
          </w:tcPr>
          <w:p w14:paraId="0E657F58" w14:textId="77777777" w:rsidR="00690A91" w:rsidRPr="00690A91" w:rsidRDefault="00690A91" w:rsidP="00690A91">
            <w:pPr>
              <w:spacing w:after="0" w:line="240" w:lineRule="auto"/>
              <w:jc w:val="right"/>
              <w:rPr>
                <w:rFonts w:cs="Arial"/>
                <w:sz w:val="16"/>
                <w:szCs w:val="16"/>
              </w:rPr>
            </w:pPr>
            <w:r w:rsidRPr="00690A91">
              <w:rPr>
                <w:rFonts w:cs="Arial"/>
                <w:sz w:val="16"/>
                <w:szCs w:val="16"/>
              </w:rPr>
              <w:t>4,56</w:t>
            </w:r>
          </w:p>
        </w:tc>
        <w:tc>
          <w:tcPr>
            <w:tcW w:w="635" w:type="dxa"/>
            <w:tcBorders>
              <w:top w:val="nil"/>
              <w:left w:val="nil"/>
              <w:bottom w:val="nil"/>
              <w:right w:val="nil"/>
            </w:tcBorders>
            <w:shd w:val="clear" w:color="auto" w:fill="auto"/>
            <w:noWrap/>
            <w:vAlign w:val="center"/>
            <w:hideMark/>
          </w:tcPr>
          <w:p w14:paraId="66D30E3C" w14:textId="77777777" w:rsidR="00690A91" w:rsidRPr="00690A91" w:rsidRDefault="00690A91" w:rsidP="00690A91">
            <w:pPr>
              <w:spacing w:after="0" w:line="240" w:lineRule="auto"/>
              <w:jc w:val="right"/>
              <w:rPr>
                <w:rFonts w:ascii="Arial CE" w:hAnsi="Arial CE" w:cs="Arial CE"/>
                <w:sz w:val="16"/>
                <w:szCs w:val="16"/>
              </w:rPr>
            </w:pPr>
            <w:r w:rsidRPr="00690A91">
              <w:rPr>
                <w:rFonts w:ascii="Arial CE" w:hAnsi="Arial CE" w:cs="Arial CE"/>
                <w:sz w:val="16"/>
                <w:szCs w:val="16"/>
              </w:rPr>
              <w:t>4,62</w:t>
            </w:r>
          </w:p>
        </w:tc>
        <w:tc>
          <w:tcPr>
            <w:tcW w:w="635" w:type="dxa"/>
            <w:tcBorders>
              <w:top w:val="nil"/>
              <w:left w:val="nil"/>
              <w:bottom w:val="nil"/>
              <w:right w:val="nil"/>
            </w:tcBorders>
            <w:shd w:val="clear" w:color="auto" w:fill="auto"/>
            <w:noWrap/>
            <w:vAlign w:val="center"/>
            <w:hideMark/>
          </w:tcPr>
          <w:p w14:paraId="49D607A3" w14:textId="77777777" w:rsidR="00690A91" w:rsidRPr="00690A91" w:rsidRDefault="00690A91" w:rsidP="00690A91">
            <w:pPr>
              <w:spacing w:after="0" w:line="240" w:lineRule="auto"/>
              <w:jc w:val="right"/>
              <w:rPr>
                <w:rFonts w:cs="Arial"/>
                <w:sz w:val="16"/>
                <w:szCs w:val="16"/>
              </w:rPr>
            </w:pPr>
            <w:r w:rsidRPr="00690A91">
              <w:rPr>
                <w:rFonts w:cs="Arial"/>
                <w:sz w:val="16"/>
                <w:szCs w:val="16"/>
              </w:rPr>
              <w:t>3,72</w:t>
            </w:r>
          </w:p>
        </w:tc>
        <w:tc>
          <w:tcPr>
            <w:tcW w:w="635" w:type="dxa"/>
            <w:tcBorders>
              <w:top w:val="nil"/>
              <w:left w:val="nil"/>
              <w:bottom w:val="nil"/>
              <w:right w:val="nil"/>
            </w:tcBorders>
            <w:shd w:val="clear" w:color="auto" w:fill="auto"/>
            <w:noWrap/>
            <w:vAlign w:val="center"/>
            <w:hideMark/>
          </w:tcPr>
          <w:p w14:paraId="32EFCB03" w14:textId="77777777" w:rsidR="00690A91" w:rsidRPr="00690A91" w:rsidRDefault="00690A91" w:rsidP="00690A91">
            <w:pPr>
              <w:spacing w:after="0" w:line="240" w:lineRule="auto"/>
              <w:jc w:val="right"/>
              <w:rPr>
                <w:rFonts w:cs="Arial"/>
                <w:sz w:val="16"/>
                <w:szCs w:val="16"/>
              </w:rPr>
            </w:pPr>
            <w:r w:rsidRPr="00690A91">
              <w:rPr>
                <w:rFonts w:cs="Arial"/>
                <w:sz w:val="16"/>
                <w:szCs w:val="16"/>
              </w:rPr>
              <w:t>4,09</w:t>
            </w:r>
          </w:p>
        </w:tc>
        <w:tc>
          <w:tcPr>
            <w:tcW w:w="635" w:type="dxa"/>
            <w:tcBorders>
              <w:top w:val="nil"/>
              <w:left w:val="nil"/>
              <w:bottom w:val="nil"/>
              <w:right w:val="nil"/>
            </w:tcBorders>
            <w:shd w:val="clear" w:color="auto" w:fill="auto"/>
            <w:noWrap/>
            <w:vAlign w:val="center"/>
            <w:hideMark/>
          </w:tcPr>
          <w:p w14:paraId="344C00EA" w14:textId="77777777" w:rsidR="00690A91" w:rsidRPr="00690A91" w:rsidRDefault="00690A91" w:rsidP="00690A91">
            <w:pPr>
              <w:spacing w:after="0" w:line="240" w:lineRule="auto"/>
              <w:jc w:val="right"/>
              <w:rPr>
                <w:rFonts w:cs="Arial"/>
                <w:sz w:val="16"/>
                <w:szCs w:val="16"/>
              </w:rPr>
            </w:pPr>
            <w:r w:rsidRPr="00690A91">
              <w:rPr>
                <w:rFonts w:cs="Arial"/>
                <w:sz w:val="16"/>
                <w:szCs w:val="16"/>
              </w:rPr>
              <w:t>3,95</w:t>
            </w:r>
          </w:p>
        </w:tc>
        <w:tc>
          <w:tcPr>
            <w:tcW w:w="635" w:type="dxa"/>
            <w:tcBorders>
              <w:top w:val="nil"/>
              <w:left w:val="nil"/>
              <w:bottom w:val="nil"/>
              <w:right w:val="nil"/>
            </w:tcBorders>
            <w:shd w:val="clear" w:color="auto" w:fill="auto"/>
            <w:noWrap/>
            <w:vAlign w:val="center"/>
            <w:hideMark/>
          </w:tcPr>
          <w:p w14:paraId="62CBEE24" w14:textId="77777777" w:rsidR="00690A91" w:rsidRPr="00690A91" w:rsidRDefault="00690A91" w:rsidP="00690A91">
            <w:pPr>
              <w:spacing w:after="0" w:line="240" w:lineRule="auto"/>
              <w:jc w:val="right"/>
              <w:rPr>
                <w:rFonts w:cs="Arial"/>
                <w:sz w:val="16"/>
                <w:szCs w:val="16"/>
              </w:rPr>
            </w:pPr>
            <w:r w:rsidRPr="00690A91">
              <w:rPr>
                <w:rFonts w:cs="Arial"/>
                <w:sz w:val="16"/>
                <w:szCs w:val="16"/>
              </w:rPr>
              <w:t>4,28</w:t>
            </w:r>
          </w:p>
        </w:tc>
        <w:tc>
          <w:tcPr>
            <w:tcW w:w="635" w:type="dxa"/>
            <w:tcBorders>
              <w:top w:val="nil"/>
              <w:left w:val="nil"/>
              <w:bottom w:val="nil"/>
              <w:right w:val="nil"/>
            </w:tcBorders>
            <w:shd w:val="clear" w:color="auto" w:fill="auto"/>
            <w:noWrap/>
            <w:vAlign w:val="center"/>
            <w:hideMark/>
          </w:tcPr>
          <w:p w14:paraId="447BD2D0"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4,33</w:t>
            </w:r>
          </w:p>
        </w:tc>
        <w:tc>
          <w:tcPr>
            <w:tcW w:w="635" w:type="dxa"/>
            <w:tcBorders>
              <w:top w:val="nil"/>
              <w:left w:val="nil"/>
              <w:bottom w:val="nil"/>
              <w:right w:val="nil"/>
            </w:tcBorders>
            <w:shd w:val="clear" w:color="auto" w:fill="auto"/>
            <w:noWrap/>
            <w:vAlign w:val="center"/>
            <w:hideMark/>
          </w:tcPr>
          <w:p w14:paraId="5D535971"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4,44</w:t>
            </w:r>
          </w:p>
        </w:tc>
        <w:tc>
          <w:tcPr>
            <w:tcW w:w="635" w:type="dxa"/>
            <w:tcBorders>
              <w:top w:val="nil"/>
              <w:left w:val="nil"/>
              <w:bottom w:val="nil"/>
              <w:right w:val="nil"/>
            </w:tcBorders>
            <w:shd w:val="clear" w:color="000000" w:fill="FFFFFF"/>
            <w:noWrap/>
            <w:vAlign w:val="center"/>
            <w:hideMark/>
          </w:tcPr>
          <w:p w14:paraId="619B22C2"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4,64</w:t>
            </w:r>
          </w:p>
        </w:tc>
        <w:tc>
          <w:tcPr>
            <w:tcW w:w="661" w:type="dxa"/>
            <w:gridSpan w:val="2"/>
            <w:tcBorders>
              <w:top w:val="nil"/>
              <w:left w:val="nil"/>
              <w:bottom w:val="nil"/>
              <w:right w:val="nil"/>
            </w:tcBorders>
            <w:shd w:val="clear" w:color="000000" w:fill="FFFFFF"/>
            <w:noWrap/>
            <w:vAlign w:val="center"/>
            <w:hideMark/>
          </w:tcPr>
          <w:p w14:paraId="17915D19"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4,76</w:t>
            </w:r>
          </w:p>
        </w:tc>
      </w:tr>
      <w:tr w:rsidR="00690A91" w:rsidRPr="00690A91" w14:paraId="46BD2D71" w14:textId="77777777" w:rsidTr="00B3736B">
        <w:trPr>
          <w:trHeight w:val="287"/>
        </w:trPr>
        <w:tc>
          <w:tcPr>
            <w:tcW w:w="3390" w:type="dxa"/>
            <w:tcBorders>
              <w:top w:val="nil"/>
              <w:left w:val="nil"/>
              <w:bottom w:val="nil"/>
              <w:right w:val="nil"/>
            </w:tcBorders>
            <w:shd w:val="clear" w:color="auto" w:fill="auto"/>
            <w:vAlign w:val="center"/>
            <w:hideMark/>
          </w:tcPr>
          <w:p w14:paraId="16DB4E3C" w14:textId="77777777" w:rsidR="00690A91" w:rsidRPr="00690A91" w:rsidRDefault="00690A91" w:rsidP="00690A91">
            <w:pPr>
              <w:spacing w:after="0" w:line="240" w:lineRule="auto"/>
              <w:ind w:firstLineChars="100" w:firstLine="160"/>
              <w:rPr>
                <w:rFonts w:ascii="Arial CE" w:hAnsi="Arial CE" w:cs="Arial CE"/>
                <w:sz w:val="16"/>
                <w:szCs w:val="16"/>
              </w:rPr>
            </w:pPr>
            <w:r w:rsidRPr="00690A91">
              <w:rPr>
                <w:rFonts w:ascii="Arial CE" w:hAnsi="Arial CE" w:cs="Arial CE"/>
                <w:sz w:val="16"/>
                <w:szCs w:val="16"/>
              </w:rPr>
              <w:t>J – Informační a komunikační činnosti</w:t>
            </w:r>
          </w:p>
        </w:tc>
        <w:tc>
          <w:tcPr>
            <w:tcW w:w="635" w:type="dxa"/>
            <w:tcBorders>
              <w:top w:val="nil"/>
              <w:left w:val="nil"/>
              <w:bottom w:val="nil"/>
              <w:right w:val="nil"/>
            </w:tcBorders>
            <w:shd w:val="clear" w:color="auto" w:fill="auto"/>
            <w:noWrap/>
            <w:vAlign w:val="center"/>
            <w:hideMark/>
          </w:tcPr>
          <w:p w14:paraId="765520D2" w14:textId="77777777" w:rsidR="00690A91" w:rsidRPr="00690A91" w:rsidRDefault="00690A91" w:rsidP="00690A91">
            <w:pPr>
              <w:spacing w:after="0" w:line="240" w:lineRule="auto"/>
              <w:jc w:val="right"/>
              <w:rPr>
                <w:rFonts w:cs="Arial"/>
                <w:sz w:val="16"/>
                <w:szCs w:val="16"/>
              </w:rPr>
            </w:pPr>
            <w:r w:rsidRPr="00690A91">
              <w:rPr>
                <w:rFonts w:cs="Arial"/>
                <w:sz w:val="16"/>
                <w:szCs w:val="16"/>
              </w:rPr>
              <w:t>2,15</w:t>
            </w:r>
          </w:p>
        </w:tc>
        <w:tc>
          <w:tcPr>
            <w:tcW w:w="635" w:type="dxa"/>
            <w:tcBorders>
              <w:top w:val="nil"/>
              <w:left w:val="nil"/>
              <w:bottom w:val="nil"/>
              <w:right w:val="nil"/>
            </w:tcBorders>
            <w:shd w:val="clear" w:color="auto" w:fill="auto"/>
            <w:noWrap/>
            <w:vAlign w:val="center"/>
            <w:hideMark/>
          </w:tcPr>
          <w:p w14:paraId="3AD90E01" w14:textId="77777777" w:rsidR="00690A91" w:rsidRPr="00690A91" w:rsidRDefault="00690A91" w:rsidP="00690A91">
            <w:pPr>
              <w:spacing w:after="0" w:line="240" w:lineRule="auto"/>
              <w:jc w:val="right"/>
              <w:rPr>
                <w:rFonts w:ascii="Arial CE" w:hAnsi="Arial CE" w:cs="Arial CE"/>
                <w:sz w:val="16"/>
                <w:szCs w:val="16"/>
              </w:rPr>
            </w:pPr>
            <w:r w:rsidRPr="00690A91">
              <w:rPr>
                <w:rFonts w:ascii="Arial CE" w:hAnsi="Arial CE" w:cs="Arial CE"/>
                <w:sz w:val="16"/>
                <w:szCs w:val="16"/>
              </w:rPr>
              <w:t>2,10</w:t>
            </w:r>
          </w:p>
        </w:tc>
        <w:tc>
          <w:tcPr>
            <w:tcW w:w="635" w:type="dxa"/>
            <w:tcBorders>
              <w:top w:val="nil"/>
              <w:left w:val="nil"/>
              <w:bottom w:val="nil"/>
              <w:right w:val="nil"/>
            </w:tcBorders>
            <w:shd w:val="clear" w:color="auto" w:fill="auto"/>
            <w:noWrap/>
            <w:vAlign w:val="center"/>
            <w:hideMark/>
          </w:tcPr>
          <w:p w14:paraId="33FAFDA0" w14:textId="77777777" w:rsidR="00690A91" w:rsidRPr="00690A91" w:rsidRDefault="00690A91" w:rsidP="00690A91">
            <w:pPr>
              <w:spacing w:after="0" w:line="240" w:lineRule="auto"/>
              <w:jc w:val="right"/>
              <w:rPr>
                <w:rFonts w:cs="Arial"/>
                <w:sz w:val="16"/>
                <w:szCs w:val="16"/>
              </w:rPr>
            </w:pPr>
            <w:r w:rsidRPr="00690A91">
              <w:rPr>
                <w:rFonts w:cs="Arial"/>
                <w:sz w:val="16"/>
                <w:szCs w:val="16"/>
              </w:rPr>
              <w:t>1,73</w:t>
            </w:r>
          </w:p>
        </w:tc>
        <w:tc>
          <w:tcPr>
            <w:tcW w:w="635" w:type="dxa"/>
            <w:tcBorders>
              <w:top w:val="nil"/>
              <w:left w:val="nil"/>
              <w:bottom w:val="nil"/>
              <w:right w:val="nil"/>
            </w:tcBorders>
            <w:shd w:val="clear" w:color="auto" w:fill="auto"/>
            <w:noWrap/>
            <w:vAlign w:val="center"/>
            <w:hideMark/>
          </w:tcPr>
          <w:p w14:paraId="3EE0C4FB" w14:textId="77777777" w:rsidR="00690A91" w:rsidRPr="00690A91" w:rsidRDefault="00690A91" w:rsidP="00690A91">
            <w:pPr>
              <w:spacing w:after="0" w:line="240" w:lineRule="auto"/>
              <w:jc w:val="right"/>
              <w:rPr>
                <w:rFonts w:cs="Arial"/>
                <w:sz w:val="16"/>
                <w:szCs w:val="16"/>
              </w:rPr>
            </w:pPr>
            <w:r w:rsidRPr="00690A91">
              <w:rPr>
                <w:rFonts w:cs="Arial"/>
                <w:sz w:val="16"/>
                <w:szCs w:val="16"/>
              </w:rPr>
              <w:t>1,86</w:t>
            </w:r>
          </w:p>
        </w:tc>
        <w:tc>
          <w:tcPr>
            <w:tcW w:w="635" w:type="dxa"/>
            <w:tcBorders>
              <w:top w:val="nil"/>
              <w:left w:val="nil"/>
              <w:bottom w:val="nil"/>
              <w:right w:val="nil"/>
            </w:tcBorders>
            <w:shd w:val="clear" w:color="auto" w:fill="auto"/>
            <w:noWrap/>
            <w:vAlign w:val="center"/>
            <w:hideMark/>
          </w:tcPr>
          <w:p w14:paraId="4FF1B390" w14:textId="77777777" w:rsidR="00690A91" w:rsidRPr="00690A91" w:rsidRDefault="00690A91" w:rsidP="00690A91">
            <w:pPr>
              <w:spacing w:after="0" w:line="240" w:lineRule="auto"/>
              <w:jc w:val="right"/>
              <w:rPr>
                <w:rFonts w:cs="Arial"/>
                <w:sz w:val="16"/>
                <w:szCs w:val="16"/>
              </w:rPr>
            </w:pPr>
            <w:r w:rsidRPr="00690A91">
              <w:rPr>
                <w:rFonts w:cs="Arial"/>
                <w:sz w:val="16"/>
                <w:szCs w:val="16"/>
              </w:rPr>
              <w:t>1,70</w:t>
            </w:r>
          </w:p>
        </w:tc>
        <w:tc>
          <w:tcPr>
            <w:tcW w:w="635" w:type="dxa"/>
            <w:tcBorders>
              <w:top w:val="nil"/>
              <w:left w:val="nil"/>
              <w:bottom w:val="nil"/>
              <w:right w:val="nil"/>
            </w:tcBorders>
            <w:shd w:val="clear" w:color="auto" w:fill="auto"/>
            <w:noWrap/>
            <w:vAlign w:val="center"/>
            <w:hideMark/>
          </w:tcPr>
          <w:p w14:paraId="0682881D" w14:textId="77777777" w:rsidR="00690A91" w:rsidRPr="00690A91" w:rsidRDefault="00690A91" w:rsidP="00690A91">
            <w:pPr>
              <w:spacing w:after="0" w:line="240" w:lineRule="auto"/>
              <w:jc w:val="right"/>
              <w:rPr>
                <w:rFonts w:cs="Arial"/>
                <w:sz w:val="16"/>
                <w:szCs w:val="16"/>
              </w:rPr>
            </w:pPr>
            <w:r w:rsidRPr="00690A91">
              <w:rPr>
                <w:rFonts w:cs="Arial"/>
                <w:sz w:val="16"/>
                <w:szCs w:val="16"/>
              </w:rPr>
              <w:t>1,91</w:t>
            </w:r>
          </w:p>
        </w:tc>
        <w:tc>
          <w:tcPr>
            <w:tcW w:w="635" w:type="dxa"/>
            <w:tcBorders>
              <w:top w:val="nil"/>
              <w:left w:val="nil"/>
              <w:bottom w:val="nil"/>
              <w:right w:val="nil"/>
            </w:tcBorders>
            <w:shd w:val="clear" w:color="auto" w:fill="auto"/>
            <w:noWrap/>
            <w:vAlign w:val="center"/>
            <w:hideMark/>
          </w:tcPr>
          <w:p w14:paraId="58AC6A1F"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1,80</w:t>
            </w:r>
          </w:p>
        </w:tc>
        <w:tc>
          <w:tcPr>
            <w:tcW w:w="635" w:type="dxa"/>
            <w:tcBorders>
              <w:top w:val="nil"/>
              <w:left w:val="nil"/>
              <w:bottom w:val="nil"/>
              <w:right w:val="nil"/>
            </w:tcBorders>
            <w:shd w:val="clear" w:color="auto" w:fill="auto"/>
            <w:noWrap/>
            <w:vAlign w:val="center"/>
            <w:hideMark/>
          </w:tcPr>
          <w:p w14:paraId="696FF9D5"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1,91</w:t>
            </w:r>
          </w:p>
        </w:tc>
        <w:tc>
          <w:tcPr>
            <w:tcW w:w="635" w:type="dxa"/>
            <w:tcBorders>
              <w:top w:val="nil"/>
              <w:left w:val="nil"/>
              <w:bottom w:val="nil"/>
              <w:right w:val="nil"/>
            </w:tcBorders>
            <w:shd w:val="clear" w:color="000000" w:fill="FFFFFF"/>
            <w:noWrap/>
            <w:vAlign w:val="center"/>
            <w:hideMark/>
          </w:tcPr>
          <w:p w14:paraId="07D040AA"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2,03</w:t>
            </w:r>
          </w:p>
        </w:tc>
        <w:tc>
          <w:tcPr>
            <w:tcW w:w="661" w:type="dxa"/>
            <w:gridSpan w:val="2"/>
            <w:tcBorders>
              <w:top w:val="nil"/>
              <w:left w:val="nil"/>
              <w:bottom w:val="nil"/>
              <w:right w:val="nil"/>
            </w:tcBorders>
            <w:shd w:val="clear" w:color="000000" w:fill="FFFFFF"/>
            <w:noWrap/>
            <w:vAlign w:val="center"/>
            <w:hideMark/>
          </w:tcPr>
          <w:p w14:paraId="5B4D7CE4"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1,97</w:t>
            </w:r>
          </w:p>
        </w:tc>
      </w:tr>
      <w:tr w:rsidR="00690A91" w:rsidRPr="00690A91" w14:paraId="1813B0E5" w14:textId="77777777" w:rsidTr="00B3736B">
        <w:trPr>
          <w:trHeight w:val="287"/>
        </w:trPr>
        <w:tc>
          <w:tcPr>
            <w:tcW w:w="3390" w:type="dxa"/>
            <w:tcBorders>
              <w:top w:val="nil"/>
              <w:left w:val="nil"/>
              <w:bottom w:val="nil"/>
              <w:right w:val="nil"/>
            </w:tcBorders>
            <w:shd w:val="clear" w:color="auto" w:fill="auto"/>
            <w:vAlign w:val="center"/>
            <w:hideMark/>
          </w:tcPr>
          <w:p w14:paraId="62851021" w14:textId="77777777" w:rsidR="00690A91" w:rsidRPr="00690A91" w:rsidRDefault="00690A91" w:rsidP="00690A91">
            <w:pPr>
              <w:spacing w:after="0" w:line="240" w:lineRule="auto"/>
              <w:ind w:firstLineChars="100" w:firstLine="160"/>
              <w:rPr>
                <w:rFonts w:ascii="Arial CE" w:hAnsi="Arial CE" w:cs="Arial CE"/>
                <w:sz w:val="16"/>
                <w:szCs w:val="16"/>
              </w:rPr>
            </w:pPr>
            <w:r w:rsidRPr="00690A91">
              <w:rPr>
                <w:rFonts w:ascii="Arial CE" w:hAnsi="Arial CE" w:cs="Arial CE"/>
                <w:sz w:val="16"/>
                <w:szCs w:val="16"/>
              </w:rPr>
              <w:t>K – Peněžnictví a pojišťovnictví</w:t>
            </w:r>
          </w:p>
        </w:tc>
        <w:tc>
          <w:tcPr>
            <w:tcW w:w="635" w:type="dxa"/>
            <w:tcBorders>
              <w:top w:val="nil"/>
              <w:left w:val="nil"/>
              <w:bottom w:val="nil"/>
              <w:right w:val="nil"/>
            </w:tcBorders>
            <w:shd w:val="clear" w:color="auto" w:fill="auto"/>
            <w:noWrap/>
            <w:vAlign w:val="center"/>
            <w:hideMark/>
          </w:tcPr>
          <w:p w14:paraId="25C8B827" w14:textId="77777777" w:rsidR="00690A91" w:rsidRPr="00690A91" w:rsidRDefault="00690A91" w:rsidP="00690A91">
            <w:pPr>
              <w:spacing w:after="0" w:line="240" w:lineRule="auto"/>
              <w:jc w:val="right"/>
              <w:rPr>
                <w:rFonts w:cs="Arial"/>
                <w:sz w:val="16"/>
                <w:szCs w:val="16"/>
              </w:rPr>
            </w:pPr>
            <w:r w:rsidRPr="00690A91">
              <w:rPr>
                <w:rFonts w:cs="Arial"/>
                <w:sz w:val="16"/>
                <w:szCs w:val="16"/>
              </w:rPr>
              <w:t>2,85</w:t>
            </w:r>
          </w:p>
        </w:tc>
        <w:tc>
          <w:tcPr>
            <w:tcW w:w="635" w:type="dxa"/>
            <w:tcBorders>
              <w:top w:val="nil"/>
              <w:left w:val="nil"/>
              <w:bottom w:val="nil"/>
              <w:right w:val="nil"/>
            </w:tcBorders>
            <w:shd w:val="clear" w:color="auto" w:fill="auto"/>
            <w:noWrap/>
            <w:vAlign w:val="center"/>
            <w:hideMark/>
          </w:tcPr>
          <w:p w14:paraId="204D74CE" w14:textId="77777777" w:rsidR="00690A91" w:rsidRPr="00690A91" w:rsidRDefault="00690A91" w:rsidP="00690A91">
            <w:pPr>
              <w:spacing w:after="0" w:line="240" w:lineRule="auto"/>
              <w:jc w:val="right"/>
              <w:rPr>
                <w:rFonts w:ascii="Arial CE" w:hAnsi="Arial CE" w:cs="Arial CE"/>
                <w:sz w:val="16"/>
                <w:szCs w:val="16"/>
              </w:rPr>
            </w:pPr>
            <w:r w:rsidRPr="00690A91">
              <w:rPr>
                <w:rFonts w:ascii="Arial CE" w:hAnsi="Arial CE" w:cs="Arial CE"/>
                <w:sz w:val="16"/>
                <w:szCs w:val="16"/>
              </w:rPr>
              <w:t>2,86</w:t>
            </w:r>
          </w:p>
        </w:tc>
        <w:tc>
          <w:tcPr>
            <w:tcW w:w="635" w:type="dxa"/>
            <w:tcBorders>
              <w:top w:val="nil"/>
              <w:left w:val="nil"/>
              <w:bottom w:val="nil"/>
              <w:right w:val="nil"/>
            </w:tcBorders>
            <w:shd w:val="clear" w:color="auto" w:fill="auto"/>
            <w:noWrap/>
            <w:vAlign w:val="center"/>
            <w:hideMark/>
          </w:tcPr>
          <w:p w14:paraId="5686C4FF" w14:textId="77777777" w:rsidR="00690A91" w:rsidRPr="00690A91" w:rsidRDefault="00690A91" w:rsidP="00690A91">
            <w:pPr>
              <w:spacing w:after="0" w:line="240" w:lineRule="auto"/>
              <w:jc w:val="right"/>
              <w:rPr>
                <w:rFonts w:cs="Arial"/>
                <w:sz w:val="16"/>
                <w:szCs w:val="16"/>
              </w:rPr>
            </w:pPr>
            <w:r w:rsidRPr="00690A91">
              <w:rPr>
                <w:rFonts w:cs="Arial"/>
                <w:sz w:val="16"/>
                <w:szCs w:val="16"/>
              </w:rPr>
              <w:t>2,36</w:t>
            </w:r>
          </w:p>
        </w:tc>
        <w:tc>
          <w:tcPr>
            <w:tcW w:w="635" w:type="dxa"/>
            <w:tcBorders>
              <w:top w:val="nil"/>
              <w:left w:val="nil"/>
              <w:bottom w:val="nil"/>
              <w:right w:val="nil"/>
            </w:tcBorders>
            <w:shd w:val="clear" w:color="auto" w:fill="auto"/>
            <w:noWrap/>
            <w:vAlign w:val="center"/>
            <w:hideMark/>
          </w:tcPr>
          <w:p w14:paraId="0B405364" w14:textId="77777777" w:rsidR="00690A91" w:rsidRPr="00690A91" w:rsidRDefault="00690A91" w:rsidP="00690A91">
            <w:pPr>
              <w:spacing w:after="0" w:line="240" w:lineRule="auto"/>
              <w:jc w:val="right"/>
              <w:rPr>
                <w:rFonts w:cs="Arial"/>
                <w:sz w:val="16"/>
                <w:szCs w:val="16"/>
              </w:rPr>
            </w:pPr>
            <w:r w:rsidRPr="00690A91">
              <w:rPr>
                <w:rFonts w:cs="Arial"/>
                <w:sz w:val="16"/>
                <w:szCs w:val="16"/>
              </w:rPr>
              <w:t>2,48</w:t>
            </w:r>
          </w:p>
        </w:tc>
        <w:tc>
          <w:tcPr>
            <w:tcW w:w="635" w:type="dxa"/>
            <w:tcBorders>
              <w:top w:val="nil"/>
              <w:left w:val="nil"/>
              <w:bottom w:val="nil"/>
              <w:right w:val="nil"/>
            </w:tcBorders>
            <w:shd w:val="clear" w:color="auto" w:fill="auto"/>
            <w:noWrap/>
            <w:vAlign w:val="center"/>
            <w:hideMark/>
          </w:tcPr>
          <w:p w14:paraId="3DCBD442" w14:textId="77777777" w:rsidR="00690A91" w:rsidRPr="00690A91" w:rsidRDefault="00690A91" w:rsidP="00690A91">
            <w:pPr>
              <w:spacing w:after="0" w:line="240" w:lineRule="auto"/>
              <w:jc w:val="right"/>
              <w:rPr>
                <w:rFonts w:cs="Arial"/>
                <w:sz w:val="16"/>
                <w:szCs w:val="16"/>
              </w:rPr>
            </w:pPr>
            <w:r w:rsidRPr="00690A91">
              <w:rPr>
                <w:rFonts w:cs="Arial"/>
                <w:sz w:val="16"/>
                <w:szCs w:val="16"/>
              </w:rPr>
              <w:t>2,45</w:t>
            </w:r>
          </w:p>
        </w:tc>
        <w:tc>
          <w:tcPr>
            <w:tcW w:w="635" w:type="dxa"/>
            <w:tcBorders>
              <w:top w:val="nil"/>
              <w:left w:val="nil"/>
              <w:bottom w:val="nil"/>
              <w:right w:val="nil"/>
            </w:tcBorders>
            <w:shd w:val="clear" w:color="auto" w:fill="auto"/>
            <w:noWrap/>
            <w:vAlign w:val="center"/>
            <w:hideMark/>
          </w:tcPr>
          <w:p w14:paraId="4F9AB2E7" w14:textId="77777777" w:rsidR="00690A91" w:rsidRPr="00690A91" w:rsidRDefault="00690A91" w:rsidP="00690A91">
            <w:pPr>
              <w:spacing w:after="0" w:line="240" w:lineRule="auto"/>
              <w:jc w:val="right"/>
              <w:rPr>
                <w:rFonts w:cs="Arial"/>
                <w:sz w:val="16"/>
                <w:szCs w:val="16"/>
              </w:rPr>
            </w:pPr>
            <w:r w:rsidRPr="00690A91">
              <w:rPr>
                <w:rFonts w:cs="Arial"/>
                <w:sz w:val="16"/>
                <w:szCs w:val="16"/>
              </w:rPr>
              <w:t>2,80</w:t>
            </w:r>
          </w:p>
        </w:tc>
        <w:tc>
          <w:tcPr>
            <w:tcW w:w="635" w:type="dxa"/>
            <w:tcBorders>
              <w:top w:val="nil"/>
              <w:left w:val="nil"/>
              <w:bottom w:val="nil"/>
              <w:right w:val="nil"/>
            </w:tcBorders>
            <w:shd w:val="clear" w:color="auto" w:fill="auto"/>
            <w:noWrap/>
            <w:vAlign w:val="center"/>
            <w:hideMark/>
          </w:tcPr>
          <w:p w14:paraId="7CCE3A55"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2,66</w:t>
            </w:r>
          </w:p>
        </w:tc>
        <w:tc>
          <w:tcPr>
            <w:tcW w:w="635" w:type="dxa"/>
            <w:tcBorders>
              <w:top w:val="nil"/>
              <w:left w:val="nil"/>
              <w:bottom w:val="nil"/>
              <w:right w:val="nil"/>
            </w:tcBorders>
            <w:shd w:val="clear" w:color="auto" w:fill="auto"/>
            <w:noWrap/>
            <w:vAlign w:val="center"/>
            <w:hideMark/>
          </w:tcPr>
          <w:p w14:paraId="0EA0B6BC"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2,74</w:t>
            </w:r>
          </w:p>
        </w:tc>
        <w:tc>
          <w:tcPr>
            <w:tcW w:w="635" w:type="dxa"/>
            <w:tcBorders>
              <w:top w:val="nil"/>
              <w:left w:val="nil"/>
              <w:bottom w:val="nil"/>
              <w:right w:val="nil"/>
            </w:tcBorders>
            <w:shd w:val="clear" w:color="000000" w:fill="FFFFFF"/>
            <w:noWrap/>
            <w:vAlign w:val="center"/>
            <w:hideMark/>
          </w:tcPr>
          <w:p w14:paraId="468EF47B"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2,76</w:t>
            </w:r>
          </w:p>
        </w:tc>
        <w:tc>
          <w:tcPr>
            <w:tcW w:w="661" w:type="dxa"/>
            <w:gridSpan w:val="2"/>
            <w:tcBorders>
              <w:top w:val="nil"/>
              <w:left w:val="nil"/>
              <w:bottom w:val="nil"/>
              <w:right w:val="nil"/>
            </w:tcBorders>
            <w:shd w:val="clear" w:color="000000" w:fill="FFFFFF"/>
            <w:noWrap/>
            <w:vAlign w:val="center"/>
            <w:hideMark/>
          </w:tcPr>
          <w:p w14:paraId="7545F6A3"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2,74</w:t>
            </w:r>
          </w:p>
        </w:tc>
      </w:tr>
      <w:tr w:rsidR="00690A91" w:rsidRPr="00690A91" w14:paraId="0843BACB" w14:textId="77777777" w:rsidTr="00B3736B">
        <w:trPr>
          <w:trHeight w:val="287"/>
        </w:trPr>
        <w:tc>
          <w:tcPr>
            <w:tcW w:w="3390" w:type="dxa"/>
            <w:tcBorders>
              <w:top w:val="nil"/>
              <w:left w:val="nil"/>
              <w:bottom w:val="nil"/>
              <w:right w:val="nil"/>
            </w:tcBorders>
            <w:shd w:val="clear" w:color="auto" w:fill="auto"/>
            <w:vAlign w:val="center"/>
            <w:hideMark/>
          </w:tcPr>
          <w:p w14:paraId="46760766" w14:textId="77777777" w:rsidR="00690A91" w:rsidRPr="00690A91" w:rsidRDefault="00690A91" w:rsidP="00690A91">
            <w:pPr>
              <w:spacing w:after="0" w:line="240" w:lineRule="auto"/>
              <w:ind w:firstLineChars="100" w:firstLine="160"/>
              <w:rPr>
                <w:rFonts w:ascii="Arial CE" w:hAnsi="Arial CE" w:cs="Arial CE"/>
                <w:sz w:val="16"/>
                <w:szCs w:val="16"/>
              </w:rPr>
            </w:pPr>
            <w:r w:rsidRPr="00690A91">
              <w:rPr>
                <w:rFonts w:ascii="Arial CE" w:hAnsi="Arial CE" w:cs="Arial CE"/>
                <w:sz w:val="16"/>
                <w:szCs w:val="16"/>
              </w:rPr>
              <w:t>L – Činnosti v oblasti nemovitostí</w:t>
            </w:r>
          </w:p>
        </w:tc>
        <w:tc>
          <w:tcPr>
            <w:tcW w:w="635" w:type="dxa"/>
            <w:tcBorders>
              <w:top w:val="nil"/>
              <w:left w:val="nil"/>
              <w:bottom w:val="nil"/>
              <w:right w:val="nil"/>
            </w:tcBorders>
            <w:shd w:val="clear" w:color="auto" w:fill="auto"/>
            <w:noWrap/>
            <w:vAlign w:val="center"/>
            <w:hideMark/>
          </w:tcPr>
          <w:p w14:paraId="3906B576" w14:textId="77777777" w:rsidR="00690A91" w:rsidRPr="00690A91" w:rsidRDefault="00690A91" w:rsidP="00690A91">
            <w:pPr>
              <w:spacing w:after="0" w:line="240" w:lineRule="auto"/>
              <w:jc w:val="right"/>
              <w:rPr>
                <w:rFonts w:cs="Arial"/>
                <w:sz w:val="16"/>
                <w:szCs w:val="16"/>
              </w:rPr>
            </w:pPr>
            <w:r w:rsidRPr="00690A91">
              <w:rPr>
                <w:rFonts w:cs="Arial"/>
                <w:sz w:val="16"/>
                <w:szCs w:val="16"/>
              </w:rPr>
              <w:t>3,19</w:t>
            </w:r>
          </w:p>
        </w:tc>
        <w:tc>
          <w:tcPr>
            <w:tcW w:w="635" w:type="dxa"/>
            <w:tcBorders>
              <w:top w:val="nil"/>
              <w:left w:val="nil"/>
              <w:bottom w:val="nil"/>
              <w:right w:val="nil"/>
            </w:tcBorders>
            <w:shd w:val="clear" w:color="auto" w:fill="auto"/>
            <w:noWrap/>
            <w:vAlign w:val="center"/>
            <w:hideMark/>
          </w:tcPr>
          <w:p w14:paraId="516C4ECD" w14:textId="77777777" w:rsidR="00690A91" w:rsidRPr="00690A91" w:rsidRDefault="00690A91" w:rsidP="00690A91">
            <w:pPr>
              <w:spacing w:after="0" w:line="240" w:lineRule="auto"/>
              <w:jc w:val="right"/>
              <w:rPr>
                <w:rFonts w:ascii="Arial CE" w:hAnsi="Arial CE" w:cs="Arial CE"/>
                <w:sz w:val="16"/>
                <w:szCs w:val="16"/>
              </w:rPr>
            </w:pPr>
            <w:r w:rsidRPr="00690A91">
              <w:rPr>
                <w:rFonts w:ascii="Arial CE" w:hAnsi="Arial CE" w:cs="Arial CE"/>
                <w:sz w:val="16"/>
                <w:szCs w:val="16"/>
              </w:rPr>
              <w:t>3,15</w:t>
            </w:r>
          </w:p>
        </w:tc>
        <w:tc>
          <w:tcPr>
            <w:tcW w:w="635" w:type="dxa"/>
            <w:tcBorders>
              <w:top w:val="nil"/>
              <w:left w:val="nil"/>
              <w:bottom w:val="nil"/>
              <w:right w:val="nil"/>
            </w:tcBorders>
            <w:shd w:val="clear" w:color="auto" w:fill="auto"/>
            <w:noWrap/>
            <w:vAlign w:val="center"/>
            <w:hideMark/>
          </w:tcPr>
          <w:p w14:paraId="4317EDA2" w14:textId="77777777" w:rsidR="00690A91" w:rsidRPr="00690A91" w:rsidRDefault="00690A91" w:rsidP="00690A91">
            <w:pPr>
              <w:spacing w:after="0" w:line="240" w:lineRule="auto"/>
              <w:jc w:val="right"/>
              <w:rPr>
                <w:rFonts w:cs="Arial"/>
                <w:sz w:val="16"/>
                <w:szCs w:val="16"/>
              </w:rPr>
            </w:pPr>
            <w:r w:rsidRPr="00690A91">
              <w:rPr>
                <w:rFonts w:cs="Arial"/>
                <w:sz w:val="16"/>
                <w:szCs w:val="16"/>
              </w:rPr>
              <w:t>2,31</w:t>
            </w:r>
          </w:p>
        </w:tc>
        <w:tc>
          <w:tcPr>
            <w:tcW w:w="635" w:type="dxa"/>
            <w:tcBorders>
              <w:top w:val="nil"/>
              <w:left w:val="nil"/>
              <w:bottom w:val="nil"/>
              <w:right w:val="nil"/>
            </w:tcBorders>
            <w:shd w:val="clear" w:color="auto" w:fill="auto"/>
            <w:noWrap/>
            <w:vAlign w:val="center"/>
            <w:hideMark/>
          </w:tcPr>
          <w:p w14:paraId="08042D8E" w14:textId="77777777" w:rsidR="00690A91" w:rsidRPr="00690A91" w:rsidRDefault="00690A91" w:rsidP="00690A91">
            <w:pPr>
              <w:spacing w:after="0" w:line="240" w:lineRule="auto"/>
              <w:jc w:val="right"/>
              <w:rPr>
                <w:rFonts w:cs="Arial"/>
                <w:sz w:val="16"/>
                <w:szCs w:val="16"/>
              </w:rPr>
            </w:pPr>
            <w:r w:rsidRPr="00690A91">
              <w:rPr>
                <w:rFonts w:cs="Arial"/>
                <w:sz w:val="16"/>
                <w:szCs w:val="16"/>
              </w:rPr>
              <w:t>2,39</w:t>
            </w:r>
          </w:p>
        </w:tc>
        <w:tc>
          <w:tcPr>
            <w:tcW w:w="635" w:type="dxa"/>
            <w:tcBorders>
              <w:top w:val="nil"/>
              <w:left w:val="nil"/>
              <w:bottom w:val="nil"/>
              <w:right w:val="nil"/>
            </w:tcBorders>
            <w:shd w:val="clear" w:color="auto" w:fill="auto"/>
            <w:noWrap/>
            <w:vAlign w:val="center"/>
            <w:hideMark/>
          </w:tcPr>
          <w:p w14:paraId="235461ED" w14:textId="77777777" w:rsidR="00690A91" w:rsidRPr="00690A91" w:rsidRDefault="00690A91" w:rsidP="00690A91">
            <w:pPr>
              <w:spacing w:after="0" w:line="240" w:lineRule="auto"/>
              <w:jc w:val="right"/>
              <w:rPr>
                <w:rFonts w:cs="Arial"/>
                <w:sz w:val="16"/>
                <w:szCs w:val="16"/>
              </w:rPr>
            </w:pPr>
            <w:r w:rsidRPr="00690A91">
              <w:rPr>
                <w:rFonts w:cs="Arial"/>
                <w:sz w:val="16"/>
                <w:szCs w:val="16"/>
              </w:rPr>
              <w:t>2,24</w:t>
            </w:r>
          </w:p>
        </w:tc>
        <w:tc>
          <w:tcPr>
            <w:tcW w:w="635" w:type="dxa"/>
            <w:tcBorders>
              <w:top w:val="nil"/>
              <w:left w:val="nil"/>
              <w:bottom w:val="nil"/>
              <w:right w:val="nil"/>
            </w:tcBorders>
            <w:shd w:val="clear" w:color="auto" w:fill="auto"/>
            <w:noWrap/>
            <w:vAlign w:val="center"/>
            <w:hideMark/>
          </w:tcPr>
          <w:p w14:paraId="773D838E" w14:textId="77777777" w:rsidR="00690A91" w:rsidRPr="00690A91" w:rsidRDefault="00690A91" w:rsidP="00690A91">
            <w:pPr>
              <w:spacing w:after="0" w:line="240" w:lineRule="auto"/>
              <w:jc w:val="right"/>
              <w:rPr>
                <w:rFonts w:cs="Arial"/>
                <w:sz w:val="16"/>
                <w:szCs w:val="16"/>
              </w:rPr>
            </w:pPr>
            <w:r w:rsidRPr="00690A91">
              <w:rPr>
                <w:rFonts w:cs="Arial"/>
                <w:sz w:val="16"/>
                <w:szCs w:val="16"/>
              </w:rPr>
              <w:t>2,45</w:t>
            </w:r>
          </w:p>
        </w:tc>
        <w:tc>
          <w:tcPr>
            <w:tcW w:w="635" w:type="dxa"/>
            <w:tcBorders>
              <w:top w:val="nil"/>
              <w:left w:val="nil"/>
              <w:bottom w:val="nil"/>
              <w:right w:val="nil"/>
            </w:tcBorders>
            <w:shd w:val="clear" w:color="auto" w:fill="auto"/>
            <w:noWrap/>
            <w:vAlign w:val="center"/>
            <w:hideMark/>
          </w:tcPr>
          <w:p w14:paraId="0DECE336"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2,40</w:t>
            </w:r>
          </w:p>
        </w:tc>
        <w:tc>
          <w:tcPr>
            <w:tcW w:w="635" w:type="dxa"/>
            <w:tcBorders>
              <w:top w:val="nil"/>
              <w:left w:val="nil"/>
              <w:bottom w:val="nil"/>
              <w:right w:val="nil"/>
            </w:tcBorders>
            <w:shd w:val="clear" w:color="auto" w:fill="auto"/>
            <w:noWrap/>
            <w:vAlign w:val="center"/>
            <w:hideMark/>
          </w:tcPr>
          <w:p w14:paraId="53D55593"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2,43</w:t>
            </w:r>
          </w:p>
        </w:tc>
        <w:tc>
          <w:tcPr>
            <w:tcW w:w="635" w:type="dxa"/>
            <w:tcBorders>
              <w:top w:val="nil"/>
              <w:left w:val="nil"/>
              <w:bottom w:val="nil"/>
              <w:right w:val="nil"/>
            </w:tcBorders>
            <w:shd w:val="clear" w:color="000000" w:fill="FFFFFF"/>
            <w:noWrap/>
            <w:vAlign w:val="center"/>
            <w:hideMark/>
          </w:tcPr>
          <w:p w14:paraId="3A40C2C4"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2,52</w:t>
            </w:r>
          </w:p>
        </w:tc>
        <w:tc>
          <w:tcPr>
            <w:tcW w:w="661" w:type="dxa"/>
            <w:gridSpan w:val="2"/>
            <w:tcBorders>
              <w:top w:val="nil"/>
              <w:left w:val="nil"/>
              <w:bottom w:val="nil"/>
              <w:right w:val="nil"/>
            </w:tcBorders>
            <w:shd w:val="clear" w:color="000000" w:fill="FFFFFF"/>
            <w:noWrap/>
            <w:vAlign w:val="center"/>
            <w:hideMark/>
          </w:tcPr>
          <w:p w14:paraId="617CB54A"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2,65</w:t>
            </w:r>
          </w:p>
        </w:tc>
      </w:tr>
      <w:tr w:rsidR="00690A91" w:rsidRPr="00690A91" w14:paraId="75BC4746" w14:textId="77777777" w:rsidTr="00B3736B">
        <w:trPr>
          <w:trHeight w:val="454"/>
        </w:trPr>
        <w:tc>
          <w:tcPr>
            <w:tcW w:w="3390" w:type="dxa"/>
            <w:tcBorders>
              <w:top w:val="nil"/>
              <w:left w:val="nil"/>
              <w:bottom w:val="nil"/>
              <w:right w:val="nil"/>
            </w:tcBorders>
            <w:shd w:val="clear" w:color="auto" w:fill="auto"/>
            <w:vAlign w:val="center"/>
            <w:hideMark/>
          </w:tcPr>
          <w:p w14:paraId="2961A83B" w14:textId="77777777" w:rsidR="00690A91" w:rsidRPr="00690A91" w:rsidRDefault="00690A91" w:rsidP="00690A91">
            <w:pPr>
              <w:spacing w:after="0" w:line="240" w:lineRule="auto"/>
              <w:ind w:firstLineChars="100" w:firstLine="160"/>
              <w:rPr>
                <w:rFonts w:ascii="Arial CE" w:hAnsi="Arial CE" w:cs="Arial CE"/>
                <w:sz w:val="16"/>
                <w:szCs w:val="16"/>
              </w:rPr>
            </w:pPr>
            <w:r w:rsidRPr="00690A91">
              <w:rPr>
                <w:rFonts w:ascii="Arial CE" w:hAnsi="Arial CE" w:cs="Arial CE"/>
                <w:sz w:val="16"/>
                <w:szCs w:val="16"/>
              </w:rPr>
              <w:t>M – Profesní, vědecké a technické činnosti</w:t>
            </w:r>
          </w:p>
        </w:tc>
        <w:tc>
          <w:tcPr>
            <w:tcW w:w="635" w:type="dxa"/>
            <w:tcBorders>
              <w:top w:val="nil"/>
              <w:left w:val="nil"/>
              <w:bottom w:val="nil"/>
              <w:right w:val="nil"/>
            </w:tcBorders>
            <w:shd w:val="clear" w:color="auto" w:fill="auto"/>
            <w:noWrap/>
            <w:vAlign w:val="center"/>
            <w:hideMark/>
          </w:tcPr>
          <w:p w14:paraId="227FB8E6" w14:textId="77777777" w:rsidR="00690A91" w:rsidRPr="00690A91" w:rsidRDefault="00690A91" w:rsidP="00690A91">
            <w:pPr>
              <w:spacing w:after="0" w:line="240" w:lineRule="auto"/>
              <w:jc w:val="right"/>
              <w:rPr>
                <w:rFonts w:cs="Arial"/>
                <w:sz w:val="16"/>
                <w:szCs w:val="16"/>
              </w:rPr>
            </w:pPr>
            <w:r w:rsidRPr="00690A91">
              <w:rPr>
                <w:rFonts w:cs="Arial"/>
                <w:sz w:val="16"/>
                <w:szCs w:val="16"/>
              </w:rPr>
              <w:t>2,92</w:t>
            </w:r>
          </w:p>
        </w:tc>
        <w:tc>
          <w:tcPr>
            <w:tcW w:w="635" w:type="dxa"/>
            <w:tcBorders>
              <w:top w:val="nil"/>
              <w:left w:val="nil"/>
              <w:bottom w:val="nil"/>
              <w:right w:val="nil"/>
            </w:tcBorders>
            <w:shd w:val="clear" w:color="auto" w:fill="auto"/>
            <w:noWrap/>
            <w:vAlign w:val="center"/>
            <w:hideMark/>
          </w:tcPr>
          <w:p w14:paraId="18E524C0" w14:textId="77777777" w:rsidR="00690A91" w:rsidRPr="00690A91" w:rsidRDefault="00690A91" w:rsidP="00690A91">
            <w:pPr>
              <w:spacing w:after="0" w:line="240" w:lineRule="auto"/>
              <w:jc w:val="right"/>
              <w:rPr>
                <w:rFonts w:ascii="Arial CE" w:hAnsi="Arial CE" w:cs="Arial CE"/>
                <w:sz w:val="16"/>
                <w:szCs w:val="16"/>
              </w:rPr>
            </w:pPr>
            <w:r w:rsidRPr="00690A91">
              <w:rPr>
                <w:rFonts w:ascii="Arial CE" w:hAnsi="Arial CE" w:cs="Arial CE"/>
                <w:sz w:val="16"/>
                <w:szCs w:val="16"/>
              </w:rPr>
              <w:t>2,89</w:t>
            </w:r>
          </w:p>
        </w:tc>
        <w:tc>
          <w:tcPr>
            <w:tcW w:w="635" w:type="dxa"/>
            <w:tcBorders>
              <w:top w:val="nil"/>
              <w:left w:val="nil"/>
              <w:bottom w:val="nil"/>
              <w:right w:val="nil"/>
            </w:tcBorders>
            <w:shd w:val="clear" w:color="auto" w:fill="auto"/>
            <w:noWrap/>
            <w:vAlign w:val="center"/>
            <w:hideMark/>
          </w:tcPr>
          <w:p w14:paraId="29BFA162" w14:textId="77777777" w:rsidR="00690A91" w:rsidRPr="00690A91" w:rsidRDefault="00690A91" w:rsidP="00690A91">
            <w:pPr>
              <w:spacing w:after="0" w:line="240" w:lineRule="auto"/>
              <w:jc w:val="right"/>
              <w:rPr>
                <w:rFonts w:cs="Arial"/>
                <w:sz w:val="16"/>
                <w:szCs w:val="16"/>
              </w:rPr>
            </w:pPr>
            <w:r w:rsidRPr="00690A91">
              <w:rPr>
                <w:rFonts w:cs="Arial"/>
                <w:sz w:val="16"/>
                <w:szCs w:val="16"/>
              </w:rPr>
              <w:t>2,22</w:t>
            </w:r>
          </w:p>
        </w:tc>
        <w:tc>
          <w:tcPr>
            <w:tcW w:w="635" w:type="dxa"/>
            <w:tcBorders>
              <w:top w:val="nil"/>
              <w:left w:val="nil"/>
              <w:bottom w:val="nil"/>
              <w:right w:val="nil"/>
            </w:tcBorders>
            <w:shd w:val="clear" w:color="auto" w:fill="auto"/>
            <w:noWrap/>
            <w:vAlign w:val="center"/>
            <w:hideMark/>
          </w:tcPr>
          <w:p w14:paraId="379EF8F4" w14:textId="77777777" w:rsidR="00690A91" w:rsidRPr="00690A91" w:rsidRDefault="00690A91" w:rsidP="00690A91">
            <w:pPr>
              <w:spacing w:after="0" w:line="240" w:lineRule="auto"/>
              <w:jc w:val="right"/>
              <w:rPr>
                <w:rFonts w:cs="Arial"/>
                <w:sz w:val="16"/>
                <w:szCs w:val="16"/>
              </w:rPr>
            </w:pPr>
            <w:r w:rsidRPr="00690A91">
              <w:rPr>
                <w:rFonts w:cs="Arial"/>
                <w:sz w:val="16"/>
                <w:szCs w:val="16"/>
              </w:rPr>
              <w:t>2,37</w:t>
            </w:r>
          </w:p>
        </w:tc>
        <w:tc>
          <w:tcPr>
            <w:tcW w:w="635" w:type="dxa"/>
            <w:tcBorders>
              <w:top w:val="nil"/>
              <w:left w:val="nil"/>
              <w:bottom w:val="nil"/>
              <w:right w:val="nil"/>
            </w:tcBorders>
            <w:shd w:val="clear" w:color="auto" w:fill="auto"/>
            <w:noWrap/>
            <w:vAlign w:val="center"/>
            <w:hideMark/>
          </w:tcPr>
          <w:p w14:paraId="68C18600" w14:textId="77777777" w:rsidR="00690A91" w:rsidRPr="00690A91" w:rsidRDefault="00690A91" w:rsidP="00690A91">
            <w:pPr>
              <w:spacing w:after="0" w:line="240" w:lineRule="auto"/>
              <w:jc w:val="right"/>
              <w:rPr>
                <w:rFonts w:cs="Arial"/>
                <w:sz w:val="16"/>
                <w:szCs w:val="16"/>
              </w:rPr>
            </w:pPr>
            <w:r w:rsidRPr="00690A91">
              <w:rPr>
                <w:rFonts w:cs="Arial"/>
                <w:sz w:val="16"/>
                <w:szCs w:val="16"/>
              </w:rPr>
              <w:t>2,15</w:t>
            </w:r>
          </w:p>
        </w:tc>
        <w:tc>
          <w:tcPr>
            <w:tcW w:w="635" w:type="dxa"/>
            <w:tcBorders>
              <w:top w:val="nil"/>
              <w:left w:val="nil"/>
              <w:bottom w:val="nil"/>
              <w:right w:val="nil"/>
            </w:tcBorders>
            <w:shd w:val="clear" w:color="auto" w:fill="auto"/>
            <w:noWrap/>
            <w:vAlign w:val="center"/>
            <w:hideMark/>
          </w:tcPr>
          <w:p w14:paraId="633E9446" w14:textId="77777777" w:rsidR="00690A91" w:rsidRPr="00690A91" w:rsidRDefault="00690A91" w:rsidP="00690A91">
            <w:pPr>
              <w:spacing w:after="0" w:line="240" w:lineRule="auto"/>
              <w:jc w:val="right"/>
              <w:rPr>
                <w:rFonts w:cs="Arial"/>
                <w:sz w:val="16"/>
                <w:szCs w:val="16"/>
              </w:rPr>
            </w:pPr>
            <w:r w:rsidRPr="00690A91">
              <w:rPr>
                <w:rFonts w:cs="Arial"/>
                <w:sz w:val="16"/>
                <w:szCs w:val="16"/>
              </w:rPr>
              <w:t>2,41</w:t>
            </w:r>
          </w:p>
        </w:tc>
        <w:tc>
          <w:tcPr>
            <w:tcW w:w="635" w:type="dxa"/>
            <w:tcBorders>
              <w:top w:val="nil"/>
              <w:left w:val="nil"/>
              <w:bottom w:val="nil"/>
              <w:right w:val="nil"/>
            </w:tcBorders>
            <w:shd w:val="clear" w:color="auto" w:fill="auto"/>
            <w:noWrap/>
            <w:vAlign w:val="center"/>
            <w:hideMark/>
          </w:tcPr>
          <w:p w14:paraId="72CB3F4E"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2,38</w:t>
            </w:r>
          </w:p>
        </w:tc>
        <w:tc>
          <w:tcPr>
            <w:tcW w:w="635" w:type="dxa"/>
            <w:tcBorders>
              <w:top w:val="nil"/>
              <w:left w:val="nil"/>
              <w:bottom w:val="nil"/>
              <w:right w:val="nil"/>
            </w:tcBorders>
            <w:shd w:val="clear" w:color="auto" w:fill="auto"/>
            <w:noWrap/>
            <w:vAlign w:val="center"/>
            <w:hideMark/>
          </w:tcPr>
          <w:p w14:paraId="7A489987"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2,52</w:t>
            </w:r>
          </w:p>
        </w:tc>
        <w:tc>
          <w:tcPr>
            <w:tcW w:w="635" w:type="dxa"/>
            <w:tcBorders>
              <w:top w:val="nil"/>
              <w:left w:val="nil"/>
              <w:bottom w:val="nil"/>
              <w:right w:val="nil"/>
            </w:tcBorders>
            <w:shd w:val="clear" w:color="000000" w:fill="FFFFFF"/>
            <w:noWrap/>
            <w:vAlign w:val="center"/>
            <w:hideMark/>
          </w:tcPr>
          <w:p w14:paraId="4E36DC88"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2,62</w:t>
            </w:r>
          </w:p>
        </w:tc>
        <w:tc>
          <w:tcPr>
            <w:tcW w:w="661" w:type="dxa"/>
            <w:gridSpan w:val="2"/>
            <w:tcBorders>
              <w:top w:val="nil"/>
              <w:left w:val="nil"/>
              <w:bottom w:val="nil"/>
              <w:right w:val="nil"/>
            </w:tcBorders>
            <w:shd w:val="clear" w:color="000000" w:fill="FFFFFF"/>
            <w:noWrap/>
            <w:vAlign w:val="center"/>
            <w:hideMark/>
          </w:tcPr>
          <w:p w14:paraId="29B73D6D"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2,57</w:t>
            </w:r>
          </w:p>
        </w:tc>
      </w:tr>
      <w:tr w:rsidR="00690A91" w:rsidRPr="00690A91" w14:paraId="31E7659A" w14:textId="77777777" w:rsidTr="00B3736B">
        <w:trPr>
          <w:trHeight w:val="287"/>
        </w:trPr>
        <w:tc>
          <w:tcPr>
            <w:tcW w:w="3390" w:type="dxa"/>
            <w:tcBorders>
              <w:top w:val="nil"/>
              <w:left w:val="nil"/>
              <w:bottom w:val="nil"/>
              <w:right w:val="nil"/>
            </w:tcBorders>
            <w:shd w:val="clear" w:color="auto" w:fill="auto"/>
            <w:vAlign w:val="center"/>
            <w:hideMark/>
          </w:tcPr>
          <w:p w14:paraId="53074FF9" w14:textId="77777777" w:rsidR="00690A91" w:rsidRPr="00690A91" w:rsidRDefault="00690A91" w:rsidP="00690A91">
            <w:pPr>
              <w:spacing w:after="0" w:line="240" w:lineRule="auto"/>
              <w:ind w:firstLineChars="100" w:firstLine="160"/>
              <w:rPr>
                <w:rFonts w:ascii="Arial CE" w:hAnsi="Arial CE" w:cs="Arial CE"/>
                <w:sz w:val="16"/>
                <w:szCs w:val="16"/>
              </w:rPr>
            </w:pPr>
            <w:r w:rsidRPr="00690A91">
              <w:rPr>
                <w:rFonts w:ascii="Arial CE" w:hAnsi="Arial CE" w:cs="Arial CE"/>
                <w:sz w:val="16"/>
                <w:szCs w:val="16"/>
              </w:rPr>
              <w:t>N – Administrativní a podpůrné činnosti</w:t>
            </w:r>
          </w:p>
        </w:tc>
        <w:tc>
          <w:tcPr>
            <w:tcW w:w="635" w:type="dxa"/>
            <w:tcBorders>
              <w:top w:val="nil"/>
              <w:left w:val="nil"/>
              <w:bottom w:val="nil"/>
              <w:right w:val="nil"/>
            </w:tcBorders>
            <w:shd w:val="clear" w:color="auto" w:fill="auto"/>
            <w:noWrap/>
            <w:vAlign w:val="center"/>
            <w:hideMark/>
          </w:tcPr>
          <w:p w14:paraId="5A93F3EC" w14:textId="77777777" w:rsidR="00690A91" w:rsidRPr="00690A91" w:rsidRDefault="00690A91" w:rsidP="00690A91">
            <w:pPr>
              <w:spacing w:after="0" w:line="240" w:lineRule="auto"/>
              <w:jc w:val="right"/>
              <w:rPr>
                <w:rFonts w:cs="Arial"/>
                <w:sz w:val="16"/>
                <w:szCs w:val="16"/>
              </w:rPr>
            </w:pPr>
            <w:r w:rsidRPr="00690A91">
              <w:rPr>
                <w:rFonts w:cs="Arial"/>
                <w:sz w:val="16"/>
                <w:szCs w:val="16"/>
              </w:rPr>
              <w:t>4,55</w:t>
            </w:r>
          </w:p>
        </w:tc>
        <w:tc>
          <w:tcPr>
            <w:tcW w:w="635" w:type="dxa"/>
            <w:tcBorders>
              <w:top w:val="nil"/>
              <w:left w:val="nil"/>
              <w:bottom w:val="nil"/>
              <w:right w:val="nil"/>
            </w:tcBorders>
            <w:shd w:val="clear" w:color="auto" w:fill="auto"/>
            <w:noWrap/>
            <w:vAlign w:val="center"/>
            <w:hideMark/>
          </w:tcPr>
          <w:p w14:paraId="79019739" w14:textId="77777777" w:rsidR="00690A91" w:rsidRPr="00690A91" w:rsidRDefault="00690A91" w:rsidP="00690A91">
            <w:pPr>
              <w:spacing w:after="0" w:line="240" w:lineRule="auto"/>
              <w:jc w:val="right"/>
              <w:rPr>
                <w:rFonts w:ascii="Arial CE" w:hAnsi="Arial CE" w:cs="Arial CE"/>
                <w:sz w:val="16"/>
                <w:szCs w:val="16"/>
              </w:rPr>
            </w:pPr>
            <w:r w:rsidRPr="00690A91">
              <w:rPr>
                <w:rFonts w:ascii="Arial CE" w:hAnsi="Arial CE" w:cs="Arial CE"/>
                <w:sz w:val="16"/>
                <w:szCs w:val="16"/>
              </w:rPr>
              <w:t>4,53</w:t>
            </w:r>
          </w:p>
        </w:tc>
        <w:tc>
          <w:tcPr>
            <w:tcW w:w="635" w:type="dxa"/>
            <w:tcBorders>
              <w:top w:val="nil"/>
              <w:left w:val="nil"/>
              <w:bottom w:val="nil"/>
              <w:right w:val="nil"/>
            </w:tcBorders>
            <w:shd w:val="clear" w:color="auto" w:fill="auto"/>
            <w:noWrap/>
            <w:vAlign w:val="center"/>
            <w:hideMark/>
          </w:tcPr>
          <w:p w14:paraId="4D135487" w14:textId="77777777" w:rsidR="00690A91" w:rsidRPr="00690A91" w:rsidRDefault="00690A91" w:rsidP="00690A91">
            <w:pPr>
              <w:spacing w:after="0" w:line="240" w:lineRule="auto"/>
              <w:jc w:val="right"/>
              <w:rPr>
                <w:rFonts w:cs="Arial"/>
                <w:sz w:val="16"/>
                <w:szCs w:val="16"/>
              </w:rPr>
            </w:pPr>
            <w:r w:rsidRPr="00690A91">
              <w:rPr>
                <w:rFonts w:cs="Arial"/>
                <w:sz w:val="16"/>
                <w:szCs w:val="16"/>
              </w:rPr>
              <w:t>3,94</w:t>
            </w:r>
          </w:p>
        </w:tc>
        <w:tc>
          <w:tcPr>
            <w:tcW w:w="635" w:type="dxa"/>
            <w:tcBorders>
              <w:top w:val="nil"/>
              <w:left w:val="nil"/>
              <w:bottom w:val="nil"/>
              <w:right w:val="nil"/>
            </w:tcBorders>
            <w:shd w:val="clear" w:color="auto" w:fill="auto"/>
            <w:noWrap/>
            <w:vAlign w:val="center"/>
            <w:hideMark/>
          </w:tcPr>
          <w:p w14:paraId="799E8B64" w14:textId="77777777" w:rsidR="00690A91" w:rsidRPr="00690A91" w:rsidRDefault="00690A91" w:rsidP="00690A91">
            <w:pPr>
              <w:spacing w:after="0" w:line="240" w:lineRule="auto"/>
              <w:jc w:val="right"/>
              <w:rPr>
                <w:rFonts w:cs="Arial"/>
                <w:sz w:val="16"/>
                <w:szCs w:val="16"/>
              </w:rPr>
            </w:pPr>
            <w:r w:rsidRPr="00690A91">
              <w:rPr>
                <w:rFonts w:cs="Arial"/>
                <w:sz w:val="16"/>
                <w:szCs w:val="16"/>
              </w:rPr>
              <w:t>4,45</w:t>
            </w:r>
          </w:p>
        </w:tc>
        <w:tc>
          <w:tcPr>
            <w:tcW w:w="635" w:type="dxa"/>
            <w:tcBorders>
              <w:top w:val="nil"/>
              <w:left w:val="nil"/>
              <w:bottom w:val="nil"/>
              <w:right w:val="nil"/>
            </w:tcBorders>
            <w:shd w:val="clear" w:color="auto" w:fill="auto"/>
            <w:noWrap/>
            <w:vAlign w:val="center"/>
            <w:hideMark/>
          </w:tcPr>
          <w:p w14:paraId="52567F0D" w14:textId="77777777" w:rsidR="00690A91" w:rsidRPr="00690A91" w:rsidRDefault="00690A91" w:rsidP="00690A91">
            <w:pPr>
              <w:spacing w:after="0" w:line="240" w:lineRule="auto"/>
              <w:jc w:val="right"/>
              <w:rPr>
                <w:rFonts w:cs="Arial"/>
                <w:sz w:val="16"/>
                <w:szCs w:val="16"/>
              </w:rPr>
            </w:pPr>
            <w:r w:rsidRPr="00690A91">
              <w:rPr>
                <w:rFonts w:cs="Arial"/>
                <w:sz w:val="16"/>
                <w:szCs w:val="16"/>
              </w:rPr>
              <w:t>4,52</w:t>
            </w:r>
          </w:p>
        </w:tc>
        <w:tc>
          <w:tcPr>
            <w:tcW w:w="635" w:type="dxa"/>
            <w:tcBorders>
              <w:top w:val="nil"/>
              <w:left w:val="nil"/>
              <w:bottom w:val="nil"/>
              <w:right w:val="nil"/>
            </w:tcBorders>
            <w:shd w:val="clear" w:color="auto" w:fill="auto"/>
            <w:noWrap/>
            <w:vAlign w:val="center"/>
            <w:hideMark/>
          </w:tcPr>
          <w:p w14:paraId="5B54FC26" w14:textId="77777777" w:rsidR="00690A91" w:rsidRPr="00690A91" w:rsidRDefault="00690A91" w:rsidP="00690A91">
            <w:pPr>
              <w:spacing w:after="0" w:line="240" w:lineRule="auto"/>
              <w:jc w:val="right"/>
              <w:rPr>
                <w:rFonts w:cs="Arial"/>
                <w:sz w:val="16"/>
                <w:szCs w:val="16"/>
              </w:rPr>
            </w:pPr>
            <w:r w:rsidRPr="00690A91">
              <w:rPr>
                <w:rFonts w:cs="Arial"/>
                <w:sz w:val="16"/>
                <w:szCs w:val="16"/>
              </w:rPr>
              <w:t>5,31</w:t>
            </w:r>
          </w:p>
        </w:tc>
        <w:tc>
          <w:tcPr>
            <w:tcW w:w="635" w:type="dxa"/>
            <w:tcBorders>
              <w:top w:val="nil"/>
              <w:left w:val="nil"/>
              <w:bottom w:val="nil"/>
              <w:right w:val="nil"/>
            </w:tcBorders>
            <w:shd w:val="clear" w:color="auto" w:fill="auto"/>
            <w:noWrap/>
            <w:vAlign w:val="center"/>
            <w:hideMark/>
          </w:tcPr>
          <w:p w14:paraId="665A2341"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5,53</w:t>
            </w:r>
          </w:p>
        </w:tc>
        <w:tc>
          <w:tcPr>
            <w:tcW w:w="635" w:type="dxa"/>
            <w:tcBorders>
              <w:top w:val="nil"/>
              <w:left w:val="nil"/>
              <w:bottom w:val="nil"/>
              <w:right w:val="nil"/>
            </w:tcBorders>
            <w:shd w:val="clear" w:color="auto" w:fill="auto"/>
            <w:noWrap/>
            <w:vAlign w:val="center"/>
            <w:hideMark/>
          </w:tcPr>
          <w:p w14:paraId="2B077292"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5,53</w:t>
            </w:r>
          </w:p>
        </w:tc>
        <w:tc>
          <w:tcPr>
            <w:tcW w:w="635" w:type="dxa"/>
            <w:tcBorders>
              <w:top w:val="nil"/>
              <w:left w:val="nil"/>
              <w:bottom w:val="nil"/>
              <w:right w:val="nil"/>
            </w:tcBorders>
            <w:shd w:val="clear" w:color="000000" w:fill="FFFFFF"/>
            <w:noWrap/>
            <w:vAlign w:val="center"/>
            <w:hideMark/>
          </w:tcPr>
          <w:p w14:paraId="57C30B7A"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5,65</w:t>
            </w:r>
          </w:p>
        </w:tc>
        <w:tc>
          <w:tcPr>
            <w:tcW w:w="661" w:type="dxa"/>
            <w:gridSpan w:val="2"/>
            <w:tcBorders>
              <w:top w:val="nil"/>
              <w:left w:val="nil"/>
              <w:bottom w:val="nil"/>
              <w:right w:val="nil"/>
            </w:tcBorders>
            <w:shd w:val="clear" w:color="000000" w:fill="FFFFFF"/>
            <w:noWrap/>
            <w:vAlign w:val="center"/>
            <w:hideMark/>
          </w:tcPr>
          <w:p w14:paraId="709C2940"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5,67</w:t>
            </w:r>
          </w:p>
        </w:tc>
      </w:tr>
      <w:tr w:rsidR="00690A91" w:rsidRPr="00690A91" w14:paraId="75F6B292" w14:textId="77777777" w:rsidTr="00B3736B">
        <w:trPr>
          <w:trHeight w:val="454"/>
        </w:trPr>
        <w:tc>
          <w:tcPr>
            <w:tcW w:w="3390" w:type="dxa"/>
            <w:tcBorders>
              <w:top w:val="nil"/>
              <w:left w:val="nil"/>
              <w:bottom w:val="nil"/>
              <w:right w:val="nil"/>
            </w:tcBorders>
            <w:shd w:val="clear" w:color="auto" w:fill="auto"/>
            <w:vAlign w:val="center"/>
            <w:hideMark/>
          </w:tcPr>
          <w:p w14:paraId="53D1A4F1" w14:textId="77777777" w:rsidR="00690A91" w:rsidRDefault="00690A91" w:rsidP="00690A91">
            <w:pPr>
              <w:spacing w:after="0" w:line="240" w:lineRule="auto"/>
              <w:ind w:firstLineChars="100" w:firstLine="160"/>
              <w:rPr>
                <w:rFonts w:ascii="Arial CE" w:hAnsi="Arial CE" w:cs="Arial CE"/>
                <w:sz w:val="16"/>
                <w:szCs w:val="16"/>
              </w:rPr>
            </w:pPr>
            <w:r w:rsidRPr="00690A91">
              <w:rPr>
                <w:rFonts w:ascii="Arial CE" w:hAnsi="Arial CE" w:cs="Arial CE"/>
                <w:sz w:val="16"/>
                <w:szCs w:val="16"/>
              </w:rPr>
              <w:t>O – Veřejná správa a obrana; povinné</w:t>
            </w:r>
          </w:p>
          <w:p w14:paraId="15318769" w14:textId="78B855EE" w:rsidR="00690A91" w:rsidRPr="00690A91" w:rsidRDefault="00690A91" w:rsidP="00690A91">
            <w:pPr>
              <w:spacing w:after="0" w:line="240" w:lineRule="auto"/>
              <w:ind w:firstLineChars="100" w:firstLine="160"/>
              <w:rPr>
                <w:rFonts w:ascii="Arial CE" w:hAnsi="Arial CE" w:cs="Arial CE"/>
                <w:sz w:val="16"/>
                <w:szCs w:val="16"/>
              </w:rPr>
            </w:pPr>
            <w:r>
              <w:rPr>
                <w:rFonts w:ascii="Arial CE" w:hAnsi="Arial CE" w:cs="Arial CE"/>
                <w:sz w:val="16"/>
                <w:szCs w:val="16"/>
              </w:rPr>
              <w:t xml:space="preserve">      </w:t>
            </w:r>
            <w:r w:rsidRPr="00690A91">
              <w:rPr>
                <w:rFonts w:ascii="Arial CE" w:hAnsi="Arial CE" w:cs="Arial CE"/>
                <w:sz w:val="16"/>
                <w:szCs w:val="16"/>
              </w:rPr>
              <w:t xml:space="preserve"> sociální zabezpečení</w:t>
            </w:r>
          </w:p>
        </w:tc>
        <w:tc>
          <w:tcPr>
            <w:tcW w:w="635" w:type="dxa"/>
            <w:tcBorders>
              <w:top w:val="nil"/>
              <w:left w:val="nil"/>
              <w:bottom w:val="nil"/>
              <w:right w:val="nil"/>
            </w:tcBorders>
            <w:shd w:val="clear" w:color="auto" w:fill="auto"/>
            <w:noWrap/>
            <w:vAlign w:val="center"/>
            <w:hideMark/>
          </w:tcPr>
          <w:p w14:paraId="28247F0B" w14:textId="77777777" w:rsidR="00690A91" w:rsidRPr="00690A91" w:rsidRDefault="00690A91" w:rsidP="00690A91">
            <w:pPr>
              <w:spacing w:after="0" w:line="240" w:lineRule="auto"/>
              <w:jc w:val="right"/>
              <w:rPr>
                <w:rFonts w:cs="Arial"/>
                <w:sz w:val="16"/>
                <w:szCs w:val="16"/>
              </w:rPr>
            </w:pPr>
            <w:r w:rsidRPr="00690A91">
              <w:rPr>
                <w:rFonts w:cs="Arial"/>
                <w:sz w:val="16"/>
                <w:szCs w:val="16"/>
              </w:rPr>
              <w:t>2,93</w:t>
            </w:r>
          </w:p>
        </w:tc>
        <w:tc>
          <w:tcPr>
            <w:tcW w:w="635" w:type="dxa"/>
            <w:tcBorders>
              <w:top w:val="nil"/>
              <w:left w:val="nil"/>
              <w:bottom w:val="nil"/>
              <w:right w:val="nil"/>
            </w:tcBorders>
            <w:shd w:val="clear" w:color="auto" w:fill="auto"/>
            <w:noWrap/>
            <w:vAlign w:val="center"/>
            <w:hideMark/>
          </w:tcPr>
          <w:p w14:paraId="1B2A8FCE" w14:textId="77777777" w:rsidR="00690A91" w:rsidRPr="00690A91" w:rsidRDefault="00690A91" w:rsidP="00690A91">
            <w:pPr>
              <w:spacing w:after="0" w:line="240" w:lineRule="auto"/>
              <w:jc w:val="right"/>
              <w:rPr>
                <w:rFonts w:ascii="Arial CE" w:hAnsi="Arial CE" w:cs="Arial CE"/>
                <w:sz w:val="16"/>
                <w:szCs w:val="16"/>
              </w:rPr>
            </w:pPr>
            <w:r w:rsidRPr="00690A91">
              <w:rPr>
                <w:rFonts w:ascii="Arial CE" w:hAnsi="Arial CE" w:cs="Arial CE"/>
                <w:sz w:val="16"/>
                <w:szCs w:val="16"/>
              </w:rPr>
              <w:t>3,12</w:t>
            </w:r>
          </w:p>
        </w:tc>
        <w:tc>
          <w:tcPr>
            <w:tcW w:w="635" w:type="dxa"/>
            <w:tcBorders>
              <w:top w:val="nil"/>
              <w:left w:val="nil"/>
              <w:bottom w:val="nil"/>
              <w:right w:val="nil"/>
            </w:tcBorders>
            <w:shd w:val="clear" w:color="auto" w:fill="auto"/>
            <w:noWrap/>
            <w:vAlign w:val="center"/>
            <w:hideMark/>
          </w:tcPr>
          <w:p w14:paraId="4ADB9E43" w14:textId="77777777" w:rsidR="00690A91" w:rsidRPr="00690A91" w:rsidRDefault="00690A91" w:rsidP="00690A91">
            <w:pPr>
              <w:spacing w:after="0" w:line="240" w:lineRule="auto"/>
              <w:jc w:val="right"/>
              <w:rPr>
                <w:rFonts w:cs="Arial"/>
                <w:sz w:val="16"/>
                <w:szCs w:val="16"/>
              </w:rPr>
            </w:pPr>
            <w:r w:rsidRPr="00690A91">
              <w:rPr>
                <w:rFonts w:cs="Arial"/>
                <w:sz w:val="16"/>
                <w:szCs w:val="16"/>
              </w:rPr>
              <w:t>2,86</w:t>
            </w:r>
          </w:p>
        </w:tc>
        <w:tc>
          <w:tcPr>
            <w:tcW w:w="635" w:type="dxa"/>
            <w:tcBorders>
              <w:top w:val="nil"/>
              <w:left w:val="nil"/>
              <w:bottom w:val="nil"/>
              <w:right w:val="nil"/>
            </w:tcBorders>
            <w:shd w:val="clear" w:color="auto" w:fill="auto"/>
            <w:noWrap/>
            <w:vAlign w:val="center"/>
            <w:hideMark/>
          </w:tcPr>
          <w:p w14:paraId="665354AB" w14:textId="77777777" w:rsidR="00690A91" w:rsidRPr="00690A91" w:rsidRDefault="00690A91" w:rsidP="00690A91">
            <w:pPr>
              <w:spacing w:after="0" w:line="240" w:lineRule="auto"/>
              <w:jc w:val="right"/>
              <w:rPr>
                <w:rFonts w:cs="Arial"/>
                <w:sz w:val="16"/>
                <w:szCs w:val="16"/>
              </w:rPr>
            </w:pPr>
            <w:r w:rsidRPr="00690A91">
              <w:rPr>
                <w:rFonts w:cs="Arial"/>
                <w:sz w:val="16"/>
                <w:szCs w:val="16"/>
              </w:rPr>
              <w:t>2,94</w:t>
            </w:r>
          </w:p>
        </w:tc>
        <w:tc>
          <w:tcPr>
            <w:tcW w:w="635" w:type="dxa"/>
            <w:tcBorders>
              <w:top w:val="nil"/>
              <w:left w:val="nil"/>
              <w:bottom w:val="nil"/>
              <w:right w:val="nil"/>
            </w:tcBorders>
            <w:shd w:val="clear" w:color="auto" w:fill="auto"/>
            <w:noWrap/>
            <w:vAlign w:val="center"/>
            <w:hideMark/>
          </w:tcPr>
          <w:p w14:paraId="25E40647" w14:textId="77777777" w:rsidR="00690A91" w:rsidRPr="00690A91" w:rsidRDefault="00690A91" w:rsidP="00690A91">
            <w:pPr>
              <w:spacing w:after="0" w:line="240" w:lineRule="auto"/>
              <w:jc w:val="right"/>
              <w:rPr>
                <w:rFonts w:cs="Arial"/>
                <w:sz w:val="16"/>
                <w:szCs w:val="16"/>
              </w:rPr>
            </w:pPr>
            <w:r w:rsidRPr="00690A91">
              <w:rPr>
                <w:rFonts w:cs="Arial"/>
                <w:sz w:val="16"/>
                <w:szCs w:val="16"/>
              </w:rPr>
              <w:t>2,83</w:t>
            </w:r>
          </w:p>
        </w:tc>
        <w:tc>
          <w:tcPr>
            <w:tcW w:w="635" w:type="dxa"/>
            <w:tcBorders>
              <w:top w:val="nil"/>
              <w:left w:val="nil"/>
              <w:bottom w:val="nil"/>
              <w:right w:val="nil"/>
            </w:tcBorders>
            <w:shd w:val="clear" w:color="auto" w:fill="auto"/>
            <w:noWrap/>
            <w:vAlign w:val="center"/>
            <w:hideMark/>
          </w:tcPr>
          <w:p w14:paraId="37D1A9AF" w14:textId="77777777" w:rsidR="00690A91" w:rsidRPr="00690A91" w:rsidRDefault="00690A91" w:rsidP="00690A91">
            <w:pPr>
              <w:spacing w:after="0" w:line="240" w:lineRule="auto"/>
              <w:jc w:val="right"/>
              <w:rPr>
                <w:rFonts w:cs="Arial"/>
                <w:sz w:val="16"/>
                <w:szCs w:val="16"/>
              </w:rPr>
            </w:pPr>
            <w:r w:rsidRPr="00690A91">
              <w:rPr>
                <w:rFonts w:cs="Arial"/>
                <w:sz w:val="16"/>
                <w:szCs w:val="16"/>
              </w:rPr>
              <w:t>3,33</w:t>
            </w:r>
          </w:p>
        </w:tc>
        <w:tc>
          <w:tcPr>
            <w:tcW w:w="635" w:type="dxa"/>
            <w:tcBorders>
              <w:top w:val="nil"/>
              <w:left w:val="nil"/>
              <w:bottom w:val="nil"/>
              <w:right w:val="nil"/>
            </w:tcBorders>
            <w:shd w:val="clear" w:color="auto" w:fill="auto"/>
            <w:noWrap/>
            <w:vAlign w:val="center"/>
            <w:hideMark/>
          </w:tcPr>
          <w:p w14:paraId="01677AE4"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3,36</w:t>
            </w:r>
          </w:p>
        </w:tc>
        <w:tc>
          <w:tcPr>
            <w:tcW w:w="635" w:type="dxa"/>
            <w:tcBorders>
              <w:top w:val="nil"/>
              <w:left w:val="nil"/>
              <w:bottom w:val="nil"/>
              <w:right w:val="nil"/>
            </w:tcBorders>
            <w:shd w:val="clear" w:color="auto" w:fill="auto"/>
            <w:noWrap/>
            <w:vAlign w:val="center"/>
            <w:hideMark/>
          </w:tcPr>
          <w:p w14:paraId="79E227E9"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3,42</w:t>
            </w:r>
          </w:p>
        </w:tc>
        <w:tc>
          <w:tcPr>
            <w:tcW w:w="635" w:type="dxa"/>
            <w:tcBorders>
              <w:top w:val="nil"/>
              <w:left w:val="nil"/>
              <w:bottom w:val="nil"/>
              <w:right w:val="nil"/>
            </w:tcBorders>
            <w:shd w:val="clear" w:color="000000" w:fill="FFFFFF"/>
            <w:noWrap/>
            <w:vAlign w:val="center"/>
            <w:hideMark/>
          </w:tcPr>
          <w:p w14:paraId="7422007E"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3,55</w:t>
            </w:r>
          </w:p>
        </w:tc>
        <w:tc>
          <w:tcPr>
            <w:tcW w:w="661" w:type="dxa"/>
            <w:gridSpan w:val="2"/>
            <w:tcBorders>
              <w:top w:val="nil"/>
              <w:left w:val="nil"/>
              <w:bottom w:val="nil"/>
              <w:right w:val="nil"/>
            </w:tcBorders>
            <w:shd w:val="clear" w:color="000000" w:fill="FFFFFF"/>
            <w:noWrap/>
            <w:vAlign w:val="center"/>
            <w:hideMark/>
          </w:tcPr>
          <w:p w14:paraId="5779C7E6"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3,54</w:t>
            </w:r>
          </w:p>
        </w:tc>
      </w:tr>
      <w:tr w:rsidR="00690A91" w:rsidRPr="00690A91" w14:paraId="340161AC" w14:textId="77777777" w:rsidTr="00B3736B">
        <w:trPr>
          <w:trHeight w:val="287"/>
        </w:trPr>
        <w:tc>
          <w:tcPr>
            <w:tcW w:w="3390" w:type="dxa"/>
            <w:tcBorders>
              <w:top w:val="nil"/>
              <w:left w:val="nil"/>
              <w:bottom w:val="nil"/>
              <w:right w:val="nil"/>
            </w:tcBorders>
            <w:shd w:val="clear" w:color="auto" w:fill="auto"/>
            <w:vAlign w:val="center"/>
            <w:hideMark/>
          </w:tcPr>
          <w:p w14:paraId="142D7A16" w14:textId="77777777" w:rsidR="00690A91" w:rsidRPr="00690A91" w:rsidRDefault="00690A91" w:rsidP="00690A91">
            <w:pPr>
              <w:spacing w:after="0" w:line="240" w:lineRule="auto"/>
              <w:ind w:firstLineChars="100" w:firstLine="160"/>
              <w:rPr>
                <w:rFonts w:ascii="Arial CE" w:hAnsi="Arial CE" w:cs="Arial CE"/>
                <w:sz w:val="16"/>
                <w:szCs w:val="16"/>
              </w:rPr>
            </w:pPr>
            <w:r w:rsidRPr="00690A91">
              <w:rPr>
                <w:rFonts w:ascii="Arial CE" w:hAnsi="Arial CE" w:cs="Arial CE"/>
                <w:sz w:val="16"/>
                <w:szCs w:val="16"/>
              </w:rPr>
              <w:t>P – Vzdělávání</w:t>
            </w:r>
          </w:p>
        </w:tc>
        <w:tc>
          <w:tcPr>
            <w:tcW w:w="635" w:type="dxa"/>
            <w:tcBorders>
              <w:top w:val="nil"/>
              <w:left w:val="nil"/>
              <w:bottom w:val="nil"/>
              <w:right w:val="nil"/>
            </w:tcBorders>
            <w:shd w:val="clear" w:color="auto" w:fill="auto"/>
            <w:noWrap/>
            <w:vAlign w:val="center"/>
            <w:hideMark/>
          </w:tcPr>
          <w:p w14:paraId="2FB158F6" w14:textId="77777777" w:rsidR="00690A91" w:rsidRPr="00690A91" w:rsidRDefault="00690A91" w:rsidP="00690A91">
            <w:pPr>
              <w:spacing w:after="0" w:line="240" w:lineRule="auto"/>
              <w:jc w:val="right"/>
              <w:rPr>
                <w:rFonts w:cs="Arial"/>
                <w:sz w:val="16"/>
                <w:szCs w:val="16"/>
              </w:rPr>
            </w:pPr>
            <w:r w:rsidRPr="00690A91">
              <w:rPr>
                <w:rFonts w:cs="Arial"/>
                <w:sz w:val="16"/>
                <w:szCs w:val="16"/>
              </w:rPr>
              <w:t>2,74</w:t>
            </w:r>
          </w:p>
        </w:tc>
        <w:tc>
          <w:tcPr>
            <w:tcW w:w="635" w:type="dxa"/>
            <w:tcBorders>
              <w:top w:val="nil"/>
              <w:left w:val="nil"/>
              <w:bottom w:val="nil"/>
              <w:right w:val="nil"/>
            </w:tcBorders>
            <w:shd w:val="clear" w:color="auto" w:fill="auto"/>
            <w:noWrap/>
            <w:vAlign w:val="center"/>
            <w:hideMark/>
          </w:tcPr>
          <w:p w14:paraId="41AEAD55" w14:textId="77777777" w:rsidR="00690A91" w:rsidRPr="00690A91" w:rsidRDefault="00690A91" w:rsidP="00690A91">
            <w:pPr>
              <w:spacing w:after="0" w:line="240" w:lineRule="auto"/>
              <w:jc w:val="right"/>
              <w:rPr>
                <w:rFonts w:ascii="Arial CE" w:hAnsi="Arial CE" w:cs="Arial CE"/>
                <w:sz w:val="16"/>
                <w:szCs w:val="16"/>
              </w:rPr>
            </w:pPr>
            <w:r w:rsidRPr="00690A91">
              <w:rPr>
                <w:rFonts w:ascii="Arial CE" w:hAnsi="Arial CE" w:cs="Arial CE"/>
                <w:sz w:val="16"/>
                <w:szCs w:val="16"/>
              </w:rPr>
              <w:t>2,75</w:t>
            </w:r>
          </w:p>
        </w:tc>
        <w:tc>
          <w:tcPr>
            <w:tcW w:w="635" w:type="dxa"/>
            <w:tcBorders>
              <w:top w:val="nil"/>
              <w:left w:val="nil"/>
              <w:bottom w:val="nil"/>
              <w:right w:val="nil"/>
            </w:tcBorders>
            <w:shd w:val="clear" w:color="auto" w:fill="auto"/>
            <w:noWrap/>
            <w:vAlign w:val="center"/>
            <w:hideMark/>
          </w:tcPr>
          <w:p w14:paraId="653C7928" w14:textId="77777777" w:rsidR="00690A91" w:rsidRPr="00690A91" w:rsidRDefault="00690A91" w:rsidP="00690A91">
            <w:pPr>
              <w:spacing w:after="0" w:line="240" w:lineRule="auto"/>
              <w:jc w:val="right"/>
              <w:rPr>
                <w:rFonts w:cs="Arial"/>
                <w:sz w:val="16"/>
                <w:szCs w:val="16"/>
              </w:rPr>
            </w:pPr>
            <w:r w:rsidRPr="00690A91">
              <w:rPr>
                <w:rFonts w:cs="Arial"/>
                <w:sz w:val="16"/>
                <w:szCs w:val="16"/>
              </w:rPr>
              <w:t>2,38</w:t>
            </w:r>
          </w:p>
        </w:tc>
        <w:tc>
          <w:tcPr>
            <w:tcW w:w="635" w:type="dxa"/>
            <w:tcBorders>
              <w:top w:val="nil"/>
              <w:left w:val="nil"/>
              <w:bottom w:val="nil"/>
              <w:right w:val="nil"/>
            </w:tcBorders>
            <w:shd w:val="clear" w:color="auto" w:fill="auto"/>
            <w:noWrap/>
            <w:vAlign w:val="center"/>
            <w:hideMark/>
          </w:tcPr>
          <w:p w14:paraId="5C00E738" w14:textId="77777777" w:rsidR="00690A91" w:rsidRPr="00690A91" w:rsidRDefault="00690A91" w:rsidP="00690A91">
            <w:pPr>
              <w:spacing w:after="0" w:line="240" w:lineRule="auto"/>
              <w:jc w:val="right"/>
              <w:rPr>
                <w:rFonts w:cs="Arial"/>
                <w:sz w:val="16"/>
                <w:szCs w:val="16"/>
              </w:rPr>
            </w:pPr>
            <w:r w:rsidRPr="00690A91">
              <w:rPr>
                <w:rFonts w:cs="Arial"/>
                <w:sz w:val="16"/>
                <w:szCs w:val="16"/>
              </w:rPr>
              <w:t>2,68</w:t>
            </w:r>
          </w:p>
        </w:tc>
        <w:tc>
          <w:tcPr>
            <w:tcW w:w="635" w:type="dxa"/>
            <w:tcBorders>
              <w:top w:val="nil"/>
              <w:left w:val="nil"/>
              <w:bottom w:val="nil"/>
              <w:right w:val="nil"/>
            </w:tcBorders>
            <w:shd w:val="clear" w:color="auto" w:fill="auto"/>
            <w:noWrap/>
            <w:vAlign w:val="center"/>
            <w:hideMark/>
          </w:tcPr>
          <w:p w14:paraId="29B33A91" w14:textId="77777777" w:rsidR="00690A91" w:rsidRPr="00690A91" w:rsidRDefault="00690A91" w:rsidP="00690A91">
            <w:pPr>
              <w:spacing w:after="0" w:line="240" w:lineRule="auto"/>
              <w:jc w:val="right"/>
              <w:rPr>
                <w:rFonts w:cs="Arial"/>
                <w:sz w:val="16"/>
                <w:szCs w:val="16"/>
              </w:rPr>
            </w:pPr>
            <w:r w:rsidRPr="00690A91">
              <w:rPr>
                <w:rFonts w:cs="Arial"/>
                <w:sz w:val="16"/>
                <w:szCs w:val="16"/>
              </w:rPr>
              <w:t>2,56</w:t>
            </w:r>
          </w:p>
        </w:tc>
        <w:tc>
          <w:tcPr>
            <w:tcW w:w="635" w:type="dxa"/>
            <w:tcBorders>
              <w:top w:val="nil"/>
              <w:left w:val="nil"/>
              <w:bottom w:val="nil"/>
              <w:right w:val="nil"/>
            </w:tcBorders>
            <w:shd w:val="clear" w:color="auto" w:fill="auto"/>
            <w:noWrap/>
            <w:vAlign w:val="center"/>
            <w:hideMark/>
          </w:tcPr>
          <w:p w14:paraId="5BDAA3BE" w14:textId="77777777" w:rsidR="00690A91" w:rsidRPr="00690A91" w:rsidRDefault="00690A91" w:rsidP="00690A91">
            <w:pPr>
              <w:spacing w:after="0" w:line="240" w:lineRule="auto"/>
              <w:jc w:val="right"/>
              <w:rPr>
                <w:rFonts w:cs="Arial"/>
                <w:sz w:val="16"/>
                <w:szCs w:val="16"/>
              </w:rPr>
            </w:pPr>
            <w:r w:rsidRPr="00690A91">
              <w:rPr>
                <w:rFonts w:cs="Arial"/>
                <w:sz w:val="16"/>
                <w:szCs w:val="16"/>
              </w:rPr>
              <w:t>3,08</w:t>
            </w:r>
          </w:p>
        </w:tc>
        <w:tc>
          <w:tcPr>
            <w:tcW w:w="635" w:type="dxa"/>
            <w:tcBorders>
              <w:top w:val="nil"/>
              <w:left w:val="nil"/>
              <w:bottom w:val="nil"/>
              <w:right w:val="nil"/>
            </w:tcBorders>
            <w:shd w:val="clear" w:color="auto" w:fill="auto"/>
            <w:noWrap/>
            <w:vAlign w:val="center"/>
            <w:hideMark/>
          </w:tcPr>
          <w:p w14:paraId="6DC88C68"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3,10</w:t>
            </w:r>
          </w:p>
        </w:tc>
        <w:tc>
          <w:tcPr>
            <w:tcW w:w="635" w:type="dxa"/>
            <w:tcBorders>
              <w:top w:val="nil"/>
              <w:left w:val="nil"/>
              <w:bottom w:val="nil"/>
              <w:right w:val="nil"/>
            </w:tcBorders>
            <w:shd w:val="clear" w:color="auto" w:fill="auto"/>
            <w:noWrap/>
            <w:vAlign w:val="center"/>
            <w:hideMark/>
          </w:tcPr>
          <w:p w14:paraId="41BF708F"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3,34</w:t>
            </w:r>
          </w:p>
        </w:tc>
        <w:tc>
          <w:tcPr>
            <w:tcW w:w="635" w:type="dxa"/>
            <w:tcBorders>
              <w:top w:val="nil"/>
              <w:left w:val="nil"/>
              <w:bottom w:val="nil"/>
              <w:right w:val="nil"/>
            </w:tcBorders>
            <w:shd w:val="clear" w:color="000000" w:fill="FFFFFF"/>
            <w:noWrap/>
            <w:vAlign w:val="center"/>
            <w:hideMark/>
          </w:tcPr>
          <w:p w14:paraId="684E04AC"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3,46</w:t>
            </w:r>
          </w:p>
        </w:tc>
        <w:tc>
          <w:tcPr>
            <w:tcW w:w="661" w:type="dxa"/>
            <w:gridSpan w:val="2"/>
            <w:tcBorders>
              <w:top w:val="nil"/>
              <w:left w:val="nil"/>
              <w:bottom w:val="nil"/>
              <w:right w:val="nil"/>
            </w:tcBorders>
            <w:shd w:val="clear" w:color="000000" w:fill="FFFFFF"/>
            <w:noWrap/>
            <w:vAlign w:val="center"/>
            <w:hideMark/>
          </w:tcPr>
          <w:p w14:paraId="14163BD0"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3,41</w:t>
            </w:r>
          </w:p>
        </w:tc>
      </w:tr>
      <w:tr w:rsidR="00690A91" w:rsidRPr="00690A91" w14:paraId="704B7DA3" w14:textId="77777777" w:rsidTr="00B3736B">
        <w:trPr>
          <w:trHeight w:val="287"/>
        </w:trPr>
        <w:tc>
          <w:tcPr>
            <w:tcW w:w="3390" w:type="dxa"/>
            <w:tcBorders>
              <w:top w:val="nil"/>
              <w:left w:val="nil"/>
              <w:bottom w:val="nil"/>
              <w:right w:val="nil"/>
            </w:tcBorders>
            <w:shd w:val="clear" w:color="auto" w:fill="auto"/>
            <w:vAlign w:val="center"/>
            <w:hideMark/>
          </w:tcPr>
          <w:p w14:paraId="340CC56C" w14:textId="77777777" w:rsidR="00690A91" w:rsidRPr="00690A91" w:rsidRDefault="00690A91" w:rsidP="00690A91">
            <w:pPr>
              <w:spacing w:after="0" w:line="240" w:lineRule="auto"/>
              <w:ind w:firstLineChars="100" w:firstLine="160"/>
              <w:rPr>
                <w:rFonts w:ascii="Arial CE" w:hAnsi="Arial CE" w:cs="Arial CE"/>
                <w:sz w:val="16"/>
                <w:szCs w:val="16"/>
              </w:rPr>
            </w:pPr>
            <w:r w:rsidRPr="00690A91">
              <w:rPr>
                <w:rFonts w:ascii="Arial CE" w:hAnsi="Arial CE" w:cs="Arial CE"/>
                <w:sz w:val="16"/>
                <w:szCs w:val="16"/>
              </w:rPr>
              <w:t>Q – Zdravotní a sociální péče</w:t>
            </w:r>
          </w:p>
        </w:tc>
        <w:tc>
          <w:tcPr>
            <w:tcW w:w="635" w:type="dxa"/>
            <w:tcBorders>
              <w:top w:val="nil"/>
              <w:left w:val="nil"/>
              <w:bottom w:val="nil"/>
              <w:right w:val="nil"/>
            </w:tcBorders>
            <w:shd w:val="clear" w:color="auto" w:fill="auto"/>
            <w:noWrap/>
            <w:vAlign w:val="center"/>
            <w:hideMark/>
          </w:tcPr>
          <w:p w14:paraId="68FE9414" w14:textId="77777777" w:rsidR="00690A91" w:rsidRPr="00690A91" w:rsidRDefault="00690A91" w:rsidP="00690A91">
            <w:pPr>
              <w:spacing w:after="0" w:line="240" w:lineRule="auto"/>
              <w:jc w:val="right"/>
              <w:rPr>
                <w:rFonts w:cs="Arial"/>
                <w:sz w:val="16"/>
                <w:szCs w:val="16"/>
              </w:rPr>
            </w:pPr>
            <w:r w:rsidRPr="00690A91">
              <w:rPr>
                <w:rFonts w:cs="Arial"/>
                <w:sz w:val="16"/>
                <w:szCs w:val="16"/>
              </w:rPr>
              <w:t>3,57</w:t>
            </w:r>
          </w:p>
        </w:tc>
        <w:tc>
          <w:tcPr>
            <w:tcW w:w="635" w:type="dxa"/>
            <w:tcBorders>
              <w:top w:val="nil"/>
              <w:left w:val="nil"/>
              <w:bottom w:val="nil"/>
              <w:right w:val="nil"/>
            </w:tcBorders>
            <w:shd w:val="clear" w:color="auto" w:fill="auto"/>
            <w:noWrap/>
            <w:vAlign w:val="center"/>
            <w:hideMark/>
          </w:tcPr>
          <w:p w14:paraId="0983A6ED" w14:textId="77777777" w:rsidR="00690A91" w:rsidRPr="00690A91" w:rsidRDefault="00690A91" w:rsidP="00690A91">
            <w:pPr>
              <w:spacing w:after="0" w:line="240" w:lineRule="auto"/>
              <w:jc w:val="right"/>
              <w:rPr>
                <w:rFonts w:ascii="Arial CE" w:hAnsi="Arial CE" w:cs="Arial CE"/>
                <w:sz w:val="16"/>
                <w:szCs w:val="16"/>
              </w:rPr>
            </w:pPr>
            <w:r w:rsidRPr="00690A91">
              <w:rPr>
                <w:rFonts w:ascii="Arial CE" w:hAnsi="Arial CE" w:cs="Arial CE"/>
                <w:sz w:val="16"/>
                <w:szCs w:val="16"/>
              </w:rPr>
              <w:t>3,74</w:t>
            </w:r>
          </w:p>
        </w:tc>
        <w:tc>
          <w:tcPr>
            <w:tcW w:w="635" w:type="dxa"/>
            <w:tcBorders>
              <w:top w:val="nil"/>
              <w:left w:val="nil"/>
              <w:bottom w:val="nil"/>
              <w:right w:val="nil"/>
            </w:tcBorders>
            <w:shd w:val="clear" w:color="auto" w:fill="auto"/>
            <w:noWrap/>
            <w:vAlign w:val="center"/>
            <w:hideMark/>
          </w:tcPr>
          <w:p w14:paraId="1AA7758B" w14:textId="77777777" w:rsidR="00690A91" w:rsidRPr="00690A91" w:rsidRDefault="00690A91" w:rsidP="00690A91">
            <w:pPr>
              <w:spacing w:after="0" w:line="240" w:lineRule="auto"/>
              <w:jc w:val="right"/>
              <w:rPr>
                <w:rFonts w:cs="Arial"/>
                <w:sz w:val="16"/>
                <w:szCs w:val="16"/>
              </w:rPr>
            </w:pPr>
            <w:r w:rsidRPr="00690A91">
              <w:rPr>
                <w:rFonts w:cs="Arial"/>
                <w:sz w:val="16"/>
                <w:szCs w:val="16"/>
              </w:rPr>
              <w:t>3,42</w:t>
            </w:r>
          </w:p>
        </w:tc>
        <w:tc>
          <w:tcPr>
            <w:tcW w:w="635" w:type="dxa"/>
            <w:tcBorders>
              <w:top w:val="nil"/>
              <w:left w:val="nil"/>
              <w:bottom w:val="nil"/>
              <w:right w:val="nil"/>
            </w:tcBorders>
            <w:shd w:val="clear" w:color="auto" w:fill="auto"/>
            <w:noWrap/>
            <w:vAlign w:val="center"/>
            <w:hideMark/>
          </w:tcPr>
          <w:p w14:paraId="255505C0" w14:textId="77777777" w:rsidR="00690A91" w:rsidRPr="00690A91" w:rsidRDefault="00690A91" w:rsidP="00690A91">
            <w:pPr>
              <w:spacing w:after="0" w:line="240" w:lineRule="auto"/>
              <w:jc w:val="right"/>
              <w:rPr>
                <w:rFonts w:cs="Arial"/>
                <w:sz w:val="16"/>
                <w:szCs w:val="16"/>
              </w:rPr>
            </w:pPr>
            <w:r w:rsidRPr="00690A91">
              <w:rPr>
                <w:rFonts w:cs="Arial"/>
                <w:sz w:val="16"/>
                <w:szCs w:val="16"/>
              </w:rPr>
              <w:t>3,71</w:t>
            </w:r>
          </w:p>
        </w:tc>
        <w:tc>
          <w:tcPr>
            <w:tcW w:w="635" w:type="dxa"/>
            <w:tcBorders>
              <w:top w:val="nil"/>
              <w:left w:val="nil"/>
              <w:bottom w:val="nil"/>
              <w:right w:val="nil"/>
            </w:tcBorders>
            <w:shd w:val="clear" w:color="auto" w:fill="auto"/>
            <w:noWrap/>
            <w:vAlign w:val="center"/>
            <w:hideMark/>
          </w:tcPr>
          <w:p w14:paraId="49CA6FB1" w14:textId="77777777" w:rsidR="00690A91" w:rsidRPr="00690A91" w:rsidRDefault="00690A91" w:rsidP="00690A91">
            <w:pPr>
              <w:spacing w:after="0" w:line="240" w:lineRule="auto"/>
              <w:jc w:val="right"/>
              <w:rPr>
                <w:rFonts w:cs="Arial"/>
                <w:sz w:val="16"/>
                <w:szCs w:val="16"/>
              </w:rPr>
            </w:pPr>
            <w:r w:rsidRPr="00690A91">
              <w:rPr>
                <w:rFonts w:cs="Arial"/>
                <w:sz w:val="16"/>
                <w:szCs w:val="16"/>
              </w:rPr>
              <w:t>3,72</w:t>
            </w:r>
          </w:p>
        </w:tc>
        <w:tc>
          <w:tcPr>
            <w:tcW w:w="635" w:type="dxa"/>
            <w:tcBorders>
              <w:top w:val="nil"/>
              <w:left w:val="nil"/>
              <w:bottom w:val="nil"/>
              <w:right w:val="nil"/>
            </w:tcBorders>
            <w:shd w:val="clear" w:color="auto" w:fill="auto"/>
            <w:noWrap/>
            <w:vAlign w:val="center"/>
            <w:hideMark/>
          </w:tcPr>
          <w:p w14:paraId="762BA414" w14:textId="77777777" w:rsidR="00690A91" w:rsidRPr="00690A91" w:rsidRDefault="00690A91" w:rsidP="00690A91">
            <w:pPr>
              <w:spacing w:after="0" w:line="240" w:lineRule="auto"/>
              <w:jc w:val="right"/>
              <w:rPr>
                <w:rFonts w:cs="Arial"/>
                <w:sz w:val="16"/>
                <w:szCs w:val="16"/>
              </w:rPr>
            </w:pPr>
            <w:r w:rsidRPr="00690A91">
              <w:rPr>
                <w:rFonts w:cs="Arial"/>
                <w:sz w:val="16"/>
                <w:szCs w:val="16"/>
              </w:rPr>
              <w:t>4,26</w:t>
            </w:r>
          </w:p>
        </w:tc>
        <w:tc>
          <w:tcPr>
            <w:tcW w:w="635" w:type="dxa"/>
            <w:tcBorders>
              <w:top w:val="nil"/>
              <w:left w:val="nil"/>
              <w:bottom w:val="nil"/>
              <w:right w:val="nil"/>
            </w:tcBorders>
            <w:shd w:val="clear" w:color="auto" w:fill="auto"/>
            <w:noWrap/>
            <w:vAlign w:val="center"/>
            <w:hideMark/>
          </w:tcPr>
          <w:p w14:paraId="034277C0"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4,33</w:t>
            </w:r>
          </w:p>
        </w:tc>
        <w:tc>
          <w:tcPr>
            <w:tcW w:w="635" w:type="dxa"/>
            <w:tcBorders>
              <w:top w:val="nil"/>
              <w:left w:val="nil"/>
              <w:bottom w:val="nil"/>
              <w:right w:val="nil"/>
            </w:tcBorders>
            <w:shd w:val="clear" w:color="auto" w:fill="auto"/>
            <w:noWrap/>
            <w:vAlign w:val="center"/>
            <w:hideMark/>
          </w:tcPr>
          <w:p w14:paraId="27F8A431"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4,52</w:t>
            </w:r>
          </w:p>
        </w:tc>
        <w:tc>
          <w:tcPr>
            <w:tcW w:w="635" w:type="dxa"/>
            <w:tcBorders>
              <w:top w:val="nil"/>
              <w:left w:val="nil"/>
              <w:bottom w:val="nil"/>
              <w:right w:val="nil"/>
            </w:tcBorders>
            <w:shd w:val="clear" w:color="000000" w:fill="FFFFFF"/>
            <w:noWrap/>
            <w:vAlign w:val="center"/>
            <w:hideMark/>
          </w:tcPr>
          <w:p w14:paraId="08BFC26D"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4,61</w:t>
            </w:r>
          </w:p>
        </w:tc>
        <w:tc>
          <w:tcPr>
            <w:tcW w:w="661" w:type="dxa"/>
            <w:gridSpan w:val="2"/>
            <w:tcBorders>
              <w:top w:val="nil"/>
              <w:left w:val="nil"/>
              <w:bottom w:val="nil"/>
              <w:right w:val="nil"/>
            </w:tcBorders>
            <w:shd w:val="clear" w:color="000000" w:fill="FFFFFF"/>
            <w:noWrap/>
            <w:vAlign w:val="center"/>
            <w:hideMark/>
          </w:tcPr>
          <w:p w14:paraId="3F9272D0"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4,69</w:t>
            </w:r>
          </w:p>
        </w:tc>
      </w:tr>
      <w:tr w:rsidR="00690A91" w:rsidRPr="00690A91" w14:paraId="484748EA" w14:textId="77777777" w:rsidTr="00B3736B">
        <w:trPr>
          <w:trHeight w:val="454"/>
        </w:trPr>
        <w:tc>
          <w:tcPr>
            <w:tcW w:w="3390" w:type="dxa"/>
            <w:tcBorders>
              <w:top w:val="nil"/>
              <w:left w:val="nil"/>
              <w:bottom w:val="nil"/>
              <w:right w:val="nil"/>
            </w:tcBorders>
            <w:shd w:val="clear" w:color="auto" w:fill="auto"/>
            <w:vAlign w:val="center"/>
            <w:hideMark/>
          </w:tcPr>
          <w:p w14:paraId="1B1FBB85" w14:textId="77777777" w:rsidR="00690A91" w:rsidRPr="00690A91" w:rsidRDefault="00690A91" w:rsidP="00690A91">
            <w:pPr>
              <w:spacing w:after="0" w:line="240" w:lineRule="auto"/>
              <w:ind w:firstLineChars="100" w:firstLine="160"/>
              <w:rPr>
                <w:rFonts w:ascii="Arial CE" w:hAnsi="Arial CE" w:cs="Arial CE"/>
                <w:sz w:val="16"/>
                <w:szCs w:val="16"/>
              </w:rPr>
            </w:pPr>
            <w:r w:rsidRPr="00690A91">
              <w:rPr>
                <w:rFonts w:ascii="Arial CE" w:hAnsi="Arial CE" w:cs="Arial CE"/>
                <w:sz w:val="16"/>
                <w:szCs w:val="16"/>
              </w:rPr>
              <w:t>R – Kulturní, zábavní a rekreační činnosti</w:t>
            </w:r>
          </w:p>
        </w:tc>
        <w:tc>
          <w:tcPr>
            <w:tcW w:w="635" w:type="dxa"/>
            <w:tcBorders>
              <w:top w:val="nil"/>
              <w:left w:val="nil"/>
              <w:bottom w:val="nil"/>
              <w:right w:val="nil"/>
            </w:tcBorders>
            <w:shd w:val="clear" w:color="auto" w:fill="auto"/>
            <w:noWrap/>
            <w:vAlign w:val="center"/>
            <w:hideMark/>
          </w:tcPr>
          <w:p w14:paraId="2B69A6F9" w14:textId="77777777" w:rsidR="00690A91" w:rsidRPr="00690A91" w:rsidRDefault="00690A91" w:rsidP="00690A91">
            <w:pPr>
              <w:spacing w:after="0" w:line="240" w:lineRule="auto"/>
              <w:jc w:val="right"/>
              <w:rPr>
                <w:rFonts w:cs="Arial"/>
                <w:sz w:val="16"/>
                <w:szCs w:val="16"/>
              </w:rPr>
            </w:pPr>
            <w:r w:rsidRPr="00690A91">
              <w:rPr>
                <w:rFonts w:cs="Arial"/>
                <w:sz w:val="16"/>
                <w:szCs w:val="16"/>
              </w:rPr>
              <w:t>2,94</w:t>
            </w:r>
          </w:p>
        </w:tc>
        <w:tc>
          <w:tcPr>
            <w:tcW w:w="635" w:type="dxa"/>
            <w:tcBorders>
              <w:top w:val="nil"/>
              <w:left w:val="nil"/>
              <w:bottom w:val="nil"/>
              <w:right w:val="nil"/>
            </w:tcBorders>
            <w:shd w:val="clear" w:color="auto" w:fill="auto"/>
            <w:noWrap/>
            <w:vAlign w:val="center"/>
            <w:hideMark/>
          </w:tcPr>
          <w:p w14:paraId="0F376724" w14:textId="77777777" w:rsidR="00690A91" w:rsidRPr="00690A91" w:rsidRDefault="00690A91" w:rsidP="00690A91">
            <w:pPr>
              <w:spacing w:after="0" w:line="240" w:lineRule="auto"/>
              <w:jc w:val="right"/>
              <w:rPr>
                <w:rFonts w:ascii="Arial CE" w:hAnsi="Arial CE" w:cs="Arial CE"/>
                <w:sz w:val="16"/>
                <w:szCs w:val="16"/>
              </w:rPr>
            </w:pPr>
            <w:r w:rsidRPr="00690A91">
              <w:rPr>
                <w:rFonts w:ascii="Arial CE" w:hAnsi="Arial CE" w:cs="Arial CE"/>
                <w:sz w:val="16"/>
                <w:szCs w:val="16"/>
              </w:rPr>
              <w:t>2,90</w:t>
            </w:r>
          </w:p>
        </w:tc>
        <w:tc>
          <w:tcPr>
            <w:tcW w:w="635" w:type="dxa"/>
            <w:tcBorders>
              <w:top w:val="nil"/>
              <w:left w:val="nil"/>
              <w:bottom w:val="nil"/>
              <w:right w:val="nil"/>
            </w:tcBorders>
            <w:shd w:val="clear" w:color="auto" w:fill="auto"/>
            <w:noWrap/>
            <w:vAlign w:val="center"/>
            <w:hideMark/>
          </w:tcPr>
          <w:p w14:paraId="5B7C8AE5" w14:textId="77777777" w:rsidR="00690A91" w:rsidRPr="00690A91" w:rsidRDefault="00690A91" w:rsidP="00690A91">
            <w:pPr>
              <w:spacing w:after="0" w:line="240" w:lineRule="auto"/>
              <w:jc w:val="right"/>
              <w:rPr>
                <w:rFonts w:cs="Arial"/>
                <w:sz w:val="16"/>
                <w:szCs w:val="16"/>
              </w:rPr>
            </w:pPr>
            <w:r w:rsidRPr="00690A91">
              <w:rPr>
                <w:rFonts w:cs="Arial"/>
                <w:sz w:val="16"/>
                <w:szCs w:val="16"/>
              </w:rPr>
              <w:t>2,45</w:t>
            </w:r>
          </w:p>
        </w:tc>
        <w:tc>
          <w:tcPr>
            <w:tcW w:w="635" w:type="dxa"/>
            <w:tcBorders>
              <w:top w:val="nil"/>
              <w:left w:val="nil"/>
              <w:bottom w:val="nil"/>
              <w:right w:val="nil"/>
            </w:tcBorders>
            <w:shd w:val="clear" w:color="auto" w:fill="auto"/>
            <w:noWrap/>
            <w:vAlign w:val="center"/>
            <w:hideMark/>
          </w:tcPr>
          <w:p w14:paraId="53E96395" w14:textId="77777777" w:rsidR="00690A91" w:rsidRPr="00690A91" w:rsidRDefault="00690A91" w:rsidP="00690A91">
            <w:pPr>
              <w:spacing w:after="0" w:line="240" w:lineRule="auto"/>
              <w:jc w:val="right"/>
              <w:rPr>
                <w:rFonts w:cs="Arial"/>
                <w:sz w:val="16"/>
                <w:szCs w:val="16"/>
              </w:rPr>
            </w:pPr>
            <w:r w:rsidRPr="00690A91">
              <w:rPr>
                <w:rFonts w:cs="Arial"/>
                <w:sz w:val="16"/>
                <w:szCs w:val="16"/>
              </w:rPr>
              <w:t>2,71</w:t>
            </w:r>
          </w:p>
        </w:tc>
        <w:tc>
          <w:tcPr>
            <w:tcW w:w="635" w:type="dxa"/>
            <w:tcBorders>
              <w:top w:val="nil"/>
              <w:left w:val="nil"/>
              <w:bottom w:val="nil"/>
              <w:right w:val="nil"/>
            </w:tcBorders>
            <w:shd w:val="clear" w:color="auto" w:fill="auto"/>
            <w:noWrap/>
            <w:vAlign w:val="center"/>
            <w:hideMark/>
          </w:tcPr>
          <w:p w14:paraId="3B9E36A7" w14:textId="77777777" w:rsidR="00690A91" w:rsidRPr="00690A91" w:rsidRDefault="00690A91" w:rsidP="00690A91">
            <w:pPr>
              <w:spacing w:after="0" w:line="240" w:lineRule="auto"/>
              <w:jc w:val="right"/>
              <w:rPr>
                <w:rFonts w:cs="Arial"/>
                <w:sz w:val="16"/>
                <w:szCs w:val="16"/>
              </w:rPr>
            </w:pPr>
            <w:r w:rsidRPr="00690A91">
              <w:rPr>
                <w:rFonts w:cs="Arial"/>
                <w:sz w:val="16"/>
                <w:szCs w:val="16"/>
              </w:rPr>
              <w:t>2,61</w:t>
            </w:r>
          </w:p>
        </w:tc>
        <w:tc>
          <w:tcPr>
            <w:tcW w:w="635" w:type="dxa"/>
            <w:tcBorders>
              <w:top w:val="nil"/>
              <w:left w:val="nil"/>
              <w:bottom w:val="nil"/>
              <w:right w:val="nil"/>
            </w:tcBorders>
            <w:shd w:val="clear" w:color="auto" w:fill="auto"/>
            <w:noWrap/>
            <w:vAlign w:val="center"/>
            <w:hideMark/>
          </w:tcPr>
          <w:p w14:paraId="3FA3713F" w14:textId="77777777" w:rsidR="00690A91" w:rsidRPr="00690A91" w:rsidRDefault="00690A91" w:rsidP="00690A91">
            <w:pPr>
              <w:spacing w:after="0" w:line="240" w:lineRule="auto"/>
              <w:jc w:val="right"/>
              <w:rPr>
                <w:rFonts w:cs="Arial"/>
                <w:sz w:val="16"/>
                <w:szCs w:val="16"/>
              </w:rPr>
            </w:pPr>
            <w:r w:rsidRPr="00690A91">
              <w:rPr>
                <w:rFonts w:cs="Arial"/>
                <w:sz w:val="16"/>
                <w:szCs w:val="16"/>
              </w:rPr>
              <w:t>2,97</w:t>
            </w:r>
          </w:p>
        </w:tc>
        <w:tc>
          <w:tcPr>
            <w:tcW w:w="635" w:type="dxa"/>
            <w:tcBorders>
              <w:top w:val="nil"/>
              <w:left w:val="nil"/>
              <w:bottom w:val="nil"/>
              <w:right w:val="nil"/>
            </w:tcBorders>
            <w:shd w:val="clear" w:color="auto" w:fill="auto"/>
            <w:noWrap/>
            <w:vAlign w:val="center"/>
            <w:hideMark/>
          </w:tcPr>
          <w:p w14:paraId="7C3C49C9"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3,07</w:t>
            </w:r>
          </w:p>
        </w:tc>
        <w:tc>
          <w:tcPr>
            <w:tcW w:w="635" w:type="dxa"/>
            <w:tcBorders>
              <w:top w:val="nil"/>
              <w:left w:val="nil"/>
              <w:bottom w:val="nil"/>
              <w:right w:val="nil"/>
            </w:tcBorders>
            <w:shd w:val="clear" w:color="auto" w:fill="auto"/>
            <w:noWrap/>
            <w:vAlign w:val="center"/>
            <w:hideMark/>
          </w:tcPr>
          <w:p w14:paraId="2FE7A44C"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3,16</w:t>
            </w:r>
          </w:p>
        </w:tc>
        <w:tc>
          <w:tcPr>
            <w:tcW w:w="635" w:type="dxa"/>
            <w:tcBorders>
              <w:top w:val="nil"/>
              <w:left w:val="nil"/>
              <w:bottom w:val="nil"/>
              <w:right w:val="nil"/>
            </w:tcBorders>
            <w:shd w:val="clear" w:color="000000" w:fill="FFFFFF"/>
            <w:noWrap/>
            <w:vAlign w:val="center"/>
            <w:hideMark/>
          </w:tcPr>
          <w:p w14:paraId="6496D03F"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3,30</w:t>
            </w:r>
          </w:p>
        </w:tc>
        <w:tc>
          <w:tcPr>
            <w:tcW w:w="661" w:type="dxa"/>
            <w:gridSpan w:val="2"/>
            <w:tcBorders>
              <w:top w:val="nil"/>
              <w:left w:val="nil"/>
              <w:bottom w:val="nil"/>
              <w:right w:val="nil"/>
            </w:tcBorders>
            <w:shd w:val="clear" w:color="000000" w:fill="FFFFFF"/>
            <w:noWrap/>
            <w:vAlign w:val="center"/>
            <w:hideMark/>
          </w:tcPr>
          <w:p w14:paraId="08BFFC86"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3,28</w:t>
            </w:r>
          </w:p>
        </w:tc>
      </w:tr>
      <w:tr w:rsidR="00690A91" w:rsidRPr="00690A91" w14:paraId="70AB2112" w14:textId="77777777" w:rsidTr="00B3736B">
        <w:trPr>
          <w:trHeight w:val="287"/>
        </w:trPr>
        <w:tc>
          <w:tcPr>
            <w:tcW w:w="3390" w:type="dxa"/>
            <w:tcBorders>
              <w:top w:val="nil"/>
              <w:left w:val="nil"/>
              <w:bottom w:val="nil"/>
              <w:right w:val="nil"/>
            </w:tcBorders>
            <w:shd w:val="clear" w:color="auto" w:fill="auto"/>
            <w:vAlign w:val="center"/>
            <w:hideMark/>
          </w:tcPr>
          <w:p w14:paraId="71C52799" w14:textId="77777777" w:rsidR="00690A91" w:rsidRPr="00690A91" w:rsidRDefault="00690A91" w:rsidP="00690A91">
            <w:pPr>
              <w:spacing w:after="0" w:line="240" w:lineRule="auto"/>
              <w:ind w:firstLineChars="100" w:firstLine="160"/>
              <w:rPr>
                <w:rFonts w:ascii="Arial CE" w:hAnsi="Arial CE" w:cs="Arial CE"/>
                <w:sz w:val="16"/>
                <w:szCs w:val="16"/>
              </w:rPr>
            </w:pPr>
            <w:r w:rsidRPr="00690A91">
              <w:rPr>
                <w:rFonts w:ascii="Arial CE" w:hAnsi="Arial CE" w:cs="Arial CE"/>
                <w:sz w:val="16"/>
                <w:szCs w:val="16"/>
              </w:rPr>
              <w:t>S – Ostatní činnosti</w:t>
            </w:r>
          </w:p>
        </w:tc>
        <w:tc>
          <w:tcPr>
            <w:tcW w:w="635" w:type="dxa"/>
            <w:tcBorders>
              <w:top w:val="nil"/>
              <w:left w:val="nil"/>
              <w:bottom w:val="nil"/>
              <w:right w:val="nil"/>
            </w:tcBorders>
            <w:shd w:val="clear" w:color="auto" w:fill="auto"/>
            <w:noWrap/>
            <w:vAlign w:val="center"/>
            <w:hideMark/>
          </w:tcPr>
          <w:p w14:paraId="338D1CAF" w14:textId="77777777" w:rsidR="00690A91" w:rsidRPr="00690A91" w:rsidRDefault="00690A91" w:rsidP="00690A91">
            <w:pPr>
              <w:spacing w:after="0" w:line="240" w:lineRule="auto"/>
              <w:jc w:val="right"/>
              <w:rPr>
                <w:rFonts w:cs="Arial"/>
                <w:sz w:val="16"/>
                <w:szCs w:val="16"/>
              </w:rPr>
            </w:pPr>
            <w:r w:rsidRPr="00690A91">
              <w:rPr>
                <w:rFonts w:cs="Arial"/>
                <w:sz w:val="16"/>
                <w:szCs w:val="16"/>
              </w:rPr>
              <w:t>3,72</w:t>
            </w:r>
          </w:p>
        </w:tc>
        <w:tc>
          <w:tcPr>
            <w:tcW w:w="635" w:type="dxa"/>
            <w:tcBorders>
              <w:top w:val="nil"/>
              <w:left w:val="nil"/>
              <w:bottom w:val="nil"/>
              <w:right w:val="nil"/>
            </w:tcBorders>
            <w:shd w:val="clear" w:color="auto" w:fill="auto"/>
            <w:noWrap/>
            <w:vAlign w:val="center"/>
            <w:hideMark/>
          </w:tcPr>
          <w:p w14:paraId="4792220B" w14:textId="77777777" w:rsidR="00690A91" w:rsidRPr="00690A91" w:rsidRDefault="00690A91" w:rsidP="00690A91">
            <w:pPr>
              <w:spacing w:after="0" w:line="240" w:lineRule="auto"/>
              <w:jc w:val="right"/>
              <w:rPr>
                <w:rFonts w:ascii="Arial CE" w:hAnsi="Arial CE" w:cs="Arial CE"/>
                <w:sz w:val="16"/>
                <w:szCs w:val="16"/>
              </w:rPr>
            </w:pPr>
            <w:r w:rsidRPr="00690A91">
              <w:rPr>
                <w:rFonts w:ascii="Arial CE" w:hAnsi="Arial CE" w:cs="Arial CE"/>
                <w:sz w:val="16"/>
                <w:szCs w:val="16"/>
              </w:rPr>
              <w:t>3,99</w:t>
            </w:r>
          </w:p>
        </w:tc>
        <w:tc>
          <w:tcPr>
            <w:tcW w:w="635" w:type="dxa"/>
            <w:tcBorders>
              <w:top w:val="nil"/>
              <w:left w:val="nil"/>
              <w:bottom w:val="nil"/>
              <w:right w:val="nil"/>
            </w:tcBorders>
            <w:shd w:val="clear" w:color="auto" w:fill="auto"/>
            <w:noWrap/>
            <w:vAlign w:val="center"/>
            <w:hideMark/>
          </w:tcPr>
          <w:p w14:paraId="4C30C9E0" w14:textId="77777777" w:rsidR="00690A91" w:rsidRPr="00690A91" w:rsidRDefault="00690A91" w:rsidP="00690A91">
            <w:pPr>
              <w:spacing w:after="0" w:line="240" w:lineRule="auto"/>
              <w:jc w:val="right"/>
              <w:rPr>
                <w:rFonts w:cs="Arial"/>
                <w:sz w:val="16"/>
                <w:szCs w:val="16"/>
              </w:rPr>
            </w:pPr>
            <w:r w:rsidRPr="00690A91">
              <w:rPr>
                <w:rFonts w:cs="Arial"/>
                <w:sz w:val="16"/>
                <w:szCs w:val="16"/>
              </w:rPr>
              <w:t>3,13</w:t>
            </w:r>
          </w:p>
        </w:tc>
        <w:tc>
          <w:tcPr>
            <w:tcW w:w="635" w:type="dxa"/>
            <w:tcBorders>
              <w:top w:val="nil"/>
              <w:left w:val="nil"/>
              <w:bottom w:val="nil"/>
              <w:right w:val="nil"/>
            </w:tcBorders>
            <w:shd w:val="clear" w:color="auto" w:fill="auto"/>
            <w:noWrap/>
            <w:vAlign w:val="center"/>
            <w:hideMark/>
          </w:tcPr>
          <w:p w14:paraId="06BD73F7" w14:textId="77777777" w:rsidR="00690A91" w:rsidRPr="00690A91" w:rsidRDefault="00690A91" w:rsidP="00690A91">
            <w:pPr>
              <w:spacing w:after="0" w:line="240" w:lineRule="auto"/>
              <w:jc w:val="right"/>
              <w:rPr>
                <w:rFonts w:cs="Arial"/>
                <w:sz w:val="16"/>
                <w:szCs w:val="16"/>
              </w:rPr>
            </w:pPr>
            <w:r w:rsidRPr="00690A91">
              <w:rPr>
                <w:rFonts w:cs="Arial"/>
                <w:sz w:val="16"/>
                <w:szCs w:val="16"/>
              </w:rPr>
              <w:t>3,45</w:t>
            </w:r>
          </w:p>
        </w:tc>
        <w:tc>
          <w:tcPr>
            <w:tcW w:w="635" w:type="dxa"/>
            <w:tcBorders>
              <w:top w:val="nil"/>
              <w:left w:val="nil"/>
              <w:bottom w:val="nil"/>
              <w:right w:val="nil"/>
            </w:tcBorders>
            <w:shd w:val="clear" w:color="auto" w:fill="auto"/>
            <w:noWrap/>
            <w:vAlign w:val="center"/>
            <w:hideMark/>
          </w:tcPr>
          <w:p w14:paraId="2D167930" w14:textId="77777777" w:rsidR="00690A91" w:rsidRPr="00690A91" w:rsidRDefault="00690A91" w:rsidP="00690A91">
            <w:pPr>
              <w:spacing w:after="0" w:line="240" w:lineRule="auto"/>
              <w:jc w:val="right"/>
              <w:rPr>
                <w:rFonts w:cs="Arial"/>
                <w:sz w:val="16"/>
                <w:szCs w:val="16"/>
              </w:rPr>
            </w:pPr>
            <w:r w:rsidRPr="00690A91">
              <w:rPr>
                <w:rFonts w:cs="Arial"/>
                <w:sz w:val="16"/>
                <w:szCs w:val="16"/>
              </w:rPr>
              <w:t>3,33</w:t>
            </w:r>
          </w:p>
        </w:tc>
        <w:tc>
          <w:tcPr>
            <w:tcW w:w="635" w:type="dxa"/>
            <w:tcBorders>
              <w:top w:val="nil"/>
              <w:left w:val="nil"/>
              <w:bottom w:val="nil"/>
              <w:right w:val="nil"/>
            </w:tcBorders>
            <w:shd w:val="clear" w:color="auto" w:fill="auto"/>
            <w:noWrap/>
            <w:vAlign w:val="center"/>
            <w:hideMark/>
          </w:tcPr>
          <w:p w14:paraId="5233F197" w14:textId="77777777" w:rsidR="00690A91" w:rsidRPr="00690A91" w:rsidRDefault="00690A91" w:rsidP="00690A91">
            <w:pPr>
              <w:spacing w:after="0" w:line="240" w:lineRule="auto"/>
              <w:jc w:val="right"/>
              <w:rPr>
                <w:rFonts w:cs="Arial"/>
                <w:sz w:val="16"/>
                <w:szCs w:val="16"/>
              </w:rPr>
            </w:pPr>
            <w:r w:rsidRPr="00690A91">
              <w:rPr>
                <w:rFonts w:cs="Arial"/>
                <w:sz w:val="16"/>
                <w:szCs w:val="16"/>
              </w:rPr>
              <w:t>3,73</w:t>
            </w:r>
          </w:p>
        </w:tc>
        <w:tc>
          <w:tcPr>
            <w:tcW w:w="635" w:type="dxa"/>
            <w:tcBorders>
              <w:top w:val="nil"/>
              <w:left w:val="nil"/>
              <w:bottom w:val="nil"/>
              <w:right w:val="nil"/>
            </w:tcBorders>
            <w:shd w:val="clear" w:color="auto" w:fill="auto"/>
            <w:noWrap/>
            <w:vAlign w:val="center"/>
            <w:hideMark/>
          </w:tcPr>
          <w:p w14:paraId="2DC80ED0"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4,02</w:t>
            </w:r>
          </w:p>
        </w:tc>
        <w:tc>
          <w:tcPr>
            <w:tcW w:w="635" w:type="dxa"/>
            <w:tcBorders>
              <w:top w:val="nil"/>
              <w:left w:val="nil"/>
              <w:bottom w:val="nil"/>
              <w:right w:val="nil"/>
            </w:tcBorders>
            <w:shd w:val="clear" w:color="auto" w:fill="auto"/>
            <w:noWrap/>
            <w:vAlign w:val="center"/>
            <w:hideMark/>
          </w:tcPr>
          <w:p w14:paraId="6EED1D0C"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3,90</w:t>
            </w:r>
          </w:p>
        </w:tc>
        <w:tc>
          <w:tcPr>
            <w:tcW w:w="635" w:type="dxa"/>
            <w:tcBorders>
              <w:top w:val="nil"/>
              <w:left w:val="nil"/>
              <w:bottom w:val="nil"/>
              <w:right w:val="nil"/>
            </w:tcBorders>
            <w:shd w:val="clear" w:color="000000" w:fill="FFFFFF"/>
            <w:noWrap/>
            <w:vAlign w:val="center"/>
            <w:hideMark/>
          </w:tcPr>
          <w:p w14:paraId="19804D3F"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4,00</w:t>
            </w:r>
          </w:p>
        </w:tc>
        <w:tc>
          <w:tcPr>
            <w:tcW w:w="661" w:type="dxa"/>
            <w:gridSpan w:val="2"/>
            <w:tcBorders>
              <w:top w:val="nil"/>
              <w:left w:val="nil"/>
              <w:bottom w:val="nil"/>
              <w:right w:val="nil"/>
            </w:tcBorders>
            <w:shd w:val="clear" w:color="000000" w:fill="FFFFFF"/>
            <w:noWrap/>
            <w:vAlign w:val="center"/>
            <w:hideMark/>
          </w:tcPr>
          <w:p w14:paraId="6A203556" w14:textId="77777777" w:rsidR="00690A91" w:rsidRPr="00690A91" w:rsidRDefault="00690A91" w:rsidP="00690A91">
            <w:pPr>
              <w:spacing w:after="0" w:line="240" w:lineRule="auto"/>
              <w:jc w:val="right"/>
              <w:rPr>
                <w:rFonts w:cs="Arial"/>
                <w:color w:val="000000"/>
                <w:sz w:val="16"/>
                <w:szCs w:val="16"/>
              </w:rPr>
            </w:pPr>
            <w:r w:rsidRPr="00690A91">
              <w:rPr>
                <w:rFonts w:cs="Arial"/>
                <w:color w:val="000000"/>
                <w:sz w:val="16"/>
                <w:szCs w:val="16"/>
              </w:rPr>
              <w:t>4,11</w:t>
            </w:r>
          </w:p>
        </w:tc>
      </w:tr>
    </w:tbl>
    <w:p w14:paraId="1E97430B" w14:textId="20281038" w:rsidR="00C3345B" w:rsidRDefault="00C3345B" w:rsidP="00C45357">
      <w:pPr>
        <w:spacing w:before="120"/>
        <w:jc w:val="both"/>
        <w:rPr>
          <w:rFonts w:cs="Arial"/>
          <w:sz w:val="16"/>
          <w:szCs w:val="16"/>
        </w:rPr>
      </w:pPr>
      <w:r>
        <w:rPr>
          <w:rFonts w:cs="Arial"/>
          <w:sz w:val="16"/>
          <w:szCs w:val="16"/>
        </w:rPr>
        <w:t>Zdroj: ČSÚ</w:t>
      </w:r>
    </w:p>
    <w:p w14:paraId="09FE00F5" w14:textId="2B4F4541" w:rsidR="00907B59" w:rsidRDefault="00907B59" w:rsidP="00907B59">
      <w:pPr>
        <w:pStyle w:val="Zkladntextodsazen"/>
        <w:spacing w:after="240" w:line="288" w:lineRule="auto"/>
        <w:ind w:left="0"/>
        <w:jc w:val="both"/>
        <w:rPr>
          <w:b/>
        </w:rPr>
      </w:pPr>
      <w:r w:rsidRPr="00BD15F7">
        <w:rPr>
          <w:rFonts w:cs="Arial"/>
        </w:rPr>
        <w:lastRenderedPageBreak/>
        <w:t xml:space="preserve">Nejvyšší průměrné procento dočasné pracovní neschopnosti </w:t>
      </w:r>
      <w:r>
        <w:rPr>
          <w:rFonts w:cs="Arial"/>
        </w:rPr>
        <w:t xml:space="preserve">z hlediska </w:t>
      </w:r>
      <w:r w:rsidRPr="00F42CC1">
        <w:rPr>
          <w:rFonts w:cs="Arial"/>
          <w:b/>
        </w:rPr>
        <w:t>odvětvové činnosti</w:t>
      </w:r>
      <w:r w:rsidRPr="00BD15F7">
        <w:rPr>
          <w:rFonts w:cs="Arial"/>
        </w:rPr>
        <w:t xml:space="preserve"> v 1. pol. 201</w:t>
      </w:r>
      <w:r>
        <w:rPr>
          <w:rFonts w:cs="Arial"/>
        </w:rPr>
        <w:t xml:space="preserve">9 </w:t>
      </w:r>
      <w:r w:rsidRPr="00BD15F7">
        <w:rPr>
          <w:rFonts w:cs="Arial"/>
        </w:rPr>
        <w:t xml:space="preserve">bylo zaznamenáno </w:t>
      </w:r>
      <w:r>
        <w:rPr>
          <w:rFonts w:cs="Arial"/>
        </w:rPr>
        <w:t>ve</w:t>
      </w:r>
      <w:r w:rsidRPr="00BD15F7">
        <w:rPr>
          <w:rFonts w:cs="Arial"/>
        </w:rPr>
        <w:t xml:space="preserve"> Zpracovatelsk</w:t>
      </w:r>
      <w:r>
        <w:rPr>
          <w:rFonts w:cs="Arial"/>
        </w:rPr>
        <w:t>ém</w:t>
      </w:r>
      <w:r w:rsidRPr="00BD15F7">
        <w:rPr>
          <w:rFonts w:cs="Arial"/>
        </w:rPr>
        <w:t xml:space="preserve"> průmysl</w:t>
      </w:r>
      <w:r>
        <w:rPr>
          <w:rFonts w:cs="Arial"/>
        </w:rPr>
        <w:t>u</w:t>
      </w:r>
      <w:r w:rsidRPr="00BD15F7">
        <w:rPr>
          <w:rFonts w:cs="Arial"/>
        </w:rPr>
        <w:t xml:space="preserve"> (6,</w:t>
      </w:r>
      <w:r>
        <w:rPr>
          <w:rFonts w:cs="Arial"/>
        </w:rPr>
        <w:t xml:space="preserve">3 %). Jinými slovy v průměru 6 % pojištěnců pracujících ve Zpracovatelském průmyslu bylo denně v pracovní neschopnosti. Další odvětví s vyšším podílem osob dočasně práce neschopných byla </w:t>
      </w:r>
      <w:r w:rsidRPr="00BD15F7">
        <w:rPr>
          <w:rFonts w:cs="Arial"/>
        </w:rPr>
        <w:t>Těžba a dobývání (</w:t>
      </w:r>
      <w:r>
        <w:rPr>
          <w:rFonts w:cs="Arial"/>
        </w:rPr>
        <w:t>6,1 %</w:t>
      </w:r>
      <w:r w:rsidRPr="00BD15F7">
        <w:rPr>
          <w:rFonts w:cs="Arial"/>
        </w:rPr>
        <w:t>), Zemědělství, lesnictví a rybářství (5,8</w:t>
      </w:r>
      <w:r>
        <w:rPr>
          <w:rFonts w:cs="Arial"/>
        </w:rPr>
        <w:t xml:space="preserve"> %</w:t>
      </w:r>
      <w:r w:rsidRPr="00BD15F7">
        <w:rPr>
          <w:rFonts w:cs="Arial"/>
        </w:rPr>
        <w:t>)</w:t>
      </w:r>
      <w:r>
        <w:rPr>
          <w:rFonts w:cs="Arial"/>
        </w:rPr>
        <w:t xml:space="preserve"> a </w:t>
      </w:r>
      <w:r w:rsidRPr="00BD15F7">
        <w:rPr>
          <w:rFonts w:cs="Arial"/>
        </w:rPr>
        <w:t>Administrativní a podpůrné činnosti (5,</w:t>
      </w:r>
      <w:r>
        <w:rPr>
          <w:rFonts w:cs="Arial"/>
        </w:rPr>
        <w:t>7 %</w:t>
      </w:r>
      <w:r w:rsidRPr="00BD15F7">
        <w:rPr>
          <w:rFonts w:cs="Arial"/>
        </w:rPr>
        <w:t xml:space="preserve">). </w:t>
      </w:r>
      <w:r>
        <w:rPr>
          <w:rFonts w:cs="Arial"/>
        </w:rPr>
        <w:t xml:space="preserve">Naopak nejméně pojištěnců v pracovní neschopnosti ze 100 bylo evidováno v odvětví </w:t>
      </w:r>
      <w:r w:rsidRPr="00BD15F7">
        <w:rPr>
          <w:rFonts w:cs="Arial"/>
        </w:rPr>
        <w:t>Inform</w:t>
      </w:r>
      <w:r>
        <w:rPr>
          <w:rFonts w:cs="Arial"/>
        </w:rPr>
        <w:t>ační a komunikační činnosti (2</w:t>
      </w:r>
      <w:r w:rsidRPr="00BD15F7">
        <w:rPr>
          <w:rFonts w:cs="Arial"/>
        </w:rPr>
        <w:t>),</w:t>
      </w:r>
      <w:r>
        <w:rPr>
          <w:rFonts w:cs="Arial"/>
        </w:rPr>
        <w:t xml:space="preserve"> </w:t>
      </w:r>
      <w:r w:rsidRPr="00BD15F7">
        <w:rPr>
          <w:rFonts w:cs="Arial"/>
        </w:rPr>
        <w:t>Profesní, vědecké a technické činnosti (2,6)</w:t>
      </w:r>
      <w:r>
        <w:rPr>
          <w:rFonts w:cs="Arial"/>
        </w:rPr>
        <w:t xml:space="preserve"> a</w:t>
      </w:r>
      <w:r w:rsidRPr="00BD15F7">
        <w:rPr>
          <w:rFonts w:cs="Arial"/>
        </w:rPr>
        <w:t xml:space="preserve"> Činnosti v oblasti nemovitostí (2,</w:t>
      </w:r>
      <w:r>
        <w:rPr>
          <w:rFonts w:cs="Arial"/>
        </w:rPr>
        <w:t>7)</w:t>
      </w:r>
      <w:r w:rsidRPr="00BD15F7">
        <w:rPr>
          <w:rFonts w:cs="Arial"/>
        </w:rPr>
        <w:t xml:space="preserve">. Podrobněji </w:t>
      </w:r>
      <w:r>
        <w:rPr>
          <w:rFonts w:cs="Arial"/>
        </w:rPr>
        <w:t xml:space="preserve">dle odvětví ekonomické činnosti </w:t>
      </w:r>
      <w:r w:rsidRPr="00BD15F7">
        <w:rPr>
          <w:rFonts w:cs="Arial"/>
        </w:rPr>
        <w:t xml:space="preserve">viz </w:t>
      </w:r>
      <w:r>
        <w:rPr>
          <w:rFonts w:cs="Arial"/>
        </w:rPr>
        <w:t>tab. 2.7 a graf 2.10.</w:t>
      </w:r>
    </w:p>
    <w:p w14:paraId="60A5B9C0" w14:textId="1DEF3EA8" w:rsidR="00764989" w:rsidRPr="00DD6112" w:rsidRDefault="00690A91" w:rsidP="0064109D">
      <w:pPr>
        <w:spacing w:after="120"/>
        <w:jc w:val="both"/>
        <w:rPr>
          <w:b/>
        </w:rPr>
      </w:pPr>
      <w:r w:rsidRPr="00690A91">
        <w:rPr>
          <w:b/>
        </w:rPr>
        <w:t xml:space="preserve">Graf 2.10: Průměrné procento dočasné pracovní neschopnosti dle odvětví ekonomické činnosti </w:t>
      </w:r>
      <w:r>
        <w:rPr>
          <w:b/>
        </w:rPr>
        <w:t xml:space="preserve">(sekcí CZ-NACE) </w:t>
      </w:r>
      <w:r w:rsidRPr="00690A91">
        <w:rPr>
          <w:b/>
        </w:rPr>
        <w:t>v 1. pol. 2019</w:t>
      </w:r>
    </w:p>
    <w:p w14:paraId="6C41577D" w14:textId="2B01AF68" w:rsidR="00764989" w:rsidRPr="00171A2F" w:rsidRDefault="00B3736B" w:rsidP="00171A2F">
      <w:r>
        <w:rPr>
          <w:noProof/>
        </w:rPr>
        <w:drawing>
          <wp:inline distT="0" distB="0" distL="0" distR="0" wp14:anchorId="41B3F052" wp14:editId="065DCD83">
            <wp:extent cx="6162675" cy="5495925"/>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Pr>
          <w:rFonts w:cs="Arial"/>
          <w:sz w:val="16"/>
          <w:szCs w:val="16"/>
        </w:rPr>
        <w:t xml:space="preserve"> </w:t>
      </w:r>
      <w:r w:rsidR="00764989">
        <w:rPr>
          <w:rFonts w:cs="Arial"/>
          <w:sz w:val="16"/>
          <w:szCs w:val="16"/>
        </w:rPr>
        <w:t>Zdroj: ČSÚ</w:t>
      </w:r>
    </w:p>
    <w:p w14:paraId="5CF18572" w14:textId="4DE1F3E2" w:rsidR="00907B59" w:rsidRPr="0062268C" w:rsidRDefault="00907B59" w:rsidP="00907B59">
      <w:pPr>
        <w:jc w:val="both"/>
        <w:rPr>
          <w:rFonts w:cs="Arial"/>
        </w:rPr>
      </w:pPr>
      <w:r>
        <w:rPr>
          <w:rFonts w:cs="Arial"/>
        </w:rPr>
        <w:t>Z </w:t>
      </w:r>
      <w:r w:rsidRPr="007A03CD">
        <w:rPr>
          <w:rFonts w:cs="Arial"/>
          <w:b/>
        </w:rPr>
        <w:t>regionálního pohledu</w:t>
      </w:r>
      <w:r>
        <w:rPr>
          <w:rFonts w:cs="Arial"/>
        </w:rPr>
        <w:t xml:space="preserve"> zaznamenaly n</w:t>
      </w:r>
      <w:r w:rsidRPr="0062268C">
        <w:rPr>
          <w:rFonts w:cs="Arial"/>
        </w:rPr>
        <w:t xml:space="preserve">ejvyšší </w:t>
      </w:r>
      <w:r>
        <w:rPr>
          <w:rFonts w:cs="Arial"/>
        </w:rPr>
        <w:t xml:space="preserve">hodnotu </w:t>
      </w:r>
      <w:r w:rsidRPr="0062268C">
        <w:rPr>
          <w:rFonts w:cs="Arial"/>
        </w:rPr>
        <w:t>průměrné</w:t>
      </w:r>
      <w:r>
        <w:rPr>
          <w:rFonts w:cs="Arial"/>
        </w:rPr>
        <w:t xml:space="preserve">ho procenta </w:t>
      </w:r>
      <w:r w:rsidRPr="0062268C">
        <w:rPr>
          <w:rFonts w:cs="Arial"/>
        </w:rPr>
        <w:t xml:space="preserve">pracovní neschopnosti </w:t>
      </w:r>
      <w:r>
        <w:rPr>
          <w:rFonts w:cs="Arial"/>
        </w:rPr>
        <w:t>v 1. pol. 2019</w:t>
      </w:r>
      <w:r w:rsidRPr="0062268C">
        <w:rPr>
          <w:rFonts w:cs="Arial"/>
        </w:rPr>
        <w:t xml:space="preserve"> </w:t>
      </w:r>
      <w:r>
        <w:rPr>
          <w:rFonts w:cs="Arial"/>
        </w:rPr>
        <w:t xml:space="preserve">kraje </w:t>
      </w:r>
      <w:r w:rsidRPr="0062268C">
        <w:rPr>
          <w:rFonts w:cs="Arial"/>
        </w:rPr>
        <w:t>Moravskoslezsk</w:t>
      </w:r>
      <w:r>
        <w:rPr>
          <w:rFonts w:cs="Arial"/>
        </w:rPr>
        <w:t xml:space="preserve">ý </w:t>
      </w:r>
      <w:r w:rsidRPr="0062268C">
        <w:rPr>
          <w:rFonts w:cs="Arial"/>
        </w:rPr>
        <w:t>(</w:t>
      </w:r>
      <w:r>
        <w:rPr>
          <w:rFonts w:cs="Arial"/>
        </w:rPr>
        <w:t>6 %</w:t>
      </w:r>
      <w:r w:rsidRPr="0062268C">
        <w:rPr>
          <w:rFonts w:cs="Arial"/>
        </w:rPr>
        <w:t>), Zlí</w:t>
      </w:r>
      <w:r>
        <w:rPr>
          <w:rFonts w:cs="Arial"/>
        </w:rPr>
        <w:t xml:space="preserve">nský (5,8 %) a Vysočina </w:t>
      </w:r>
      <w:r w:rsidRPr="0062268C">
        <w:rPr>
          <w:rFonts w:cs="Arial"/>
        </w:rPr>
        <w:t>(5,</w:t>
      </w:r>
      <w:r>
        <w:rPr>
          <w:rFonts w:cs="Arial"/>
        </w:rPr>
        <w:t>6 %</w:t>
      </w:r>
      <w:r w:rsidRPr="0062268C">
        <w:rPr>
          <w:rFonts w:cs="Arial"/>
        </w:rPr>
        <w:t>). Pra</w:t>
      </w:r>
      <w:r>
        <w:rPr>
          <w:rFonts w:cs="Arial"/>
        </w:rPr>
        <w:t>ha</w:t>
      </w:r>
      <w:r w:rsidRPr="0062268C">
        <w:rPr>
          <w:rFonts w:cs="Arial"/>
        </w:rPr>
        <w:t xml:space="preserve"> </w:t>
      </w:r>
      <w:r>
        <w:rPr>
          <w:rFonts w:cs="Arial"/>
        </w:rPr>
        <w:t>díky nejnižšímu</w:t>
      </w:r>
      <w:r w:rsidRPr="0062268C">
        <w:rPr>
          <w:rFonts w:cs="Arial"/>
        </w:rPr>
        <w:t xml:space="preserve"> počtu případů pracovní neschopnosti na 100 pojištěnců a krátké průměrné době trvání dočasné pracovní neschopnosti </w:t>
      </w:r>
      <w:r>
        <w:rPr>
          <w:rFonts w:cs="Arial"/>
        </w:rPr>
        <w:t xml:space="preserve">zaujímá </w:t>
      </w:r>
      <w:r w:rsidRPr="0062268C">
        <w:rPr>
          <w:rFonts w:cs="Arial"/>
        </w:rPr>
        <w:t xml:space="preserve">nejnižší </w:t>
      </w:r>
      <w:r>
        <w:rPr>
          <w:rFonts w:cs="Arial"/>
        </w:rPr>
        <w:t>procento práce neschopných na 100 pojištěnců denně. Zatímco hodnoty všech ostatních 13 krajů se nachází v rozmezí 4,</w:t>
      </w:r>
      <w:r w:rsidR="004E061D">
        <w:rPr>
          <w:rFonts w:cs="Arial"/>
        </w:rPr>
        <w:t>8</w:t>
      </w:r>
      <w:r>
        <w:rPr>
          <w:rFonts w:cs="Arial"/>
        </w:rPr>
        <w:t>–6 %, ukazatel v Praze v 1. pol. 2019 dosáhl hodnoty pouze 3,6 %. Toto výsadní postavení si kraj hl. m. Praha drží už řadu let, jak je zřejmé z tab. 2.8.</w:t>
      </w:r>
    </w:p>
    <w:p w14:paraId="38995BD4" w14:textId="77777777" w:rsidR="00907B59" w:rsidRDefault="00907B59" w:rsidP="00907B59">
      <w:pPr>
        <w:jc w:val="both"/>
        <w:rPr>
          <w:rFonts w:cs="Arial"/>
        </w:rPr>
      </w:pPr>
      <w:r>
        <w:rPr>
          <w:rFonts w:cs="Arial"/>
        </w:rPr>
        <w:lastRenderedPageBreak/>
        <w:t xml:space="preserve">Podle </w:t>
      </w:r>
      <w:r w:rsidRPr="007A03CD">
        <w:rPr>
          <w:rFonts w:cs="Arial"/>
          <w:b/>
        </w:rPr>
        <w:t>detailnějšího územního členění</w:t>
      </w:r>
      <w:r w:rsidRPr="0062268C">
        <w:rPr>
          <w:rFonts w:cs="Arial"/>
        </w:rPr>
        <w:t xml:space="preserve"> </w:t>
      </w:r>
      <w:r>
        <w:rPr>
          <w:rFonts w:cs="Arial"/>
        </w:rPr>
        <w:t>se okresem s nejvyšším průměrným procentem dočasné pracovní neschopnosti v 1. pol. 2019 staly Prachatice (6,2%), následované okresy Břeclav (6 %) a Karviná (5,8 %). Nejnižší hodnotu průměrného procenta pracovní neschopnosti vykazovaly okresy Jeseník</w:t>
      </w:r>
      <w:r>
        <w:rPr>
          <w:rStyle w:val="Znakapoznpodarou"/>
          <w:rFonts w:cs="Arial"/>
        </w:rPr>
        <w:footnoteReference w:id="2"/>
      </w:r>
      <w:r>
        <w:rPr>
          <w:rFonts w:cs="Arial"/>
        </w:rPr>
        <w:t xml:space="preserve"> (2,1 %) a již zmíněná Praha (3,2 %). Hodnotu ukazatele pod 3,5% hranici zaznamenaly ještě okresy Brno-Město (3,3 %) a Mělník (3,5 %).</w:t>
      </w:r>
    </w:p>
    <w:p w14:paraId="4374691A" w14:textId="6144EF04" w:rsidR="00EF49F3" w:rsidRDefault="00EF49F3" w:rsidP="0019246C">
      <w:pPr>
        <w:spacing w:after="120"/>
        <w:jc w:val="both"/>
        <w:rPr>
          <w:b/>
        </w:rPr>
      </w:pPr>
      <w:r w:rsidRPr="00EF49F3">
        <w:rPr>
          <w:b/>
        </w:rPr>
        <w:t xml:space="preserve">Graf 2.11: Průměrné procento </w:t>
      </w:r>
      <w:r w:rsidR="00040960">
        <w:rPr>
          <w:b/>
        </w:rPr>
        <w:t xml:space="preserve">dočasné </w:t>
      </w:r>
      <w:r w:rsidRPr="00EF49F3">
        <w:rPr>
          <w:b/>
        </w:rPr>
        <w:t>pracovní neschopnosti podle krajů ČR v 1. pol. 2019</w:t>
      </w:r>
    </w:p>
    <w:p w14:paraId="14FA6768" w14:textId="4E36FC09" w:rsidR="002110A0" w:rsidRPr="00171A2F" w:rsidRDefault="00EF49F3" w:rsidP="00171A2F">
      <w:r>
        <w:rPr>
          <w:noProof/>
        </w:rPr>
        <w:drawing>
          <wp:inline distT="0" distB="0" distL="0" distR="0" wp14:anchorId="1525EBA3" wp14:editId="4F8FD15A">
            <wp:extent cx="6096000" cy="3581400"/>
            <wp:effectExtent l="0" t="0" r="0" b="0"/>
            <wp:docPr id="60" name="Graf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2110A0">
        <w:rPr>
          <w:rFonts w:cs="Arial"/>
          <w:sz w:val="16"/>
          <w:szCs w:val="16"/>
        </w:rPr>
        <w:t>Zdroj: ČSÚ</w:t>
      </w:r>
    </w:p>
    <w:p w14:paraId="55692423" w14:textId="4574789B" w:rsidR="00907B59" w:rsidRDefault="00907B59" w:rsidP="00907B59">
      <w:pPr>
        <w:pStyle w:val="Zkladntextodsazen"/>
        <w:spacing w:after="240" w:line="288" w:lineRule="auto"/>
        <w:ind w:left="0"/>
        <w:jc w:val="both"/>
        <w:rPr>
          <w:rFonts w:cs="Arial"/>
        </w:rPr>
      </w:pPr>
      <w:r>
        <w:rPr>
          <w:rFonts w:cs="Arial"/>
        </w:rPr>
        <w:t xml:space="preserve">Obdobný ukazatel jako průměrné procento dočasné pracovní neschopnosti, avšak v absolutním vyjádření, představuje </w:t>
      </w:r>
      <w:r w:rsidRPr="00985367">
        <w:rPr>
          <w:rFonts w:cs="Arial"/>
          <w:b/>
        </w:rPr>
        <w:t>průměrný denní stav dočasně práce neschopných</w:t>
      </w:r>
      <w:r>
        <w:rPr>
          <w:rFonts w:cs="Arial"/>
        </w:rPr>
        <w:t>. Udává, kolik nemocensky pojištěných osob bylo ve sledovaném období (zde pololetí) průměrně denně nepřítomno v práci z důvodu pracovní neschopnosti pro nemoc a úraz.</w:t>
      </w:r>
    </w:p>
    <w:p w14:paraId="3D9C29DB" w14:textId="678E5283" w:rsidR="00907B59" w:rsidRDefault="00907B59" w:rsidP="00907B59">
      <w:pPr>
        <w:jc w:val="both"/>
        <w:rPr>
          <w:rFonts w:cs="Arial"/>
        </w:rPr>
      </w:pPr>
      <w:r>
        <w:rPr>
          <w:rFonts w:cs="Arial"/>
        </w:rPr>
        <w:t xml:space="preserve">V 1. pol. 2019 v České republice kvůli dočasné pracovní neschopnosti způsobené nemocí či úrazem denně chybělo na pracovištích 229 712 nemocensky pojištěných osob. Oproti 1. pololetí předchozího roku, kdy hodnota činila 224 441 pojištěnců, se jedná o 2,3% nárůst (o 5,3 tis. více). Jedná se o nejvyšší průměrný denní stav práce neschopných od 1. pol. 2008. </w:t>
      </w:r>
    </w:p>
    <w:p w14:paraId="1BBDE48C" w14:textId="1A236F3E" w:rsidR="004E061D" w:rsidRDefault="00907B59" w:rsidP="00907B59">
      <w:pPr>
        <w:jc w:val="both"/>
        <w:rPr>
          <w:rFonts w:cs="Arial"/>
        </w:rPr>
      </w:pPr>
      <w:r>
        <w:rPr>
          <w:rFonts w:cs="Arial"/>
        </w:rPr>
        <w:t>V 1. pol. 2019 bylo v neschopnosti pro nemoc 198 124 pojištěnců, v důsledku pracovního úrazu 7 321 a následkem ostatních úrazů 24 267 nemocensky pojištěných. Nejvíce pojištěnců chybělo ve Zpracovatelském průmyslu (77 729 osob), dále v odvětví Velkoobchod a maloobchod; opravy a údržba motorových vozidel (31 705 osob), zatímco nejméně pojištěnců v odvětví Výroba a rozvod elektřiny, plynu, tepla a klimatizovaného vzduchu (1 264 osob). Tyto hodnoty jsou do značné míry ovlivněné tím, jaký podíl zaujímá daná sekce v národním hospodářství a kolik zaměstnává osob.</w:t>
      </w:r>
    </w:p>
    <w:p w14:paraId="657A267D" w14:textId="6F79227A" w:rsidR="00907B59" w:rsidRDefault="004E061D" w:rsidP="004E061D">
      <w:pPr>
        <w:spacing w:after="0" w:line="240" w:lineRule="auto"/>
        <w:rPr>
          <w:rFonts w:cs="Arial"/>
        </w:rPr>
      </w:pPr>
      <w:r>
        <w:rPr>
          <w:rFonts w:cs="Arial"/>
        </w:rPr>
        <w:br w:type="page"/>
      </w:r>
    </w:p>
    <w:p w14:paraId="655DCC3B" w14:textId="368026C7" w:rsidR="004852BF" w:rsidRDefault="00EF49F3" w:rsidP="0064109D">
      <w:pPr>
        <w:spacing w:after="120"/>
        <w:jc w:val="both"/>
        <w:rPr>
          <w:b/>
        </w:rPr>
      </w:pPr>
      <w:r>
        <w:rPr>
          <w:b/>
        </w:rPr>
        <w:lastRenderedPageBreak/>
        <w:t xml:space="preserve">Tab. 2.8: </w:t>
      </w:r>
      <w:r w:rsidRPr="00EF49F3">
        <w:rPr>
          <w:b/>
        </w:rPr>
        <w:t>Průměrné procento dočasné pracovn</w:t>
      </w:r>
      <w:r w:rsidR="00040960">
        <w:rPr>
          <w:b/>
        </w:rPr>
        <w:t xml:space="preserve">í neschopnosti podle krajů ČR v </w:t>
      </w:r>
      <w:r w:rsidRPr="00EF49F3">
        <w:rPr>
          <w:b/>
        </w:rPr>
        <w:t>1. pol. 2008 – 1. pol. 2019</w:t>
      </w:r>
    </w:p>
    <w:tbl>
      <w:tblPr>
        <w:tblW w:w="9568" w:type="dxa"/>
        <w:tblCellMar>
          <w:left w:w="70" w:type="dxa"/>
          <w:right w:w="70" w:type="dxa"/>
        </w:tblCellMar>
        <w:tblLook w:val="04A0" w:firstRow="1" w:lastRow="0" w:firstColumn="1" w:lastColumn="0" w:noHBand="0" w:noVBand="1"/>
      </w:tblPr>
      <w:tblGrid>
        <w:gridCol w:w="2080"/>
        <w:gridCol w:w="624"/>
        <w:gridCol w:w="624"/>
        <w:gridCol w:w="624"/>
        <w:gridCol w:w="624"/>
        <w:gridCol w:w="624"/>
        <w:gridCol w:w="624"/>
        <w:gridCol w:w="624"/>
        <w:gridCol w:w="624"/>
        <w:gridCol w:w="624"/>
        <w:gridCol w:w="624"/>
        <w:gridCol w:w="624"/>
        <w:gridCol w:w="624"/>
      </w:tblGrid>
      <w:tr w:rsidR="00EF49F3" w:rsidRPr="00EF49F3" w14:paraId="2D7FD54C" w14:textId="77777777" w:rsidTr="00EF49F3">
        <w:trPr>
          <w:trHeight w:val="225"/>
        </w:trPr>
        <w:tc>
          <w:tcPr>
            <w:tcW w:w="2080" w:type="dxa"/>
            <w:vMerge w:val="restart"/>
            <w:tcBorders>
              <w:top w:val="single" w:sz="4" w:space="0" w:color="auto"/>
              <w:left w:val="nil"/>
              <w:bottom w:val="single" w:sz="4" w:space="0" w:color="000000"/>
              <w:right w:val="nil"/>
            </w:tcBorders>
            <w:shd w:val="clear" w:color="000000" w:fill="F2DCDB"/>
            <w:vAlign w:val="center"/>
            <w:hideMark/>
          </w:tcPr>
          <w:p w14:paraId="636964D8" w14:textId="77777777" w:rsidR="00EF49F3" w:rsidRPr="00EF49F3" w:rsidRDefault="00EF49F3" w:rsidP="00EF49F3">
            <w:pPr>
              <w:spacing w:after="0" w:line="240" w:lineRule="auto"/>
              <w:jc w:val="center"/>
              <w:rPr>
                <w:rFonts w:cs="Arial"/>
                <w:sz w:val="16"/>
                <w:szCs w:val="16"/>
              </w:rPr>
            </w:pPr>
            <w:r w:rsidRPr="00EF49F3">
              <w:rPr>
                <w:rFonts w:cs="Arial"/>
                <w:sz w:val="16"/>
                <w:szCs w:val="16"/>
              </w:rPr>
              <w:t>Kraj ČR</w:t>
            </w:r>
          </w:p>
        </w:tc>
        <w:tc>
          <w:tcPr>
            <w:tcW w:w="7488" w:type="dxa"/>
            <w:gridSpan w:val="12"/>
            <w:tcBorders>
              <w:top w:val="single" w:sz="4" w:space="0" w:color="auto"/>
              <w:left w:val="single" w:sz="4" w:space="0" w:color="auto"/>
              <w:bottom w:val="single" w:sz="4" w:space="0" w:color="auto"/>
              <w:right w:val="nil"/>
            </w:tcBorders>
            <w:shd w:val="clear" w:color="000000" w:fill="F2DCDB"/>
            <w:noWrap/>
            <w:vAlign w:val="bottom"/>
            <w:hideMark/>
          </w:tcPr>
          <w:p w14:paraId="5D4EA795" w14:textId="77777777" w:rsidR="00EF49F3" w:rsidRPr="00EF49F3" w:rsidRDefault="00EF49F3" w:rsidP="00EF49F3">
            <w:pPr>
              <w:spacing w:after="0" w:line="240" w:lineRule="auto"/>
              <w:jc w:val="center"/>
              <w:rPr>
                <w:rFonts w:cs="Arial"/>
                <w:sz w:val="16"/>
                <w:szCs w:val="16"/>
              </w:rPr>
            </w:pPr>
            <w:r w:rsidRPr="00EF49F3">
              <w:rPr>
                <w:rFonts w:cs="Arial"/>
                <w:sz w:val="16"/>
                <w:szCs w:val="16"/>
              </w:rPr>
              <w:t>Průměrné procento dočasné pracovní neschopnosti</w:t>
            </w:r>
          </w:p>
        </w:tc>
      </w:tr>
      <w:tr w:rsidR="00EF49F3" w:rsidRPr="00EF49F3" w14:paraId="28E665C3" w14:textId="77777777" w:rsidTr="00A073EB">
        <w:trPr>
          <w:trHeight w:val="450"/>
        </w:trPr>
        <w:tc>
          <w:tcPr>
            <w:tcW w:w="2080" w:type="dxa"/>
            <w:vMerge/>
            <w:tcBorders>
              <w:top w:val="single" w:sz="4" w:space="0" w:color="auto"/>
              <w:left w:val="nil"/>
              <w:bottom w:val="single" w:sz="4" w:space="0" w:color="000000"/>
              <w:right w:val="nil"/>
            </w:tcBorders>
            <w:vAlign w:val="center"/>
            <w:hideMark/>
          </w:tcPr>
          <w:p w14:paraId="1C269A1B" w14:textId="77777777" w:rsidR="00EF49F3" w:rsidRPr="00EF49F3" w:rsidRDefault="00EF49F3" w:rsidP="00EF49F3">
            <w:pPr>
              <w:spacing w:after="0" w:line="240" w:lineRule="auto"/>
              <w:rPr>
                <w:rFonts w:cs="Arial"/>
                <w:sz w:val="16"/>
                <w:szCs w:val="16"/>
              </w:rPr>
            </w:pPr>
          </w:p>
        </w:tc>
        <w:tc>
          <w:tcPr>
            <w:tcW w:w="624" w:type="dxa"/>
            <w:tcBorders>
              <w:top w:val="nil"/>
              <w:left w:val="single" w:sz="4" w:space="0" w:color="auto"/>
              <w:bottom w:val="single" w:sz="4" w:space="0" w:color="auto"/>
              <w:right w:val="single" w:sz="4" w:space="0" w:color="auto"/>
            </w:tcBorders>
            <w:shd w:val="clear" w:color="000000" w:fill="F2DCDB"/>
            <w:vAlign w:val="center"/>
            <w:hideMark/>
          </w:tcPr>
          <w:p w14:paraId="0FF2BAF4" w14:textId="77777777" w:rsidR="00EF49F3" w:rsidRPr="00EF49F3" w:rsidRDefault="00EF49F3" w:rsidP="00A073EB">
            <w:pPr>
              <w:spacing w:after="0" w:line="240" w:lineRule="auto"/>
              <w:jc w:val="center"/>
              <w:rPr>
                <w:rFonts w:cs="Arial"/>
                <w:sz w:val="16"/>
                <w:szCs w:val="16"/>
              </w:rPr>
            </w:pPr>
            <w:r w:rsidRPr="00EF49F3">
              <w:rPr>
                <w:rFonts w:cs="Arial"/>
                <w:sz w:val="16"/>
                <w:szCs w:val="16"/>
              </w:rPr>
              <w:t xml:space="preserve">1. pol. </w:t>
            </w:r>
            <w:r w:rsidRPr="00EF49F3">
              <w:rPr>
                <w:rFonts w:cs="Arial"/>
                <w:sz w:val="16"/>
                <w:szCs w:val="16"/>
              </w:rPr>
              <w:br/>
              <w:t>2008</w:t>
            </w:r>
          </w:p>
        </w:tc>
        <w:tc>
          <w:tcPr>
            <w:tcW w:w="624" w:type="dxa"/>
            <w:tcBorders>
              <w:top w:val="nil"/>
              <w:left w:val="nil"/>
              <w:bottom w:val="single" w:sz="4" w:space="0" w:color="auto"/>
              <w:right w:val="single" w:sz="4" w:space="0" w:color="auto"/>
            </w:tcBorders>
            <w:shd w:val="clear" w:color="000000" w:fill="F2DCDB"/>
            <w:vAlign w:val="center"/>
            <w:hideMark/>
          </w:tcPr>
          <w:p w14:paraId="6DFADE81" w14:textId="77777777" w:rsidR="00EF49F3" w:rsidRPr="00EF49F3" w:rsidRDefault="00EF49F3" w:rsidP="00A073EB">
            <w:pPr>
              <w:spacing w:after="0" w:line="240" w:lineRule="auto"/>
              <w:jc w:val="center"/>
              <w:rPr>
                <w:rFonts w:cs="Arial"/>
                <w:sz w:val="16"/>
                <w:szCs w:val="16"/>
              </w:rPr>
            </w:pPr>
            <w:r w:rsidRPr="00EF49F3">
              <w:rPr>
                <w:rFonts w:cs="Arial"/>
                <w:sz w:val="16"/>
                <w:szCs w:val="16"/>
              </w:rPr>
              <w:t xml:space="preserve">1. pol. </w:t>
            </w:r>
            <w:r w:rsidRPr="00EF49F3">
              <w:rPr>
                <w:rFonts w:cs="Arial"/>
                <w:sz w:val="16"/>
                <w:szCs w:val="16"/>
              </w:rPr>
              <w:br/>
              <w:t>2009</w:t>
            </w:r>
          </w:p>
        </w:tc>
        <w:tc>
          <w:tcPr>
            <w:tcW w:w="624" w:type="dxa"/>
            <w:tcBorders>
              <w:top w:val="nil"/>
              <w:left w:val="nil"/>
              <w:bottom w:val="single" w:sz="4" w:space="0" w:color="auto"/>
              <w:right w:val="single" w:sz="4" w:space="0" w:color="auto"/>
            </w:tcBorders>
            <w:shd w:val="clear" w:color="000000" w:fill="F2DCDB"/>
            <w:vAlign w:val="center"/>
            <w:hideMark/>
          </w:tcPr>
          <w:p w14:paraId="4C370016" w14:textId="77777777" w:rsidR="00EF49F3" w:rsidRPr="00EF49F3" w:rsidRDefault="00EF49F3" w:rsidP="00A073EB">
            <w:pPr>
              <w:spacing w:after="0" w:line="240" w:lineRule="auto"/>
              <w:jc w:val="center"/>
              <w:rPr>
                <w:rFonts w:cs="Arial"/>
                <w:sz w:val="16"/>
                <w:szCs w:val="16"/>
              </w:rPr>
            </w:pPr>
            <w:r w:rsidRPr="00EF49F3">
              <w:rPr>
                <w:rFonts w:cs="Arial"/>
                <w:sz w:val="16"/>
                <w:szCs w:val="16"/>
              </w:rPr>
              <w:t xml:space="preserve">1. pol. </w:t>
            </w:r>
            <w:r w:rsidRPr="00EF49F3">
              <w:rPr>
                <w:rFonts w:cs="Arial"/>
                <w:sz w:val="16"/>
                <w:szCs w:val="16"/>
              </w:rPr>
              <w:br/>
              <w:t>2010</w:t>
            </w:r>
          </w:p>
        </w:tc>
        <w:tc>
          <w:tcPr>
            <w:tcW w:w="624" w:type="dxa"/>
            <w:tcBorders>
              <w:top w:val="nil"/>
              <w:left w:val="nil"/>
              <w:bottom w:val="single" w:sz="4" w:space="0" w:color="auto"/>
              <w:right w:val="single" w:sz="4" w:space="0" w:color="auto"/>
            </w:tcBorders>
            <w:shd w:val="clear" w:color="000000" w:fill="F2DCDB"/>
            <w:vAlign w:val="center"/>
            <w:hideMark/>
          </w:tcPr>
          <w:p w14:paraId="750B2454" w14:textId="77777777" w:rsidR="00EF49F3" w:rsidRPr="00EF49F3" w:rsidRDefault="00EF49F3" w:rsidP="00A073EB">
            <w:pPr>
              <w:spacing w:after="0" w:line="240" w:lineRule="auto"/>
              <w:jc w:val="center"/>
              <w:rPr>
                <w:rFonts w:cs="Arial"/>
                <w:sz w:val="16"/>
                <w:szCs w:val="16"/>
              </w:rPr>
            </w:pPr>
            <w:r w:rsidRPr="00EF49F3">
              <w:rPr>
                <w:rFonts w:cs="Arial"/>
                <w:sz w:val="16"/>
                <w:szCs w:val="16"/>
              </w:rPr>
              <w:t xml:space="preserve">1. pol. </w:t>
            </w:r>
            <w:r w:rsidRPr="00EF49F3">
              <w:rPr>
                <w:rFonts w:cs="Arial"/>
                <w:sz w:val="16"/>
                <w:szCs w:val="16"/>
              </w:rPr>
              <w:br/>
              <w:t>2011</w:t>
            </w:r>
          </w:p>
        </w:tc>
        <w:tc>
          <w:tcPr>
            <w:tcW w:w="624" w:type="dxa"/>
            <w:tcBorders>
              <w:top w:val="nil"/>
              <w:left w:val="nil"/>
              <w:bottom w:val="single" w:sz="4" w:space="0" w:color="auto"/>
              <w:right w:val="single" w:sz="4" w:space="0" w:color="auto"/>
            </w:tcBorders>
            <w:shd w:val="clear" w:color="000000" w:fill="F2DCDB"/>
            <w:vAlign w:val="center"/>
            <w:hideMark/>
          </w:tcPr>
          <w:p w14:paraId="477DB0A3" w14:textId="77777777" w:rsidR="00EF49F3" w:rsidRPr="00EF49F3" w:rsidRDefault="00EF49F3" w:rsidP="00A073EB">
            <w:pPr>
              <w:spacing w:after="0" w:line="240" w:lineRule="auto"/>
              <w:jc w:val="center"/>
              <w:rPr>
                <w:rFonts w:cs="Arial"/>
                <w:sz w:val="16"/>
                <w:szCs w:val="16"/>
              </w:rPr>
            </w:pPr>
            <w:r w:rsidRPr="00EF49F3">
              <w:rPr>
                <w:rFonts w:cs="Arial"/>
                <w:sz w:val="16"/>
                <w:szCs w:val="16"/>
              </w:rPr>
              <w:t xml:space="preserve">1. pol. </w:t>
            </w:r>
            <w:r w:rsidRPr="00EF49F3">
              <w:rPr>
                <w:rFonts w:cs="Arial"/>
                <w:sz w:val="16"/>
                <w:szCs w:val="16"/>
              </w:rPr>
              <w:br/>
              <w:t>2012</w:t>
            </w:r>
          </w:p>
        </w:tc>
        <w:tc>
          <w:tcPr>
            <w:tcW w:w="624" w:type="dxa"/>
            <w:tcBorders>
              <w:top w:val="nil"/>
              <w:left w:val="nil"/>
              <w:bottom w:val="single" w:sz="4" w:space="0" w:color="auto"/>
              <w:right w:val="single" w:sz="4" w:space="0" w:color="auto"/>
            </w:tcBorders>
            <w:shd w:val="clear" w:color="000000" w:fill="F2DCDB"/>
            <w:vAlign w:val="center"/>
            <w:hideMark/>
          </w:tcPr>
          <w:p w14:paraId="3BEE3C73" w14:textId="77777777" w:rsidR="00EF49F3" w:rsidRPr="00EF49F3" w:rsidRDefault="00EF49F3" w:rsidP="00A073EB">
            <w:pPr>
              <w:spacing w:after="0" w:line="240" w:lineRule="auto"/>
              <w:jc w:val="center"/>
              <w:rPr>
                <w:rFonts w:cs="Arial"/>
                <w:sz w:val="16"/>
                <w:szCs w:val="16"/>
              </w:rPr>
            </w:pPr>
            <w:r w:rsidRPr="00EF49F3">
              <w:rPr>
                <w:rFonts w:cs="Arial"/>
                <w:sz w:val="16"/>
                <w:szCs w:val="16"/>
              </w:rPr>
              <w:t xml:space="preserve">1. pol. </w:t>
            </w:r>
            <w:r w:rsidRPr="00EF49F3">
              <w:rPr>
                <w:rFonts w:cs="Arial"/>
                <w:sz w:val="16"/>
                <w:szCs w:val="16"/>
              </w:rPr>
              <w:br/>
              <w:t>2013</w:t>
            </w:r>
          </w:p>
        </w:tc>
        <w:tc>
          <w:tcPr>
            <w:tcW w:w="624" w:type="dxa"/>
            <w:tcBorders>
              <w:top w:val="nil"/>
              <w:left w:val="nil"/>
              <w:bottom w:val="single" w:sz="4" w:space="0" w:color="auto"/>
              <w:right w:val="single" w:sz="4" w:space="0" w:color="auto"/>
            </w:tcBorders>
            <w:shd w:val="clear" w:color="000000" w:fill="F2DCDB"/>
            <w:vAlign w:val="center"/>
            <w:hideMark/>
          </w:tcPr>
          <w:p w14:paraId="3D91DC72" w14:textId="77777777" w:rsidR="00EF49F3" w:rsidRPr="00EF49F3" w:rsidRDefault="00EF49F3" w:rsidP="00A073EB">
            <w:pPr>
              <w:spacing w:after="0" w:line="240" w:lineRule="auto"/>
              <w:jc w:val="center"/>
              <w:rPr>
                <w:rFonts w:cs="Arial"/>
                <w:sz w:val="16"/>
                <w:szCs w:val="16"/>
              </w:rPr>
            </w:pPr>
            <w:r w:rsidRPr="00EF49F3">
              <w:rPr>
                <w:rFonts w:cs="Arial"/>
                <w:sz w:val="16"/>
                <w:szCs w:val="16"/>
              </w:rPr>
              <w:t xml:space="preserve">1. pol. </w:t>
            </w:r>
            <w:r w:rsidRPr="00EF49F3">
              <w:rPr>
                <w:rFonts w:cs="Arial"/>
                <w:sz w:val="16"/>
                <w:szCs w:val="16"/>
              </w:rPr>
              <w:br/>
              <w:t>2014</w:t>
            </w:r>
          </w:p>
        </w:tc>
        <w:tc>
          <w:tcPr>
            <w:tcW w:w="624" w:type="dxa"/>
            <w:tcBorders>
              <w:top w:val="nil"/>
              <w:left w:val="nil"/>
              <w:bottom w:val="single" w:sz="4" w:space="0" w:color="auto"/>
              <w:right w:val="single" w:sz="4" w:space="0" w:color="auto"/>
            </w:tcBorders>
            <w:shd w:val="clear" w:color="000000" w:fill="F2DCDB"/>
            <w:vAlign w:val="center"/>
            <w:hideMark/>
          </w:tcPr>
          <w:p w14:paraId="1FC2E4FF" w14:textId="77777777" w:rsidR="00EF49F3" w:rsidRPr="00EF49F3" w:rsidRDefault="00EF49F3" w:rsidP="00A073EB">
            <w:pPr>
              <w:spacing w:after="0" w:line="240" w:lineRule="auto"/>
              <w:jc w:val="center"/>
              <w:rPr>
                <w:rFonts w:cs="Arial"/>
                <w:sz w:val="16"/>
                <w:szCs w:val="16"/>
              </w:rPr>
            </w:pPr>
            <w:r w:rsidRPr="00EF49F3">
              <w:rPr>
                <w:rFonts w:cs="Arial"/>
                <w:sz w:val="16"/>
                <w:szCs w:val="16"/>
              </w:rPr>
              <w:t xml:space="preserve">1. pol. </w:t>
            </w:r>
            <w:r w:rsidRPr="00EF49F3">
              <w:rPr>
                <w:rFonts w:cs="Arial"/>
                <w:sz w:val="16"/>
                <w:szCs w:val="16"/>
              </w:rPr>
              <w:br/>
              <w:t>2015</w:t>
            </w:r>
          </w:p>
        </w:tc>
        <w:tc>
          <w:tcPr>
            <w:tcW w:w="624" w:type="dxa"/>
            <w:tcBorders>
              <w:top w:val="nil"/>
              <w:left w:val="nil"/>
              <w:bottom w:val="single" w:sz="4" w:space="0" w:color="auto"/>
              <w:right w:val="single" w:sz="4" w:space="0" w:color="auto"/>
            </w:tcBorders>
            <w:shd w:val="clear" w:color="000000" w:fill="F2DCDB"/>
            <w:vAlign w:val="center"/>
            <w:hideMark/>
          </w:tcPr>
          <w:p w14:paraId="12D7CD7A" w14:textId="77777777" w:rsidR="00EF49F3" w:rsidRPr="00EF49F3" w:rsidRDefault="00EF49F3" w:rsidP="00A073EB">
            <w:pPr>
              <w:spacing w:after="0" w:line="240" w:lineRule="auto"/>
              <w:jc w:val="center"/>
              <w:rPr>
                <w:rFonts w:cs="Arial"/>
                <w:sz w:val="16"/>
                <w:szCs w:val="16"/>
              </w:rPr>
            </w:pPr>
            <w:r w:rsidRPr="00EF49F3">
              <w:rPr>
                <w:rFonts w:cs="Arial"/>
                <w:sz w:val="16"/>
                <w:szCs w:val="16"/>
              </w:rPr>
              <w:t xml:space="preserve">1. pol. </w:t>
            </w:r>
            <w:r w:rsidRPr="00EF49F3">
              <w:rPr>
                <w:rFonts w:cs="Arial"/>
                <w:sz w:val="16"/>
                <w:szCs w:val="16"/>
              </w:rPr>
              <w:br/>
              <w:t>2016</w:t>
            </w:r>
          </w:p>
        </w:tc>
        <w:tc>
          <w:tcPr>
            <w:tcW w:w="624" w:type="dxa"/>
            <w:tcBorders>
              <w:top w:val="nil"/>
              <w:left w:val="nil"/>
              <w:bottom w:val="single" w:sz="4" w:space="0" w:color="auto"/>
              <w:right w:val="single" w:sz="4" w:space="0" w:color="auto"/>
            </w:tcBorders>
            <w:shd w:val="clear" w:color="000000" w:fill="F2DCDB"/>
            <w:vAlign w:val="center"/>
            <w:hideMark/>
          </w:tcPr>
          <w:p w14:paraId="7BF275B1" w14:textId="77777777" w:rsidR="00EF49F3" w:rsidRPr="00EF49F3" w:rsidRDefault="00EF49F3" w:rsidP="00A073EB">
            <w:pPr>
              <w:spacing w:after="0" w:line="240" w:lineRule="auto"/>
              <w:jc w:val="center"/>
              <w:rPr>
                <w:rFonts w:cs="Arial"/>
                <w:sz w:val="16"/>
                <w:szCs w:val="16"/>
              </w:rPr>
            </w:pPr>
            <w:r w:rsidRPr="00EF49F3">
              <w:rPr>
                <w:rFonts w:cs="Arial"/>
                <w:sz w:val="16"/>
                <w:szCs w:val="16"/>
              </w:rPr>
              <w:t xml:space="preserve">1. pol. </w:t>
            </w:r>
            <w:r w:rsidRPr="00EF49F3">
              <w:rPr>
                <w:rFonts w:cs="Arial"/>
                <w:sz w:val="16"/>
                <w:szCs w:val="16"/>
              </w:rPr>
              <w:br/>
              <w:t>2017</w:t>
            </w:r>
          </w:p>
        </w:tc>
        <w:tc>
          <w:tcPr>
            <w:tcW w:w="624" w:type="dxa"/>
            <w:tcBorders>
              <w:top w:val="nil"/>
              <w:left w:val="nil"/>
              <w:bottom w:val="single" w:sz="4" w:space="0" w:color="auto"/>
              <w:right w:val="nil"/>
            </w:tcBorders>
            <w:shd w:val="clear" w:color="000000" w:fill="F2DCDB"/>
            <w:vAlign w:val="center"/>
            <w:hideMark/>
          </w:tcPr>
          <w:p w14:paraId="1F9A063B" w14:textId="77777777" w:rsidR="00EF49F3" w:rsidRPr="00EF49F3" w:rsidRDefault="00EF49F3" w:rsidP="00A073EB">
            <w:pPr>
              <w:spacing w:after="0" w:line="240" w:lineRule="auto"/>
              <w:jc w:val="center"/>
              <w:rPr>
                <w:rFonts w:cs="Arial"/>
                <w:sz w:val="16"/>
                <w:szCs w:val="16"/>
              </w:rPr>
            </w:pPr>
            <w:r w:rsidRPr="00EF49F3">
              <w:rPr>
                <w:rFonts w:cs="Arial"/>
                <w:sz w:val="16"/>
                <w:szCs w:val="16"/>
              </w:rPr>
              <w:t xml:space="preserve">1. pol. </w:t>
            </w:r>
            <w:r w:rsidRPr="00EF49F3">
              <w:rPr>
                <w:rFonts w:cs="Arial"/>
                <w:sz w:val="16"/>
                <w:szCs w:val="16"/>
              </w:rPr>
              <w:br/>
              <w:t>2018</w:t>
            </w:r>
          </w:p>
        </w:tc>
        <w:tc>
          <w:tcPr>
            <w:tcW w:w="624" w:type="dxa"/>
            <w:tcBorders>
              <w:top w:val="nil"/>
              <w:left w:val="single" w:sz="4" w:space="0" w:color="auto"/>
              <w:bottom w:val="single" w:sz="4" w:space="0" w:color="auto"/>
              <w:right w:val="nil"/>
            </w:tcBorders>
            <w:shd w:val="clear" w:color="000000" w:fill="F2DCDB"/>
            <w:vAlign w:val="center"/>
            <w:hideMark/>
          </w:tcPr>
          <w:p w14:paraId="72EDD3E1" w14:textId="77777777" w:rsidR="00EF49F3" w:rsidRPr="00EF49F3" w:rsidRDefault="00EF49F3" w:rsidP="00A073EB">
            <w:pPr>
              <w:spacing w:after="0" w:line="240" w:lineRule="auto"/>
              <w:jc w:val="center"/>
              <w:rPr>
                <w:rFonts w:cs="Arial"/>
                <w:sz w:val="16"/>
                <w:szCs w:val="16"/>
              </w:rPr>
            </w:pPr>
            <w:r w:rsidRPr="00EF49F3">
              <w:rPr>
                <w:rFonts w:cs="Arial"/>
                <w:sz w:val="16"/>
                <w:szCs w:val="16"/>
              </w:rPr>
              <w:t>1. pol. 2019</w:t>
            </w:r>
          </w:p>
        </w:tc>
      </w:tr>
      <w:tr w:rsidR="00EF49F3" w:rsidRPr="00EF49F3" w14:paraId="5205C70F" w14:textId="77777777" w:rsidTr="00EF49F3">
        <w:trPr>
          <w:trHeight w:val="300"/>
        </w:trPr>
        <w:tc>
          <w:tcPr>
            <w:tcW w:w="2080" w:type="dxa"/>
            <w:tcBorders>
              <w:top w:val="nil"/>
              <w:left w:val="nil"/>
              <w:bottom w:val="nil"/>
              <w:right w:val="nil"/>
            </w:tcBorders>
            <w:shd w:val="clear" w:color="auto" w:fill="auto"/>
            <w:noWrap/>
            <w:vAlign w:val="center"/>
            <w:hideMark/>
          </w:tcPr>
          <w:p w14:paraId="29DAA99B" w14:textId="77777777" w:rsidR="00EF49F3" w:rsidRPr="00EF49F3" w:rsidRDefault="00EF49F3" w:rsidP="00EF49F3">
            <w:pPr>
              <w:spacing w:after="0" w:line="240" w:lineRule="auto"/>
              <w:rPr>
                <w:rFonts w:cs="Arial"/>
                <w:b/>
                <w:bCs/>
                <w:sz w:val="16"/>
                <w:szCs w:val="16"/>
              </w:rPr>
            </w:pPr>
            <w:r w:rsidRPr="00EF49F3">
              <w:rPr>
                <w:rFonts w:cs="Arial"/>
                <w:b/>
                <w:bCs/>
                <w:sz w:val="16"/>
                <w:szCs w:val="16"/>
              </w:rPr>
              <w:t>ČR celkem</w:t>
            </w:r>
          </w:p>
        </w:tc>
        <w:tc>
          <w:tcPr>
            <w:tcW w:w="624" w:type="dxa"/>
            <w:tcBorders>
              <w:top w:val="nil"/>
              <w:left w:val="nil"/>
              <w:bottom w:val="nil"/>
              <w:right w:val="nil"/>
            </w:tcBorders>
            <w:shd w:val="clear" w:color="auto" w:fill="auto"/>
            <w:noWrap/>
            <w:vAlign w:val="center"/>
            <w:hideMark/>
          </w:tcPr>
          <w:p w14:paraId="44A968E3" w14:textId="77777777" w:rsidR="00EF49F3" w:rsidRPr="00EF49F3" w:rsidRDefault="00EF49F3" w:rsidP="00EF49F3">
            <w:pPr>
              <w:spacing w:after="0" w:line="240" w:lineRule="auto"/>
              <w:jc w:val="right"/>
              <w:rPr>
                <w:rFonts w:cs="Arial"/>
                <w:b/>
                <w:bCs/>
                <w:sz w:val="16"/>
                <w:szCs w:val="16"/>
              </w:rPr>
            </w:pPr>
            <w:r w:rsidRPr="00EF49F3">
              <w:rPr>
                <w:rFonts w:cs="Arial"/>
                <w:b/>
                <w:bCs/>
                <w:sz w:val="16"/>
                <w:szCs w:val="16"/>
              </w:rPr>
              <w:t>5,16</w:t>
            </w:r>
          </w:p>
        </w:tc>
        <w:tc>
          <w:tcPr>
            <w:tcW w:w="624" w:type="dxa"/>
            <w:tcBorders>
              <w:top w:val="nil"/>
              <w:left w:val="nil"/>
              <w:bottom w:val="nil"/>
              <w:right w:val="nil"/>
            </w:tcBorders>
            <w:shd w:val="clear" w:color="auto" w:fill="auto"/>
            <w:noWrap/>
            <w:vAlign w:val="center"/>
            <w:hideMark/>
          </w:tcPr>
          <w:p w14:paraId="3229B48B" w14:textId="77777777" w:rsidR="00EF49F3" w:rsidRPr="00EF49F3" w:rsidRDefault="00EF49F3" w:rsidP="00EF49F3">
            <w:pPr>
              <w:spacing w:after="0" w:line="240" w:lineRule="auto"/>
              <w:jc w:val="right"/>
              <w:rPr>
                <w:rFonts w:cs="Arial"/>
                <w:b/>
                <w:bCs/>
                <w:sz w:val="16"/>
                <w:szCs w:val="16"/>
              </w:rPr>
            </w:pPr>
            <w:r w:rsidRPr="00EF49F3">
              <w:rPr>
                <w:rFonts w:cs="Arial"/>
                <w:b/>
                <w:bCs/>
                <w:sz w:val="16"/>
                <w:szCs w:val="16"/>
              </w:rPr>
              <w:t>4,37</w:t>
            </w:r>
          </w:p>
        </w:tc>
        <w:tc>
          <w:tcPr>
            <w:tcW w:w="624" w:type="dxa"/>
            <w:tcBorders>
              <w:top w:val="nil"/>
              <w:left w:val="nil"/>
              <w:bottom w:val="nil"/>
              <w:right w:val="nil"/>
            </w:tcBorders>
            <w:shd w:val="clear" w:color="auto" w:fill="auto"/>
            <w:noWrap/>
            <w:vAlign w:val="center"/>
            <w:hideMark/>
          </w:tcPr>
          <w:p w14:paraId="04FFF771" w14:textId="77777777" w:rsidR="00EF49F3" w:rsidRPr="00EF49F3" w:rsidRDefault="00EF49F3" w:rsidP="00EF49F3">
            <w:pPr>
              <w:spacing w:after="0" w:line="240" w:lineRule="auto"/>
              <w:jc w:val="right"/>
              <w:rPr>
                <w:rFonts w:cs="Arial"/>
                <w:b/>
                <w:bCs/>
                <w:sz w:val="16"/>
                <w:szCs w:val="16"/>
              </w:rPr>
            </w:pPr>
            <w:r w:rsidRPr="00EF49F3">
              <w:rPr>
                <w:rFonts w:cs="Arial"/>
                <w:b/>
                <w:bCs/>
                <w:sz w:val="16"/>
                <w:szCs w:val="16"/>
              </w:rPr>
              <w:t>4,09</w:t>
            </w:r>
          </w:p>
        </w:tc>
        <w:tc>
          <w:tcPr>
            <w:tcW w:w="624" w:type="dxa"/>
            <w:tcBorders>
              <w:top w:val="nil"/>
              <w:left w:val="nil"/>
              <w:bottom w:val="nil"/>
              <w:right w:val="nil"/>
            </w:tcBorders>
            <w:shd w:val="clear" w:color="auto" w:fill="auto"/>
            <w:noWrap/>
            <w:vAlign w:val="center"/>
            <w:hideMark/>
          </w:tcPr>
          <w:p w14:paraId="6AC44D57" w14:textId="77777777" w:rsidR="00EF49F3" w:rsidRPr="00EF49F3" w:rsidRDefault="00EF49F3" w:rsidP="00EF49F3">
            <w:pPr>
              <w:spacing w:after="0" w:line="240" w:lineRule="auto"/>
              <w:jc w:val="right"/>
              <w:rPr>
                <w:rFonts w:cs="Arial"/>
                <w:b/>
                <w:bCs/>
                <w:sz w:val="16"/>
                <w:szCs w:val="16"/>
              </w:rPr>
            </w:pPr>
            <w:r w:rsidRPr="00EF49F3">
              <w:rPr>
                <w:rFonts w:cs="Arial"/>
                <w:b/>
                <w:bCs/>
                <w:sz w:val="16"/>
                <w:szCs w:val="16"/>
              </w:rPr>
              <w:t>4,02</w:t>
            </w:r>
          </w:p>
        </w:tc>
        <w:tc>
          <w:tcPr>
            <w:tcW w:w="624" w:type="dxa"/>
            <w:tcBorders>
              <w:top w:val="nil"/>
              <w:left w:val="nil"/>
              <w:bottom w:val="nil"/>
              <w:right w:val="nil"/>
            </w:tcBorders>
            <w:shd w:val="clear" w:color="auto" w:fill="auto"/>
            <w:noWrap/>
            <w:vAlign w:val="center"/>
            <w:hideMark/>
          </w:tcPr>
          <w:p w14:paraId="07D7F1A7" w14:textId="77777777" w:rsidR="00EF49F3" w:rsidRPr="00EF49F3" w:rsidRDefault="00EF49F3" w:rsidP="00EF49F3">
            <w:pPr>
              <w:spacing w:after="0" w:line="240" w:lineRule="auto"/>
              <w:jc w:val="right"/>
              <w:rPr>
                <w:rFonts w:cs="Arial"/>
                <w:b/>
                <w:bCs/>
                <w:sz w:val="16"/>
                <w:szCs w:val="16"/>
              </w:rPr>
            </w:pPr>
            <w:r w:rsidRPr="00EF49F3">
              <w:rPr>
                <w:rFonts w:cs="Arial"/>
                <w:b/>
                <w:bCs/>
                <w:sz w:val="16"/>
                <w:szCs w:val="16"/>
              </w:rPr>
              <w:t>3,57</w:t>
            </w:r>
          </w:p>
        </w:tc>
        <w:tc>
          <w:tcPr>
            <w:tcW w:w="624" w:type="dxa"/>
            <w:tcBorders>
              <w:top w:val="nil"/>
              <w:left w:val="nil"/>
              <w:bottom w:val="nil"/>
              <w:right w:val="nil"/>
            </w:tcBorders>
            <w:shd w:val="clear" w:color="auto" w:fill="auto"/>
            <w:noWrap/>
            <w:vAlign w:val="center"/>
            <w:hideMark/>
          </w:tcPr>
          <w:p w14:paraId="025E4E7E" w14:textId="77777777" w:rsidR="00EF49F3" w:rsidRPr="00EF49F3" w:rsidRDefault="00EF49F3" w:rsidP="00EF49F3">
            <w:pPr>
              <w:spacing w:after="0" w:line="240" w:lineRule="auto"/>
              <w:jc w:val="right"/>
              <w:rPr>
                <w:rFonts w:cs="Arial"/>
                <w:b/>
                <w:bCs/>
                <w:sz w:val="16"/>
                <w:szCs w:val="16"/>
              </w:rPr>
            </w:pPr>
            <w:r w:rsidRPr="00EF49F3">
              <w:rPr>
                <w:rFonts w:cs="Arial"/>
                <w:b/>
                <w:bCs/>
                <w:sz w:val="16"/>
                <w:szCs w:val="16"/>
              </w:rPr>
              <w:t>3,99</w:t>
            </w:r>
          </w:p>
        </w:tc>
        <w:tc>
          <w:tcPr>
            <w:tcW w:w="624" w:type="dxa"/>
            <w:tcBorders>
              <w:top w:val="nil"/>
              <w:left w:val="nil"/>
              <w:bottom w:val="nil"/>
              <w:right w:val="nil"/>
            </w:tcBorders>
            <w:shd w:val="clear" w:color="auto" w:fill="auto"/>
            <w:noWrap/>
            <w:vAlign w:val="center"/>
            <w:hideMark/>
          </w:tcPr>
          <w:p w14:paraId="76F5DB70" w14:textId="77777777" w:rsidR="00EF49F3" w:rsidRPr="00EF49F3" w:rsidRDefault="00EF49F3" w:rsidP="00EF49F3">
            <w:pPr>
              <w:spacing w:after="0" w:line="240" w:lineRule="auto"/>
              <w:jc w:val="right"/>
              <w:rPr>
                <w:rFonts w:cs="Arial"/>
                <w:b/>
                <w:bCs/>
                <w:sz w:val="16"/>
                <w:szCs w:val="16"/>
              </w:rPr>
            </w:pPr>
            <w:r w:rsidRPr="00EF49F3">
              <w:rPr>
                <w:rFonts w:cs="Arial"/>
                <w:b/>
                <w:bCs/>
                <w:sz w:val="16"/>
                <w:szCs w:val="16"/>
              </w:rPr>
              <w:t>3,82</w:t>
            </w:r>
          </w:p>
        </w:tc>
        <w:tc>
          <w:tcPr>
            <w:tcW w:w="624" w:type="dxa"/>
            <w:tcBorders>
              <w:top w:val="nil"/>
              <w:left w:val="nil"/>
              <w:bottom w:val="nil"/>
              <w:right w:val="nil"/>
            </w:tcBorders>
            <w:shd w:val="clear" w:color="auto" w:fill="auto"/>
            <w:noWrap/>
            <w:vAlign w:val="center"/>
            <w:hideMark/>
          </w:tcPr>
          <w:p w14:paraId="50F04336" w14:textId="77777777" w:rsidR="00EF49F3" w:rsidRPr="00EF49F3" w:rsidRDefault="00EF49F3" w:rsidP="00EF49F3">
            <w:pPr>
              <w:spacing w:after="0" w:line="240" w:lineRule="auto"/>
              <w:jc w:val="right"/>
              <w:rPr>
                <w:rFonts w:cs="Arial"/>
                <w:b/>
                <w:bCs/>
                <w:sz w:val="16"/>
                <w:szCs w:val="16"/>
              </w:rPr>
            </w:pPr>
            <w:r w:rsidRPr="00EF49F3">
              <w:rPr>
                <w:rFonts w:cs="Arial"/>
                <w:b/>
                <w:bCs/>
                <w:sz w:val="16"/>
                <w:szCs w:val="16"/>
              </w:rPr>
              <w:t>4,33</w:t>
            </w:r>
          </w:p>
        </w:tc>
        <w:tc>
          <w:tcPr>
            <w:tcW w:w="624" w:type="dxa"/>
            <w:tcBorders>
              <w:top w:val="nil"/>
              <w:left w:val="nil"/>
              <w:bottom w:val="nil"/>
              <w:right w:val="nil"/>
            </w:tcBorders>
            <w:shd w:val="clear" w:color="auto" w:fill="auto"/>
            <w:noWrap/>
            <w:vAlign w:val="center"/>
            <w:hideMark/>
          </w:tcPr>
          <w:p w14:paraId="2C4F5233" w14:textId="77777777" w:rsidR="00EF49F3" w:rsidRPr="00EF49F3" w:rsidRDefault="00EF49F3" w:rsidP="00EF49F3">
            <w:pPr>
              <w:spacing w:after="0" w:line="240" w:lineRule="auto"/>
              <w:jc w:val="right"/>
              <w:rPr>
                <w:rFonts w:cs="Arial"/>
                <w:b/>
                <w:bCs/>
                <w:sz w:val="16"/>
                <w:szCs w:val="16"/>
              </w:rPr>
            </w:pPr>
            <w:r w:rsidRPr="00EF49F3">
              <w:rPr>
                <w:rFonts w:cs="Arial"/>
                <w:b/>
                <w:bCs/>
                <w:sz w:val="16"/>
                <w:szCs w:val="16"/>
              </w:rPr>
              <w:t>4,45</w:t>
            </w:r>
          </w:p>
        </w:tc>
        <w:tc>
          <w:tcPr>
            <w:tcW w:w="624" w:type="dxa"/>
            <w:tcBorders>
              <w:top w:val="nil"/>
              <w:left w:val="nil"/>
              <w:bottom w:val="nil"/>
              <w:right w:val="nil"/>
            </w:tcBorders>
            <w:shd w:val="clear" w:color="auto" w:fill="auto"/>
            <w:noWrap/>
            <w:vAlign w:val="center"/>
            <w:hideMark/>
          </w:tcPr>
          <w:p w14:paraId="7A11315C" w14:textId="77777777" w:rsidR="00EF49F3" w:rsidRPr="00EF49F3" w:rsidRDefault="00EF49F3" w:rsidP="00EF49F3">
            <w:pPr>
              <w:spacing w:after="0" w:line="240" w:lineRule="auto"/>
              <w:jc w:val="right"/>
              <w:rPr>
                <w:rFonts w:cs="Arial"/>
                <w:b/>
                <w:bCs/>
                <w:sz w:val="16"/>
                <w:szCs w:val="16"/>
              </w:rPr>
            </w:pPr>
            <w:r w:rsidRPr="00EF49F3">
              <w:rPr>
                <w:rFonts w:cs="Arial"/>
                <w:b/>
                <w:bCs/>
                <w:sz w:val="16"/>
                <w:szCs w:val="16"/>
              </w:rPr>
              <w:t>4,62</w:t>
            </w:r>
          </w:p>
        </w:tc>
        <w:tc>
          <w:tcPr>
            <w:tcW w:w="624" w:type="dxa"/>
            <w:tcBorders>
              <w:top w:val="nil"/>
              <w:left w:val="nil"/>
              <w:bottom w:val="nil"/>
              <w:right w:val="nil"/>
            </w:tcBorders>
            <w:shd w:val="clear" w:color="000000" w:fill="FFFFFF"/>
            <w:noWrap/>
            <w:vAlign w:val="center"/>
            <w:hideMark/>
          </w:tcPr>
          <w:p w14:paraId="009F9787" w14:textId="77777777" w:rsidR="00EF49F3" w:rsidRPr="00EF49F3" w:rsidRDefault="00EF49F3" w:rsidP="00EF49F3">
            <w:pPr>
              <w:spacing w:after="0" w:line="240" w:lineRule="auto"/>
              <w:jc w:val="right"/>
              <w:rPr>
                <w:rFonts w:cs="Arial"/>
                <w:b/>
                <w:bCs/>
                <w:color w:val="000000"/>
                <w:sz w:val="16"/>
                <w:szCs w:val="16"/>
              </w:rPr>
            </w:pPr>
            <w:r w:rsidRPr="00EF49F3">
              <w:rPr>
                <w:rFonts w:cs="Arial"/>
                <w:b/>
                <w:bCs/>
                <w:color w:val="000000"/>
                <w:sz w:val="16"/>
                <w:szCs w:val="16"/>
              </w:rPr>
              <w:t>4,76</w:t>
            </w:r>
          </w:p>
        </w:tc>
        <w:tc>
          <w:tcPr>
            <w:tcW w:w="624" w:type="dxa"/>
            <w:tcBorders>
              <w:top w:val="nil"/>
              <w:left w:val="nil"/>
              <w:bottom w:val="nil"/>
              <w:right w:val="nil"/>
            </w:tcBorders>
            <w:shd w:val="clear" w:color="auto" w:fill="auto"/>
            <w:noWrap/>
            <w:vAlign w:val="center"/>
            <w:hideMark/>
          </w:tcPr>
          <w:p w14:paraId="0584C853" w14:textId="77777777" w:rsidR="00EF49F3" w:rsidRPr="00EF49F3" w:rsidRDefault="00EF49F3" w:rsidP="00EF49F3">
            <w:pPr>
              <w:spacing w:after="0" w:line="240" w:lineRule="auto"/>
              <w:jc w:val="right"/>
              <w:rPr>
                <w:rFonts w:cs="Arial"/>
                <w:b/>
                <w:bCs/>
                <w:color w:val="000000"/>
                <w:sz w:val="16"/>
                <w:szCs w:val="16"/>
              </w:rPr>
            </w:pPr>
            <w:r w:rsidRPr="00EF49F3">
              <w:rPr>
                <w:rFonts w:cs="Arial"/>
                <w:b/>
                <w:bCs/>
                <w:color w:val="000000"/>
                <w:sz w:val="16"/>
                <w:szCs w:val="16"/>
              </w:rPr>
              <w:t>4,85</w:t>
            </w:r>
          </w:p>
        </w:tc>
      </w:tr>
      <w:tr w:rsidR="00EF49F3" w:rsidRPr="00EF49F3" w14:paraId="7ECA5C64" w14:textId="77777777" w:rsidTr="00EF49F3">
        <w:trPr>
          <w:trHeight w:val="300"/>
        </w:trPr>
        <w:tc>
          <w:tcPr>
            <w:tcW w:w="2080" w:type="dxa"/>
            <w:tcBorders>
              <w:top w:val="nil"/>
              <w:left w:val="nil"/>
              <w:bottom w:val="nil"/>
              <w:right w:val="nil"/>
            </w:tcBorders>
            <w:shd w:val="clear" w:color="auto" w:fill="auto"/>
            <w:noWrap/>
            <w:vAlign w:val="center"/>
            <w:hideMark/>
          </w:tcPr>
          <w:p w14:paraId="42B2648C" w14:textId="77777777" w:rsidR="00EF49F3" w:rsidRPr="00EF49F3" w:rsidRDefault="00EF49F3" w:rsidP="00EF49F3">
            <w:pPr>
              <w:spacing w:after="0" w:line="240" w:lineRule="auto"/>
              <w:ind w:firstLineChars="100" w:firstLine="160"/>
              <w:rPr>
                <w:rFonts w:cs="Arial"/>
                <w:sz w:val="16"/>
                <w:szCs w:val="16"/>
              </w:rPr>
            </w:pPr>
            <w:r w:rsidRPr="00EF49F3">
              <w:rPr>
                <w:rFonts w:cs="Arial"/>
                <w:sz w:val="16"/>
                <w:szCs w:val="16"/>
              </w:rPr>
              <w:t>Hl. m. Praha</w:t>
            </w:r>
          </w:p>
        </w:tc>
        <w:tc>
          <w:tcPr>
            <w:tcW w:w="624" w:type="dxa"/>
            <w:tcBorders>
              <w:top w:val="nil"/>
              <w:left w:val="nil"/>
              <w:bottom w:val="nil"/>
              <w:right w:val="nil"/>
            </w:tcBorders>
            <w:shd w:val="clear" w:color="auto" w:fill="auto"/>
            <w:noWrap/>
            <w:vAlign w:val="center"/>
            <w:hideMark/>
          </w:tcPr>
          <w:p w14:paraId="50C81E22" w14:textId="77777777" w:rsidR="00EF49F3" w:rsidRPr="00EF49F3" w:rsidRDefault="00EF49F3" w:rsidP="00EF49F3">
            <w:pPr>
              <w:spacing w:after="0" w:line="240" w:lineRule="auto"/>
              <w:jc w:val="right"/>
              <w:rPr>
                <w:rFonts w:cs="Arial"/>
                <w:sz w:val="16"/>
                <w:szCs w:val="16"/>
              </w:rPr>
            </w:pPr>
            <w:r w:rsidRPr="00EF49F3">
              <w:rPr>
                <w:rFonts w:cs="Arial"/>
                <w:sz w:val="16"/>
                <w:szCs w:val="16"/>
              </w:rPr>
              <w:t>4,01</w:t>
            </w:r>
          </w:p>
        </w:tc>
        <w:tc>
          <w:tcPr>
            <w:tcW w:w="624" w:type="dxa"/>
            <w:tcBorders>
              <w:top w:val="nil"/>
              <w:left w:val="nil"/>
              <w:bottom w:val="nil"/>
              <w:right w:val="nil"/>
            </w:tcBorders>
            <w:shd w:val="clear" w:color="auto" w:fill="auto"/>
            <w:noWrap/>
            <w:vAlign w:val="center"/>
            <w:hideMark/>
          </w:tcPr>
          <w:p w14:paraId="2838DEF0" w14:textId="77777777" w:rsidR="00EF49F3" w:rsidRPr="00EF49F3" w:rsidRDefault="00EF49F3" w:rsidP="00EF49F3">
            <w:pPr>
              <w:spacing w:after="0" w:line="240" w:lineRule="auto"/>
              <w:jc w:val="right"/>
              <w:rPr>
                <w:rFonts w:cs="Arial"/>
                <w:sz w:val="16"/>
                <w:szCs w:val="16"/>
              </w:rPr>
            </w:pPr>
            <w:r w:rsidRPr="00EF49F3">
              <w:rPr>
                <w:rFonts w:cs="Arial"/>
                <w:sz w:val="16"/>
                <w:szCs w:val="16"/>
              </w:rPr>
              <w:t>3,39</w:t>
            </w:r>
          </w:p>
        </w:tc>
        <w:tc>
          <w:tcPr>
            <w:tcW w:w="624" w:type="dxa"/>
            <w:tcBorders>
              <w:top w:val="nil"/>
              <w:left w:val="nil"/>
              <w:bottom w:val="nil"/>
              <w:right w:val="nil"/>
            </w:tcBorders>
            <w:shd w:val="clear" w:color="auto" w:fill="auto"/>
            <w:noWrap/>
            <w:vAlign w:val="center"/>
            <w:hideMark/>
          </w:tcPr>
          <w:p w14:paraId="28CD55D6" w14:textId="77777777" w:rsidR="00EF49F3" w:rsidRPr="00EF49F3" w:rsidRDefault="00EF49F3" w:rsidP="00EF49F3">
            <w:pPr>
              <w:spacing w:after="0" w:line="240" w:lineRule="auto"/>
              <w:jc w:val="right"/>
              <w:rPr>
                <w:rFonts w:cs="Arial"/>
                <w:sz w:val="16"/>
                <w:szCs w:val="16"/>
              </w:rPr>
            </w:pPr>
            <w:r w:rsidRPr="00EF49F3">
              <w:rPr>
                <w:rFonts w:cs="Arial"/>
                <w:sz w:val="16"/>
                <w:szCs w:val="16"/>
              </w:rPr>
              <w:t>3,25</w:t>
            </w:r>
          </w:p>
        </w:tc>
        <w:tc>
          <w:tcPr>
            <w:tcW w:w="624" w:type="dxa"/>
            <w:tcBorders>
              <w:top w:val="nil"/>
              <w:left w:val="nil"/>
              <w:bottom w:val="nil"/>
              <w:right w:val="nil"/>
            </w:tcBorders>
            <w:shd w:val="clear" w:color="auto" w:fill="auto"/>
            <w:noWrap/>
            <w:vAlign w:val="center"/>
            <w:hideMark/>
          </w:tcPr>
          <w:p w14:paraId="6862B281" w14:textId="77777777" w:rsidR="00EF49F3" w:rsidRPr="00EF49F3" w:rsidRDefault="00EF49F3" w:rsidP="00EF49F3">
            <w:pPr>
              <w:spacing w:after="0" w:line="240" w:lineRule="auto"/>
              <w:jc w:val="right"/>
              <w:rPr>
                <w:rFonts w:cs="Arial"/>
                <w:sz w:val="16"/>
                <w:szCs w:val="16"/>
              </w:rPr>
            </w:pPr>
            <w:r w:rsidRPr="00EF49F3">
              <w:rPr>
                <w:rFonts w:cs="Arial"/>
                <w:sz w:val="16"/>
                <w:szCs w:val="16"/>
              </w:rPr>
              <w:t>3,21</w:t>
            </w:r>
          </w:p>
        </w:tc>
        <w:tc>
          <w:tcPr>
            <w:tcW w:w="624" w:type="dxa"/>
            <w:tcBorders>
              <w:top w:val="nil"/>
              <w:left w:val="nil"/>
              <w:bottom w:val="nil"/>
              <w:right w:val="nil"/>
            </w:tcBorders>
            <w:shd w:val="clear" w:color="auto" w:fill="auto"/>
            <w:noWrap/>
            <w:vAlign w:val="center"/>
            <w:hideMark/>
          </w:tcPr>
          <w:p w14:paraId="2D66EECF" w14:textId="77777777" w:rsidR="00EF49F3" w:rsidRPr="00EF49F3" w:rsidRDefault="00EF49F3" w:rsidP="00EF49F3">
            <w:pPr>
              <w:spacing w:after="0" w:line="240" w:lineRule="auto"/>
              <w:jc w:val="right"/>
              <w:rPr>
                <w:rFonts w:cs="Arial"/>
                <w:sz w:val="16"/>
                <w:szCs w:val="16"/>
              </w:rPr>
            </w:pPr>
            <w:r w:rsidRPr="00EF49F3">
              <w:rPr>
                <w:rFonts w:cs="Arial"/>
                <w:sz w:val="16"/>
                <w:szCs w:val="16"/>
              </w:rPr>
              <w:t>2,64</w:t>
            </w:r>
          </w:p>
        </w:tc>
        <w:tc>
          <w:tcPr>
            <w:tcW w:w="624" w:type="dxa"/>
            <w:tcBorders>
              <w:top w:val="nil"/>
              <w:left w:val="nil"/>
              <w:bottom w:val="nil"/>
              <w:right w:val="nil"/>
            </w:tcBorders>
            <w:shd w:val="clear" w:color="auto" w:fill="auto"/>
            <w:noWrap/>
            <w:vAlign w:val="center"/>
            <w:hideMark/>
          </w:tcPr>
          <w:p w14:paraId="60E43CE9" w14:textId="77777777" w:rsidR="00EF49F3" w:rsidRPr="00EF49F3" w:rsidRDefault="00EF49F3" w:rsidP="00EF49F3">
            <w:pPr>
              <w:spacing w:after="0" w:line="240" w:lineRule="auto"/>
              <w:jc w:val="right"/>
              <w:rPr>
                <w:rFonts w:cs="Arial"/>
                <w:sz w:val="16"/>
                <w:szCs w:val="16"/>
              </w:rPr>
            </w:pPr>
            <w:r w:rsidRPr="00EF49F3">
              <w:rPr>
                <w:rFonts w:cs="Arial"/>
                <w:sz w:val="16"/>
                <w:szCs w:val="16"/>
              </w:rPr>
              <w:t>2,99</w:t>
            </w:r>
          </w:p>
        </w:tc>
        <w:tc>
          <w:tcPr>
            <w:tcW w:w="624" w:type="dxa"/>
            <w:tcBorders>
              <w:top w:val="nil"/>
              <w:left w:val="nil"/>
              <w:bottom w:val="nil"/>
              <w:right w:val="nil"/>
            </w:tcBorders>
            <w:shd w:val="clear" w:color="auto" w:fill="auto"/>
            <w:noWrap/>
            <w:vAlign w:val="center"/>
            <w:hideMark/>
          </w:tcPr>
          <w:p w14:paraId="2F019BF3" w14:textId="77777777" w:rsidR="00EF49F3" w:rsidRPr="00EF49F3" w:rsidRDefault="00EF49F3" w:rsidP="00EF49F3">
            <w:pPr>
              <w:spacing w:after="0" w:line="240" w:lineRule="auto"/>
              <w:jc w:val="right"/>
              <w:rPr>
                <w:rFonts w:cs="Arial"/>
                <w:sz w:val="16"/>
                <w:szCs w:val="16"/>
              </w:rPr>
            </w:pPr>
            <w:r w:rsidRPr="00EF49F3">
              <w:rPr>
                <w:rFonts w:cs="Arial"/>
                <w:sz w:val="16"/>
                <w:szCs w:val="16"/>
              </w:rPr>
              <w:t>2,89</w:t>
            </w:r>
          </w:p>
        </w:tc>
        <w:tc>
          <w:tcPr>
            <w:tcW w:w="624" w:type="dxa"/>
            <w:tcBorders>
              <w:top w:val="nil"/>
              <w:left w:val="nil"/>
              <w:bottom w:val="nil"/>
              <w:right w:val="nil"/>
            </w:tcBorders>
            <w:shd w:val="clear" w:color="auto" w:fill="auto"/>
            <w:noWrap/>
            <w:vAlign w:val="center"/>
            <w:hideMark/>
          </w:tcPr>
          <w:p w14:paraId="6BC882EE" w14:textId="77777777" w:rsidR="00EF49F3" w:rsidRPr="00EF49F3" w:rsidRDefault="00EF49F3" w:rsidP="00EF49F3">
            <w:pPr>
              <w:spacing w:after="0" w:line="240" w:lineRule="auto"/>
              <w:jc w:val="right"/>
              <w:rPr>
                <w:rFonts w:cs="Arial"/>
                <w:sz w:val="16"/>
                <w:szCs w:val="16"/>
              </w:rPr>
            </w:pPr>
            <w:r w:rsidRPr="00EF49F3">
              <w:rPr>
                <w:rFonts w:cs="Arial"/>
                <w:sz w:val="16"/>
                <w:szCs w:val="16"/>
              </w:rPr>
              <w:t>3,35</w:t>
            </w:r>
          </w:p>
        </w:tc>
        <w:tc>
          <w:tcPr>
            <w:tcW w:w="624" w:type="dxa"/>
            <w:tcBorders>
              <w:top w:val="nil"/>
              <w:left w:val="nil"/>
              <w:bottom w:val="nil"/>
              <w:right w:val="nil"/>
            </w:tcBorders>
            <w:shd w:val="clear" w:color="auto" w:fill="auto"/>
            <w:noWrap/>
            <w:vAlign w:val="center"/>
            <w:hideMark/>
          </w:tcPr>
          <w:p w14:paraId="0653D382" w14:textId="77777777" w:rsidR="00EF49F3" w:rsidRPr="00EF49F3" w:rsidRDefault="00EF49F3" w:rsidP="00EF49F3">
            <w:pPr>
              <w:spacing w:after="0" w:line="240" w:lineRule="auto"/>
              <w:jc w:val="right"/>
              <w:rPr>
                <w:rFonts w:cs="Arial"/>
                <w:sz w:val="16"/>
                <w:szCs w:val="16"/>
              </w:rPr>
            </w:pPr>
            <w:r w:rsidRPr="00EF49F3">
              <w:rPr>
                <w:rFonts w:cs="Arial"/>
                <w:sz w:val="16"/>
                <w:szCs w:val="16"/>
              </w:rPr>
              <w:t>3,31</w:t>
            </w:r>
          </w:p>
        </w:tc>
        <w:tc>
          <w:tcPr>
            <w:tcW w:w="624" w:type="dxa"/>
            <w:tcBorders>
              <w:top w:val="nil"/>
              <w:left w:val="nil"/>
              <w:bottom w:val="nil"/>
              <w:right w:val="nil"/>
            </w:tcBorders>
            <w:shd w:val="clear" w:color="auto" w:fill="auto"/>
            <w:noWrap/>
            <w:vAlign w:val="center"/>
            <w:hideMark/>
          </w:tcPr>
          <w:p w14:paraId="58E5DD32" w14:textId="77777777" w:rsidR="00EF49F3" w:rsidRPr="00EF49F3" w:rsidRDefault="00EF49F3" w:rsidP="00EF49F3">
            <w:pPr>
              <w:spacing w:after="0" w:line="240" w:lineRule="auto"/>
              <w:jc w:val="right"/>
              <w:rPr>
                <w:rFonts w:cs="Arial"/>
                <w:sz w:val="16"/>
                <w:szCs w:val="16"/>
              </w:rPr>
            </w:pPr>
            <w:r w:rsidRPr="00EF49F3">
              <w:rPr>
                <w:rFonts w:cs="Arial"/>
                <w:sz w:val="16"/>
                <w:szCs w:val="16"/>
              </w:rPr>
              <w:t>3,43</w:t>
            </w:r>
          </w:p>
        </w:tc>
        <w:tc>
          <w:tcPr>
            <w:tcW w:w="624" w:type="dxa"/>
            <w:tcBorders>
              <w:top w:val="nil"/>
              <w:left w:val="nil"/>
              <w:bottom w:val="nil"/>
              <w:right w:val="nil"/>
            </w:tcBorders>
            <w:shd w:val="clear" w:color="000000" w:fill="FFFFFF"/>
            <w:noWrap/>
            <w:vAlign w:val="center"/>
            <w:hideMark/>
          </w:tcPr>
          <w:p w14:paraId="05639F22" w14:textId="77777777" w:rsidR="00EF49F3" w:rsidRPr="00EF49F3" w:rsidRDefault="00EF49F3" w:rsidP="00EF49F3">
            <w:pPr>
              <w:spacing w:after="0" w:line="240" w:lineRule="auto"/>
              <w:jc w:val="right"/>
              <w:rPr>
                <w:rFonts w:cs="Arial"/>
                <w:color w:val="000000"/>
                <w:sz w:val="16"/>
                <w:szCs w:val="16"/>
              </w:rPr>
            </w:pPr>
            <w:r w:rsidRPr="00EF49F3">
              <w:rPr>
                <w:rFonts w:cs="Arial"/>
                <w:color w:val="000000"/>
                <w:sz w:val="16"/>
                <w:szCs w:val="16"/>
              </w:rPr>
              <w:t>3,61</w:t>
            </w:r>
          </w:p>
        </w:tc>
        <w:tc>
          <w:tcPr>
            <w:tcW w:w="624" w:type="dxa"/>
            <w:tcBorders>
              <w:top w:val="nil"/>
              <w:left w:val="nil"/>
              <w:bottom w:val="nil"/>
              <w:right w:val="nil"/>
            </w:tcBorders>
            <w:shd w:val="clear" w:color="auto" w:fill="auto"/>
            <w:noWrap/>
            <w:vAlign w:val="center"/>
            <w:hideMark/>
          </w:tcPr>
          <w:p w14:paraId="59DC9844" w14:textId="77777777" w:rsidR="00EF49F3" w:rsidRPr="00EF49F3" w:rsidRDefault="00EF49F3" w:rsidP="00EF49F3">
            <w:pPr>
              <w:spacing w:after="0" w:line="240" w:lineRule="auto"/>
              <w:jc w:val="right"/>
              <w:rPr>
                <w:rFonts w:cs="Arial"/>
                <w:color w:val="000000"/>
                <w:sz w:val="16"/>
                <w:szCs w:val="16"/>
              </w:rPr>
            </w:pPr>
            <w:r w:rsidRPr="00EF49F3">
              <w:rPr>
                <w:rFonts w:cs="Arial"/>
                <w:color w:val="000000"/>
                <w:sz w:val="16"/>
                <w:szCs w:val="16"/>
              </w:rPr>
              <w:t>3,62</w:t>
            </w:r>
          </w:p>
        </w:tc>
      </w:tr>
      <w:tr w:rsidR="00EF49F3" w:rsidRPr="00EF49F3" w14:paraId="7D5C4F00" w14:textId="77777777" w:rsidTr="00EF49F3">
        <w:trPr>
          <w:trHeight w:val="300"/>
        </w:trPr>
        <w:tc>
          <w:tcPr>
            <w:tcW w:w="2080" w:type="dxa"/>
            <w:tcBorders>
              <w:top w:val="nil"/>
              <w:left w:val="nil"/>
              <w:bottom w:val="nil"/>
              <w:right w:val="nil"/>
            </w:tcBorders>
            <w:shd w:val="clear" w:color="auto" w:fill="auto"/>
            <w:noWrap/>
            <w:vAlign w:val="center"/>
            <w:hideMark/>
          </w:tcPr>
          <w:p w14:paraId="3447538D" w14:textId="77777777" w:rsidR="00EF49F3" w:rsidRPr="00EF49F3" w:rsidRDefault="00EF49F3" w:rsidP="00EF49F3">
            <w:pPr>
              <w:spacing w:after="0" w:line="240" w:lineRule="auto"/>
              <w:ind w:firstLineChars="100" w:firstLine="160"/>
              <w:rPr>
                <w:rFonts w:cs="Arial"/>
                <w:sz w:val="16"/>
                <w:szCs w:val="16"/>
              </w:rPr>
            </w:pPr>
            <w:r w:rsidRPr="00EF49F3">
              <w:rPr>
                <w:rFonts w:cs="Arial"/>
                <w:sz w:val="16"/>
                <w:szCs w:val="16"/>
              </w:rPr>
              <w:t>Středočeský kraj</w:t>
            </w:r>
          </w:p>
        </w:tc>
        <w:tc>
          <w:tcPr>
            <w:tcW w:w="624" w:type="dxa"/>
            <w:tcBorders>
              <w:top w:val="nil"/>
              <w:left w:val="nil"/>
              <w:bottom w:val="nil"/>
              <w:right w:val="nil"/>
            </w:tcBorders>
            <w:shd w:val="clear" w:color="auto" w:fill="auto"/>
            <w:noWrap/>
            <w:vAlign w:val="center"/>
            <w:hideMark/>
          </w:tcPr>
          <w:p w14:paraId="2F5D1F5E" w14:textId="77777777" w:rsidR="00EF49F3" w:rsidRPr="00EF49F3" w:rsidRDefault="00EF49F3" w:rsidP="00EF49F3">
            <w:pPr>
              <w:spacing w:after="0" w:line="240" w:lineRule="auto"/>
              <w:jc w:val="right"/>
              <w:rPr>
                <w:rFonts w:cs="Arial"/>
                <w:sz w:val="16"/>
                <w:szCs w:val="16"/>
              </w:rPr>
            </w:pPr>
            <w:r w:rsidRPr="00EF49F3">
              <w:rPr>
                <w:rFonts w:cs="Arial"/>
                <w:sz w:val="16"/>
                <w:szCs w:val="16"/>
              </w:rPr>
              <w:t>5,01</w:t>
            </w:r>
          </w:p>
        </w:tc>
        <w:tc>
          <w:tcPr>
            <w:tcW w:w="624" w:type="dxa"/>
            <w:tcBorders>
              <w:top w:val="nil"/>
              <w:left w:val="nil"/>
              <w:bottom w:val="nil"/>
              <w:right w:val="nil"/>
            </w:tcBorders>
            <w:shd w:val="clear" w:color="auto" w:fill="auto"/>
            <w:noWrap/>
            <w:vAlign w:val="center"/>
            <w:hideMark/>
          </w:tcPr>
          <w:p w14:paraId="22891624" w14:textId="77777777" w:rsidR="00EF49F3" w:rsidRPr="00EF49F3" w:rsidRDefault="00EF49F3" w:rsidP="00EF49F3">
            <w:pPr>
              <w:spacing w:after="0" w:line="240" w:lineRule="auto"/>
              <w:jc w:val="right"/>
              <w:rPr>
                <w:rFonts w:cs="Arial"/>
                <w:sz w:val="16"/>
                <w:szCs w:val="16"/>
              </w:rPr>
            </w:pPr>
            <w:r w:rsidRPr="00EF49F3">
              <w:rPr>
                <w:rFonts w:cs="Arial"/>
                <w:sz w:val="16"/>
                <w:szCs w:val="16"/>
              </w:rPr>
              <w:t>4,32</w:t>
            </w:r>
          </w:p>
        </w:tc>
        <w:tc>
          <w:tcPr>
            <w:tcW w:w="624" w:type="dxa"/>
            <w:tcBorders>
              <w:top w:val="nil"/>
              <w:left w:val="nil"/>
              <w:bottom w:val="nil"/>
              <w:right w:val="nil"/>
            </w:tcBorders>
            <w:shd w:val="clear" w:color="auto" w:fill="auto"/>
            <w:noWrap/>
            <w:vAlign w:val="center"/>
            <w:hideMark/>
          </w:tcPr>
          <w:p w14:paraId="00233760" w14:textId="77777777" w:rsidR="00EF49F3" w:rsidRPr="00EF49F3" w:rsidRDefault="00EF49F3" w:rsidP="00EF49F3">
            <w:pPr>
              <w:spacing w:after="0" w:line="240" w:lineRule="auto"/>
              <w:jc w:val="right"/>
              <w:rPr>
                <w:rFonts w:cs="Arial"/>
                <w:sz w:val="16"/>
                <w:szCs w:val="16"/>
              </w:rPr>
            </w:pPr>
            <w:r w:rsidRPr="00EF49F3">
              <w:rPr>
                <w:rFonts w:cs="Arial"/>
                <w:sz w:val="16"/>
                <w:szCs w:val="16"/>
              </w:rPr>
              <w:t>4,18</w:t>
            </w:r>
          </w:p>
        </w:tc>
        <w:tc>
          <w:tcPr>
            <w:tcW w:w="624" w:type="dxa"/>
            <w:tcBorders>
              <w:top w:val="nil"/>
              <w:left w:val="nil"/>
              <w:bottom w:val="nil"/>
              <w:right w:val="nil"/>
            </w:tcBorders>
            <w:shd w:val="clear" w:color="auto" w:fill="auto"/>
            <w:noWrap/>
            <w:vAlign w:val="center"/>
            <w:hideMark/>
          </w:tcPr>
          <w:p w14:paraId="62101E9C" w14:textId="77777777" w:rsidR="00EF49F3" w:rsidRPr="00EF49F3" w:rsidRDefault="00EF49F3" w:rsidP="00EF49F3">
            <w:pPr>
              <w:spacing w:after="0" w:line="240" w:lineRule="auto"/>
              <w:jc w:val="right"/>
              <w:rPr>
                <w:rFonts w:cs="Arial"/>
                <w:sz w:val="16"/>
                <w:szCs w:val="16"/>
              </w:rPr>
            </w:pPr>
            <w:r w:rsidRPr="00EF49F3">
              <w:rPr>
                <w:rFonts w:cs="Arial"/>
                <w:sz w:val="16"/>
                <w:szCs w:val="16"/>
              </w:rPr>
              <w:t>4,04</w:t>
            </w:r>
          </w:p>
        </w:tc>
        <w:tc>
          <w:tcPr>
            <w:tcW w:w="624" w:type="dxa"/>
            <w:tcBorders>
              <w:top w:val="nil"/>
              <w:left w:val="nil"/>
              <w:bottom w:val="nil"/>
              <w:right w:val="nil"/>
            </w:tcBorders>
            <w:shd w:val="clear" w:color="auto" w:fill="auto"/>
            <w:noWrap/>
            <w:vAlign w:val="center"/>
            <w:hideMark/>
          </w:tcPr>
          <w:p w14:paraId="1F73447B" w14:textId="77777777" w:rsidR="00EF49F3" w:rsidRPr="00EF49F3" w:rsidRDefault="00EF49F3" w:rsidP="00EF49F3">
            <w:pPr>
              <w:spacing w:after="0" w:line="240" w:lineRule="auto"/>
              <w:jc w:val="right"/>
              <w:rPr>
                <w:rFonts w:cs="Arial"/>
                <w:sz w:val="16"/>
                <w:szCs w:val="16"/>
              </w:rPr>
            </w:pPr>
            <w:r w:rsidRPr="00EF49F3">
              <w:rPr>
                <w:rFonts w:cs="Arial"/>
                <w:sz w:val="16"/>
                <w:szCs w:val="16"/>
              </w:rPr>
              <w:t>3,60</w:t>
            </w:r>
          </w:p>
        </w:tc>
        <w:tc>
          <w:tcPr>
            <w:tcW w:w="624" w:type="dxa"/>
            <w:tcBorders>
              <w:top w:val="nil"/>
              <w:left w:val="nil"/>
              <w:bottom w:val="nil"/>
              <w:right w:val="nil"/>
            </w:tcBorders>
            <w:shd w:val="clear" w:color="auto" w:fill="auto"/>
            <w:noWrap/>
            <w:vAlign w:val="center"/>
            <w:hideMark/>
          </w:tcPr>
          <w:p w14:paraId="2416E393" w14:textId="77777777" w:rsidR="00EF49F3" w:rsidRPr="00EF49F3" w:rsidRDefault="00EF49F3" w:rsidP="00EF49F3">
            <w:pPr>
              <w:spacing w:after="0" w:line="240" w:lineRule="auto"/>
              <w:jc w:val="right"/>
              <w:rPr>
                <w:rFonts w:cs="Arial"/>
                <w:sz w:val="16"/>
                <w:szCs w:val="16"/>
              </w:rPr>
            </w:pPr>
            <w:r w:rsidRPr="00EF49F3">
              <w:rPr>
                <w:rFonts w:cs="Arial"/>
                <w:sz w:val="16"/>
                <w:szCs w:val="16"/>
              </w:rPr>
              <w:t>3,97</w:t>
            </w:r>
          </w:p>
        </w:tc>
        <w:tc>
          <w:tcPr>
            <w:tcW w:w="624" w:type="dxa"/>
            <w:tcBorders>
              <w:top w:val="nil"/>
              <w:left w:val="nil"/>
              <w:bottom w:val="nil"/>
              <w:right w:val="nil"/>
            </w:tcBorders>
            <w:shd w:val="clear" w:color="auto" w:fill="auto"/>
            <w:noWrap/>
            <w:vAlign w:val="center"/>
            <w:hideMark/>
          </w:tcPr>
          <w:p w14:paraId="1D253D6B" w14:textId="77777777" w:rsidR="00EF49F3" w:rsidRPr="00EF49F3" w:rsidRDefault="00EF49F3" w:rsidP="00EF49F3">
            <w:pPr>
              <w:spacing w:after="0" w:line="240" w:lineRule="auto"/>
              <w:jc w:val="right"/>
              <w:rPr>
                <w:rFonts w:cs="Arial"/>
                <w:sz w:val="16"/>
                <w:szCs w:val="16"/>
              </w:rPr>
            </w:pPr>
            <w:r w:rsidRPr="00EF49F3">
              <w:rPr>
                <w:rFonts w:cs="Arial"/>
                <w:sz w:val="16"/>
                <w:szCs w:val="16"/>
              </w:rPr>
              <w:t>3,85</w:t>
            </w:r>
          </w:p>
        </w:tc>
        <w:tc>
          <w:tcPr>
            <w:tcW w:w="624" w:type="dxa"/>
            <w:tcBorders>
              <w:top w:val="nil"/>
              <w:left w:val="nil"/>
              <w:bottom w:val="nil"/>
              <w:right w:val="nil"/>
            </w:tcBorders>
            <w:shd w:val="clear" w:color="auto" w:fill="auto"/>
            <w:noWrap/>
            <w:vAlign w:val="center"/>
            <w:hideMark/>
          </w:tcPr>
          <w:p w14:paraId="38B2027F" w14:textId="77777777" w:rsidR="00EF49F3" w:rsidRPr="00EF49F3" w:rsidRDefault="00EF49F3" w:rsidP="00EF49F3">
            <w:pPr>
              <w:spacing w:after="0" w:line="240" w:lineRule="auto"/>
              <w:jc w:val="right"/>
              <w:rPr>
                <w:rFonts w:cs="Arial"/>
                <w:sz w:val="16"/>
                <w:szCs w:val="16"/>
              </w:rPr>
            </w:pPr>
            <w:r w:rsidRPr="00EF49F3">
              <w:rPr>
                <w:rFonts w:cs="Arial"/>
                <w:sz w:val="16"/>
                <w:szCs w:val="16"/>
              </w:rPr>
              <w:t>4,34</w:t>
            </w:r>
          </w:p>
        </w:tc>
        <w:tc>
          <w:tcPr>
            <w:tcW w:w="624" w:type="dxa"/>
            <w:tcBorders>
              <w:top w:val="nil"/>
              <w:left w:val="nil"/>
              <w:bottom w:val="nil"/>
              <w:right w:val="nil"/>
            </w:tcBorders>
            <w:shd w:val="clear" w:color="auto" w:fill="auto"/>
            <w:noWrap/>
            <w:vAlign w:val="center"/>
            <w:hideMark/>
          </w:tcPr>
          <w:p w14:paraId="201686B3" w14:textId="77777777" w:rsidR="00EF49F3" w:rsidRPr="00EF49F3" w:rsidRDefault="00EF49F3" w:rsidP="00EF49F3">
            <w:pPr>
              <w:spacing w:after="0" w:line="240" w:lineRule="auto"/>
              <w:jc w:val="right"/>
              <w:rPr>
                <w:rFonts w:cs="Arial"/>
                <w:sz w:val="16"/>
                <w:szCs w:val="16"/>
              </w:rPr>
            </w:pPr>
            <w:r w:rsidRPr="00EF49F3">
              <w:rPr>
                <w:rFonts w:cs="Arial"/>
                <w:sz w:val="16"/>
                <w:szCs w:val="16"/>
              </w:rPr>
              <w:t>4,47</w:t>
            </w:r>
          </w:p>
        </w:tc>
        <w:tc>
          <w:tcPr>
            <w:tcW w:w="624" w:type="dxa"/>
            <w:tcBorders>
              <w:top w:val="nil"/>
              <w:left w:val="nil"/>
              <w:bottom w:val="nil"/>
              <w:right w:val="nil"/>
            </w:tcBorders>
            <w:shd w:val="clear" w:color="auto" w:fill="auto"/>
            <w:noWrap/>
            <w:vAlign w:val="center"/>
            <w:hideMark/>
          </w:tcPr>
          <w:p w14:paraId="1B3A3C39" w14:textId="77777777" w:rsidR="00EF49F3" w:rsidRPr="00EF49F3" w:rsidRDefault="00EF49F3" w:rsidP="00EF49F3">
            <w:pPr>
              <w:spacing w:after="0" w:line="240" w:lineRule="auto"/>
              <w:jc w:val="right"/>
              <w:rPr>
                <w:rFonts w:cs="Arial"/>
                <w:sz w:val="16"/>
                <w:szCs w:val="16"/>
              </w:rPr>
            </w:pPr>
            <w:r w:rsidRPr="00EF49F3">
              <w:rPr>
                <w:rFonts w:cs="Arial"/>
                <w:sz w:val="16"/>
                <w:szCs w:val="16"/>
              </w:rPr>
              <w:t>4,64</w:t>
            </w:r>
          </w:p>
        </w:tc>
        <w:tc>
          <w:tcPr>
            <w:tcW w:w="624" w:type="dxa"/>
            <w:tcBorders>
              <w:top w:val="nil"/>
              <w:left w:val="nil"/>
              <w:bottom w:val="nil"/>
              <w:right w:val="nil"/>
            </w:tcBorders>
            <w:shd w:val="clear" w:color="000000" w:fill="FFFFFF"/>
            <w:noWrap/>
            <w:vAlign w:val="center"/>
            <w:hideMark/>
          </w:tcPr>
          <w:p w14:paraId="24251D37" w14:textId="77777777" w:rsidR="00EF49F3" w:rsidRPr="00EF49F3" w:rsidRDefault="00EF49F3" w:rsidP="00EF49F3">
            <w:pPr>
              <w:spacing w:after="0" w:line="240" w:lineRule="auto"/>
              <w:jc w:val="right"/>
              <w:rPr>
                <w:rFonts w:cs="Arial"/>
                <w:color w:val="000000"/>
                <w:sz w:val="16"/>
                <w:szCs w:val="16"/>
              </w:rPr>
            </w:pPr>
            <w:r w:rsidRPr="00EF49F3">
              <w:rPr>
                <w:rFonts w:cs="Arial"/>
                <w:color w:val="000000"/>
                <w:sz w:val="16"/>
                <w:szCs w:val="16"/>
              </w:rPr>
              <w:t>4,85</w:t>
            </w:r>
          </w:p>
        </w:tc>
        <w:tc>
          <w:tcPr>
            <w:tcW w:w="624" w:type="dxa"/>
            <w:tcBorders>
              <w:top w:val="nil"/>
              <w:left w:val="nil"/>
              <w:bottom w:val="nil"/>
              <w:right w:val="nil"/>
            </w:tcBorders>
            <w:shd w:val="clear" w:color="auto" w:fill="auto"/>
            <w:noWrap/>
            <w:vAlign w:val="center"/>
            <w:hideMark/>
          </w:tcPr>
          <w:p w14:paraId="3EDE9DE6" w14:textId="77777777" w:rsidR="00EF49F3" w:rsidRPr="00EF49F3" w:rsidRDefault="00EF49F3" w:rsidP="00EF49F3">
            <w:pPr>
              <w:spacing w:after="0" w:line="240" w:lineRule="auto"/>
              <w:jc w:val="right"/>
              <w:rPr>
                <w:rFonts w:cs="Arial"/>
                <w:color w:val="000000"/>
                <w:sz w:val="16"/>
                <w:szCs w:val="16"/>
              </w:rPr>
            </w:pPr>
            <w:r w:rsidRPr="00EF49F3">
              <w:rPr>
                <w:rFonts w:cs="Arial"/>
                <w:color w:val="000000"/>
                <w:sz w:val="16"/>
                <w:szCs w:val="16"/>
              </w:rPr>
              <w:t>4,96</w:t>
            </w:r>
          </w:p>
        </w:tc>
      </w:tr>
      <w:tr w:rsidR="00EF49F3" w:rsidRPr="00EF49F3" w14:paraId="0EFBF399" w14:textId="77777777" w:rsidTr="00EF49F3">
        <w:trPr>
          <w:trHeight w:val="300"/>
        </w:trPr>
        <w:tc>
          <w:tcPr>
            <w:tcW w:w="2080" w:type="dxa"/>
            <w:tcBorders>
              <w:top w:val="nil"/>
              <w:left w:val="nil"/>
              <w:bottom w:val="nil"/>
              <w:right w:val="nil"/>
            </w:tcBorders>
            <w:shd w:val="clear" w:color="auto" w:fill="auto"/>
            <w:noWrap/>
            <w:vAlign w:val="center"/>
            <w:hideMark/>
          </w:tcPr>
          <w:p w14:paraId="594FBA05" w14:textId="77777777" w:rsidR="00EF49F3" w:rsidRPr="00EF49F3" w:rsidRDefault="00EF49F3" w:rsidP="00EF49F3">
            <w:pPr>
              <w:spacing w:after="0" w:line="240" w:lineRule="auto"/>
              <w:ind w:firstLineChars="100" w:firstLine="160"/>
              <w:rPr>
                <w:rFonts w:cs="Arial"/>
                <w:sz w:val="16"/>
                <w:szCs w:val="16"/>
              </w:rPr>
            </w:pPr>
            <w:r w:rsidRPr="00EF49F3">
              <w:rPr>
                <w:rFonts w:cs="Arial"/>
                <w:sz w:val="16"/>
                <w:szCs w:val="16"/>
              </w:rPr>
              <w:t>Jihočeský kraj</w:t>
            </w:r>
          </w:p>
        </w:tc>
        <w:tc>
          <w:tcPr>
            <w:tcW w:w="624" w:type="dxa"/>
            <w:tcBorders>
              <w:top w:val="nil"/>
              <w:left w:val="nil"/>
              <w:bottom w:val="nil"/>
              <w:right w:val="nil"/>
            </w:tcBorders>
            <w:shd w:val="clear" w:color="auto" w:fill="auto"/>
            <w:noWrap/>
            <w:vAlign w:val="center"/>
            <w:hideMark/>
          </w:tcPr>
          <w:p w14:paraId="62A037F1" w14:textId="77777777" w:rsidR="00EF49F3" w:rsidRPr="00EF49F3" w:rsidRDefault="00EF49F3" w:rsidP="00EF49F3">
            <w:pPr>
              <w:spacing w:after="0" w:line="240" w:lineRule="auto"/>
              <w:jc w:val="right"/>
              <w:rPr>
                <w:rFonts w:cs="Arial"/>
                <w:sz w:val="16"/>
                <w:szCs w:val="16"/>
              </w:rPr>
            </w:pPr>
            <w:r w:rsidRPr="00EF49F3">
              <w:rPr>
                <w:rFonts w:cs="Arial"/>
                <w:sz w:val="16"/>
                <w:szCs w:val="16"/>
              </w:rPr>
              <w:t>5,52</w:t>
            </w:r>
          </w:p>
        </w:tc>
        <w:tc>
          <w:tcPr>
            <w:tcW w:w="624" w:type="dxa"/>
            <w:tcBorders>
              <w:top w:val="nil"/>
              <w:left w:val="nil"/>
              <w:bottom w:val="nil"/>
              <w:right w:val="nil"/>
            </w:tcBorders>
            <w:shd w:val="clear" w:color="auto" w:fill="auto"/>
            <w:noWrap/>
            <w:vAlign w:val="center"/>
            <w:hideMark/>
          </w:tcPr>
          <w:p w14:paraId="378F087F" w14:textId="77777777" w:rsidR="00EF49F3" w:rsidRPr="00EF49F3" w:rsidRDefault="00EF49F3" w:rsidP="00EF49F3">
            <w:pPr>
              <w:spacing w:after="0" w:line="240" w:lineRule="auto"/>
              <w:jc w:val="right"/>
              <w:rPr>
                <w:rFonts w:cs="Arial"/>
                <w:sz w:val="16"/>
                <w:szCs w:val="16"/>
              </w:rPr>
            </w:pPr>
            <w:r w:rsidRPr="00EF49F3">
              <w:rPr>
                <w:rFonts w:cs="Arial"/>
                <w:sz w:val="16"/>
                <w:szCs w:val="16"/>
              </w:rPr>
              <w:t>4,80</w:t>
            </w:r>
          </w:p>
        </w:tc>
        <w:tc>
          <w:tcPr>
            <w:tcW w:w="624" w:type="dxa"/>
            <w:tcBorders>
              <w:top w:val="nil"/>
              <w:left w:val="nil"/>
              <w:bottom w:val="nil"/>
              <w:right w:val="nil"/>
            </w:tcBorders>
            <w:shd w:val="clear" w:color="auto" w:fill="auto"/>
            <w:noWrap/>
            <w:vAlign w:val="center"/>
            <w:hideMark/>
          </w:tcPr>
          <w:p w14:paraId="0545B1DA" w14:textId="77777777" w:rsidR="00EF49F3" w:rsidRPr="00EF49F3" w:rsidRDefault="00EF49F3" w:rsidP="00EF49F3">
            <w:pPr>
              <w:spacing w:after="0" w:line="240" w:lineRule="auto"/>
              <w:jc w:val="right"/>
              <w:rPr>
                <w:rFonts w:cs="Arial"/>
                <w:sz w:val="16"/>
                <w:szCs w:val="16"/>
              </w:rPr>
            </w:pPr>
            <w:r w:rsidRPr="00EF49F3">
              <w:rPr>
                <w:rFonts w:cs="Arial"/>
                <w:sz w:val="16"/>
                <w:szCs w:val="16"/>
              </w:rPr>
              <w:t>4,61</w:t>
            </w:r>
          </w:p>
        </w:tc>
        <w:tc>
          <w:tcPr>
            <w:tcW w:w="624" w:type="dxa"/>
            <w:tcBorders>
              <w:top w:val="nil"/>
              <w:left w:val="nil"/>
              <w:bottom w:val="nil"/>
              <w:right w:val="nil"/>
            </w:tcBorders>
            <w:shd w:val="clear" w:color="auto" w:fill="auto"/>
            <w:noWrap/>
            <w:vAlign w:val="center"/>
            <w:hideMark/>
          </w:tcPr>
          <w:p w14:paraId="5DC4B722" w14:textId="77777777" w:rsidR="00EF49F3" w:rsidRPr="00EF49F3" w:rsidRDefault="00EF49F3" w:rsidP="00EF49F3">
            <w:pPr>
              <w:spacing w:after="0" w:line="240" w:lineRule="auto"/>
              <w:jc w:val="right"/>
              <w:rPr>
                <w:rFonts w:cs="Arial"/>
                <w:sz w:val="16"/>
                <w:szCs w:val="16"/>
              </w:rPr>
            </w:pPr>
            <w:r w:rsidRPr="00EF49F3">
              <w:rPr>
                <w:rFonts w:cs="Arial"/>
                <w:sz w:val="16"/>
                <w:szCs w:val="16"/>
              </w:rPr>
              <w:t>4,72</w:t>
            </w:r>
          </w:p>
        </w:tc>
        <w:tc>
          <w:tcPr>
            <w:tcW w:w="624" w:type="dxa"/>
            <w:tcBorders>
              <w:top w:val="nil"/>
              <w:left w:val="nil"/>
              <w:bottom w:val="nil"/>
              <w:right w:val="nil"/>
            </w:tcBorders>
            <w:shd w:val="clear" w:color="auto" w:fill="auto"/>
            <w:noWrap/>
            <w:vAlign w:val="center"/>
            <w:hideMark/>
          </w:tcPr>
          <w:p w14:paraId="5EB2835E" w14:textId="77777777" w:rsidR="00EF49F3" w:rsidRPr="00EF49F3" w:rsidRDefault="00EF49F3" w:rsidP="00EF49F3">
            <w:pPr>
              <w:spacing w:after="0" w:line="240" w:lineRule="auto"/>
              <w:jc w:val="right"/>
              <w:rPr>
                <w:rFonts w:cs="Arial"/>
                <w:sz w:val="16"/>
                <w:szCs w:val="16"/>
              </w:rPr>
            </w:pPr>
            <w:r w:rsidRPr="00EF49F3">
              <w:rPr>
                <w:rFonts w:cs="Arial"/>
                <w:sz w:val="16"/>
                <w:szCs w:val="16"/>
              </w:rPr>
              <w:t>4,21</w:t>
            </w:r>
          </w:p>
        </w:tc>
        <w:tc>
          <w:tcPr>
            <w:tcW w:w="624" w:type="dxa"/>
            <w:tcBorders>
              <w:top w:val="nil"/>
              <w:left w:val="nil"/>
              <w:bottom w:val="nil"/>
              <w:right w:val="nil"/>
            </w:tcBorders>
            <w:shd w:val="clear" w:color="auto" w:fill="auto"/>
            <w:noWrap/>
            <w:vAlign w:val="center"/>
            <w:hideMark/>
          </w:tcPr>
          <w:p w14:paraId="01669C32" w14:textId="77777777" w:rsidR="00EF49F3" w:rsidRPr="00EF49F3" w:rsidRDefault="00EF49F3" w:rsidP="00EF49F3">
            <w:pPr>
              <w:spacing w:after="0" w:line="240" w:lineRule="auto"/>
              <w:jc w:val="right"/>
              <w:rPr>
                <w:rFonts w:cs="Arial"/>
                <w:sz w:val="16"/>
                <w:szCs w:val="16"/>
              </w:rPr>
            </w:pPr>
            <w:r w:rsidRPr="00EF49F3">
              <w:rPr>
                <w:rFonts w:cs="Arial"/>
                <w:sz w:val="16"/>
                <w:szCs w:val="16"/>
              </w:rPr>
              <w:t>4,76</w:t>
            </w:r>
          </w:p>
        </w:tc>
        <w:tc>
          <w:tcPr>
            <w:tcW w:w="624" w:type="dxa"/>
            <w:tcBorders>
              <w:top w:val="nil"/>
              <w:left w:val="nil"/>
              <w:bottom w:val="nil"/>
              <w:right w:val="nil"/>
            </w:tcBorders>
            <w:shd w:val="clear" w:color="auto" w:fill="auto"/>
            <w:noWrap/>
            <w:vAlign w:val="center"/>
            <w:hideMark/>
          </w:tcPr>
          <w:p w14:paraId="5882E4FB" w14:textId="77777777" w:rsidR="00EF49F3" w:rsidRPr="00EF49F3" w:rsidRDefault="00EF49F3" w:rsidP="00EF49F3">
            <w:pPr>
              <w:spacing w:after="0" w:line="240" w:lineRule="auto"/>
              <w:jc w:val="right"/>
              <w:rPr>
                <w:rFonts w:cs="Arial"/>
                <w:sz w:val="16"/>
                <w:szCs w:val="16"/>
              </w:rPr>
            </w:pPr>
            <w:r w:rsidRPr="00EF49F3">
              <w:rPr>
                <w:rFonts w:cs="Arial"/>
                <w:sz w:val="16"/>
                <w:szCs w:val="16"/>
              </w:rPr>
              <w:t>4,57</w:t>
            </w:r>
          </w:p>
        </w:tc>
        <w:tc>
          <w:tcPr>
            <w:tcW w:w="624" w:type="dxa"/>
            <w:tcBorders>
              <w:top w:val="nil"/>
              <w:left w:val="nil"/>
              <w:bottom w:val="nil"/>
              <w:right w:val="nil"/>
            </w:tcBorders>
            <w:shd w:val="clear" w:color="auto" w:fill="auto"/>
            <w:noWrap/>
            <w:vAlign w:val="center"/>
            <w:hideMark/>
          </w:tcPr>
          <w:p w14:paraId="30976194" w14:textId="77777777" w:rsidR="00EF49F3" w:rsidRPr="00EF49F3" w:rsidRDefault="00EF49F3" w:rsidP="00EF49F3">
            <w:pPr>
              <w:spacing w:after="0" w:line="240" w:lineRule="auto"/>
              <w:jc w:val="right"/>
              <w:rPr>
                <w:rFonts w:cs="Arial"/>
                <w:sz w:val="16"/>
                <w:szCs w:val="16"/>
              </w:rPr>
            </w:pPr>
            <w:r w:rsidRPr="00EF49F3">
              <w:rPr>
                <w:rFonts w:cs="Arial"/>
                <w:sz w:val="16"/>
                <w:szCs w:val="16"/>
              </w:rPr>
              <w:t>5,09</w:t>
            </w:r>
          </w:p>
        </w:tc>
        <w:tc>
          <w:tcPr>
            <w:tcW w:w="624" w:type="dxa"/>
            <w:tcBorders>
              <w:top w:val="nil"/>
              <w:left w:val="nil"/>
              <w:bottom w:val="nil"/>
              <w:right w:val="nil"/>
            </w:tcBorders>
            <w:shd w:val="clear" w:color="auto" w:fill="auto"/>
            <w:noWrap/>
            <w:vAlign w:val="center"/>
            <w:hideMark/>
          </w:tcPr>
          <w:p w14:paraId="3A873B64" w14:textId="77777777" w:rsidR="00EF49F3" w:rsidRPr="00EF49F3" w:rsidRDefault="00EF49F3" w:rsidP="00EF49F3">
            <w:pPr>
              <w:spacing w:after="0" w:line="240" w:lineRule="auto"/>
              <w:jc w:val="right"/>
              <w:rPr>
                <w:rFonts w:cs="Arial"/>
                <w:sz w:val="16"/>
                <w:szCs w:val="16"/>
              </w:rPr>
            </w:pPr>
            <w:r w:rsidRPr="00EF49F3">
              <w:rPr>
                <w:rFonts w:cs="Arial"/>
                <w:sz w:val="16"/>
                <w:szCs w:val="16"/>
              </w:rPr>
              <w:t>5,31</w:t>
            </w:r>
          </w:p>
        </w:tc>
        <w:tc>
          <w:tcPr>
            <w:tcW w:w="624" w:type="dxa"/>
            <w:tcBorders>
              <w:top w:val="nil"/>
              <w:left w:val="nil"/>
              <w:bottom w:val="nil"/>
              <w:right w:val="nil"/>
            </w:tcBorders>
            <w:shd w:val="clear" w:color="auto" w:fill="auto"/>
            <w:noWrap/>
            <w:vAlign w:val="center"/>
            <w:hideMark/>
          </w:tcPr>
          <w:p w14:paraId="70FE2FE3" w14:textId="77777777" w:rsidR="00EF49F3" w:rsidRPr="00EF49F3" w:rsidRDefault="00EF49F3" w:rsidP="00EF49F3">
            <w:pPr>
              <w:spacing w:after="0" w:line="240" w:lineRule="auto"/>
              <w:jc w:val="right"/>
              <w:rPr>
                <w:rFonts w:cs="Arial"/>
                <w:sz w:val="16"/>
                <w:szCs w:val="16"/>
              </w:rPr>
            </w:pPr>
            <w:r w:rsidRPr="00EF49F3">
              <w:rPr>
                <w:rFonts w:cs="Arial"/>
                <w:sz w:val="16"/>
                <w:szCs w:val="16"/>
              </w:rPr>
              <w:t>5,52</w:t>
            </w:r>
          </w:p>
        </w:tc>
        <w:tc>
          <w:tcPr>
            <w:tcW w:w="624" w:type="dxa"/>
            <w:tcBorders>
              <w:top w:val="nil"/>
              <w:left w:val="nil"/>
              <w:bottom w:val="nil"/>
              <w:right w:val="nil"/>
            </w:tcBorders>
            <w:shd w:val="clear" w:color="000000" w:fill="FFFFFF"/>
            <w:noWrap/>
            <w:vAlign w:val="center"/>
            <w:hideMark/>
          </w:tcPr>
          <w:p w14:paraId="627FF905" w14:textId="77777777" w:rsidR="00EF49F3" w:rsidRPr="00EF49F3" w:rsidRDefault="00EF49F3" w:rsidP="00EF49F3">
            <w:pPr>
              <w:spacing w:after="0" w:line="240" w:lineRule="auto"/>
              <w:jc w:val="right"/>
              <w:rPr>
                <w:rFonts w:cs="Arial"/>
                <w:color w:val="000000"/>
                <w:sz w:val="16"/>
                <w:szCs w:val="16"/>
              </w:rPr>
            </w:pPr>
            <w:r w:rsidRPr="00EF49F3">
              <w:rPr>
                <w:rFonts w:cs="Arial"/>
                <w:color w:val="000000"/>
                <w:sz w:val="16"/>
                <w:szCs w:val="16"/>
              </w:rPr>
              <w:t>5,54</w:t>
            </w:r>
          </w:p>
        </w:tc>
        <w:tc>
          <w:tcPr>
            <w:tcW w:w="624" w:type="dxa"/>
            <w:tcBorders>
              <w:top w:val="nil"/>
              <w:left w:val="nil"/>
              <w:bottom w:val="nil"/>
              <w:right w:val="nil"/>
            </w:tcBorders>
            <w:shd w:val="clear" w:color="auto" w:fill="auto"/>
            <w:noWrap/>
            <w:vAlign w:val="center"/>
            <w:hideMark/>
          </w:tcPr>
          <w:p w14:paraId="628121D6" w14:textId="77777777" w:rsidR="00EF49F3" w:rsidRPr="00EF49F3" w:rsidRDefault="00EF49F3" w:rsidP="00EF49F3">
            <w:pPr>
              <w:spacing w:after="0" w:line="240" w:lineRule="auto"/>
              <w:jc w:val="right"/>
              <w:rPr>
                <w:rFonts w:cs="Arial"/>
                <w:color w:val="000000"/>
                <w:sz w:val="16"/>
                <w:szCs w:val="16"/>
              </w:rPr>
            </w:pPr>
            <w:r w:rsidRPr="00EF49F3">
              <w:rPr>
                <w:rFonts w:cs="Arial"/>
                <w:color w:val="000000"/>
                <w:sz w:val="16"/>
                <w:szCs w:val="16"/>
              </w:rPr>
              <w:t>5,58</w:t>
            </w:r>
          </w:p>
        </w:tc>
      </w:tr>
      <w:tr w:rsidR="00EF49F3" w:rsidRPr="00EF49F3" w14:paraId="21F2A719" w14:textId="77777777" w:rsidTr="00EF49F3">
        <w:trPr>
          <w:trHeight w:val="300"/>
        </w:trPr>
        <w:tc>
          <w:tcPr>
            <w:tcW w:w="2080" w:type="dxa"/>
            <w:tcBorders>
              <w:top w:val="nil"/>
              <w:left w:val="nil"/>
              <w:bottom w:val="nil"/>
              <w:right w:val="nil"/>
            </w:tcBorders>
            <w:shd w:val="clear" w:color="auto" w:fill="auto"/>
            <w:noWrap/>
            <w:vAlign w:val="center"/>
            <w:hideMark/>
          </w:tcPr>
          <w:p w14:paraId="72BCFAC9" w14:textId="77777777" w:rsidR="00EF49F3" w:rsidRPr="00EF49F3" w:rsidRDefault="00EF49F3" w:rsidP="00EF49F3">
            <w:pPr>
              <w:spacing w:after="0" w:line="240" w:lineRule="auto"/>
              <w:ind w:firstLineChars="100" w:firstLine="160"/>
              <w:rPr>
                <w:rFonts w:cs="Arial"/>
                <w:sz w:val="16"/>
                <w:szCs w:val="16"/>
              </w:rPr>
            </w:pPr>
            <w:r w:rsidRPr="00EF49F3">
              <w:rPr>
                <w:rFonts w:cs="Arial"/>
                <w:sz w:val="16"/>
                <w:szCs w:val="16"/>
              </w:rPr>
              <w:t>Plzeňský kraj</w:t>
            </w:r>
          </w:p>
        </w:tc>
        <w:tc>
          <w:tcPr>
            <w:tcW w:w="624" w:type="dxa"/>
            <w:tcBorders>
              <w:top w:val="nil"/>
              <w:left w:val="nil"/>
              <w:bottom w:val="nil"/>
              <w:right w:val="nil"/>
            </w:tcBorders>
            <w:shd w:val="clear" w:color="auto" w:fill="auto"/>
            <w:noWrap/>
            <w:vAlign w:val="center"/>
            <w:hideMark/>
          </w:tcPr>
          <w:p w14:paraId="56EDF8CA" w14:textId="77777777" w:rsidR="00EF49F3" w:rsidRPr="00EF49F3" w:rsidRDefault="00EF49F3" w:rsidP="00EF49F3">
            <w:pPr>
              <w:spacing w:after="0" w:line="240" w:lineRule="auto"/>
              <w:jc w:val="right"/>
              <w:rPr>
                <w:rFonts w:cs="Arial"/>
                <w:sz w:val="16"/>
                <w:szCs w:val="16"/>
              </w:rPr>
            </w:pPr>
            <w:r w:rsidRPr="00EF49F3">
              <w:rPr>
                <w:rFonts w:cs="Arial"/>
                <w:sz w:val="16"/>
                <w:szCs w:val="16"/>
              </w:rPr>
              <w:t>5,53</w:t>
            </w:r>
          </w:p>
        </w:tc>
        <w:tc>
          <w:tcPr>
            <w:tcW w:w="624" w:type="dxa"/>
            <w:tcBorders>
              <w:top w:val="nil"/>
              <w:left w:val="nil"/>
              <w:bottom w:val="nil"/>
              <w:right w:val="nil"/>
            </w:tcBorders>
            <w:shd w:val="clear" w:color="auto" w:fill="auto"/>
            <w:noWrap/>
            <w:vAlign w:val="center"/>
            <w:hideMark/>
          </w:tcPr>
          <w:p w14:paraId="026E3C52" w14:textId="77777777" w:rsidR="00EF49F3" w:rsidRPr="00EF49F3" w:rsidRDefault="00EF49F3" w:rsidP="00EF49F3">
            <w:pPr>
              <w:spacing w:after="0" w:line="240" w:lineRule="auto"/>
              <w:jc w:val="right"/>
              <w:rPr>
                <w:rFonts w:cs="Arial"/>
                <w:sz w:val="16"/>
                <w:szCs w:val="16"/>
              </w:rPr>
            </w:pPr>
            <w:r w:rsidRPr="00EF49F3">
              <w:rPr>
                <w:rFonts w:cs="Arial"/>
                <w:sz w:val="16"/>
                <w:szCs w:val="16"/>
              </w:rPr>
              <w:t>4,58</w:t>
            </w:r>
          </w:p>
        </w:tc>
        <w:tc>
          <w:tcPr>
            <w:tcW w:w="624" w:type="dxa"/>
            <w:tcBorders>
              <w:top w:val="nil"/>
              <w:left w:val="nil"/>
              <w:bottom w:val="nil"/>
              <w:right w:val="nil"/>
            </w:tcBorders>
            <w:shd w:val="clear" w:color="auto" w:fill="auto"/>
            <w:noWrap/>
            <w:vAlign w:val="center"/>
            <w:hideMark/>
          </w:tcPr>
          <w:p w14:paraId="5A0CCE95" w14:textId="77777777" w:rsidR="00EF49F3" w:rsidRPr="00EF49F3" w:rsidRDefault="00EF49F3" w:rsidP="00EF49F3">
            <w:pPr>
              <w:spacing w:after="0" w:line="240" w:lineRule="auto"/>
              <w:jc w:val="right"/>
              <w:rPr>
                <w:rFonts w:cs="Arial"/>
                <w:sz w:val="16"/>
                <w:szCs w:val="16"/>
              </w:rPr>
            </w:pPr>
            <w:r w:rsidRPr="00EF49F3">
              <w:rPr>
                <w:rFonts w:cs="Arial"/>
                <w:sz w:val="16"/>
                <w:szCs w:val="16"/>
              </w:rPr>
              <w:t>4,23</w:t>
            </w:r>
          </w:p>
        </w:tc>
        <w:tc>
          <w:tcPr>
            <w:tcW w:w="624" w:type="dxa"/>
            <w:tcBorders>
              <w:top w:val="nil"/>
              <w:left w:val="nil"/>
              <w:bottom w:val="nil"/>
              <w:right w:val="nil"/>
            </w:tcBorders>
            <w:shd w:val="clear" w:color="auto" w:fill="auto"/>
            <w:noWrap/>
            <w:vAlign w:val="center"/>
            <w:hideMark/>
          </w:tcPr>
          <w:p w14:paraId="385E1E32" w14:textId="77777777" w:rsidR="00EF49F3" w:rsidRPr="00EF49F3" w:rsidRDefault="00EF49F3" w:rsidP="00EF49F3">
            <w:pPr>
              <w:spacing w:after="0" w:line="240" w:lineRule="auto"/>
              <w:jc w:val="right"/>
              <w:rPr>
                <w:rFonts w:cs="Arial"/>
                <w:sz w:val="16"/>
                <w:szCs w:val="16"/>
              </w:rPr>
            </w:pPr>
            <w:r w:rsidRPr="00EF49F3">
              <w:rPr>
                <w:rFonts w:cs="Arial"/>
                <w:sz w:val="16"/>
                <w:szCs w:val="16"/>
              </w:rPr>
              <w:t>4,10</w:t>
            </w:r>
          </w:p>
        </w:tc>
        <w:tc>
          <w:tcPr>
            <w:tcW w:w="624" w:type="dxa"/>
            <w:tcBorders>
              <w:top w:val="nil"/>
              <w:left w:val="nil"/>
              <w:bottom w:val="nil"/>
              <w:right w:val="nil"/>
            </w:tcBorders>
            <w:shd w:val="clear" w:color="auto" w:fill="auto"/>
            <w:noWrap/>
            <w:vAlign w:val="center"/>
            <w:hideMark/>
          </w:tcPr>
          <w:p w14:paraId="0DB93C82" w14:textId="77777777" w:rsidR="00EF49F3" w:rsidRPr="00EF49F3" w:rsidRDefault="00EF49F3" w:rsidP="00EF49F3">
            <w:pPr>
              <w:spacing w:after="0" w:line="240" w:lineRule="auto"/>
              <w:jc w:val="right"/>
              <w:rPr>
                <w:rFonts w:cs="Arial"/>
                <w:sz w:val="16"/>
                <w:szCs w:val="16"/>
              </w:rPr>
            </w:pPr>
            <w:r w:rsidRPr="00EF49F3">
              <w:rPr>
                <w:rFonts w:cs="Arial"/>
                <w:sz w:val="16"/>
                <w:szCs w:val="16"/>
              </w:rPr>
              <w:t>3,84</w:t>
            </w:r>
          </w:p>
        </w:tc>
        <w:tc>
          <w:tcPr>
            <w:tcW w:w="624" w:type="dxa"/>
            <w:tcBorders>
              <w:top w:val="nil"/>
              <w:left w:val="nil"/>
              <w:bottom w:val="nil"/>
              <w:right w:val="nil"/>
            </w:tcBorders>
            <w:shd w:val="clear" w:color="auto" w:fill="auto"/>
            <w:noWrap/>
            <w:vAlign w:val="center"/>
            <w:hideMark/>
          </w:tcPr>
          <w:p w14:paraId="165300A0" w14:textId="77777777" w:rsidR="00EF49F3" w:rsidRPr="00EF49F3" w:rsidRDefault="00EF49F3" w:rsidP="00EF49F3">
            <w:pPr>
              <w:spacing w:after="0" w:line="240" w:lineRule="auto"/>
              <w:jc w:val="right"/>
              <w:rPr>
                <w:rFonts w:cs="Arial"/>
                <w:sz w:val="16"/>
                <w:szCs w:val="16"/>
              </w:rPr>
            </w:pPr>
            <w:r w:rsidRPr="00EF49F3">
              <w:rPr>
                <w:rFonts w:cs="Arial"/>
                <w:sz w:val="16"/>
                <w:szCs w:val="16"/>
              </w:rPr>
              <w:t>4,37</w:t>
            </w:r>
          </w:p>
        </w:tc>
        <w:tc>
          <w:tcPr>
            <w:tcW w:w="624" w:type="dxa"/>
            <w:tcBorders>
              <w:top w:val="nil"/>
              <w:left w:val="nil"/>
              <w:bottom w:val="nil"/>
              <w:right w:val="nil"/>
            </w:tcBorders>
            <w:shd w:val="clear" w:color="auto" w:fill="auto"/>
            <w:noWrap/>
            <w:vAlign w:val="center"/>
            <w:hideMark/>
          </w:tcPr>
          <w:p w14:paraId="094BB2D9" w14:textId="77777777" w:rsidR="00EF49F3" w:rsidRPr="00EF49F3" w:rsidRDefault="00EF49F3" w:rsidP="00EF49F3">
            <w:pPr>
              <w:spacing w:after="0" w:line="240" w:lineRule="auto"/>
              <w:jc w:val="right"/>
              <w:rPr>
                <w:rFonts w:cs="Arial"/>
                <w:sz w:val="16"/>
                <w:szCs w:val="16"/>
              </w:rPr>
            </w:pPr>
            <w:r w:rsidRPr="00EF49F3">
              <w:rPr>
                <w:rFonts w:cs="Arial"/>
                <w:sz w:val="16"/>
                <w:szCs w:val="16"/>
              </w:rPr>
              <w:t>4,21</w:t>
            </w:r>
          </w:p>
        </w:tc>
        <w:tc>
          <w:tcPr>
            <w:tcW w:w="624" w:type="dxa"/>
            <w:tcBorders>
              <w:top w:val="nil"/>
              <w:left w:val="nil"/>
              <w:bottom w:val="nil"/>
              <w:right w:val="nil"/>
            </w:tcBorders>
            <w:shd w:val="clear" w:color="auto" w:fill="auto"/>
            <w:noWrap/>
            <w:vAlign w:val="center"/>
            <w:hideMark/>
          </w:tcPr>
          <w:p w14:paraId="3818F591" w14:textId="77777777" w:rsidR="00EF49F3" w:rsidRPr="00EF49F3" w:rsidRDefault="00EF49F3" w:rsidP="00EF49F3">
            <w:pPr>
              <w:spacing w:after="0" w:line="240" w:lineRule="auto"/>
              <w:jc w:val="right"/>
              <w:rPr>
                <w:rFonts w:cs="Arial"/>
                <w:sz w:val="16"/>
                <w:szCs w:val="16"/>
              </w:rPr>
            </w:pPr>
            <w:r w:rsidRPr="00EF49F3">
              <w:rPr>
                <w:rFonts w:cs="Arial"/>
                <w:sz w:val="16"/>
                <w:szCs w:val="16"/>
              </w:rPr>
              <w:t>4,85</w:t>
            </w:r>
          </w:p>
        </w:tc>
        <w:tc>
          <w:tcPr>
            <w:tcW w:w="624" w:type="dxa"/>
            <w:tcBorders>
              <w:top w:val="nil"/>
              <w:left w:val="nil"/>
              <w:bottom w:val="nil"/>
              <w:right w:val="nil"/>
            </w:tcBorders>
            <w:shd w:val="clear" w:color="auto" w:fill="auto"/>
            <w:noWrap/>
            <w:vAlign w:val="center"/>
            <w:hideMark/>
          </w:tcPr>
          <w:p w14:paraId="30918123" w14:textId="77777777" w:rsidR="00EF49F3" w:rsidRPr="00EF49F3" w:rsidRDefault="00EF49F3" w:rsidP="00EF49F3">
            <w:pPr>
              <w:spacing w:after="0" w:line="240" w:lineRule="auto"/>
              <w:jc w:val="right"/>
              <w:rPr>
                <w:rFonts w:cs="Arial"/>
                <w:sz w:val="16"/>
                <w:szCs w:val="16"/>
              </w:rPr>
            </w:pPr>
            <w:r w:rsidRPr="00EF49F3">
              <w:rPr>
                <w:rFonts w:cs="Arial"/>
                <w:sz w:val="16"/>
                <w:szCs w:val="16"/>
              </w:rPr>
              <w:t>4,91</w:t>
            </w:r>
          </w:p>
        </w:tc>
        <w:tc>
          <w:tcPr>
            <w:tcW w:w="624" w:type="dxa"/>
            <w:tcBorders>
              <w:top w:val="nil"/>
              <w:left w:val="nil"/>
              <w:bottom w:val="nil"/>
              <w:right w:val="nil"/>
            </w:tcBorders>
            <w:shd w:val="clear" w:color="auto" w:fill="auto"/>
            <w:noWrap/>
            <w:vAlign w:val="center"/>
            <w:hideMark/>
          </w:tcPr>
          <w:p w14:paraId="5913DDCD" w14:textId="77777777" w:rsidR="00EF49F3" w:rsidRPr="00EF49F3" w:rsidRDefault="00EF49F3" w:rsidP="00EF49F3">
            <w:pPr>
              <w:spacing w:after="0" w:line="240" w:lineRule="auto"/>
              <w:jc w:val="right"/>
              <w:rPr>
                <w:rFonts w:cs="Arial"/>
                <w:sz w:val="16"/>
                <w:szCs w:val="16"/>
              </w:rPr>
            </w:pPr>
            <w:r w:rsidRPr="00EF49F3">
              <w:rPr>
                <w:rFonts w:cs="Arial"/>
                <w:sz w:val="16"/>
                <w:szCs w:val="16"/>
              </w:rPr>
              <w:t>5,08</w:t>
            </w:r>
          </w:p>
        </w:tc>
        <w:tc>
          <w:tcPr>
            <w:tcW w:w="624" w:type="dxa"/>
            <w:tcBorders>
              <w:top w:val="nil"/>
              <w:left w:val="nil"/>
              <w:bottom w:val="nil"/>
              <w:right w:val="nil"/>
            </w:tcBorders>
            <w:shd w:val="clear" w:color="000000" w:fill="FFFFFF"/>
            <w:noWrap/>
            <w:vAlign w:val="center"/>
            <w:hideMark/>
          </w:tcPr>
          <w:p w14:paraId="6A30E340" w14:textId="77777777" w:rsidR="00EF49F3" w:rsidRPr="00EF49F3" w:rsidRDefault="00EF49F3" w:rsidP="00EF49F3">
            <w:pPr>
              <w:spacing w:after="0" w:line="240" w:lineRule="auto"/>
              <w:jc w:val="right"/>
              <w:rPr>
                <w:rFonts w:cs="Arial"/>
                <w:color w:val="000000"/>
                <w:sz w:val="16"/>
                <w:szCs w:val="16"/>
              </w:rPr>
            </w:pPr>
            <w:r w:rsidRPr="00EF49F3">
              <w:rPr>
                <w:rFonts w:cs="Arial"/>
                <w:color w:val="000000"/>
                <w:sz w:val="16"/>
                <w:szCs w:val="16"/>
              </w:rPr>
              <w:t>5,17</w:t>
            </w:r>
          </w:p>
        </w:tc>
        <w:tc>
          <w:tcPr>
            <w:tcW w:w="624" w:type="dxa"/>
            <w:tcBorders>
              <w:top w:val="nil"/>
              <w:left w:val="nil"/>
              <w:bottom w:val="nil"/>
              <w:right w:val="nil"/>
            </w:tcBorders>
            <w:shd w:val="clear" w:color="auto" w:fill="auto"/>
            <w:noWrap/>
            <w:vAlign w:val="center"/>
            <w:hideMark/>
          </w:tcPr>
          <w:p w14:paraId="708B1006" w14:textId="77777777" w:rsidR="00EF49F3" w:rsidRPr="00EF49F3" w:rsidRDefault="00EF49F3" w:rsidP="00EF49F3">
            <w:pPr>
              <w:spacing w:after="0" w:line="240" w:lineRule="auto"/>
              <w:jc w:val="right"/>
              <w:rPr>
                <w:rFonts w:cs="Arial"/>
                <w:color w:val="000000"/>
                <w:sz w:val="16"/>
                <w:szCs w:val="16"/>
              </w:rPr>
            </w:pPr>
            <w:r w:rsidRPr="00EF49F3">
              <w:rPr>
                <w:rFonts w:cs="Arial"/>
                <w:color w:val="000000"/>
                <w:sz w:val="16"/>
                <w:szCs w:val="16"/>
              </w:rPr>
              <w:t>5,22</w:t>
            </w:r>
          </w:p>
        </w:tc>
      </w:tr>
      <w:tr w:rsidR="00EF49F3" w:rsidRPr="00EF49F3" w14:paraId="48ED2958" w14:textId="77777777" w:rsidTr="00EF49F3">
        <w:trPr>
          <w:trHeight w:val="300"/>
        </w:trPr>
        <w:tc>
          <w:tcPr>
            <w:tcW w:w="2080" w:type="dxa"/>
            <w:tcBorders>
              <w:top w:val="nil"/>
              <w:left w:val="nil"/>
              <w:bottom w:val="nil"/>
              <w:right w:val="nil"/>
            </w:tcBorders>
            <w:shd w:val="clear" w:color="auto" w:fill="auto"/>
            <w:noWrap/>
            <w:vAlign w:val="center"/>
            <w:hideMark/>
          </w:tcPr>
          <w:p w14:paraId="750139BA" w14:textId="77777777" w:rsidR="00EF49F3" w:rsidRPr="00EF49F3" w:rsidRDefault="00EF49F3" w:rsidP="00EF49F3">
            <w:pPr>
              <w:spacing w:after="0" w:line="240" w:lineRule="auto"/>
              <w:ind w:firstLineChars="100" w:firstLine="160"/>
              <w:rPr>
                <w:rFonts w:cs="Arial"/>
                <w:sz w:val="16"/>
                <w:szCs w:val="16"/>
              </w:rPr>
            </w:pPr>
            <w:r w:rsidRPr="00EF49F3">
              <w:rPr>
                <w:rFonts w:cs="Arial"/>
                <w:sz w:val="16"/>
                <w:szCs w:val="16"/>
              </w:rPr>
              <w:t>Karlovarský kraj</w:t>
            </w:r>
          </w:p>
        </w:tc>
        <w:tc>
          <w:tcPr>
            <w:tcW w:w="624" w:type="dxa"/>
            <w:tcBorders>
              <w:top w:val="nil"/>
              <w:left w:val="nil"/>
              <w:bottom w:val="nil"/>
              <w:right w:val="nil"/>
            </w:tcBorders>
            <w:shd w:val="clear" w:color="auto" w:fill="auto"/>
            <w:noWrap/>
            <w:vAlign w:val="center"/>
            <w:hideMark/>
          </w:tcPr>
          <w:p w14:paraId="4B1097FF" w14:textId="77777777" w:rsidR="00EF49F3" w:rsidRPr="00EF49F3" w:rsidRDefault="00EF49F3" w:rsidP="00EF49F3">
            <w:pPr>
              <w:spacing w:after="0" w:line="240" w:lineRule="auto"/>
              <w:jc w:val="right"/>
              <w:rPr>
                <w:rFonts w:cs="Arial"/>
                <w:sz w:val="16"/>
                <w:szCs w:val="16"/>
              </w:rPr>
            </w:pPr>
            <w:r w:rsidRPr="00EF49F3">
              <w:rPr>
                <w:rFonts w:cs="Arial"/>
                <w:sz w:val="16"/>
                <w:szCs w:val="16"/>
              </w:rPr>
              <w:t>5,12</w:t>
            </w:r>
          </w:p>
        </w:tc>
        <w:tc>
          <w:tcPr>
            <w:tcW w:w="624" w:type="dxa"/>
            <w:tcBorders>
              <w:top w:val="nil"/>
              <w:left w:val="nil"/>
              <w:bottom w:val="nil"/>
              <w:right w:val="nil"/>
            </w:tcBorders>
            <w:shd w:val="clear" w:color="auto" w:fill="auto"/>
            <w:noWrap/>
            <w:vAlign w:val="center"/>
            <w:hideMark/>
          </w:tcPr>
          <w:p w14:paraId="56A3DC30" w14:textId="77777777" w:rsidR="00EF49F3" w:rsidRPr="00EF49F3" w:rsidRDefault="00EF49F3" w:rsidP="00EF49F3">
            <w:pPr>
              <w:spacing w:after="0" w:line="240" w:lineRule="auto"/>
              <w:jc w:val="right"/>
              <w:rPr>
                <w:rFonts w:cs="Arial"/>
                <w:sz w:val="16"/>
                <w:szCs w:val="16"/>
              </w:rPr>
            </w:pPr>
            <w:r w:rsidRPr="00EF49F3">
              <w:rPr>
                <w:rFonts w:cs="Arial"/>
                <w:sz w:val="16"/>
                <w:szCs w:val="16"/>
              </w:rPr>
              <w:t>4,34</w:t>
            </w:r>
          </w:p>
        </w:tc>
        <w:tc>
          <w:tcPr>
            <w:tcW w:w="624" w:type="dxa"/>
            <w:tcBorders>
              <w:top w:val="nil"/>
              <w:left w:val="nil"/>
              <w:bottom w:val="nil"/>
              <w:right w:val="nil"/>
            </w:tcBorders>
            <w:shd w:val="clear" w:color="auto" w:fill="auto"/>
            <w:noWrap/>
            <w:vAlign w:val="center"/>
            <w:hideMark/>
          </w:tcPr>
          <w:p w14:paraId="6743135F" w14:textId="77777777" w:rsidR="00EF49F3" w:rsidRPr="00EF49F3" w:rsidRDefault="00EF49F3" w:rsidP="00EF49F3">
            <w:pPr>
              <w:spacing w:after="0" w:line="240" w:lineRule="auto"/>
              <w:jc w:val="right"/>
              <w:rPr>
                <w:rFonts w:cs="Arial"/>
                <w:sz w:val="16"/>
                <w:szCs w:val="16"/>
              </w:rPr>
            </w:pPr>
            <w:r w:rsidRPr="00EF49F3">
              <w:rPr>
                <w:rFonts w:cs="Arial"/>
                <w:sz w:val="16"/>
                <w:szCs w:val="16"/>
              </w:rPr>
              <w:t>3,85</w:t>
            </w:r>
          </w:p>
        </w:tc>
        <w:tc>
          <w:tcPr>
            <w:tcW w:w="624" w:type="dxa"/>
            <w:tcBorders>
              <w:top w:val="nil"/>
              <w:left w:val="nil"/>
              <w:bottom w:val="nil"/>
              <w:right w:val="nil"/>
            </w:tcBorders>
            <w:shd w:val="clear" w:color="auto" w:fill="auto"/>
            <w:noWrap/>
            <w:vAlign w:val="center"/>
            <w:hideMark/>
          </w:tcPr>
          <w:p w14:paraId="134B1FF8" w14:textId="77777777" w:rsidR="00EF49F3" w:rsidRPr="00EF49F3" w:rsidRDefault="00EF49F3" w:rsidP="00EF49F3">
            <w:pPr>
              <w:spacing w:after="0" w:line="240" w:lineRule="auto"/>
              <w:jc w:val="right"/>
              <w:rPr>
                <w:rFonts w:cs="Arial"/>
                <w:sz w:val="16"/>
                <w:szCs w:val="16"/>
              </w:rPr>
            </w:pPr>
            <w:r w:rsidRPr="00EF49F3">
              <w:rPr>
                <w:rFonts w:cs="Arial"/>
                <w:sz w:val="16"/>
                <w:szCs w:val="16"/>
              </w:rPr>
              <w:t>3,69</w:t>
            </w:r>
          </w:p>
        </w:tc>
        <w:tc>
          <w:tcPr>
            <w:tcW w:w="624" w:type="dxa"/>
            <w:tcBorders>
              <w:top w:val="nil"/>
              <w:left w:val="nil"/>
              <w:bottom w:val="nil"/>
              <w:right w:val="nil"/>
            </w:tcBorders>
            <w:shd w:val="clear" w:color="auto" w:fill="auto"/>
            <w:noWrap/>
            <w:vAlign w:val="center"/>
            <w:hideMark/>
          </w:tcPr>
          <w:p w14:paraId="44163B9E" w14:textId="77777777" w:rsidR="00EF49F3" w:rsidRPr="00EF49F3" w:rsidRDefault="00EF49F3" w:rsidP="00EF49F3">
            <w:pPr>
              <w:spacing w:after="0" w:line="240" w:lineRule="auto"/>
              <w:jc w:val="right"/>
              <w:rPr>
                <w:rFonts w:cs="Arial"/>
                <w:sz w:val="16"/>
                <w:szCs w:val="16"/>
              </w:rPr>
            </w:pPr>
            <w:r w:rsidRPr="00EF49F3">
              <w:rPr>
                <w:rFonts w:cs="Arial"/>
                <w:sz w:val="16"/>
                <w:szCs w:val="16"/>
              </w:rPr>
              <w:t>3,51</w:t>
            </w:r>
          </w:p>
        </w:tc>
        <w:tc>
          <w:tcPr>
            <w:tcW w:w="624" w:type="dxa"/>
            <w:tcBorders>
              <w:top w:val="nil"/>
              <w:left w:val="nil"/>
              <w:bottom w:val="nil"/>
              <w:right w:val="nil"/>
            </w:tcBorders>
            <w:shd w:val="clear" w:color="auto" w:fill="auto"/>
            <w:noWrap/>
            <w:vAlign w:val="center"/>
            <w:hideMark/>
          </w:tcPr>
          <w:p w14:paraId="23FA0407" w14:textId="77777777" w:rsidR="00EF49F3" w:rsidRPr="00EF49F3" w:rsidRDefault="00EF49F3" w:rsidP="00EF49F3">
            <w:pPr>
              <w:spacing w:after="0" w:line="240" w:lineRule="auto"/>
              <w:jc w:val="right"/>
              <w:rPr>
                <w:rFonts w:cs="Arial"/>
                <w:sz w:val="16"/>
                <w:szCs w:val="16"/>
              </w:rPr>
            </w:pPr>
            <w:r w:rsidRPr="00EF49F3">
              <w:rPr>
                <w:rFonts w:cs="Arial"/>
                <w:sz w:val="16"/>
                <w:szCs w:val="16"/>
              </w:rPr>
              <w:t>4,08</w:t>
            </w:r>
          </w:p>
        </w:tc>
        <w:tc>
          <w:tcPr>
            <w:tcW w:w="624" w:type="dxa"/>
            <w:tcBorders>
              <w:top w:val="nil"/>
              <w:left w:val="nil"/>
              <w:bottom w:val="nil"/>
              <w:right w:val="nil"/>
            </w:tcBorders>
            <w:shd w:val="clear" w:color="auto" w:fill="auto"/>
            <w:noWrap/>
            <w:vAlign w:val="center"/>
            <w:hideMark/>
          </w:tcPr>
          <w:p w14:paraId="49793C09" w14:textId="77777777" w:rsidR="00EF49F3" w:rsidRPr="00EF49F3" w:rsidRDefault="00EF49F3" w:rsidP="00EF49F3">
            <w:pPr>
              <w:spacing w:after="0" w:line="240" w:lineRule="auto"/>
              <w:jc w:val="right"/>
              <w:rPr>
                <w:rFonts w:cs="Arial"/>
                <w:sz w:val="16"/>
                <w:szCs w:val="16"/>
              </w:rPr>
            </w:pPr>
            <w:r w:rsidRPr="00EF49F3">
              <w:rPr>
                <w:rFonts w:cs="Arial"/>
                <w:sz w:val="16"/>
                <w:szCs w:val="16"/>
              </w:rPr>
              <w:t>4,01</w:t>
            </w:r>
          </w:p>
        </w:tc>
        <w:tc>
          <w:tcPr>
            <w:tcW w:w="624" w:type="dxa"/>
            <w:tcBorders>
              <w:top w:val="nil"/>
              <w:left w:val="nil"/>
              <w:bottom w:val="nil"/>
              <w:right w:val="nil"/>
            </w:tcBorders>
            <w:shd w:val="clear" w:color="auto" w:fill="auto"/>
            <w:noWrap/>
            <w:vAlign w:val="center"/>
            <w:hideMark/>
          </w:tcPr>
          <w:p w14:paraId="4B0107A6" w14:textId="77777777" w:rsidR="00EF49F3" w:rsidRPr="00EF49F3" w:rsidRDefault="00EF49F3" w:rsidP="00EF49F3">
            <w:pPr>
              <w:spacing w:after="0" w:line="240" w:lineRule="auto"/>
              <w:jc w:val="right"/>
              <w:rPr>
                <w:rFonts w:cs="Arial"/>
                <w:sz w:val="16"/>
                <w:szCs w:val="16"/>
              </w:rPr>
            </w:pPr>
            <w:r w:rsidRPr="00EF49F3">
              <w:rPr>
                <w:rFonts w:cs="Arial"/>
                <w:sz w:val="16"/>
                <w:szCs w:val="16"/>
              </w:rPr>
              <w:t>4,72</w:t>
            </w:r>
          </w:p>
        </w:tc>
        <w:tc>
          <w:tcPr>
            <w:tcW w:w="624" w:type="dxa"/>
            <w:tcBorders>
              <w:top w:val="nil"/>
              <w:left w:val="nil"/>
              <w:bottom w:val="nil"/>
              <w:right w:val="nil"/>
            </w:tcBorders>
            <w:shd w:val="clear" w:color="auto" w:fill="auto"/>
            <w:noWrap/>
            <w:vAlign w:val="center"/>
            <w:hideMark/>
          </w:tcPr>
          <w:p w14:paraId="018F581B" w14:textId="77777777" w:rsidR="00EF49F3" w:rsidRPr="00EF49F3" w:rsidRDefault="00EF49F3" w:rsidP="00EF49F3">
            <w:pPr>
              <w:spacing w:after="0" w:line="240" w:lineRule="auto"/>
              <w:jc w:val="right"/>
              <w:rPr>
                <w:rFonts w:cs="Arial"/>
                <w:sz w:val="16"/>
                <w:szCs w:val="16"/>
              </w:rPr>
            </w:pPr>
            <w:r w:rsidRPr="00EF49F3">
              <w:rPr>
                <w:rFonts w:cs="Arial"/>
                <w:sz w:val="16"/>
                <w:szCs w:val="16"/>
              </w:rPr>
              <w:t>4,71</w:t>
            </w:r>
          </w:p>
        </w:tc>
        <w:tc>
          <w:tcPr>
            <w:tcW w:w="624" w:type="dxa"/>
            <w:tcBorders>
              <w:top w:val="nil"/>
              <w:left w:val="nil"/>
              <w:bottom w:val="nil"/>
              <w:right w:val="nil"/>
            </w:tcBorders>
            <w:shd w:val="clear" w:color="auto" w:fill="auto"/>
            <w:noWrap/>
            <w:vAlign w:val="center"/>
            <w:hideMark/>
          </w:tcPr>
          <w:p w14:paraId="7333AD64" w14:textId="77777777" w:rsidR="00EF49F3" w:rsidRPr="00EF49F3" w:rsidRDefault="00EF49F3" w:rsidP="00EF49F3">
            <w:pPr>
              <w:spacing w:after="0" w:line="240" w:lineRule="auto"/>
              <w:jc w:val="right"/>
              <w:rPr>
                <w:rFonts w:cs="Arial"/>
                <w:sz w:val="16"/>
                <w:szCs w:val="16"/>
              </w:rPr>
            </w:pPr>
            <w:r w:rsidRPr="00EF49F3">
              <w:rPr>
                <w:rFonts w:cs="Arial"/>
                <w:sz w:val="16"/>
                <w:szCs w:val="16"/>
              </w:rPr>
              <w:t>4,80</w:t>
            </w:r>
          </w:p>
        </w:tc>
        <w:tc>
          <w:tcPr>
            <w:tcW w:w="624" w:type="dxa"/>
            <w:tcBorders>
              <w:top w:val="nil"/>
              <w:left w:val="nil"/>
              <w:bottom w:val="nil"/>
              <w:right w:val="nil"/>
            </w:tcBorders>
            <w:shd w:val="clear" w:color="000000" w:fill="FFFFFF"/>
            <w:noWrap/>
            <w:vAlign w:val="center"/>
            <w:hideMark/>
          </w:tcPr>
          <w:p w14:paraId="208FCE44" w14:textId="77777777" w:rsidR="00EF49F3" w:rsidRPr="00EF49F3" w:rsidRDefault="00EF49F3" w:rsidP="00EF49F3">
            <w:pPr>
              <w:spacing w:after="0" w:line="240" w:lineRule="auto"/>
              <w:jc w:val="right"/>
              <w:rPr>
                <w:rFonts w:cs="Arial"/>
                <w:color w:val="000000"/>
                <w:sz w:val="16"/>
                <w:szCs w:val="16"/>
              </w:rPr>
            </w:pPr>
            <w:r w:rsidRPr="00EF49F3">
              <w:rPr>
                <w:rFonts w:cs="Arial"/>
                <w:color w:val="000000"/>
                <w:sz w:val="16"/>
                <w:szCs w:val="16"/>
              </w:rPr>
              <w:t>5,07</w:t>
            </w:r>
          </w:p>
        </w:tc>
        <w:tc>
          <w:tcPr>
            <w:tcW w:w="624" w:type="dxa"/>
            <w:tcBorders>
              <w:top w:val="nil"/>
              <w:left w:val="nil"/>
              <w:bottom w:val="nil"/>
              <w:right w:val="nil"/>
            </w:tcBorders>
            <w:shd w:val="clear" w:color="auto" w:fill="auto"/>
            <w:noWrap/>
            <w:vAlign w:val="center"/>
            <w:hideMark/>
          </w:tcPr>
          <w:p w14:paraId="47E8CC29" w14:textId="77777777" w:rsidR="00EF49F3" w:rsidRPr="00EF49F3" w:rsidRDefault="00EF49F3" w:rsidP="00EF49F3">
            <w:pPr>
              <w:spacing w:after="0" w:line="240" w:lineRule="auto"/>
              <w:jc w:val="right"/>
              <w:rPr>
                <w:rFonts w:cs="Arial"/>
                <w:color w:val="000000"/>
                <w:sz w:val="16"/>
                <w:szCs w:val="16"/>
              </w:rPr>
            </w:pPr>
            <w:r w:rsidRPr="00EF49F3">
              <w:rPr>
                <w:rFonts w:cs="Arial"/>
                <w:color w:val="000000"/>
                <w:sz w:val="16"/>
                <w:szCs w:val="16"/>
              </w:rPr>
              <w:t>5,20</w:t>
            </w:r>
          </w:p>
        </w:tc>
      </w:tr>
      <w:tr w:rsidR="00EF49F3" w:rsidRPr="00EF49F3" w14:paraId="384FDD22" w14:textId="77777777" w:rsidTr="00EF49F3">
        <w:trPr>
          <w:trHeight w:val="300"/>
        </w:trPr>
        <w:tc>
          <w:tcPr>
            <w:tcW w:w="2080" w:type="dxa"/>
            <w:tcBorders>
              <w:top w:val="nil"/>
              <w:left w:val="nil"/>
              <w:bottom w:val="nil"/>
              <w:right w:val="nil"/>
            </w:tcBorders>
            <w:shd w:val="clear" w:color="auto" w:fill="auto"/>
            <w:noWrap/>
            <w:vAlign w:val="center"/>
            <w:hideMark/>
          </w:tcPr>
          <w:p w14:paraId="4D57F6C0" w14:textId="77777777" w:rsidR="00EF49F3" w:rsidRPr="00EF49F3" w:rsidRDefault="00EF49F3" w:rsidP="00EF49F3">
            <w:pPr>
              <w:spacing w:after="0" w:line="240" w:lineRule="auto"/>
              <w:ind w:firstLineChars="100" w:firstLine="160"/>
              <w:rPr>
                <w:rFonts w:cs="Arial"/>
                <w:sz w:val="16"/>
                <w:szCs w:val="16"/>
              </w:rPr>
            </w:pPr>
            <w:r w:rsidRPr="00EF49F3">
              <w:rPr>
                <w:rFonts w:cs="Arial"/>
                <w:sz w:val="16"/>
                <w:szCs w:val="16"/>
              </w:rPr>
              <w:t>Ústecký kraj</w:t>
            </w:r>
          </w:p>
        </w:tc>
        <w:tc>
          <w:tcPr>
            <w:tcW w:w="624" w:type="dxa"/>
            <w:tcBorders>
              <w:top w:val="nil"/>
              <w:left w:val="nil"/>
              <w:bottom w:val="nil"/>
              <w:right w:val="nil"/>
            </w:tcBorders>
            <w:shd w:val="clear" w:color="auto" w:fill="auto"/>
            <w:noWrap/>
            <w:vAlign w:val="center"/>
            <w:hideMark/>
          </w:tcPr>
          <w:p w14:paraId="42A1FF2A" w14:textId="77777777" w:rsidR="00EF49F3" w:rsidRPr="00EF49F3" w:rsidRDefault="00EF49F3" w:rsidP="00EF49F3">
            <w:pPr>
              <w:spacing w:after="0" w:line="240" w:lineRule="auto"/>
              <w:jc w:val="right"/>
              <w:rPr>
                <w:rFonts w:cs="Arial"/>
                <w:sz w:val="16"/>
                <w:szCs w:val="16"/>
              </w:rPr>
            </w:pPr>
            <w:r w:rsidRPr="00EF49F3">
              <w:rPr>
                <w:rFonts w:cs="Arial"/>
                <w:sz w:val="16"/>
                <w:szCs w:val="16"/>
              </w:rPr>
              <w:t>5,15</w:t>
            </w:r>
          </w:p>
        </w:tc>
        <w:tc>
          <w:tcPr>
            <w:tcW w:w="624" w:type="dxa"/>
            <w:tcBorders>
              <w:top w:val="nil"/>
              <w:left w:val="nil"/>
              <w:bottom w:val="nil"/>
              <w:right w:val="nil"/>
            </w:tcBorders>
            <w:shd w:val="clear" w:color="auto" w:fill="auto"/>
            <w:noWrap/>
            <w:vAlign w:val="center"/>
            <w:hideMark/>
          </w:tcPr>
          <w:p w14:paraId="5BC6B8CF" w14:textId="77777777" w:rsidR="00EF49F3" w:rsidRPr="00EF49F3" w:rsidRDefault="00EF49F3" w:rsidP="00EF49F3">
            <w:pPr>
              <w:spacing w:after="0" w:line="240" w:lineRule="auto"/>
              <w:jc w:val="right"/>
              <w:rPr>
                <w:rFonts w:cs="Arial"/>
                <w:sz w:val="16"/>
                <w:szCs w:val="16"/>
              </w:rPr>
            </w:pPr>
            <w:r w:rsidRPr="00EF49F3">
              <w:rPr>
                <w:rFonts w:cs="Arial"/>
                <w:sz w:val="16"/>
                <w:szCs w:val="16"/>
              </w:rPr>
              <w:t>4,20</w:t>
            </w:r>
          </w:p>
        </w:tc>
        <w:tc>
          <w:tcPr>
            <w:tcW w:w="624" w:type="dxa"/>
            <w:tcBorders>
              <w:top w:val="nil"/>
              <w:left w:val="nil"/>
              <w:bottom w:val="nil"/>
              <w:right w:val="nil"/>
            </w:tcBorders>
            <w:shd w:val="clear" w:color="auto" w:fill="auto"/>
            <w:noWrap/>
            <w:vAlign w:val="center"/>
            <w:hideMark/>
          </w:tcPr>
          <w:p w14:paraId="71ACD322" w14:textId="77777777" w:rsidR="00EF49F3" w:rsidRPr="00EF49F3" w:rsidRDefault="00EF49F3" w:rsidP="00EF49F3">
            <w:pPr>
              <w:spacing w:after="0" w:line="240" w:lineRule="auto"/>
              <w:jc w:val="right"/>
              <w:rPr>
                <w:rFonts w:cs="Arial"/>
                <w:sz w:val="16"/>
                <w:szCs w:val="16"/>
              </w:rPr>
            </w:pPr>
            <w:r w:rsidRPr="00EF49F3">
              <w:rPr>
                <w:rFonts w:cs="Arial"/>
                <w:sz w:val="16"/>
                <w:szCs w:val="16"/>
              </w:rPr>
              <w:t>3,83</w:t>
            </w:r>
          </w:p>
        </w:tc>
        <w:tc>
          <w:tcPr>
            <w:tcW w:w="624" w:type="dxa"/>
            <w:tcBorders>
              <w:top w:val="nil"/>
              <w:left w:val="nil"/>
              <w:bottom w:val="nil"/>
              <w:right w:val="nil"/>
            </w:tcBorders>
            <w:shd w:val="clear" w:color="auto" w:fill="auto"/>
            <w:noWrap/>
            <w:vAlign w:val="center"/>
            <w:hideMark/>
          </w:tcPr>
          <w:p w14:paraId="0E2CBBD0" w14:textId="77777777" w:rsidR="00EF49F3" w:rsidRPr="00EF49F3" w:rsidRDefault="00EF49F3" w:rsidP="00EF49F3">
            <w:pPr>
              <w:spacing w:after="0" w:line="240" w:lineRule="auto"/>
              <w:jc w:val="right"/>
              <w:rPr>
                <w:rFonts w:cs="Arial"/>
                <w:sz w:val="16"/>
                <w:szCs w:val="16"/>
              </w:rPr>
            </w:pPr>
            <w:r w:rsidRPr="00EF49F3">
              <w:rPr>
                <w:rFonts w:cs="Arial"/>
                <w:sz w:val="16"/>
                <w:szCs w:val="16"/>
              </w:rPr>
              <w:t>3,83</w:t>
            </w:r>
          </w:p>
        </w:tc>
        <w:tc>
          <w:tcPr>
            <w:tcW w:w="624" w:type="dxa"/>
            <w:tcBorders>
              <w:top w:val="nil"/>
              <w:left w:val="nil"/>
              <w:bottom w:val="nil"/>
              <w:right w:val="nil"/>
            </w:tcBorders>
            <w:shd w:val="clear" w:color="auto" w:fill="auto"/>
            <w:noWrap/>
            <w:vAlign w:val="center"/>
            <w:hideMark/>
          </w:tcPr>
          <w:p w14:paraId="652DC2CC" w14:textId="77777777" w:rsidR="00EF49F3" w:rsidRPr="00EF49F3" w:rsidRDefault="00EF49F3" w:rsidP="00EF49F3">
            <w:pPr>
              <w:spacing w:after="0" w:line="240" w:lineRule="auto"/>
              <w:jc w:val="right"/>
              <w:rPr>
                <w:rFonts w:cs="Arial"/>
                <w:sz w:val="16"/>
                <w:szCs w:val="16"/>
              </w:rPr>
            </w:pPr>
            <w:r w:rsidRPr="00EF49F3">
              <w:rPr>
                <w:rFonts w:cs="Arial"/>
                <w:sz w:val="16"/>
                <w:szCs w:val="16"/>
              </w:rPr>
              <w:t>3,77</w:t>
            </w:r>
          </w:p>
        </w:tc>
        <w:tc>
          <w:tcPr>
            <w:tcW w:w="624" w:type="dxa"/>
            <w:tcBorders>
              <w:top w:val="nil"/>
              <w:left w:val="nil"/>
              <w:bottom w:val="nil"/>
              <w:right w:val="nil"/>
            </w:tcBorders>
            <w:shd w:val="clear" w:color="auto" w:fill="auto"/>
            <w:noWrap/>
            <w:vAlign w:val="center"/>
            <w:hideMark/>
          </w:tcPr>
          <w:p w14:paraId="2796FAB5" w14:textId="77777777" w:rsidR="00EF49F3" w:rsidRPr="00EF49F3" w:rsidRDefault="00EF49F3" w:rsidP="00EF49F3">
            <w:pPr>
              <w:spacing w:after="0" w:line="240" w:lineRule="auto"/>
              <w:jc w:val="right"/>
              <w:rPr>
                <w:rFonts w:cs="Arial"/>
                <w:sz w:val="16"/>
                <w:szCs w:val="16"/>
              </w:rPr>
            </w:pPr>
            <w:r w:rsidRPr="00EF49F3">
              <w:rPr>
                <w:rFonts w:cs="Arial"/>
                <w:sz w:val="16"/>
                <w:szCs w:val="16"/>
              </w:rPr>
              <w:t>4,34</w:t>
            </w:r>
          </w:p>
        </w:tc>
        <w:tc>
          <w:tcPr>
            <w:tcW w:w="624" w:type="dxa"/>
            <w:tcBorders>
              <w:top w:val="nil"/>
              <w:left w:val="nil"/>
              <w:bottom w:val="nil"/>
              <w:right w:val="nil"/>
            </w:tcBorders>
            <w:shd w:val="clear" w:color="auto" w:fill="auto"/>
            <w:noWrap/>
            <w:vAlign w:val="center"/>
            <w:hideMark/>
          </w:tcPr>
          <w:p w14:paraId="661CA920" w14:textId="77777777" w:rsidR="00EF49F3" w:rsidRPr="00EF49F3" w:rsidRDefault="00EF49F3" w:rsidP="00EF49F3">
            <w:pPr>
              <w:spacing w:after="0" w:line="240" w:lineRule="auto"/>
              <w:jc w:val="right"/>
              <w:rPr>
                <w:rFonts w:cs="Arial"/>
                <w:sz w:val="16"/>
                <w:szCs w:val="16"/>
              </w:rPr>
            </w:pPr>
            <w:r w:rsidRPr="00EF49F3">
              <w:rPr>
                <w:rFonts w:cs="Arial"/>
                <w:sz w:val="16"/>
                <w:szCs w:val="16"/>
              </w:rPr>
              <w:t>4,10</w:t>
            </w:r>
          </w:p>
        </w:tc>
        <w:tc>
          <w:tcPr>
            <w:tcW w:w="624" w:type="dxa"/>
            <w:tcBorders>
              <w:top w:val="nil"/>
              <w:left w:val="nil"/>
              <w:bottom w:val="nil"/>
              <w:right w:val="nil"/>
            </w:tcBorders>
            <w:shd w:val="clear" w:color="auto" w:fill="auto"/>
            <w:noWrap/>
            <w:vAlign w:val="center"/>
            <w:hideMark/>
          </w:tcPr>
          <w:p w14:paraId="74911361" w14:textId="77777777" w:rsidR="00EF49F3" w:rsidRPr="00EF49F3" w:rsidRDefault="00EF49F3" w:rsidP="00EF49F3">
            <w:pPr>
              <w:spacing w:after="0" w:line="240" w:lineRule="auto"/>
              <w:jc w:val="right"/>
              <w:rPr>
                <w:rFonts w:cs="Arial"/>
                <w:sz w:val="16"/>
                <w:szCs w:val="16"/>
              </w:rPr>
            </w:pPr>
            <w:r w:rsidRPr="00EF49F3">
              <w:rPr>
                <w:rFonts w:cs="Arial"/>
                <w:sz w:val="16"/>
                <w:szCs w:val="16"/>
              </w:rPr>
              <w:t>4,57</w:t>
            </w:r>
          </w:p>
        </w:tc>
        <w:tc>
          <w:tcPr>
            <w:tcW w:w="624" w:type="dxa"/>
            <w:tcBorders>
              <w:top w:val="nil"/>
              <w:left w:val="nil"/>
              <w:bottom w:val="nil"/>
              <w:right w:val="nil"/>
            </w:tcBorders>
            <w:shd w:val="clear" w:color="auto" w:fill="auto"/>
            <w:noWrap/>
            <w:vAlign w:val="center"/>
            <w:hideMark/>
          </w:tcPr>
          <w:p w14:paraId="7CA15982" w14:textId="77777777" w:rsidR="00EF49F3" w:rsidRPr="00EF49F3" w:rsidRDefault="00EF49F3" w:rsidP="00EF49F3">
            <w:pPr>
              <w:spacing w:after="0" w:line="240" w:lineRule="auto"/>
              <w:jc w:val="right"/>
              <w:rPr>
                <w:rFonts w:cs="Arial"/>
                <w:sz w:val="16"/>
                <w:szCs w:val="16"/>
              </w:rPr>
            </w:pPr>
            <w:r w:rsidRPr="00EF49F3">
              <w:rPr>
                <w:rFonts w:cs="Arial"/>
                <w:sz w:val="16"/>
                <w:szCs w:val="16"/>
              </w:rPr>
              <w:t>4,73</w:t>
            </w:r>
          </w:p>
        </w:tc>
        <w:tc>
          <w:tcPr>
            <w:tcW w:w="624" w:type="dxa"/>
            <w:tcBorders>
              <w:top w:val="nil"/>
              <w:left w:val="nil"/>
              <w:bottom w:val="nil"/>
              <w:right w:val="nil"/>
            </w:tcBorders>
            <w:shd w:val="clear" w:color="auto" w:fill="auto"/>
            <w:noWrap/>
            <w:vAlign w:val="center"/>
            <w:hideMark/>
          </w:tcPr>
          <w:p w14:paraId="54F3D85F" w14:textId="77777777" w:rsidR="00EF49F3" w:rsidRPr="00EF49F3" w:rsidRDefault="00EF49F3" w:rsidP="00EF49F3">
            <w:pPr>
              <w:spacing w:after="0" w:line="240" w:lineRule="auto"/>
              <w:jc w:val="right"/>
              <w:rPr>
                <w:rFonts w:cs="Arial"/>
                <w:sz w:val="16"/>
                <w:szCs w:val="16"/>
              </w:rPr>
            </w:pPr>
            <w:r w:rsidRPr="00EF49F3">
              <w:rPr>
                <w:rFonts w:cs="Arial"/>
                <w:sz w:val="16"/>
                <w:szCs w:val="16"/>
              </w:rPr>
              <w:t>4,91</w:t>
            </w:r>
          </w:p>
        </w:tc>
        <w:tc>
          <w:tcPr>
            <w:tcW w:w="624" w:type="dxa"/>
            <w:tcBorders>
              <w:top w:val="nil"/>
              <w:left w:val="nil"/>
              <w:bottom w:val="nil"/>
              <w:right w:val="nil"/>
            </w:tcBorders>
            <w:shd w:val="clear" w:color="000000" w:fill="FFFFFF"/>
            <w:noWrap/>
            <w:vAlign w:val="center"/>
            <w:hideMark/>
          </w:tcPr>
          <w:p w14:paraId="29C09000" w14:textId="77777777" w:rsidR="00EF49F3" w:rsidRPr="00EF49F3" w:rsidRDefault="00EF49F3" w:rsidP="00EF49F3">
            <w:pPr>
              <w:spacing w:after="0" w:line="240" w:lineRule="auto"/>
              <w:jc w:val="right"/>
              <w:rPr>
                <w:rFonts w:cs="Arial"/>
                <w:color w:val="000000"/>
                <w:sz w:val="16"/>
                <w:szCs w:val="16"/>
              </w:rPr>
            </w:pPr>
            <w:r w:rsidRPr="00EF49F3">
              <w:rPr>
                <w:rFonts w:cs="Arial"/>
                <w:color w:val="000000"/>
                <w:sz w:val="16"/>
                <w:szCs w:val="16"/>
              </w:rPr>
              <w:t>5,23</w:t>
            </w:r>
          </w:p>
        </w:tc>
        <w:tc>
          <w:tcPr>
            <w:tcW w:w="624" w:type="dxa"/>
            <w:tcBorders>
              <w:top w:val="nil"/>
              <w:left w:val="nil"/>
              <w:bottom w:val="nil"/>
              <w:right w:val="nil"/>
            </w:tcBorders>
            <w:shd w:val="clear" w:color="auto" w:fill="auto"/>
            <w:noWrap/>
            <w:vAlign w:val="center"/>
            <w:hideMark/>
          </w:tcPr>
          <w:p w14:paraId="5B612185" w14:textId="77777777" w:rsidR="00EF49F3" w:rsidRPr="00EF49F3" w:rsidRDefault="00EF49F3" w:rsidP="00EF49F3">
            <w:pPr>
              <w:spacing w:after="0" w:line="240" w:lineRule="auto"/>
              <w:jc w:val="right"/>
              <w:rPr>
                <w:rFonts w:cs="Arial"/>
                <w:color w:val="000000"/>
                <w:sz w:val="16"/>
                <w:szCs w:val="16"/>
              </w:rPr>
            </w:pPr>
            <w:r w:rsidRPr="00EF49F3">
              <w:rPr>
                <w:rFonts w:cs="Arial"/>
                <w:color w:val="000000"/>
                <w:sz w:val="16"/>
                <w:szCs w:val="16"/>
              </w:rPr>
              <w:t>5,26</w:t>
            </w:r>
          </w:p>
        </w:tc>
      </w:tr>
      <w:tr w:rsidR="00EF49F3" w:rsidRPr="00EF49F3" w14:paraId="00139B6D" w14:textId="77777777" w:rsidTr="00EF49F3">
        <w:trPr>
          <w:trHeight w:val="300"/>
        </w:trPr>
        <w:tc>
          <w:tcPr>
            <w:tcW w:w="2080" w:type="dxa"/>
            <w:tcBorders>
              <w:top w:val="nil"/>
              <w:left w:val="nil"/>
              <w:bottom w:val="nil"/>
              <w:right w:val="nil"/>
            </w:tcBorders>
            <w:shd w:val="clear" w:color="auto" w:fill="auto"/>
            <w:noWrap/>
            <w:vAlign w:val="center"/>
            <w:hideMark/>
          </w:tcPr>
          <w:p w14:paraId="6AE337D1" w14:textId="77777777" w:rsidR="00EF49F3" w:rsidRPr="00EF49F3" w:rsidRDefault="00EF49F3" w:rsidP="00EF49F3">
            <w:pPr>
              <w:spacing w:after="0" w:line="240" w:lineRule="auto"/>
              <w:ind w:firstLineChars="100" w:firstLine="160"/>
              <w:rPr>
                <w:rFonts w:cs="Arial"/>
                <w:sz w:val="16"/>
                <w:szCs w:val="16"/>
              </w:rPr>
            </w:pPr>
            <w:r w:rsidRPr="00EF49F3">
              <w:rPr>
                <w:rFonts w:cs="Arial"/>
                <w:sz w:val="16"/>
                <w:szCs w:val="16"/>
              </w:rPr>
              <w:t>Liberecký kraj</w:t>
            </w:r>
          </w:p>
        </w:tc>
        <w:tc>
          <w:tcPr>
            <w:tcW w:w="624" w:type="dxa"/>
            <w:tcBorders>
              <w:top w:val="nil"/>
              <w:left w:val="nil"/>
              <w:bottom w:val="nil"/>
              <w:right w:val="nil"/>
            </w:tcBorders>
            <w:shd w:val="clear" w:color="auto" w:fill="auto"/>
            <w:noWrap/>
            <w:vAlign w:val="center"/>
            <w:hideMark/>
          </w:tcPr>
          <w:p w14:paraId="29E13E4B" w14:textId="77777777" w:rsidR="00EF49F3" w:rsidRPr="00EF49F3" w:rsidRDefault="00EF49F3" w:rsidP="00EF49F3">
            <w:pPr>
              <w:spacing w:after="0" w:line="240" w:lineRule="auto"/>
              <w:jc w:val="right"/>
              <w:rPr>
                <w:rFonts w:cs="Arial"/>
                <w:sz w:val="16"/>
                <w:szCs w:val="16"/>
              </w:rPr>
            </w:pPr>
            <w:r w:rsidRPr="00EF49F3">
              <w:rPr>
                <w:rFonts w:cs="Arial"/>
                <w:sz w:val="16"/>
                <w:szCs w:val="16"/>
              </w:rPr>
              <w:t>5,71</w:t>
            </w:r>
          </w:p>
        </w:tc>
        <w:tc>
          <w:tcPr>
            <w:tcW w:w="624" w:type="dxa"/>
            <w:tcBorders>
              <w:top w:val="nil"/>
              <w:left w:val="nil"/>
              <w:bottom w:val="nil"/>
              <w:right w:val="nil"/>
            </w:tcBorders>
            <w:shd w:val="clear" w:color="auto" w:fill="auto"/>
            <w:noWrap/>
            <w:vAlign w:val="center"/>
            <w:hideMark/>
          </w:tcPr>
          <w:p w14:paraId="411F9658" w14:textId="77777777" w:rsidR="00EF49F3" w:rsidRPr="00EF49F3" w:rsidRDefault="00EF49F3" w:rsidP="00EF49F3">
            <w:pPr>
              <w:spacing w:after="0" w:line="240" w:lineRule="auto"/>
              <w:jc w:val="right"/>
              <w:rPr>
                <w:rFonts w:cs="Arial"/>
                <w:sz w:val="16"/>
                <w:szCs w:val="16"/>
              </w:rPr>
            </w:pPr>
            <w:r w:rsidRPr="00EF49F3">
              <w:rPr>
                <w:rFonts w:cs="Arial"/>
                <w:sz w:val="16"/>
                <w:szCs w:val="16"/>
              </w:rPr>
              <w:t>4,89</w:t>
            </w:r>
          </w:p>
        </w:tc>
        <w:tc>
          <w:tcPr>
            <w:tcW w:w="624" w:type="dxa"/>
            <w:tcBorders>
              <w:top w:val="nil"/>
              <w:left w:val="nil"/>
              <w:bottom w:val="nil"/>
              <w:right w:val="nil"/>
            </w:tcBorders>
            <w:shd w:val="clear" w:color="auto" w:fill="auto"/>
            <w:noWrap/>
            <w:vAlign w:val="center"/>
            <w:hideMark/>
          </w:tcPr>
          <w:p w14:paraId="73D7724D" w14:textId="77777777" w:rsidR="00EF49F3" w:rsidRPr="00EF49F3" w:rsidRDefault="00EF49F3" w:rsidP="00EF49F3">
            <w:pPr>
              <w:spacing w:after="0" w:line="240" w:lineRule="auto"/>
              <w:jc w:val="right"/>
              <w:rPr>
                <w:rFonts w:cs="Arial"/>
                <w:sz w:val="16"/>
                <w:szCs w:val="16"/>
              </w:rPr>
            </w:pPr>
            <w:r w:rsidRPr="00EF49F3">
              <w:rPr>
                <w:rFonts w:cs="Arial"/>
                <w:sz w:val="16"/>
                <w:szCs w:val="16"/>
              </w:rPr>
              <w:t>4,44</w:t>
            </w:r>
          </w:p>
        </w:tc>
        <w:tc>
          <w:tcPr>
            <w:tcW w:w="624" w:type="dxa"/>
            <w:tcBorders>
              <w:top w:val="nil"/>
              <w:left w:val="nil"/>
              <w:bottom w:val="nil"/>
              <w:right w:val="nil"/>
            </w:tcBorders>
            <w:shd w:val="clear" w:color="auto" w:fill="auto"/>
            <w:noWrap/>
            <w:vAlign w:val="center"/>
            <w:hideMark/>
          </w:tcPr>
          <w:p w14:paraId="2B48E6FD" w14:textId="77777777" w:rsidR="00EF49F3" w:rsidRPr="00EF49F3" w:rsidRDefault="00EF49F3" w:rsidP="00EF49F3">
            <w:pPr>
              <w:spacing w:after="0" w:line="240" w:lineRule="auto"/>
              <w:jc w:val="right"/>
              <w:rPr>
                <w:rFonts w:cs="Arial"/>
                <w:sz w:val="16"/>
                <w:szCs w:val="16"/>
              </w:rPr>
            </w:pPr>
            <w:r w:rsidRPr="00EF49F3">
              <w:rPr>
                <w:rFonts w:cs="Arial"/>
                <w:sz w:val="16"/>
                <w:szCs w:val="16"/>
              </w:rPr>
              <w:t>4,31</w:t>
            </w:r>
          </w:p>
        </w:tc>
        <w:tc>
          <w:tcPr>
            <w:tcW w:w="624" w:type="dxa"/>
            <w:tcBorders>
              <w:top w:val="nil"/>
              <w:left w:val="nil"/>
              <w:bottom w:val="nil"/>
              <w:right w:val="nil"/>
            </w:tcBorders>
            <w:shd w:val="clear" w:color="auto" w:fill="auto"/>
            <w:noWrap/>
            <w:vAlign w:val="center"/>
            <w:hideMark/>
          </w:tcPr>
          <w:p w14:paraId="26D24ADC" w14:textId="77777777" w:rsidR="00EF49F3" w:rsidRPr="00EF49F3" w:rsidRDefault="00EF49F3" w:rsidP="00EF49F3">
            <w:pPr>
              <w:spacing w:after="0" w:line="240" w:lineRule="auto"/>
              <w:jc w:val="right"/>
              <w:rPr>
                <w:rFonts w:cs="Arial"/>
                <w:sz w:val="16"/>
                <w:szCs w:val="16"/>
              </w:rPr>
            </w:pPr>
            <w:r w:rsidRPr="00EF49F3">
              <w:rPr>
                <w:rFonts w:cs="Arial"/>
                <w:sz w:val="16"/>
                <w:szCs w:val="16"/>
              </w:rPr>
              <w:t>4,04</w:t>
            </w:r>
          </w:p>
        </w:tc>
        <w:tc>
          <w:tcPr>
            <w:tcW w:w="624" w:type="dxa"/>
            <w:tcBorders>
              <w:top w:val="nil"/>
              <w:left w:val="nil"/>
              <w:bottom w:val="nil"/>
              <w:right w:val="nil"/>
            </w:tcBorders>
            <w:shd w:val="clear" w:color="auto" w:fill="auto"/>
            <w:noWrap/>
            <w:vAlign w:val="center"/>
            <w:hideMark/>
          </w:tcPr>
          <w:p w14:paraId="6C8E9051" w14:textId="77777777" w:rsidR="00EF49F3" w:rsidRPr="00EF49F3" w:rsidRDefault="00EF49F3" w:rsidP="00EF49F3">
            <w:pPr>
              <w:spacing w:after="0" w:line="240" w:lineRule="auto"/>
              <w:jc w:val="right"/>
              <w:rPr>
                <w:rFonts w:cs="Arial"/>
                <w:sz w:val="16"/>
                <w:szCs w:val="16"/>
              </w:rPr>
            </w:pPr>
            <w:r w:rsidRPr="00EF49F3">
              <w:rPr>
                <w:rFonts w:cs="Arial"/>
                <w:sz w:val="16"/>
                <w:szCs w:val="16"/>
              </w:rPr>
              <w:t>4,55</w:t>
            </w:r>
          </w:p>
        </w:tc>
        <w:tc>
          <w:tcPr>
            <w:tcW w:w="624" w:type="dxa"/>
            <w:tcBorders>
              <w:top w:val="nil"/>
              <w:left w:val="nil"/>
              <w:bottom w:val="nil"/>
              <w:right w:val="nil"/>
            </w:tcBorders>
            <w:shd w:val="clear" w:color="auto" w:fill="auto"/>
            <w:noWrap/>
            <w:vAlign w:val="center"/>
            <w:hideMark/>
          </w:tcPr>
          <w:p w14:paraId="34436EAF" w14:textId="77777777" w:rsidR="00EF49F3" w:rsidRPr="00EF49F3" w:rsidRDefault="00EF49F3" w:rsidP="00EF49F3">
            <w:pPr>
              <w:spacing w:after="0" w:line="240" w:lineRule="auto"/>
              <w:jc w:val="right"/>
              <w:rPr>
                <w:rFonts w:cs="Arial"/>
                <w:sz w:val="16"/>
                <w:szCs w:val="16"/>
              </w:rPr>
            </w:pPr>
            <w:r w:rsidRPr="00EF49F3">
              <w:rPr>
                <w:rFonts w:cs="Arial"/>
                <w:sz w:val="16"/>
                <w:szCs w:val="16"/>
              </w:rPr>
              <w:t>4,21</w:t>
            </w:r>
          </w:p>
        </w:tc>
        <w:tc>
          <w:tcPr>
            <w:tcW w:w="624" w:type="dxa"/>
            <w:tcBorders>
              <w:top w:val="nil"/>
              <w:left w:val="nil"/>
              <w:bottom w:val="nil"/>
              <w:right w:val="nil"/>
            </w:tcBorders>
            <w:shd w:val="clear" w:color="auto" w:fill="auto"/>
            <w:noWrap/>
            <w:vAlign w:val="center"/>
            <w:hideMark/>
          </w:tcPr>
          <w:p w14:paraId="19FA01C6" w14:textId="77777777" w:rsidR="00EF49F3" w:rsidRPr="00EF49F3" w:rsidRDefault="00EF49F3" w:rsidP="00EF49F3">
            <w:pPr>
              <w:spacing w:after="0" w:line="240" w:lineRule="auto"/>
              <w:jc w:val="right"/>
              <w:rPr>
                <w:rFonts w:cs="Arial"/>
                <w:sz w:val="16"/>
                <w:szCs w:val="16"/>
              </w:rPr>
            </w:pPr>
            <w:r w:rsidRPr="00EF49F3">
              <w:rPr>
                <w:rFonts w:cs="Arial"/>
                <w:sz w:val="16"/>
                <w:szCs w:val="16"/>
              </w:rPr>
              <w:t>4,64</w:t>
            </w:r>
          </w:p>
        </w:tc>
        <w:tc>
          <w:tcPr>
            <w:tcW w:w="624" w:type="dxa"/>
            <w:tcBorders>
              <w:top w:val="nil"/>
              <w:left w:val="nil"/>
              <w:bottom w:val="nil"/>
              <w:right w:val="nil"/>
            </w:tcBorders>
            <w:shd w:val="clear" w:color="auto" w:fill="auto"/>
            <w:noWrap/>
            <w:vAlign w:val="center"/>
            <w:hideMark/>
          </w:tcPr>
          <w:p w14:paraId="2722C65F" w14:textId="77777777" w:rsidR="00EF49F3" w:rsidRPr="00EF49F3" w:rsidRDefault="00EF49F3" w:rsidP="00EF49F3">
            <w:pPr>
              <w:spacing w:after="0" w:line="240" w:lineRule="auto"/>
              <w:jc w:val="right"/>
              <w:rPr>
                <w:rFonts w:cs="Arial"/>
                <w:sz w:val="16"/>
                <w:szCs w:val="16"/>
              </w:rPr>
            </w:pPr>
            <w:r w:rsidRPr="00EF49F3">
              <w:rPr>
                <w:rFonts w:cs="Arial"/>
                <w:sz w:val="16"/>
                <w:szCs w:val="16"/>
              </w:rPr>
              <w:t>4,89</w:t>
            </w:r>
          </w:p>
        </w:tc>
        <w:tc>
          <w:tcPr>
            <w:tcW w:w="624" w:type="dxa"/>
            <w:tcBorders>
              <w:top w:val="nil"/>
              <w:left w:val="nil"/>
              <w:bottom w:val="nil"/>
              <w:right w:val="nil"/>
            </w:tcBorders>
            <w:shd w:val="clear" w:color="auto" w:fill="auto"/>
            <w:noWrap/>
            <w:vAlign w:val="center"/>
            <w:hideMark/>
          </w:tcPr>
          <w:p w14:paraId="7C210240" w14:textId="77777777" w:rsidR="00EF49F3" w:rsidRPr="00EF49F3" w:rsidRDefault="00EF49F3" w:rsidP="00EF49F3">
            <w:pPr>
              <w:spacing w:after="0" w:line="240" w:lineRule="auto"/>
              <w:jc w:val="right"/>
              <w:rPr>
                <w:rFonts w:cs="Arial"/>
                <w:sz w:val="16"/>
                <w:szCs w:val="16"/>
              </w:rPr>
            </w:pPr>
            <w:r w:rsidRPr="00EF49F3">
              <w:rPr>
                <w:rFonts w:cs="Arial"/>
                <w:sz w:val="16"/>
                <w:szCs w:val="16"/>
              </w:rPr>
              <w:t>5,06</w:t>
            </w:r>
          </w:p>
        </w:tc>
        <w:tc>
          <w:tcPr>
            <w:tcW w:w="624" w:type="dxa"/>
            <w:tcBorders>
              <w:top w:val="nil"/>
              <w:left w:val="nil"/>
              <w:bottom w:val="nil"/>
              <w:right w:val="nil"/>
            </w:tcBorders>
            <w:shd w:val="clear" w:color="000000" w:fill="FFFFFF"/>
            <w:noWrap/>
            <w:vAlign w:val="center"/>
            <w:hideMark/>
          </w:tcPr>
          <w:p w14:paraId="196045FE" w14:textId="77777777" w:rsidR="00EF49F3" w:rsidRPr="00EF49F3" w:rsidRDefault="00EF49F3" w:rsidP="00EF49F3">
            <w:pPr>
              <w:spacing w:after="0" w:line="240" w:lineRule="auto"/>
              <w:jc w:val="right"/>
              <w:rPr>
                <w:rFonts w:cs="Arial"/>
                <w:color w:val="000000"/>
                <w:sz w:val="16"/>
                <w:szCs w:val="16"/>
              </w:rPr>
            </w:pPr>
            <w:r w:rsidRPr="00EF49F3">
              <w:rPr>
                <w:rFonts w:cs="Arial"/>
                <w:color w:val="000000"/>
                <w:sz w:val="16"/>
                <w:szCs w:val="16"/>
              </w:rPr>
              <w:t>5,27</w:t>
            </w:r>
          </w:p>
        </w:tc>
        <w:tc>
          <w:tcPr>
            <w:tcW w:w="624" w:type="dxa"/>
            <w:tcBorders>
              <w:top w:val="nil"/>
              <w:left w:val="nil"/>
              <w:bottom w:val="nil"/>
              <w:right w:val="nil"/>
            </w:tcBorders>
            <w:shd w:val="clear" w:color="auto" w:fill="auto"/>
            <w:noWrap/>
            <w:vAlign w:val="center"/>
            <w:hideMark/>
          </w:tcPr>
          <w:p w14:paraId="1D69D4C0" w14:textId="77777777" w:rsidR="00EF49F3" w:rsidRPr="00EF49F3" w:rsidRDefault="00EF49F3" w:rsidP="00EF49F3">
            <w:pPr>
              <w:spacing w:after="0" w:line="240" w:lineRule="auto"/>
              <w:jc w:val="right"/>
              <w:rPr>
                <w:rFonts w:cs="Arial"/>
                <w:color w:val="000000"/>
                <w:sz w:val="16"/>
                <w:szCs w:val="16"/>
              </w:rPr>
            </w:pPr>
            <w:r w:rsidRPr="00EF49F3">
              <w:rPr>
                <w:rFonts w:cs="Arial"/>
                <w:color w:val="000000"/>
                <w:sz w:val="16"/>
                <w:szCs w:val="16"/>
              </w:rPr>
              <w:t>5,36</w:t>
            </w:r>
          </w:p>
        </w:tc>
      </w:tr>
      <w:tr w:rsidR="00EF49F3" w:rsidRPr="00EF49F3" w14:paraId="06747B57" w14:textId="77777777" w:rsidTr="00EF49F3">
        <w:trPr>
          <w:trHeight w:val="300"/>
        </w:trPr>
        <w:tc>
          <w:tcPr>
            <w:tcW w:w="2080" w:type="dxa"/>
            <w:tcBorders>
              <w:top w:val="nil"/>
              <w:left w:val="nil"/>
              <w:bottom w:val="nil"/>
              <w:right w:val="nil"/>
            </w:tcBorders>
            <w:shd w:val="clear" w:color="auto" w:fill="auto"/>
            <w:noWrap/>
            <w:vAlign w:val="center"/>
            <w:hideMark/>
          </w:tcPr>
          <w:p w14:paraId="0B3E57A1" w14:textId="77777777" w:rsidR="00EF49F3" w:rsidRPr="00EF49F3" w:rsidRDefault="00EF49F3" w:rsidP="00EF49F3">
            <w:pPr>
              <w:spacing w:after="0" w:line="240" w:lineRule="auto"/>
              <w:ind w:firstLineChars="100" w:firstLine="160"/>
              <w:rPr>
                <w:rFonts w:cs="Arial"/>
                <w:sz w:val="16"/>
                <w:szCs w:val="16"/>
              </w:rPr>
            </w:pPr>
            <w:r w:rsidRPr="00EF49F3">
              <w:rPr>
                <w:rFonts w:cs="Arial"/>
                <w:sz w:val="16"/>
                <w:szCs w:val="16"/>
              </w:rPr>
              <w:t>Královéhradecký kraj</w:t>
            </w:r>
          </w:p>
        </w:tc>
        <w:tc>
          <w:tcPr>
            <w:tcW w:w="624" w:type="dxa"/>
            <w:tcBorders>
              <w:top w:val="nil"/>
              <w:left w:val="nil"/>
              <w:bottom w:val="nil"/>
              <w:right w:val="nil"/>
            </w:tcBorders>
            <w:shd w:val="clear" w:color="auto" w:fill="auto"/>
            <w:noWrap/>
            <w:vAlign w:val="center"/>
            <w:hideMark/>
          </w:tcPr>
          <w:p w14:paraId="71B46359" w14:textId="77777777" w:rsidR="00EF49F3" w:rsidRPr="00EF49F3" w:rsidRDefault="00EF49F3" w:rsidP="00EF49F3">
            <w:pPr>
              <w:spacing w:after="0" w:line="240" w:lineRule="auto"/>
              <w:jc w:val="right"/>
              <w:rPr>
                <w:rFonts w:cs="Arial"/>
                <w:sz w:val="16"/>
                <w:szCs w:val="16"/>
              </w:rPr>
            </w:pPr>
            <w:r w:rsidRPr="00EF49F3">
              <w:rPr>
                <w:rFonts w:cs="Arial"/>
                <w:sz w:val="16"/>
                <w:szCs w:val="16"/>
              </w:rPr>
              <w:t>5,24</w:t>
            </w:r>
          </w:p>
        </w:tc>
        <w:tc>
          <w:tcPr>
            <w:tcW w:w="624" w:type="dxa"/>
            <w:tcBorders>
              <w:top w:val="nil"/>
              <w:left w:val="nil"/>
              <w:bottom w:val="nil"/>
              <w:right w:val="nil"/>
            </w:tcBorders>
            <w:shd w:val="clear" w:color="auto" w:fill="auto"/>
            <w:noWrap/>
            <w:vAlign w:val="center"/>
            <w:hideMark/>
          </w:tcPr>
          <w:p w14:paraId="30544D1B" w14:textId="77777777" w:rsidR="00EF49F3" w:rsidRPr="00EF49F3" w:rsidRDefault="00EF49F3" w:rsidP="00EF49F3">
            <w:pPr>
              <w:spacing w:after="0" w:line="240" w:lineRule="auto"/>
              <w:jc w:val="right"/>
              <w:rPr>
                <w:rFonts w:cs="Arial"/>
                <w:sz w:val="16"/>
                <w:szCs w:val="16"/>
              </w:rPr>
            </w:pPr>
            <w:r w:rsidRPr="00EF49F3">
              <w:rPr>
                <w:rFonts w:cs="Arial"/>
                <w:sz w:val="16"/>
                <w:szCs w:val="16"/>
              </w:rPr>
              <w:t>4,30</w:t>
            </w:r>
          </w:p>
        </w:tc>
        <w:tc>
          <w:tcPr>
            <w:tcW w:w="624" w:type="dxa"/>
            <w:tcBorders>
              <w:top w:val="nil"/>
              <w:left w:val="nil"/>
              <w:bottom w:val="nil"/>
              <w:right w:val="nil"/>
            </w:tcBorders>
            <w:shd w:val="clear" w:color="auto" w:fill="auto"/>
            <w:noWrap/>
            <w:vAlign w:val="center"/>
            <w:hideMark/>
          </w:tcPr>
          <w:p w14:paraId="2D1ECB51" w14:textId="77777777" w:rsidR="00EF49F3" w:rsidRPr="00EF49F3" w:rsidRDefault="00EF49F3" w:rsidP="00EF49F3">
            <w:pPr>
              <w:spacing w:after="0" w:line="240" w:lineRule="auto"/>
              <w:jc w:val="right"/>
              <w:rPr>
                <w:rFonts w:cs="Arial"/>
                <w:sz w:val="16"/>
                <w:szCs w:val="16"/>
              </w:rPr>
            </w:pPr>
            <w:r w:rsidRPr="00EF49F3">
              <w:rPr>
                <w:rFonts w:cs="Arial"/>
                <w:sz w:val="16"/>
                <w:szCs w:val="16"/>
              </w:rPr>
              <w:t>4,10</w:t>
            </w:r>
          </w:p>
        </w:tc>
        <w:tc>
          <w:tcPr>
            <w:tcW w:w="624" w:type="dxa"/>
            <w:tcBorders>
              <w:top w:val="nil"/>
              <w:left w:val="nil"/>
              <w:bottom w:val="nil"/>
              <w:right w:val="nil"/>
            </w:tcBorders>
            <w:shd w:val="clear" w:color="auto" w:fill="auto"/>
            <w:noWrap/>
            <w:vAlign w:val="center"/>
            <w:hideMark/>
          </w:tcPr>
          <w:p w14:paraId="116AB959" w14:textId="77777777" w:rsidR="00EF49F3" w:rsidRPr="00EF49F3" w:rsidRDefault="00EF49F3" w:rsidP="00EF49F3">
            <w:pPr>
              <w:spacing w:after="0" w:line="240" w:lineRule="auto"/>
              <w:jc w:val="right"/>
              <w:rPr>
                <w:rFonts w:cs="Arial"/>
                <w:sz w:val="16"/>
                <w:szCs w:val="16"/>
              </w:rPr>
            </w:pPr>
            <w:r w:rsidRPr="00EF49F3">
              <w:rPr>
                <w:rFonts w:cs="Arial"/>
                <w:sz w:val="16"/>
                <w:szCs w:val="16"/>
              </w:rPr>
              <w:t>3,99</w:t>
            </w:r>
          </w:p>
        </w:tc>
        <w:tc>
          <w:tcPr>
            <w:tcW w:w="624" w:type="dxa"/>
            <w:tcBorders>
              <w:top w:val="nil"/>
              <w:left w:val="nil"/>
              <w:bottom w:val="nil"/>
              <w:right w:val="nil"/>
            </w:tcBorders>
            <w:shd w:val="clear" w:color="auto" w:fill="auto"/>
            <w:noWrap/>
            <w:vAlign w:val="center"/>
            <w:hideMark/>
          </w:tcPr>
          <w:p w14:paraId="4655336B" w14:textId="77777777" w:rsidR="00EF49F3" w:rsidRPr="00EF49F3" w:rsidRDefault="00EF49F3" w:rsidP="00EF49F3">
            <w:pPr>
              <w:spacing w:after="0" w:line="240" w:lineRule="auto"/>
              <w:jc w:val="right"/>
              <w:rPr>
                <w:rFonts w:cs="Arial"/>
                <w:sz w:val="16"/>
                <w:szCs w:val="16"/>
              </w:rPr>
            </w:pPr>
            <w:r w:rsidRPr="00EF49F3">
              <w:rPr>
                <w:rFonts w:cs="Arial"/>
                <w:sz w:val="16"/>
                <w:szCs w:val="16"/>
              </w:rPr>
              <w:t>3,64</w:t>
            </w:r>
          </w:p>
        </w:tc>
        <w:tc>
          <w:tcPr>
            <w:tcW w:w="624" w:type="dxa"/>
            <w:tcBorders>
              <w:top w:val="nil"/>
              <w:left w:val="nil"/>
              <w:bottom w:val="nil"/>
              <w:right w:val="nil"/>
            </w:tcBorders>
            <w:shd w:val="clear" w:color="auto" w:fill="auto"/>
            <w:noWrap/>
            <w:vAlign w:val="center"/>
            <w:hideMark/>
          </w:tcPr>
          <w:p w14:paraId="4DA27087" w14:textId="77777777" w:rsidR="00EF49F3" w:rsidRPr="00EF49F3" w:rsidRDefault="00EF49F3" w:rsidP="00EF49F3">
            <w:pPr>
              <w:spacing w:after="0" w:line="240" w:lineRule="auto"/>
              <w:jc w:val="right"/>
              <w:rPr>
                <w:rFonts w:cs="Arial"/>
                <w:sz w:val="16"/>
                <w:szCs w:val="16"/>
              </w:rPr>
            </w:pPr>
            <w:r w:rsidRPr="00EF49F3">
              <w:rPr>
                <w:rFonts w:cs="Arial"/>
                <w:sz w:val="16"/>
                <w:szCs w:val="16"/>
              </w:rPr>
              <w:t>4,00</w:t>
            </w:r>
          </w:p>
        </w:tc>
        <w:tc>
          <w:tcPr>
            <w:tcW w:w="624" w:type="dxa"/>
            <w:tcBorders>
              <w:top w:val="nil"/>
              <w:left w:val="nil"/>
              <w:bottom w:val="nil"/>
              <w:right w:val="nil"/>
            </w:tcBorders>
            <w:shd w:val="clear" w:color="auto" w:fill="auto"/>
            <w:noWrap/>
            <w:vAlign w:val="center"/>
            <w:hideMark/>
          </w:tcPr>
          <w:p w14:paraId="6BC3D105" w14:textId="77777777" w:rsidR="00EF49F3" w:rsidRPr="00EF49F3" w:rsidRDefault="00EF49F3" w:rsidP="00EF49F3">
            <w:pPr>
              <w:spacing w:after="0" w:line="240" w:lineRule="auto"/>
              <w:jc w:val="right"/>
              <w:rPr>
                <w:rFonts w:cs="Arial"/>
                <w:sz w:val="16"/>
                <w:szCs w:val="16"/>
              </w:rPr>
            </w:pPr>
            <w:r w:rsidRPr="00EF49F3">
              <w:rPr>
                <w:rFonts w:cs="Arial"/>
                <w:sz w:val="16"/>
                <w:szCs w:val="16"/>
              </w:rPr>
              <w:t>3,80</w:t>
            </w:r>
          </w:p>
        </w:tc>
        <w:tc>
          <w:tcPr>
            <w:tcW w:w="624" w:type="dxa"/>
            <w:tcBorders>
              <w:top w:val="nil"/>
              <w:left w:val="nil"/>
              <w:bottom w:val="nil"/>
              <w:right w:val="nil"/>
            </w:tcBorders>
            <w:shd w:val="clear" w:color="auto" w:fill="auto"/>
            <w:noWrap/>
            <w:vAlign w:val="center"/>
            <w:hideMark/>
          </w:tcPr>
          <w:p w14:paraId="52368ED2" w14:textId="77777777" w:rsidR="00EF49F3" w:rsidRPr="00EF49F3" w:rsidRDefault="00EF49F3" w:rsidP="00EF49F3">
            <w:pPr>
              <w:spacing w:after="0" w:line="240" w:lineRule="auto"/>
              <w:jc w:val="right"/>
              <w:rPr>
                <w:rFonts w:cs="Arial"/>
                <w:sz w:val="16"/>
                <w:szCs w:val="16"/>
              </w:rPr>
            </w:pPr>
            <w:r w:rsidRPr="00EF49F3">
              <w:rPr>
                <w:rFonts w:cs="Arial"/>
                <w:sz w:val="16"/>
                <w:szCs w:val="16"/>
              </w:rPr>
              <w:t>4,28</w:t>
            </w:r>
          </w:p>
        </w:tc>
        <w:tc>
          <w:tcPr>
            <w:tcW w:w="624" w:type="dxa"/>
            <w:tcBorders>
              <w:top w:val="nil"/>
              <w:left w:val="nil"/>
              <w:bottom w:val="nil"/>
              <w:right w:val="nil"/>
            </w:tcBorders>
            <w:shd w:val="clear" w:color="auto" w:fill="auto"/>
            <w:noWrap/>
            <w:vAlign w:val="center"/>
            <w:hideMark/>
          </w:tcPr>
          <w:p w14:paraId="1211FE9C" w14:textId="77777777" w:rsidR="00EF49F3" w:rsidRPr="00EF49F3" w:rsidRDefault="00EF49F3" w:rsidP="00EF49F3">
            <w:pPr>
              <w:spacing w:after="0" w:line="240" w:lineRule="auto"/>
              <w:jc w:val="right"/>
              <w:rPr>
                <w:rFonts w:cs="Arial"/>
                <w:sz w:val="16"/>
                <w:szCs w:val="16"/>
              </w:rPr>
            </w:pPr>
            <w:r w:rsidRPr="00EF49F3">
              <w:rPr>
                <w:rFonts w:cs="Arial"/>
                <w:sz w:val="16"/>
                <w:szCs w:val="16"/>
              </w:rPr>
              <w:t>4,54</w:t>
            </w:r>
          </w:p>
        </w:tc>
        <w:tc>
          <w:tcPr>
            <w:tcW w:w="624" w:type="dxa"/>
            <w:tcBorders>
              <w:top w:val="nil"/>
              <w:left w:val="nil"/>
              <w:bottom w:val="nil"/>
              <w:right w:val="nil"/>
            </w:tcBorders>
            <w:shd w:val="clear" w:color="auto" w:fill="auto"/>
            <w:noWrap/>
            <w:vAlign w:val="center"/>
            <w:hideMark/>
          </w:tcPr>
          <w:p w14:paraId="576164DC" w14:textId="77777777" w:rsidR="00EF49F3" w:rsidRPr="00EF49F3" w:rsidRDefault="00EF49F3" w:rsidP="00EF49F3">
            <w:pPr>
              <w:spacing w:after="0" w:line="240" w:lineRule="auto"/>
              <w:jc w:val="right"/>
              <w:rPr>
                <w:rFonts w:cs="Arial"/>
                <w:sz w:val="16"/>
                <w:szCs w:val="16"/>
              </w:rPr>
            </w:pPr>
            <w:r w:rsidRPr="00EF49F3">
              <w:rPr>
                <w:rFonts w:cs="Arial"/>
                <w:sz w:val="16"/>
                <w:szCs w:val="16"/>
              </w:rPr>
              <w:t>4,74</w:t>
            </w:r>
          </w:p>
        </w:tc>
        <w:tc>
          <w:tcPr>
            <w:tcW w:w="624" w:type="dxa"/>
            <w:tcBorders>
              <w:top w:val="nil"/>
              <w:left w:val="nil"/>
              <w:bottom w:val="nil"/>
              <w:right w:val="nil"/>
            </w:tcBorders>
            <w:shd w:val="clear" w:color="000000" w:fill="FFFFFF"/>
            <w:noWrap/>
            <w:vAlign w:val="center"/>
            <w:hideMark/>
          </w:tcPr>
          <w:p w14:paraId="4E6742FB" w14:textId="77777777" w:rsidR="00EF49F3" w:rsidRPr="00EF49F3" w:rsidRDefault="00EF49F3" w:rsidP="00EF49F3">
            <w:pPr>
              <w:spacing w:after="0" w:line="240" w:lineRule="auto"/>
              <w:jc w:val="right"/>
              <w:rPr>
                <w:rFonts w:cs="Arial"/>
                <w:color w:val="000000"/>
                <w:sz w:val="16"/>
                <w:szCs w:val="16"/>
              </w:rPr>
            </w:pPr>
            <w:r w:rsidRPr="00EF49F3">
              <w:rPr>
                <w:rFonts w:cs="Arial"/>
                <w:color w:val="000000"/>
                <w:sz w:val="16"/>
                <w:szCs w:val="16"/>
              </w:rPr>
              <w:t>4,98</w:t>
            </w:r>
          </w:p>
        </w:tc>
        <w:tc>
          <w:tcPr>
            <w:tcW w:w="624" w:type="dxa"/>
            <w:tcBorders>
              <w:top w:val="nil"/>
              <w:left w:val="nil"/>
              <w:bottom w:val="nil"/>
              <w:right w:val="nil"/>
            </w:tcBorders>
            <w:shd w:val="clear" w:color="auto" w:fill="auto"/>
            <w:noWrap/>
            <w:vAlign w:val="center"/>
            <w:hideMark/>
          </w:tcPr>
          <w:p w14:paraId="6A818913" w14:textId="77777777" w:rsidR="00EF49F3" w:rsidRPr="00EF49F3" w:rsidRDefault="00EF49F3" w:rsidP="00EF49F3">
            <w:pPr>
              <w:spacing w:after="0" w:line="240" w:lineRule="auto"/>
              <w:jc w:val="right"/>
              <w:rPr>
                <w:rFonts w:cs="Arial"/>
                <w:color w:val="000000"/>
                <w:sz w:val="16"/>
                <w:szCs w:val="16"/>
              </w:rPr>
            </w:pPr>
            <w:r w:rsidRPr="00EF49F3">
              <w:rPr>
                <w:rFonts w:cs="Arial"/>
                <w:color w:val="000000"/>
                <w:sz w:val="16"/>
                <w:szCs w:val="16"/>
              </w:rPr>
              <w:t>5,05</w:t>
            </w:r>
          </w:p>
        </w:tc>
      </w:tr>
      <w:tr w:rsidR="00EF49F3" w:rsidRPr="00EF49F3" w14:paraId="59A2EB43" w14:textId="77777777" w:rsidTr="00EF49F3">
        <w:trPr>
          <w:trHeight w:val="300"/>
        </w:trPr>
        <w:tc>
          <w:tcPr>
            <w:tcW w:w="2080" w:type="dxa"/>
            <w:tcBorders>
              <w:top w:val="nil"/>
              <w:left w:val="nil"/>
              <w:bottom w:val="nil"/>
              <w:right w:val="nil"/>
            </w:tcBorders>
            <w:shd w:val="clear" w:color="auto" w:fill="auto"/>
            <w:noWrap/>
            <w:vAlign w:val="center"/>
            <w:hideMark/>
          </w:tcPr>
          <w:p w14:paraId="3DAC7F7D" w14:textId="77777777" w:rsidR="00EF49F3" w:rsidRPr="00EF49F3" w:rsidRDefault="00EF49F3" w:rsidP="00EF49F3">
            <w:pPr>
              <w:spacing w:after="0" w:line="240" w:lineRule="auto"/>
              <w:ind w:firstLineChars="100" w:firstLine="160"/>
              <w:rPr>
                <w:rFonts w:cs="Arial"/>
                <w:sz w:val="16"/>
                <w:szCs w:val="16"/>
              </w:rPr>
            </w:pPr>
            <w:r w:rsidRPr="00EF49F3">
              <w:rPr>
                <w:rFonts w:cs="Arial"/>
                <w:sz w:val="16"/>
                <w:szCs w:val="16"/>
              </w:rPr>
              <w:t>Pardubický kraj</w:t>
            </w:r>
          </w:p>
        </w:tc>
        <w:tc>
          <w:tcPr>
            <w:tcW w:w="624" w:type="dxa"/>
            <w:tcBorders>
              <w:top w:val="nil"/>
              <w:left w:val="nil"/>
              <w:bottom w:val="nil"/>
              <w:right w:val="nil"/>
            </w:tcBorders>
            <w:shd w:val="clear" w:color="auto" w:fill="auto"/>
            <w:noWrap/>
            <w:vAlign w:val="center"/>
            <w:hideMark/>
          </w:tcPr>
          <w:p w14:paraId="1DA3B1CF" w14:textId="77777777" w:rsidR="00EF49F3" w:rsidRPr="00EF49F3" w:rsidRDefault="00EF49F3" w:rsidP="00EF49F3">
            <w:pPr>
              <w:spacing w:after="0" w:line="240" w:lineRule="auto"/>
              <w:jc w:val="right"/>
              <w:rPr>
                <w:rFonts w:cs="Arial"/>
                <w:sz w:val="16"/>
                <w:szCs w:val="16"/>
              </w:rPr>
            </w:pPr>
            <w:r w:rsidRPr="00EF49F3">
              <w:rPr>
                <w:rFonts w:cs="Arial"/>
                <w:sz w:val="16"/>
                <w:szCs w:val="16"/>
              </w:rPr>
              <w:t>5,34</w:t>
            </w:r>
          </w:p>
        </w:tc>
        <w:tc>
          <w:tcPr>
            <w:tcW w:w="624" w:type="dxa"/>
            <w:tcBorders>
              <w:top w:val="nil"/>
              <w:left w:val="nil"/>
              <w:bottom w:val="nil"/>
              <w:right w:val="nil"/>
            </w:tcBorders>
            <w:shd w:val="clear" w:color="auto" w:fill="auto"/>
            <w:noWrap/>
            <w:vAlign w:val="center"/>
            <w:hideMark/>
          </w:tcPr>
          <w:p w14:paraId="2BE90C0C" w14:textId="77777777" w:rsidR="00EF49F3" w:rsidRPr="00EF49F3" w:rsidRDefault="00EF49F3" w:rsidP="00EF49F3">
            <w:pPr>
              <w:spacing w:after="0" w:line="240" w:lineRule="auto"/>
              <w:jc w:val="right"/>
              <w:rPr>
                <w:rFonts w:cs="Arial"/>
                <w:sz w:val="16"/>
                <w:szCs w:val="16"/>
              </w:rPr>
            </w:pPr>
            <w:r w:rsidRPr="00EF49F3">
              <w:rPr>
                <w:rFonts w:cs="Arial"/>
                <w:sz w:val="16"/>
                <w:szCs w:val="16"/>
              </w:rPr>
              <w:t>4,57</w:t>
            </w:r>
          </w:p>
        </w:tc>
        <w:tc>
          <w:tcPr>
            <w:tcW w:w="624" w:type="dxa"/>
            <w:tcBorders>
              <w:top w:val="nil"/>
              <w:left w:val="nil"/>
              <w:bottom w:val="nil"/>
              <w:right w:val="nil"/>
            </w:tcBorders>
            <w:shd w:val="clear" w:color="auto" w:fill="auto"/>
            <w:noWrap/>
            <w:vAlign w:val="center"/>
            <w:hideMark/>
          </w:tcPr>
          <w:p w14:paraId="267FE487" w14:textId="77777777" w:rsidR="00EF49F3" w:rsidRPr="00EF49F3" w:rsidRDefault="00EF49F3" w:rsidP="00EF49F3">
            <w:pPr>
              <w:spacing w:after="0" w:line="240" w:lineRule="auto"/>
              <w:jc w:val="right"/>
              <w:rPr>
                <w:rFonts w:cs="Arial"/>
                <w:sz w:val="16"/>
                <w:szCs w:val="16"/>
              </w:rPr>
            </w:pPr>
            <w:r w:rsidRPr="00EF49F3">
              <w:rPr>
                <w:rFonts w:cs="Arial"/>
                <w:sz w:val="16"/>
                <w:szCs w:val="16"/>
              </w:rPr>
              <w:t>4,09</w:t>
            </w:r>
          </w:p>
        </w:tc>
        <w:tc>
          <w:tcPr>
            <w:tcW w:w="624" w:type="dxa"/>
            <w:tcBorders>
              <w:top w:val="nil"/>
              <w:left w:val="nil"/>
              <w:bottom w:val="nil"/>
              <w:right w:val="nil"/>
            </w:tcBorders>
            <w:shd w:val="clear" w:color="auto" w:fill="auto"/>
            <w:noWrap/>
            <w:vAlign w:val="center"/>
            <w:hideMark/>
          </w:tcPr>
          <w:p w14:paraId="136EE36A" w14:textId="77777777" w:rsidR="00EF49F3" w:rsidRPr="00EF49F3" w:rsidRDefault="00EF49F3" w:rsidP="00EF49F3">
            <w:pPr>
              <w:spacing w:after="0" w:line="240" w:lineRule="auto"/>
              <w:jc w:val="right"/>
              <w:rPr>
                <w:rFonts w:cs="Arial"/>
                <w:sz w:val="16"/>
                <w:szCs w:val="16"/>
              </w:rPr>
            </w:pPr>
            <w:r w:rsidRPr="00EF49F3">
              <w:rPr>
                <w:rFonts w:cs="Arial"/>
                <w:sz w:val="16"/>
                <w:szCs w:val="16"/>
              </w:rPr>
              <w:t>4,05</w:t>
            </w:r>
          </w:p>
        </w:tc>
        <w:tc>
          <w:tcPr>
            <w:tcW w:w="624" w:type="dxa"/>
            <w:tcBorders>
              <w:top w:val="nil"/>
              <w:left w:val="nil"/>
              <w:bottom w:val="nil"/>
              <w:right w:val="nil"/>
            </w:tcBorders>
            <w:shd w:val="clear" w:color="auto" w:fill="auto"/>
            <w:noWrap/>
            <w:vAlign w:val="center"/>
            <w:hideMark/>
          </w:tcPr>
          <w:p w14:paraId="20172137" w14:textId="77777777" w:rsidR="00EF49F3" w:rsidRPr="00EF49F3" w:rsidRDefault="00EF49F3" w:rsidP="00EF49F3">
            <w:pPr>
              <w:spacing w:after="0" w:line="240" w:lineRule="auto"/>
              <w:jc w:val="right"/>
              <w:rPr>
                <w:rFonts w:cs="Arial"/>
                <w:sz w:val="16"/>
                <w:szCs w:val="16"/>
              </w:rPr>
            </w:pPr>
            <w:r w:rsidRPr="00EF49F3">
              <w:rPr>
                <w:rFonts w:cs="Arial"/>
                <w:sz w:val="16"/>
                <w:szCs w:val="16"/>
              </w:rPr>
              <w:t>3,66</w:t>
            </w:r>
          </w:p>
        </w:tc>
        <w:tc>
          <w:tcPr>
            <w:tcW w:w="624" w:type="dxa"/>
            <w:tcBorders>
              <w:top w:val="nil"/>
              <w:left w:val="nil"/>
              <w:bottom w:val="nil"/>
              <w:right w:val="nil"/>
            </w:tcBorders>
            <w:shd w:val="clear" w:color="auto" w:fill="auto"/>
            <w:noWrap/>
            <w:vAlign w:val="center"/>
            <w:hideMark/>
          </w:tcPr>
          <w:p w14:paraId="32620E4D" w14:textId="77777777" w:rsidR="00EF49F3" w:rsidRPr="00EF49F3" w:rsidRDefault="00EF49F3" w:rsidP="00EF49F3">
            <w:pPr>
              <w:spacing w:after="0" w:line="240" w:lineRule="auto"/>
              <w:jc w:val="right"/>
              <w:rPr>
                <w:rFonts w:cs="Arial"/>
                <w:sz w:val="16"/>
                <w:szCs w:val="16"/>
              </w:rPr>
            </w:pPr>
            <w:r w:rsidRPr="00EF49F3">
              <w:rPr>
                <w:rFonts w:cs="Arial"/>
                <w:sz w:val="16"/>
                <w:szCs w:val="16"/>
              </w:rPr>
              <w:t>4,06</w:t>
            </w:r>
          </w:p>
        </w:tc>
        <w:tc>
          <w:tcPr>
            <w:tcW w:w="624" w:type="dxa"/>
            <w:tcBorders>
              <w:top w:val="nil"/>
              <w:left w:val="nil"/>
              <w:bottom w:val="nil"/>
              <w:right w:val="nil"/>
            </w:tcBorders>
            <w:shd w:val="clear" w:color="auto" w:fill="auto"/>
            <w:noWrap/>
            <w:vAlign w:val="center"/>
            <w:hideMark/>
          </w:tcPr>
          <w:p w14:paraId="76CB7936" w14:textId="77777777" w:rsidR="00EF49F3" w:rsidRPr="00EF49F3" w:rsidRDefault="00EF49F3" w:rsidP="00EF49F3">
            <w:pPr>
              <w:spacing w:after="0" w:line="240" w:lineRule="auto"/>
              <w:jc w:val="right"/>
              <w:rPr>
                <w:rFonts w:cs="Arial"/>
                <w:sz w:val="16"/>
                <w:szCs w:val="16"/>
              </w:rPr>
            </w:pPr>
            <w:r w:rsidRPr="00EF49F3">
              <w:rPr>
                <w:rFonts w:cs="Arial"/>
                <w:sz w:val="16"/>
                <w:szCs w:val="16"/>
              </w:rPr>
              <w:t>3,97</w:t>
            </w:r>
          </w:p>
        </w:tc>
        <w:tc>
          <w:tcPr>
            <w:tcW w:w="624" w:type="dxa"/>
            <w:tcBorders>
              <w:top w:val="nil"/>
              <w:left w:val="nil"/>
              <w:bottom w:val="nil"/>
              <w:right w:val="nil"/>
            </w:tcBorders>
            <w:shd w:val="clear" w:color="auto" w:fill="auto"/>
            <w:noWrap/>
            <w:vAlign w:val="center"/>
            <w:hideMark/>
          </w:tcPr>
          <w:p w14:paraId="76F5F344" w14:textId="77777777" w:rsidR="00EF49F3" w:rsidRPr="00EF49F3" w:rsidRDefault="00EF49F3" w:rsidP="00EF49F3">
            <w:pPr>
              <w:spacing w:after="0" w:line="240" w:lineRule="auto"/>
              <w:jc w:val="right"/>
              <w:rPr>
                <w:rFonts w:cs="Arial"/>
                <w:sz w:val="16"/>
                <w:szCs w:val="16"/>
              </w:rPr>
            </w:pPr>
            <w:r w:rsidRPr="00EF49F3">
              <w:rPr>
                <w:rFonts w:cs="Arial"/>
                <w:sz w:val="16"/>
                <w:szCs w:val="16"/>
              </w:rPr>
              <w:t>4,52</w:t>
            </w:r>
          </w:p>
        </w:tc>
        <w:tc>
          <w:tcPr>
            <w:tcW w:w="624" w:type="dxa"/>
            <w:tcBorders>
              <w:top w:val="nil"/>
              <w:left w:val="nil"/>
              <w:bottom w:val="nil"/>
              <w:right w:val="nil"/>
            </w:tcBorders>
            <w:shd w:val="clear" w:color="auto" w:fill="auto"/>
            <w:noWrap/>
            <w:vAlign w:val="center"/>
            <w:hideMark/>
          </w:tcPr>
          <w:p w14:paraId="54827236" w14:textId="77777777" w:rsidR="00EF49F3" w:rsidRPr="00EF49F3" w:rsidRDefault="00EF49F3" w:rsidP="00EF49F3">
            <w:pPr>
              <w:spacing w:after="0" w:line="240" w:lineRule="auto"/>
              <w:jc w:val="right"/>
              <w:rPr>
                <w:rFonts w:cs="Arial"/>
                <w:sz w:val="16"/>
                <w:szCs w:val="16"/>
              </w:rPr>
            </w:pPr>
            <w:r w:rsidRPr="00EF49F3">
              <w:rPr>
                <w:rFonts w:cs="Arial"/>
                <w:sz w:val="16"/>
                <w:szCs w:val="16"/>
              </w:rPr>
              <w:t>4,68</w:t>
            </w:r>
          </w:p>
        </w:tc>
        <w:tc>
          <w:tcPr>
            <w:tcW w:w="624" w:type="dxa"/>
            <w:tcBorders>
              <w:top w:val="nil"/>
              <w:left w:val="nil"/>
              <w:bottom w:val="nil"/>
              <w:right w:val="nil"/>
            </w:tcBorders>
            <w:shd w:val="clear" w:color="auto" w:fill="auto"/>
            <w:noWrap/>
            <w:vAlign w:val="center"/>
            <w:hideMark/>
          </w:tcPr>
          <w:p w14:paraId="2B645ADC" w14:textId="77777777" w:rsidR="00EF49F3" w:rsidRPr="00EF49F3" w:rsidRDefault="00EF49F3" w:rsidP="00EF49F3">
            <w:pPr>
              <w:spacing w:after="0" w:line="240" w:lineRule="auto"/>
              <w:jc w:val="right"/>
              <w:rPr>
                <w:rFonts w:cs="Arial"/>
                <w:sz w:val="16"/>
                <w:szCs w:val="16"/>
              </w:rPr>
            </w:pPr>
            <w:r w:rsidRPr="00EF49F3">
              <w:rPr>
                <w:rFonts w:cs="Arial"/>
                <w:sz w:val="16"/>
                <w:szCs w:val="16"/>
              </w:rPr>
              <w:t>4,92</w:t>
            </w:r>
          </w:p>
        </w:tc>
        <w:tc>
          <w:tcPr>
            <w:tcW w:w="624" w:type="dxa"/>
            <w:tcBorders>
              <w:top w:val="nil"/>
              <w:left w:val="nil"/>
              <w:bottom w:val="nil"/>
              <w:right w:val="nil"/>
            </w:tcBorders>
            <w:shd w:val="clear" w:color="000000" w:fill="FFFFFF"/>
            <w:noWrap/>
            <w:vAlign w:val="center"/>
            <w:hideMark/>
          </w:tcPr>
          <w:p w14:paraId="43FE6A36" w14:textId="77777777" w:rsidR="00EF49F3" w:rsidRPr="00EF49F3" w:rsidRDefault="00EF49F3" w:rsidP="00EF49F3">
            <w:pPr>
              <w:spacing w:after="0" w:line="240" w:lineRule="auto"/>
              <w:jc w:val="right"/>
              <w:rPr>
                <w:rFonts w:cs="Arial"/>
                <w:color w:val="000000"/>
                <w:sz w:val="16"/>
                <w:szCs w:val="16"/>
              </w:rPr>
            </w:pPr>
            <w:r w:rsidRPr="00EF49F3">
              <w:rPr>
                <w:rFonts w:cs="Arial"/>
                <w:color w:val="000000"/>
                <w:sz w:val="16"/>
                <w:szCs w:val="16"/>
              </w:rPr>
              <w:t>5,08</w:t>
            </w:r>
          </w:p>
        </w:tc>
        <w:tc>
          <w:tcPr>
            <w:tcW w:w="624" w:type="dxa"/>
            <w:tcBorders>
              <w:top w:val="nil"/>
              <w:left w:val="nil"/>
              <w:bottom w:val="nil"/>
              <w:right w:val="nil"/>
            </w:tcBorders>
            <w:shd w:val="clear" w:color="auto" w:fill="auto"/>
            <w:noWrap/>
            <w:vAlign w:val="center"/>
            <w:hideMark/>
          </w:tcPr>
          <w:p w14:paraId="123D6D9D" w14:textId="77777777" w:rsidR="00EF49F3" w:rsidRPr="00EF49F3" w:rsidRDefault="00EF49F3" w:rsidP="00EF49F3">
            <w:pPr>
              <w:spacing w:after="0" w:line="240" w:lineRule="auto"/>
              <w:jc w:val="right"/>
              <w:rPr>
                <w:rFonts w:cs="Arial"/>
                <w:color w:val="000000"/>
                <w:sz w:val="16"/>
                <w:szCs w:val="16"/>
              </w:rPr>
            </w:pPr>
            <w:r w:rsidRPr="00EF49F3">
              <w:rPr>
                <w:rFonts w:cs="Arial"/>
                <w:color w:val="000000"/>
                <w:sz w:val="16"/>
                <w:szCs w:val="16"/>
              </w:rPr>
              <w:t>5,11</w:t>
            </w:r>
          </w:p>
        </w:tc>
      </w:tr>
      <w:tr w:rsidR="00EF49F3" w:rsidRPr="00EF49F3" w14:paraId="31B88FBB" w14:textId="77777777" w:rsidTr="00EF49F3">
        <w:trPr>
          <w:trHeight w:val="300"/>
        </w:trPr>
        <w:tc>
          <w:tcPr>
            <w:tcW w:w="2080" w:type="dxa"/>
            <w:tcBorders>
              <w:top w:val="nil"/>
              <w:left w:val="nil"/>
              <w:bottom w:val="nil"/>
              <w:right w:val="nil"/>
            </w:tcBorders>
            <w:shd w:val="clear" w:color="auto" w:fill="auto"/>
            <w:noWrap/>
            <w:vAlign w:val="center"/>
            <w:hideMark/>
          </w:tcPr>
          <w:p w14:paraId="5A285144" w14:textId="77777777" w:rsidR="00EF49F3" w:rsidRPr="00EF49F3" w:rsidRDefault="00EF49F3" w:rsidP="00EF49F3">
            <w:pPr>
              <w:spacing w:after="0" w:line="240" w:lineRule="auto"/>
              <w:ind w:firstLineChars="100" w:firstLine="160"/>
              <w:rPr>
                <w:rFonts w:cs="Arial"/>
                <w:sz w:val="16"/>
                <w:szCs w:val="16"/>
              </w:rPr>
            </w:pPr>
            <w:r w:rsidRPr="00EF49F3">
              <w:rPr>
                <w:rFonts w:cs="Arial"/>
                <w:sz w:val="16"/>
                <w:szCs w:val="16"/>
              </w:rPr>
              <w:t>Vysočina</w:t>
            </w:r>
          </w:p>
        </w:tc>
        <w:tc>
          <w:tcPr>
            <w:tcW w:w="624" w:type="dxa"/>
            <w:tcBorders>
              <w:top w:val="nil"/>
              <w:left w:val="nil"/>
              <w:bottom w:val="nil"/>
              <w:right w:val="nil"/>
            </w:tcBorders>
            <w:shd w:val="clear" w:color="auto" w:fill="auto"/>
            <w:noWrap/>
            <w:vAlign w:val="center"/>
            <w:hideMark/>
          </w:tcPr>
          <w:p w14:paraId="57C27512" w14:textId="77777777" w:rsidR="00EF49F3" w:rsidRPr="00EF49F3" w:rsidRDefault="00EF49F3" w:rsidP="00EF49F3">
            <w:pPr>
              <w:spacing w:after="0" w:line="240" w:lineRule="auto"/>
              <w:jc w:val="right"/>
              <w:rPr>
                <w:rFonts w:cs="Arial"/>
                <w:sz w:val="16"/>
                <w:szCs w:val="16"/>
              </w:rPr>
            </w:pPr>
            <w:r w:rsidRPr="00EF49F3">
              <w:rPr>
                <w:rFonts w:cs="Arial"/>
                <w:sz w:val="16"/>
                <w:szCs w:val="16"/>
              </w:rPr>
              <w:t>5,48</w:t>
            </w:r>
          </w:p>
        </w:tc>
        <w:tc>
          <w:tcPr>
            <w:tcW w:w="624" w:type="dxa"/>
            <w:tcBorders>
              <w:top w:val="nil"/>
              <w:left w:val="nil"/>
              <w:bottom w:val="nil"/>
              <w:right w:val="nil"/>
            </w:tcBorders>
            <w:shd w:val="clear" w:color="auto" w:fill="auto"/>
            <w:noWrap/>
            <w:vAlign w:val="center"/>
            <w:hideMark/>
          </w:tcPr>
          <w:p w14:paraId="5A12056F" w14:textId="77777777" w:rsidR="00EF49F3" w:rsidRPr="00EF49F3" w:rsidRDefault="00EF49F3" w:rsidP="00EF49F3">
            <w:pPr>
              <w:spacing w:after="0" w:line="240" w:lineRule="auto"/>
              <w:jc w:val="right"/>
              <w:rPr>
                <w:rFonts w:cs="Arial"/>
                <w:sz w:val="16"/>
                <w:szCs w:val="16"/>
              </w:rPr>
            </w:pPr>
            <w:r w:rsidRPr="00EF49F3">
              <w:rPr>
                <w:rFonts w:cs="Arial"/>
                <w:sz w:val="16"/>
                <w:szCs w:val="16"/>
              </w:rPr>
              <w:t>4,54</w:t>
            </w:r>
          </w:p>
        </w:tc>
        <w:tc>
          <w:tcPr>
            <w:tcW w:w="624" w:type="dxa"/>
            <w:tcBorders>
              <w:top w:val="nil"/>
              <w:left w:val="nil"/>
              <w:bottom w:val="nil"/>
              <w:right w:val="nil"/>
            </w:tcBorders>
            <w:shd w:val="clear" w:color="auto" w:fill="auto"/>
            <w:noWrap/>
            <w:vAlign w:val="center"/>
            <w:hideMark/>
          </w:tcPr>
          <w:p w14:paraId="0067619F" w14:textId="77777777" w:rsidR="00EF49F3" w:rsidRPr="00EF49F3" w:rsidRDefault="00EF49F3" w:rsidP="00EF49F3">
            <w:pPr>
              <w:spacing w:after="0" w:line="240" w:lineRule="auto"/>
              <w:jc w:val="right"/>
              <w:rPr>
                <w:rFonts w:cs="Arial"/>
                <w:sz w:val="16"/>
                <w:szCs w:val="16"/>
              </w:rPr>
            </w:pPr>
            <w:r w:rsidRPr="00EF49F3">
              <w:rPr>
                <w:rFonts w:cs="Arial"/>
                <w:sz w:val="16"/>
                <w:szCs w:val="16"/>
              </w:rPr>
              <w:t>4,30</w:t>
            </w:r>
          </w:p>
        </w:tc>
        <w:tc>
          <w:tcPr>
            <w:tcW w:w="624" w:type="dxa"/>
            <w:tcBorders>
              <w:top w:val="nil"/>
              <w:left w:val="nil"/>
              <w:bottom w:val="nil"/>
              <w:right w:val="nil"/>
            </w:tcBorders>
            <w:shd w:val="clear" w:color="auto" w:fill="auto"/>
            <w:noWrap/>
            <w:vAlign w:val="center"/>
            <w:hideMark/>
          </w:tcPr>
          <w:p w14:paraId="1918D2A0" w14:textId="77777777" w:rsidR="00EF49F3" w:rsidRPr="00EF49F3" w:rsidRDefault="00EF49F3" w:rsidP="00EF49F3">
            <w:pPr>
              <w:spacing w:after="0" w:line="240" w:lineRule="auto"/>
              <w:jc w:val="right"/>
              <w:rPr>
                <w:rFonts w:cs="Arial"/>
                <w:sz w:val="16"/>
                <w:szCs w:val="16"/>
              </w:rPr>
            </w:pPr>
            <w:r w:rsidRPr="00EF49F3">
              <w:rPr>
                <w:rFonts w:cs="Arial"/>
                <w:sz w:val="16"/>
                <w:szCs w:val="16"/>
              </w:rPr>
              <w:t>4,20</w:t>
            </w:r>
          </w:p>
        </w:tc>
        <w:tc>
          <w:tcPr>
            <w:tcW w:w="624" w:type="dxa"/>
            <w:tcBorders>
              <w:top w:val="nil"/>
              <w:left w:val="nil"/>
              <w:bottom w:val="nil"/>
              <w:right w:val="nil"/>
            </w:tcBorders>
            <w:shd w:val="clear" w:color="auto" w:fill="auto"/>
            <w:noWrap/>
            <w:vAlign w:val="center"/>
            <w:hideMark/>
          </w:tcPr>
          <w:p w14:paraId="68551100" w14:textId="77777777" w:rsidR="00EF49F3" w:rsidRPr="00EF49F3" w:rsidRDefault="00EF49F3" w:rsidP="00EF49F3">
            <w:pPr>
              <w:spacing w:after="0" w:line="240" w:lineRule="auto"/>
              <w:jc w:val="right"/>
              <w:rPr>
                <w:rFonts w:cs="Arial"/>
                <w:sz w:val="16"/>
                <w:szCs w:val="16"/>
              </w:rPr>
            </w:pPr>
            <w:r w:rsidRPr="00EF49F3">
              <w:rPr>
                <w:rFonts w:cs="Arial"/>
                <w:sz w:val="16"/>
                <w:szCs w:val="16"/>
              </w:rPr>
              <w:t>3,79</w:t>
            </w:r>
          </w:p>
        </w:tc>
        <w:tc>
          <w:tcPr>
            <w:tcW w:w="624" w:type="dxa"/>
            <w:tcBorders>
              <w:top w:val="nil"/>
              <w:left w:val="nil"/>
              <w:bottom w:val="nil"/>
              <w:right w:val="nil"/>
            </w:tcBorders>
            <w:shd w:val="clear" w:color="auto" w:fill="auto"/>
            <w:noWrap/>
            <w:vAlign w:val="center"/>
            <w:hideMark/>
          </w:tcPr>
          <w:p w14:paraId="227A2325" w14:textId="77777777" w:rsidR="00EF49F3" w:rsidRPr="00EF49F3" w:rsidRDefault="00EF49F3" w:rsidP="00EF49F3">
            <w:pPr>
              <w:spacing w:after="0" w:line="240" w:lineRule="auto"/>
              <w:jc w:val="right"/>
              <w:rPr>
                <w:rFonts w:cs="Arial"/>
                <w:sz w:val="16"/>
                <w:szCs w:val="16"/>
              </w:rPr>
            </w:pPr>
            <w:r w:rsidRPr="00EF49F3">
              <w:rPr>
                <w:rFonts w:cs="Arial"/>
                <w:sz w:val="16"/>
                <w:szCs w:val="16"/>
              </w:rPr>
              <w:t>4,30</w:t>
            </w:r>
          </w:p>
        </w:tc>
        <w:tc>
          <w:tcPr>
            <w:tcW w:w="624" w:type="dxa"/>
            <w:tcBorders>
              <w:top w:val="nil"/>
              <w:left w:val="nil"/>
              <w:bottom w:val="nil"/>
              <w:right w:val="nil"/>
            </w:tcBorders>
            <w:shd w:val="clear" w:color="auto" w:fill="auto"/>
            <w:noWrap/>
            <w:vAlign w:val="center"/>
            <w:hideMark/>
          </w:tcPr>
          <w:p w14:paraId="42A30EF1" w14:textId="77777777" w:rsidR="00EF49F3" w:rsidRPr="00EF49F3" w:rsidRDefault="00EF49F3" w:rsidP="00EF49F3">
            <w:pPr>
              <w:spacing w:after="0" w:line="240" w:lineRule="auto"/>
              <w:jc w:val="right"/>
              <w:rPr>
                <w:rFonts w:cs="Arial"/>
                <w:sz w:val="16"/>
                <w:szCs w:val="16"/>
              </w:rPr>
            </w:pPr>
            <w:r w:rsidRPr="00EF49F3">
              <w:rPr>
                <w:rFonts w:cs="Arial"/>
                <w:sz w:val="16"/>
                <w:szCs w:val="16"/>
              </w:rPr>
              <w:t>4,23</w:t>
            </w:r>
          </w:p>
        </w:tc>
        <w:tc>
          <w:tcPr>
            <w:tcW w:w="624" w:type="dxa"/>
            <w:tcBorders>
              <w:top w:val="nil"/>
              <w:left w:val="nil"/>
              <w:bottom w:val="nil"/>
              <w:right w:val="nil"/>
            </w:tcBorders>
            <w:shd w:val="clear" w:color="auto" w:fill="auto"/>
            <w:noWrap/>
            <w:vAlign w:val="center"/>
            <w:hideMark/>
          </w:tcPr>
          <w:p w14:paraId="04811EDA" w14:textId="77777777" w:rsidR="00EF49F3" w:rsidRPr="00EF49F3" w:rsidRDefault="00EF49F3" w:rsidP="00EF49F3">
            <w:pPr>
              <w:spacing w:after="0" w:line="240" w:lineRule="auto"/>
              <w:jc w:val="right"/>
              <w:rPr>
                <w:rFonts w:cs="Arial"/>
                <w:sz w:val="16"/>
                <w:szCs w:val="16"/>
              </w:rPr>
            </w:pPr>
            <w:r w:rsidRPr="00EF49F3">
              <w:rPr>
                <w:rFonts w:cs="Arial"/>
                <w:sz w:val="16"/>
                <w:szCs w:val="16"/>
              </w:rPr>
              <w:t>4,88</w:t>
            </w:r>
          </w:p>
        </w:tc>
        <w:tc>
          <w:tcPr>
            <w:tcW w:w="624" w:type="dxa"/>
            <w:tcBorders>
              <w:top w:val="nil"/>
              <w:left w:val="nil"/>
              <w:bottom w:val="nil"/>
              <w:right w:val="nil"/>
            </w:tcBorders>
            <w:shd w:val="clear" w:color="auto" w:fill="auto"/>
            <w:noWrap/>
            <w:vAlign w:val="center"/>
            <w:hideMark/>
          </w:tcPr>
          <w:p w14:paraId="688948DD" w14:textId="77777777" w:rsidR="00EF49F3" w:rsidRPr="00EF49F3" w:rsidRDefault="00EF49F3" w:rsidP="00EF49F3">
            <w:pPr>
              <w:spacing w:after="0" w:line="240" w:lineRule="auto"/>
              <w:jc w:val="right"/>
              <w:rPr>
                <w:rFonts w:cs="Arial"/>
                <w:sz w:val="16"/>
                <w:szCs w:val="16"/>
              </w:rPr>
            </w:pPr>
            <w:r w:rsidRPr="00EF49F3">
              <w:rPr>
                <w:rFonts w:cs="Arial"/>
                <w:sz w:val="16"/>
                <w:szCs w:val="16"/>
              </w:rPr>
              <w:t>5,04</w:t>
            </w:r>
          </w:p>
        </w:tc>
        <w:tc>
          <w:tcPr>
            <w:tcW w:w="624" w:type="dxa"/>
            <w:tcBorders>
              <w:top w:val="nil"/>
              <w:left w:val="nil"/>
              <w:bottom w:val="nil"/>
              <w:right w:val="nil"/>
            </w:tcBorders>
            <w:shd w:val="clear" w:color="auto" w:fill="auto"/>
            <w:noWrap/>
            <w:vAlign w:val="center"/>
            <w:hideMark/>
          </w:tcPr>
          <w:p w14:paraId="75BD44E9" w14:textId="77777777" w:rsidR="00EF49F3" w:rsidRPr="00EF49F3" w:rsidRDefault="00EF49F3" w:rsidP="00EF49F3">
            <w:pPr>
              <w:spacing w:after="0" w:line="240" w:lineRule="auto"/>
              <w:jc w:val="right"/>
              <w:rPr>
                <w:rFonts w:cs="Arial"/>
                <w:sz w:val="16"/>
                <w:szCs w:val="16"/>
              </w:rPr>
            </w:pPr>
            <w:r w:rsidRPr="00EF49F3">
              <w:rPr>
                <w:rFonts w:cs="Arial"/>
                <w:sz w:val="16"/>
                <w:szCs w:val="16"/>
              </w:rPr>
              <w:t>5,28</w:t>
            </w:r>
          </w:p>
        </w:tc>
        <w:tc>
          <w:tcPr>
            <w:tcW w:w="624" w:type="dxa"/>
            <w:tcBorders>
              <w:top w:val="nil"/>
              <w:left w:val="nil"/>
              <w:bottom w:val="nil"/>
              <w:right w:val="nil"/>
            </w:tcBorders>
            <w:shd w:val="clear" w:color="000000" w:fill="FFFFFF"/>
            <w:noWrap/>
            <w:vAlign w:val="center"/>
            <w:hideMark/>
          </w:tcPr>
          <w:p w14:paraId="79099DCB" w14:textId="77777777" w:rsidR="00EF49F3" w:rsidRPr="00EF49F3" w:rsidRDefault="00EF49F3" w:rsidP="00EF49F3">
            <w:pPr>
              <w:spacing w:after="0" w:line="240" w:lineRule="auto"/>
              <w:jc w:val="right"/>
              <w:rPr>
                <w:rFonts w:cs="Arial"/>
                <w:color w:val="000000"/>
                <w:sz w:val="16"/>
                <w:szCs w:val="16"/>
              </w:rPr>
            </w:pPr>
            <w:r w:rsidRPr="00EF49F3">
              <w:rPr>
                <w:rFonts w:cs="Arial"/>
                <w:color w:val="000000"/>
                <w:sz w:val="16"/>
                <w:szCs w:val="16"/>
              </w:rPr>
              <w:t>5,48</w:t>
            </w:r>
          </w:p>
        </w:tc>
        <w:tc>
          <w:tcPr>
            <w:tcW w:w="624" w:type="dxa"/>
            <w:tcBorders>
              <w:top w:val="nil"/>
              <w:left w:val="nil"/>
              <w:bottom w:val="nil"/>
              <w:right w:val="nil"/>
            </w:tcBorders>
            <w:shd w:val="clear" w:color="auto" w:fill="auto"/>
            <w:noWrap/>
            <w:vAlign w:val="center"/>
            <w:hideMark/>
          </w:tcPr>
          <w:p w14:paraId="00F77E65" w14:textId="77777777" w:rsidR="00EF49F3" w:rsidRPr="00EF49F3" w:rsidRDefault="00EF49F3" w:rsidP="00EF49F3">
            <w:pPr>
              <w:spacing w:after="0" w:line="240" w:lineRule="auto"/>
              <w:jc w:val="right"/>
              <w:rPr>
                <w:rFonts w:cs="Arial"/>
                <w:color w:val="000000"/>
                <w:sz w:val="16"/>
                <w:szCs w:val="16"/>
              </w:rPr>
            </w:pPr>
            <w:r w:rsidRPr="00EF49F3">
              <w:rPr>
                <w:rFonts w:cs="Arial"/>
                <w:color w:val="000000"/>
                <w:sz w:val="16"/>
                <w:szCs w:val="16"/>
              </w:rPr>
              <w:t>5,63</w:t>
            </w:r>
          </w:p>
        </w:tc>
      </w:tr>
      <w:tr w:rsidR="00EF49F3" w:rsidRPr="00EF49F3" w14:paraId="6A0C5172" w14:textId="77777777" w:rsidTr="00EF49F3">
        <w:trPr>
          <w:trHeight w:val="300"/>
        </w:trPr>
        <w:tc>
          <w:tcPr>
            <w:tcW w:w="2080" w:type="dxa"/>
            <w:tcBorders>
              <w:top w:val="nil"/>
              <w:left w:val="nil"/>
              <w:bottom w:val="nil"/>
              <w:right w:val="nil"/>
            </w:tcBorders>
            <w:shd w:val="clear" w:color="auto" w:fill="auto"/>
            <w:noWrap/>
            <w:vAlign w:val="center"/>
            <w:hideMark/>
          </w:tcPr>
          <w:p w14:paraId="106EC4C4" w14:textId="77777777" w:rsidR="00EF49F3" w:rsidRPr="00EF49F3" w:rsidRDefault="00EF49F3" w:rsidP="00EF49F3">
            <w:pPr>
              <w:spacing w:after="0" w:line="240" w:lineRule="auto"/>
              <w:ind w:firstLineChars="100" w:firstLine="160"/>
              <w:rPr>
                <w:rFonts w:cs="Arial"/>
                <w:sz w:val="16"/>
                <w:szCs w:val="16"/>
              </w:rPr>
            </w:pPr>
            <w:r w:rsidRPr="00EF49F3">
              <w:rPr>
                <w:rFonts w:cs="Arial"/>
                <w:sz w:val="16"/>
                <w:szCs w:val="16"/>
              </w:rPr>
              <w:t>Jihomoravský kraj</w:t>
            </w:r>
          </w:p>
        </w:tc>
        <w:tc>
          <w:tcPr>
            <w:tcW w:w="624" w:type="dxa"/>
            <w:tcBorders>
              <w:top w:val="nil"/>
              <w:left w:val="nil"/>
              <w:bottom w:val="nil"/>
              <w:right w:val="nil"/>
            </w:tcBorders>
            <w:shd w:val="clear" w:color="auto" w:fill="auto"/>
            <w:noWrap/>
            <w:vAlign w:val="center"/>
            <w:hideMark/>
          </w:tcPr>
          <w:p w14:paraId="047F4B4A" w14:textId="77777777" w:rsidR="00EF49F3" w:rsidRPr="00EF49F3" w:rsidRDefault="00EF49F3" w:rsidP="00EF49F3">
            <w:pPr>
              <w:spacing w:after="0" w:line="240" w:lineRule="auto"/>
              <w:jc w:val="right"/>
              <w:rPr>
                <w:rFonts w:cs="Arial"/>
                <w:sz w:val="16"/>
                <w:szCs w:val="16"/>
              </w:rPr>
            </w:pPr>
            <w:r w:rsidRPr="00EF49F3">
              <w:rPr>
                <w:rFonts w:cs="Arial"/>
                <w:sz w:val="16"/>
                <w:szCs w:val="16"/>
              </w:rPr>
              <w:t>5,39</w:t>
            </w:r>
          </w:p>
        </w:tc>
        <w:tc>
          <w:tcPr>
            <w:tcW w:w="624" w:type="dxa"/>
            <w:tcBorders>
              <w:top w:val="nil"/>
              <w:left w:val="nil"/>
              <w:bottom w:val="nil"/>
              <w:right w:val="nil"/>
            </w:tcBorders>
            <w:shd w:val="clear" w:color="auto" w:fill="auto"/>
            <w:noWrap/>
            <w:vAlign w:val="center"/>
            <w:hideMark/>
          </w:tcPr>
          <w:p w14:paraId="22781AEE" w14:textId="77777777" w:rsidR="00EF49F3" w:rsidRPr="00EF49F3" w:rsidRDefault="00EF49F3" w:rsidP="00EF49F3">
            <w:pPr>
              <w:spacing w:after="0" w:line="240" w:lineRule="auto"/>
              <w:jc w:val="right"/>
              <w:rPr>
                <w:rFonts w:cs="Arial"/>
                <w:sz w:val="16"/>
                <w:szCs w:val="16"/>
              </w:rPr>
            </w:pPr>
            <w:r w:rsidRPr="00EF49F3">
              <w:rPr>
                <w:rFonts w:cs="Arial"/>
                <w:sz w:val="16"/>
                <w:szCs w:val="16"/>
              </w:rPr>
              <w:t>4,53</w:t>
            </w:r>
          </w:p>
        </w:tc>
        <w:tc>
          <w:tcPr>
            <w:tcW w:w="624" w:type="dxa"/>
            <w:tcBorders>
              <w:top w:val="nil"/>
              <w:left w:val="nil"/>
              <w:bottom w:val="nil"/>
              <w:right w:val="nil"/>
            </w:tcBorders>
            <w:shd w:val="clear" w:color="auto" w:fill="auto"/>
            <w:noWrap/>
            <w:vAlign w:val="center"/>
            <w:hideMark/>
          </w:tcPr>
          <w:p w14:paraId="74ADF1C4" w14:textId="77777777" w:rsidR="00EF49F3" w:rsidRPr="00EF49F3" w:rsidRDefault="00EF49F3" w:rsidP="00EF49F3">
            <w:pPr>
              <w:spacing w:after="0" w:line="240" w:lineRule="auto"/>
              <w:jc w:val="right"/>
              <w:rPr>
                <w:rFonts w:cs="Arial"/>
                <w:sz w:val="16"/>
                <w:szCs w:val="16"/>
              </w:rPr>
            </w:pPr>
            <w:r w:rsidRPr="00EF49F3">
              <w:rPr>
                <w:rFonts w:cs="Arial"/>
                <w:sz w:val="16"/>
                <w:szCs w:val="16"/>
              </w:rPr>
              <w:t>4,31</w:t>
            </w:r>
          </w:p>
        </w:tc>
        <w:tc>
          <w:tcPr>
            <w:tcW w:w="624" w:type="dxa"/>
            <w:tcBorders>
              <w:top w:val="nil"/>
              <w:left w:val="nil"/>
              <w:bottom w:val="nil"/>
              <w:right w:val="nil"/>
            </w:tcBorders>
            <w:shd w:val="clear" w:color="auto" w:fill="auto"/>
            <w:noWrap/>
            <w:vAlign w:val="center"/>
            <w:hideMark/>
          </w:tcPr>
          <w:p w14:paraId="5020D178" w14:textId="77777777" w:rsidR="00EF49F3" w:rsidRPr="00EF49F3" w:rsidRDefault="00EF49F3" w:rsidP="00EF49F3">
            <w:pPr>
              <w:spacing w:after="0" w:line="240" w:lineRule="auto"/>
              <w:jc w:val="right"/>
              <w:rPr>
                <w:rFonts w:cs="Arial"/>
                <w:sz w:val="16"/>
                <w:szCs w:val="16"/>
              </w:rPr>
            </w:pPr>
            <w:r w:rsidRPr="00EF49F3">
              <w:rPr>
                <w:rFonts w:cs="Arial"/>
                <w:sz w:val="16"/>
                <w:szCs w:val="16"/>
              </w:rPr>
              <w:t>4,09</w:t>
            </w:r>
          </w:p>
        </w:tc>
        <w:tc>
          <w:tcPr>
            <w:tcW w:w="624" w:type="dxa"/>
            <w:tcBorders>
              <w:top w:val="nil"/>
              <w:left w:val="nil"/>
              <w:bottom w:val="nil"/>
              <w:right w:val="nil"/>
            </w:tcBorders>
            <w:shd w:val="clear" w:color="auto" w:fill="auto"/>
            <w:noWrap/>
            <w:vAlign w:val="center"/>
            <w:hideMark/>
          </w:tcPr>
          <w:p w14:paraId="1610C1FC" w14:textId="77777777" w:rsidR="00EF49F3" w:rsidRPr="00EF49F3" w:rsidRDefault="00EF49F3" w:rsidP="00EF49F3">
            <w:pPr>
              <w:spacing w:after="0" w:line="240" w:lineRule="auto"/>
              <w:jc w:val="right"/>
              <w:rPr>
                <w:rFonts w:cs="Arial"/>
                <w:sz w:val="16"/>
                <w:szCs w:val="16"/>
              </w:rPr>
            </w:pPr>
            <w:r w:rsidRPr="00EF49F3">
              <w:rPr>
                <w:rFonts w:cs="Arial"/>
                <w:sz w:val="16"/>
                <w:szCs w:val="16"/>
              </w:rPr>
              <w:t>3,69</w:t>
            </w:r>
          </w:p>
        </w:tc>
        <w:tc>
          <w:tcPr>
            <w:tcW w:w="624" w:type="dxa"/>
            <w:tcBorders>
              <w:top w:val="nil"/>
              <w:left w:val="nil"/>
              <w:bottom w:val="nil"/>
              <w:right w:val="nil"/>
            </w:tcBorders>
            <w:shd w:val="clear" w:color="auto" w:fill="auto"/>
            <w:noWrap/>
            <w:vAlign w:val="center"/>
            <w:hideMark/>
          </w:tcPr>
          <w:p w14:paraId="1BEEAEC6" w14:textId="77777777" w:rsidR="00EF49F3" w:rsidRPr="00EF49F3" w:rsidRDefault="00EF49F3" w:rsidP="00EF49F3">
            <w:pPr>
              <w:spacing w:after="0" w:line="240" w:lineRule="auto"/>
              <w:jc w:val="right"/>
              <w:rPr>
                <w:rFonts w:cs="Arial"/>
                <w:sz w:val="16"/>
                <w:szCs w:val="16"/>
              </w:rPr>
            </w:pPr>
            <w:r w:rsidRPr="00EF49F3">
              <w:rPr>
                <w:rFonts w:cs="Arial"/>
                <w:sz w:val="16"/>
                <w:szCs w:val="16"/>
              </w:rPr>
              <w:t>4,08</w:t>
            </w:r>
          </w:p>
        </w:tc>
        <w:tc>
          <w:tcPr>
            <w:tcW w:w="624" w:type="dxa"/>
            <w:tcBorders>
              <w:top w:val="nil"/>
              <w:left w:val="nil"/>
              <w:bottom w:val="nil"/>
              <w:right w:val="nil"/>
            </w:tcBorders>
            <w:shd w:val="clear" w:color="auto" w:fill="auto"/>
            <w:noWrap/>
            <w:vAlign w:val="center"/>
            <w:hideMark/>
          </w:tcPr>
          <w:p w14:paraId="2EB3ADAF" w14:textId="77777777" w:rsidR="00EF49F3" w:rsidRPr="00EF49F3" w:rsidRDefault="00EF49F3" w:rsidP="00EF49F3">
            <w:pPr>
              <w:spacing w:after="0" w:line="240" w:lineRule="auto"/>
              <w:jc w:val="right"/>
              <w:rPr>
                <w:rFonts w:cs="Arial"/>
                <w:sz w:val="16"/>
                <w:szCs w:val="16"/>
              </w:rPr>
            </w:pPr>
            <w:r w:rsidRPr="00EF49F3">
              <w:rPr>
                <w:rFonts w:cs="Arial"/>
                <w:sz w:val="16"/>
                <w:szCs w:val="16"/>
              </w:rPr>
              <w:t>3,84</w:t>
            </w:r>
          </w:p>
        </w:tc>
        <w:tc>
          <w:tcPr>
            <w:tcW w:w="624" w:type="dxa"/>
            <w:tcBorders>
              <w:top w:val="nil"/>
              <w:left w:val="nil"/>
              <w:bottom w:val="nil"/>
              <w:right w:val="nil"/>
            </w:tcBorders>
            <w:shd w:val="clear" w:color="auto" w:fill="auto"/>
            <w:noWrap/>
            <w:vAlign w:val="center"/>
            <w:hideMark/>
          </w:tcPr>
          <w:p w14:paraId="3E1ADE8D" w14:textId="77777777" w:rsidR="00EF49F3" w:rsidRPr="00EF49F3" w:rsidRDefault="00EF49F3" w:rsidP="00EF49F3">
            <w:pPr>
              <w:spacing w:after="0" w:line="240" w:lineRule="auto"/>
              <w:jc w:val="right"/>
              <w:rPr>
                <w:rFonts w:cs="Arial"/>
                <w:sz w:val="16"/>
                <w:szCs w:val="16"/>
              </w:rPr>
            </w:pPr>
            <w:r w:rsidRPr="00EF49F3">
              <w:rPr>
                <w:rFonts w:cs="Arial"/>
                <w:sz w:val="16"/>
                <w:szCs w:val="16"/>
              </w:rPr>
              <w:t>4,36</w:t>
            </w:r>
          </w:p>
        </w:tc>
        <w:tc>
          <w:tcPr>
            <w:tcW w:w="624" w:type="dxa"/>
            <w:tcBorders>
              <w:top w:val="nil"/>
              <w:left w:val="nil"/>
              <w:bottom w:val="nil"/>
              <w:right w:val="nil"/>
            </w:tcBorders>
            <w:shd w:val="clear" w:color="auto" w:fill="auto"/>
            <w:noWrap/>
            <w:vAlign w:val="center"/>
            <w:hideMark/>
          </w:tcPr>
          <w:p w14:paraId="27D8A81B" w14:textId="77777777" w:rsidR="00EF49F3" w:rsidRPr="00EF49F3" w:rsidRDefault="00EF49F3" w:rsidP="00EF49F3">
            <w:pPr>
              <w:spacing w:after="0" w:line="240" w:lineRule="auto"/>
              <w:jc w:val="right"/>
              <w:rPr>
                <w:rFonts w:cs="Arial"/>
                <w:sz w:val="16"/>
                <w:szCs w:val="16"/>
              </w:rPr>
            </w:pPr>
            <w:r w:rsidRPr="00EF49F3">
              <w:rPr>
                <w:rFonts w:cs="Arial"/>
                <w:sz w:val="16"/>
                <w:szCs w:val="16"/>
              </w:rPr>
              <w:t>4,50</w:t>
            </w:r>
          </w:p>
        </w:tc>
        <w:tc>
          <w:tcPr>
            <w:tcW w:w="624" w:type="dxa"/>
            <w:tcBorders>
              <w:top w:val="nil"/>
              <w:left w:val="nil"/>
              <w:bottom w:val="nil"/>
              <w:right w:val="nil"/>
            </w:tcBorders>
            <w:shd w:val="clear" w:color="auto" w:fill="auto"/>
            <w:noWrap/>
            <w:vAlign w:val="center"/>
            <w:hideMark/>
          </w:tcPr>
          <w:p w14:paraId="3DB5E854" w14:textId="77777777" w:rsidR="00EF49F3" w:rsidRPr="00EF49F3" w:rsidRDefault="00EF49F3" w:rsidP="00EF49F3">
            <w:pPr>
              <w:spacing w:after="0" w:line="240" w:lineRule="auto"/>
              <w:jc w:val="right"/>
              <w:rPr>
                <w:rFonts w:cs="Arial"/>
                <w:sz w:val="16"/>
                <w:szCs w:val="16"/>
              </w:rPr>
            </w:pPr>
            <w:r w:rsidRPr="00EF49F3">
              <w:rPr>
                <w:rFonts w:cs="Arial"/>
                <w:sz w:val="16"/>
                <w:szCs w:val="16"/>
              </w:rPr>
              <w:t>4,68</w:t>
            </w:r>
          </w:p>
        </w:tc>
        <w:tc>
          <w:tcPr>
            <w:tcW w:w="624" w:type="dxa"/>
            <w:tcBorders>
              <w:top w:val="nil"/>
              <w:left w:val="nil"/>
              <w:bottom w:val="nil"/>
              <w:right w:val="nil"/>
            </w:tcBorders>
            <w:shd w:val="clear" w:color="000000" w:fill="FFFFFF"/>
            <w:noWrap/>
            <w:vAlign w:val="center"/>
            <w:hideMark/>
          </w:tcPr>
          <w:p w14:paraId="069EB42A" w14:textId="77777777" w:rsidR="00EF49F3" w:rsidRPr="00EF49F3" w:rsidRDefault="00EF49F3" w:rsidP="00EF49F3">
            <w:pPr>
              <w:spacing w:after="0" w:line="240" w:lineRule="auto"/>
              <w:jc w:val="right"/>
              <w:rPr>
                <w:rFonts w:cs="Arial"/>
                <w:color w:val="000000"/>
                <w:sz w:val="16"/>
                <w:szCs w:val="16"/>
              </w:rPr>
            </w:pPr>
            <w:r w:rsidRPr="00EF49F3">
              <w:rPr>
                <w:rFonts w:cs="Arial"/>
                <w:color w:val="000000"/>
                <w:sz w:val="16"/>
                <w:szCs w:val="16"/>
              </w:rPr>
              <w:t>4,75</w:t>
            </w:r>
          </w:p>
        </w:tc>
        <w:tc>
          <w:tcPr>
            <w:tcW w:w="624" w:type="dxa"/>
            <w:tcBorders>
              <w:top w:val="nil"/>
              <w:left w:val="nil"/>
              <w:bottom w:val="nil"/>
              <w:right w:val="nil"/>
            </w:tcBorders>
            <w:shd w:val="clear" w:color="auto" w:fill="auto"/>
            <w:noWrap/>
            <w:vAlign w:val="center"/>
            <w:hideMark/>
          </w:tcPr>
          <w:p w14:paraId="117253FA" w14:textId="77777777" w:rsidR="00EF49F3" w:rsidRPr="00EF49F3" w:rsidRDefault="00EF49F3" w:rsidP="00EF49F3">
            <w:pPr>
              <w:spacing w:after="0" w:line="240" w:lineRule="auto"/>
              <w:jc w:val="right"/>
              <w:rPr>
                <w:rFonts w:cs="Arial"/>
                <w:color w:val="000000"/>
                <w:sz w:val="16"/>
                <w:szCs w:val="16"/>
              </w:rPr>
            </w:pPr>
            <w:r w:rsidRPr="00EF49F3">
              <w:rPr>
                <w:rFonts w:cs="Arial"/>
                <w:color w:val="000000"/>
                <w:sz w:val="16"/>
                <w:szCs w:val="16"/>
              </w:rPr>
              <w:t>4,79</w:t>
            </w:r>
          </w:p>
        </w:tc>
      </w:tr>
      <w:tr w:rsidR="00EF49F3" w:rsidRPr="00EF49F3" w14:paraId="1ED64C64" w14:textId="77777777" w:rsidTr="00EF49F3">
        <w:trPr>
          <w:trHeight w:val="300"/>
        </w:trPr>
        <w:tc>
          <w:tcPr>
            <w:tcW w:w="2080" w:type="dxa"/>
            <w:tcBorders>
              <w:top w:val="nil"/>
              <w:left w:val="nil"/>
              <w:bottom w:val="nil"/>
              <w:right w:val="nil"/>
            </w:tcBorders>
            <w:shd w:val="clear" w:color="auto" w:fill="auto"/>
            <w:noWrap/>
            <w:vAlign w:val="center"/>
            <w:hideMark/>
          </w:tcPr>
          <w:p w14:paraId="759D6205" w14:textId="77777777" w:rsidR="00EF49F3" w:rsidRPr="00EF49F3" w:rsidRDefault="00EF49F3" w:rsidP="00EF49F3">
            <w:pPr>
              <w:spacing w:after="0" w:line="240" w:lineRule="auto"/>
              <w:ind w:firstLineChars="100" w:firstLine="160"/>
              <w:rPr>
                <w:rFonts w:cs="Arial"/>
                <w:sz w:val="16"/>
                <w:szCs w:val="16"/>
              </w:rPr>
            </w:pPr>
            <w:r w:rsidRPr="00EF49F3">
              <w:rPr>
                <w:rFonts w:cs="Arial"/>
                <w:sz w:val="16"/>
                <w:szCs w:val="16"/>
              </w:rPr>
              <w:t>Olomoucký kraj</w:t>
            </w:r>
          </w:p>
        </w:tc>
        <w:tc>
          <w:tcPr>
            <w:tcW w:w="624" w:type="dxa"/>
            <w:tcBorders>
              <w:top w:val="nil"/>
              <w:left w:val="nil"/>
              <w:bottom w:val="nil"/>
              <w:right w:val="nil"/>
            </w:tcBorders>
            <w:shd w:val="clear" w:color="auto" w:fill="auto"/>
            <w:noWrap/>
            <w:vAlign w:val="center"/>
            <w:hideMark/>
          </w:tcPr>
          <w:p w14:paraId="31C65154" w14:textId="77777777" w:rsidR="00EF49F3" w:rsidRPr="00EF49F3" w:rsidRDefault="00EF49F3" w:rsidP="00EF49F3">
            <w:pPr>
              <w:spacing w:after="0" w:line="240" w:lineRule="auto"/>
              <w:jc w:val="right"/>
              <w:rPr>
                <w:rFonts w:cs="Arial"/>
                <w:sz w:val="16"/>
                <w:szCs w:val="16"/>
              </w:rPr>
            </w:pPr>
            <w:r w:rsidRPr="00EF49F3">
              <w:rPr>
                <w:rFonts w:cs="Arial"/>
                <w:sz w:val="16"/>
                <w:szCs w:val="16"/>
              </w:rPr>
              <w:t>5,69</w:t>
            </w:r>
          </w:p>
        </w:tc>
        <w:tc>
          <w:tcPr>
            <w:tcW w:w="624" w:type="dxa"/>
            <w:tcBorders>
              <w:top w:val="nil"/>
              <w:left w:val="nil"/>
              <w:bottom w:val="nil"/>
              <w:right w:val="nil"/>
            </w:tcBorders>
            <w:shd w:val="clear" w:color="auto" w:fill="auto"/>
            <w:noWrap/>
            <w:vAlign w:val="center"/>
            <w:hideMark/>
          </w:tcPr>
          <w:p w14:paraId="202AD291" w14:textId="77777777" w:rsidR="00EF49F3" w:rsidRPr="00EF49F3" w:rsidRDefault="00EF49F3" w:rsidP="00EF49F3">
            <w:pPr>
              <w:spacing w:after="0" w:line="240" w:lineRule="auto"/>
              <w:jc w:val="right"/>
              <w:rPr>
                <w:rFonts w:cs="Arial"/>
                <w:sz w:val="16"/>
                <w:szCs w:val="16"/>
              </w:rPr>
            </w:pPr>
            <w:r w:rsidRPr="00EF49F3">
              <w:rPr>
                <w:rFonts w:cs="Arial"/>
                <w:sz w:val="16"/>
                <w:szCs w:val="16"/>
              </w:rPr>
              <w:t>4,77</w:t>
            </w:r>
          </w:p>
        </w:tc>
        <w:tc>
          <w:tcPr>
            <w:tcW w:w="624" w:type="dxa"/>
            <w:tcBorders>
              <w:top w:val="nil"/>
              <w:left w:val="nil"/>
              <w:bottom w:val="nil"/>
              <w:right w:val="nil"/>
            </w:tcBorders>
            <w:shd w:val="clear" w:color="auto" w:fill="auto"/>
            <w:noWrap/>
            <w:vAlign w:val="center"/>
            <w:hideMark/>
          </w:tcPr>
          <w:p w14:paraId="25DCD05B" w14:textId="77777777" w:rsidR="00EF49F3" w:rsidRPr="00EF49F3" w:rsidRDefault="00EF49F3" w:rsidP="00EF49F3">
            <w:pPr>
              <w:spacing w:after="0" w:line="240" w:lineRule="auto"/>
              <w:jc w:val="right"/>
              <w:rPr>
                <w:rFonts w:cs="Arial"/>
                <w:sz w:val="16"/>
                <w:szCs w:val="16"/>
              </w:rPr>
            </w:pPr>
            <w:r w:rsidRPr="00EF49F3">
              <w:rPr>
                <w:rFonts w:cs="Arial"/>
                <w:sz w:val="16"/>
                <w:szCs w:val="16"/>
              </w:rPr>
              <w:t>4,29</w:t>
            </w:r>
          </w:p>
        </w:tc>
        <w:tc>
          <w:tcPr>
            <w:tcW w:w="624" w:type="dxa"/>
            <w:tcBorders>
              <w:top w:val="nil"/>
              <w:left w:val="nil"/>
              <w:bottom w:val="nil"/>
              <w:right w:val="nil"/>
            </w:tcBorders>
            <w:shd w:val="clear" w:color="auto" w:fill="auto"/>
            <w:noWrap/>
            <w:vAlign w:val="center"/>
            <w:hideMark/>
          </w:tcPr>
          <w:p w14:paraId="2331F812" w14:textId="77777777" w:rsidR="00EF49F3" w:rsidRPr="00EF49F3" w:rsidRDefault="00EF49F3" w:rsidP="00EF49F3">
            <w:pPr>
              <w:spacing w:after="0" w:line="240" w:lineRule="auto"/>
              <w:jc w:val="right"/>
              <w:rPr>
                <w:rFonts w:cs="Arial"/>
                <w:sz w:val="16"/>
                <w:szCs w:val="16"/>
              </w:rPr>
            </w:pPr>
            <w:r w:rsidRPr="00EF49F3">
              <w:rPr>
                <w:rFonts w:cs="Arial"/>
                <w:sz w:val="16"/>
                <w:szCs w:val="16"/>
              </w:rPr>
              <w:t>4,24</w:t>
            </w:r>
          </w:p>
        </w:tc>
        <w:tc>
          <w:tcPr>
            <w:tcW w:w="624" w:type="dxa"/>
            <w:tcBorders>
              <w:top w:val="nil"/>
              <w:left w:val="nil"/>
              <w:bottom w:val="nil"/>
              <w:right w:val="nil"/>
            </w:tcBorders>
            <w:shd w:val="clear" w:color="auto" w:fill="auto"/>
            <w:noWrap/>
            <w:vAlign w:val="center"/>
            <w:hideMark/>
          </w:tcPr>
          <w:p w14:paraId="4F06892E" w14:textId="77777777" w:rsidR="00EF49F3" w:rsidRPr="00EF49F3" w:rsidRDefault="00EF49F3" w:rsidP="00EF49F3">
            <w:pPr>
              <w:spacing w:after="0" w:line="240" w:lineRule="auto"/>
              <w:jc w:val="right"/>
              <w:rPr>
                <w:rFonts w:cs="Arial"/>
                <w:sz w:val="16"/>
                <w:szCs w:val="16"/>
              </w:rPr>
            </w:pPr>
            <w:r w:rsidRPr="00EF49F3">
              <w:rPr>
                <w:rFonts w:cs="Arial"/>
                <w:sz w:val="16"/>
                <w:szCs w:val="16"/>
              </w:rPr>
              <w:t>3,90</w:t>
            </w:r>
          </w:p>
        </w:tc>
        <w:tc>
          <w:tcPr>
            <w:tcW w:w="624" w:type="dxa"/>
            <w:tcBorders>
              <w:top w:val="nil"/>
              <w:left w:val="nil"/>
              <w:bottom w:val="nil"/>
              <w:right w:val="nil"/>
            </w:tcBorders>
            <w:shd w:val="clear" w:color="auto" w:fill="auto"/>
            <w:noWrap/>
            <w:vAlign w:val="center"/>
            <w:hideMark/>
          </w:tcPr>
          <w:p w14:paraId="48C97DDB" w14:textId="77777777" w:rsidR="00EF49F3" w:rsidRPr="00EF49F3" w:rsidRDefault="00EF49F3" w:rsidP="00EF49F3">
            <w:pPr>
              <w:spacing w:after="0" w:line="240" w:lineRule="auto"/>
              <w:jc w:val="right"/>
              <w:rPr>
                <w:rFonts w:cs="Arial"/>
                <w:sz w:val="16"/>
                <w:szCs w:val="16"/>
              </w:rPr>
            </w:pPr>
            <w:r w:rsidRPr="00EF49F3">
              <w:rPr>
                <w:rFonts w:cs="Arial"/>
                <w:sz w:val="16"/>
                <w:szCs w:val="16"/>
              </w:rPr>
              <w:t>4,22</w:t>
            </w:r>
          </w:p>
        </w:tc>
        <w:tc>
          <w:tcPr>
            <w:tcW w:w="624" w:type="dxa"/>
            <w:tcBorders>
              <w:top w:val="nil"/>
              <w:left w:val="nil"/>
              <w:bottom w:val="nil"/>
              <w:right w:val="nil"/>
            </w:tcBorders>
            <w:shd w:val="clear" w:color="auto" w:fill="auto"/>
            <w:noWrap/>
            <w:vAlign w:val="center"/>
            <w:hideMark/>
          </w:tcPr>
          <w:p w14:paraId="74EE13B8" w14:textId="77777777" w:rsidR="00EF49F3" w:rsidRPr="00EF49F3" w:rsidRDefault="00EF49F3" w:rsidP="00EF49F3">
            <w:pPr>
              <w:spacing w:after="0" w:line="240" w:lineRule="auto"/>
              <w:jc w:val="right"/>
              <w:rPr>
                <w:rFonts w:cs="Arial"/>
                <w:sz w:val="16"/>
                <w:szCs w:val="16"/>
              </w:rPr>
            </w:pPr>
            <w:r w:rsidRPr="00EF49F3">
              <w:rPr>
                <w:rFonts w:cs="Arial"/>
                <w:sz w:val="16"/>
                <w:szCs w:val="16"/>
              </w:rPr>
              <w:t>4,10</w:t>
            </w:r>
          </w:p>
        </w:tc>
        <w:tc>
          <w:tcPr>
            <w:tcW w:w="624" w:type="dxa"/>
            <w:tcBorders>
              <w:top w:val="nil"/>
              <w:left w:val="nil"/>
              <w:bottom w:val="nil"/>
              <w:right w:val="nil"/>
            </w:tcBorders>
            <w:shd w:val="clear" w:color="auto" w:fill="auto"/>
            <w:noWrap/>
            <w:vAlign w:val="center"/>
            <w:hideMark/>
          </w:tcPr>
          <w:p w14:paraId="6C777FE3" w14:textId="77777777" w:rsidR="00EF49F3" w:rsidRPr="00EF49F3" w:rsidRDefault="00EF49F3" w:rsidP="00EF49F3">
            <w:pPr>
              <w:spacing w:after="0" w:line="240" w:lineRule="auto"/>
              <w:jc w:val="right"/>
              <w:rPr>
                <w:rFonts w:cs="Arial"/>
                <w:sz w:val="16"/>
                <w:szCs w:val="16"/>
              </w:rPr>
            </w:pPr>
            <w:r w:rsidRPr="00EF49F3">
              <w:rPr>
                <w:rFonts w:cs="Arial"/>
                <w:sz w:val="16"/>
                <w:szCs w:val="16"/>
              </w:rPr>
              <w:t>4,53</w:t>
            </w:r>
          </w:p>
        </w:tc>
        <w:tc>
          <w:tcPr>
            <w:tcW w:w="624" w:type="dxa"/>
            <w:tcBorders>
              <w:top w:val="nil"/>
              <w:left w:val="nil"/>
              <w:bottom w:val="nil"/>
              <w:right w:val="nil"/>
            </w:tcBorders>
            <w:shd w:val="clear" w:color="auto" w:fill="auto"/>
            <w:noWrap/>
            <w:vAlign w:val="center"/>
            <w:hideMark/>
          </w:tcPr>
          <w:p w14:paraId="3F722605" w14:textId="77777777" w:rsidR="00EF49F3" w:rsidRPr="00EF49F3" w:rsidRDefault="00EF49F3" w:rsidP="00EF49F3">
            <w:pPr>
              <w:spacing w:after="0" w:line="240" w:lineRule="auto"/>
              <w:jc w:val="right"/>
              <w:rPr>
                <w:rFonts w:cs="Arial"/>
                <w:sz w:val="16"/>
                <w:szCs w:val="16"/>
              </w:rPr>
            </w:pPr>
            <w:r w:rsidRPr="00EF49F3">
              <w:rPr>
                <w:rFonts w:cs="Arial"/>
                <w:sz w:val="16"/>
                <w:szCs w:val="16"/>
              </w:rPr>
              <w:t>4,79</w:t>
            </w:r>
          </w:p>
        </w:tc>
        <w:tc>
          <w:tcPr>
            <w:tcW w:w="624" w:type="dxa"/>
            <w:tcBorders>
              <w:top w:val="nil"/>
              <w:left w:val="nil"/>
              <w:bottom w:val="nil"/>
              <w:right w:val="nil"/>
            </w:tcBorders>
            <w:shd w:val="clear" w:color="auto" w:fill="auto"/>
            <w:noWrap/>
            <w:vAlign w:val="center"/>
            <w:hideMark/>
          </w:tcPr>
          <w:p w14:paraId="19295FB7" w14:textId="77777777" w:rsidR="00EF49F3" w:rsidRPr="00EF49F3" w:rsidRDefault="00EF49F3" w:rsidP="00EF49F3">
            <w:pPr>
              <w:spacing w:after="0" w:line="240" w:lineRule="auto"/>
              <w:jc w:val="right"/>
              <w:rPr>
                <w:rFonts w:cs="Arial"/>
                <w:sz w:val="16"/>
                <w:szCs w:val="16"/>
              </w:rPr>
            </w:pPr>
            <w:r w:rsidRPr="00EF49F3">
              <w:rPr>
                <w:rFonts w:cs="Arial"/>
                <w:sz w:val="16"/>
                <w:szCs w:val="16"/>
              </w:rPr>
              <w:t>4,95</w:t>
            </w:r>
          </w:p>
        </w:tc>
        <w:tc>
          <w:tcPr>
            <w:tcW w:w="624" w:type="dxa"/>
            <w:tcBorders>
              <w:top w:val="nil"/>
              <w:left w:val="nil"/>
              <w:bottom w:val="nil"/>
              <w:right w:val="nil"/>
            </w:tcBorders>
            <w:shd w:val="clear" w:color="000000" w:fill="FFFFFF"/>
            <w:noWrap/>
            <w:vAlign w:val="center"/>
            <w:hideMark/>
          </w:tcPr>
          <w:p w14:paraId="6349B769" w14:textId="77777777" w:rsidR="00EF49F3" w:rsidRPr="00EF49F3" w:rsidRDefault="00EF49F3" w:rsidP="00EF49F3">
            <w:pPr>
              <w:spacing w:after="0" w:line="240" w:lineRule="auto"/>
              <w:jc w:val="right"/>
              <w:rPr>
                <w:rFonts w:cs="Arial"/>
                <w:color w:val="000000"/>
                <w:sz w:val="16"/>
                <w:szCs w:val="16"/>
              </w:rPr>
            </w:pPr>
            <w:r w:rsidRPr="00EF49F3">
              <w:rPr>
                <w:rFonts w:cs="Arial"/>
                <w:color w:val="000000"/>
                <w:sz w:val="16"/>
                <w:szCs w:val="16"/>
              </w:rPr>
              <w:t>5,05</w:t>
            </w:r>
          </w:p>
        </w:tc>
        <w:tc>
          <w:tcPr>
            <w:tcW w:w="624" w:type="dxa"/>
            <w:tcBorders>
              <w:top w:val="nil"/>
              <w:left w:val="nil"/>
              <w:bottom w:val="nil"/>
              <w:right w:val="nil"/>
            </w:tcBorders>
            <w:shd w:val="clear" w:color="auto" w:fill="auto"/>
            <w:noWrap/>
            <w:vAlign w:val="center"/>
            <w:hideMark/>
          </w:tcPr>
          <w:p w14:paraId="1E0E1F5F" w14:textId="77777777" w:rsidR="00EF49F3" w:rsidRPr="00EF49F3" w:rsidRDefault="00EF49F3" w:rsidP="00EF49F3">
            <w:pPr>
              <w:spacing w:after="0" w:line="240" w:lineRule="auto"/>
              <w:jc w:val="right"/>
              <w:rPr>
                <w:rFonts w:cs="Arial"/>
                <w:color w:val="000000"/>
                <w:sz w:val="16"/>
                <w:szCs w:val="16"/>
              </w:rPr>
            </w:pPr>
            <w:r w:rsidRPr="00EF49F3">
              <w:rPr>
                <w:rFonts w:cs="Arial"/>
                <w:color w:val="000000"/>
                <w:sz w:val="16"/>
                <w:szCs w:val="16"/>
              </w:rPr>
              <w:t>5,19</w:t>
            </w:r>
          </w:p>
        </w:tc>
      </w:tr>
      <w:tr w:rsidR="00EF49F3" w:rsidRPr="00EF49F3" w14:paraId="09825BE7" w14:textId="77777777" w:rsidTr="00EF49F3">
        <w:trPr>
          <w:trHeight w:val="300"/>
        </w:trPr>
        <w:tc>
          <w:tcPr>
            <w:tcW w:w="2080" w:type="dxa"/>
            <w:tcBorders>
              <w:top w:val="nil"/>
              <w:left w:val="nil"/>
              <w:bottom w:val="nil"/>
              <w:right w:val="nil"/>
            </w:tcBorders>
            <w:shd w:val="clear" w:color="auto" w:fill="auto"/>
            <w:noWrap/>
            <w:vAlign w:val="center"/>
            <w:hideMark/>
          </w:tcPr>
          <w:p w14:paraId="1E3D59BE" w14:textId="77777777" w:rsidR="00EF49F3" w:rsidRPr="00EF49F3" w:rsidRDefault="00EF49F3" w:rsidP="00EF49F3">
            <w:pPr>
              <w:spacing w:after="0" w:line="240" w:lineRule="auto"/>
              <w:ind w:firstLineChars="100" w:firstLine="160"/>
              <w:rPr>
                <w:rFonts w:cs="Arial"/>
                <w:sz w:val="16"/>
                <w:szCs w:val="16"/>
              </w:rPr>
            </w:pPr>
            <w:r w:rsidRPr="00EF49F3">
              <w:rPr>
                <w:rFonts w:cs="Arial"/>
                <w:sz w:val="16"/>
                <w:szCs w:val="16"/>
              </w:rPr>
              <w:t>Zlínský kraj</w:t>
            </w:r>
          </w:p>
        </w:tc>
        <w:tc>
          <w:tcPr>
            <w:tcW w:w="624" w:type="dxa"/>
            <w:tcBorders>
              <w:top w:val="nil"/>
              <w:left w:val="nil"/>
              <w:bottom w:val="nil"/>
              <w:right w:val="nil"/>
            </w:tcBorders>
            <w:shd w:val="clear" w:color="auto" w:fill="auto"/>
            <w:noWrap/>
            <w:vAlign w:val="center"/>
            <w:hideMark/>
          </w:tcPr>
          <w:p w14:paraId="32A89774" w14:textId="77777777" w:rsidR="00EF49F3" w:rsidRPr="00EF49F3" w:rsidRDefault="00EF49F3" w:rsidP="00EF49F3">
            <w:pPr>
              <w:spacing w:after="0" w:line="240" w:lineRule="auto"/>
              <w:jc w:val="right"/>
              <w:rPr>
                <w:rFonts w:cs="Arial"/>
                <w:sz w:val="16"/>
                <w:szCs w:val="16"/>
              </w:rPr>
            </w:pPr>
            <w:r w:rsidRPr="00EF49F3">
              <w:rPr>
                <w:rFonts w:cs="Arial"/>
                <w:sz w:val="16"/>
                <w:szCs w:val="16"/>
              </w:rPr>
              <w:t>5,95</w:t>
            </w:r>
          </w:p>
        </w:tc>
        <w:tc>
          <w:tcPr>
            <w:tcW w:w="624" w:type="dxa"/>
            <w:tcBorders>
              <w:top w:val="nil"/>
              <w:left w:val="nil"/>
              <w:bottom w:val="nil"/>
              <w:right w:val="nil"/>
            </w:tcBorders>
            <w:shd w:val="clear" w:color="auto" w:fill="auto"/>
            <w:noWrap/>
            <w:vAlign w:val="center"/>
            <w:hideMark/>
          </w:tcPr>
          <w:p w14:paraId="08C71748" w14:textId="77777777" w:rsidR="00EF49F3" w:rsidRPr="00EF49F3" w:rsidRDefault="00EF49F3" w:rsidP="00EF49F3">
            <w:pPr>
              <w:spacing w:after="0" w:line="240" w:lineRule="auto"/>
              <w:jc w:val="right"/>
              <w:rPr>
                <w:rFonts w:cs="Arial"/>
                <w:sz w:val="16"/>
                <w:szCs w:val="16"/>
              </w:rPr>
            </w:pPr>
            <w:r w:rsidRPr="00EF49F3">
              <w:rPr>
                <w:rFonts w:cs="Arial"/>
                <w:sz w:val="16"/>
                <w:szCs w:val="16"/>
              </w:rPr>
              <w:t>5,52</w:t>
            </w:r>
          </w:p>
        </w:tc>
        <w:tc>
          <w:tcPr>
            <w:tcW w:w="624" w:type="dxa"/>
            <w:tcBorders>
              <w:top w:val="nil"/>
              <w:left w:val="nil"/>
              <w:bottom w:val="nil"/>
              <w:right w:val="nil"/>
            </w:tcBorders>
            <w:shd w:val="clear" w:color="auto" w:fill="auto"/>
            <w:noWrap/>
            <w:vAlign w:val="center"/>
            <w:hideMark/>
          </w:tcPr>
          <w:p w14:paraId="58D4EC56" w14:textId="77777777" w:rsidR="00EF49F3" w:rsidRPr="00EF49F3" w:rsidRDefault="00EF49F3" w:rsidP="00EF49F3">
            <w:pPr>
              <w:spacing w:after="0" w:line="240" w:lineRule="auto"/>
              <w:jc w:val="right"/>
              <w:rPr>
                <w:rFonts w:cs="Arial"/>
                <w:sz w:val="16"/>
                <w:szCs w:val="16"/>
              </w:rPr>
            </w:pPr>
            <w:r w:rsidRPr="00EF49F3">
              <w:rPr>
                <w:rFonts w:cs="Arial"/>
                <w:sz w:val="16"/>
                <w:szCs w:val="16"/>
              </w:rPr>
              <w:t>5,10</w:t>
            </w:r>
          </w:p>
        </w:tc>
        <w:tc>
          <w:tcPr>
            <w:tcW w:w="624" w:type="dxa"/>
            <w:tcBorders>
              <w:top w:val="nil"/>
              <w:left w:val="nil"/>
              <w:bottom w:val="nil"/>
              <w:right w:val="nil"/>
            </w:tcBorders>
            <w:shd w:val="clear" w:color="auto" w:fill="auto"/>
            <w:noWrap/>
            <w:vAlign w:val="center"/>
            <w:hideMark/>
          </w:tcPr>
          <w:p w14:paraId="7B7B8E82" w14:textId="77777777" w:rsidR="00EF49F3" w:rsidRPr="00EF49F3" w:rsidRDefault="00EF49F3" w:rsidP="00EF49F3">
            <w:pPr>
              <w:spacing w:after="0" w:line="240" w:lineRule="auto"/>
              <w:jc w:val="right"/>
              <w:rPr>
                <w:rFonts w:cs="Arial"/>
                <w:sz w:val="16"/>
                <w:szCs w:val="16"/>
              </w:rPr>
            </w:pPr>
            <w:r w:rsidRPr="00EF49F3">
              <w:rPr>
                <w:rFonts w:cs="Arial"/>
                <w:sz w:val="16"/>
                <w:szCs w:val="16"/>
              </w:rPr>
              <w:t>5,10</w:t>
            </w:r>
          </w:p>
        </w:tc>
        <w:tc>
          <w:tcPr>
            <w:tcW w:w="624" w:type="dxa"/>
            <w:tcBorders>
              <w:top w:val="nil"/>
              <w:left w:val="nil"/>
              <w:bottom w:val="nil"/>
              <w:right w:val="nil"/>
            </w:tcBorders>
            <w:shd w:val="clear" w:color="auto" w:fill="auto"/>
            <w:noWrap/>
            <w:vAlign w:val="center"/>
            <w:hideMark/>
          </w:tcPr>
          <w:p w14:paraId="4E170750" w14:textId="77777777" w:rsidR="00EF49F3" w:rsidRPr="00EF49F3" w:rsidRDefault="00EF49F3" w:rsidP="00EF49F3">
            <w:pPr>
              <w:spacing w:after="0" w:line="240" w:lineRule="auto"/>
              <w:jc w:val="right"/>
              <w:rPr>
                <w:rFonts w:cs="Arial"/>
                <w:sz w:val="16"/>
                <w:szCs w:val="16"/>
              </w:rPr>
            </w:pPr>
            <w:r w:rsidRPr="00EF49F3">
              <w:rPr>
                <w:rFonts w:cs="Arial"/>
                <w:sz w:val="16"/>
                <w:szCs w:val="16"/>
              </w:rPr>
              <w:t>4,41</w:t>
            </w:r>
          </w:p>
        </w:tc>
        <w:tc>
          <w:tcPr>
            <w:tcW w:w="624" w:type="dxa"/>
            <w:tcBorders>
              <w:top w:val="nil"/>
              <w:left w:val="nil"/>
              <w:bottom w:val="nil"/>
              <w:right w:val="nil"/>
            </w:tcBorders>
            <w:shd w:val="clear" w:color="auto" w:fill="auto"/>
            <w:noWrap/>
            <w:vAlign w:val="center"/>
            <w:hideMark/>
          </w:tcPr>
          <w:p w14:paraId="64806C17" w14:textId="77777777" w:rsidR="00EF49F3" w:rsidRPr="00EF49F3" w:rsidRDefault="00EF49F3" w:rsidP="00EF49F3">
            <w:pPr>
              <w:spacing w:after="0" w:line="240" w:lineRule="auto"/>
              <w:jc w:val="right"/>
              <w:rPr>
                <w:rFonts w:cs="Arial"/>
                <w:sz w:val="16"/>
                <w:szCs w:val="16"/>
              </w:rPr>
            </w:pPr>
            <w:r w:rsidRPr="00EF49F3">
              <w:rPr>
                <w:rFonts w:cs="Arial"/>
                <w:sz w:val="16"/>
                <w:szCs w:val="16"/>
              </w:rPr>
              <w:t>4,95</w:t>
            </w:r>
          </w:p>
        </w:tc>
        <w:tc>
          <w:tcPr>
            <w:tcW w:w="624" w:type="dxa"/>
            <w:tcBorders>
              <w:top w:val="nil"/>
              <w:left w:val="nil"/>
              <w:bottom w:val="nil"/>
              <w:right w:val="nil"/>
            </w:tcBorders>
            <w:shd w:val="clear" w:color="auto" w:fill="auto"/>
            <w:noWrap/>
            <w:vAlign w:val="center"/>
            <w:hideMark/>
          </w:tcPr>
          <w:p w14:paraId="2DBF9B01" w14:textId="77777777" w:rsidR="00EF49F3" w:rsidRPr="00EF49F3" w:rsidRDefault="00EF49F3" w:rsidP="00EF49F3">
            <w:pPr>
              <w:spacing w:after="0" w:line="240" w:lineRule="auto"/>
              <w:jc w:val="right"/>
              <w:rPr>
                <w:rFonts w:cs="Arial"/>
                <w:sz w:val="16"/>
                <w:szCs w:val="16"/>
              </w:rPr>
            </w:pPr>
            <w:r w:rsidRPr="00EF49F3">
              <w:rPr>
                <w:rFonts w:cs="Arial"/>
                <w:sz w:val="16"/>
                <w:szCs w:val="16"/>
              </w:rPr>
              <w:t>4,58</w:t>
            </w:r>
          </w:p>
        </w:tc>
        <w:tc>
          <w:tcPr>
            <w:tcW w:w="624" w:type="dxa"/>
            <w:tcBorders>
              <w:top w:val="nil"/>
              <w:left w:val="nil"/>
              <w:bottom w:val="nil"/>
              <w:right w:val="nil"/>
            </w:tcBorders>
            <w:shd w:val="clear" w:color="auto" w:fill="auto"/>
            <w:noWrap/>
            <w:vAlign w:val="center"/>
            <w:hideMark/>
          </w:tcPr>
          <w:p w14:paraId="2AAA3760" w14:textId="77777777" w:rsidR="00EF49F3" w:rsidRPr="00EF49F3" w:rsidRDefault="00EF49F3" w:rsidP="00EF49F3">
            <w:pPr>
              <w:spacing w:after="0" w:line="240" w:lineRule="auto"/>
              <w:jc w:val="right"/>
              <w:rPr>
                <w:rFonts w:cs="Arial"/>
                <w:sz w:val="16"/>
                <w:szCs w:val="16"/>
              </w:rPr>
            </w:pPr>
            <w:r w:rsidRPr="00EF49F3">
              <w:rPr>
                <w:rFonts w:cs="Arial"/>
                <w:sz w:val="16"/>
                <w:szCs w:val="16"/>
              </w:rPr>
              <w:t>5,30</w:t>
            </w:r>
          </w:p>
        </w:tc>
        <w:tc>
          <w:tcPr>
            <w:tcW w:w="624" w:type="dxa"/>
            <w:tcBorders>
              <w:top w:val="nil"/>
              <w:left w:val="nil"/>
              <w:bottom w:val="nil"/>
              <w:right w:val="nil"/>
            </w:tcBorders>
            <w:shd w:val="clear" w:color="auto" w:fill="auto"/>
            <w:noWrap/>
            <w:vAlign w:val="center"/>
            <w:hideMark/>
          </w:tcPr>
          <w:p w14:paraId="5F1B38B0" w14:textId="77777777" w:rsidR="00EF49F3" w:rsidRPr="00EF49F3" w:rsidRDefault="00EF49F3" w:rsidP="00EF49F3">
            <w:pPr>
              <w:spacing w:after="0" w:line="240" w:lineRule="auto"/>
              <w:jc w:val="right"/>
              <w:rPr>
                <w:rFonts w:cs="Arial"/>
                <w:sz w:val="16"/>
                <w:szCs w:val="16"/>
              </w:rPr>
            </w:pPr>
            <w:r w:rsidRPr="00EF49F3">
              <w:rPr>
                <w:rFonts w:cs="Arial"/>
                <w:sz w:val="16"/>
                <w:szCs w:val="16"/>
              </w:rPr>
              <w:t>5,47</w:t>
            </w:r>
          </w:p>
        </w:tc>
        <w:tc>
          <w:tcPr>
            <w:tcW w:w="624" w:type="dxa"/>
            <w:tcBorders>
              <w:top w:val="nil"/>
              <w:left w:val="nil"/>
              <w:bottom w:val="nil"/>
              <w:right w:val="nil"/>
            </w:tcBorders>
            <w:shd w:val="clear" w:color="auto" w:fill="auto"/>
            <w:noWrap/>
            <w:vAlign w:val="center"/>
            <w:hideMark/>
          </w:tcPr>
          <w:p w14:paraId="325A9779" w14:textId="77777777" w:rsidR="00EF49F3" w:rsidRPr="00EF49F3" w:rsidRDefault="00EF49F3" w:rsidP="00EF49F3">
            <w:pPr>
              <w:spacing w:after="0" w:line="240" w:lineRule="auto"/>
              <w:jc w:val="right"/>
              <w:rPr>
                <w:rFonts w:cs="Arial"/>
                <w:sz w:val="16"/>
                <w:szCs w:val="16"/>
              </w:rPr>
            </w:pPr>
            <w:r w:rsidRPr="00EF49F3">
              <w:rPr>
                <w:rFonts w:cs="Arial"/>
                <w:sz w:val="16"/>
                <w:szCs w:val="16"/>
              </w:rPr>
              <w:t>5,69</w:t>
            </w:r>
          </w:p>
        </w:tc>
        <w:tc>
          <w:tcPr>
            <w:tcW w:w="624" w:type="dxa"/>
            <w:tcBorders>
              <w:top w:val="nil"/>
              <w:left w:val="nil"/>
              <w:bottom w:val="nil"/>
              <w:right w:val="nil"/>
            </w:tcBorders>
            <w:shd w:val="clear" w:color="000000" w:fill="FFFFFF"/>
            <w:noWrap/>
            <w:vAlign w:val="center"/>
            <w:hideMark/>
          </w:tcPr>
          <w:p w14:paraId="5871C723" w14:textId="77777777" w:rsidR="00EF49F3" w:rsidRPr="00EF49F3" w:rsidRDefault="00EF49F3" w:rsidP="00EF49F3">
            <w:pPr>
              <w:spacing w:after="0" w:line="240" w:lineRule="auto"/>
              <w:jc w:val="right"/>
              <w:rPr>
                <w:rFonts w:cs="Arial"/>
                <w:color w:val="000000"/>
                <w:sz w:val="16"/>
                <w:szCs w:val="16"/>
              </w:rPr>
            </w:pPr>
            <w:r w:rsidRPr="00EF49F3">
              <w:rPr>
                <w:rFonts w:cs="Arial"/>
                <w:color w:val="000000"/>
                <w:sz w:val="16"/>
                <w:szCs w:val="16"/>
              </w:rPr>
              <w:t>5,63</w:t>
            </w:r>
          </w:p>
        </w:tc>
        <w:tc>
          <w:tcPr>
            <w:tcW w:w="624" w:type="dxa"/>
            <w:tcBorders>
              <w:top w:val="nil"/>
              <w:left w:val="nil"/>
              <w:bottom w:val="nil"/>
              <w:right w:val="nil"/>
            </w:tcBorders>
            <w:shd w:val="clear" w:color="auto" w:fill="auto"/>
            <w:noWrap/>
            <w:vAlign w:val="center"/>
            <w:hideMark/>
          </w:tcPr>
          <w:p w14:paraId="1FF15CD0" w14:textId="77777777" w:rsidR="00EF49F3" w:rsidRPr="00EF49F3" w:rsidRDefault="00EF49F3" w:rsidP="00EF49F3">
            <w:pPr>
              <w:spacing w:after="0" w:line="240" w:lineRule="auto"/>
              <w:jc w:val="right"/>
              <w:rPr>
                <w:rFonts w:cs="Arial"/>
                <w:color w:val="000000"/>
                <w:sz w:val="16"/>
                <w:szCs w:val="16"/>
              </w:rPr>
            </w:pPr>
            <w:r w:rsidRPr="00EF49F3">
              <w:rPr>
                <w:rFonts w:cs="Arial"/>
                <w:color w:val="000000"/>
                <w:sz w:val="16"/>
                <w:szCs w:val="16"/>
              </w:rPr>
              <w:t>5,82</w:t>
            </w:r>
          </w:p>
        </w:tc>
      </w:tr>
      <w:tr w:rsidR="00EF49F3" w:rsidRPr="00EF49F3" w14:paraId="6EA786B1" w14:textId="77777777" w:rsidTr="00EF49F3">
        <w:trPr>
          <w:trHeight w:val="300"/>
        </w:trPr>
        <w:tc>
          <w:tcPr>
            <w:tcW w:w="2080" w:type="dxa"/>
            <w:tcBorders>
              <w:top w:val="nil"/>
              <w:left w:val="nil"/>
              <w:bottom w:val="nil"/>
              <w:right w:val="nil"/>
            </w:tcBorders>
            <w:shd w:val="clear" w:color="auto" w:fill="auto"/>
            <w:noWrap/>
            <w:vAlign w:val="center"/>
            <w:hideMark/>
          </w:tcPr>
          <w:p w14:paraId="690C5334" w14:textId="77777777" w:rsidR="00EF49F3" w:rsidRPr="00EF49F3" w:rsidRDefault="00EF49F3" w:rsidP="00EF49F3">
            <w:pPr>
              <w:spacing w:after="0" w:line="240" w:lineRule="auto"/>
              <w:ind w:firstLineChars="100" w:firstLine="160"/>
              <w:rPr>
                <w:rFonts w:cs="Arial"/>
                <w:sz w:val="16"/>
                <w:szCs w:val="16"/>
              </w:rPr>
            </w:pPr>
            <w:r w:rsidRPr="00EF49F3">
              <w:rPr>
                <w:rFonts w:cs="Arial"/>
                <w:sz w:val="16"/>
                <w:szCs w:val="16"/>
              </w:rPr>
              <w:t>Moravskoslezský kraj</w:t>
            </w:r>
          </w:p>
        </w:tc>
        <w:tc>
          <w:tcPr>
            <w:tcW w:w="624" w:type="dxa"/>
            <w:tcBorders>
              <w:top w:val="nil"/>
              <w:left w:val="nil"/>
              <w:bottom w:val="nil"/>
              <w:right w:val="nil"/>
            </w:tcBorders>
            <w:shd w:val="clear" w:color="auto" w:fill="auto"/>
            <w:noWrap/>
            <w:vAlign w:val="center"/>
            <w:hideMark/>
          </w:tcPr>
          <w:p w14:paraId="18E0EB21" w14:textId="77777777" w:rsidR="00EF49F3" w:rsidRPr="00EF49F3" w:rsidRDefault="00EF49F3" w:rsidP="00EF49F3">
            <w:pPr>
              <w:spacing w:after="0" w:line="240" w:lineRule="auto"/>
              <w:jc w:val="right"/>
              <w:rPr>
                <w:rFonts w:cs="Arial"/>
                <w:sz w:val="16"/>
                <w:szCs w:val="16"/>
              </w:rPr>
            </w:pPr>
            <w:r w:rsidRPr="00EF49F3">
              <w:rPr>
                <w:rFonts w:cs="Arial"/>
                <w:sz w:val="16"/>
                <w:szCs w:val="16"/>
              </w:rPr>
              <w:t>6,00</w:t>
            </w:r>
          </w:p>
        </w:tc>
        <w:tc>
          <w:tcPr>
            <w:tcW w:w="624" w:type="dxa"/>
            <w:tcBorders>
              <w:top w:val="nil"/>
              <w:left w:val="nil"/>
              <w:bottom w:val="nil"/>
              <w:right w:val="nil"/>
            </w:tcBorders>
            <w:shd w:val="clear" w:color="auto" w:fill="auto"/>
            <w:noWrap/>
            <w:vAlign w:val="center"/>
            <w:hideMark/>
          </w:tcPr>
          <w:p w14:paraId="07A9006C" w14:textId="77777777" w:rsidR="00EF49F3" w:rsidRPr="00EF49F3" w:rsidRDefault="00EF49F3" w:rsidP="00EF49F3">
            <w:pPr>
              <w:spacing w:after="0" w:line="240" w:lineRule="auto"/>
              <w:jc w:val="right"/>
              <w:rPr>
                <w:rFonts w:cs="Arial"/>
                <w:sz w:val="16"/>
                <w:szCs w:val="16"/>
              </w:rPr>
            </w:pPr>
            <w:r w:rsidRPr="00EF49F3">
              <w:rPr>
                <w:rFonts w:cs="Arial"/>
                <w:sz w:val="16"/>
                <w:szCs w:val="16"/>
              </w:rPr>
              <w:t>5,05</w:t>
            </w:r>
          </w:p>
        </w:tc>
        <w:tc>
          <w:tcPr>
            <w:tcW w:w="624" w:type="dxa"/>
            <w:tcBorders>
              <w:top w:val="nil"/>
              <w:left w:val="nil"/>
              <w:bottom w:val="nil"/>
              <w:right w:val="nil"/>
            </w:tcBorders>
            <w:shd w:val="clear" w:color="auto" w:fill="auto"/>
            <w:noWrap/>
            <w:vAlign w:val="center"/>
            <w:hideMark/>
          </w:tcPr>
          <w:p w14:paraId="7981E1E2" w14:textId="77777777" w:rsidR="00EF49F3" w:rsidRPr="00EF49F3" w:rsidRDefault="00EF49F3" w:rsidP="00EF49F3">
            <w:pPr>
              <w:spacing w:after="0" w:line="240" w:lineRule="auto"/>
              <w:jc w:val="right"/>
              <w:rPr>
                <w:rFonts w:cs="Arial"/>
                <w:sz w:val="16"/>
                <w:szCs w:val="16"/>
              </w:rPr>
            </w:pPr>
            <w:r w:rsidRPr="00EF49F3">
              <w:rPr>
                <w:rFonts w:cs="Arial"/>
                <w:sz w:val="16"/>
                <w:szCs w:val="16"/>
              </w:rPr>
              <w:t>4,66</w:t>
            </w:r>
          </w:p>
        </w:tc>
        <w:tc>
          <w:tcPr>
            <w:tcW w:w="624" w:type="dxa"/>
            <w:tcBorders>
              <w:top w:val="nil"/>
              <w:left w:val="nil"/>
              <w:bottom w:val="nil"/>
              <w:right w:val="nil"/>
            </w:tcBorders>
            <w:shd w:val="clear" w:color="auto" w:fill="auto"/>
            <w:noWrap/>
            <w:vAlign w:val="center"/>
            <w:hideMark/>
          </w:tcPr>
          <w:p w14:paraId="06C39337" w14:textId="77777777" w:rsidR="00EF49F3" w:rsidRPr="00EF49F3" w:rsidRDefault="00EF49F3" w:rsidP="00EF49F3">
            <w:pPr>
              <w:spacing w:after="0" w:line="240" w:lineRule="auto"/>
              <w:jc w:val="right"/>
              <w:rPr>
                <w:rFonts w:cs="Arial"/>
                <w:sz w:val="16"/>
                <w:szCs w:val="16"/>
              </w:rPr>
            </w:pPr>
            <w:r w:rsidRPr="00EF49F3">
              <w:rPr>
                <w:rFonts w:cs="Arial"/>
                <w:sz w:val="16"/>
                <w:szCs w:val="16"/>
              </w:rPr>
              <w:t>4,71</w:t>
            </w:r>
          </w:p>
        </w:tc>
        <w:tc>
          <w:tcPr>
            <w:tcW w:w="624" w:type="dxa"/>
            <w:tcBorders>
              <w:top w:val="nil"/>
              <w:left w:val="nil"/>
              <w:bottom w:val="nil"/>
              <w:right w:val="nil"/>
            </w:tcBorders>
            <w:shd w:val="clear" w:color="auto" w:fill="auto"/>
            <w:noWrap/>
            <w:vAlign w:val="center"/>
            <w:hideMark/>
          </w:tcPr>
          <w:p w14:paraId="17F35F0D" w14:textId="77777777" w:rsidR="00EF49F3" w:rsidRPr="00EF49F3" w:rsidRDefault="00EF49F3" w:rsidP="00EF49F3">
            <w:pPr>
              <w:spacing w:after="0" w:line="240" w:lineRule="auto"/>
              <w:jc w:val="right"/>
              <w:rPr>
                <w:rFonts w:cs="Arial"/>
                <w:sz w:val="16"/>
                <w:szCs w:val="16"/>
              </w:rPr>
            </w:pPr>
            <w:r w:rsidRPr="00EF49F3">
              <w:rPr>
                <w:rFonts w:cs="Arial"/>
                <w:sz w:val="16"/>
                <w:szCs w:val="16"/>
              </w:rPr>
              <w:t>4,25</w:t>
            </w:r>
          </w:p>
        </w:tc>
        <w:tc>
          <w:tcPr>
            <w:tcW w:w="624" w:type="dxa"/>
            <w:tcBorders>
              <w:top w:val="nil"/>
              <w:left w:val="nil"/>
              <w:bottom w:val="nil"/>
              <w:right w:val="nil"/>
            </w:tcBorders>
            <w:shd w:val="clear" w:color="auto" w:fill="auto"/>
            <w:noWrap/>
            <w:vAlign w:val="center"/>
            <w:hideMark/>
          </w:tcPr>
          <w:p w14:paraId="6E9246CB" w14:textId="77777777" w:rsidR="00EF49F3" w:rsidRPr="00EF49F3" w:rsidRDefault="00EF49F3" w:rsidP="00EF49F3">
            <w:pPr>
              <w:spacing w:after="0" w:line="240" w:lineRule="auto"/>
              <w:jc w:val="right"/>
              <w:rPr>
                <w:rFonts w:cs="Arial"/>
                <w:sz w:val="16"/>
                <w:szCs w:val="16"/>
              </w:rPr>
            </w:pPr>
            <w:r w:rsidRPr="00EF49F3">
              <w:rPr>
                <w:rFonts w:cs="Arial"/>
                <w:sz w:val="16"/>
                <w:szCs w:val="16"/>
              </w:rPr>
              <w:t>4,72</w:t>
            </w:r>
          </w:p>
        </w:tc>
        <w:tc>
          <w:tcPr>
            <w:tcW w:w="624" w:type="dxa"/>
            <w:tcBorders>
              <w:top w:val="nil"/>
              <w:left w:val="nil"/>
              <w:bottom w:val="nil"/>
              <w:right w:val="nil"/>
            </w:tcBorders>
            <w:shd w:val="clear" w:color="auto" w:fill="auto"/>
            <w:noWrap/>
            <w:vAlign w:val="center"/>
            <w:hideMark/>
          </w:tcPr>
          <w:p w14:paraId="7CB2C81D" w14:textId="77777777" w:rsidR="00EF49F3" w:rsidRPr="00EF49F3" w:rsidRDefault="00EF49F3" w:rsidP="00EF49F3">
            <w:pPr>
              <w:spacing w:after="0" w:line="240" w:lineRule="auto"/>
              <w:jc w:val="right"/>
              <w:rPr>
                <w:rFonts w:cs="Arial"/>
                <w:sz w:val="16"/>
                <w:szCs w:val="16"/>
              </w:rPr>
            </w:pPr>
            <w:r w:rsidRPr="00EF49F3">
              <w:rPr>
                <w:rFonts w:cs="Arial"/>
                <w:sz w:val="16"/>
                <w:szCs w:val="16"/>
              </w:rPr>
              <w:t>4,53</w:t>
            </w:r>
          </w:p>
        </w:tc>
        <w:tc>
          <w:tcPr>
            <w:tcW w:w="624" w:type="dxa"/>
            <w:tcBorders>
              <w:top w:val="nil"/>
              <w:left w:val="nil"/>
              <w:bottom w:val="nil"/>
              <w:right w:val="nil"/>
            </w:tcBorders>
            <w:shd w:val="clear" w:color="auto" w:fill="auto"/>
            <w:noWrap/>
            <w:vAlign w:val="center"/>
            <w:hideMark/>
          </w:tcPr>
          <w:p w14:paraId="71B3EFCD" w14:textId="77777777" w:rsidR="00EF49F3" w:rsidRPr="00EF49F3" w:rsidRDefault="00EF49F3" w:rsidP="00EF49F3">
            <w:pPr>
              <w:spacing w:after="0" w:line="240" w:lineRule="auto"/>
              <w:jc w:val="right"/>
              <w:rPr>
                <w:rFonts w:cs="Arial"/>
                <w:sz w:val="16"/>
                <w:szCs w:val="16"/>
              </w:rPr>
            </w:pPr>
            <w:r w:rsidRPr="00EF49F3">
              <w:rPr>
                <w:rFonts w:cs="Arial"/>
                <w:sz w:val="16"/>
                <w:szCs w:val="16"/>
              </w:rPr>
              <w:t>5,09</w:t>
            </w:r>
          </w:p>
        </w:tc>
        <w:tc>
          <w:tcPr>
            <w:tcW w:w="624" w:type="dxa"/>
            <w:tcBorders>
              <w:top w:val="nil"/>
              <w:left w:val="nil"/>
              <w:bottom w:val="nil"/>
              <w:right w:val="nil"/>
            </w:tcBorders>
            <w:shd w:val="clear" w:color="auto" w:fill="auto"/>
            <w:noWrap/>
            <w:vAlign w:val="center"/>
            <w:hideMark/>
          </w:tcPr>
          <w:p w14:paraId="1F0381A3" w14:textId="77777777" w:rsidR="00EF49F3" w:rsidRPr="00EF49F3" w:rsidRDefault="00EF49F3" w:rsidP="00EF49F3">
            <w:pPr>
              <w:spacing w:after="0" w:line="240" w:lineRule="auto"/>
              <w:jc w:val="right"/>
              <w:rPr>
                <w:rFonts w:cs="Arial"/>
                <w:sz w:val="16"/>
                <w:szCs w:val="16"/>
              </w:rPr>
            </w:pPr>
            <w:r w:rsidRPr="00EF49F3">
              <w:rPr>
                <w:rFonts w:cs="Arial"/>
                <w:sz w:val="16"/>
                <w:szCs w:val="16"/>
              </w:rPr>
              <w:t>5,39</w:t>
            </w:r>
          </w:p>
        </w:tc>
        <w:tc>
          <w:tcPr>
            <w:tcW w:w="624" w:type="dxa"/>
            <w:tcBorders>
              <w:top w:val="nil"/>
              <w:left w:val="nil"/>
              <w:bottom w:val="nil"/>
              <w:right w:val="nil"/>
            </w:tcBorders>
            <w:shd w:val="clear" w:color="auto" w:fill="auto"/>
            <w:noWrap/>
            <w:vAlign w:val="center"/>
            <w:hideMark/>
          </w:tcPr>
          <w:p w14:paraId="64910EEC" w14:textId="77777777" w:rsidR="00EF49F3" w:rsidRPr="00EF49F3" w:rsidRDefault="00EF49F3" w:rsidP="00EF49F3">
            <w:pPr>
              <w:spacing w:after="0" w:line="240" w:lineRule="auto"/>
              <w:jc w:val="right"/>
              <w:rPr>
                <w:rFonts w:cs="Arial"/>
                <w:sz w:val="16"/>
                <w:szCs w:val="16"/>
              </w:rPr>
            </w:pPr>
            <w:r w:rsidRPr="00EF49F3">
              <w:rPr>
                <w:rFonts w:cs="Arial"/>
                <w:sz w:val="16"/>
                <w:szCs w:val="16"/>
              </w:rPr>
              <w:t>5,62</w:t>
            </w:r>
          </w:p>
        </w:tc>
        <w:tc>
          <w:tcPr>
            <w:tcW w:w="624" w:type="dxa"/>
            <w:tcBorders>
              <w:top w:val="nil"/>
              <w:left w:val="nil"/>
              <w:bottom w:val="nil"/>
              <w:right w:val="nil"/>
            </w:tcBorders>
            <w:shd w:val="clear" w:color="000000" w:fill="FFFFFF"/>
            <w:noWrap/>
            <w:vAlign w:val="center"/>
            <w:hideMark/>
          </w:tcPr>
          <w:p w14:paraId="2BF6633B" w14:textId="77777777" w:rsidR="00EF49F3" w:rsidRPr="00EF49F3" w:rsidRDefault="00EF49F3" w:rsidP="00EF49F3">
            <w:pPr>
              <w:spacing w:after="0" w:line="240" w:lineRule="auto"/>
              <w:jc w:val="right"/>
              <w:rPr>
                <w:rFonts w:cs="Arial"/>
                <w:color w:val="000000"/>
                <w:sz w:val="16"/>
                <w:szCs w:val="16"/>
              </w:rPr>
            </w:pPr>
            <w:r w:rsidRPr="00EF49F3">
              <w:rPr>
                <w:rFonts w:cs="Arial"/>
                <w:color w:val="000000"/>
                <w:sz w:val="16"/>
                <w:szCs w:val="16"/>
              </w:rPr>
              <w:t>5,67</w:t>
            </w:r>
          </w:p>
        </w:tc>
        <w:tc>
          <w:tcPr>
            <w:tcW w:w="624" w:type="dxa"/>
            <w:tcBorders>
              <w:top w:val="nil"/>
              <w:left w:val="nil"/>
              <w:bottom w:val="nil"/>
              <w:right w:val="nil"/>
            </w:tcBorders>
            <w:shd w:val="clear" w:color="auto" w:fill="auto"/>
            <w:noWrap/>
            <w:vAlign w:val="center"/>
            <w:hideMark/>
          </w:tcPr>
          <w:p w14:paraId="26498CB3" w14:textId="77777777" w:rsidR="00EF49F3" w:rsidRPr="00EF49F3" w:rsidRDefault="00EF49F3" w:rsidP="00EF49F3">
            <w:pPr>
              <w:spacing w:after="0" w:line="240" w:lineRule="auto"/>
              <w:jc w:val="right"/>
              <w:rPr>
                <w:rFonts w:cs="Arial"/>
                <w:color w:val="000000"/>
                <w:sz w:val="16"/>
                <w:szCs w:val="16"/>
              </w:rPr>
            </w:pPr>
            <w:r w:rsidRPr="00EF49F3">
              <w:rPr>
                <w:rFonts w:cs="Arial"/>
                <w:color w:val="000000"/>
                <w:sz w:val="16"/>
                <w:szCs w:val="16"/>
              </w:rPr>
              <w:t>5,96</w:t>
            </w:r>
          </w:p>
        </w:tc>
      </w:tr>
    </w:tbl>
    <w:p w14:paraId="39BE2BB5" w14:textId="77777777" w:rsidR="004852BF" w:rsidRPr="001338A0" w:rsidRDefault="004852BF" w:rsidP="00171A2F">
      <w:pPr>
        <w:spacing w:before="120"/>
        <w:jc w:val="both"/>
        <w:rPr>
          <w:rFonts w:cs="Arial"/>
          <w:sz w:val="16"/>
          <w:szCs w:val="16"/>
        </w:rPr>
      </w:pPr>
      <w:r>
        <w:rPr>
          <w:rFonts w:cs="Arial"/>
          <w:sz w:val="16"/>
          <w:szCs w:val="16"/>
        </w:rPr>
        <w:t>Zdroj: ČSÚ</w:t>
      </w:r>
    </w:p>
    <w:p w14:paraId="4C2BF02B" w14:textId="5AB64673" w:rsidR="004952C5" w:rsidRDefault="004952C5" w:rsidP="00271088">
      <w:pPr>
        <w:jc w:val="both"/>
        <w:rPr>
          <w:rFonts w:cs="Arial"/>
        </w:rPr>
      </w:pPr>
      <w:r>
        <w:rPr>
          <w:rFonts w:cs="Arial"/>
        </w:rPr>
        <w:t xml:space="preserve">Vývoj hodnot </w:t>
      </w:r>
      <w:r w:rsidR="00BD64F6">
        <w:rPr>
          <w:rFonts w:cs="Arial"/>
        </w:rPr>
        <w:t>ukazatele průměrn</w:t>
      </w:r>
      <w:r w:rsidR="007E15FF">
        <w:rPr>
          <w:rFonts w:cs="Arial"/>
        </w:rPr>
        <w:t xml:space="preserve">ý denní stav dočasně práce </w:t>
      </w:r>
      <w:r w:rsidR="00A57689">
        <w:rPr>
          <w:rFonts w:cs="Arial"/>
        </w:rPr>
        <w:t>neschopných v posledních 12 letech j</w:t>
      </w:r>
      <w:r>
        <w:rPr>
          <w:rFonts w:cs="Arial"/>
        </w:rPr>
        <w:t>e zřejmý z</w:t>
      </w:r>
      <w:r w:rsidR="00DD07A3">
        <w:rPr>
          <w:rFonts w:cs="Arial"/>
        </w:rPr>
        <w:t> </w:t>
      </w:r>
      <w:r>
        <w:rPr>
          <w:rFonts w:cs="Arial"/>
        </w:rPr>
        <w:t>tab</w:t>
      </w:r>
      <w:r w:rsidR="00DD07A3">
        <w:rPr>
          <w:rFonts w:cs="Arial"/>
        </w:rPr>
        <w:t>.</w:t>
      </w:r>
      <w:r>
        <w:rPr>
          <w:rFonts w:cs="Arial"/>
        </w:rPr>
        <w:t xml:space="preserve"> 2.9</w:t>
      </w:r>
      <w:r w:rsidR="00A57689">
        <w:rPr>
          <w:rFonts w:cs="Arial"/>
        </w:rPr>
        <w:t>. Zatímco v 1. pol. 2009 bylo 89 % osob v pracovní neschopnosti indisponováno z důvodu nemoci, o</w:t>
      </w:r>
      <w:r w:rsidR="005A0510">
        <w:rPr>
          <w:rFonts w:cs="Arial"/>
        </w:rPr>
        <w:t> </w:t>
      </w:r>
      <w:r w:rsidR="00A57689">
        <w:rPr>
          <w:rFonts w:cs="Arial"/>
        </w:rPr>
        <w:t>10 let později to bylo 86 %. Naopak vzrostl podíl osob, které byly v pracovní neschopnosti z důvodu jiných než pracovních úrazů</w:t>
      </w:r>
      <w:r w:rsidR="0064109D">
        <w:rPr>
          <w:rFonts w:cs="Arial"/>
        </w:rPr>
        <w:t>, ze 7 % v 1. pol. 2009 na 11 % v 1.</w:t>
      </w:r>
      <w:r w:rsidR="00D37750">
        <w:rPr>
          <w:rFonts w:cs="Arial"/>
        </w:rPr>
        <w:t xml:space="preserve"> pol. 2019. </w:t>
      </w:r>
      <w:r w:rsidR="0064109D">
        <w:rPr>
          <w:rFonts w:cs="Arial"/>
        </w:rPr>
        <w:t>V</w:t>
      </w:r>
      <w:r w:rsidR="00AC1857">
        <w:rPr>
          <w:rFonts w:cs="Arial"/>
        </w:rPr>
        <w:t>ývoj</w:t>
      </w:r>
      <w:r w:rsidR="0064109D">
        <w:rPr>
          <w:rFonts w:cs="Arial"/>
        </w:rPr>
        <w:t>ová křivka tohoto ukazatele má obdobnou tendenci jako počet případů pracovní neschopnosti.</w:t>
      </w:r>
    </w:p>
    <w:p w14:paraId="4FDF9E98" w14:textId="19E53DDE" w:rsidR="00EE5D67" w:rsidRDefault="00895A67" w:rsidP="0064109D">
      <w:pPr>
        <w:spacing w:after="120"/>
        <w:jc w:val="both"/>
        <w:rPr>
          <w:rFonts w:ascii="Calibri" w:eastAsia="Calibri" w:hAnsi="Calibri"/>
          <w:szCs w:val="20"/>
          <w:lang w:eastAsia="en-US"/>
        </w:rPr>
      </w:pPr>
      <w:r>
        <w:rPr>
          <w:b/>
        </w:rPr>
        <w:t xml:space="preserve">Tab. 2.9: </w:t>
      </w:r>
      <w:r w:rsidRPr="00895A67">
        <w:rPr>
          <w:b/>
        </w:rPr>
        <w:t xml:space="preserve">Průměrný denní stav dočasně práce neschopných </w:t>
      </w:r>
      <w:r w:rsidR="004E061D">
        <w:rPr>
          <w:b/>
        </w:rPr>
        <w:t xml:space="preserve">podle příčiny a pohlaví </w:t>
      </w:r>
      <w:r w:rsidRPr="00895A67">
        <w:rPr>
          <w:b/>
        </w:rPr>
        <w:t>v 1. pol. 2008</w:t>
      </w:r>
      <w:r w:rsidR="0047242F">
        <w:rPr>
          <w:b/>
        </w:rPr>
        <w:t> </w:t>
      </w:r>
      <w:r w:rsidRPr="00895A67">
        <w:rPr>
          <w:b/>
        </w:rPr>
        <w:t>–</w:t>
      </w:r>
      <w:r w:rsidR="0047242F">
        <w:rPr>
          <w:b/>
        </w:rPr>
        <w:t> </w:t>
      </w:r>
      <w:r w:rsidRPr="00895A67">
        <w:rPr>
          <w:b/>
        </w:rPr>
        <w:t>1.</w:t>
      </w:r>
      <w:r w:rsidR="0047242F">
        <w:rPr>
          <w:b/>
        </w:rPr>
        <w:t> </w:t>
      </w:r>
      <w:r w:rsidRPr="00895A67">
        <w:rPr>
          <w:b/>
        </w:rPr>
        <w:t>pol. 2019</w:t>
      </w:r>
      <w:r w:rsidR="00EF49F3">
        <w:fldChar w:fldCharType="begin"/>
      </w:r>
      <w:r w:rsidR="00EF49F3">
        <w:instrText xml:space="preserve"> LINK </w:instrText>
      </w:r>
      <w:r w:rsidR="00EE5D67">
        <w:instrText xml:space="preserve">Excel.Sheet.12 "E:\\PN_1.pol.2019\\1. pol\\TABULKY V TEXTU.xlsx" 2.9!R4C1:R18C13 </w:instrText>
      </w:r>
      <w:r w:rsidR="00EF49F3">
        <w:instrText xml:space="preserve">\a \f 4 \h </w:instrText>
      </w:r>
      <w:r>
        <w:instrText xml:space="preserve"> \* MERGEFORMAT </w:instrText>
      </w:r>
      <w:r w:rsidR="00EF49F3">
        <w:fldChar w:fldCharType="separate"/>
      </w:r>
    </w:p>
    <w:tbl>
      <w:tblPr>
        <w:tblW w:w="9490" w:type="dxa"/>
        <w:tblCellMar>
          <w:left w:w="70" w:type="dxa"/>
          <w:right w:w="70" w:type="dxa"/>
        </w:tblCellMar>
        <w:tblLook w:val="04A0" w:firstRow="1" w:lastRow="0" w:firstColumn="1" w:lastColumn="0" w:noHBand="0" w:noVBand="1"/>
      </w:tblPr>
      <w:tblGrid>
        <w:gridCol w:w="991"/>
        <w:gridCol w:w="747"/>
        <w:gridCol w:w="686"/>
        <w:gridCol w:w="688"/>
        <w:gridCol w:w="747"/>
        <w:gridCol w:w="686"/>
        <w:gridCol w:w="688"/>
        <w:gridCol w:w="761"/>
        <w:gridCol w:w="686"/>
        <w:gridCol w:w="688"/>
        <w:gridCol w:w="747"/>
        <w:gridCol w:w="686"/>
        <w:gridCol w:w="689"/>
      </w:tblGrid>
      <w:tr w:rsidR="00EE5D67" w:rsidRPr="00EE5D67" w14:paraId="67D7B225" w14:textId="77777777" w:rsidTr="00EE5D67">
        <w:trPr>
          <w:divId w:val="1275137038"/>
          <w:trHeight w:val="308"/>
        </w:trPr>
        <w:tc>
          <w:tcPr>
            <w:tcW w:w="991" w:type="dxa"/>
            <w:vMerge w:val="restart"/>
            <w:tcBorders>
              <w:top w:val="single" w:sz="4" w:space="0" w:color="auto"/>
              <w:left w:val="nil"/>
              <w:bottom w:val="single" w:sz="4" w:space="0" w:color="auto"/>
              <w:right w:val="single" w:sz="4" w:space="0" w:color="auto"/>
            </w:tcBorders>
            <w:shd w:val="clear" w:color="000000" w:fill="F2DCDB"/>
            <w:vAlign w:val="center"/>
            <w:hideMark/>
          </w:tcPr>
          <w:p w14:paraId="7975FFC0" w14:textId="618F41E3" w:rsidR="00EE5D67" w:rsidRPr="00EE5D67" w:rsidRDefault="00EE5D67" w:rsidP="00EE5D67">
            <w:pPr>
              <w:spacing w:after="0" w:line="240" w:lineRule="auto"/>
              <w:jc w:val="center"/>
              <w:rPr>
                <w:rFonts w:cs="Arial"/>
                <w:sz w:val="16"/>
                <w:szCs w:val="16"/>
              </w:rPr>
            </w:pPr>
            <w:r w:rsidRPr="00EE5D67">
              <w:rPr>
                <w:rFonts w:cs="Arial"/>
                <w:sz w:val="16"/>
                <w:szCs w:val="16"/>
              </w:rPr>
              <w:t>Rok</w:t>
            </w:r>
          </w:p>
        </w:tc>
        <w:tc>
          <w:tcPr>
            <w:tcW w:w="8499" w:type="dxa"/>
            <w:gridSpan w:val="12"/>
            <w:tcBorders>
              <w:top w:val="single" w:sz="4" w:space="0" w:color="auto"/>
              <w:left w:val="nil"/>
              <w:bottom w:val="single" w:sz="4" w:space="0" w:color="auto"/>
              <w:right w:val="nil"/>
            </w:tcBorders>
            <w:shd w:val="clear" w:color="000000" w:fill="F2DCDB"/>
            <w:vAlign w:val="center"/>
            <w:hideMark/>
          </w:tcPr>
          <w:p w14:paraId="3EE16475" w14:textId="77777777" w:rsidR="00EE5D67" w:rsidRPr="00EE5D67" w:rsidRDefault="00EE5D67" w:rsidP="00EE5D67">
            <w:pPr>
              <w:spacing w:after="0" w:line="240" w:lineRule="auto"/>
              <w:jc w:val="center"/>
              <w:rPr>
                <w:rFonts w:cs="Arial"/>
                <w:sz w:val="16"/>
                <w:szCs w:val="16"/>
              </w:rPr>
            </w:pPr>
            <w:r w:rsidRPr="00EE5D67">
              <w:rPr>
                <w:rFonts w:cs="Arial"/>
                <w:sz w:val="16"/>
                <w:szCs w:val="16"/>
              </w:rPr>
              <w:t>Průměrný denní stav dočasně práce neschopných (v tis.)</w:t>
            </w:r>
          </w:p>
        </w:tc>
      </w:tr>
      <w:tr w:rsidR="00EE5D67" w:rsidRPr="00EE5D67" w14:paraId="5FEB4B9F" w14:textId="77777777" w:rsidTr="00EE5D67">
        <w:trPr>
          <w:divId w:val="1275137038"/>
          <w:trHeight w:val="308"/>
        </w:trPr>
        <w:tc>
          <w:tcPr>
            <w:tcW w:w="991" w:type="dxa"/>
            <w:vMerge/>
            <w:tcBorders>
              <w:top w:val="single" w:sz="4" w:space="0" w:color="auto"/>
              <w:left w:val="nil"/>
              <w:bottom w:val="single" w:sz="4" w:space="0" w:color="auto"/>
              <w:right w:val="single" w:sz="4" w:space="0" w:color="auto"/>
            </w:tcBorders>
            <w:vAlign w:val="center"/>
            <w:hideMark/>
          </w:tcPr>
          <w:p w14:paraId="58DA26E2" w14:textId="77777777" w:rsidR="00EE5D67" w:rsidRPr="00EE5D67" w:rsidRDefault="00EE5D67" w:rsidP="00EE5D67">
            <w:pPr>
              <w:spacing w:after="0" w:line="240" w:lineRule="auto"/>
              <w:rPr>
                <w:rFonts w:cs="Arial"/>
                <w:sz w:val="16"/>
                <w:szCs w:val="16"/>
              </w:rPr>
            </w:pPr>
          </w:p>
        </w:tc>
        <w:tc>
          <w:tcPr>
            <w:tcW w:w="747" w:type="dxa"/>
            <w:vMerge w:val="restart"/>
            <w:tcBorders>
              <w:top w:val="nil"/>
              <w:left w:val="single" w:sz="4" w:space="0" w:color="auto"/>
              <w:bottom w:val="single" w:sz="4" w:space="0" w:color="auto"/>
              <w:right w:val="single" w:sz="4" w:space="0" w:color="auto"/>
            </w:tcBorders>
            <w:shd w:val="clear" w:color="000000" w:fill="F2DCDB"/>
            <w:vAlign w:val="center"/>
            <w:hideMark/>
          </w:tcPr>
          <w:p w14:paraId="44128617" w14:textId="77777777" w:rsidR="00EE5D67" w:rsidRPr="00EE5D67" w:rsidRDefault="00EE5D67" w:rsidP="00EE5D67">
            <w:pPr>
              <w:spacing w:after="0" w:line="240" w:lineRule="auto"/>
              <w:jc w:val="center"/>
              <w:rPr>
                <w:rFonts w:cs="Arial"/>
                <w:sz w:val="16"/>
                <w:szCs w:val="16"/>
              </w:rPr>
            </w:pPr>
            <w:r w:rsidRPr="00EE5D67">
              <w:rPr>
                <w:rFonts w:cs="Arial"/>
                <w:sz w:val="16"/>
                <w:szCs w:val="16"/>
              </w:rPr>
              <w:t>Celkem</w:t>
            </w:r>
          </w:p>
        </w:tc>
        <w:tc>
          <w:tcPr>
            <w:tcW w:w="1374" w:type="dxa"/>
            <w:gridSpan w:val="2"/>
            <w:tcBorders>
              <w:top w:val="single" w:sz="4" w:space="0" w:color="auto"/>
              <w:left w:val="nil"/>
              <w:bottom w:val="single" w:sz="4" w:space="0" w:color="auto"/>
              <w:right w:val="single" w:sz="4" w:space="0" w:color="auto"/>
            </w:tcBorders>
            <w:shd w:val="clear" w:color="000000" w:fill="F2DCDB"/>
            <w:vAlign w:val="center"/>
            <w:hideMark/>
          </w:tcPr>
          <w:p w14:paraId="15AEFFF8" w14:textId="77777777" w:rsidR="00EE5D67" w:rsidRPr="00EE5D67" w:rsidRDefault="00EE5D67" w:rsidP="00EE5D67">
            <w:pPr>
              <w:spacing w:after="0" w:line="240" w:lineRule="auto"/>
              <w:jc w:val="center"/>
              <w:rPr>
                <w:rFonts w:cs="Arial"/>
                <w:sz w:val="16"/>
                <w:szCs w:val="16"/>
              </w:rPr>
            </w:pPr>
            <w:r w:rsidRPr="00EE5D67">
              <w:rPr>
                <w:rFonts w:cs="Arial"/>
                <w:sz w:val="16"/>
                <w:szCs w:val="16"/>
              </w:rPr>
              <w:t>podle pohlaví</w:t>
            </w:r>
          </w:p>
        </w:tc>
        <w:tc>
          <w:tcPr>
            <w:tcW w:w="747" w:type="dxa"/>
            <w:vMerge w:val="restart"/>
            <w:tcBorders>
              <w:top w:val="nil"/>
              <w:left w:val="single" w:sz="4" w:space="0" w:color="auto"/>
              <w:right w:val="single" w:sz="4" w:space="0" w:color="auto"/>
            </w:tcBorders>
            <w:shd w:val="clear" w:color="000000" w:fill="F2DCDB"/>
            <w:vAlign w:val="center"/>
            <w:hideMark/>
          </w:tcPr>
          <w:p w14:paraId="759E77E0" w14:textId="77777777" w:rsidR="00EE5D67" w:rsidRPr="00EE5D67" w:rsidRDefault="00EE5D67" w:rsidP="00EE5D67">
            <w:pPr>
              <w:spacing w:after="0" w:line="240" w:lineRule="auto"/>
              <w:jc w:val="center"/>
              <w:rPr>
                <w:rFonts w:cs="Arial"/>
                <w:sz w:val="16"/>
                <w:szCs w:val="16"/>
              </w:rPr>
            </w:pPr>
            <w:r w:rsidRPr="00EE5D67">
              <w:rPr>
                <w:rFonts w:cs="Arial"/>
                <w:sz w:val="16"/>
                <w:szCs w:val="16"/>
              </w:rPr>
              <w:t>Celkem pro nemoc</w:t>
            </w:r>
          </w:p>
        </w:tc>
        <w:tc>
          <w:tcPr>
            <w:tcW w:w="1374" w:type="dxa"/>
            <w:gridSpan w:val="2"/>
            <w:tcBorders>
              <w:top w:val="single" w:sz="4" w:space="0" w:color="auto"/>
              <w:left w:val="nil"/>
              <w:bottom w:val="single" w:sz="4" w:space="0" w:color="auto"/>
              <w:right w:val="single" w:sz="4" w:space="0" w:color="auto"/>
            </w:tcBorders>
            <w:shd w:val="clear" w:color="000000" w:fill="F2DCDB"/>
            <w:vAlign w:val="center"/>
            <w:hideMark/>
          </w:tcPr>
          <w:p w14:paraId="5B69C1B6" w14:textId="77777777" w:rsidR="00EE5D67" w:rsidRPr="00EE5D67" w:rsidRDefault="00EE5D67" w:rsidP="00EE5D67">
            <w:pPr>
              <w:spacing w:after="0" w:line="240" w:lineRule="auto"/>
              <w:jc w:val="center"/>
              <w:rPr>
                <w:rFonts w:cs="Arial"/>
                <w:sz w:val="16"/>
                <w:szCs w:val="16"/>
              </w:rPr>
            </w:pPr>
            <w:r w:rsidRPr="00EE5D67">
              <w:rPr>
                <w:rFonts w:cs="Arial"/>
                <w:sz w:val="16"/>
                <w:szCs w:val="16"/>
              </w:rPr>
              <w:t>podle pohlaví</w:t>
            </w:r>
          </w:p>
        </w:tc>
        <w:tc>
          <w:tcPr>
            <w:tcW w:w="761" w:type="dxa"/>
            <w:vMerge w:val="restart"/>
            <w:tcBorders>
              <w:top w:val="nil"/>
              <w:left w:val="single" w:sz="4" w:space="0" w:color="auto"/>
              <w:right w:val="single" w:sz="4" w:space="0" w:color="auto"/>
            </w:tcBorders>
            <w:shd w:val="clear" w:color="000000" w:fill="F2DCDB"/>
            <w:vAlign w:val="center"/>
            <w:hideMark/>
          </w:tcPr>
          <w:p w14:paraId="03394E58" w14:textId="77777777" w:rsidR="00EE5D67" w:rsidRPr="00EE5D67" w:rsidRDefault="00EE5D67" w:rsidP="00EE5D67">
            <w:pPr>
              <w:spacing w:after="0" w:line="240" w:lineRule="auto"/>
              <w:jc w:val="center"/>
              <w:rPr>
                <w:rFonts w:cs="Arial"/>
                <w:sz w:val="16"/>
                <w:szCs w:val="16"/>
              </w:rPr>
            </w:pPr>
            <w:r w:rsidRPr="00EE5D67">
              <w:rPr>
                <w:rFonts w:cs="Arial"/>
                <w:sz w:val="16"/>
                <w:szCs w:val="16"/>
              </w:rPr>
              <w:t>Celkem pro pracovní úrazy</w:t>
            </w:r>
          </w:p>
        </w:tc>
        <w:tc>
          <w:tcPr>
            <w:tcW w:w="1374" w:type="dxa"/>
            <w:gridSpan w:val="2"/>
            <w:tcBorders>
              <w:top w:val="single" w:sz="4" w:space="0" w:color="auto"/>
              <w:left w:val="nil"/>
              <w:bottom w:val="single" w:sz="4" w:space="0" w:color="auto"/>
              <w:right w:val="single" w:sz="4" w:space="0" w:color="auto"/>
            </w:tcBorders>
            <w:shd w:val="clear" w:color="000000" w:fill="F2DCDB"/>
            <w:vAlign w:val="center"/>
            <w:hideMark/>
          </w:tcPr>
          <w:p w14:paraId="487F36AC" w14:textId="77777777" w:rsidR="00EE5D67" w:rsidRPr="00EE5D67" w:rsidRDefault="00EE5D67" w:rsidP="00EE5D67">
            <w:pPr>
              <w:spacing w:after="0" w:line="240" w:lineRule="auto"/>
              <w:jc w:val="center"/>
              <w:rPr>
                <w:rFonts w:cs="Arial"/>
                <w:sz w:val="16"/>
                <w:szCs w:val="16"/>
              </w:rPr>
            </w:pPr>
            <w:r w:rsidRPr="00EE5D67">
              <w:rPr>
                <w:rFonts w:cs="Arial"/>
                <w:sz w:val="16"/>
                <w:szCs w:val="16"/>
              </w:rPr>
              <w:t>podle pohlaví</w:t>
            </w:r>
          </w:p>
        </w:tc>
        <w:tc>
          <w:tcPr>
            <w:tcW w:w="747" w:type="dxa"/>
            <w:vMerge w:val="restart"/>
            <w:tcBorders>
              <w:top w:val="nil"/>
              <w:left w:val="single" w:sz="4" w:space="0" w:color="auto"/>
              <w:right w:val="single" w:sz="4" w:space="0" w:color="auto"/>
            </w:tcBorders>
            <w:shd w:val="clear" w:color="000000" w:fill="F2DCDB"/>
            <w:vAlign w:val="center"/>
            <w:hideMark/>
          </w:tcPr>
          <w:p w14:paraId="536140DF" w14:textId="77777777" w:rsidR="00EE5D67" w:rsidRPr="00EE5D67" w:rsidRDefault="00EE5D67" w:rsidP="00EE5D67">
            <w:pPr>
              <w:spacing w:after="0" w:line="240" w:lineRule="auto"/>
              <w:jc w:val="center"/>
              <w:rPr>
                <w:rFonts w:cs="Arial"/>
                <w:sz w:val="16"/>
                <w:szCs w:val="16"/>
              </w:rPr>
            </w:pPr>
            <w:r w:rsidRPr="00EE5D67">
              <w:rPr>
                <w:rFonts w:cs="Arial"/>
                <w:sz w:val="16"/>
                <w:szCs w:val="16"/>
              </w:rPr>
              <w:t>Celkem pro ostatní úrazy</w:t>
            </w:r>
          </w:p>
        </w:tc>
        <w:tc>
          <w:tcPr>
            <w:tcW w:w="1375" w:type="dxa"/>
            <w:gridSpan w:val="2"/>
            <w:tcBorders>
              <w:top w:val="single" w:sz="4" w:space="0" w:color="auto"/>
              <w:left w:val="nil"/>
              <w:bottom w:val="single" w:sz="4" w:space="0" w:color="auto"/>
            </w:tcBorders>
            <w:shd w:val="clear" w:color="000000" w:fill="F2DCDB"/>
            <w:vAlign w:val="center"/>
            <w:hideMark/>
          </w:tcPr>
          <w:p w14:paraId="55029A6E" w14:textId="77777777" w:rsidR="00EE5D67" w:rsidRPr="00EE5D67" w:rsidRDefault="00EE5D67" w:rsidP="00EE5D67">
            <w:pPr>
              <w:spacing w:after="0" w:line="240" w:lineRule="auto"/>
              <w:jc w:val="center"/>
              <w:rPr>
                <w:rFonts w:cs="Arial"/>
                <w:sz w:val="16"/>
                <w:szCs w:val="16"/>
              </w:rPr>
            </w:pPr>
            <w:r w:rsidRPr="00EE5D67">
              <w:rPr>
                <w:rFonts w:cs="Arial"/>
                <w:sz w:val="16"/>
                <w:szCs w:val="16"/>
              </w:rPr>
              <w:t>podle pohlaví</w:t>
            </w:r>
          </w:p>
        </w:tc>
      </w:tr>
      <w:tr w:rsidR="00EE5D67" w:rsidRPr="00EE5D67" w14:paraId="7DD0155D" w14:textId="77777777" w:rsidTr="00EE5D67">
        <w:trPr>
          <w:divId w:val="1275137038"/>
          <w:trHeight w:val="678"/>
        </w:trPr>
        <w:tc>
          <w:tcPr>
            <w:tcW w:w="991" w:type="dxa"/>
            <w:vMerge/>
            <w:tcBorders>
              <w:top w:val="single" w:sz="4" w:space="0" w:color="auto"/>
              <w:left w:val="nil"/>
              <w:bottom w:val="single" w:sz="4" w:space="0" w:color="auto"/>
              <w:right w:val="single" w:sz="4" w:space="0" w:color="auto"/>
            </w:tcBorders>
            <w:vAlign w:val="center"/>
            <w:hideMark/>
          </w:tcPr>
          <w:p w14:paraId="60C0EE8C" w14:textId="77777777" w:rsidR="00EE5D67" w:rsidRPr="00EE5D67" w:rsidRDefault="00EE5D67" w:rsidP="00EE5D67">
            <w:pPr>
              <w:spacing w:after="0" w:line="240" w:lineRule="auto"/>
              <w:rPr>
                <w:rFonts w:cs="Arial"/>
                <w:sz w:val="16"/>
                <w:szCs w:val="16"/>
              </w:rPr>
            </w:pPr>
          </w:p>
        </w:tc>
        <w:tc>
          <w:tcPr>
            <w:tcW w:w="747" w:type="dxa"/>
            <w:vMerge/>
            <w:tcBorders>
              <w:top w:val="nil"/>
              <w:left w:val="single" w:sz="4" w:space="0" w:color="auto"/>
              <w:bottom w:val="single" w:sz="4" w:space="0" w:color="auto"/>
              <w:right w:val="single" w:sz="4" w:space="0" w:color="auto"/>
            </w:tcBorders>
            <w:vAlign w:val="center"/>
            <w:hideMark/>
          </w:tcPr>
          <w:p w14:paraId="648C5E41" w14:textId="77777777" w:rsidR="00EE5D67" w:rsidRPr="00EE5D67" w:rsidRDefault="00EE5D67" w:rsidP="00EE5D67">
            <w:pPr>
              <w:spacing w:after="0" w:line="240" w:lineRule="auto"/>
              <w:rPr>
                <w:rFonts w:cs="Arial"/>
                <w:sz w:val="16"/>
                <w:szCs w:val="16"/>
              </w:rPr>
            </w:pPr>
          </w:p>
        </w:tc>
        <w:tc>
          <w:tcPr>
            <w:tcW w:w="686" w:type="dxa"/>
            <w:tcBorders>
              <w:top w:val="nil"/>
              <w:left w:val="nil"/>
              <w:bottom w:val="nil"/>
              <w:right w:val="single" w:sz="4" w:space="0" w:color="auto"/>
            </w:tcBorders>
            <w:shd w:val="clear" w:color="000000" w:fill="F2DCDB"/>
            <w:vAlign w:val="center"/>
            <w:hideMark/>
          </w:tcPr>
          <w:p w14:paraId="7808C4F1" w14:textId="77777777" w:rsidR="00EE5D67" w:rsidRPr="00EE5D67" w:rsidRDefault="00EE5D67" w:rsidP="00EE5D67">
            <w:pPr>
              <w:spacing w:after="0" w:line="240" w:lineRule="auto"/>
              <w:jc w:val="center"/>
              <w:rPr>
                <w:rFonts w:cs="Arial"/>
                <w:sz w:val="16"/>
                <w:szCs w:val="16"/>
              </w:rPr>
            </w:pPr>
            <w:r w:rsidRPr="00EE5D67">
              <w:rPr>
                <w:rFonts w:cs="Arial"/>
                <w:sz w:val="16"/>
                <w:szCs w:val="16"/>
              </w:rPr>
              <w:t>muži</w:t>
            </w:r>
          </w:p>
        </w:tc>
        <w:tc>
          <w:tcPr>
            <w:tcW w:w="687" w:type="dxa"/>
            <w:tcBorders>
              <w:top w:val="nil"/>
              <w:left w:val="nil"/>
              <w:bottom w:val="nil"/>
              <w:right w:val="single" w:sz="4" w:space="0" w:color="auto"/>
            </w:tcBorders>
            <w:shd w:val="clear" w:color="000000" w:fill="F2DCDB"/>
            <w:vAlign w:val="center"/>
            <w:hideMark/>
          </w:tcPr>
          <w:p w14:paraId="03784FE2" w14:textId="77777777" w:rsidR="00EE5D67" w:rsidRPr="00EE5D67" w:rsidRDefault="00EE5D67" w:rsidP="00EE5D67">
            <w:pPr>
              <w:spacing w:after="0" w:line="240" w:lineRule="auto"/>
              <w:jc w:val="center"/>
              <w:rPr>
                <w:rFonts w:cs="Arial"/>
                <w:sz w:val="16"/>
                <w:szCs w:val="16"/>
              </w:rPr>
            </w:pPr>
            <w:r w:rsidRPr="00EE5D67">
              <w:rPr>
                <w:rFonts w:cs="Arial"/>
                <w:sz w:val="16"/>
                <w:szCs w:val="16"/>
              </w:rPr>
              <w:t>ženy</w:t>
            </w:r>
          </w:p>
        </w:tc>
        <w:tc>
          <w:tcPr>
            <w:tcW w:w="747" w:type="dxa"/>
            <w:vMerge/>
            <w:tcBorders>
              <w:left w:val="single" w:sz="4" w:space="0" w:color="auto"/>
              <w:bottom w:val="single" w:sz="4" w:space="0" w:color="auto"/>
              <w:right w:val="single" w:sz="4" w:space="0" w:color="auto"/>
            </w:tcBorders>
            <w:vAlign w:val="center"/>
            <w:hideMark/>
          </w:tcPr>
          <w:p w14:paraId="399D4E2B" w14:textId="77777777" w:rsidR="00EE5D67" w:rsidRPr="00EE5D67" w:rsidRDefault="00EE5D67" w:rsidP="00EE5D67">
            <w:pPr>
              <w:spacing w:after="0" w:line="240" w:lineRule="auto"/>
              <w:rPr>
                <w:rFonts w:cs="Arial"/>
                <w:sz w:val="16"/>
                <w:szCs w:val="16"/>
              </w:rPr>
            </w:pPr>
          </w:p>
        </w:tc>
        <w:tc>
          <w:tcPr>
            <w:tcW w:w="686" w:type="dxa"/>
            <w:tcBorders>
              <w:top w:val="nil"/>
              <w:left w:val="nil"/>
              <w:bottom w:val="nil"/>
              <w:right w:val="single" w:sz="4" w:space="0" w:color="auto"/>
            </w:tcBorders>
            <w:shd w:val="clear" w:color="000000" w:fill="F2DCDB"/>
            <w:vAlign w:val="center"/>
            <w:hideMark/>
          </w:tcPr>
          <w:p w14:paraId="62CCA2E2" w14:textId="77777777" w:rsidR="00EE5D67" w:rsidRPr="00EE5D67" w:rsidRDefault="00EE5D67" w:rsidP="00EE5D67">
            <w:pPr>
              <w:spacing w:after="0" w:line="240" w:lineRule="auto"/>
              <w:jc w:val="center"/>
              <w:rPr>
                <w:rFonts w:cs="Arial"/>
                <w:sz w:val="16"/>
                <w:szCs w:val="16"/>
              </w:rPr>
            </w:pPr>
            <w:r w:rsidRPr="00EE5D67">
              <w:rPr>
                <w:rFonts w:cs="Arial"/>
                <w:sz w:val="16"/>
                <w:szCs w:val="16"/>
              </w:rPr>
              <w:t>muži</w:t>
            </w:r>
          </w:p>
        </w:tc>
        <w:tc>
          <w:tcPr>
            <w:tcW w:w="687" w:type="dxa"/>
            <w:tcBorders>
              <w:top w:val="nil"/>
              <w:left w:val="nil"/>
              <w:bottom w:val="nil"/>
              <w:right w:val="single" w:sz="4" w:space="0" w:color="auto"/>
            </w:tcBorders>
            <w:shd w:val="clear" w:color="000000" w:fill="F2DCDB"/>
            <w:vAlign w:val="center"/>
            <w:hideMark/>
          </w:tcPr>
          <w:p w14:paraId="5F919B15" w14:textId="77777777" w:rsidR="00EE5D67" w:rsidRPr="00EE5D67" w:rsidRDefault="00EE5D67" w:rsidP="00EE5D67">
            <w:pPr>
              <w:spacing w:after="0" w:line="240" w:lineRule="auto"/>
              <w:jc w:val="center"/>
              <w:rPr>
                <w:rFonts w:cs="Arial"/>
                <w:sz w:val="16"/>
                <w:szCs w:val="16"/>
              </w:rPr>
            </w:pPr>
            <w:r w:rsidRPr="00EE5D67">
              <w:rPr>
                <w:rFonts w:cs="Arial"/>
                <w:sz w:val="16"/>
                <w:szCs w:val="16"/>
              </w:rPr>
              <w:t>ženy</w:t>
            </w:r>
          </w:p>
        </w:tc>
        <w:tc>
          <w:tcPr>
            <w:tcW w:w="761" w:type="dxa"/>
            <w:vMerge/>
            <w:tcBorders>
              <w:left w:val="single" w:sz="4" w:space="0" w:color="auto"/>
              <w:bottom w:val="single" w:sz="4" w:space="0" w:color="auto"/>
              <w:right w:val="single" w:sz="4" w:space="0" w:color="auto"/>
            </w:tcBorders>
            <w:vAlign w:val="center"/>
            <w:hideMark/>
          </w:tcPr>
          <w:p w14:paraId="6FF74C71" w14:textId="77777777" w:rsidR="00EE5D67" w:rsidRPr="00EE5D67" w:rsidRDefault="00EE5D67" w:rsidP="00EE5D67">
            <w:pPr>
              <w:spacing w:after="0" w:line="240" w:lineRule="auto"/>
              <w:rPr>
                <w:rFonts w:cs="Arial"/>
                <w:sz w:val="16"/>
                <w:szCs w:val="16"/>
              </w:rPr>
            </w:pPr>
          </w:p>
        </w:tc>
        <w:tc>
          <w:tcPr>
            <w:tcW w:w="686" w:type="dxa"/>
            <w:tcBorders>
              <w:top w:val="nil"/>
              <w:left w:val="nil"/>
              <w:bottom w:val="nil"/>
              <w:right w:val="single" w:sz="4" w:space="0" w:color="auto"/>
            </w:tcBorders>
            <w:shd w:val="clear" w:color="000000" w:fill="F2DCDB"/>
            <w:vAlign w:val="center"/>
            <w:hideMark/>
          </w:tcPr>
          <w:p w14:paraId="7D3C86C1" w14:textId="77777777" w:rsidR="00EE5D67" w:rsidRPr="00EE5D67" w:rsidRDefault="00EE5D67" w:rsidP="00EE5D67">
            <w:pPr>
              <w:spacing w:after="0" w:line="240" w:lineRule="auto"/>
              <w:jc w:val="center"/>
              <w:rPr>
                <w:rFonts w:cs="Arial"/>
                <w:sz w:val="16"/>
                <w:szCs w:val="16"/>
              </w:rPr>
            </w:pPr>
            <w:r w:rsidRPr="00EE5D67">
              <w:rPr>
                <w:rFonts w:cs="Arial"/>
                <w:sz w:val="16"/>
                <w:szCs w:val="16"/>
              </w:rPr>
              <w:t>muži</w:t>
            </w:r>
          </w:p>
        </w:tc>
        <w:tc>
          <w:tcPr>
            <w:tcW w:w="687" w:type="dxa"/>
            <w:tcBorders>
              <w:top w:val="nil"/>
              <w:left w:val="nil"/>
              <w:bottom w:val="nil"/>
              <w:right w:val="nil"/>
            </w:tcBorders>
            <w:shd w:val="clear" w:color="000000" w:fill="F2DCDB"/>
            <w:vAlign w:val="center"/>
            <w:hideMark/>
          </w:tcPr>
          <w:p w14:paraId="160A961F" w14:textId="77777777" w:rsidR="00EE5D67" w:rsidRPr="00EE5D67" w:rsidRDefault="00EE5D67" w:rsidP="00EE5D67">
            <w:pPr>
              <w:spacing w:after="0" w:line="240" w:lineRule="auto"/>
              <w:jc w:val="center"/>
              <w:rPr>
                <w:rFonts w:cs="Arial"/>
                <w:sz w:val="16"/>
                <w:szCs w:val="16"/>
              </w:rPr>
            </w:pPr>
            <w:r w:rsidRPr="00EE5D67">
              <w:rPr>
                <w:rFonts w:cs="Arial"/>
                <w:sz w:val="16"/>
                <w:szCs w:val="16"/>
              </w:rPr>
              <w:t>ženy</w:t>
            </w:r>
          </w:p>
        </w:tc>
        <w:tc>
          <w:tcPr>
            <w:tcW w:w="747" w:type="dxa"/>
            <w:vMerge/>
            <w:tcBorders>
              <w:left w:val="single" w:sz="4" w:space="0" w:color="auto"/>
              <w:bottom w:val="single" w:sz="4" w:space="0" w:color="auto"/>
              <w:right w:val="single" w:sz="4" w:space="0" w:color="auto"/>
            </w:tcBorders>
            <w:vAlign w:val="center"/>
            <w:hideMark/>
          </w:tcPr>
          <w:p w14:paraId="2F2DEE6B" w14:textId="77777777" w:rsidR="00EE5D67" w:rsidRPr="00EE5D67" w:rsidRDefault="00EE5D67" w:rsidP="00EE5D67">
            <w:pPr>
              <w:spacing w:after="0" w:line="240" w:lineRule="auto"/>
              <w:rPr>
                <w:rFonts w:cs="Arial"/>
                <w:sz w:val="16"/>
                <w:szCs w:val="16"/>
              </w:rPr>
            </w:pPr>
          </w:p>
        </w:tc>
        <w:tc>
          <w:tcPr>
            <w:tcW w:w="686" w:type="dxa"/>
            <w:tcBorders>
              <w:top w:val="nil"/>
              <w:left w:val="nil"/>
              <w:bottom w:val="nil"/>
              <w:right w:val="single" w:sz="4" w:space="0" w:color="auto"/>
            </w:tcBorders>
            <w:shd w:val="clear" w:color="000000" w:fill="F2DCDB"/>
            <w:vAlign w:val="center"/>
            <w:hideMark/>
          </w:tcPr>
          <w:p w14:paraId="10203978" w14:textId="77777777" w:rsidR="00EE5D67" w:rsidRPr="00EE5D67" w:rsidRDefault="00EE5D67" w:rsidP="00EE5D67">
            <w:pPr>
              <w:spacing w:after="0" w:line="240" w:lineRule="auto"/>
              <w:jc w:val="center"/>
              <w:rPr>
                <w:rFonts w:cs="Arial"/>
                <w:sz w:val="16"/>
                <w:szCs w:val="16"/>
              </w:rPr>
            </w:pPr>
            <w:r w:rsidRPr="00EE5D67">
              <w:rPr>
                <w:rFonts w:cs="Arial"/>
                <w:sz w:val="16"/>
                <w:szCs w:val="16"/>
              </w:rPr>
              <w:t>muži</w:t>
            </w:r>
          </w:p>
        </w:tc>
        <w:tc>
          <w:tcPr>
            <w:tcW w:w="688" w:type="dxa"/>
            <w:tcBorders>
              <w:top w:val="nil"/>
              <w:left w:val="nil"/>
              <w:bottom w:val="nil"/>
              <w:right w:val="nil"/>
            </w:tcBorders>
            <w:shd w:val="clear" w:color="000000" w:fill="F2DCDB"/>
            <w:vAlign w:val="center"/>
            <w:hideMark/>
          </w:tcPr>
          <w:p w14:paraId="3F4965B8" w14:textId="77777777" w:rsidR="00EE5D67" w:rsidRPr="00EE5D67" w:rsidRDefault="00EE5D67" w:rsidP="00EE5D67">
            <w:pPr>
              <w:spacing w:after="0" w:line="240" w:lineRule="auto"/>
              <w:jc w:val="center"/>
              <w:rPr>
                <w:rFonts w:cs="Arial"/>
                <w:sz w:val="16"/>
                <w:szCs w:val="16"/>
              </w:rPr>
            </w:pPr>
            <w:r w:rsidRPr="00EE5D67">
              <w:rPr>
                <w:rFonts w:cs="Arial"/>
                <w:sz w:val="16"/>
                <w:szCs w:val="16"/>
              </w:rPr>
              <w:t>ženy</w:t>
            </w:r>
          </w:p>
        </w:tc>
      </w:tr>
      <w:tr w:rsidR="00EE5D67" w:rsidRPr="00EE5D67" w14:paraId="46CDD458" w14:textId="77777777" w:rsidTr="00EE5D67">
        <w:trPr>
          <w:divId w:val="1275137038"/>
          <w:trHeight w:val="308"/>
        </w:trPr>
        <w:tc>
          <w:tcPr>
            <w:tcW w:w="991" w:type="dxa"/>
            <w:tcBorders>
              <w:top w:val="single" w:sz="4" w:space="0" w:color="auto"/>
              <w:left w:val="nil"/>
              <w:bottom w:val="nil"/>
              <w:right w:val="single" w:sz="4" w:space="0" w:color="auto"/>
            </w:tcBorders>
            <w:shd w:val="clear" w:color="auto" w:fill="auto"/>
            <w:vAlign w:val="center"/>
            <w:hideMark/>
          </w:tcPr>
          <w:p w14:paraId="32D0829A" w14:textId="77777777" w:rsidR="00EE5D67" w:rsidRPr="00EE5D67" w:rsidRDefault="00EE5D67" w:rsidP="00EE5D67">
            <w:pPr>
              <w:spacing w:after="0" w:line="240" w:lineRule="auto"/>
              <w:jc w:val="center"/>
              <w:rPr>
                <w:rFonts w:cs="Arial"/>
                <w:sz w:val="16"/>
                <w:szCs w:val="16"/>
              </w:rPr>
            </w:pPr>
            <w:r w:rsidRPr="00EE5D67">
              <w:rPr>
                <w:rFonts w:cs="Arial"/>
                <w:sz w:val="16"/>
                <w:szCs w:val="16"/>
              </w:rPr>
              <w:t>1. pol. 2008</w:t>
            </w:r>
          </w:p>
        </w:tc>
        <w:tc>
          <w:tcPr>
            <w:tcW w:w="747" w:type="dxa"/>
            <w:tcBorders>
              <w:top w:val="single" w:sz="4" w:space="0" w:color="auto"/>
              <w:left w:val="nil"/>
              <w:bottom w:val="nil"/>
              <w:right w:val="nil"/>
            </w:tcBorders>
            <w:shd w:val="clear" w:color="auto" w:fill="auto"/>
            <w:noWrap/>
            <w:vAlign w:val="center"/>
            <w:hideMark/>
          </w:tcPr>
          <w:p w14:paraId="042F247E" w14:textId="77777777" w:rsidR="00EE5D67" w:rsidRPr="00EE5D67" w:rsidRDefault="00EE5D67" w:rsidP="00EE5D67">
            <w:pPr>
              <w:spacing w:after="0" w:line="240" w:lineRule="auto"/>
              <w:jc w:val="right"/>
              <w:rPr>
                <w:rFonts w:cs="Arial"/>
                <w:sz w:val="16"/>
                <w:szCs w:val="16"/>
              </w:rPr>
            </w:pPr>
            <w:r w:rsidRPr="00EE5D67">
              <w:rPr>
                <w:rFonts w:cs="Arial"/>
                <w:sz w:val="16"/>
                <w:szCs w:val="16"/>
              </w:rPr>
              <w:t>235,9</w:t>
            </w:r>
          </w:p>
        </w:tc>
        <w:tc>
          <w:tcPr>
            <w:tcW w:w="686" w:type="dxa"/>
            <w:tcBorders>
              <w:top w:val="single" w:sz="4" w:space="0" w:color="auto"/>
              <w:left w:val="nil"/>
              <w:bottom w:val="nil"/>
              <w:right w:val="nil"/>
            </w:tcBorders>
            <w:shd w:val="clear" w:color="auto" w:fill="auto"/>
            <w:noWrap/>
            <w:vAlign w:val="center"/>
            <w:hideMark/>
          </w:tcPr>
          <w:p w14:paraId="1F97A162" w14:textId="77777777" w:rsidR="00EE5D67" w:rsidRPr="00EE5D67" w:rsidRDefault="00EE5D67" w:rsidP="00EE5D67">
            <w:pPr>
              <w:spacing w:after="0" w:line="240" w:lineRule="auto"/>
              <w:jc w:val="right"/>
              <w:rPr>
                <w:rFonts w:cs="Arial"/>
                <w:sz w:val="16"/>
                <w:szCs w:val="16"/>
              </w:rPr>
            </w:pPr>
            <w:r w:rsidRPr="00EE5D67">
              <w:rPr>
                <w:rFonts w:cs="Arial"/>
                <w:sz w:val="16"/>
                <w:szCs w:val="16"/>
              </w:rPr>
              <w:t>109,2</w:t>
            </w:r>
          </w:p>
        </w:tc>
        <w:tc>
          <w:tcPr>
            <w:tcW w:w="687" w:type="dxa"/>
            <w:tcBorders>
              <w:top w:val="single" w:sz="4" w:space="0" w:color="auto"/>
              <w:left w:val="nil"/>
              <w:bottom w:val="nil"/>
              <w:right w:val="single" w:sz="4" w:space="0" w:color="auto"/>
            </w:tcBorders>
            <w:shd w:val="clear" w:color="auto" w:fill="auto"/>
            <w:noWrap/>
            <w:vAlign w:val="center"/>
            <w:hideMark/>
          </w:tcPr>
          <w:p w14:paraId="1716FB81" w14:textId="77777777" w:rsidR="00EE5D67" w:rsidRPr="00EE5D67" w:rsidRDefault="00EE5D67" w:rsidP="00EE5D67">
            <w:pPr>
              <w:spacing w:after="0" w:line="240" w:lineRule="auto"/>
              <w:jc w:val="right"/>
              <w:rPr>
                <w:rFonts w:cs="Arial"/>
                <w:sz w:val="16"/>
                <w:szCs w:val="16"/>
              </w:rPr>
            </w:pPr>
            <w:r w:rsidRPr="00EE5D67">
              <w:rPr>
                <w:rFonts w:cs="Arial"/>
                <w:sz w:val="16"/>
                <w:szCs w:val="16"/>
              </w:rPr>
              <w:t>126,6</w:t>
            </w:r>
          </w:p>
        </w:tc>
        <w:tc>
          <w:tcPr>
            <w:tcW w:w="747" w:type="dxa"/>
            <w:tcBorders>
              <w:top w:val="single" w:sz="4" w:space="0" w:color="auto"/>
              <w:left w:val="nil"/>
              <w:bottom w:val="nil"/>
              <w:right w:val="nil"/>
            </w:tcBorders>
            <w:shd w:val="clear" w:color="auto" w:fill="auto"/>
            <w:noWrap/>
            <w:vAlign w:val="center"/>
            <w:hideMark/>
          </w:tcPr>
          <w:p w14:paraId="67BB419A" w14:textId="77777777" w:rsidR="00EE5D67" w:rsidRPr="00EE5D67" w:rsidRDefault="00EE5D67" w:rsidP="00EE5D67">
            <w:pPr>
              <w:spacing w:after="0" w:line="240" w:lineRule="auto"/>
              <w:jc w:val="right"/>
              <w:rPr>
                <w:rFonts w:cs="Arial"/>
                <w:sz w:val="16"/>
                <w:szCs w:val="16"/>
              </w:rPr>
            </w:pPr>
            <w:r w:rsidRPr="00EE5D67">
              <w:rPr>
                <w:rFonts w:cs="Arial"/>
                <w:sz w:val="16"/>
                <w:szCs w:val="16"/>
              </w:rPr>
              <w:t>212,5</w:t>
            </w:r>
          </w:p>
        </w:tc>
        <w:tc>
          <w:tcPr>
            <w:tcW w:w="686" w:type="dxa"/>
            <w:tcBorders>
              <w:top w:val="single" w:sz="4" w:space="0" w:color="auto"/>
              <w:left w:val="nil"/>
              <w:bottom w:val="nil"/>
              <w:right w:val="nil"/>
            </w:tcBorders>
            <w:shd w:val="clear" w:color="auto" w:fill="auto"/>
            <w:noWrap/>
            <w:vAlign w:val="center"/>
            <w:hideMark/>
          </w:tcPr>
          <w:p w14:paraId="15D0A490" w14:textId="77777777" w:rsidR="00EE5D67" w:rsidRPr="00EE5D67" w:rsidRDefault="00EE5D67" w:rsidP="00EE5D67">
            <w:pPr>
              <w:spacing w:after="0" w:line="240" w:lineRule="auto"/>
              <w:jc w:val="right"/>
              <w:rPr>
                <w:rFonts w:cs="Arial"/>
                <w:sz w:val="16"/>
                <w:szCs w:val="16"/>
              </w:rPr>
            </w:pPr>
            <w:r w:rsidRPr="00EE5D67">
              <w:rPr>
                <w:rFonts w:cs="Arial"/>
                <w:sz w:val="16"/>
                <w:szCs w:val="16"/>
              </w:rPr>
              <w:t>93,0</w:t>
            </w:r>
          </w:p>
        </w:tc>
        <w:tc>
          <w:tcPr>
            <w:tcW w:w="687" w:type="dxa"/>
            <w:tcBorders>
              <w:top w:val="single" w:sz="4" w:space="0" w:color="auto"/>
              <w:left w:val="nil"/>
              <w:bottom w:val="nil"/>
              <w:right w:val="single" w:sz="4" w:space="0" w:color="auto"/>
            </w:tcBorders>
            <w:shd w:val="clear" w:color="auto" w:fill="auto"/>
            <w:noWrap/>
            <w:vAlign w:val="center"/>
            <w:hideMark/>
          </w:tcPr>
          <w:p w14:paraId="0045E635" w14:textId="77777777" w:rsidR="00EE5D67" w:rsidRPr="00EE5D67" w:rsidRDefault="00EE5D67" w:rsidP="00EE5D67">
            <w:pPr>
              <w:spacing w:after="0" w:line="240" w:lineRule="auto"/>
              <w:jc w:val="right"/>
              <w:rPr>
                <w:rFonts w:cs="Arial"/>
                <w:sz w:val="16"/>
                <w:szCs w:val="16"/>
              </w:rPr>
            </w:pPr>
            <w:r w:rsidRPr="00EE5D67">
              <w:rPr>
                <w:rFonts w:cs="Arial"/>
                <w:sz w:val="16"/>
                <w:szCs w:val="16"/>
              </w:rPr>
              <w:t>119,5</w:t>
            </w:r>
          </w:p>
        </w:tc>
        <w:tc>
          <w:tcPr>
            <w:tcW w:w="761" w:type="dxa"/>
            <w:tcBorders>
              <w:top w:val="single" w:sz="4" w:space="0" w:color="auto"/>
              <w:left w:val="nil"/>
              <w:bottom w:val="nil"/>
              <w:right w:val="nil"/>
            </w:tcBorders>
            <w:shd w:val="clear" w:color="auto" w:fill="auto"/>
            <w:noWrap/>
            <w:vAlign w:val="center"/>
            <w:hideMark/>
          </w:tcPr>
          <w:p w14:paraId="149D3415" w14:textId="77777777" w:rsidR="00EE5D67" w:rsidRPr="00EE5D67" w:rsidRDefault="00EE5D67" w:rsidP="00EE5D67">
            <w:pPr>
              <w:spacing w:after="0" w:line="240" w:lineRule="auto"/>
              <w:jc w:val="right"/>
              <w:rPr>
                <w:rFonts w:cs="Arial"/>
                <w:sz w:val="16"/>
                <w:szCs w:val="16"/>
              </w:rPr>
            </w:pPr>
            <w:r w:rsidRPr="00EE5D67">
              <w:rPr>
                <w:rFonts w:cs="Arial"/>
                <w:sz w:val="16"/>
                <w:szCs w:val="16"/>
              </w:rPr>
              <w:t>9,4</w:t>
            </w:r>
          </w:p>
        </w:tc>
        <w:tc>
          <w:tcPr>
            <w:tcW w:w="686" w:type="dxa"/>
            <w:tcBorders>
              <w:top w:val="single" w:sz="4" w:space="0" w:color="auto"/>
              <w:left w:val="nil"/>
              <w:bottom w:val="nil"/>
              <w:right w:val="nil"/>
            </w:tcBorders>
            <w:shd w:val="clear" w:color="auto" w:fill="auto"/>
            <w:noWrap/>
            <w:vAlign w:val="center"/>
            <w:hideMark/>
          </w:tcPr>
          <w:p w14:paraId="6DE3BF47" w14:textId="77777777" w:rsidR="00EE5D67" w:rsidRPr="00EE5D67" w:rsidRDefault="00EE5D67" w:rsidP="00EE5D67">
            <w:pPr>
              <w:spacing w:after="0" w:line="240" w:lineRule="auto"/>
              <w:jc w:val="right"/>
              <w:rPr>
                <w:rFonts w:cs="Arial"/>
                <w:sz w:val="16"/>
                <w:szCs w:val="16"/>
              </w:rPr>
            </w:pPr>
            <w:r w:rsidRPr="00EE5D67">
              <w:rPr>
                <w:rFonts w:cs="Arial"/>
                <w:sz w:val="16"/>
                <w:szCs w:val="16"/>
              </w:rPr>
              <w:t>6,9</w:t>
            </w:r>
          </w:p>
        </w:tc>
        <w:tc>
          <w:tcPr>
            <w:tcW w:w="687" w:type="dxa"/>
            <w:tcBorders>
              <w:top w:val="single" w:sz="4" w:space="0" w:color="auto"/>
              <w:left w:val="nil"/>
              <w:bottom w:val="nil"/>
              <w:right w:val="single" w:sz="4" w:space="0" w:color="auto"/>
            </w:tcBorders>
            <w:shd w:val="clear" w:color="auto" w:fill="auto"/>
            <w:noWrap/>
            <w:vAlign w:val="center"/>
            <w:hideMark/>
          </w:tcPr>
          <w:p w14:paraId="552DF119" w14:textId="77777777" w:rsidR="00EE5D67" w:rsidRPr="00EE5D67" w:rsidRDefault="00EE5D67" w:rsidP="00EE5D67">
            <w:pPr>
              <w:spacing w:after="0" w:line="240" w:lineRule="auto"/>
              <w:jc w:val="right"/>
              <w:rPr>
                <w:rFonts w:cs="Arial"/>
                <w:sz w:val="16"/>
                <w:szCs w:val="16"/>
              </w:rPr>
            </w:pPr>
            <w:r w:rsidRPr="00EE5D67">
              <w:rPr>
                <w:rFonts w:cs="Arial"/>
                <w:sz w:val="16"/>
                <w:szCs w:val="16"/>
              </w:rPr>
              <w:t>2,5</w:t>
            </w:r>
          </w:p>
        </w:tc>
        <w:tc>
          <w:tcPr>
            <w:tcW w:w="747" w:type="dxa"/>
            <w:tcBorders>
              <w:top w:val="single" w:sz="4" w:space="0" w:color="auto"/>
              <w:left w:val="nil"/>
              <w:bottom w:val="nil"/>
              <w:right w:val="nil"/>
            </w:tcBorders>
            <w:shd w:val="clear" w:color="auto" w:fill="auto"/>
            <w:noWrap/>
            <w:vAlign w:val="center"/>
            <w:hideMark/>
          </w:tcPr>
          <w:p w14:paraId="5E87241F" w14:textId="77777777" w:rsidR="00EE5D67" w:rsidRPr="00EE5D67" w:rsidRDefault="00EE5D67" w:rsidP="00EE5D67">
            <w:pPr>
              <w:spacing w:after="0" w:line="240" w:lineRule="auto"/>
              <w:jc w:val="right"/>
              <w:rPr>
                <w:rFonts w:cs="Arial"/>
                <w:sz w:val="16"/>
                <w:szCs w:val="16"/>
              </w:rPr>
            </w:pPr>
            <w:r w:rsidRPr="00EE5D67">
              <w:rPr>
                <w:rFonts w:cs="Arial"/>
                <w:sz w:val="16"/>
                <w:szCs w:val="16"/>
              </w:rPr>
              <w:t>14,0</w:t>
            </w:r>
          </w:p>
        </w:tc>
        <w:tc>
          <w:tcPr>
            <w:tcW w:w="686" w:type="dxa"/>
            <w:tcBorders>
              <w:top w:val="single" w:sz="4" w:space="0" w:color="auto"/>
              <w:left w:val="nil"/>
              <w:bottom w:val="nil"/>
              <w:right w:val="nil"/>
            </w:tcBorders>
            <w:shd w:val="clear" w:color="auto" w:fill="auto"/>
            <w:noWrap/>
            <w:vAlign w:val="center"/>
            <w:hideMark/>
          </w:tcPr>
          <w:p w14:paraId="0181A384" w14:textId="77777777" w:rsidR="00EE5D67" w:rsidRPr="00EE5D67" w:rsidRDefault="00EE5D67" w:rsidP="00EE5D67">
            <w:pPr>
              <w:spacing w:after="0" w:line="240" w:lineRule="auto"/>
              <w:jc w:val="right"/>
              <w:rPr>
                <w:rFonts w:cs="Arial"/>
                <w:sz w:val="16"/>
                <w:szCs w:val="16"/>
              </w:rPr>
            </w:pPr>
            <w:r w:rsidRPr="00EE5D67">
              <w:rPr>
                <w:rFonts w:cs="Arial"/>
                <w:sz w:val="16"/>
                <w:szCs w:val="16"/>
              </w:rPr>
              <w:t>9,4</w:t>
            </w:r>
          </w:p>
        </w:tc>
        <w:tc>
          <w:tcPr>
            <w:tcW w:w="688" w:type="dxa"/>
            <w:tcBorders>
              <w:top w:val="single" w:sz="4" w:space="0" w:color="auto"/>
              <w:left w:val="nil"/>
              <w:bottom w:val="nil"/>
              <w:right w:val="nil"/>
            </w:tcBorders>
            <w:shd w:val="clear" w:color="auto" w:fill="auto"/>
            <w:noWrap/>
            <w:vAlign w:val="center"/>
            <w:hideMark/>
          </w:tcPr>
          <w:p w14:paraId="656AA1CB" w14:textId="77777777" w:rsidR="00EE5D67" w:rsidRPr="00EE5D67" w:rsidRDefault="00EE5D67" w:rsidP="00EE5D67">
            <w:pPr>
              <w:spacing w:after="0" w:line="240" w:lineRule="auto"/>
              <w:jc w:val="right"/>
              <w:rPr>
                <w:rFonts w:cs="Arial"/>
                <w:sz w:val="16"/>
                <w:szCs w:val="16"/>
              </w:rPr>
            </w:pPr>
            <w:r w:rsidRPr="00EE5D67">
              <w:rPr>
                <w:rFonts w:cs="Arial"/>
                <w:sz w:val="16"/>
                <w:szCs w:val="16"/>
              </w:rPr>
              <w:t>4,6</w:t>
            </w:r>
          </w:p>
        </w:tc>
      </w:tr>
      <w:tr w:rsidR="00EE5D67" w:rsidRPr="00EE5D67" w14:paraId="17DDB727" w14:textId="77777777" w:rsidTr="00EE5D67">
        <w:trPr>
          <w:divId w:val="1275137038"/>
          <w:trHeight w:val="308"/>
        </w:trPr>
        <w:tc>
          <w:tcPr>
            <w:tcW w:w="991" w:type="dxa"/>
            <w:tcBorders>
              <w:top w:val="nil"/>
              <w:left w:val="nil"/>
              <w:bottom w:val="nil"/>
              <w:right w:val="single" w:sz="4" w:space="0" w:color="auto"/>
            </w:tcBorders>
            <w:shd w:val="clear" w:color="auto" w:fill="auto"/>
            <w:vAlign w:val="center"/>
            <w:hideMark/>
          </w:tcPr>
          <w:p w14:paraId="615812FA" w14:textId="77777777" w:rsidR="00EE5D67" w:rsidRPr="00EE5D67" w:rsidRDefault="00EE5D67" w:rsidP="00EE5D67">
            <w:pPr>
              <w:spacing w:after="0" w:line="240" w:lineRule="auto"/>
              <w:jc w:val="center"/>
              <w:rPr>
                <w:rFonts w:cs="Arial"/>
                <w:sz w:val="16"/>
                <w:szCs w:val="16"/>
              </w:rPr>
            </w:pPr>
            <w:r w:rsidRPr="00EE5D67">
              <w:rPr>
                <w:rFonts w:cs="Arial"/>
                <w:sz w:val="16"/>
                <w:szCs w:val="16"/>
              </w:rPr>
              <w:t>1. pol. 2009</w:t>
            </w:r>
          </w:p>
        </w:tc>
        <w:tc>
          <w:tcPr>
            <w:tcW w:w="747" w:type="dxa"/>
            <w:tcBorders>
              <w:top w:val="nil"/>
              <w:left w:val="nil"/>
              <w:bottom w:val="nil"/>
              <w:right w:val="nil"/>
            </w:tcBorders>
            <w:shd w:val="clear" w:color="auto" w:fill="auto"/>
            <w:noWrap/>
            <w:vAlign w:val="center"/>
            <w:hideMark/>
          </w:tcPr>
          <w:p w14:paraId="0ADCE6F3" w14:textId="77777777" w:rsidR="00EE5D67" w:rsidRPr="00EE5D67" w:rsidRDefault="00EE5D67" w:rsidP="00EE5D67">
            <w:pPr>
              <w:spacing w:after="0" w:line="240" w:lineRule="auto"/>
              <w:jc w:val="right"/>
              <w:rPr>
                <w:rFonts w:cs="Arial"/>
                <w:sz w:val="16"/>
                <w:szCs w:val="16"/>
              </w:rPr>
            </w:pPr>
            <w:r w:rsidRPr="00EE5D67">
              <w:rPr>
                <w:rFonts w:cs="Arial"/>
                <w:sz w:val="16"/>
                <w:szCs w:val="16"/>
              </w:rPr>
              <w:t>189,0</w:t>
            </w:r>
          </w:p>
        </w:tc>
        <w:tc>
          <w:tcPr>
            <w:tcW w:w="686" w:type="dxa"/>
            <w:tcBorders>
              <w:top w:val="nil"/>
              <w:left w:val="nil"/>
              <w:bottom w:val="nil"/>
              <w:right w:val="nil"/>
            </w:tcBorders>
            <w:shd w:val="clear" w:color="auto" w:fill="auto"/>
            <w:noWrap/>
            <w:vAlign w:val="center"/>
            <w:hideMark/>
          </w:tcPr>
          <w:p w14:paraId="5794C1DB" w14:textId="77777777" w:rsidR="00EE5D67" w:rsidRPr="00EE5D67" w:rsidRDefault="00EE5D67" w:rsidP="00EE5D67">
            <w:pPr>
              <w:spacing w:after="0" w:line="240" w:lineRule="auto"/>
              <w:jc w:val="right"/>
              <w:rPr>
                <w:rFonts w:cs="Arial"/>
                <w:sz w:val="16"/>
                <w:szCs w:val="16"/>
              </w:rPr>
            </w:pPr>
            <w:r w:rsidRPr="00EE5D67">
              <w:rPr>
                <w:rFonts w:cs="Arial"/>
                <w:sz w:val="16"/>
                <w:szCs w:val="16"/>
              </w:rPr>
              <w:t>87,5</w:t>
            </w:r>
          </w:p>
        </w:tc>
        <w:tc>
          <w:tcPr>
            <w:tcW w:w="687" w:type="dxa"/>
            <w:tcBorders>
              <w:top w:val="nil"/>
              <w:left w:val="nil"/>
              <w:bottom w:val="nil"/>
              <w:right w:val="single" w:sz="4" w:space="0" w:color="auto"/>
            </w:tcBorders>
            <w:shd w:val="clear" w:color="auto" w:fill="auto"/>
            <w:noWrap/>
            <w:vAlign w:val="center"/>
            <w:hideMark/>
          </w:tcPr>
          <w:p w14:paraId="00DDD6A3" w14:textId="77777777" w:rsidR="00EE5D67" w:rsidRPr="00EE5D67" w:rsidRDefault="00EE5D67" w:rsidP="00EE5D67">
            <w:pPr>
              <w:spacing w:after="0" w:line="240" w:lineRule="auto"/>
              <w:jc w:val="right"/>
              <w:rPr>
                <w:rFonts w:cs="Arial"/>
                <w:sz w:val="16"/>
                <w:szCs w:val="16"/>
              </w:rPr>
            </w:pPr>
            <w:r w:rsidRPr="00EE5D67">
              <w:rPr>
                <w:rFonts w:cs="Arial"/>
                <w:sz w:val="16"/>
                <w:szCs w:val="16"/>
              </w:rPr>
              <w:t>101,5</w:t>
            </w:r>
          </w:p>
        </w:tc>
        <w:tc>
          <w:tcPr>
            <w:tcW w:w="747" w:type="dxa"/>
            <w:tcBorders>
              <w:top w:val="nil"/>
              <w:left w:val="nil"/>
              <w:bottom w:val="nil"/>
              <w:right w:val="nil"/>
            </w:tcBorders>
            <w:shd w:val="clear" w:color="auto" w:fill="auto"/>
            <w:noWrap/>
            <w:vAlign w:val="center"/>
            <w:hideMark/>
          </w:tcPr>
          <w:p w14:paraId="597FEA27" w14:textId="77777777" w:rsidR="00EE5D67" w:rsidRPr="00EE5D67" w:rsidRDefault="00EE5D67" w:rsidP="00EE5D67">
            <w:pPr>
              <w:spacing w:after="0" w:line="240" w:lineRule="auto"/>
              <w:jc w:val="right"/>
              <w:rPr>
                <w:rFonts w:cs="Arial"/>
                <w:sz w:val="16"/>
                <w:szCs w:val="16"/>
              </w:rPr>
            </w:pPr>
            <w:r w:rsidRPr="00EE5D67">
              <w:rPr>
                <w:rFonts w:cs="Arial"/>
                <w:sz w:val="16"/>
                <w:szCs w:val="16"/>
              </w:rPr>
              <w:t>167,9</w:t>
            </w:r>
          </w:p>
        </w:tc>
        <w:tc>
          <w:tcPr>
            <w:tcW w:w="686" w:type="dxa"/>
            <w:tcBorders>
              <w:top w:val="nil"/>
              <w:left w:val="nil"/>
              <w:bottom w:val="nil"/>
              <w:right w:val="nil"/>
            </w:tcBorders>
            <w:shd w:val="clear" w:color="auto" w:fill="auto"/>
            <w:noWrap/>
            <w:vAlign w:val="center"/>
            <w:hideMark/>
          </w:tcPr>
          <w:p w14:paraId="1B46CA31" w14:textId="77777777" w:rsidR="00EE5D67" w:rsidRPr="00EE5D67" w:rsidRDefault="00EE5D67" w:rsidP="00EE5D67">
            <w:pPr>
              <w:spacing w:after="0" w:line="240" w:lineRule="auto"/>
              <w:jc w:val="right"/>
              <w:rPr>
                <w:rFonts w:cs="Arial"/>
                <w:sz w:val="16"/>
                <w:szCs w:val="16"/>
              </w:rPr>
            </w:pPr>
            <w:r w:rsidRPr="00EE5D67">
              <w:rPr>
                <w:rFonts w:cs="Arial"/>
                <w:sz w:val="16"/>
                <w:szCs w:val="16"/>
              </w:rPr>
              <w:t>73,1</w:t>
            </w:r>
          </w:p>
        </w:tc>
        <w:tc>
          <w:tcPr>
            <w:tcW w:w="687" w:type="dxa"/>
            <w:tcBorders>
              <w:top w:val="nil"/>
              <w:left w:val="nil"/>
              <w:bottom w:val="nil"/>
              <w:right w:val="single" w:sz="4" w:space="0" w:color="auto"/>
            </w:tcBorders>
            <w:shd w:val="clear" w:color="auto" w:fill="auto"/>
            <w:noWrap/>
            <w:vAlign w:val="center"/>
            <w:hideMark/>
          </w:tcPr>
          <w:p w14:paraId="05C76796" w14:textId="77777777" w:rsidR="00EE5D67" w:rsidRPr="00EE5D67" w:rsidRDefault="00EE5D67" w:rsidP="00EE5D67">
            <w:pPr>
              <w:spacing w:after="0" w:line="240" w:lineRule="auto"/>
              <w:jc w:val="right"/>
              <w:rPr>
                <w:rFonts w:cs="Arial"/>
                <w:sz w:val="16"/>
                <w:szCs w:val="16"/>
              </w:rPr>
            </w:pPr>
            <w:r w:rsidRPr="00EE5D67">
              <w:rPr>
                <w:rFonts w:cs="Arial"/>
                <w:sz w:val="16"/>
                <w:szCs w:val="16"/>
              </w:rPr>
              <w:t>94,8</w:t>
            </w:r>
          </w:p>
        </w:tc>
        <w:tc>
          <w:tcPr>
            <w:tcW w:w="761" w:type="dxa"/>
            <w:tcBorders>
              <w:top w:val="nil"/>
              <w:left w:val="nil"/>
              <w:bottom w:val="nil"/>
              <w:right w:val="nil"/>
            </w:tcBorders>
            <w:shd w:val="clear" w:color="auto" w:fill="auto"/>
            <w:noWrap/>
            <w:vAlign w:val="center"/>
            <w:hideMark/>
          </w:tcPr>
          <w:p w14:paraId="4DDD984B" w14:textId="77777777" w:rsidR="00EE5D67" w:rsidRPr="00EE5D67" w:rsidRDefault="00EE5D67" w:rsidP="00EE5D67">
            <w:pPr>
              <w:spacing w:after="0" w:line="240" w:lineRule="auto"/>
              <w:jc w:val="right"/>
              <w:rPr>
                <w:rFonts w:cs="Arial"/>
                <w:sz w:val="16"/>
                <w:szCs w:val="16"/>
              </w:rPr>
            </w:pPr>
            <w:r w:rsidRPr="00EE5D67">
              <w:rPr>
                <w:rFonts w:cs="Arial"/>
                <w:sz w:val="16"/>
                <w:szCs w:val="16"/>
              </w:rPr>
              <w:t>7,8</w:t>
            </w:r>
          </w:p>
        </w:tc>
        <w:tc>
          <w:tcPr>
            <w:tcW w:w="686" w:type="dxa"/>
            <w:tcBorders>
              <w:top w:val="nil"/>
              <w:left w:val="nil"/>
              <w:bottom w:val="nil"/>
              <w:right w:val="nil"/>
            </w:tcBorders>
            <w:shd w:val="clear" w:color="auto" w:fill="auto"/>
            <w:noWrap/>
            <w:vAlign w:val="center"/>
            <w:hideMark/>
          </w:tcPr>
          <w:p w14:paraId="492854EE" w14:textId="77777777" w:rsidR="00EE5D67" w:rsidRPr="00EE5D67" w:rsidRDefault="00EE5D67" w:rsidP="00EE5D67">
            <w:pPr>
              <w:spacing w:after="0" w:line="240" w:lineRule="auto"/>
              <w:jc w:val="right"/>
              <w:rPr>
                <w:rFonts w:cs="Arial"/>
                <w:sz w:val="16"/>
                <w:szCs w:val="16"/>
              </w:rPr>
            </w:pPr>
            <w:r w:rsidRPr="00EE5D67">
              <w:rPr>
                <w:rFonts w:cs="Arial"/>
                <w:sz w:val="16"/>
                <w:szCs w:val="16"/>
              </w:rPr>
              <w:t>5,6</w:t>
            </w:r>
          </w:p>
        </w:tc>
        <w:tc>
          <w:tcPr>
            <w:tcW w:w="687" w:type="dxa"/>
            <w:tcBorders>
              <w:top w:val="nil"/>
              <w:left w:val="nil"/>
              <w:bottom w:val="nil"/>
              <w:right w:val="single" w:sz="4" w:space="0" w:color="auto"/>
            </w:tcBorders>
            <w:shd w:val="clear" w:color="auto" w:fill="auto"/>
            <w:noWrap/>
            <w:vAlign w:val="center"/>
            <w:hideMark/>
          </w:tcPr>
          <w:p w14:paraId="2B4F0694" w14:textId="77777777" w:rsidR="00EE5D67" w:rsidRPr="00EE5D67" w:rsidRDefault="00EE5D67" w:rsidP="00EE5D67">
            <w:pPr>
              <w:spacing w:after="0" w:line="240" w:lineRule="auto"/>
              <w:jc w:val="right"/>
              <w:rPr>
                <w:rFonts w:cs="Arial"/>
                <w:sz w:val="16"/>
                <w:szCs w:val="16"/>
              </w:rPr>
            </w:pPr>
            <w:r w:rsidRPr="00EE5D67">
              <w:rPr>
                <w:rFonts w:cs="Arial"/>
                <w:sz w:val="16"/>
                <w:szCs w:val="16"/>
              </w:rPr>
              <w:t>2,2</w:t>
            </w:r>
          </w:p>
        </w:tc>
        <w:tc>
          <w:tcPr>
            <w:tcW w:w="747" w:type="dxa"/>
            <w:tcBorders>
              <w:top w:val="nil"/>
              <w:left w:val="nil"/>
              <w:bottom w:val="nil"/>
              <w:right w:val="nil"/>
            </w:tcBorders>
            <w:shd w:val="clear" w:color="auto" w:fill="auto"/>
            <w:noWrap/>
            <w:vAlign w:val="center"/>
            <w:hideMark/>
          </w:tcPr>
          <w:p w14:paraId="11BC269F" w14:textId="77777777" w:rsidR="00EE5D67" w:rsidRPr="00EE5D67" w:rsidRDefault="00EE5D67" w:rsidP="00EE5D67">
            <w:pPr>
              <w:spacing w:after="0" w:line="240" w:lineRule="auto"/>
              <w:jc w:val="right"/>
              <w:rPr>
                <w:rFonts w:cs="Arial"/>
                <w:sz w:val="16"/>
                <w:szCs w:val="16"/>
              </w:rPr>
            </w:pPr>
            <w:r w:rsidRPr="00EE5D67">
              <w:rPr>
                <w:rFonts w:cs="Arial"/>
                <w:sz w:val="16"/>
                <w:szCs w:val="16"/>
              </w:rPr>
              <w:t>13,2</w:t>
            </w:r>
          </w:p>
        </w:tc>
        <w:tc>
          <w:tcPr>
            <w:tcW w:w="686" w:type="dxa"/>
            <w:tcBorders>
              <w:top w:val="nil"/>
              <w:left w:val="nil"/>
              <w:bottom w:val="nil"/>
              <w:right w:val="nil"/>
            </w:tcBorders>
            <w:shd w:val="clear" w:color="auto" w:fill="auto"/>
            <w:noWrap/>
            <w:vAlign w:val="center"/>
            <w:hideMark/>
          </w:tcPr>
          <w:p w14:paraId="7A2266D8" w14:textId="77777777" w:rsidR="00EE5D67" w:rsidRPr="00EE5D67" w:rsidRDefault="00EE5D67" w:rsidP="00EE5D67">
            <w:pPr>
              <w:spacing w:after="0" w:line="240" w:lineRule="auto"/>
              <w:jc w:val="right"/>
              <w:rPr>
                <w:rFonts w:cs="Arial"/>
                <w:sz w:val="16"/>
                <w:szCs w:val="16"/>
              </w:rPr>
            </w:pPr>
            <w:r w:rsidRPr="00EE5D67">
              <w:rPr>
                <w:rFonts w:cs="Arial"/>
                <w:sz w:val="16"/>
                <w:szCs w:val="16"/>
              </w:rPr>
              <w:t>8,8</w:t>
            </w:r>
          </w:p>
        </w:tc>
        <w:tc>
          <w:tcPr>
            <w:tcW w:w="688" w:type="dxa"/>
            <w:tcBorders>
              <w:top w:val="nil"/>
              <w:left w:val="nil"/>
              <w:bottom w:val="nil"/>
              <w:right w:val="nil"/>
            </w:tcBorders>
            <w:shd w:val="clear" w:color="auto" w:fill="auto"/>
            <w:noWrap/>
            <w:vAlign w:val="center"/>
            <w:hideMark/>
          </w:tcPr>
          <w:p w14:paraId="14D05872" w14:textId="77777777" w:rsidR="00EE5D67" w:rsidRPr="00EE5D67" w:rsidRDefault="00EE5D67" w:rsidP="00EE5D67">
            <w:pPr>
              <w:spacing w:after="0" w:line="240" w:lineRule="auto"/>
              <w:jc w:val="right"/>
              <w:rPr>
                <w:rFonts w:cs="Arial"/>
                <w:sz w:val="16"/>
                <w:szCs w:val="16"/>
              </w:rPr>
            </w:pPr>
            <w:r w:rsidRPr="00EE5D67">
              <w:rPr>
                <w:rFonts w:cs="Arial"/>
                <w:sz w:val="16"/>
                <w:szCs w:val="16"/>
              </w:rPr>
              <w:t>4,5</w:t>
            </w:r>
          </w:p>
        </w:tc>
      </w:tr>
      <w:tr w:rsidR="00EE5D67" w:rsidRPr="00EE5D67" w14:paraId="55004ED1" w14:textId="77777777" w:rsidTr="00EE5D67">
        <w:trPr>
          <w:divId w:val="1275137038"/>
          <w:trHeight w:val="308"/>
        </w:trPr>
        <w:tc>
          <w:tcPr>
            <w:tcW w:w="991" w:type="dxa"/>
            <w:tcBorders>
              <w:top w:val="nil"/>
              <w:left w:val="nil"/>
              <w:bottom w:val="nil"/>
              <w:right w:val="single" w:sz="4" w:space="0" w:color="auto"/>
            </w:tcBorders>
            <w:shd w:val="clear" w:color="auto" w:fill="auto"/>
            <w:vAlign w:val="center"/>
            <w:hideMark/>
          </w:tcPr>
          <w:p w14:paraId="2FC80D50" w14:textId="77777777" w:rsidR="00EE5D67" w:rsidRPr="00EE5D67" w:rsidRDefault="00EE5D67" w:rsidP="00EE5D67">
            <w:pPr>
              <w:spacing w:after="0" w:line="240" w:lineRule="auto"/>
              <w:jc w:val="center"/>
              <w:rPr>
                <w:rFonts w:cs="Arial"/>
                <w:sz w:val="16"/>
                <w:szCs w:val="16"/>
              </w:rPr>
            </w:pPr>
            <w:r w:rsidRPr="00EE5D67">
              <w:rPr>
                <w:rFonts w:cs="Arial"/>
                <w:sz w:val="16"/>
                <w:szCs w:val="16"/>
              </w:rPr>
              <w:t>1. pol. 2010</w:t>
            </w:r>
          </w:p>
        </w:tc>
        <w:tc>
          <w:tcPr>
            <w:tcW w:w="747" w:type="dxa"/>
            <w:tcBorders>
              <w:top w:val="nil"/>
              <w:left w:val="nil"/>
              <w:bottom w:val="nil"/>
              <w:right w:val="nil"/>
            </w:tcBorders>
            <w:shd w:val="clear" w:color="auto" w:fill="auto"/>
            <w:noWrap/>
            <w:vAlign w:val="center"/>
            <w:hideMark/>
          </w:tcPr>
          <w:p w14:paraId="28B38E1B" w14:textId="77777777" w:rsidR="00EE5D67" w:rsidRPr="00EE5D67" w:rsidRDefault="00EE5D67" w:rsidP="00EE5D67">
            <w:pPr>
              <w:spacing w:after="0" w:line="240" w:lineRule="auto"/>
              <w:jc w:val="right"/>
              <w:rPr>
                <w:rFonts w:cs="Arial"/>
                <w:sz w:val="16"/>
                <w:szCs w:val="16"/>
              </w:rPr>
            </w:pPr>
            <w:r w:rsidRPr="00EE5D67">
              <w:rPr>
                <w:rFonts w:cs="Arial"/>
                <w:sz w:val="16"/>
                <w:szCs w:val="16"/>
              </w:rPr>
              <w:t>173,0</w:t>
            </w:r>
          </w:p>
        </w:tc>
        <w:tc>
          <w:tcPr>
            <w:tcW w:w="686" w:type="dxa"/>
            <w:tcBorders>
              <w:top w:val="nil"/>
              <w:left w:val="nil"/>
              <w:bottom w:val="nil"/>
              <w:right w:val="nil"/>
            </w:tcBorders>
            <w:shd w:val="clear" w:color="auto" w:fill="auto"/>
            <w:noWrap/>
            <w:vAlign w:val="center"/>
            <w:hideMark/>
          </w:tcPr>
          <w:p w14:paraId="0B5F65B2" w14:textId="77777777" w:rsidR="00EE5D67" w:rsidRPr="00EE5D67" w:rsidRDefault="00EE5D67" w:rsidP="00EE5D67">
            <w:pPr>
              <w:spacing w:after="0" w:line="240" w:lineRule="auto"/>
              <w:jc w:val="right"/>
              <w:rPr>
                <w:rFonts w:cs="Arial"/>
                <w:sz w:val="16"/>
                <w:szCs w:val="16"/>
              </w:rPr>
            </w:pPr>
            <w:r w:rsidRPr="00EE5D67">
              <w:rPr>
                <w:rFonts w:cs="Arial"/>
                <w:sz w:val="16"/>
                <w:szCs w:val="16"/>
              </w:rPr>
              <w:t>82,5</w:t>
            </w:r>
          </w:p>
        </w:tc>
        <w:tc>
          <w:tcPr>
            <w:tcW w:w="687" w:type="dxa"/>
            <w:tcBorders>
              <w:top w:val="nil"/>
              <w:left w:val="nil"/>
              <w:bottom w:val="nil"/>
              <w:right w:val="single" w:sz="4" w:space="0" w:color="auto"/>
            </w:tcBorders>
            <w:shd w:val="clear" w:color="auto" w:fill="auto"/>
            <w:noWrap/>
            <w:vAlign w:val="center"/>
            <w:hideMark/>
          </w:tcPr>
          <w:p w14:paraId="65CD26DE" w14:textId="77777777" w:rsidR="00EE5D67" w:rsidRPr="00EE5D67" w:rsidRDefault="00EE5D67" w:rsidP="00EE5D67">
            <w:pPr>
              <w:spacing w:after="0" w:line="240" w:lineRule="auto"/>
              <w:jc w:val="right"/>
              <w:rPr>
                <w:rFonts w:cs="Arial"/>
                <w:sz w:val="16"/>
                <w:szCs w:val="16"/>
              </w:rPr>
            </w:pPr>
            <w:r w:rsidRPr="00EE5D67">
              <w:rPr>
                <w:rFonts w:cs="Arial"/>
                <w:sz w:val="16"/>
                <w:szCs w:val="16"/>
              </w:rPr>
              <w:t>90,6</w:t>
            </w:r>
          </w:p>
        </w:tc>
        <w:tc>
          <w:tcPr>
            <w:tcW w:w="747" w:type="dxa"/>
            <w:tcBorders>
              <w:top w:val="nil"/>
              <w:left w:val="nil"/>
              <w:bottom w:val="nil"/>
              <w:right w:val="nil"/>
            </w:tcBorders>
            <w:shd w:val="clear" w:color="auto" w:fill="auto"/>
            <w:noWrap/>
            <w:vAlign w:val="center"/>
            <w:hideMark/>
          </w:tcPr>
          <w:p w14:paraId="0A58FE40" w14:textId="77777777" w:rsidR="00EE5D67" w:rsidRPr="00EE5D67" w:rsidRDefault="00EE5D67" w:rsidP="00EE5D67">
            <w:pPr>
              <w:spacing w:after="0" w:line="240" w:lineRule="auto"/>
              <w:jc w:val="right"/>
              <w:rPr>
                <w:rFonts w:cs="Arial"/>
                <w:sz w:val="16"/>
                <w:szCs w:val="16"/>
              </w:rPr>
            </w:pPr>
            <w:r w:rsidRPr="00EE5D67">
              <w:rPr>
                <w:rFonts w:cs="Arial"/>
                <w:sz w:val="16"/>
                <w:szCs w:val="16"/>
              </w:rPr>
              <w:t>151,8</w:t>
            </w:r>
          </w:p>
        </w:tc>
        <w:tc>
          <w:tcPr>
            <w:tcW w:w="686" w:type="dxa"/>
            <w:tcBorders>
              <w:top w:val="nil"/>
              <w:left w:val="nil"/>
              <w:bottom w:val="nil"/>
              <w:right w:val="nil"/>
            </w:tcBorders>
            <w:shd w:val="clear" w:color="auto" w:fill="auto"/>
            <w:noWrap/>
            <w:vAlign w:val="center"/>
            <w:hideMark/>
          </w:tcPr>
          <w:p w14:paraId="131E8A6F" w14:textId="77777777" w:rsidR="00EE5D67" w:rsidRPr="00EE5D67" w:rsidRDefault="00EE5D67" w:rsidP="00EE5D67">
            <w:pPr>
              <w:spacing w:after="0" w:line="240" w:lineRule="auto"/>
              <w:jc w:val="right"/>
              <w:rPr>
                <w:rFonts w:cs="Arial"/>
                <w:sz w:val="16"/>
                <w:szCs w:val="16"/>
              </w:rPr>
            </w:pPr>
            <w:r w:rsidRPr="00EE5D67">
              <w:rPr>
                <w:rFonts w:cs="Arial"/>
                <w:sz w:val="16"/>
                <w:szCs w:val="16"/>
              </w:rPr>
              <w:t>68,2</w:t>
            </w:r>
          </w:p>
        </w:tc>
        <w:tc>
          <w:tcPr>
            <w:tcW w:w="687" w:type="dxa"/>
            <w:tcBorders>
              <w:top w:val="nil"/>
              <w:left w:val="nil"/>
              <w:bottom w:val="nil"/>
              <w:right w:val="single" w:sz="4" w:space="0" w:color="auto"/>
            </w:tcBorders>
            <w:shd w:val="clear" w:color="auto" w:fill="auto"/>
            <w:noWrap/>
            <w:vAlign w:val="center"/>
            <w:hideMark/>
          </w:tcPr>
          <w:p w14:paraId="15B18C1C" w14:textId="77777777" w:rsidR="00EE5D67" w:rsidRPr="00EE5D67" w:rsidRDefault="00EE5D67" w:rsidP="00EE5D67">
            <w:pPr>
              <w:spacing w:after="0" w:line="240" w:lineRule="auto"/>
              <w:jc w:val="right"/>
              <w:rPr>
                <w:rFonts w:cs="Arial"/>
                <w:sz w:val="16"/>
                <w:szCs w:val="16"/>
              </w:rPr>
            </w:pPr>
            <w:r w:rsidRPr="00EE5D67">
              <w:rPr>
                <w:rFonts w:cs="Arial"/>
                <w:sz w:val="16"/>
                <w:szCs w:val="16"/>
              </w:rPr>
              <w:t>83,6</w:t>
            </w:r>
          </w:p>
        </w:tc>
        <w:tc>
          <w:tcPr>
            <w:tcW w:w="761" w:type="dxa"/>
            <w:tcBorders>
              <w:top w:val="nil"/>
              <w:left w:val="nil"/>
              <w:bottom w:val="nil"/>
              <w:right w:val="nil"/>
            </w:tcBorders>
            <w:shd w:val="clear" w:color="auto" w:fill="auto"/>
            <w:noWrap/>
            <w:vAlign w:val="center"/>
            <w:hideMark/>
          </w:tcPr>
          <w:p w14:paraId="5758C219" w14:textId="77777777" w:rsidR="00EE5D67" w:rsidRPr="00EE5D67" w:rsidRDefault="00EE5D67" w:rsidP="00EE5D67">
            <w:pPr>
              <w:spacing w:after="0" w:line="240" w:lineRule="auto"/>
              <w:jc w:val="right"/>
              <w:rPr>
                <w:rFonts w:cs="Arial"/>
                <w:sz w:val="16"/>
                <w:szCs w:val="16"/>
              </w:rPr>
            </w:pPr>
            <w:r w:rsidRPr="00EE5D67">
              <w:rPr>
                <w:rFonts w:cs="Arial"/>
                <w:sz w:val="16"/>
                <w:szCs w:val="16"/>
              </w:rPr>
              <w:t>7,6</w:t>
            </w:r>
          </w:p>
        </w:tc>
        <w:tc>
          <w:tcPr>
            <w:tcW w:w="686" w:type="dxa"/>
            <w:tcBorders>
              <w:top w:val="nil"/>
              <w:left w:val="nil"/>
              <w:bottom w:val="nil"/>
              <w:right w:val="nil"/>
            </w:tcBorders>
            <w:shd w:val="clear" w:color="auto" w:fill="auto"/>
            <w:noWrap/>
            <w:vAlign w:val="center"/>
            <w:hideMark/>
          </w:tcPr>
          <w:p w14:paraId="031B0E34" w14:textId="77777777" w:rsidR="00EE5D67" w:rsidRPr="00EE5D67" w:rsidRDefault="00EE5D67" w:rsidP="00EE5D67">
            <w:pPr>
              <w:spacing w:after="0" w:line="240" w:lineRule="auto"/>
              <w:jc w:val="right"/>
              <w:rPr>
                <w:rFonts w:cs="Arial"/>
                <w:sz w:val="16"/>
                <w:szCs w:val="16"/>
              </w:rPr>
            </w:pPr>
            <w:r w:rsidRPr="00EE5D67">
              <w:rPr>
                <w:rFonts w:cs="Arial"/>
                <w:sz w:val="16"/>
                <w:szCs w:val="16"/>
              </w:rPr>
              <w:t>5,4</w:t>
            </w:r>
          </w:p>
        </w:tc>
        <w:tc>
          <w:tcPr>
            <w:tcW w:w="687" w:type="dxa"/>
            <w:tcBorders>
              <w:top w:val="nil"/>
              <w:left w:val="nil"/>
              <w:bottom w:val="nil"/>
              <w:right w:val="single" w:sz="4" w:space="0" w:color="auto"/>
            </w:tcBorders>
            <w:shd w:val="clear" w:color="auto" w:fill="auto"/>
            <w:noWrap/>
            <w:vAlign w:val="center"/>
            <w:hideMark/>
          </w:tcPr>
          <w:p w14:paraId="3FFCA18E" w14:textId="77777777" w:rsidR="00EE5D67" w:rsidRPr="00EE5D67" w:rsidRDefault="00EE5D67" w:rsidP="00EE5D67">
            <w:pPr>
              <w:spacing w:after="0" w:line="240" w:lineRule="auto"/>
              <w:jc w:val="right"/>
              <w:rPr>
                <w:rFonts w:cs="Arial"/>
                <w:sz w:val="16"/>
                <w:szCs w:val="16"/>
              </w:rPr>
            </w:pPr>
            <w:r w:rsidRPr="00EE5D67">
              <w:rPr>
                <w:rFonts w:cs="Arial"/>
                <w:sz w:val="16"/>
                <w:szCs w:val="16"/>
              </w:rPr>
              <w:t>2,2</w:t>
            </w:r>
          </w:p>
        </w:tc>
        <w:tc>
          <w:tcPr>
            <w:tcW w:w="747" w:type="dxa"/>
            <w:tcBorders>
              <w:top w:val="nil"/>
              <w:left w:val="nil"/>
              <w:bottom w:val="nil"/>
              <w:right w:val="nil"/>
            </w:tcBorders>
            <w:shd w:val="clear" w:color="auto" w:fill="auto"/>
            <w:noWrap/>
            <w:vAlign w:val="center"/>
            <w:hideMark/>
          </w:tcPr>
          <w:p w14:paraId="59CE950F" w14:textId="77777777" w:rsidR="00EE5D67" w:rsidRPr="00EE5D67" w:rsidRDefault="00EE5D67" w:rsidP="00EE5D67">
            <w:pPr>
              <w:spacing w:after="0" w:line="240" w:lineRule="auto"/>
              <w:jc w:val="right"/>
              <w:rPr>
                <w:rFonts w:cs="Arial"/>
                <w:sz w:val="16"/>
                <w:szCs w:val="16"/>
              </w:rPr>
            </w:pPr>
            <w:r w:rsidRPr="00EE5D67">
              <w:rPr>
                <w:rFonts w:cs="Arial"/>
                <w:sz w:val="16"/>
                <w:szCs w:val="16"/>
              </w:rPr>
              <w:t>13,6</w:t>
            </w:r>
          </w:p>
        </w:tc>
        <w:tc>
          <w:tcPr>
            <w:tcW w:w="686" w:type="dxa"/>
            <w:tcBorders>
              <w:top w:val="nil"/>
              <w:left w:val="nil"/>
              <w:bottom w:val="nil"/>
              <w:right w:val="nil"/>
            </w:tcBorders>
            <w:shd w:val="clear" w:color="auto" w:fill="auto"/>
            <w:noWrap/>
            <w:vAlign w:val="center"/>
            <w:hideMark/>
          </w:tcPr>
          <w:p w14:paraId="65395470" w14:textId="77777777" w:rsidR="00EE5D67" w:rsidRPr="00EE5D67" w:rsidRDefault="00EE5D67" w:rsidP="00EE5D67">
            <w:pPr>
              <w:spacing w:after="0" w:line="240" w:lineRule="auto"/>
              <w:jc w:val="right"/>
              <w:rPr>
                <w:rFonts w:cs="Arial"/>
                <w:sz w:val="16"/>
                <w:szCs w:val="16"/>
              </w:rPr>
            </w:pPr>
            <w:r w:rsidRPr="00EE5D67">
              <w:rPr>
                <w:rFonts w:cs="Arial"/>
                <w:sz w:val="16"/>
                <w:szCs w:val="16"/>
              </w:rPr>
              <w:t>8,8</w:t>
            </w:r>
          </w:p>
        </w:tc>
        <w:tc>
          <w:tcPr>
            <w:tcW w:w="688" w:type="dxa"/>
            <w:tcBorders>
              <w:top w:val="nil"/>
              <w:left w:val="nil"/>
              <w:bottom w:val="nil"/>
              <w:right w:val="nil"/>
            </w:tcBorders>
            <w:shd w:val="clear" w:color="auto" w:fill="auto"/>
            <w:noWrap/>
            <w:vAlign w:val="center"/>
            <w:hideMark/>
          </w:tcPr>
          <w:p w14:paraId="63692D6B" w14:textId="77777777" w:rsidR="00EE5D67" w:rsidRPr="00EE5D67" w:rsidRDefault="00EE5D67" w:rsidP="00EE5D67">
            <w:pPr>
              <w:spacing w:after="0" w:line="240" w:lineRule="auto"/>
              <w:jc w:val="right"/>
              <w:rPr>
                <w:rFonts w:cs="Arial"/>
                <w:sz w:val="16"/>
                <w:szCs w:val="16"/>
              </w:rPr>
            </w:pPr>
            <w:r w:rsidRPr="00EE5D67">
              <w:rPr>
                <w:rFonts w:cs="Arial"/>
                <w:sz w:val="16"/>
                <w:szCs w:val="16"/>
              </w:rPr>
              <w:t>4,8</w:t>
            </w:r>
          </w:p>
        </w:tc>
      </w:tr>
      <w:tr w:rsidR="00EE5D67" w:rsidRPr="00EE5D67" w14:paraId="0761E587" w14:textId="77777777" w:rsidTr="00EE5D67">
        <w:trPr>
          <w:divId w:val="1275137038"/>
          <w:trHeight w:val="308"/>
        </w:trPr>
        <w:tc>
          <w:tcPr>
            <w:tcW w:w="991" w:type="dxa"/>
            <w:tcBorders>
              <w:top w:val="nil"/>
              <w:left w:val="nil"/>
              <w:bottom w:val="nil"/>
              <w:right w:val="single" w:sz="4" w:space="0" w:color="auto"/>
            </w:tcBorders>
            <w:shd w:val="clear" w:color="auto" w:fill="auto"/>
            <w:vAlign w:val="center"/>
            <w:hideMark/>
          </w:tcPr>
          <w:p w14:paraId="07DC85D1" w14:textId="77777777" w:rsidR="00EE5D67" w:rsidRPr="00EE5D67" w:rsidRDefault="00EE5D67" w:rsidP="00EE5D67">
            <w:pPr>
              <w:spacing w:after="0" w:line="240" w:lineRule="auto"/>
              <w:jc w:val="center"/>
              <w:rPr>
                <w:rFonts w:cs="Arial"/>
                <w:sz w:val="16"/>
                <w:szCs w:val="16"/>
              </w:rPr>
            </w:pPr>
            <w:r w:rsidRPr="00EE5D67">
              <w:rPr>
                <w:rFonts w:cs="Arial"/>
                <w:sz w:val="16"/>
                <w:szCs w:val="16"/>
              </w:rPr>
              <w:t>1. pol. 2011</w:t>
            </w:r>
          </w:p>
        </w:tc>
        <w:tc>
          <w:tcPr>
            <w:tcW w:w="747" w:type="dxa"/>
            <w:tcBorders>
              <w:top w:val="nil"/>
              <w:left w:val="nil"/>
              <w:bottom w:val="nil"/>
              <w:right w:val="nil"/>
            </w:tcBorders>
            <w:shd w:val="clear" w:color="auto" w:fill="auto"/>
            <w:noWrap/>
            <w:vAlign w:val="center"/>
            <w:hideMark/>
          </w:tcPr>
          <w:p w14:paraId="320646E4" w14:textId="77777777" w:rsidR="00EE5D67" w:rsidRPr="00EE5D67" w:rsidRDefault="00EE5D67" w:rsidP="00EE5D67">
            <w:pPr>
              <w:spacing w:after="0" w:line="240" w:lineRule="auto"/>
              <w:jc w:val="right"/>
              <w:rPr>
                <w:rFonts w:cs="Arial"/>
                <w:sz w:val="16"/>
                <w:szCs w:val="16"/>
              </w:rPr>
            </w:pPr>
            <w:r w:rsidRPr="00EE5D67">
              <w:rPr>
                <w:rFonts w:cs="Arial"/>
                <w:sz w:val="16"/>
                <w:szCs w:val="16"/>
              </w:rPr>
              <w:t>167,9</w:t>
            </w:r>
          </w:p>
        </w:tc>
        <w:tc>
          <w:tcPr>
            <w:tcW w:w="686" w:type="dxa"/>
            <w:tcBorders>
              <w:top w:val="nil"/>
              <w:left w:val="nil"/>
              <w:bottom w:val="nil"/>
              <w:right w:val="nil"/>
            </w:tcBorders>
            <w:shd w:val="clear" w:color="auto" w:fill="auto"/>
            <w:noWrap/>
            <w:vAlign w:val="center"/>
            <w:hideMark/>
          </w:tcPr>
          <w:p w14:paraId="35DA79DC" w14:textId="77777777" w:rsidR="00EE5D67" w:rsidRPr="00EE5D67" w:rsidRDefault="00EE5D67" w:rsidP="00EE5D67">
            <w:pPr>
              <w:spacing w:after="0" w:line="240" w:lineRule="auto"/>
              <w:jc w:val="right"/>
              <w:rPr>
                <w:rFonts w:cs="Arial"/>
                <w:sz w:val="16"/>
                <w:szCs w:val="16"/>
              </w:rPr>
            </w:pPr>
            <w:r w:rsidRPr="00EE5D67">
              <w:rPr>
                <w:rFonts w:cs="Arial"/>
                <w:sz w:val="16"/>
                <w:szCs w:val="16"/>
              </w:rPr>
              <w:t>78,8</w:t>
            </w:r>
          </w:p>
        </w:tc>
        <w:tc>
          <w:tcPr>
            <w:tcW w:w="687" w:type="dxa"/>
            <w:tcBorders>
              <w:top w:val="nil"/>
              <w:left w:val="nil"/>
              <w:bottom w:val="nil"/>
              <w:right w:val="single" w:sz="4" w:space="0" w:color="auto"/>
            </w:tcBorders>
            <w:shd w:val="clear" w:color="auto" w:fill="auto"/>
            <w:noWrap/>
            <w:vAlign w:val="center"/>
            <w:hideMark/>
          </w:tcPr>
          <w:p w14:paraId="1981CF61" w14:textId="77777777" w:rsidR="00EE5D67" w:rsidRPr="00EE5D67" w:rsidRDefault="00EE5D67" w:rsidP="00EE5D67">
            <w:pPr>
              <w:spacing w:after="0" w:line="240" w:lineRule="auto"/>
              <w:jc w:val="right"/>
              <w:rPr>
                <w:rFonts w:cs="Arial"/>
                <w:sz w:val="16"/>
                <w:szCs w:val="16"/>
              </w:rPr>
            </w:pPr>
            <w:r w:rsidRPr="00EE5D67">
              <w:rPr>
                <w:rFonts w:cs="Arial"/>
                <w:sz w:val="16"/>
                <w:szCs w:val="16"/>
              </w:rPr>
              <w:t>89,0</w:t>
            </w:r>
          </w:p>
        </w:tc>
        <w:tc>
          <w:tcPr>
            <w:tcW w:w="747" w:type="dxa"/>
            <w:tcBorders>
              <w:top w:val="nil"/>
              <w:left w:val="nil"/>
              <w:bottom w:val="nil"/>
              <w:right w:val="nil"/>
            </w:tcBorders>
            <w:shd w:val="clear" w:color="auto" w:fill="auto"/>
            <w:noWrap/>
            <w:vAlign w:val="center"/>
            <w:hideMark/>
          </w:tcPr>
          <w:p w14:paraId="23FD89A4" w14:textId="77777777" w:rsidR="00EE5D67" w:rsidRPr="00EE5D67" w:rsidRDefault="00EE5D67" w:rsidP="00EE5D67">
            <w:pPr>
              <w:spacing w:after="0" w:line="240" w:lineRule="auto"/>
              <w:jc w:val="right"/>
              <w:rPr>
                <w:rFonts w:cs="Arial"/>
                <w:sz w:val="16"/>
                <w:szCs w:val="16"/>
              </w:rPr>
            </w:pPr>
            <w:r w:rsidRPr="00EE5D67">
              <w:rPr>
                <w:rFonts w:cs="Arial"/>
                <w:sz w:val="16"/>
                <w:szCs w:val="16"/>
              </w:rPr>
              <w:t>147,8</w:t>
            </w:r>
          </w:p>
        </w:tc>
        <w:tc>
          <w:tcPr>
            <w:tcW w:w="686" w:type="dxa"/>
            <w:tcBorders>
              <w:top w:val="nil"/>
              <w:left w:val="nil"/>
              <w:bottom w:val="nil"/>
              <w:right w:val="nil"/>
            </w:tcBorders>
            <w:shd w:val="clear" w:color="auto" w:fill="auto"/>
            <w:noWrap/>
            <w:vAlign w:val="center"/>
            <w:hideMark/>
          </w:tcPr>
          <w:p w14:paraId="50962468" w14:textId="77777777" w:rsidR="00EE5D67" w:rsidRPr="00EE5D67" w:rsidRDefault="00EE5D67" w:rsidP="00EE5D67">
            <w:pPr>
              <w:spacing w:after="0" w:line="240" w:lineRule="auto"/>
              <w:jc w:val="right"/>
              <w:rPr>
                <w:rFonts w:cs="Arial"/>
                <w:sz w:val="16"/>
                <w:szCs w:val="16"/>
              </w:rPr>
            </w:pPr>
            <w:r w:rsidRPr="00EE5D67">
              <w:rPr>
                <w:rFonts w:cs="Arial"/>
                <w:sz w:val="16"/>
                <w:szCs w:val="16"/>
              </w:rPr>
              <w:t>65,4</w:t>
            </w:r>
          </w:p>
        </w:tc>
        <w:tc>
          <w:tcPr>
            <w:tcW w:w="687" w:type="dxa"/>
            <w:tcBorders>
              <w:top w:val="nil"/>
              <w:left w:val="nil"/>
              <w:bottom w:val="nil"/>
              <w:right w:val="single" w:sz="4" w:space="0" w:color="auto"/>
            </w:tcBorders>
            <w:shd w:val="clear" w:color="auto" w:fill="auto"/>
            <w:noWrap/>
            <w:vAlign w:val="center"/>
            <w:hideMark/>
          </w:tcPr>
          <w:p w14:paraId="2AFF7CBA" w14:textId="77777777" w:rsidR="00EE5D67" w:rsidRPr="00EE5D67" w:rsidRDefault="00EE5D67" w:rsidP="00EE5D67">
            <w:pPr>
              <w:spacing w:after="0" w:line="240" w:lineRule="auto"/>
              <w:jc w:val="right"/>
              <w:rPr>
                <w:rFonts w:cs="Arial"/>
                <w:sz w:val="16"/>
                <w:szCs w:val="16"/>
              </w:rPr>
            </w:pPr>
            <w:r w:rsidRPr="00EE5D67">
              <w:rPr>
                <w:rFonts w:cs="Arial"/>
                <w:sz w:val="16"/>
                <w:szCs w:val="16"/>
              </w:rPr>
              <w:t>82,4</w:t>
            </w:r>
          </w:p>
        </w:tc>
        <w:tc>
          <w:tcPr>
            <w:tcW w:w="761" w:type="dxa"/>
            <w:tcBorders>
              <w:top w:val="nil"/>
              <w:left w:val="nil"/>
              <w:bottom w:val="nil"/>
              <w:right w:val="nil"/>
            </w:tcBorders>
            <w:shd w:val="clear" w:color="auto" w:fill="auto"/>
            <w:noWrap/>
            <w:vAlign w:val="center"/>
            <w:hideMark/>
          </w:tcPr>
          <w:p w14:paraId="2660C855" w14:textId="77777777" w:rsidR="00EE5D67" w:rsidRPr="00EE5D67" w:rsidRDefault="00EE5D67" w:rsidP="00EE5D67">
            <w:pPr>
              <w:spacing w:after="0" w:line="240" w:lineRule="auto"/>
              <w:jc w:val="right"/>
              <w:rPr>
                <w:rFonts w:cs="Arial"/>
                <w:sz w:val="16"/>
                <w:szCs w:val="16"/>
              </w:rPr>
            </w:pPr>
            <w:r w:rsidRPr="00EE5D67">
              <w:rPr>
                <w:rFonts w:cs="Arial"/>
                <w:sz w:val="16"/>
                <w:szCs w:val="16"/>
              </w:rPr>
              <w:t>7,4</w:t>
            </w:r>
          </w:p>
        </w:tc>
        <w:tc>
          <w:tcPr>
            <w:tcW w:w="686" w:type="dxa"/>
            <w:tcBorders>
              <w:top w:val="nil"/>
              <w:left w:val="nil"/>
              <w:bottom w:val="nil"/>
              <w:right w:val="nil"/>
            </w:tcBorders>
            <w:shd w:val="clear" w:color="auto" w:fill="auto"/>
            <w:noWrap/>
            <w:vAlign w:val="center"/>
            <w:hideMark/>
          </w:tcPr>
          <w:p w14:paraId="69F239C5" w14:textId="77777777" w:rsidR="00EE5D67" w:rsidRPr="00EE5D67" w:rsidRDefault="00EE5D67" w:rsidP="00EE5D67">
            <w:pPr>
              <w:spacing w:after="0" w:line="240" w:lineRule="auto"/>
              <w:jc w:val="right"/>
              <w:rPr>
                <w:rFonts w:cs="Arial"/>
                <w:sz w:val="16"/>
                <w:szCs w:val="16"/>
              </w:rPr>
            </w:pPr>
            <w:r w:rsidRPr="00EE5D67">
              <w:rPr>
                <w:rFonts w:cs="Arial"/>
                <w:sz w:val="16"/>
                <w:szCs w:val="16"/>
              </w:rPr>
              <w:t>5,2</w:t>
            </w:r>
          </w:p>
        </w:tc>
        <w:tc>
          <w:tcPr>
            <w:tcW w:w="687" w:type="dxa"/>
            <w:tcBorders>
              <w:top w:val="nil"/>
              <w:left w:val="nil"/>
              <w:bottom w:val="nil"/>
              <w:right w:val="single" w:sz="4" w:space="0" w:color="auto"/>
            </w:tcBorders>
            <w:shd w:val="clear" w:color="auto" w:fill="auto"/>
            <w:noWrap/>
            <w:vAlign w:val="center"/>
            <w:hideMark/>
          </w:tcPr>
          <w:p w14:paraId="0C9F330E" w14:textId="77777777" w:rsidR="00EE5D67" w:rsidRPr="00EE5D67" w:rsidRDefault="00EE5D67" w:rsidP="00EE5D67">
            <w:pPr>
              <w:spacing w:after="0" w:line="240" w:lineRule="auto"/>
              <w:jc w:val="right"/>
              <w:rPr>
                <w:rFonts w:cs="Arial"/>
                <w:sz w:val="16"/>
                <w:szCs w:val="16"/>
              </w:rPr>
            </w:pPr>
            <w:r w:rsidRPr="00EE5D67">
              <w:rPr>
                <w:rFonts w:cs="Arial"/>
                <w:sz w:val="16"/>
                <w:szCs w:val="16"/>
              </w:rPr>
              <w:t>2,1</w:t>
            </w:r>
          </w:p>
        </w:tc>
        <w:tc>
          <w:tcPr>
            <w:tcW w:w="747" w:type="dxa"/>
            <w:tcBorders>
              <w:top w:val="nil"/>
              <w:left w:val="nil"/>
              <w:bottom w:val="nil"/>
              <w:right w:val="nil"/>
            </w:tcBorders>
            <w:shd w:val="clear" w:color="auto" w:fill="auto"/>
            <w:noWrap/>
            <w:vAlign w:val="center"/>
            <w:hideMark/>
          </w:tcPr>
          <w:p w14:paraId="5276568F" w14:textId="77777777" w:rsidR="00EE5D67" w:rsidRPr="00EE5D67" w:rsidRDefault="00EE5D67" w:rsidP="00EE5D67">
            <w:pPr>
              <w:spacing w:after="0" w:line="240" w:lineRule="auto"/>
              <w:jc w:val="right"/>
              <w:rPr>
                <w:rFonts w:cs="Arial"/>
                <w:sz w:val="16"/>
                <w:szCs w:val="16"/>
              </w:rPr>
            </w:pPr>
            <w:r w:rsidRPr="00EE5D67">
              <w:rPr>
                <w:rFonts w:cs="Arial"/>
                <w:sz w:val="16"/>
                <w:szCs w:val="16"/>
              </w:rPr>
              <w:t>12,8</w:t>
            </w:r>
          </w:p>
        </w:tc>
        <w:tc>
          <w:tcPr>
            <w:tcW w:w="686" w:type="dxa"/>
            <w:tcBorders>
              <w:top w:val="nil"/>
              <w:left w:val="nil"/>
              <w:bottom w:val="nil"/>
              <w:right w:val="nil"/>
            </w:tcBorders>
            <w:shd w:val="clear" w:color="auto" w:fill="auto"/>
            <w:noWrap/>
            <w:vAlign w:val="center"/>
            <w:hideMark/>
          </w:tcPr>
          <w:p w14:paraId="20E387D0" w14:textId="77777777" w:rsidR="00EE5D67" w:rsidRPr="00EE5D67" w:rsidRDefault="00EE5D67" w:rsidP="00EE5D67">
            <w:pPr>
              <w:spacing w:after="0" w:line="240" w:lineRule="auto"/>
              <w:jc w:val="right"/>
              <w:rPr>
                <w:rFonts w:cs="Arial"/>
                <w:sz w:val="16"/>
                <w:szCs w:val="16"/>
              </w:rPr>
            </w:pPr>
            <w:r w:rsidRPr="00EE5D67">
              <w:rPr>
                <w:rFonts w:cs="Arial"/>
                <w:sz w:val="16"/>
                <w:szCs w:val="16"/>
              </w:rPr>
              <w:t>8,2</w:t>
            </w:r>
          </w:p>
        </w:tc>
        <w:tc>
          <w:tcPr>
            <w:tcW w:w="688" w:type="dxa"/>
            <w:tcBorders>
              <w:top w:val="nil"/>
              <w:left w:val="nil"/>
              <w:bottom w:val="nil"/>
              <w:right w:val="nil"/>
            </w:tcBorders>
            <w:shd w:val="clear" w:color="auto" w:fill="auto"/>
            <w:noWrap/>
            <w:vAlign w:val="center"/>
            <w:hideMark/>
          </w:tcPr>
          <w:p w14:paraId="53DE0490" w14:textId="77777777" w:rsidR="00EE5D67" w:rsidRPr="00EE5D67" w:rsidRDefault="00EE5D67" w:rsidP="00EE5D67">
            <w:pPr>
              <w:spacing w:after="0" w:line="240" w:lineRule="auto"/>
              <w:jc w:val="right"/>
              <w:rPr>
                <w:rFonts w:cs="Arial"/>
                <w:sz w:val="16"/>
                <w:szCs w:val="16"/>
              </w:rPr>
            </w:pPr>
            <w:r w:rsidRPr="00EE5D67">
              <w:rPr>
                <w:rFonts w:cs="Arial"/>
                <w:sz w:val="16"/>
                <w:szCs w:val="16"/>
              </w:rPr>
              <w:t>4,5</w:t>
            </w:r>
          </w:p>
        </w:tc>
      </w:tr>
      <w:tr w:rsidR="00EE5D67" w:rsidRPr="00EE5D67" w14:paraId="300DE65E" w14:textId="77777777" w:rsidTr="00EE5D67">
        <w:trPr>
          <w:divId w:val="1275137038"/>
          <w:trHeight w:val="308"/>
        </w:trPr>
        <w:tc>
          <w:tcPr>
            <w:tcW w:w="991" w:type="dxa"/>
            <w:tcBorders>
              <w:top w:val="nil"/>
              <w:left w:val="nil"/>
              <w:bottom w:val="nil"/>
              <w:right w:val="single" w:sz="4" w:space="0" w:color="auto"/>
            </w:tcBorders>
            <w:shd w:val="clear" w:color="auto" w:fill="auto"/>
            <w:vAlign w:val="center"/>
            <w:hideMark/>
          </w:tcPr>
          <w:p w14:paraId="51AF1E05" w14:textId="77777777" w:rsidR="00EE5D67" w:rsidRPr="00EE5D67" w:rsidRDefault="00EE5D67" w:rsidP="00EE5D67">
            <w:pPr>
              <w:spacing w:after="0" w:line="240" w:lineRule="auto"/>
              <w:jc w:val="center"/>
              <w:rPr>
                <w:rFonts w:cs="Arial"/>
                <w:sz w:val="16"/>
                <w:szCs w:val="16"/>
              </w:rPr>
            </w:pPr>
            <w:r w:rsidRPr="00EE5D67">
              <w:rPr>
                <w:rFonts w:cs="Arial"/>
                <w:sz w:val="16"/>
                <w:szCs w:val="16"/>
              </w:rPr>
              <w:t>1. pol. 2012</w:t>
            </w:r>
          </w:p>
        </w:tc>
        <w:tc>
          <w:tcPr>
            <w:tcW w:w="747" w:type="dxa"/>
            <w:tcBorders>
              <w:top w:val="nil"/>
              <w:left w:val="nil"/>
              <w:bottom w:val="nil"/>
              <w:right w:val="nil"/>
            </w:tcBorders>
            <w:shd w:val="clear" w:color="auto" w:fill="auto"/>
            <w:noWrap/>
            <w:vAlign w:val="center"/>
            <w:hideMark/>
          </w:tcPr>
          <w:p w14:paraId="461F8593" w14:textId="77777777" w:rsidR="00EE5D67" w:rsidRPr="00EE5D67" w:rsidRDefault="00EE5D67" w:rsidP="00EE5D67">
            <w:pPr>
              <w:spacing w:after="0" w:line="240" w:lineRule="auto"/>
              <w:jc w:val="right"/>
              <w:rPr>
                <w:rFonts w:cs="Arial"/>
                <w:sz w:val="16"/>
                <w:szCs w:val="16"/>
              </w:rPr>
            </w:pPr>
            <w:r w:rsidRPr="00EE5D67">
              <w:rPr>
                <w:rFonts w:cs="Arial"/>
                <w:sz w:val="16"/>
                <w:szCs w:val="16"/>
              </w:rPr>
              <w:t>159,2</w:t>
            </w:r>
          </w:p>
        </w:tc>
        <w:tc>
          <w:tcPr>
            <w:tcW w:w="686" w:type="dxa"/>
            <w:tcBorders>
              <w:top w:val="nil"/>
              <w:left w:val="nil"/>
              <w:bottom w:val="nil"/>
              <w:right w:val="nil"/>
            </w:tcBorders>
            <w:shd w:val="clear" w:color="auto" w:fill="auto"/>
            <w:noWrap/>
            <w:vAlign w:val="center"/>
            <w:hideMark/>
          </w:tcPr>
          <w:p w14:paraId="4254377D" w14:textId="77777777" w:rsidR="00EE5D67" w:rsidRPr="00EE5D67" w:rsidRDefault="00EE5D67" w:rsidP="00EE5D67">
            <w:pPr>
              <w:spacing w:after="0" w:line="240" w:lineRule="auto"/>
              <w:jc w:val="right"/>
              <w:rPr>
                <w:rFonts w:cs="Arial"/>
                <w:sz w:val="16"/>
                <w:szCs w:val="16"/>
              </w:rPr>
            </w:pPr>
            <w:r w:rsidRPr="00EE5D67">
              <w:rPr>
                <w:rFonts w:cs="Arial"/>
                <w:sz w:val="16"/>
                <w:szCs w:val="16"/>
              </w:rPr>
              <w:t>73,7</w:t>
            </w:r>
          </w:p>
        </w:tc>
        <w:tc>
          <w:tcPr>
            <w:tcW w:w="687" w:type="dxa"/>
            <w:tcBorders>
              <w:top w:val="nil"/>
              <w:left w:val="nil"/>
              <w:bottom w:val="nil"/>
              <w:right w:val="single" w:sz="4" w:space="0" w:color="auto"/>
            </w:tcBorders>
            <w:shd w:val="clear" w:color="auto" w:fill="auto"/>
            <w:noWrap/>
            <w:vAlign w:val="center"/>
            <w:hideMark/>
          </w:tcPr>
          <w:p w14:paraId="33E17D25" w14:textId="77777777" w:rsidR="00EE5D67" w:rsidRPr="00EE5D67" w:rsidRDefault="00EE5D67" w:rsidP="00EE5D67">
            <w:pPr>
              <w:spacing w:after="0" w:line="240" w:lineRule="auto"/>
              <w:jc w:val="right"/>
              <w:rPr>
                <w:rFonts w:cs="Arial"/>
                <w:sz w:val="16"/>
                <w:szCs w:val="16"/>
              </w:rPr>
            </w:pPr>
            <w:r w:rsidRPr="00EE5D67">
              <w:rPr>
                <w:rFonts w:cs="Arial"/>
                <w:sz w:val="16"/>
                <w:szCs w:val="16"/>
              </w:rPr>
              <w:t>85,5</w:t>
            </w:r>
          </w:p>
        </w:tc>
        <w:tc>
          <w:tcPr>
            <w:tcW w:w="747" w:type="dxa"/>
            <w:tcBorders>
              <w:top w:val="nil"/>
              <w:left w:val="nil"/>
              <w:bottom w:val="nil"/>
              <w:right w:val="nil"/>
            </w:tcBorders>
            <w:shd w:val="clear" w:color="auto" w:fill="auto"/>
            <w:noWrap/>
            <w:vAlign w:val="center"/>
            <w:hideMark/>
          </w:tcPr>
          <w:p w14:paraId="6C8AB9E6" w14:textId="77777777" w:rsidR="00EE5D67" w:rsidRPr="00EE5D67" w:rsidRDefault="00EE5D67" w:rsidP="00EE5D67">
            <w:pPr>
              <w:spacing w:after="0" w:line="240" w:lineRule="auto"/>
              <w:jc w:val="right"/>
              <w:rPr>
                <w:rFonts w:cs="Arial"/>
                <w:sz w:val="16"/>
                <w:szCs w:val="16"/>
              </w:rPr>
            </w:pPr>
            <w:r w:rsidRPr="00EE5D67">
              <w:rPr>
                <w:rFonts w:cs="Arial"/>
                <w:sz w:val="16"/>
                <w:szCs w:val="16"/>
              </w:rPr>
              <w:t>135,6</w:t>
            </w:r>
          </w:p>
        </w:tc>
        <w:tc>
          <w:tcPr>
            <w:tcW w:w="686" w:type="dxa"/>
            <w:tcBorders>
              <w:top w:val="nil"/>
              <w:left w:val="nil"/>
              <w:bottom w:val="nil"/>
              <w:right w:val="nil"/>
            </w:tcBorders>
            <w:shd w:val="clear" w:color="auto" w:fill="auto"/>
            <w:noWrap/>
            <w:vAlign w:val="center"/>
            <w:hideMark/>
          </w:tcPr>
          <w:p w14:paraId="210A9502" w14:textId="77777777" w:rsidR="00EE5D67" w:rsidRPr="00EE5D67" w:rsidRDefault="00EE5D67" w:rsidP="00EE5D67">
            <w:pPr>
              <w:spacing w:after="0" w:line="240" w:lineRule="auto"/>
              <w:jc w:val="right"/>
              <w:rPr>
                <w:rFonts w:cs="Arial"/>
                <w:sz w:val="16"/>
                <w:szCs w:val="16"/>
              </w:rPr>
            </w:pPr>
            <w:r w:rsidRPr="00EE5D67">
              <w:rPr>
                <w:rFonts w:cs="Arial"/>
                <w:sz w:val="16"/>
                <w:szCs w:val="16"/>
              </w:rPr>
              <w:t>58,2</w:t>
            </w:r>
          </w:p>
        </w:tc>
        <w:tc>
          <w:tcPr>
            <w:tcW w:w="687" w:type="dxa"/>
            <w:tcBorders>
              <w:top w:val="nil"/>
              <w:left w:val="nil"/>
              <w:bottom w:val="nil"/>
              <w:right w:val="single" w:sz="4" w:space="0" w:color="auto"/>
            </w:tcBorders>
            <w:shd w:val="clear" w:color="auto" w:fill="auto"/>
            <w:noWrap/>
            <w:vAlign w:val="center"/>
            <w:hideMark/>
          </w:tcPr>
          <w:p w14:paraId="2E03294C" w14:textId="77777777" w:rsidR="00EE5D67" w:rsidRPr="00EE5D67" w:rsidRDefault="00EE5D67" w:rsidP="00EE5D67">
            <w:pPr>
              <w:spacing w:after="0" w:line="240" w:lineRule="auto"/>
              <w:jc w:val="right"/>
              <w:rPr>
                <w:rFonts w:cs="Arial"/>
                <w:sz w:val="16"/>
                <w:szCs w:val="16"/>
              </w:rPr>
            </w:pPr>
            <w:r w:rsidRPr="00EE5D67">
              <w:rPr>
                <w:rFonts w:cs="Arial"/>
                <w:sz w:val="16"/>
                <w:szCs w:val="16"/>
              </w:rPr>
              <w:t>77,3</w:t>
            </w:r>
          </w:p>
        </w:tc>
        <w:tc>
          <w:tcPr>
            <w:tcW w:w="761" w:type="dxa"/>
            <w:tcBorders>
              <w:top w:val="nil"/>
              <w:left w:val="nil"/>
              <w:bottom w:val="nil"/>
              <w:right w:val="nil"/>
            </w:tcBorders>
            <w:shd w:val="clear" w:color="auto" w:fill="auto"/>
            <w:noWrap/>
            <w:vAlign w:val="center"/>
            <w:hideMark/>
          </w:tcPr>
          <w:p w14:paraId="4A540B98" w14:textId="77777777" w:rsidR="00EE5D67" w:rsidRPr="00EE5D67" w:rsidRDefault="00EE5D67" w:rsidP="00EE5D67">
            <w:pPr>
              <w:spacing w:after="0" w:line="240" w:lineRule="auto"/>
              <w:jc w:val="right"/>
              <w:rPr>
                <w:rFonts w:cs="Arial"/>
                <w:sz w:val="16"/>
                <w:szCs w:val="16"/>
              </w:rPr>
            </w:pPr>
            <w:r w:rsidRPr="00EE5D67">
              <w:rPr>
                <w:rFonts w:cs="Arial"/>
                <w:sz w:val="16"/>
                <w:szCs w:val="16"/>
              </w:rPr>
              <w:t>6,9</w:t>
            </w:r>
          </w:p>
        </w:tc>
        <w:tc>
          <w:tcPr>
            <w:tcW w:w="686" w:type="dxa"/>
            <w:tcBorders>
              <w:top w:val="nil"/>
              <w:left w:val="nil"/>
              <w:bottom w:val="nil"/>
              <w:right w:val="nil"/>
            </w:tcBorders>
            <w:shd w:val="clear" w:color="auto" w:fill="auto"/>
            <w:noWrap/>
            <w:vAlign w:val="center"/>
            <w:hideMark/>
          </w:tcPr>
          <w:p w14:paraId="154DAEE6" w14:textId="77777777" w:rsidR="00EE5D67" w:rsidRPr="00EE5D67" w:rsidRDefault="00EE5D67" w:rsidP="00EE5D67">
            <w:pPr>
              <w:spacing w:after="0" w:line="240" w:lineRule="auto"/>
              <w:jc w:val="right"/>
              <w:rPr>
                <w:rFonts w:cs="Arial"/>
                <w:sz w:val="16"/>
                <w:szCs w:val="16"/>
              </w:rPr>
            </w:pPr>
            <w:r w:rsidRPr="00EE5D67">
              <w:rPr>
                <w:rFonts w:cs="Arial"/>
                <w:sz w:val="16"/>
                <w:szCs w:val="16"/>
              </w:rPr>
              <w:t>4,9</w:t>
            </w:r>
          </w:p>
        </w:tc>
        <w:tc>
          <w:tcPr>
            <w:tcW w:w="687" w:type="dxa"/>
            <w:tcBorders>
              <w:top w:val="nil"/>
              <w:left w:val="nil"/>
              <w:bottom w:val="nil"/>
              <w:right w:val="single" w:sz="4" w:space="0" w:color="auto"/>
            </w:tcBorders>
            <w:shd w:val="clear" w:color="auto" w:fill="auto"/>
            <w:noWrap/>
            <w:vAlign w:val="center"/>
            <w:hideMark/>
          </w:tcPr>
          <w:p w14:paraId="603B5783" w14:textId="77777777" w:rsidR="00EE5D67" w:rsidRPr="00EE5D67" w:rsidRDefault="00EE5D67" w:rsidP="00EE5D67">
            <w:pPr>
              <w:spacing w:after="0" w:line="240" w:lineRule="auto"/>
              <w:jc w:val="right"/>
              <w:rPr>
                <w:rFonts w:cs="Arial"/>
                <w:sz w:val="16"/>
                <w:szCs w:val="16"/>
              </w:rPr>
            </w:pPr>
            <w:r w:rsidRPr="00EE5D67">
              <w:rPr>
                <w:rFonts w:cs="Arial"/>
                <w:sz w:val="16"/>
                <w:szCs w:val="16"/>
              </w:rPr>
              <w:t>2,0</w:t>
            </w:r>
          </w:p>
        </w:tc>
        <w:tc>
          <w:tcPr>
            <w:tcW w:w="747" w:type="dxa"/>
            <w:tcBorders>
              <w:top w:val="nil"/>
              <w:left w:val="nil"/>
              <w:bottom w:val="nil"/>
              <w:right w:val="nil"/>
            </w:tcBorders>
            <w:shd w:val="clear" w:color="auto" w:fill="auto"/>
            <w:noWrap/>
            <w:vAlign w:val="center"/>
            <w:hideMark/>
          </w:tcPr>
          <w:p w14:paraId="5F993200" w14:textId="77777777" w:rsidR="00EE5D67" w:rsidRPr="00EE5D67" w:rsidRDefault="00EE5D67" w:rsidP="00EE5D67">
            <w:pPr>
              <w:spacing w:after="0" w:line="240" w:lineRule="auto"/>
              <w:jc w:val="right"/>
              <w:rPr>
                <w:rFonts w:cs="Arial"/>
                <w:sz w:val="16"/>
                <w:szCs w:val="16"/>
              </w:rPr>
            </w:pPr>
            <w:r w:rsidRPr="00EE5D67">
              <w:rPr>
                <w:rFonts w:cs="Arial"/>
                <w:sz w:val="16"/>
                <w:szCs w:val="16"/>
              </w:rPr>
              <w:t>16,7</w:t>
            </w:r>
          </w:p>
        </w:tc>
        <w:tc>
          <w:tcPr>
            <w:tcW w:w="686" w:type="dxa"/>
            <w:tcBorders>
              <w:top w:val="nil"/>
              <w:left w:val="nil"/>
              <w:bottom w:val="nil"/>
              <w:right w:val="nil"/>
            </w:tcBorders>
            <w:shd w:val="clear" w:color="auto" w:fill="auto"/>
            <w:noWrap/>
            <w:vAlign w:val="center"/>
            <w:hideMark/>
          </w:tcPr>
          <w:p w14:paraId="13201C0B" w14:textId="77777777" w:rsidR="00EE5D67" w:rsidRPr="00EE5D67" w:rsidRDefault="00EE5D67" w:rsidP="00EE5D67">
            <w:pPr>
              <w:spacing w:after="0" w:line="240" w:lineRule="auto"/>
              <w:jc w:val="right"/>
              <w:rPr>
                <w:rFonts w:cs="Arial"/>
                <w:sz w:val="16"/>
                <w:szCs w:val="16"/>
              </w:rPr>
            </w:pPr>
            <w:r w:rsidRPr="00EE5D67">
              <w:rPr>
                <w:rFonts w:cs="Arial"/>
                <w:sz w:val="16"/>
                <w:szCs w:val="16"/>
              </w:rPr>
              <w:t>9,7</w:t>
            </w:r>
          </w:p>
        </w:tc>
        <w:tc>
          <w:tcPr>
            <w:tcW w:w="688" w:type="dxa"/>
            <w:tcBorders>
              <w:top w:val="nil"/>
              <w:left w:val="nil"/>
              <w:bottom w:val="nil"/>
              <w:right w:val="nil"/>
            </w:tcBorders>
            <w:shd w:val="clear" w:color="auto" w:fill="auto"/>
            <w:noWrap/>
            <w:vAlign w:val="center"/>
            <w:hideMark/>
          </w:tcPr>
          <w:p w14:paraId="51E09701" w14:textId="77777777" w:rsidR="00EE5D67" w:rsidRPr="00EE5D67" w:rsidRDefault="00EE5D67" w:rsidP="00EE5D67">
            <w:pPr>
              <w:spacing w:after="0" w:line="240" w:lineRule="auto"/>
              <w:jc w:val="right"/>
              <w:rPr>
                <w:rFonts w:cs="Arial"/>
                <w:sz w:val="16"/>
                <w:szCs w:val="16"/>
              </w:rPr>
            </w:pPr>
            <w:r w:rsidRPr="00EE5D67">
              <w:rPr>
                <w:rFonts w:cs="Arial"/>
                <w:sz w:val="16"/>
                <w:szCs w:val="16"/>
              </w:rPr>
              <w:t>7,1</w:t>
            </w:r>
          </w:p>
        </w:tc>
      </w:tr>
      <w:tr w:rsidR="00EE5D67" w:rsidRPr="00EE5D67" w14:paraId="39B38985" w14:textId="77777777" w:rsidTr="00EE5D67">
        <w:trPr>
          <w:divId w:val="1275137038"/>
          <w:trHeight w:val="308"/>
        </w:trPr>
        <w:tc>
          <w:tcPr>
            <w:tcW w:w="991" w:type="dxa"/>
            <w:tcBorders>
              <w:top w:val="nil"/>
              <w:left w:val="nil"/>
              <w:bottom w:val="nil"/>
              <w:right w:val="single" w:sz="4" w:space="0" w:color="auto"/>
            </w:tcBorders>
            <w:shd w:val="clear" w:color="auto" w:fill="auto"/>
            <w:vAlign w:val="center"/>
            <w:hideMark/>
          </w:tcPr>
          <w:p w14:paraId="204B784C" w14:textId="77777777" w:rsidR="00EE5D67" w:rsidRPr="00EE5D67" w:rsidRDefault="00EE5D67" w:rsidP="00EE5D67">
            <w:pPr>
              <w:spacing w:after="0" w:line="240" w:lineRule="auto"/>
              <w:jc w:val="center"/>
              <w:rPr>
                <w:rFonts w:cs="Arial"/>
                <w:sz w:val="16"/>
                <w:szCs w:val="16"/>
              </w:rPr>
            </w:pPr>
            <w:r w:rsidRPr="00EE5D67">
              <w:rPr>
                <w:rFonts w:cs="Arial"/>
                <w:sz w:val="16"/>
                <w:szCs w:val="16"/>
              </w:rPr>
              <w:t>1. pol. 2013</w:t>
            </w:r>
          </w:p>
        </w:tc>
        <w:tc>
          <w:tcPr>
            <w:tcW w:w="747" w:type="dxa"/>
            <w:tcBorders>
              <w:top w:val="nil"/>
              <w:left w:val="nil"/>
              <w:bottom w:val="nil"/>
              <w:right w:val="nil"/>
            </w:tcBorders>
            <w:shd w:val="clear" w:color="auto" w:fill="auto"/>
            <w:noWrap/>
            <w:vAlign w:val="center"/>
            <w:hideMark/>
          </w:tcPr>
          <w:p w14:paraId="0A52AE6A" w14:textId="77777777" w:rsidR="00EE5D67" w:rsidRPr="00EE5D67" w:rsidRDefault="00EE5D67" w:rsidP="00EE5D67">
            <w:pPr>
              <w:spacing w:after="0" w:line="240" w:lineRule="auto"/>
              <w:jc w:val="right"/>
              <w:rPr>
                <w:rFonts w:cs="Arial"/>
                <w:sz w:val="16"/>
                <w:szCs w:val="16"/>
              </w:rPr>
            </w:pPr>
            <w:r w:rsidRPr="00EE5D67">
              <w:rPr>
                <w:rFonts w:cs="Arial"/>
                <w:sz w:val="16"/>
                <w:szCs w:val="16"/>
              </w:rPr>
              <w:t>176,1</w:t>
            </w:r>
          </w:p>
        </w:tc>
        <w:tc>
          <w:tcPr>
            <w:tcW w:w="686" w:type="dxa"/>
            <w:tcBorders>
              <w:top w:val="nil"/>
              <w:left w:val="nil"/>
              <w:bottom w:val="nil"/>
              <w:right w:val="nil"/>
            </w:tcBorders>
            <w:shd w:val="clear" w:color="auto" w:fill="auto"/>
            <w:noWrap/>
            <w:vAlign w:val="center"/>
            <w:hideMark/>
          </w:tcPr>
          <w:p w14:paraId="20F9D1D5" w14:textId="77777777" w:rsidR="00EE5D67" w:rsidRPr="00EE5D67" w:rsidRDefault="00EE5D67" w:rsidP="00EE5D67">
            <w:pPr>
              <w:spacing w:after="0" w:line="240" w:lineRule="auto"/>
              <w:jc w:val="right"/>
              <w:rPr>
                <w:rFonts w:cs="Arial"/>
                <w:sz w:val="16"/>
                <w:szCs w:val="16"/>
              </w:rPr>
            </w:pPr>
            <w:r w:rsidRPr="00EE5D67">
              <w:rPr>
                <w:rFonts w:cs="Arial"/>
                <w:sz w:val="16"/>
                <w:szCs w:val="16"/>
              </w:rPr>
              <w:t>81,6</w:t>
            </w:r>
          </w:p>
        </w:tc>
        <w:tc>
          <w:tcPr>
            <w:tcW w:w="687" w:type="dxa"/>
            <w:tcBorders>
              <w:top w:val="nil"/>
              <w:left w:val="nil"/>
              <w:bottom w:val="nil"/>
              <w:right w:val="single" w:sz="4" w:space="0" w:color="auto"/>
            </w:tcBorders>
            <w:shd w:val="clear" w:color="auto" w:fill="auto"/>
            <w:noWrap/>
            <w:vAlign w:val="center"/>
            <w:hideMark/>
          </w:tcPr>
          <w:p w14:paraId="2AF38A22" w14:textId="77777777" w:rsidR="00EE5D67" w:rsidRPr="00EE5D67" w:rsidRDefault="00EE5D67" w:rsidP="00EE5D67">
            <w:pPr>
              <w:spacing w:after="0" w:line="240" w:lineRule="auto"/>
              <w:jc w:val="right"/>
              <w:rPr>
                <w:rFonts w:cs="Arial"/>
                <w:sz w:val="16"/>
                <w:szCs w:val="16"/>
              </w:rPr>
            </w:pPr>
            <w:r w:rsidRPr="00EE5D67">
              <w:rPr>
                <w:rFonts w:cs="Arial"/>
                <w:sz w:val="16"/>
                <w:szCs w:val="16"/>
              </w:rPr>
              <w:t>94,5</w:t>
            </w:r>
          </w:p>
        </w:tc>
        <w:tc>
          <w:tcPr>
            <w:tcW w:w="747" w:type="dxa"/>
            <w:tcBorders>
              <w:top w:val="nil"/>
              <w:left w:val="nil"/>
              <w:bottom w:val="nil"/>
              <w:right w:val="nil"/>
            </w:tcBorders>
            <w:shd w:val="clear" w:color="auto" w:fill="auto"/>
            <w:noWrap/>
            <w:vAlign w:val="center"/>
            <w:hideMark/>
          </w:tcPr>
          <w:p w14:paraId="5C070534" w14:textId="77777777" w:rsidR="00EE5D67" w:rsidRPr="00EE5D67" w:rsidRDefault="00EE5D67" w:rsidP="00EE5D67">
            <w:pPr>
              <w:spacing w:after="0" w:line="240" w:lineRule="auto"/>
              <w:jc w:val="right"/>
              <w:rPr>
                <w:rFonts w:cs="Arial"/>
                <w:sz w:val="16"/>
                <w:szCs w:val="16"/>
              </w:rPr>
            </w:pPr>
            <w:r w:rsidRPr="00EE5D67">
              <w:rPr>
                <w:rFonts w:cs="Arial"/>
                <w:sz w:val="16"/>
                <w:szCs w:val="16"/>
              </w:rPr>
              <w:t>150,6</w:t>
            </w:r>
          </w:p>
        </w:tc>
        <w:tc>
          <w:tcPr>
            <w:tcW w:w="686" w:type="dxa"/>
            <w:tcBorders>
              <w:top w:val="nil"/>
              <w:left w:val="nil"/>
              <w:bottom w:val="nil"/>
              <w:right w:val="nil"/>
            </w:tcBorders>
            <w:shd w:val="clear" w:color="auto" w:fill="auto"/>
            <w:noWrap/>
            <w:vAlign w:val="center"/>
            <w:hideMark/>
          </w:tcPr>
          <w:p w14:paraId="145F8757" w14:textId="77777777" w:rsidR="00EE5D67" w:rsidRPr="00EE5D67" w:rsidRDefault="00EE5D67" w:rsidP="00EE5D67">
            <w:pPr>
              <w:spacing w:after="0" w:line="240" w:lineRule="auto"/>
              <w:jc w:val="right"/>
              <w:rPr>
                <w:rFonts w:cs="Arial"/>
                <w:sz w:val="16"/>
                <w:szCs w:val="16"/>
              </w:rPr>
            </w:pPr>
            <w:r w:rsidRPr="00EE5D67">
              <w:rPr>
                <w:rFonts w:cs="Arial"/>
                <w:sz w:val="16"/>
                <w:szCs w:val="16"/>
              </w:rPr>
              <w:t>65,2</w:t>
            </w:r>
          </w:p>
        </w:tc>
        <w:tc>
          <w:tcPr>
            <w:tcW w:w="687" w:type="dxa"/>
            <w:tcBorders>
              <w:top w:val="nil"/>
              <w:left w:val="nil"/>
              <w:bottom w:val="nil"/>
              <w:right w:val="single" w:sz="4" w:space="0" w:color="auto"/>
            </w:tcBorders>
            <w:shd w:val="clear" w:color="auto" w:fill="auto"/>
            <w:noWrap/>
            <w:vAlign w:val="center"/>
            <w:hideMark/>
          </w:tcPr>
          <w:p w14:paraId="2FD7DA37" w14:textId="77777777" w:rsidR="00EE5D67" w:rsidRPr="00EE5D67" w:rsidRDefault="00EE5D67" w:rsidP="00EE5D67">
            <w:pPr>
              <w:spacing w:after="0" w:line="240" w:lineRule="auto"/>
              <w:jc w:val="right"/>
              <w:rPr>
                <w:rFonts w:cs="Arial"/>
                <w:sz w:val="16"/>
                <w:szCs w:val="16"/>
              </w:rPr>
            </w:pPr>
            <w:r w:rsidRPr="00EE5D67">
              <w:rPr>
                <w:rFonts w:cs="Arial"/>
                <w:sz w:val="16"/>
                <w:szCs w:val="16"/>
              </w:rPr>
              <w:t>85,3</w:t>
            </w:r>
          </w:p>
        </w:tc>
        <w:tc>
          <w:tcPr>
            <w:tcW w:w="761" w:type="dxa"/>
            <w:tcBorders>
              <w:top w:val="nil"/>
              <w:left w:val="nil"/>
              <w:bottom w:val="nil"/>
              <w:right w:val="nil"/>
            </w:tcBorders>
            <w:shd w:val="clear" w:color="auto" w:fill="auto"/>
            <w:noWrap/>
            <w:vAlign w:val="center"/>
            <w:hideMark/>
          </w:tcPr>
          <w:p w14:paraId="06DB4002" w14:textId="77777777" w:rsidR="00EE5D67" w:rsidRPr="00EE5D67" w:rsidRDefault="00EE5D67" w:rsidP="00EE5D67">
            <w:pPr>
              <w:spacing w:after="0" w:line="240" w:lineRule="auto"/>
              <w:jc w:val="right"/>
              <w:rPr>
                <w:rFonts w:cs="Arial"/>
                <w:sz w:val="16"/>
                <w:szCs w:val="16"/>
              </w:rPr>
            </w:pPr>
            <w:r w:rsidRPr="00EE5D67">
              <w:rPr>
                <w:rFonts w:cs="Arial"/>
                <w:sz w:val="16"/>
                <w:szCs w:val="16"/>
              </w:rPr>
              <w:t>6,8</w:t>
            </w:r>
          </w:p>
        </w:tc>
        <w:tc>
          <w:tcPr>
            <w:tcW w:w="686" w:type="dxa"/>
            <w:tcBorders>
              <w:top w:val="nil"/>
              <w:left w:val="nil"/>
              <w:bottom w:val="nil"/>
              <w:right w:val="nil"/>
            </w:tcBorders>
            <w:shd w:val="clear" w:color="auto" w:fill="auto"/>
            <w:noWrap/>
            <w:vAlign w:val="center"/>
            <w:hideMark/>
          </w:tcPr>
          <w:p w14:paraId="24333FE8" w14:textId="77777777" w:rsidR="00EE5D67" w:rsidRPr="00EE5D67" w:rsidRDefault="00EE5D67" w:rsidP="00EE5D67">
            <w:pPr>
              <w:spacing w:after="0" w:line="240" w:lineRule="auto"/>
              <w:jc w:val="right"/>
              <w:rPr>
                <w:rFonts w:cs="Arial"/>
                <w:sz w:val="16"/>
                <w:szCs w:val="16"/>
              </w:rPr>
            </w:pPr>
            <w:r w:rsidRPr="00EE5D67">
              <w:rPr>
                <w:rFonts w:cs="Arial"/>
                <w:sz w:val="16"/>
                <w:szCs w:val="16"/>
              </w:rPr>
              <w:t>4,8</w:t>
            </w:r>
          </w:p>
        </w:tc>
        <w:tc>
          <w:tcPr>
            <w:tcW w:w="687" w:type="dxa"/>
            <w:tcBorders>
              <w:top w:val="nil"/>
              <w:left w:val="nil"/>
              <w:bottom w:val="nil"/>
              <w:right w:val="single" w:sz="4" w:space="0" w:color="auto"/>
            </w:tcBorders>
            <w:shd w:val="clear" w:color="auto" w:fill="auto"/>
            <w:noWrap/>
            <w:vAlign w:val="center"/>
            <w:hideMark/>
          </w:tcPr>
          <w:p w14:paraId="5D275D14" w14:textId="77777777" w:rsidR="00EE5D67" w:rsidRPr="00EE5D67" w:rsidRDefault="00EE5D67" w:rsidP="00EE5D67">
            <w:pPr>
              <w:spacing w:after="0" w:line="240" w:lineRule="auto"/>
              <w:jc w:val="right"/>
              <w:rPr>
                <w:rFonts w:cs="Arial"/>
                <w:sz w:val="16"/>
                <w:szCs w:val="16"/>
              </w:rPr>
            </w:pPr>
            <w:r w:rsidRPr="00EE5D67">
              <w:rPr>
                <w:rFonts w:cs="Arial"/>
                <w:sz w:val="16"/>
                <w:szCs w:val="16"/>
              </w:rPr>
              <w:t>2,1</w:t>
            </w:r>
          </w:p>
        </w:tc>
        <w:tc>
          <w:tcPr>
            <w:tcW w:w="747" w:type="dxa"/>
            <w:tcBorders>
              <w:top w:val="nil"/>
              <w:left w:val="nil"/>
              <w:bottom w:val="nil"/>
              <w:right w:val="nil"/>
            </w:tcBorders>
            <w:shd w:val="clear" w:color="auto" w:fill="auto"/>
            <w:noWrap/>
            <w:vAlign w:val="center"/>
            <w:hideMark/>
          </w:tcPr>
          <w:p w14:paraId="4A2AB224" w14:textId="77777777" w:rsidR="00EE5D67" w:rsidRPr="00EE5D67" w:rsidRDefault="00EE5D67" w:rsidP="00EE5D67">
            <w:pPr>
              <w:spacing w:after="0" w:line="240" w:lineRule="auto"/>
              <w:jc w:val="right"/>
              <w:rPr>
                <w:rFonts w:cs="Arial"/>
                <w:sz w:val="16"/>
                <w:szCs w:val="16"/>
              </w:rPr>
            </w:pPr>
            <w:r w:rsidRPr="00EE5D67">
              <w:rPr>
                <w:rFonts w:cs="Arial"/>
                <w:sz w:val="16"/>
                <w:szCs w:val="16"/>
              </w:rPr>
              <w:t>18,7</w:t>
            </w:r>
          </w:p>
        </w:tc>
        <w:tc>
          <w:tcPr>
            <w:tcW w:w="686" w:type="dxa"/>
            <w:tcBorders>
              <w:top w:val="nil"/>
              <w:left w:val="nil"/>
              <w:bottom w:val="nil"/>
              <w:right w:val="nil"/>
            </w:tcBorders>
            <w:shd w:val="clear" w:color="auto" w:fill="auto"/>
            <w:noWrap/>
            <w:vAlign w:val="center"/>
            <w:hideMark/>
          </w:tcPr>
          <w:p w14:paraId="6300DBCE" w14:textId="77777777" w:rsidR="00EE5D67" w:rsidRPr="00EE5D67" w:rsidRDefault="00EE5D67" w:rsidP="00EE5D67">
            <w:pPr>
              <w:spacing w:after="0" w:line="240" w:lineRule="auto"/>
              <w:jc w:val="right"/>
              <w:rPr>
                <w:rFonts w:cs="Arial"/>
                <w:sz w:val="16"/>
                <w:szCs w:val="16"/>
              </w:rPr>
            </w:pPr>
            <w:r w:rsidRPr="00EE5D67">
              <w:rPr>
                <w:rFonts w:cs="Arial"/>
                <w:sz w:val="16"/>
                <w:szCs w:val="16"/>
              </w:rPr>
              <w:t>11,6</w:t>
            </w:r>
          </w:p>
        </w:tc>
        <w:tc>
          <w:tcPr>
            <w:tcW w:w="688" w:type="dxa"/>
            <w:tcBorders>
              <w:top w:val="nil"/>
              <w:left w:val="nil"/>
              <w:bottom w:val="nil"/>
              <w:right w:val="nil"/>
            </w:tcBorders>
            <w:shd w:val="clear" w:color="auto" w:fill="auto"/>
            <w:noWrap/>
            <w:vAlign w:val="center"/>
            <w:hideMark/>
          </w:tcPr>
          <w:p w14:paraId="32FD47AD" w14:textId="77777777" w:rsidR="00EE5D67" w:rsidRPr="00EE5D67" w:rsidRDefault="00EE5D67" w:rsidP="00EE5D67">
            <w:pPr>
              <w:spacing w:after="0" w:line="240" w:lineRule="auto"/>
              <w:jc w:val="right"/>
              <w:rPr>
                <w:rFonts w:cs="Arial"/>
                <w:sz w:val="16"/>
                <w:szCs w:val="16"/>
              </w:rPr>
            </w:pPr>
            <w:r w:rsidRPr="00EE5D67">
              <w:rPr>
                <w:rFonts w:cs="Arial"/>
                <w:sz w:val="16"/>
                <w:szCs w:val="16"/>
              </w:rPr>
              <w:t>7,1</w:t>
            </w:r>
          </w:p>
        </w:tc>
      </w:tr>
      <w:tr w:rsidR="00EE5D67" w:rsidRPr="00EE5D67" w14:paraId="28101A93" w14:textId="77777777" w:rsidTr="00EE5D67">
        <w:trPr>
          <w:divId w:val="1275137038"/>
          <w:trHeight w:val="308"/>
        </w:trPr>
        <w:tc>
          <w:tcPr>
            <w:tcW w:w="991" w:type="dxa"/>
            <w:tcBorders>
              <w:top w:val="nil"/>
              <w:left w:val="nil"/>
              <w:bottom w:val="nil"/>
              <w:right w:val="single" w:sz="4" w:space="0" w:color="auto"/>
            </w:tcBorders>
            <w:shd w:val="clear" w:color="auto" w:fill="auto"/>
            <w:vAlign w:val="center"/>
            <w:hideMark/>
          </w:tcPr>
          <w:p w14:paraId="37AF8CB5" w14:textId="77777777" w:rsidR="00EE5D67" w:rsidRPr="00EE5D67" w:rsidRDefault="00EE5D67" w:rsidP="00EE5D67">
            <w:pPr>
              <w:spacing w:after="0" w:line="240" w:lineRule="auto"/>
              <w:jc w:val="center"/>
              <w:rPr>
                <w:rFonts w:cs="Arial"/>
                <w:sz w:val="16"/>
                <w:szCs w:val="16"/>
              </w:rPr>
            </w:pPr>
            <w:r w:rsidRPr="00EE5D67">
              <w:rPr>
                <w:rFonts w:cs="Arial"/>
                <w:sz w:val="16"/>
                <w:szCs w:val="16"/>
              </w:rPr>
              <w:t>1. pol. 2014</w:t>
            </w:r>
          </w:p>
        </w:tc>
        <w:tc>
          <w:tcPr>
            <w:tcW w:w="747" w:type="dxa"/>
            <w:tcBorders>
              <w:top w:val="nil"/>
              <w:left w:val="nil"/>
              <w:bottom w:val="nil"/>
              <w:right w:val="nil"/>
            </w:tcBorders>
            <w:shd w:val="clear" w:color="auto" w:fill="auto"/>
            <w:noWrap/>
            <w:vAlign w:val="center"/>
            <w:hideMark/>
          </w:tcPr>
          <w:p w14:paraId="64B5C9FA" w14:textId="77777777" w:rsidR="00EE5D67" w:rsidRPr="00EE5D67" w:rsidRDefault="00EE5D67" w:rsidP="00EE5D67">
            <w:pPr>
              <w:spacing w:after="0" w:line="240" w:lineRule="auto"/>
              <w:jc w:val="right"/>
              <w:rPr>
                <w:rFonts w:cs="Arial"/>
                <w:sz w:val="16"/>
                <w:szCs w:val="16"/>
              </w:rPr>
            </w:pPr>
            <w:r w:rsidRPr="00EE5D67">
              <w:rPr>
                <w:rFonts w:cs="Arial"/>
                <w:sz w:val="16"/>
                <w:szCs w:val="16"/>
              </w:rPr>
              <w:t>168,6</w:t>
            </w:r>
          </w:p>
        </w:tc>
        <w:tc>
          <w:tcPr>
            <w:tcW w:w="686" w:type="dxa"/>
            <w:tcBorders>
              <w:top w:val="nil"/>
              <w:left w:val="nil"/>
              <w:bottom w:val="nil"/>
              <w:right w:val="nil"/>
            </w:tcBorders>
            <w:shd w:val="clear" w:color="auto" w:fill="auto"/>
            <w:noWrap/>
            <w:vAlign w:val="center"/>
            <w:hideMark/>
          </w:tcPr>
          <w:p w14:paraId="2D126DF0" w14:textId="77777777" w:rsidR="00EE5D67" w:rsidRPr="00EE5D67" w:rsidRDefault="00EE5D67" w:rsidP="00EE5D67">
            <w:pPr>
              <w:spacing w:after="0" w:line="240" w:lineRule="auto"/>
              <w:jc w:val="right"/>
              <w:rPr>
                <w:rFonts w:cs="Arial"/>
                <w:sz w:val="16"/>
                <w:szCs w:val="16"/>
              </w:rPr>
            </w:pPr>
            <w:r w:rsidRPr="00EE5D67">
              <w:rPr>
                <w:rFonts w:cs="Arial"/>
                <w:sz w:val="16"/>
                <w:szCs w:val="16"/>
              </w:rPr>
              <w:t>76,8</w:t>
            </w:r>
          </w:p>
        </w:tc>
        <w:tc>
          <w:tcPr>
            <w:tcW w:w="687" w:type="dxa"/>
            <w:tcBorders>
              <w:top w:val="nil"/>
              <w:left w:val="nil"/>
              <w:bottom w:val="nil"/>
              <w:right w:val="single" w:sz="4" w:space="0" w:color="auto"/>
            </w:tcBorders>
            <w:shd w:val="clear" w:color="auto" w:fill="auto"/>
            <w:noWrap/>
            <w:vAlign w:val="center"/>
            <w:hideMark/>
          </w:tcPr>
          <w:p w14:paraId="37105C2A" w14:textId="77777777" w:rsidR="00EE5D67" w:rsidRPr="00EE5D67" w:rsidRDefault="00EE5D67" w:rsidP="00EE5D67">
            <w:pPr>
              <w:spacing w:after="0" w:line="240" w:lineRule="auto"/>
              <w:jc w:val="right"/>
              <w:rPr>
                <w:rFonts w:ascii="Arial CE" w:hAnsi="Arial CE" w:cs="Arial CE"/>
                <w:sz w:val="16"/>
                <w:szCs w:val="16"/>
              </w:rPr>
            </w:pPr>
            <w:r w:rsidRPr="00EE5D67">
              <w:rPr>
                <w:rFonts w:ascii="Arial CE" w:hAnsi="Arial CE" w:cs="Arial CE"/>
                <w:sz w:val="16"/>
                <w:szCs w:val="16"/>
              </w:rPr>
              <w:t>91,7</w:t>
            </w:r>
          </w:p>
        </w:tc>
        <w:tc>
          <w:tcPr>
            <w:tcW w:w="747" w:type="dxa"/>
            <w:tcBorders>
              <w:top w:val="nil"/>
              <w:left w:val="nil"/>
              <w:bottom w:val="nil"/>
              <w:right w:val="nil"/>
            </w:tcBorders>
            <w:shd w:val="clear" w:color="auto" w:fill="auto"/>
            <w:noWrap/>
            <w:vAlign w:val="center"/>
            <w:hideMark/>
          </w:tcPr>
          <w:p w14:paraId="09AC9825" w14:textId="77777777" w:rsidR="00EE5D67" w:rsidRPr="00EE5D67" w:rsidRDefault="00EE5D67" w:rsidP="00EE5D67">
            <w:pPr>
              <w:spacing w:after="0" w:line="240" w:lineRule="auto"/>
              <w:jc w:val="right"/>
              <w:rPr>
                <w:rFonts w:cs="Arial"/>
                <w:sz w:val="16"/>
                <w:szCs w:val="16"/>
              </w:rPr>
            </w:pPr>
            <w:r w:rsidRPr="00EE5D67">
              <w:rPr>
                <w:rFonts w:cs="Arial"/>
                <w:sz w:val="16"/>
                <w:szCs w:val="16"/>
              </w:rPr>
              <w:t>143,7</w:t>
            </w:r>
          </w:p>
        </w:tc>
        <w:tc>
          <w:tcPr>
            <w:tcW w:w="686" w:type="dxa"/>
            <w:tcBorders>
              <w:top w:val="nil"/>
              <w:left w:val="nil"/>
              <w:bottom w:val="nil"/>
              <w:right w:val="nil"/>
            </w:tcBorders>
            <w:shd w:val="clear" w:color="auto" w:fill="auto"/>
            <w:noWrap/>
            <w:vAlign w:val="center"/>
            <w:hideMark/>
          </w:tcPr>
          <w:p w14:paraId="3D557199" w14:textId="77777777" w:rsidR="00EE5D67" w:rsidRPr="00EE5D67" w:rsidRDefault="00EE5D67" w:rsidP="00EE5D67">
            <w:pPr>
              <w:spacing w:after="0" w:line="240" w:lineRule="auto"/>
              <w:jc w:val="right"/>
              <w:rPr>
                <w:rFonts w:cs="Arial"/>
                <w:sz w:val="16"/>
                <w:szCs w:val="16"/>
              </w:rPr>
            </w:pPr>
            <w:r w:rsidRPr="00EE5D67">
              <w:rPr>
                <w:rFonts w:cs="Arial"/>
                <w:sz w:val="16"/>
                <w:szCs w:val="16"/>
              </w:rPr>
              <w:t>60,6</w:t>
            </w:r>
          </w:p>
        </w:tc>
        <w:tc>
          <w:tcPr>
            <w:tcW w:w="687" w:type="dxa"/>
            <w:tcBorders>
              <w:top w:val="nil"/>
              <w:left w:val="nil"/>
              <w:bottom w:val="nil"/>
              <w:right w:val="single" w:sz="4" w:space="0" w:color="auto"/>
            </w:tcBorders>
            <w:shd w:val="clear" w:color="auto" w:fill="auto"/>
            <w:noWrap/>
            <w:vAlign w:val="center"/>
            <w:hideMark/>
          </w:tcPr>
          <w:p w14:paraId="11F3D03A" w14:textId="77777777" w:rsidR="00EE5D67" w:rsidRPr="00EE5D67" w:rsidRDefault="00EE5D67" w:rsidP="00EE5D67">
            <w:pPr>
              <w:spacing w:after="0" w:line="240" w:lineRule="auto"/>
              <w:jc w:val="right"/>
              <w:rPr>
                <w:rFonts w:ascii="Arial CE" w:hAnsi="Arial CE" w:cs="Arial CE"/>
                <w:sz w:val="16"/>
                <w:szCs w:val="16"/>
              </w:rPr>
            </w:pPr>
            <w:r w:rsidRPr="00EE5D67">
              <w:rPr>
                <w:rFonts w:ascii="Arial CE" w:hAnsi="Arial CE" w:cs="Arial CE"/>
                <w:sz w:val="16"/>
                <w:szCs w:val="16"/>
              </w:rPr>
              <w:t>83,1</w:t>
            </w:r>
          </w:p>
        </w:tc>
        <w:tc>
          <w:tcPr>
            <w:tcW w:w="761" w:type="dxa"/>
            <w:tcBorders>
              <w:top w:val="nil"/>
              <w:left w:val="nil"/>
              <w:bottom w:val="nil"/>
              <w:right w:val="nil"/>
            </w:tcBorders>
            <w:shd w:val="clear" w:color="auto" w:fill="auto"/>
            <w:noWrap/>
            <w:vAlign w:val="center"/>
            <w:hideMark/>
          </w:tcPr>
          <w:p w14:paraId="51880C26" w14:textId="77777777" w:rsidR="00EE5D67" w:rsidRPr="00EE5D67" w:rsidRDefault="00EE5D67" w:rsidP="00EE5D67">
            <w:pPr>
              <w:spacing w:after="0" w:line="240" w:lineRule="auto"/>
              <w:jc w:val="right"/>
              <w:rPr>
                <w:rFonts w:cs="Arial"/>
                <w:sz w:val="16"/>
                <w:szCs w:val="16"/>
              </w:rPr>
            </w:pPr>
            <w:r w:rsidRPr="00EE5D67">
              <w:rPr>
                <w:rFonts w:cs="Arial"/>
                <w:sz w:val="16"/>
                <w:szCs w:val="16"/>
              </w:rPr>
              <w:t>6,6</w:t>
            </w:r>
          </w:p>
        </w:tc>
        <w:tc>
          <w:tcPr>
            <w:tcW w:w="686" w:type="dxa"/>
            <w:tcBorders>
              <w:top w:val="nil"/>
              <w:left w:val="nil"/>
              <w:bottom w:val="nil"/>
              <w:right w:val="nil"/>
            </w:tcBorders>
            <w:shd w:val="clear" w:color="auto" w:fill="auto"/>
            <w:noWrap/>
            <w:vAlign w:val="center"/>
            <w:hideMark/>
          </w:tcPr>
          <w:p w14:paraId="6B46E7CB" w14:textId="77777777" w:rsidR="00EE5D67" w:rsidRPr="00EE5D67" w:rsidRDefault="00EE5D67" w:rsidP="00EE5D67">
            <w:pPr>
              <w:spacing w:after="0" w:line="240" w:lineRule="auto"/>
              <w:jc w:val="right"/>
              <w:rPr>
                <w:rFonts w:cs="Arial"/>
                <w:sz w:val="16"/>
                <w:szCs w:val="16"/>
              </w:rPr>
            </w:pPr>
            <w:r w:rsidRPr="00EE5D67">
              <w:rPr>
                <w:rFonts w:cs="Arial"/>
                <w:sz w:val="16"/>
                <w:szCs w:val="16"/>
              </w:rPr>
              <w:t>4,6</w:t>
            </w:r>
          </w:p>
        </w:tc>
        <w:tc>
          <w:tcPr>
            <w:tcW w:w="687" w:type="dxa"/>
            <w:tcBorders>
              <w:top w:val="nil"/>
              <w:left w:val="nil"/>
              <w:bottom w:val="nil"/>
              <w:right w:val="single" w:sz="4" w:space="0" w:color="auto"/>
            </w:tcBorders>
            <w:shd w:val="clear" w:color="auto" w:fill="auto"/>
            <w:noWrap/>
            <w:vAlign w:val="center"/>
            <w:hideMark/>
          </w:tcPr>
          <w:p w14:paraId="1A37365B" w14:textId="77777777" w:rsidR="00EE5D67" w:rsidRPr="00EE5D67" w:rsidRDefault="00EE5D67" w:rsidP="00EE5D67">
            <w:pPr>
              <w:spacing w:after="0" w:line="240" w:lineRule="auto"/>
              <w:jc w:val="right"/>
              <w:rPr>
                <w:rFonts w:ascii="Arial CE" w:hAnsi="Arial CE" w:cs="Arial CE"/>
                <w:sz w:val="16"/>
                <w:szCs w:val="16"/>
              </w:rPr>
            </w:pPr>
            <w:r w:rsidRPr="00EE5D67">
              <w:rPr>
                <w:rFonts w:ascii="Arial CE" w:hAnsi="Arial CE" w:cs="Arial CE"/>
                <w:sz w:val="16"/>
                <w:szCs w:val="16"/>
              </w:rPr>
              <w:t>1,9</w:t>
            </w:r>
          </w:p>
        </w:tc>
        <w:tc>
          <w:tcPr>
            <w:tcW w:w="747" w:type="dxa"/>
            <w:tcBorders>
              <w:top w:val="nil"/>
              <w:left w:val="nil"/>
              <w:bottom w:val="nil"/>
              <w:right w:val="nil"/>
            </w:tcBorders>
            <w:shd w:val="clear" w:color="auto" w:fill="auto"/>
            <w:noWrap/>
            <w:vAlign w:val="center"/>
            <w:hideMark/>
          </w:tcPr>
          <w:p w14:paraId="532D1235" w14:textId="77777777" w:rsidR="00EE5D67" w:rsidRPr="00EE5D67" w:rsidRDefault="00EE5D67" w:rsidP="00EE5D67">
            <w:pPr>
              <w:spacing w:after="0" w:line="240" w:lineRule="auto"/>
              <w:jc w:val="right"/>
              <w:rPr>
                <w:rFonts w:cs="Arial"/>
                <w:sz w:val="16"/>
                <w:szCs w:val="16"/>
              </w:rPr>
            </w:pPr>
            <w:r w:rsidRPr="00EE5D67">
              <w:rPr>
                <w:rFonts w:cs="Arial"/>
                <w:sz w:val="16"/>
                <w:szCs w:val="16"/>
              </w:rPr>
              <w:t>18,3</w:t>
            </w:r>
          </w:p>
        </w:tc>
        <w:tc>
          <w:tcPr>
            <w:tcW w:w="686" w:type="dxa"/>
            <w:tcBorders>
              <w:top w:val="nil"/>
              <w:left w:val="nil"/>
              <w:bottom w:val="nil"/>
              <w:right w:val="nil"/>
            </w:tcBorders>
            <w:shd w:val="clear" w:color="auto" w:fill="auto"/>
            <w:noWrap/>
            <w:vAlign w:val="center"/>
            <w:hideMark/>
          </w:tcPr>
          <w:p w14:paraId="03204A3B" w14:textId="77777777" w:rsidR="00EE5D67" w:rsidRPr="00EE5D67" w:rsidRDefault="00EE5D67" w:rsidP="00EE5D67">
            <w:pPr>
              <w:spacing w:after="0" w:line="240" w:lineRule="auto"/>
              <w:jc w:val="right"/>
              <w:rPr>
                <w:rFonts w:cs="Arial"/>
                <w:sz w:val="16"/>
                <w:szCs w:val="16"/>
              </w:rPr>
            </w:pPr>
            <w:r w:rsidRPr="00EE5D67">
              <w:rPr>
                <w:rFonts w:cs="Arial"/>
                <w:sz w:val="16"/>
                <w:szCs w:val="16"/>
              </w:rPr>
              <w:t>11,6</w:t>
            </w:r>
          </w:p>
        </w:tc>
        <w:tc>
          <w:tcPr>
            <w:tcW w:w="688" w:type="dxa"/>
            <w:tcBorders>
              <w:top w:val="nil"/>
              <w:left w:val="nil"/>
              <w:bottom w:val="nil"/>
              <w:right w:val="nil"/>
            </w:tcBorders>
            <w:shd w:val="clear" w:color="auto" w:fill="auto"/>
            <w:noWrap/>
            <w:vAlign w:val="center"/>
            <w:hideMark/>
          </w:tcPr>
          <w:p w14:paraId="08CC7E26" w14:textId="77777777" w:rsidR="00EE5D67" w:rsidRPr="00EE5D67" w:rsidRDefault="00EE5D67" w:rsidP="00EE5D67">
            <w:pPr>
              <w:spacing w:after="0" w:line="240" w:lineRule="auto"/>
              <w:jc w:val="right"/>
              <w:rPr>
                <w:rFonts w:ascii="Arial CE" w:hAnsi="Arial CE" w:cs="Arial CE"/>
                <w:sz w:val="16"/>
                <w:szCs w:val="16"/>
              </w:rPr>
            </w:pPr>
            <w:r w:rsidRPr="00EE5D67">
              <w:rPr>
                <w:rFonts w:ascii="Arial CE" w:hAnsi="Arial CE" w:cs="Arial CE"/>
                <w:sz w:val="16"/>
                <w:szCs w:val="16"/>
              </w:rPr>
              <w:t>6,7</w:t>
            </w:r>
          </w:p>
        </w:tc>
      </w:tr>
      <w:tr w:rsidR="00EE5D67" w:rsidRPr="00EE5D67" w14:paraId="78205064" w14:textId="77777777" w:rsidTr="00EE5D67">
        <w:trPr>
          <w:divId w:val="1275137038"/>
          <w:trHeight w:val="308"/>
        </w:trPr>
        <w:tc>
          <w:tcPr>
            <w:tcW w:w="991" w:type="dxa"/>
            <w:tcBorders>
              <w:top w:val="nil"/>
              <w:left w:val="nil"/>
              <w:bottom w:val="nil"/>
              <w:right w:val="single" w:sz="4" w:space="0" w:color="auto"/>
            </w:tcBorders>
            <w:shd w:val="clear" w:color="auto" w:fill="auto"/>
            <w:vAlign w:val="center"/>
            <w:hideMark/>
          </w:tcPr>
          <w:p w14:paraId="0CD84EAA" w14:textId="77777777" w:rsidR="00EE5D67" w:rsidRPr="00EE5D67" w:rsidRDefault="00EE5D67" w:rsidP="00EE5D67">
            <w:pPr>
              <w:spacing w:after="0" w:line="240" w:lineRule="auto"/>
              <w:jc w:val="center"/>
              <w:rPr>
                <w:rFonts w:cs="Arial"/>
                <w:sz w:val="16"/>
                <w:szCs w:val="16"/>
              </w:rPr>
            </w:pPr>
            <w:r w:rsidRPr="00EE5D67">
              <w:rPr>
                <w:rFonts w:cs="Arial"/>
                <w:sz w:val="16"/>
                <w:szCs w:val="16"/>
              </w:rPr>
              <w:t>1. pol. 2015</w:t>
            </w:r>
          </w:p>
        </w:tc>
        <w:tc>
          <w:tcPr>
            <w:tcW w:w="747" w:type="dxa"/>
            <w:tcBorders>
              <w:top w:val="nil"/>
              <w:left w:val="nil"/>
              <w:bottom w:val="nil"/>
              <w:right w:val="nil"/>
            </w:tcBorders>
            <w:shd w:val="clear" w:color="auto" w:fill="auto"/>
            <w:noWrap/>
            <w:vAlign w:val="center"/>
            <w:hideMark/>
          </w:tcPr>
          <w:p w14:paraId="614E8F1C" w14:textId="77777777" w:rsidR="00EE5D67" w:rsidRPr="00EE5D67" w:rsidRDefault="00EE5D67" w:rsidP="00EE5D67">
            <w:pPr>
              <w:spacing w:after="0" w:line="240" w:lineRule="auto"/>
              <w:jc w:val="right"/>
              <w:rPr>
                <w:rFonts w:cs="Arial"/>
                <w:sz w:val="16"/>
                <w:szCs w:val="16"/>
              </w:rPr>
            </w:pPr>
            <w:r w:rsidRPr="00EE5D67">
              <w:rPr>
                <w:rFonts w:cs="Arial"/>
                <w:sz w:val="16"/>
                <w:szCs w:val="16"/>
              </w:rPr>
              <w:t>193,7</w:t>
            </w:r>
          </w:p>
        </w:tc>
        <w:tc>
          <w:tcPr>
            <w:tcW w:w="686" w:type="dxa"/>
            <w:tcBorders>
              <w:top w:val="nil"/>
              <w:left w:val="nil"/>
              <w:bottom w:val="nil"/>
              <w:right w:val="nil"/>
            </w:tcBorders>
            <w:shd w:val="clear" w:color="auto" w:fill="auto"/>
            <w:noWrap/>
            <w:vAlign w:val="center"/>
            <w:hideMark/>
          </w:tcPr>
          <w:p w14:paraId="1DD501F9" w14:textId="77777777" w:rsidR="00EE5D67" w:rsidRPr="00EE5D67" w:rsidRDefault="00EE5D67" w:rsidP="00EE5D67">
            <w:pPr>
              <w:spacing w:after="0" w:line="240" w:lineRule="auto"/>
              <w:jc w:val="right"/>
              <w:rPr>
                <w:rFonts w:cs="Arial"/>
                <w:sz w:val="16"/>
                <w:szCs w:val="16"/>
              </w:rPr>
            </w:pPr>
            <w:r w:rsidRPr="00EE5D67">
              <w:rPr>
                <w:rFonts w:cs="Arial"/>
                <w:sz w:val="16"/>
                <w:szCs w:val="16"/>
              </w:rPr>
              <w:t>87,8</w:t>
            </w:r>
          </w:p>
        </w:tc>
        <w:tc>
          <w:tcPr>
            <w:tcW w:w="687" w:type="dxa"/>
            <w:tcBorders>
              <w:top w:val="nil"/>
              <w:left w:val="nil"/>
              <w:bottom w:val="nil"/>
              <w:right w:val="single" w:sz="4" w:space="0" w:color="auto"/>
            </w:tcBorders>
            <w:shd w:val="clear" w:color="auto" w:fill="auto"/>
            <w:noWrap/>
            <w:vAlign w:val="center"/>
            <w:hideMark/>
          </w:tcPr>
          <w:p w14:paraId="0FB972B2" w14:textId="77777777" w:rsidR="00EE5D67" w:rsidRPr="00EE5D67" w:rsidRDefault="00EE5D67" w:rsidP="00EE5D67">
            <w:pPr>
              <w:spacing w:after="0" w:line="240" w:lineRule="auto"/>
              <w:jc w:val="right"/>
              <w:rPr>
                <w:rFonts w:cs="Arial"/>
                <w:sz w:val="16"/>
                <w:szCs w:val="16"/>
              </w:rPr>
            </w:pPr>
            <w:r w:rsidRPr="00EE5D67">
              <w:rPr>
                <w:rFonts w:cs="Arial"/>
                <w:sz w:val="16"/>
                <w:szCs w:val="16"/>
              </w:rPr>
              <w:t>105,9</w:t>
            </w:r>
          </w:p>
        </w:tc>
        <w:tc>
          <w:tcPr>
            <w:tcW w:w="747" w:type="dxa"/>
            <w:tcBorders>
              <w:top w:val="nil"/>
              <w:left w:val="nil"/>
              <w:bottom w:val="nil"/>
              <w:right w:val="nil"/>
            </w:tcBorders>
            <w:shd w:val="clear" w:color="auto" w:fill="auto"/>
            <w:noWrap/>
            <w:vAlign w:val="center"/>
            <w:hideMark/>
          </w:tcPr>
          <w:p w14:paraId="5871C3D8" w14:textId="77777777" w:rsidR="00EE5D67" w:rsidRPr="00EE5D67" w:rsidRDefault="00EE5D67" w:rsidP="00EE5D67">
            <w:pPr>
              <w:spacing w:after="0" w:line="240" w:lineRule="auto"/>
              <w:jc w:val="right"/>
              <w:rPr>
                <w:rFonts w:cs="Arial"/>
                <w:sz w:val="16"/>
                <w:szCs w:val="16"/>
              </w:rPr>
            </w:pPr>
            <w:r w:rsidRPr="00EE5D67">
              <w:rPr>
                <w:rFonts w:cs="Arial"/>
                <w:sz w:val="16"/>
                <w:szCs w:val="16"/>
              </w:rPr>
              <w:t>166,8</w:t>
            </w:r>
          </w:p>
        </w:tc>
        <w:tc>
          <w:tcPr>
            <w:tcW w:w="686" w:type="dxa"/>
            <w:tcBorders>
              <w:top w:val="nil"/>
              <w:left w:val="nil"/>
              <w:bottom w:val="nil"/>
              <w:right w:val="nil"/>
            </w:tcBorders>
            <w:shd w:val="clear" w:color="auto" w:fill="auto"/>
            <w:noWrap/>
            <w:vAlign w:val="center"/>
            <w:hideMark/>
          </w:tcPr>
          <w:p w14:paraId="1F73239E" w14:textId="77777777" w:rsidR="00EE5D67" w:rsidRPr="00EE5D67" w:rsidRDefault="00EE5D67" w:rsidP="00EE5D67">
            <w:pPr>
              <w:spacing w:after="0" w:line="240" w:lineRule="auto"/>
              <w:jc w:val="right"/>
              <w:rPr>
                <w:rFonts w:cs="Arial"/>
                <w:sz w:val="16"/>
                <w:szCs w:val="16"/>
              </w:rPr>
            </w:pPr>
            <w:r w:rsidRPr="00EE5D67">
              <w:rPr>
                <w:rFonts w:cs="Arial"/>
                <w:sz w:val="16"/>
                <w:szCs w:val="16"/>
              </w:rPr>
              <w:t>70,7</w:t>
            </w:r>
          </w:p>
        </w:tc>
        <w:tc>
          <w:tcPr>
            <w:tcW w:w="687" w:type="dxa"/>
            <w:tcBorders>
              <w:top w:val="nil"/>
              <w:left w:val="nil"/>
              <w:bottom w:val="nil"/>
              <w:right w:val="single" w:sz="4" w:space="0" w:color="auto"/>
            </w:tcBorders>
            <w:shd w:val="clear" w:color="auto" w:fill="auto"/>
            <w:noWrap/>
            <w:vAlign w:val="center"/>
            <w:hideMark/>
          </w:tcPr>
          <w:p w14:paraId="1F2A1853" w14:textId="77777777" w:rsidR="00EE5D67" w:rsidRPr="00EE5D67" w:rsidRDefault="00EE5D67" w:rsidP="00EE5D67">
            <w:pPr>
              <w:spacing w:after="0" w:line="240" w:lineRule="auto"/>
              <w:jc w:val="right"/>
              <w:rPr>
                <w:rFonts w:cs="Arial"/>
                <w:sz w:val="16"/>
                <w:szCs w:val="16"/>
              </w:rPr>
            </w:pPr>
            <w:r w:rsidRPr="00EE5D67">
              <w:rPr>
                <w:rFonts w:cs="Arial"/>
                <w:sz w:val="16"/>
                <w:szCs w:val="16"/>
              </w:rPr>
              <w:t>96,1</w:t>
            </w:r>
          </w:p>
        </w:tc>
        <w:tc>
          <w:tcPr>
            <w:tcW w:w="761" w:type="dxa"/>
            <w:tcBorders>
              <w:top w:val="nil"/>
              <w:left w:val="nil"/>
              <w:bottom w:val="nil"/>
              <w:right w:val="nil"/>
            </w:tcBorders>
            <w:shd w:val="clear" w:color="auto" w:fill="auto"/>
            <w:noWrap/>
            <w:vAlign w:val="center"/>
            <w:hideMark/>
          </w:tcPr>
          <w:p w14:paraId="2CF3FD46" w14:textId="77777777" w:rsidR="00EE5D67" w:rsidRPr="00EE5D67" w:rsidRDefault="00EE5D67" w:rsidP="00EE5D67">
            <w:pPr>
              <w:spacing w:after="0" w:line="240" w:lineRule="auto"/>
              <w:jc w:val="right"/>
              <w:rPr>
                <w:rFonts w:cs="Arial"/>
                <w:sz w:val="16"/>
                <w:szCs w:val="16"/>
              </w:rPr>
            </w:pPr>
            <w:r w:rsidRPr="00EE5D67">
              <w:rPr>
                <w:rFonts w:cs="Arial"/>
                <w:sz w:val="16"/>
                <w:szCs w:val="16"/>
              </w:rPr>
              <w:t>7,2</w:t>
            </w:r>
          </w:p>
        </w:tc>
        <w:tc>
          <w:tcPr>
            <w:tcW w:w="686" w:type="dxa"/>
            <w:tcBorders>
              <w:top w:val="nil"/>
              <w:left w:val="nil"/>
              <w:bottom w:val="nil"/>
              <w:right w:val="nil"/>
            </w:tcBorders>
            <w:shd w:val="clear" w:color="auto" w:fill="auto"/>
            <w:noWrap/>
            <w:vAlign w:val="center"/>
            <w:hideMark/>
          </w:tcPr>
          <w:p w14:paraId="27482718" w14:textId="77777777" w:rsidR="00EE5D67" w:rsidRPr="00EE5D67" w:rsidRDefault="00EE5D67" w:rsidP="00EE5D67">
            <w:pPr>
              <w:spacing w:after="0" w:line="240" w:lineRule="auto"/>
              <w:jc w:val="right"/>
              <w:rPr>
                <w:rFonts w:cs="Arial"/>
                <w:sz w:val="16"/>
                <w:szCs w:val="16"/>
              </w:rPr>
            </w:pPr>
            <w:r w:rsidRPr="00EE5D67">
              <w:rPr>
                <w:rFonts w:cs="Arial"/>
                <w:sz w:val="16"/>
                <w:szCs w:val="16"/>
              </w:rPr>
              <w:t>4,9</w:t>
            </w:r>
          </w:p>
        </w:tc>
        <w:tc>
          <w:tcPr>
            <w:tcW w:w="687" w:type="dxa"/>
            <w:tcBorders>
              <w:top w:val="nil"/>
              <w:left w:val="nil"/>
              <w:bottom w:val="nil"/>
              <w:right w:val="single" w:sz="4" w:space="0" w:color="auto"/>
            </w:tcBorders>
            <w:shd w:val="clear" w:color="auto" w:fill="auto"/>
            <w:noWrap/>
            <w:vAlign w:val="center"/>
            <w:hideMark/>
          </w:tcPr>
          <w:p w14:paraId="16109432" w14:textId="77777777" w:rsidR="00EE5D67" w:rsidRPr="00EE5D67" w:rsidRDefault="00EE5D67" w:rsidP="00EE5D67">
            <w:pPr>
              <w:spacing w:after="0" w:line="240" w:lineRule="auto"/>
              <w:jc w:val="right"/>
              <w:rPr>
                <w:rFonts w:cs="Arial"/>
                <w:sz w:val="16"/>
                <w:szCs w:val="16"/>
              </w:rPr>
            </w:pPr>
            <w:r w:rsidRPr="00EE5D67">
              <w:rPr>
                <w:rFonts w:cs="Arial"/>
                <w:sz w:val="16"/>
                <w:szCs w:val="16"/>
              </w:rPr>
              <w:t>2,3</w:t>
            </w:r>
          </w:p>
        </w:tc>
        <w:tc>
          <w:tcPr>
            <w:tcW w:w="747" w:type="dxa"/>
            <w:tcBorders>
              <w:top w:val="nil"/>
              <w:left w:val="nil"/>
              <w:bottom w:val="nil"/>
              <w:right w:val="nil"/>
            </w:tcBorders>
            <w:shd w:val="clear" w:color="auto" w:fill="auto"/>
            <w:noWrap/>
            <w:vAlign w:val="center"/>
            <w:hideMark/>
          </w:tcPr>
          <w:p w14:paraId="1511F8CA" w14:textId="77777777" w:rsidR="00EE5D67" w:rsidRPr="00EE5D67" w:rsidRDefault="00EE5D67" w:rsidP="00EE5D67">
            <w:pPr>
              <w:spacing w:after="0" w:line="240" w:lineRule="auto"/>
              <w:jc w:val="right"/>
              <w:rPr>
                <w:rFonts w:cs="Arial"/>
                <w:sz w:val="16"/>
                <w:szCs w:val="16"/>
              </w:rPr>
            </w:pPr>
            <w:r w:rsidRPr="00EE5D67">
              <w:rPr>
                <w:rFonts w:cs="Arial"/>
                <w:sz w:val="16"/>
                <w:szCs w:val="16"/>
              </w:rPr>
              <w:t>19,7</w:t>
            </w:r>
          </w:p>
        </w:tc>
        <w:tc>
          <w:tcPr>
            <w:tcW w:w="686" w:type="dxa"/>
            <w:tcBorders>
              <w:top w:val="nil"/>
              <w:left w:val="nil"/>
              <w:bottom w:val="nil"/>
              <w:right w:val="nil"/>
            </w:tcBorders>
            <w:shd w:val="clear" w:color="auto" w:fill="auto"/>
            <w:noWrap/>
            <w:vAlign w:val="center"/>
            <w:hideMark/>
          </w:tcPr>
          <w:p w14:paraId="6D8220D1" w14:textId="77777777" w:rsidR="00EE5D67" w:rsidRPr="00EE5D67" w:rsidRDefault="00EE5D67" w:rsidP="00EE5D67">
            <w:pPr>
              <w:spacing w:after="0" w:line="240" w:lineRule="auto"/>
              <w:jc w:val="right"/>
              <w:rPr>
                <w:rFonts w:cs="Arial"/>
                <w:sz w:val="16"/>
                <w:szCs w:val="16"/>
              </w:rPr>
            </w:pPr>
            <w:r w:rsidRPr="00EE5D67">
              <w:rPr>
                <w:rFonts w:cs="Arial"/>
                <w:sz w:val="16"/>
                <w:szCs w:val="16"/>
              </w:rPr>
              <w:t>12,2</w:t>
            </w:r>
          </w:p>
        </w:tc>
        <w:tc>
          <w:tcPr>
            <w:tcW w:w="688" w:type="dxa"/>
            <w:tcBorders>
              <w:top w:val="nil"/>
              <w:left w:val="nil"/>
              <w:bottom w:val="nil"/>
              <w:right w:val="nil"/>
            </w:tcBorders>
            <w:shd w:val="clear" w:color="auto" w:fill="auto"/>
            <w:noWrap/>
            <w:vAlign w:val="center"/>
            <w:hideMark/>
          </w:tcPr>
          <w:p w14:paraId="3431DE0C" w14:textId="77777777" w:rsidR="00EE5D67" w:rsidRPr="00EE5D67" w:rsidRDefault="00EE5D67" w:rsidP="00EE5D67">
            <w:pPr>
              <w:spacing w:after="0" w:line="240" w:lineRule="auto"/>
              <w:jc w:val="right"/>
              <w:rPr>
                <w:rFonts w:cs="Arial"/>
                <w:sz w:val="16"/>
                <w:szCs w:val="16"/>
              </w:rPr>
            </w:pPr>
            <w:r w:rsidRPr="00EE5D67">
              <w:rPr>
                <w:rFonts w:cs="Arial"/>
                <w:sz w:val="16"/>
                <w:szCs w:val="16"/>
              </w:rPr>
              <w:t>7,5</w:t>
            </w:r>
          </w:p>
        </w:tc>
      </w:tr>
      <w:tr w:rsidR="00EE5D67" w:rsidRPr="00EE5D67" w14:paraId="5D92E065" w14:textId="77777777" w:rsidTr="00EE5D67">
        <w:trPr>
          <w:divId w:val="1275137038"/>
          <w:trHeight w:val="308"/>
        </w:trPr>
        <w:tc>
          <w:tcPr>
            <w:tcW w:w="991" w:type="dxa"/>
            <w:tcBorders>
              <w:top w:val="nil"/>
              <w:left w:val="nil"/>
              <w:bottom w:val="nil"/>
              <w:right w:val="single" w:sz="4" w:space="0" w:color="auto"/>
            </w:tcBorders>
            <w:shd w:val="clear" w:color="auto" w:fill="auto"/>
            <w:vAlign w:val="center"/>
            <w:hideMark/>
          </w:tcPr>
          <w:p w14:paraId="0AB90AF6" w14:textId="77777777" w:rsidR="00EE5D67" w:rsidRPr="00EE5D67" w:rsidRDefault="00EE5D67" w:rsidP="00EE5D67">
            <w:pPr>
              <w:spacing w:after="0" w:line="240" w:lineRule="auto"/>
              <w:jc w:val="center"/>
              <w:rPr>
                <w:rFonts w:cs="Arial"/>
                <w:sz w:val="16"/>
                <w:szCs w:val="16"/>
              </w:rPr>
            </w:pPr>
            <w:r w:rsidRPr="00EE5D67">
              <w:rPr>
                <w:rFonts w:cs="Arial"/>
                <w:sz w:val="16"/>
                <w:szCs w:val="16"/>
              </w:rPr>
              <w:t>1. pol. 2016</w:t>
            </w:r>
          </w:p>
        </w:tc>
        <w:tc>
          <w:tcPr>
            <w:tcW w:w="747" w:type="dxa"/>
            <w:tcBorders>
              <w:top w:val="nil"/>
              <w:left w:val="nil"/>
              <w:bottom w:val="nil"/>
              <w:right w:val="nil"/>
            </w:tcBorders>
            <w:shd w:val="clear" w:color="auto" w:fill="auto"/>
            <w:noWrap/>
            <w:vAlign w:val="center"/>
            <w:hideMark/>
          </w:tcPr>
          <w:p w14:paraId="77E631F1" w14:textId="77777777" w:rsidR="00EE5D67" w:rsidRPr="00EE5D67" w:rsidRDefault="00EE5D67" w:rsidP="00EE5D67">
            <w:pPr>
              <w:spacing w:after="0" w:line="240" w:lineRule="auto"/>
              <w:jc w:val="right"/>
              <w:rPr>
                <w:rFonts w:cs="Arial"/>
                <w:sz w:val="16"/>
                <w:szCs w:val="16"/>
              </w:rPr>
            </w:pPr>
            <w:r w:rsidRPr="00EE5D67">
              <w:rPr>
                <w:rFonts w:cs="Arial"/>
                <w:sz w:val="16"/>
                <w:szCs w:val="16"/>
              </w:rPr>
              <w:t>202,1</w:t>
            </w:r>
          </w:p>
        </w:tc>
        <w:tc>
          <w:tcPr>
            <w:tcW w:w="686" w:type="dxa"/>
            <w:tcBorders>
              <w:top w:val="nil"/>
              <w:left w:val="nil"/>
              <w:bottom w:val="nil"/>
              <w:right w:val="nil"/>
            </w:tcBorders>
            <w:shd w:val="clear" w:color="auto" w:fill="auto"/>
            <w:noWrap/>
            <w:vAlign w:val="center"/>
            <w:hideMark/>
          </w:tcPr>
          <w:p w14:paraId="5516DBB1" w14:textId="77777777" w:rsidR="00EE5D67" w:rsidRPr="00EE5D67" w:rsidRDefault="00EE5D67" w:rsidP="00EE5D67">
            <w:pPr>
              <w:spacing w:after="0" w:line="240" w:lineRule="auto"/>
              <w:jc w:val="right"/>
              <w:rPr>
                <w:rFonts w:cs="Arial"/>
                <w:sz w:val="16"/>
                <w:szCs w:val="16"/>
              </w:rPr>
            </w:pPr>
            <w:r w:rsidRPr="00EE5D67">
              <w:rPr>
                <w:rFonts w:cs="Arial"/>
                <w:sz w:val="16"/>
                <w:szCs w:val="16"/>
              </w:rPr>
              <w:t>91,5</w:t>
            </w:r>
          </w:p>
        </w:tc>
        <w:tc>
          <w:tcPr>
            <w:tcW w:w="687" w:type="dxa"/>
            <w:tcBorders>
              <w:top w:val="nil"/>
              <w:left w:val="nil"/>
              <w:bottom w:val="nil"/>
              <w:right w:val="single" w:sz="4" w:space="0" w:color="auto"/>
            </w:tcBorders>
            <w:shd w:val="clear" w:color="auto" w:fill="auto"/>
            <w:noWrap/>
            <w:vAlign w:val="center"/>
            <w:hideMark/>
          </w:tcPr>
          <w:p w14:paraId="68F6F9ED" w14:textId="77777777" w:rsidR="00EE5D67" w:rsidRPr="00EE5D67" w:rsidRDefault="00EE5D67" w:rsidP="00EE5D67">
            <w:pPr>
              <w:spacing w:after="0" w:line="240" w:lineRule="auto"/>
              <w:jc w:val="right"/>
              <w:rPr>
                <w:rFonts w:cs="Arial"/>
                <w:sz w:val="16"/>
                <w:szCs w:val="16"/>
              </w:rPr>
            </w:pPr>
            <w:r w:rsidRPr="00EE5D67">
              <w:rPr>
                <w:rFonts w:cs="Arial"/>
                <w:sz w:val="16"/>
                <w:szCs w:val="16"/>
              </w:rPr>
              <w:t>110,6</w:t>
            </w:r>
          </w:p>
        </w:tc>
        <w:tc>
          <w:tcPr>
            <w:tcW w:w="747" w:type="dxa"/>
            <w:tcBorders>
              <w:top w:val="nil"/>
              <w:left w:val="nil"/>
              <w:bottom w:val="nil"/>
              <w:right w:val="nil"/>
            </w:tcBorders>
            <w:shd w:val="clear" w:color="auto" w:fill="auto"/>
            <w:noWrap/>
            <w:vAlign w:val="center"/>
            <w:hideMark/>
          </w:tcPr>
          <w:p w14:paraId="65DEF720" w14:textId="77777777" w:rsidR="00EE5D67" w:rsidRPr="00EE5D67" w:rsidRDefault="00EE5D67" w:rsidP="00EE5D67">
            <w:pPr>
              <w:spacing w:after="0" w:line="240" w:lineRule="auto"/>
              <w:jc w:val="right"/>
              <w:rPr>
                <w:rFonts w:cs="Arial"/>
                <w:sz w:val="16"/>
                <w:szCs w:val="16"/>
              </w:rPr>
            </w:pPr>
            <w:r w:rsidRPr="00EE5D67">
              <w:rPr>
                <w:rFonts w:cs="Arial"/>
                <w:sz w:val="16"/>
                <w:szCs w:val="16"/>
              </w:rPr>
              <w:t>174,0</w:t>
            </w:r>
          </w:p>
        </w:tc>
        <w:tc>
          <w:tcPr>
            <w:tcW w:w="686" w:type="dxa"/>
            <w:tcBorders>
              <w:top w:val="nil"/>
              <w:left w:val="nil"/>
              <w:bottom w:val="nil"/>
              <w:right w:val="nil"/>
            </w:tcBorders>
            <w:shd w:val="clear" w:color="auto" w:fill="auto"/>
            <w:noWrap/>
            <w:vAlign w:val="center"/>
            <w:hideMark/>
          </w:tcPr>
          <w:p w14:paraId="35BB7465" w14:textId="77777777" w:rsidR="00EE5D67" w:rsidRPr="00EE5D67" w:rsidRDefault="00EE5D67" w:rsidP="00EE5D67">
            <w:pPr>
              <w:spacing w:after="0" w:line="240" w:lineRule="auto"/>
              <w:jc w:val="right"/>
              <w:rPr>
                <w:rFonts w:cs="Arial"/>
                <w:sz w:val="16"/>
                <w:szCs w:val="16"/>
              </w:rPr>
            </w:pPr>
            <w:r w:rsidRPr="00EE5D67">
              <w:rPr>
                <w:rFonts w:cs="Arial"/>
                <w:sz w:val="16"/>
                <w:szCs w:val="16"/>
              </w:rPr>
              <w:t>73,7</w:t>
            </w:r>
          </w:p>
        </w:tc>
        <w:tc>
          <w:tcPr>
            <w:tcW w:w="687" w:type="dxa"/>
            <w:tcBorders>
              <w:top w:val="nil"/>
              <w:left w:val="nil"/>
              <w:bottom w:val="nil"/>
              <w:right w:val="single" w:sz="4" w:space="0" w:color="auto"/>
            </w:tcBorders>
            <w:shd w:val="clear" w:color="auto" w:fill="auto"/>
            <w:noWrap/>
            <w:vAlign w:val="center"/>
            <w:hideMark/>
          </w:tcPr>
          <w:p w14:paraId="736D2480" w14:textId="77777777" w:rsidR="00EE5D67" w:rsidRPr="00EE5D67" w:rsidRDefault="00EE5D67" w:rsidP="00EE5D67">
            <w:pPr>
              <w:spacing w:after="0" w:line="240" w:lineRule="auto"/>
              <w:jc w:val="right"/>
              <w:rPr>
                <w:rFonts w:cs="Arial"/>
                <w:sz w:val="16"/>
                <w:szCs w:val="16"/>
              </w:rPr>
            </w:pPr>
            <w:r w:rsidRPr="00EE5D67">
              <w:rPr>
                <w:rFonts w:cs="Arial"/>
                <w:sz w:val="16"/>
                <w:szCs w:val="16"/>
              </w:rPr>
              <w:t>100,3</w:t>
            </w:r>
          </w:p>
        </w:tc>
        <w:tc>
          <w:tcPr>
            <w:tcW w:w="761" w:type="dxa"/>
            <w:tcBorders>
              <w:top w:val="nil"/>
              <w:left w:val="nil"/>
              <w:bottom w:val="nil"/>
              <w:right w:val="nil"/>
            </w:tcBorders>
            <w:shd w:val="clear" w:color="auto" w:fill="auto"/>
            <w:noWrap/>
            <w:vAlign w:val="center"/>
            <w:hideMark/>
          </w:tcPr>
          <w:p w14:paraId="3D1E2C39" w14:textId="77777777" w:rsidR="00EE5D67" w:rsidRPr="00EE5D67" w:rsidRDefault="00EE5D67" w:rsidP="00EE5D67">
            <w:pPr>
              <w:spacing w:after="0" w:line="240" w:lineRule="auto"/>
              <w:jc w:val="right"/>
              <w:rPr>
                <w:rFonts w:cs="Arial"/>
                <w:sz w:val="16"/>
                <w:szCs w:val="16"/>
              </w:rPr>
            </w:pPr>
            <w:r w:rsidRPr="00EE5D67">
              <w:rPr>
                <w:rFonts w:cs="Arial"/>
                <w:sz w:val="16"/>
                <w:szCs w:val="16"/>
              </w:rPr>
              <w:t>7,3</w:t>
            </w:r>
          </w:p>
        </w:tc>
        <w:tc>
          <w:tcPr>
            <w:tcW w:w="686" w:type="dxa"/>
            <w:tcBorders>
              <w:top w:val="nil"/>
              <w:left w:val="nil"/>
              <w:bottom w:val="nil"/>
              <w:right w:val="nil"/>
            </w:tcBorders>
            <w:shd w:val="clear" w:color="auto" w:fill="auto"/>
            <w:noWrap/>
            <w:vAlign w:val="center"/>
            <w:hideMark/>
          </w:tcPr>
          <w:p w14:paraId="49936BEF" w14:textId="77777777" w:rsidR="00EE5D67" w:rsidRPr="00EE5D67" w:rsidRDefault="00EE5D67" w:rsidP="00EE5D67">
            <w:pPr>
              <w:spacing w:after="0" w:line="240" w:lineRule="auto"/>
              <w:jc w:val="right"/>
              <w:rPr>
                <w:rFonts w:cs="Arial"/>
                <w:sz w:val="16"/>
                <w:szCs w:val="16"/>
              </w:rPr>
            </w:pPr>
            <w:r w:rsidRPr="00EE5D67">
              <w:rPr>
                <w:rFonts w:cs="Arial"/>
                <w:sz w:val="16"/>
                <w:szCs w:val="16"/>
              </w:rPr>
              <w:t>4,9</w:t>
            </w:r>
          </w:p>
        </w:tc>
        <w:tc>
          <w:tcPr>
            <w:tcW w:w="687" w:type="dxa"/>
            <w:tcBorders>
              <w:top w:val="nil"/>
              <w:left w:val="nil"/>
              <w:bottom w:val="nil"/>
              <w:right w:val="single" w:sz="4" w:space="0" w:color="auto"/>
            </w:tcBorders>
            <w:shd w:val="clear" w:color="auto" w:fill="auto"/>
            <w:noWrap/>
            <w:vAlign w:val="center"/>
            <w:hideMark/>
          </w:tcPr>
          <w:p w14:paraId="37A098E0" w14:textId="77777777" w:rsidR="00EE5D67" w:rsidRPr="00EE5D67" w:rsidRDefault="00EE5D67" w:rsidP="00EE5D67">
            <w:pPr>
              <w:spacing w:after="0" w:line="240" w:lineRule="auto"/>
              <w:jc w:val="right"/>
              <w:rPr>
                <w:rFonts w:cs="Arial"/>
                <w:sz w:val="16"/>
                <w:szCs w:val="16"/>
              </w:rPr>
            </w:pPr>
            <w:r w:rsidRPr="00EE5D67">
              <w:rPr>
                <w:rFonts w:cs="Arial"/>
                <w:sz w:val="16"/>
                <w:szCs w:val="16"/>
              </w:rPr>
              <w:t>2,3</w:t>
            </w:r>
          </w:p>
        </w:tc>
        <w:tc>
          <w:tcPr>
            <w:tcW w:w="747" w:type="dxa"/>
            <w:tcBorders>
              <w:top w:val="nil"/>
              <w:left w:val="nil"/>
              <w:bottom w:val="nil"/>
              <w:right w:val="nil"/>
            </w:tcBorders>
            <w:shd w:val="clear" w:color="auto" w:fill="auto"/>
            <w:noWrap/>
            <w:vAlign w:val="center"/>
            <w:hideMark/>
          </w:tcPr>
          <w:p w14:paraId="2715962E" w14:textId="77777777" w:rsidR="00EE5D67" w:rsidRPr="00EE5D67" w:rsidRDefault="00EE5D67" w:rsidP="00EE5D67">
            <w:pPr>
              <w:spacing w:after="0" w:line="240" w:lineRule="auto"/>
              <w:jc w:val="right"/>
              <w:rPr>
                <w:rFonts w:cs="Arial"/>
                <w:sz w:val="16"/>
                <w:szCs w:val="16"/>
              </w:rPr>
            </w:pPr>
            <w:r w:rsidRPr="00EE5D67">
              <w:rPr>
                <w:rFonts w:cs="Arial"/>
                <w:sz w:val="16"/>
                <w:szCs w:val="16"/>
              </w:rPr>
              <w:t>20,9</w:t>
            </w:r>
          </w:p>
        </w:tc>
        <w:tc>
          <w:tcPr>
            <w:tcW w:w="686" w:type="dxa"/>
            <w:tcBorders>
              <w:top w:val="nil"/>
              <w:left w:val="nil"/>
              <w:bottom w:val="nil"/>
              <w:right w:val="nil"/>
            </w:tcBorders>
            <w:shd w:val="clear" w:color="auto" w:fill="auto"/>
            <w:noWrap/>
            <w:vAlign w:val="center"/>
            <w:hideMark/>
          </w:tcPr>
          <w:p w14:paraId="022F1D29" w14:textId="77777777" w:rsidR="00EE5D67" w:rsidRPr="00EE5D67" w:rsidRDefault="00EE5D67" w:rsidP="00EE5D67">
            <w:pPr>
              <w:spacing w:after="0" w:line="240" w:lineRule="auto"/>
              <w:jc w:val="right"/>
              <w:rPr>
                <w:rFonts w:cs="Arial"/>
                <w:sz w:val="16"/>
                <w:szCs w:val="16"/>
              </w:rPr>
            </w:pPr>
            <w:r w:rsidRPr="00EE5D67">
              <w:rPr>
                <w:rFonts w:cs="Arial"/>
                <w:sz w:val="16"/>
                <w:szCs w:val="16"/>
              </w:rPr>
              <w:t>12,9</w:t>
            </w:r>
          </w:p>
        </w:tc>
        <w:tc>
          <w:tcPr>
            <w:tcW w:w="688" w:type="dxa"/>
            <w:tcBorders>
              <w:top w:val="nil"/>
              <w:left w:val="nil"/>
              <w:bottom w:val="nil"/>
              <w:right w:val="nil"/>
            </w:tcBorders>
            <w:shd w:val="clear" w:color="auto" w:fill="auto"/>
            <w:noWrap/>
            <w:vAlign w:val="center"/>
            <w:hideMark/>
          </w:tcPr>
          <w:p w14:paraId="647E5515" w14:textId="77777777" w:rsidR="00EE5D67" w:rsidRPr="00EE5D67" w:rsidRDefault="00EE5D67" w:rsidP="00EE5D67">
            <w:pPr>
              <w:spacing w:after="0" w:line="240" w:lineRule="auto"/>
              <w:jc w:val="right"/>
              <w:rPr>
                <w:rFonts w:cs="Arial"/>
                <w:sz w:val="16"/>
                <w:szCs w:val="16"/>
              </w:rPr>
            </w:pPr>
            <w:r w:rsidRPr="00EE5D67">
              <w:rPr>
                <w:rFonts w:cs="Arial"/>
                <w:sz w:val="16"/>
                <w:szCs w:val="16"/>
              </w:rPr>
              <w:t>8,0</w:t>
            </w:r>
          </w:p>
        </w:tc>
      </w:tr>
      <w:tr w:rsidR="00EE5D67" w:rsidRPr="00EE5D67" w14:paraId="295459A7" w14:textId="77777777" w:rsidTr="00EE5D67">
        <w:trPr>
          <w:divId w:val="1275137038"/>
          <w:trHeight w:val="308"/>
        </w:trPr>
        <w:tc>
          <w:tcPr>
            <w:tcW w:w="991" w:type="dxa"/>
            <w:tcBorders>
              <w:top w:val="nil"/>
              <w:left w:val="nil"/>
              <w:bottom w:val="nil"/>
              <w:right w:val="single" w:sz="4" w:space="0" w:color="auto"/>
            </w:tcBorders>
            <w:shd w:val="clear" w:color="auto" w:fill="auto"/>
            <w:vAlign w:val="center"/>
            <w:hideMark/>
          </w:tcPr>
          <w:p w14:paraId="66B76465" w14:textId="77777777" w:rsidR="00EE5D67" w:rsidRPr="00EE5D67" w:rsidRDefault="00EE5D67" w:rsidP="00EE5D67">
            <w:pPr>
              <w:spacing w:after="0" w:line="240" w:lineRule="auto"/>
              <w:jc w:val="center"/>
              <w:rPr>
                <w:rFonts w:cs="Arial"/>
                <w:sz w:val="16"/>
                <w:szCs w:val="16"/>
              </w:rPr>
            </w:pPr>
            <w:r w:rsidRPr="00EE5D67">
              <w:rPr>
                <w:rFonts w:cs="Arial"/>
                <w:sz w:val="16"/>
                <w:szCs w:val="16"/>
              </w:rPr>
              <w:t>1. pol. 2017</w:t>
            </w:r>
          </w:p>
        </w:tc>
        <w:tc>
          <w:tcPr>
            <w:tcW w:w="747" w:type="dxa"/>
            <w:tcBorders>
              <w:top w:val="nil"/>
              <w:left w:val="nil"/>
              <w:bottom w:val="nil"/>
              <w:right w:val="nil"/>
            </w:tcBorders>
            <w:shd w:val="clear" w:color="auto" w:fill="auto"/>
            <w:noWrap/>
            <w:vAlign w:val="center"/>
            <w:hideMark/>
          </w:tcPr>
          <w:p w14:paraId="24937180" w14:textId="77777777" w:rsidR="00EE5D67" w:rsidRPr="00EE5D67" w:rsidRDefault="00EE5D67" w:rsidP="00EE5D67">
            <w:pPr>
              <w:spacing w:after="0" w:line="240" w:lineRule="auto"/>
              <w:jc w:val="right"/>
              <w:rPr>
                <w:rFonts w:cs="Arial"/>
                <w:sz w:val="16"/>
                <w:szCs w:val="16"/>
              </w:rPr>
            </w:pPr>
            <w:r w:rsidRPr="00EE5D67">
              <w:rPr>
                <w:rFonts w:cs="Arial"/>
                <w:sz w:val="16"/>
                <w:szCs w:val="16"/>
              </w:rPr>
              <w:t>213,9</w:t>
            </w:r>
          </w:p>
        </w:tc>
        <w:tc>
          <w:tcPr>
            <w:tcW w:w="686" w:type="dxa"/>
            <w:tcBorders>
              <w:top w:val="nil"/>
              <w:left w:val="nil"/>
              <w:bottom w:val="nil"/>
              <w:right w:val="nil"/>
            </w:tcBorders>
            <w:shd w:val="clear" w:color="auto" w:fill="auto"/>
            <w:noWrap/>
            <w:vAlign w:val="center"/>
            <w:hideMark/>
          </w:tcPr>
          <w:p w14:paraId="47760A2D" w14:textId="77777777" w:rsidR="00EE5D67" w:rsidRPr="00EE5D67" w:rsidRDefault="00EE5D67" w:rsidP="00EE5D67">
            <w:pPr>
              <w:spacing w:after="0" w:line="240" w:lineRule="auto"/>
              <w:jc w:val="right"/>
              <w:rPr>
                <w:rFonts w:cs="Arial"/>
                <w:sz w:val="16"/>
                <w:szCs w:val="16"/>
              </w:rPr>
            </w:pPr>
            <w:r w:rsidRPr="00EE5D67">
              <w:rPr>
                <w:rFonts w:cs="Arial"/>
                <w:sz w:val="16"/>
                <w:szCs w:val="16"/>
              </w:rPr>
              <w:t>97,1</w:t>
            </w:r>
          </w:p>
        </w:tc>
        <w:tc>
          <w:tcPr>
            <w:tcW w:w="687" w:type="dxa"/>
            <w:tcBorders>
              <w:top w:val="nil"/>
              <w:left w:val="nil"/>
              <w:bottom w:val="nil"/>
              <w:right w:val="single" w:sz="4" w:space="0" w:color="auto"/>
            </w:tcBorders>
            <w:shd w:val="clear" w:color="auto" w:fill="auto"/>
            <w:noWrap/>
            <w:vAlign w:val="center"/>
            <w:hideMark/>
          </w:tcPr>
          <w:p w14:paraId="16712F8D" w14:textId="77777777" w:rsidR="00EE5D67" w:rsidRPr="00EE5D67" w:rsidRDefault="00EE5D67" w:rsidP="00EE5D67">
            <w:pPr>
              <w:spacing w:after="0" w:line="240" w:lineRule="auto"/>
              <w:jc w:val="right"/>
              <w:rPr>
                <w:rFonts w:cs="Arial"/>
                <w:sz w:val="16"/>
                <w:szCs w:val="16"/>
              </w:rPr>
            </w:pPr>
            <w:r w:rsidRPr="00EE5D67">
              <w:rPr>
                <w:rFonts w:cs="Arial"/>
                <w:sz w:val="16"/>
                <w:szCs w:val="16"/>
              </w:rPr>
              <w:t>116,8</w:t>
            </w:r>
          </w:p>
        </w:tc>
        <w:tc>
          <w:tcPr>
            <w:tcW w:w="747" w:type="dxa"/>
            <w:tcBorders>
              <w:top w:val="nil"/>
              <w:left w:val="nil"/>
              <w:bottom w:val="nil"/>
              <w:right w:val="nil"/>
            </w:tcBorders>
            <w:shd w:val="clear" w:color="auto" w:fill="auto"/>
            <w:noWrap/>
            <w:vAlign w:val="center"/>
            <w:hideMark/>
          </w:tcPr>
          <w:p w14:paraId="0F39E77A" w14:textId="77777777" w:rsidR="00EE5D67" w:rsidRPr="00EE5D67" w:rsidRDefault="00EE5D67" w:rsidP="00EE5D67">
            <w:pPr>
              <w:spacing w:after="0" w:line="240" w:lineRule="auto"/>
              <w:jc w:val="right"/>
              <w:rPr>
                <w:rFonts w:cs="Arial"/>
                <w:sz w:val="16"/>
                <w:szCs w:val="16"/>
              </w:rPr>
            </w:pPr>
            <w:r w:rsidRPr="00EE5D67">
              <w:rPr>
                <w:rFonts w:cs="Arial"/>
                <w:sz w:val="16"/>
                <w:szCs w:val="16"/>
              </w:rPr>
              <w:t>183,8</w:t>
            </w:r>
          </w:p>
        </w:tc>
        <w:tc>
          <w:tcPr>
            <w:tcW w:w="686" w:type="dxa"/>
            <w:tcBorders>
              <w:top w:val="nil"/>
              <w:left w:val="nil"/>
              <w:bottom w:val="nil"/>
              <w:right w:val="nil"/>
            </w:tcBorders>
            <w:shd w:val="clear" w:color="auto" w:fill="auto"/>
            <w:noWrap/>
            <w:vAlign w:val="center"/>
            <w:hideMark/>
          </w:tcPr>
          <w:p w14:paraId="3B71F016" w14:textId="77777777" w:rsidR="00EE5D67" w:rsidRPr="00EE5D67" w:rsidRDefault="00EE5D67" w:rsidP="00EE5D67">
            <w:pPr>
              <w:spacing w:after="0" w:line="240" w:lineRule="auto"/>
              <w:jc w:val="right"/>
              <w:rPr>
                <w:rFonts w:cs="Arial"/>
                <w:sz w:val="16"/>
                <w:szCs w:val="16"/>
              </w:rPr>
            </w:pPr>
            <w:r w:rsidRPr="00EE5D67">
              <w:rPr>
                <w:rFonts w:cs="Arial"/>
                <w:sz w:val="16"/>
                <w:szCs w:val="16"/>
              </w:rPr>
              <w:t>78,5</w:t>
            </w:r>
          </w:p>
        </w:tc>
        <w:tc>
          <w:tcPr>
            <w:tcW w:w="687" w:type="dxa"/>
            <w:tcBorders>
              <w:top w:val="nil"/>
              <w:left w:val="nil"/>
              <w:bottom w:val="nil"/>
              <w:right w:val="single" w:sz="4" w:space="0" w:color="auto"/>
            </w:tcBorders>
            <w:shd w:val="clear" w:color="auto" w:fill="auto"/>
            <w:noWrap/>
            <w:vAlign w:val="center"/>
            <w:hideMark/>
          </w:tcPr>
          <w:p w14:paraId="1D1461BF" w14:textId="77777777" w:rsidR="00EE5D67" w:rsidRPr="00EE5D67" w:rsidRDefault="00EE5D67" w:rsidP="00EE5D67">
            <w:pPr>
              <w:spacing w:after="0" w:line="240" w:lineRule="auto"/>
              <w:jc w:val="right"/>
              <w:rPr>
                <w:rFonts w:cs="Arial"/>
                <w:sz w:val="16"/>
                <w:szCs w:val="16"/>
              </w:rPr>
            </w:pPr>
            <w:r w:rsidRPr="00EE5D67">
              <w:rPr>
                <w:rFonts w:cs="Arial"/>
                <w:sz w:val="16"/>
                <w:szCs w:val="16"/>
              </w:rPr>
              <w:t>105,2</w:t>
            </w:r>
          </w:p>
        </w:tc>
        <w:tc>
          <w:tcPr>
            <w:tcW w:w="761" w:type="dxa"/>
            <w:tcBorders>
              <w:top w:val="nil"/>
              <w:left w:val="nil"/>
              <w:bottom w:val="nil"/>
              <w:right w:val="nil"/>
            </w:tcBorders>
            <w:shd w:val="clear" w:color="auto" w:fill="auto"/>
            <w:noWrap/>
            <w:vAlign w:val="center"/>
            <w:hideMark/>
          </w:tcPr>
          <w:p w14:paraId="31F6A97D" w14:textId="77777777" w:rsidR="00EE5D67" w:rsidRPr="00EE5D67" w:rsidRDefault="00EE5D67" w:rsidP="00EE5D67">
            <w:pPr>
              <w:spacing w:after="0" w:line="240" w:lineRule="auto"/>
              <w:jc w:val="right"/>
              <w:rPr>
                <w:rFonts w:cs="Arial"/>
                <w:sz w:val="16"/>
                <w:szCs w:val="16"/>
              </w:rPr>
            </w:pPr>
            <w:r w:rsidRPr="00EE5D67">
              <w:rPr>
                <w:rFonts w:cs="Arial"/>
                <w:sz w:val="16"/>
                <w:szCs w:val="16"/>
              </w:rPr>
              <w:t>7,4</w:t>
            </w:r>
          </w:p>
        </w:tc>
        <w:tc>
          <w:tcPr>
            <w:tcW w:w="686" w:type="dxa"/>
            <w:tcBorders>
              <w:top w:val="nil"/>
              <w:left w:val="nil"/>
              <w:bottom w:val="nil"/>
              <w:right w:val="nil"/>
            </w:tcBorders>
            <w:shd w:val="clear" w:color="auto" w:fill="auto"/>
            <w:noWrap/>
            <w:vAlign w:val="center"/>
            <w:hideMark/>
          </w:tcPr>
          <w:p w14:paraId="5ED0F6BA" w14:textId="77777777" w:rsidR="00EE5D67" w:rsidRPr="00EE5D67" w:rsidRDefault="00EE5D67" w:rsidP="00EE5D67">
            <w:pPr>
              <w:spacing w:after="0" w:line="240" w:lineRule="auto"/>
              <w:jc w:val="right"/>
              <w:rPr>
                <w:rFonts w:cs="Arial"/>
                <w:sz w:val="16"/>
                <w:szCs w:val="16"/>
              </w:rPr>
            </w:pPr>
            <w:r w:rsidRPr="00EE5D67">
              <w:rPr>
                <w:rFonts w:cs="Arial"/>
                <w:sz w:val="16"/>
                <w:szCs w:val="16"/>
              </w:rPr>
              <w:t>5,1</w:t>
            </w:r>
          </w:p>
        </w:tc>
        <w:tc>
          <w:tcPr>
            <w:tcW w:w="687" w:type="dxa"/>
            <w:tcBorders>
              <w:top w:val="nil"/>
              <w:left w:val="nil"/>
              <w:bottom w:val="nil"/>
              <w:right w:val="single" w:sz="4" w:space="0" w:color="auto"/>
            </w:tcBorders>
            <w:shd w:val="clear" w:color="auto" w:fill="auto"/>
            <w:noWrap/>
            <w:vAlign w:val="center"/>
            <w:hideMark/>
          </w:tcPr>
          <w:p w14:paraId="11962101" w14:textId="77777777" w:rsidR="00EE5D67" w:rsidRPr="00EE5D67" w:rsidRDefault="00EE5D67" w:rsidP="00EE5D67">
            <w:pPr>
              <w:spacing w:after="0" w:line="240" w:lineRule="auto"/>
              <w:jc w:val="right"/>
              <w:rPr>
                <w:rFonts w:cs="Arial"/>
                <w:sz w:val="16"/>
                <w:szCs w:val="16"/>
              </w:rPr>
            </w:pPr>
            <w:r w:rsidRPr="00EE5D67">
              <w:rPr>
                <w:rFonts w:cs="Arial"/>
                <w:sz w:val="16"/>
                <w:szCs w:val="16"/>
              </w:rPr>
              <w:t>2,4</w:t>
            </w:r>
          </w:p>
        </w:tc>
        <w:tc>
          <w:tcPr>
            <w:tcW w:w="747" w:type="dxa"/>
            <w:tcBorders>
              <w:top w:val="nil"/>
              <w:left w:val="nil"/>
              <w:bottom w:val="nil"/>
              <w:right w:val="nil"/>
            </w:tcBorders>
            <w:shd w:val="clear" w:color="auto" w:fill="auto"/>
            <w:noWrap/>
            <w:vAlign w:val="center"/>
            <w:hideMark/>
          </w:tcPr>
          <w:p w14:paraId="477CD843" w14:textId="77777777" w:rsidR="00EE5D67" w:rsidRPr="00EE5D67" w:rsidRDefault="00EE5D67" w:rsidP="00EE5D67">
            <w:pPr>
              <w:spacing w:after="0" w:line="240" w:lineRule="auto"/>
              <w:jc w:val="right"/>
              <w:rPr>
                <w:rFonts w:cs="Arial"/>
                <w:sz w:val="16"/>
                <w:szCs w:val="16"/>
              </w:rPr>
            </w:pPr>
            <w:r w:rsidRPr="00EE5D67">
              <w:rPr>
                <w:rFonts w:cs="Arial"/>
                <w:sz w:val="16"/>
                <w:szCs w:val="16"/>
              </w:rPr>
              <w:t>22,7</w:t>
            </w:r>
          </w:p>
        </w:tc>
        <w:tc>
          <w:tcPr>
            <w:tcW w:w="686" w:type="dxa"/>
            <w:tcBorders>
              <w:top w:val="nil"/>
              <w:left w:val="nil"/>
              <w:bottom w:val="nil"/>
              <w:right w:val="nil"/>
            </w:tcBorders>
            <w:shd w:val="clear" w:color="auto" w:fill="auto"/>
            <w:noWrap/>
            <w:vAlign w:val="center"/>
            <w:hideMark/>
          </w:tcPr>
          <w:p w14:paraId="1B816553" w14:textId="77777777" w:rsidR="00EE5D67" w:rsidRPr="00EE5D67" w:rsidRDefault="00EE5D67" w:rsidP="00EE5D67">
            <w:pPr>
              <w:spacing w:after="0" w:line="240" w:lineRule="auto"/>
              <w:jc w:val="right"/>
              <w:rPr>
                <w:rFonts w:cs="Arial"/>
                <w:sz w:val="16"/>
                <w:szCs w:val="16"/>
              </w:rPr>
            </w:pPr>
            <w:r w:rsidRPr="00EE5D67">
              <w:rPr>
                <w:rFonts w:cs="Arial"/>
                <w:sz w:val="16"/>
                <w:szCs w:val="16"/>
              </w:rPr>
              <w:t>13,5</w:t>
            </w:r>
          </w:p>
        </w:tc>
        <w:tc>
          <w:tcPr>
            <w:tcW w:w="688" w:type="dxa"/>
            <w:tcBorders>
              <w:top w:val="nil"/>
              <w:left w:val="nil"/>
              <w:bottom w:val="nil"/>
              <w:right w:val="nil"/>
            </w:tcBorders>
            <w:shd w:val="clear" w:color="auto" w:fill="auto"/>
            <w:noWrap/>
            <w:vAlign w:val="center"/>
            <w:hideMark/>
          </w:tcPr>
          <w:p w14:paraId="4E18D29B" w14:textId="77777777" w:rsidR="00EE5D67" w:rsidRPr="00EE5D67" w:rsidRDefault="00EE5D67" w:rsidP="00EE5D67">
            <w:pPr>
              <w:spacing w:after="0" w:line="240" w:lineRule="auto"/>
              <w:jc w:val="right"/>
              <w:rPr>
                <w:rFonts w:cs="Arial"/>
                <w:sz w:val="16"/>
                <w:szCs w:val="16"/>
              </w:rPr>
            </w:pPr>
            <w:r w:rsidRPr="00EE5D67">
              <w:rPr>
                <w:rFonts w:cs="Arial"/>
                <w:sz w:val="16"/>
                <w:szCs w:val="16"/>
              </w:rPr>
              <w:t>9,2</w:t>
            </w:r>
          </w:p>
        </w:tc>
      </w:tr>
      <w:tr w:rsidR="00EE5D67" w:rsidRPr="00EE5D67" w14:paraId="4B03DCF7" w14:textId="77777777" w:rsidTr="00EE5D67">
        <w:trPr>
          <w:divId w:val="1275137038"/>
          <w:trHeight w:val="308"/>
        </w:trPr>
        <w:tc>
          <w:tcPr>
            <w:tcW w:w="991" w:type="dxa"/>
            <w:tcBorders>
              <w:top w:val="nil"/>
              <w:left w:val="nil"/>
              <w:bottom w:val="nil"/>
              <w:right w:val="single" w:sz="4" w:space="0" w:color="auto"/>
            </w:tcBorders>
            <w:shd w:val="clear" w:color="auto" w:fill="auto"/>
            <w:vAlign w:val="center"/>
            <w:hideMark/>
          </w:tcPr>
          <w:p w14:paraId="2400313D" w14:textId="77777777" w:rsidR="00EE5D67" w:rsidRPr="00EE5D67" w:rsidRDefault="00EE5D67" w:rsidP="00EE5D67">
            <w:pPr>
              <w:spacing w:after="0" w:line="240" w:lineRule="auto"/>
              <w:jc w:val="center"/>
              <w:rPr>
                <w:rFonts w:cs="Arial"/>
                <w:sz w:val="16"/>
                <w:szCs w:val="16"/>
              </w:rPr>
            </w:pPr>
            <w:r w:rsidRPr="00EE5D67">
              <w:rPr>
                <w:rFonts w:cs="Arial"/>
                <w:sz w:val="16"/>
                <w:szCs w:val="16"/>
              </w:rPr>
              <w:t>1. pol. 2018</w:t>
            </w:r>
          </w:p>
        </w:tc>
        <w:tc>
          <w:tcPr>
            <w:tcW w:w="747" w:type="dxa"/>
            <w:tcBorders>
              <w:top w:val="nil"/>
              <w:left w:val="nil"/>
              <w:bottom w:val="nil"/>
              <w:right w:val="nil"/>
            </w:tcBorders>
            <w:shd w:val="clear" w:color="auto" w:fill="auto"/>
            <w:noWrap/>
            <w:vAlign w:val="center"/>
            <w:hideMark/>
          </w:tcPr>
          <w:p w14:paraId="366DB545" w14:textId="77777777" w:rsidR="00EE5D67" w:rsidRPr="00EE5D67" w:rsidRDefault="00EE5D67" w:rsidP="00EE5D67">
            <w:pPr>
              <w:spacing w:after="0" w:line="240" w:lineRule="auto"/>
              <w:jc w:val="right"/>
              <w:rPr>
                <w:rFonts w:cs="Arial"/>
                <w:sz w:val="16"/>
                <w:szCs w:val="16"/>
              </w:rPr>
            </w:pPr>
            <w:r w:rsidRPr="00EE5D67">
              <w:rPr>
                <w:rFonts w:cs="Arial"/>
                <w:sz w:val="16"/>
                <w:szCs w:val="16"/>
              </w:rPr>
              <w:t>224,4</w:t>
            </w:r>
          </w:p>
        </w:tc>
        <w:tc>
          <w:tcPr>
            <w:tcW w:w="686" w:type="dxa"/>
            <w:tcBorders>
              <w:top w:val="nil"/>
              <w:left w:val="nil"/>
              <w:bottom w:val="nil"/>
              <w:right w:val="nil"/>
            </w:tcBorders>
            <w:shd w:val="clear" w:color="auto" w:fill="auto"/>
            <w:noWrap/>
            <w:vAlign w:val="center"/>
            <w:hideMark/>
          </w:tcPr>
          <w:p w14:paraId="29CFF62E" w14:textId="77777777" w:rsidR="00EE5D67" w:rsidRPr="00EE5D67" w:rsidRDefault="00EE5D67" w:rsidP="00EE5D67">
            <w:pPr>
              <w:spacing w:after="0" w:line="240" w:lineRule="auto"/>
              <w:jc w:val="right"/>
              <w:rPr>
                <w:rFonts w:cs="Arial"/>
                <w:sz w:val="16"/>
                <w:szCs w:val="16"/>
              </w:rPr>
            </w:pPr>
            <w:r w:rsidRPr="00EE5D67">
              <w:rPr>
                <w:rFonts w:cs="Arial"/>
                <w:sz w:val="16"/>
                <w:szCs w:val="16"/>
              </w:rPr>
              <w:t>101,9</w:t>
            </w:r>
          </w:p>
        </w:tc>
        <w:tc>
          <w:tcPr>
            <w:tcW w:w="687" w:type="dxa"/>
            <w:tcBorders>
              <w:top w:val="nil"/>
              <w:left w:val="nil"/>
              <w:bottom w:val="nil"/>
              <w:right w:val="single" w:sz="4" w:space="0" w:color="auto"/>
            </w:tcBorders>
            <w:shd w:val="clear" w:color="auto" w:fill="auto"/>
            <w:noWrap/>
            <w:vAlign w:val="center"/>
            <w:hideMark/>
          </w:tcPr>
          <w:p w14:paraId="2A23FB95" w14:textId="77777777" w:rsidR="00EE5D67" w:rsidRPr="00EE5D67" w:rsidRDefault="00EE5D67" w:rsidP="00EE5D67">
            <w:pPr>
              <w:spacing w:after="0" w:line="240" w:lineRule="auto"/>
              <w:jc w:val="right"/>
              <w:rPr>
                <w:rFonts w:cs="Arial"/>
                <w:sz w:val="16"/>
                <w:szCs w:val="16"/>
              </w:rPr>
            </w:pPr>
            <w:r w:rsidRPr="00EE5D67">
              <w:rPr>
                <w:rFonts w:cs="Arial"/>
                <w:sz w:val="16"/>
                <w:szCs w:val="16"/>
              </w:rPr>
              <w:t>122,6</w:t>
            </w:r>
          </w:p>
        </w:tc>
        <w:tc>
          <w:tcPr>
            <w:tcW w:w="747" w:type="dxa"/>
            <w:tcBorders>
              <w:top w:val="nil"/>
              <w:left w:val="nil"/>
              <w:bottom w:val="nil"/>
              <w:right w:val="nil"/>
            </w:tcBorders>
            <w:shd w:val="clear" w:color="auto" w:fill="auto"/>
            <w:noWrap/>
            <w:vAlign w:val="center"/>
            <w:hideMark/>
          </w:tcPr>
          <w:p w14:paraId="417757CC" w14:textId="77777777" w:rsidR="00EE5D67" w:rsidRPr="00EE5D67" w:rsidRDefault="00EE5D67" w:rsidP="00EE5D67">
            <w:pPr>
              <w:spacing w:after="0" w:line="240" w:lineRule="auto"/>
              <w:jc w:val="right"/>
              <w:rPr>
                <w:rFonts w:cs="Arial"/>
                <w:sz w:val="16"/>
                <w:szCs w:val="16"/>
              </w:rPr>
            </w:pPr>
            <w:r w:rsidRPr="00EE5D67">
              <w:rPr>
                <w:rFonts w:cs="Arial"/>
                <w:sz w:val="16"/>
                <w:szCs w:val="16"/>
              </w:rPr>
              <w:t>194,3</w:t>
            </w:r>
          </w:p>
        </w:tc>
        <w:tc>
          <w:tcPr>
            <w:tcW w:w="686" w:type="dxa"/>
            <w:tcBorders>
              <w:top w:val="nil"/>
              <w:left w:val="nil"/>
              <w:bottom w:val="nil"/>
              <w:right w:val="nil"/>
            </w:tcBorders>
            <w:shd w:val="clear" w:color="auto" w:fill="auto"/>
            <w:noWrap/>
            <w:vAlign w:val="center"/>
            <w:hideMark/>
          </w:tcPr>
          <w:p w14:paraId="1A7010B1" w14:textId="77777777" w:rsidR="00EE5D67" w:rsidRPr="00EE5D67" w:rsidRDefault="00EE5D67" w:rsidP="00EE5D67">
            <w:pPr>
              <w:spacing w:after="0" w:line="240" w:lineRule="auto"/>
              <w:jc w:val="right"/>
              <w:rPr>
                <w:rFonts w:cs="Arial"/>
                <w:sz w:val="16"/>
                <w:szCs w:val="16"/>
              </w:rPr>
            </w:pPr>
            <w:r w:rsidRPr="00EE5D67">
              <w:rPr>
                <w:rFonts w:cs="Arial"/>
                <w:sz w:val="16"/>
                <w:szCs w:val="16"/>
              </w:rPr>
              <w:t>83,3</w:t>
            </w:r>
          </w:p>
        </w:tc>
        <w:tc>
          <w:tcPr>
            <w:tcW w:w="687" w:type="dxa"/>
            <w:tcBorders>
              <w:top w:val="nil"/>
              <w:left w:val="nil"/>
              <w:bottom w:val="nil"/>
              <w:right w:val="single" w:sz="4" w:space="0" w:color="auto"/>
            </w:tcBorders>
            <w:shd w:val="clear" w:color="auto" w:fill="auto"/>
            <w:noWrap/>
            <w:vAlign w:val="center"/>
            <w:hideMark/>
          </w:tcPr>
          <w:p w14:paraId="583D1923" w14:textId="77777777" w:rsidR="00EE5D67" w:rsidRPr="00EE5D67" w:rsidRDefault="00EE5D67" w:rsidP="00EE5D67">
            <w:pPr>
              <w:spacing w:after="0" w:line="240" w:lineRule="auto"/>
              <w:jc w:val="right"/>
              <w:rPr>
                <w:rFonts w:cs="Arial"/>
                <w:sz w:val="16"/>
                <w:szCs w:val="16"/>
              </w:rPr>
            </w:pPr>
            <w:r w:rsidRPr="00EE5D67">
              <w:rPr>
                <w:rFonts w:cs="Arial"/>
                <w:sz w:val="16"/>
                <w:szCs w:val="16"/>
              </w:rPr>
              <w:t>111,0</w:t>
            </w:r>
          </w:p>
        </w:tc>
        <w:tc>
          <w:tcPr>
            <w:tcW w:w="761" w:type="dxa"/>
            <w:tcBorders>
              <w:top w:val="nil"/>
              <w:left w:val="nil"/>
              <w:bottom w:val="nil"/>
              <w:right w:val="nil"/>
            </w:tcBorders>
            <w:shd w:val="clear" w:color="auto" w:fill="auto"/>
            <w:noWrap/>
            <w:vAlign w:val="center"/>
            <w:hideMark/>
          </w:tcPr>
          <w:p w14:paraId="3AFA2E74" w14:textId="77777777" w:rsidR="00EE5D67" w:rsidRPr="00EE5D67" w:rsidRDefault="00EE5D67" w:rsidP="00EE5D67">
            <w:pPr>
              <w:spacing w:after="0" w:line="240" w:lineRule="auto"/>
              <w:jc w:val="right"/>
              <w:rPr>
                <w:rFonts w:cs="Arial"/>
                <w:sz w:val="16"/>
                <w:szCs w:val="16"/>
              </w:rPr>
            </w:pPr>
            <w:r w:rsidRPr="00EE5D67">
              <w:rPr>
                <w:rFonts w:cs="Arial"/>
                <w:sz w:val="16"/>
                <w:szCs w:val="16"/>
              </w:rPr>
              <w:t>7,3</w:t>
            </w:r>
          </w:p>
        </w:tc>
        <w:tc>
          <w:tcPr>
            <w:tcW w:w="686" w:type="dxa"/>
            <w:tcBorders>
              <w:top w:val="nil"/>
              <w:left w:val="nil"/>
              <w:bottom w:val="nil"/>
              <w:right w:val="nil"/>
            </w:tcBorders>
            <w:shd w:val="clear" w:color="auto" w:fill="auto"/>
            <w:noWrap/>
            <w:vAlign w:val="center"/>
            <w:hideMark/>
          </w:tcPr>
          <w:p w14:paraId="2AD4F0B5" w14:textId="77777777" w:rsidR="00EE5D67" w:rsidRPr="00EE5D67" w:rsidRDefault="00EE5D67" w:rsidP="00EE5D67">
            <w:pPr>
              <w:spacing w:after="0" w:line="240" w:lineRule="auto"/>
              <w:jc w:val="right"/>
              <w:rPr>
                <w:rFonts w:cs="Arial"/>
                <w:sz w:val="16"/>
                <w:szCs w:val="16"/>
              </w:rPr>
            </w:pPr>
            <w:r w:rsidRPr="00EE5D67">
              <w:rPr>
                <w:rFonts w:cs="Arial"/>
                <w:sz w:val="16"/>
                <w:szCs w:val="16"/>
              </w:rPr>
              <w:t>4,9</w:t>
            </w:r>
          </w:p>
        </w:tc>
        <w:tc>
          <w:tcPr>
            <w:tcW w:w="687" w:type="dxa"/>
            <w:tcBorders>
              <w:top w:val="nil"/>
              <w:left w:val="nil"/>
              <w:bottom w:val="nil"/>
              <w:right w:val="single" w:sz="4" w:space="0" w:color="auto"/>
            </w:tcBorders>
            <w:shd w:val="clear" w:color="auto" w:fill="auto"/>
            <w:noWrap/>
            <w:vAlign w:val="center"/>
            <w:hideMark/>
          </w:tcPr>
          <w:p w14:paraId="46231E0E" w14:textId="77777777" w:rsidR="00EE5D67" w:rsidRPr="00EE5D67" w:rsidRDefault="00EE5D67" w:rsidP="00EE5D67">
            <w:pPr>
              <w:spacing w:after="0" w:line="240" w:lineRule="auto"/>
              <w:jc w:val="right"/>
              <w:rPr>
                <w:rFonts w:cs="Arial"/>
                <w:sz w:val="16"/>
                <w:szCs w:val="16"/>
              </w:rPr>
            </w:pPr>
            <w:r w:rsidRPr="00EE5D67">
              <w:rPr>
                <w:rFonts w:cs="Arial"/>
                <w:sz w:val="16"/>
                <w:szCs w:val="16"/>
              </w:rPr>
              <w:t>2,4</w:t>
            </w:r>
          </w:p>
        </w:tc>
        <w:tc>
          <w:tcPr>
            <w:tcW w:w="747" w:type="dxa"/>
            <w:tcBorders>
              <w:top w:val="nil"/>
              <w:left w:val="nil"/>
              <w:bottom w:val="nil"/>
              <w:right w:val="nil"/>
            </w:tcBorders>
            <w:shd w:val="clear" w:color="auto" w:fill="auto"/>
            <w:noWrap/>
            <w:vAlign w:val="center"/>
            <w:hideMark/>
          </w:tcPr>
          <w:p w14:paraId="4C44D1CE" w14:textId="77777777" w:rsidR="00EE5D67" w:rsidRPr="00EE5D67" w:rsidRDefault="00EE5D67" w:rsidP="00EE5D67">
            <w:pPr>
              <w:spacing w:after="0" w:line="240" w:lineRule="auto"/>
              <w:jc w:val="right"/>
              <w:rPr>
                <w:rFonts w:cs="Arial"/>
                <w:sz w:val="16"/>
                <w:szCs w:val="16"/>
              </w:rPr>
            </w:pPr>
            <w:r w:rsidRPr="00EE5D67">
              <w:rPr>
                <w:rFonts w:cs="Arial"/>
                <w:sz w:val="16"/>
                <w:szCs w:val="16"/>
              </w:rPr>
              <w:t>22,9</w:t>
            </w:r>
          </w:p>
        </w:tc>
        <w:tc>
          <w:tcPr>
            <w:tcW w:w="686" w:type="dxa"/>
            <w:tcBorders>
              <w:top w:val="nil"/>
              <w:left w:val="nil"/>
              <w:bottom w:val="nil"/>
              <w:right w:val="nil"/>
            </w:tcBorders>
            <w:shd w:val="clear" w:color="auto" w:fill="auto"/>
            <w:noWrap/>
            <w:vAlign w:val="center"/>
            <w:hideMark/>
          </w:tcPr>
          <w:p w14:paraId="0731BA0F" w14:textId="77777777" w:rsidR="00EE5D67" w:rsidRPr="00EE5D67" w:rsidRDefault="00EE5D67" w:rsidP="00EE5D67">
            <w:pPr>
              <w:spacing w:after="0" w:line="240" w:lineRule="auto"/>
              <w:jc w:val="right"/>
              <w:rPr>
                <w:rFonts w:cs="Arial"/>
                <w:sz w:val="16"/>
                <w:szCs w:val="16"/>
              </w:rPr>
            </w:pPr>
            <w:r w:rsidRPr="00EE5D67">
              <w:rPr>
                <w:rFonts w:cs="Arial"/>
                <w:sz w:val="16"/>
                <w:szCs w:val="16"/>
              </w:rPr>
              <w:t>13,7</w:t>
            </w:r>
          </w:p>
        </w:tc>
        <w:tc>
          <w:tcPr>
            <w:tcW w:w="688" w:type="dxa"/>
            <w:tcBorders>
              <w:top w:val="nil"/>
              <w:left w:val="nil"/>
              <w:bottom w:val="nil"/>
              <w:right w:val="nil"/>
            </w:tcBorders>
            <w:shd w:val="clear" w:color="auto" w:fill="auto"/>
            <w:noWrap/>
            <w:vAlign w:val="center"/>
            <w:hideMark/>
          </w:tcPr>
          <w:p w14:paraId="19BB8C58" w14:textId="77777777" w:rsidR="00EE5D67" w:rsidRPr="00EE5D67" w:rsidRDefault="00EE5D67" w:rsidP="00EE5D67">
            <w:pPr>
              <w:spacing w:after="0" w:line="240" w:lineRule="auto"/>
              <w:jc w:val="right"/>
              <w:rPr>
                <w:rFonts w:cs="Arial"/>
                <w:sz w:val="16"/>
                <w:szCs w:val="16"/>
              </w:rPr>
            </w:pPr>
            <w:r w:rsidRPr="00EE5D67">
              <w:rPr>
                <w:rFonts w:cs="Arial"/>
                <w:sz w:val="16"/>
                <w:szCs w:val="16"/>
              </w:rPr>
              <w:t>9,2</w:t>
            </w:r>
          </w:p>
        </w:tc>
      </w:tr>
      <w:tr w:rsidR="00EE5D67" w:rsidRPr="00EE5D67" w14:paraId="1031CCEC" w14:textId="77777777" w:rsidTr="00EE5D67">
        <w:trPr>
          <w:divId w:val="1275137038"/>
          <w:trHeight w:val="308"/>
        </w:trPr>
        <w:tc>
          <w:tcPr>
            <w:tcW w:w="991" w:type="dxa"/>
            <w:tcBorders>
              <w:top w:val="nil"/>
              <w:left w:val="nil"/>
              <w:bottom w:val="nil"/>
              <w:right w:val="single" w:sz="4" w:space="0" w:color="auto"/>
            </w:tcBorders>
            <w:shd w:val="clear" w:color="auto" w:fill="auto"/>
            <w:vAlign w:val="center"/>
            <w:hideMark/>
          </w:tcPr>
          <w:p w14:paraId="6E40D721" w14:textId="77777777" w:rsidR="00EE5D67" w:rsidRPr="00EE5D67" w:rsidRDefault="00EE5D67" w:rsidP="00EE5D67">
            <w:pPr>
              <w:spacing w:after="0" w:line="240" w:lineRule="auto"/>
              <w:jc w:val="center"/>
              <w:rPr>
                <w:rFonts w:cs="Arial"/>
                <w:sz w:val="16"/>
                <w:szCs w:val="16"/>
              </w:rPr>
            </w:pPr>
            <w:r w:rsidRPr="00EE5D67">
              <w:rPr>
                <w:rFonts w:cs="Arial"/>
                <w:sz w:val="16"/>
                <w:szCs w:val="16"/>
              </w:rPr>
              <w:t>1. pol. 2019</w:t>
            </w:r>
          </w:p>
        </w:tc>
        <w:tc>
          <w:tcPr>
            <w:tcW w:w="747" w:type="dxa"/>
            <w:tcBorders>
              <w:top w:val="nil"/>
              <w:left w:val="nil"/>
              <w:bottom w:val="nil"/>
              <w:right w:val="nil"/>
            </w:tcBorders>
            <w:shd w:val="clear" w:color="auto" w:fill="auto"/>
            <w:noWrap/>
            <w:vAlign w:val="center"/>
            <w:hideMark/>
          </w:tcPr>
          <w:p w14:paraId="488A004D" w14:textId="77777777" w:rsidR="00EE5D67" w:rsidRPr="00EE5D67" w:rsidRDefault="00EE5D67" w:rsidP="00EE5D67">
            <w:pPr>
              <w:spacing w:after="0" w:line="240" w:lineRule="auto"/>
              <w:jc w:val="right"/>
              <w:rPr>
                <w:rFonts w:cs="Arial"/>
                <w:sz w:val="16"/>
                <w:szCs w:val="16"/>
              </w:rPr>
            </w:pPr>
            <w:r w:rsidRPr="00EE5D67">
              <w:rPr>
                <w:rFonts w:cs="Arial"/>
                <w:sz w:val="16"/>
                <w:szCs w:val="16"/>
              </w:rPr>
              <w:t>229,7</w:t>
            </w:r>
          </w:p>
        </w:tc>
        <w:tc>
          <w:tcPr>
            <w:tcW w:w="686" w:type="dxa"/>
            <w:tcBorders>
              <w:top w:val="nil"/>
              <w:left w:val="nil"/>
              <w:bottom w:val="nil"/>
              <w:right w:val="nil"/>
            </w:tcBorders>
            <w:shd w:val="clear" w:color="auto" w:fill="auto"/>
            <w:noWrap/>
            <w:vAlign w:val="center"/>
            <w:hideMark/>
          </w:tcPr>
          <w:p w14:paraId="713A78CA" w14:textId="77777777" w:rsidR="00EE5D67" w:rsidRPr="00EE5D67" w:rsidRDefault="00EE5D67" w:rsidP="00EE5D67">
            <w:pPr>
              <w:spacing w:after="0" w:line="240" w:lineRule="auto"/>
              <w:jc w:val="right"/>
              <w:rPr>
                <w:rFonts w:cs="Arial"/>
                <w:sz w:val="16"/>
                <w:szCs w:val="16"/>
              </w:rPr>
            </w:pPr>
            <w:r w:rsidRPr="00EE5D67">
              <w:rPr>
                <w:rFonts w:cs="Arial"/>
                <w:sz w:val="16"/>
                <w:szCs w:val="16"/>
              </w:rPr>
              <w:t>104,0</w:t>
            </w:r>
          </w:p>
        </w:tc>
        <w:tc>
          <w:tcPr>
            <w:tcW w:w="687" w:type="dxa"/>
            <w:tcBorders>
              <w:top w:val="nil"/>
              <w:left w:val="nil"/>
              <w:bottom w:val="nil"/>
              <w:right w:val="single" w:sz="4" w:space="0" w:color="auto"/>
            </w:tcBorders>
            <w:shd w:val="clear" w:color="auto" w:fill="auto"/>
            <w:noWrap/>
            <w:vAlign w:val="center"/>
            <w:hideMark/>
          </w:tcPr>
          <w:p w14:paraId="6B38D005" w14:textId="77777777" w:rsidR="00EE5D67" w:rsidRPr="00EE5D67" w:rsidRDefault="00EE5D67" w:rsidP="00EE5D67">
            <w:pPr>
              <w:spacing w:after="0" w:line="240" w:lineRule="auto"/>
              <w:jc w:val="right"/>
              <w:rPr>
                <w:rFonts w:cs="Arial"/>
                <w:sz w:val="16"/>
                <w:szCs w:val="16"/>
              </w:rPr>
            </w:pPr>
            <w:r w:rsidRPr="00EE5D67">
              <w:rPr>
                <w:rFonts w:cs="Arial"/>
                <w:sz w:val="16"/>
                <w:szCs w:val="16"/>
              </w:rPr>
              <w:t>125,7</w:t>
            </w:r>
          </w:p>
        </w:tc>
        <w:tc>
          <w:tcPr>
            <w:tcW w:w="747" w:type="dxa"/>
            <w:tcBorders>
              <w:top w:val="nil"/>
              <w:left w:val="nil"/>
              <w:bottom w:val="nil"/>
              <w:right w:val="nil"/>
            </w:tcBorders>
            <w:shd w:val="clear" w:color="auto" w:fill="auto"/>
            <w:noWrap/>
            <w:vAlign w:val="center"/>
            <w:hideMark/>
          </w:tcPr>
          <w:p w14:paraId="7D914CB8" w14:textId="77777777" w:rsidR="00EE5D67" w:rsidRPr="00EE5D67" w:rsidRDefault="00EE5D67" w:rsidP="00EE5D67">
            <w:pPr>
              <w:spacing w:after="0" w:line="240" w:lineRule="auto"/>
              <w:jc w:val="right"/>
              <w:rPr>
                <w:rFonts w:cs="Arial"/>
                <w:sz w:val="16"/>
                <w:szCs w:val="16"/>
              </w:rPr>
            </w:pPr>
            <w:r w:rsidRPr="00EE5D67">
              <w:rPr>
                <w:rFonts w:cs="Arial"/>
                <w:sz w:val="16"/>
                <w:szCs w:val="16"/>
              </w:rPr>
              <w:t>198,1</w:t>
            </w:r>
          </w:p>
        </w:tc>
        <w:tc>
          <w:tcPr>
            <w:tcW w:w="686" w:type="dxa"/>
            <w:tcBorders>
              <w:top w:val="nil"/>
              <w:left w:val="nil"/>
              <w:bottom w:val="nil"/>
              <w:right w:val="nil"/>
            </w:tcBorders>
            <w:shd w:val="clear" w:color="auto" w:fill="auto"/>
            <w:noWrap/>
            <w:vAlign w:val="center"/>
            <w:hideMark/>
          </w:tcPr>
          <w:p w14:paraId="4A392741" w14:textId="77777777" w:rsidR="00EE5D67" w:rsidRPr="00EE5D67" w:rsidRDefault="00EE5D67" w:rsidP="00EE5D67">
            <w:pPr>
              <w:spacing w:after="0" w:line="240" w:lineRule="auto"/>
              <w:jc w:val="right"/>
              <w:rPr>
                <w:rFonts w:cs="Arial"/>
                <w:sz w:val="16"/>
                <w:szCs w:val="16"/>
              </w:rPr>
            </w:pPr>
            <w:r w:rsidRPr="00EE5D67">
              <w:rPr>
                <w:rFonts w:cs="Arial"/>
                <w:sz w:val="16"/>
                <w:szCs w:val="16"/>
              </w:rPr>
              <w:t>84,7</w:t>
            </w:r>
          </w:p>
        </w:tc>
        <w:tc>
          <w:tcPr>
            <w:tcW w:w="687" w:type="dxa"/>
            <w:tcBorders>
              <w:top w:val="nil"/>
              <w:left w:val="nil"/>
              <w:bottom w:val="nil"/>
              <w:right w:val="single" w:sz="4" w:space="0" w:color="auto"/>
            </w:tcBorders>
            <w:shd w:val="clear" w:color="auto" w:fill="auto"/>
            <w:noWrap/>
            <w:vAlign w:val="center"/>
            <w:hideMark/>
          </w:tcPr>
          <w:p w14:paraId="0DA3BE8F" w14:textId="77777777" w:rsidR="00EE5D67" w:rsidRPr="00EE5D67" w:rsidRDefault="00EE5D67" w:rsidP="00EE5D67">
            <w:pPr>
              <w:spacing w:after="0" w:line="240" w:lineRule="auto"/>
              <w:jc w:val="right"/>
              <w:rPr>
                <w:rFonts w:cs="Arial"/>
                <w:sz w:val="16"/>
                <w:szCs w:val="16"/>
              </w:rPr>
            </w:pPr>
            <w:r w:rsidRPr="00EE5D67">
              <w:rPr>
                <w:rFonts w:cs="Arial"/>
                <w:sz w:val="16"/>
                <w:szCs w:val="16"/>
              </w:rPr>
              <w:t>113,5</w:t>
            </w:r>
          </w:p>
        </w:tc>
        <w:tc>
          <w:tcPr>
            <w:tcW w:w="761" w:type="dxa"/>
            <w:tcBorders>
              <w:top w:val="nil"/>
              <w:left w:val="nil"/>
              <w:bottom w:val="nil"/>
              <w:right w:val="nil"/>
            </w:tcBorders>
            <w:shd w:val="clear" w:color="auto" w:fill="auto"/>
            <w:noWrap/>
            <w:vAlign w:val="center"/>
            <w:hideMark/>
          </w:tcPr>
          <w:p w14:paraId="5DD23489" w14:textId="77777777" w:rsidR="00EE5D67" w:rsidRPr="00EE5D67" w:rsidRDefault="00EE5D67" w:rsidP="00EE5D67">
            <w:pPr>
              <w:spacing w:after="0" w:line="240" w:lineRule="auto"/>
              <w:jc w:val="right"/>
              <w:rPr>
                <w:rFonts w:cs="Arial"/>
                <w:sz w:val="16"/>
                <w:szCs w:val="16"/>
              </w:rPr>
            </w:pPr>
            <w:r w:rsidRPr="00EE5D67">
              <w:rPr>
                <w:rFonts w:cs="Arial"/>
                <w:sz w:val="16"/>
                <w:szCs w:val="16"/>
              </w:rPr>
              <w:t>7,3</w:t>
            </w:r>
          </w:p>
        </w:tc>
        <w:tc>
          <w:tcPr>
            <w:tcW w:w="686" w:type="dxa"/>
            <w:tcBorders>
              <w:top w:val="nil"/>
              <w:left w:val="nil"/>
              <w:bottom w:val="nil"/>
              <w:right w:val="nil"/>
            </w:tcBorders>
            <w:shd w:val="clear" w:color="auto" w:fill="auto"/>
            <w:noWrap/>
            <w:vAlign w:val="center"/>
            <w:hideMark/>
          </w:tcPr>
          <w:p w14:paraId="64365BA3" w14:textId="77777777" w:rsidR="00EE5D67" w:rsidRPr="00EE5D67" w:rsidRDefault="00EE5D67" w:rsidP="00EE5D67">
            <w:pPr>
              <w:spacing w:after="0" w:line="240" w:lineRule="auto"/>
              <w:jc w:val="right"/>
              <w:rPr>
                <w:rFonts w:cs="Arial"/>
                <w:sz w:val="16"/>
                <w:szCs w:val="16"/>
              </w:rPr>
            </w:pPr>
            <w:r w:rsidRPr="00EE5D67">
              <w:rPr>
                <w:rFonts w:cs="Arial"/>
                <w:sz w:val="16"/>
                <w:szCs w:val="16"/>
              </w:rPr>
              <w:t>4,9</w:t>
            </w:r>
          </w:p>
        </w:tc>
        <w:tc>
          <w:tcPr>
            <w:tcW w:w="687" w:type="dxa"/>
            <w:tcBorders>
              <w:top w:val="nil"/>
              <w:left w:val="nil"/>
              <w:bottom w:val="nil"/>
              <w:right w:val="single" w:sz="4" w:space="0" w:color="auto"/>
            </w:tcBorders>
            <w:shd w:val="clear" w:color="auto" w:fill="auto"/>
            <w:noWrap/>
            <w:vAlign w:val="center"/>
            <w:hideMark/>
          </w:tcPr>
          <w:p w14:paraId="14665D53" w14:textId="77777777" w:rsidR="00EE5D67" w:rsidRPr="00EE5D67" w:rsidRDefault="00EE5D67" w:rsidP="00EE5D67">
            <w:pPr>
              <w:spacing w:after="0" w:line="240" w:lineRule="auto"/>
              <w:jc w:val="right"/>
              <w:rPr>
                <w:rFonts w:cs="Arial"/>
                <w:sz w:val="16"/>
                <w:szCs w:val="16"/>
              </w:rPr>
            </w:pPr>
            <w:r w:rsidRPr="00EE5D67">
              <w:rPr>
                <w:rFonts w:cs="Arial"/>
                <w:sz w:val="16"/>
                <w:szCs w:val="16"/>
              </w:rPr>
              <w:t>2,4</w:t>
            </w:r>
          </w:p>
        </w:tc>
        <w:tc>
          <w:tcPr>
            <w:tcW w:w="747" w:type="dxa"/>
            <w:tcBorders>
              <w:top w:val="nil"/>
              <w:left w:val="nil"/>
              <w:bottom w:val="nil"/>
              <w:right w:val="nil"/>
            </w:tcBorders>
            <w:shd w:val="clear" w:color="auto" w:fill="auto"/>
            <w:noWrap/>
            <w:vAlign w:val="center"/>
            <w:hideMark/>
          </w:tcPr>
          <w:p w14:paraId="3616FC37" w14:textId="77777777" w:rsidR="00EE5D67" w:rsidRPr="00EE5D67" w:rsidRDefault="00EE5D67" w:rsidP="00EE5D67">
            <w:pPr>
              <w:spacing w:after="0" w:line="240" w:lineRule="auto"/>
              <w:jc w:val="right"/>
              <w:rPr>
                <w:rFonts w:cs="Arial"/>
                <w:sz w:val="16"/>
                <w:szCs w:val="16"/>
              </w:rPr>
            </w:pPr>
            <w:r w:rsidRPr="00EE5D67">
              <w:rPr>
                <w:rFonts w:cs="Arial"/>
                <w:sz w:val="16"/>
                <w:szCs w:val="16"/>
              </w:rPr>
              <w:t>24,3</w:t>
            </w:r>
          </w:p>
        </w:tc>
        <w:tc>
          <w:tcPr>
            <w:tcW w:w="686" w:type="dxa"/>
            <w:tcBorders>
              <w:top w:val="nil"/>
              <w:left w:val="nil"/>
              <w:bottom w:val="nil"/>
              <w:right w:val="nil"/>
            </w:tcBorders>
            <w:shd w:val="clear" w:color="auto" w:fill="auto"/>
            <w:noWrap/>
            <w:vAlign w:val="center"/>
            <w:hideMark/>
          </w:tcPr>
          <w:p w14:paraId="2AD69343" w14:textId="77777777" w:rsidR="00EE5D67" w:rsidRPr="00EE5D67" w:rsidRDefault="00EE5D67" w:rsidP="00EE5D67">
            <w:pPr>
              <w:spacing w:after="0" w:line="240" w:lineRule="auto"/>
              <w:jc w:val="right"/>
              <w:rPr>
                <w:rFonts w:cs="Arial"/>
                <w:sz w:val="16"/>
                <w:szCs w:val="16"/>
              </w:rPr>
            </w:pPr>
            <w:r w:rsidRPr="00EE5D67">
              <w:rPr>
                <w:rFonts w:cs="Arial"/>
                <w:sz w:val="16"/>
                <w:szCs w:val="16"/>
              </w:rPr>
              <w:t>14,4</w:t>
            </w:r>
          </w:p>
        </w:tc>
        <w:tc>
          <w:tcPr>
            <w:tcW w:w="688" w:type="dxa"/>
            <w:tcBorders>
              <w:top w:val="nil"/>
              <w:left w:val="nil"/>
              <w:bottom w:val="nil"/>
              <w:right w:val="nil"/>
            </w:tcBorders>
            <w:shd w:val="clear" w:color="auto" w:fill="auto"/>
            <w:noWrap/>
            <w:vAlign w:val="center"/>
            <w:hideMark/>
          </w:tcPr>
          <w:p w14:paraId="04DC3D8C" w14:textId="77777777" w:rsidR="00EE5D67" w:rsidRPr="00EE5D67" w:rsidRDefault="00EE5D67" w:rsidP="00EE5D67">
            <w:pPr>
              <w:spacing w:after="0" w:line="240" w:lineRule="auto"/>
              <w:jc w:val="right"/>
              <w:rPr>
                <w:rFonts w:cs="Arial"/>
                <w:sz w:val="16"/>
                <w:szCs w:val="16"/>
              </w:rPr>
            </w:pPr>
            <w:r w:rsidRPr="00EE5D67">
              <w:rPr>
                <w:rFonts w:cs="Arial"/>
                <w:sz w:val="16"/>
                <w:szCs w:val="16"/>
              </w:rPr>
              <w:t>9,8</w:t>
            </w:r>
          </w:p>
        </w:tc>
      </w:tr>
    </w:tbl>
    <w:p w14:paraId="699393E2" w14:textId="6507CE03" w:rsidR="00502782" w:rsidRDefault="00EF49F3" w:rsidP="00985367">
      <w:pPr>
        <w:spacing w:before="120"/>
        <w:jc w:val="both"/>
      </w:pPr>
      <w:r>
        <w:fldChar w:fldCharType="end"/>
      </w:r>
      <w:r w:rsidR="00271088">
        <w:rPr>
          <w:rFonts w:cs="Arial"/>
          <w:sz w:val="16"/>
          <w:szCs w:val="16"/>
        </w:rPr>
        <w:t>Zdroj: ČSÚ</w:t>
      </w:r>
    </w:p>
    <w:p w14:paraId="5D9D32B8" w14:textId="77777777" w:rsidR="00EE4B1B" w:rsidRDefault="00977F2A" w:rsidP="006701EE">
      <w:pPr>
        <w:pStyle w:val="Nadpis2"/>
        <w:spacing w:after="100"/>
      </w:pPr>
      <w:bookmarkStart w:id="7" w:name="_Toc23318730"/>
      <w:r>
        <w:lastRenderedPageBreak/>
        <w:t>4.3. Ukončené případy dočasné pracovní neschopnosti</w:t>
      </w:r>
      <w:bookmarkEnd w:id="7"/>
    </w:p>
    <w:p w14:paraId="0991D2ED" w14:textId="222417F8" w:rsidR="00A270F2" w:rsidRDefault="00A270F2" w:rsidP="006301B8">
      <w:pPr>
        <w:jc w:val="both"/>
        <w:rPr>
          <w:rFonts w:cs="Arial"/>
          <w:szCs w:val="20"/>
        </w:rPr>
      </w:pPr>
      <w:r>
        <w:rPr>
          <w:rFonts w:cs="Arial"/>
          <w:szCs w:val="20"/>
        </w:rPr>
        <w:t>Zatímco doposud se analýza týkala nově hlášených případů dočasné pracovní neschopnosti (kapitola 4.2) tak</w:t>
      </w:r>
      <w:r w:rsidR="00D35C57">
        <w:rPr>
          <w:rFonts w:cs="Arial"/>
          <w:szCs w:val="20"/>
        </w:rPr>
        <w:t>,</w:t>
      </w:r>
      <w:r>
        <w:rPr>
          <w:rFonts w:cs="Arial"/>
          <w:szCs w:val="20"/>
        </w:rPr>
        <w:t xml:space="preserve"> jak data zpracovává ČSÚ z evidence ČSSZ, jiný pohled nabízí </w:t>
      </w:r>
      <w:r w:rsidR="004F3B71">
        <w:rPr>
          <w:rFonts w:cs="Arial"/>
          <w:szCs w:val="20"/>
        </w:rPr>
        <w:t xml:space="preserve">data </w:t>
      </w:r>
      <w:r w:rsidR="00D85E22">
        <w:rPr>
          <w:rFonts w:cs="Arial"/>
          <w:szCs w:val="20"/>
        </w:rPr>
        <w:t xml:space="preserve">přímo </w:t>
      </w:r>
      <w:r w:rsidR="00D35C57">
        <w:rPr>
          <w:rFonts w:cs="Arial"/>
          <w:szCs w:val="20"/>
        </w:rPr>
        <w:t xml:space="preserve">publikovaná </w:t>
      </w:r>
      <w:r w:rsidR="004F3B71">
        <w:rPr>
          <w:rFonts w:cs="Arial"/>
          <w:szCs w:val="20"/>
        </w:rPr>
        <w:t>ČSSZ.</w:t>
      </w:r>
      <w:r>
        <w:rPr>
          <w:rFonts w:cs="Arial"/>
          <w:szCs w:val="20"/>
        </w:rPr>
        <w:t xml:space="preserve"> </w:t>
      </w:r>
      <w:r w:rsidR="00D35C57">
        <w:rPr>
          <w:rFonts w:cs="Arial"/>
          <w:szCs w:val="20"/>
        </w:rPr>
        <w:t>Přináší</w:t>
      </w:r>
      <w:r>
        <w:rPr>
          <w:rFonts w:cs="Arial"/>
          <w:szCs w:val="20"/>
        </w:rPr>
        <w:t xml:space="preserve"> údaje o ukončených případech pracovní neschopnosti, které taktéž zpracovává z</w:t>
      </w:r>
      <w:r w:rsidR="004F3B71">
        <w:rPr>
          <w:rFonts w:cs="Arial"/>
          <w:szCs w:val="20"/>
        </w:rPr>
        <w:t>e své</w:t>
      </w:r>
      <w:r>
        <w:rPr>
          <w:rFonts w:cs="Arial"/>
          <w:szCs w:val="20"/>
        </w:rPr>
        <w:t> evidence</w:t>
      </w:r>
      <w:r w:rsidR="004F3B71">
        <w:rPr>
          <w:rFonts w:cs="Arial"/>
          <w:szCs w:val="20"/>
        </w:rPr>
        <w:t>.</w:t>
      </w:r>
      <w:r>
        <w:rPr>
          <w:rFonts w:cs="Arial"/>
          <w:szCs w:val="20"/>
        </w:rPr>
        <w:t xml:space="preserve"> Rozdíly v počtech nově hlášených a ukončených případů dočasné pracovní neschopnosti jsou dány odlišnou metodikou sběru dat. Trendy vývoje těchto ukazatelů jsou však konzistentní. </w:t>
      </w:r>
    </w:p>
    <w:p w14:paraId="75323BD7" w14:textId="5604457C" w:rsidR="00620BF7" w:rsidRDefault="00A270F2" w:rsidP="00B630A8">
      <w:pPr>
        <w:jc w:val="both"/>
        <w:rPr>
          <w:rFonts w:cs="Arial"/>
          <w:szCs w:val="20"/>
        </w:rPr>
      </w:pPr>
      <w:r>
        <w:rPr>
          <w:rFonts w:cs="Arial"/>
          <w:szCs w:val="20"/>
        </w:rPr>
        <w:t xml:space="preserve">Na rozdíl od statistik nově hlášených případů dočasné pracovní neschopnosti, které zajišťuje a zpracovává ČSÚ, </w:t>
      </w:r>
      <w:r w:rsidR="00645E83">
        <w:rPr>
          <w:rFonts w:cs="Arial"/>
          <w:szCs w:val="20"/>
        </w:rPr>
        <w:t>ČSSZ</w:t>
      </w:r>
      <w:r>
        <w:rPr>
          <w:rFonts w:cs="Arial"/>
          <w:szCs w:val="20"/>
        </w:rPr>
        <w:t xml:space="preserve"> sleduje dočasné pracovní neschopnosti </w:t>
      </w:r>
      <w:r w:rsidR="00620BF7">
        <w:rPr>
          <w:rFonts w:cs="Arial"/>
          <w:szCs w:val="20"/>
        </w:rPr>
        <w:t xml:space="preserve">z pohledu </w:t>
      </w:r>
      <w:r w:rsidR="00620BF7" w:rsidRPr="00620BF7">
        <w:rPr>
          <w:rFonts w:cs="Arial"/>
          <w:b/>
          <w:szCs w:val="20"/>
        </w:rPr>
        <w:t>případů</w:t>
      </w:r>
      <w:r w:rsidRPr="00A270F2">
        <w:rPr>
          <w:rFonts w:cs="Arial"/>
          <w:b/>
          <w:szCs w:val="20"/>
        </w:rPr>
        <w:t xml:space="preserve"> uk</w:t>
      </w:r>
      <w:r w:rsidR="00620BF7">
        <w:rPr>
          <w:rFonts w:cs="Arial"/>
          <w:b/>
          <w:szCs w:val="20"/>
        </w:rPr>
        <w:t xml:space="preserve">ončených ve sledovaném roce </w:t>
      </w:r>
      <w:r w:rsidR="00620BF7" w:rsidRPr="00620BF7">
        <w:rPr>
          <w:rFonts w:cs="Arial"/>
          <w:szCs w:val="20"/>
        </w:rPr>
        <w:t>(při zpracování pololetních dat se jedná o stav k 30. 6.).</w:t>
      </w:r>
      <w:r w:rsidR="00620BF7">
        <w:rPr>
          <w:rFonts w:cs="Arial"/>
          <w:b/>
          <w:szCs w:val="20"/>
        </w:rPr>
        <w:t xml:space="preserve"> </w:t>
      </w:r>
      <w:r>
        <w:rPr>
          <w:rFonts w:cs="Arial"/>
          <w:szCs w:val="20"/>
        </w:rPr>
        <w:t xml:space="preserve">Některé případy vzniklé na konci roku jsou tak v závislosti na délce jejich trvání evidovány až ve zpracování dat pracovní neschopnosti roku následujícího. </w:t>
      </w:r>
      <w:r w:rsidR="004F3B71">
        <w:rPr>
          <w:rFonts w:cs="Arial"/>
          <w:szCs w:val="20"/>
        </w:rPr>
        <w:t xml:space="preserve">Pro zpestření pohledu na statistku nemocnosti byla vybraná data z tohoto zdroje využita v této kapitole. </w:t>
      </w:r>
      <w:r w:rsidR="00645E83">
        <w:rPr>
          <w:rFonts w:cs="Arial"/>
          <w:szCs w:val="20"/>
        </w:rPr>
        <w:t>Statistiky ukončených případů jsou k dispozici v</w:t>
      </w:r>
      <w:r>
        <w:rPr>
          <w:rFonts w:cs="Arial"/>
          <w:szCs w:val="20"/>
        </w:rPr>
        <w:t xml:space="preserve"> třídění </w:t>
      </w:r>
      <w:r w:rsidR="004F3B71">
        <w:rPr>
          <w:rFonts w:cs="Arial"/>
          <w:szCs w:val="20"/>
        </w:rPr>
        <w:t>spíše z pohledu pojištěnce než z pohledu zaměstnavatele</w:t>
      </w:r>
      <w:r w:rsidR="00645E83">
        <w:rPr>
          <w:rFonts w:cs="Arial"/>
          <w:szCs w:val="20"/>
        </w:rPr>
        <w:t>,</w:t>
      </w:r>
      <w:r w:rsidR="004F3B71">
        <w:rPr>
          <w:rFonts w:cs="Arial"/>
          <w:szCs w:val="20"/>
        </w:rPr>
        <w:t xml:space="preserve"> jak bylo dosud prezentováno a jak uvádí ČSÚ. </w:t>
      </w:r>
      <w:r w:rsidR="00645E83">
        <w:rPr>
          <w:rFonts w:cs="Arial"/>
          <w:szCs w:val="20"/>
        </w:rPr>
        <w:t xml:space="preserve">ČSSZ </w:t>
      </w:r>
      <w:r w:rsidR="004F3B71">
        <w:rPr>
          <w:rFonts w:cs="Arial"/>
          <w:szCs w:val="20"/>
        </w:rPr>
        <w:t>umožňuje srovnání zejména dle věku práce neschopných, délky trvání a skupin diagnóz.</w:t>
      </w:r>
      <w:r w:rsidR="00620BF7">
        <w:rPr>
          <w:rFonts w:cs="Arial"/>
          <w:szCs w:val="20"/>
        </w:rPr>
        <w:t xml:space="preserve"> </w:t>
      </w:r>
    </w:p>
    <w:p w14:paraId="098E81BE" w14:textId="1F018663" w:rsidR="00977F2A" w:rsidRPr="00F46EA8" w:rsidRDefault="00E9007A" w:rsidP="00E9007A">
      <w:pPr>
        <w:pStyle w:val="Box1"/>
        <w:jc w:val="both"/>
        <w:rPr>
          <w:i/>
        </w:rPr>
      </w:pPr>
      <w:r>
        <w:rPr>
          <w:b/>
          <w:i/>
        </w:rPr>
        <w:t>Ukončené případy pracovní neschopnosti</w:t>
      </w:r>
      <w:r w:rsidR="00977F2A" w:rsidRPr="00F46EA8">
        <w:rPr>
          <w:b/>
          <w:i/>
        </w:rPr>
        <w:t xml:space="preserve"> </w:t>
      </w:r>
      <w:r w:rsidR="00977F2A" w:rsidRPr="00F46EA8">
        <w:rPr>
          <w:i/>
        </w:rPr>
        <w:t xml:space="preserve">– </w:t>
      </w:r>
      <w:r>
        <w:rPr>
          <w:i/>
        </w:rPr>
        <w:t>zahrnují veškerá onemocnění a úrazy, které zapříčinily alespoň jednodenní pracovní neschopnost u nemocensky pojištěných osob ukončenou v daném roce</w:t>
      </w:r>
      <w:r w:rsidR="0047242F">
        <w:rPr>
          <w:i/>
        </w:rPr>
        <w:t xml:space="preserve"> (resp. zde pololetí)</w:t>
      </w:r>
      <w:r w:rsidR="004F3B71">
        <w:rPr>
          <w:i/>
        </w:rPr>
        <w:t xml:space="preserve">. </w:t>
      </w:r>
      <w:r>
        <w:rPr>
          <w:i/>
        </w:rPr>
        <w:t>Neza</w:t>
      </w:r>
      <w:r w:rsidR="0047242F">
        <w:rPr>
          <w:i/>
        </w:rPr>
        <w:t xml:space="preserve">hrnuje tedy onemocnění a úrazy, </w:t>
      </w:r>
      <w:r>
        <w:rPr>
          <w:i/>
        </w:rPr>
        <w:t>kdy nebylo vystaveno „Rozhodnutí o</w:t>
      </w:r>
      <w:r w:rsidR="00614C38">
        <w:rPr>
          <w:i/>
        </w:rPr>
        <w:t> </w:t>
      </w:r>
      <w:r>
        <w:rPr>
          <w:i/>
        </w:rPr>
        <w:t>dočasné pracovní neschopnosti“</w:t>
      </w:r>
      <w:r w:rsidR="00977F2A" w:rsidRPr="00F46EA8">
        <w:rPr>
          <w:i/>
        </w:rPr>
        <w:t>.</w:t>
      </w:r>
      <w:r w:rsidR="004F3B71">
        <w:rPr>
          <w:i/>
        </w:rPr>
        <w:t xml:space="preserve"> Při zpracování pololetních dat se jedná o stav k 30. 6.</w:t>
      </w:r>
    </w:p>
    <w:p w14:paraId="7016F33A" w14:textId="322AA033" w:rsidR="001D2B7D" w:rsidRDefault="00F659EB" w:rsidP="001D2B7D">
      <w:pPr>
        <w:pStyle w:val="Normlnweb"/>
        <w:spacing w:after="240" w:afterAutospacing="0" w:line="288" w:lineRule="auto"/>
        <w:jc w:val="both"/>
        <w:rPr>
          <w:rFonts w:ascii="Arial" w:hAnsi="Arial"/>
          <w:sz w:val="20"/>
        </w:rPr>
      </w:pPr>
      <w:r w:rsidRPr="00F659EB">
        <w:rPr>
          <w:rFonts w:ascii="Arial" w:hAnsi="Arial"/>
          <w:sz w:val="20"/>
        </w:rPr>
        <w:t xml:space="preserve">Za prvních šest měsíců letošního roku evidovala ČSSZ </w:t>
      </w:r>
      <w:r w:rsidR="00645E83">
        <w:rPr>
          <w:rFonts w:ascii="Arial" w:hAnsi="Arial"/>
          <w:sz w:val="20"/>
        </w:rPr>
        <w:t>963</w:t>
      </w:r>
      <w:r w:rsidR="005A0510">
        <w:rPr>
          <w:rFonts w:ascii="Arial" w:hAnsi="Arial"/>
          <w:sz w:val="20"/>
        </w:rPr>
        <w:t> </w:t>
      </w:r>
      <w:r w:rsidR="00645E83">
        <w:rPr>
          <w:rFonts w:ascii="Arial" w:hAnsi="Arial"/>
          <w:sz w:val="20"/>
        </w:rPr>
        <w:t>888</w:t>
      </w:r>
      <w:r w:rsidR="005A0510">
        <w:rPr>
          <w:rFonts w:ascii="Arial" w:hAnsi="Arial"/>
          <w:sz w:val="20"/>
        </w:rPr>
        <w:t> </w:t>
      </w:r>
      <w:r w:rsidRPr="0094763D">
        <w:rPr>
          <w:rFonts w:ascii="Arial" w:hAnsi="Arial"/>
          <w:b/>
          <w:sz w:val="20"/>
        </w:rPr>
        <w:t>ukončených případů dočasných pracovních neschopností</w:t>
      </w:r>
      <w:r w:rsidR="00D85E22">
        <w:rPr>
          <w:rFonts w:ascii="Arial" w:hAnsi="Arial"/>
          <w:sz w:val="20"/>
        </w:rPr>
        <w:t>,</w:t>
      </w:r>
      <w:r w:rsidRPr="00F659EB">
        <w:rPr>
          <w:rFonts w:ascii="Arial" w:hAnsi="Arial"/>
          <w:sz w:val="20"/>
        </w:rPr>
        <w:t xml:space="preserve"> což je o </w:t>
      </w:r>
      <w:r w:rsidR="00645E83">
        <w:rPr>
          <w:rFonts w:ascii="Arial" w:hAnsi="Arial"/>
          <w:sz w:val="20"/>
        </w:rPr>
        <w:t>5,2</w:t>
      </w:r>
      <w:r w:rsidRPr="00F659EB">
        <w:rPr>
          <w:rFonts w:ascii="Arial" w:hAnsi="Arial"/>
          <w:sz w:val="20"/>
        </w:rPr>
        <w:t xml:space="preserve"> % </w:t>
      </w:r>
      <w:r w:rsidR="00645E83">
        <w:rPr>
          <w:rFonts w:ascii="Arial" w:hAnsi="Arial"/>
          <w:sz w:val="20"/>
        </w:rPr>
        <w:t>méně</w:t>
      </w:r>
      <w:r w:rsidRPr="00F659EB">
        <w:rPr>
          <w:rFonts w:ascii="Arial" w:hAnsi="Arial"/>
          <w:sz w:val="20"/>
        </w:rPr>
        <w:t xml:space="preserve"> než z</w:t>
      </w:r>
      <w:r w:rsidR="001D2B7D">
        <w:rPr>
          <w:rFonts w:ascii="Arial" w:hAnsi="Arial"/>
          <w:sz w:val="20"/>
        </w:rPr>
        <w:t xml:space="preserve">a stejné období loňského roku. </w:t>
      </w:r>
      <w:r w:rsidR="00D853A4">
        <w:rPr>
          <w:rFonts w:ascii="Arial" w:hAnsi="Arial"/>
          <w:sz w:val="20"/>
        </w:rPr>
        <w:t xml:space="preserve">Nejvíce případů ukončených </w:t>
      </w:r>
      <w:r w:rsidRPr="00F659EB">
        <w:rPr>
          <w:rFonts w:ascii="Arial" w:hAnsi="Arial"/>
          <w:sz w:val="20"/>
        </w:rPr>
        <w:t>neschopenek vykazoval stejně jako loni Středočeský kraj, následovaný Moravskoslezským krajem</w:t>
      </w:r>
      <w:r w:rsidR="00645E83">
        <w:rPr>
          <w:rFonts w:ascii="Arial" w:hAnsi="Arial"/>
          <w:sz w:val="20"/>
        </w:rPr>
        <w:t xml:space="preserve"> a </w:t>
      </w:r>
      <w:r w:rsidR="00645E83" w:rsidRPr="00F659EB">
        <w:rPr>
          <w:rFonts w:ascii="Arial" w:hAnsi="Arial"/>
          <w:sz w:val="20"/>
        </w:rPr>
        <w:t>Prahou</w:t>
      </w:r>
      <w:r w:rsidRPr="00F659EB">
        <w:rPr>
          <w:rFonts w:ascii="Arial" w:hAnsi="Arial"/>
          <w:sz w:val="20"/>
        </w:rPr>
        <w:t xml:space="preserve">. </w:t>
      </w:r>
    </w:p>
    <w:p w14:paraId="38F2CF86" w14:textId="247FFC7E" w:rsidR="00F659EB" w:rsidRPr="00F659EB" w:rsidRDefault="001D2B7D" w:rsidP="001D2B7D">
      <w:pPr>
        <w:pStyle w:val="Normlnweb"/>
        <w:spacing w:after="240" w:afterAutospacing="0" w:line="288" w:lineRule="auto"/>
        <w:jc w:val="both"/>
        <w:rPr>
          <w:rFonts w:ascii="Arial" w:hAnsi="Arial"/>
          <w:sz w:val="20"/>
        </w:rPr>
      </w:pPr>
      <w:r>
        <w:rPr>
          <w:rFonts w:ascii="Arial" w:hAnsi="Arial"/>
          <w:sz w:val="20"/>
        </w:rPr>
        <w:t xml:space="preserve">Celková </w:t>
      </w:r>
      <w:r w:rsidRPr="0094763D">
        <w:rPr>
          <w:rFonts w:ascii="Arial" w:hAnsi="Arial"/>
          <w:b/>
          <w:sz w:val="20"/>
        </w:rPr>
        <w:t>prostonaná doba</w:t>
      </w:r>
      <w:r>
        <w:rPr>
          <w:rFonts w:ascii="Arial" w:hAnsi="Arial"/>
          <w:sz w:val="20"/>
        </w:rPr>
        <w:t xml:space="preserve"> </w:t>
      </w:r>
      <w:r w:rsidR="00F659EB" w:rsidRPr="00F659EB">
        <w:rPr>
          <w:rFonts w:ascii="Arial" w:hAnsi="Arial"/>
          <w:sz w:val="20"/>
        </w:rPr>
        <w:t>za leden až červen 201</w:t>
      </w:r>
      <w:r w:rsidR="00645E83">
        <w:rPr>
          <w:rFonts w:ascii="Arial" w:hAnsi="Arial"/>
          <w:sz w:val="20"/>
        </w:rPr>
        <w:t>9</w:t>
      </w:r>
      <w:r w:rsidR="00F659EB" w:rsidRPr="00F659EB">
        <w:rPr>
          <w:rFonts w:ascii="Arial" w:hAnsi="Arial"/>
          <w:sz w:val="20"/>
        </w:rPr>
        <w:t xml:space="preserve"> </w:t>
      </w:r>
      <w:r>
        <w:rPr>
          <w:rFonts w:ascii="Arial" w:hAnsi="Arial"/>
          <w:sz w:val="20"/>
        </w:rPr>
        <w:t>činila</w:t>
      </w:r>
      <w:r w:rsidR="00F659EB" w:rsidRPr="00F659EB">
        <w:rPr>
          <w:rFonts w:ascii="Arial" w:hAnsi="Arial"/>
          <w:sz w:val="20"/>
        </w:rPr>
        <w:t xml:space="preserve"> </w:t>
      </w:r>
      <w:r w:rsidR="00645E83">
        <w:rPr>
          <w:rFonts w:ascii="Arial" w:hAnsi="Arial"/>
          <w:sz w:val="20"/>
        </w:rPr>
        <w:t>40 240 981</w:t>
      </w:r>
      <w:r w:rsidR="00F659EB" w:rsidRPr="00F659EB">
        <w:rPr>
          <w:rFonts w:ascii="Arial" w:hAnsi="Arial"/>
          <w:sz w:val="20"/>
        </w:rPr>
        <w:t xml:space="preserve"> dnů, </w:t>
      </w:r>
      <w:r>
        <w:rPr>
          <w:rFonts w:ascii="Arial" w:hAnsi="Arial"/>
          <w:sz w:val="20"/>
        </w:rPr>
        <w:t>což</w:t>
      </w:r>
      <w:r w:rsidR="00F659EB" w:rsidRPr="00F659EB">
        <w:rPr>
          <w:rFonts w:ascii="Arial" w:hAnsi="Arial"/>
          <w:sz w:val="20"/>
        </w:rPr>
        <w:t xml:space="preserve"> je o </w:t>
      </w:r>
      <w:r>
        <w:rPr>
          <w:rFonts w:ascii="Arial" w:hAnsi="Arial"/>
          <w:sz w:val="20"/>
        </w:rPr>
        <w:t>téměř o 2 mil.</w:t>
      </w:r>
      <w:r w:rsidR="00645E83">
        <w:rPr>
          <w:rFonts w:ascii="Arial" w:hAnsi="Arial"/>
          <w:sz w:val="20"/>
        </w:rPr>
        <w:t xml:space="preserve"> dnů</w:t>
      </w:r>
      <w:r w:rsidR="00F659EB" w:rsidRPr="00F659EB">
        <w:rPr>
          <w:rFonts w:ascii="Arial" w:hAnsi="Arial"/>
          <w:sz w:val="20"/>
        </w:rPr>
        <w:t xml:space="preserve"> víc </w:t>
      </w:r>
      <w:r w:rsidR="0047242F">
        <w:rPr>
          <w:rFonts w:ascii="Arial" w:hAnsi="Arial"/>
          <w:sz w:val="20"/>
        </w:rPr>
        <w:t xml:space="preserve">než </w:t>
      </w:r>
      <w:r w:rsidR="00D457E4">
        <w:rPr>
          <w:rFonts w:ascii="Arial" w:hAnsi="Arial"/>
          <w:sz w:val="20"/>
        </w:rPr>
        <w:t>za 1. pol. roku</w:t>
      </w:r>
      <w:r w:rsidR="00645E83">
        <w:rPr>
          <w:rFonts w:ascii="Arial" w:hAnsi="Arial"/>
          <w:sz w:val="20"/>
        </w:rPr>
        <w:t xml:space="preserve"> 2018</w:t>
      </w:r>
      <w:r w:rsidR="00F659EB" w:rsidRPr="00F659EB">
        <w:rPr>
          <w:rFonts w:ascii="Arial" w:hAnsi="Arial"/>
          <w:sz w:val="20"/>
        </w:rPr>
        <w:t xml:space="preserve">. </w:t>
      </w:r>
      <w:r>
        <w:rPr>
          <w:rFonts w:ascii="Arial" w:hAnsi="Arial"/>
          <w:sz w:val="20"/>
        </w:rPr>
        <w:t>Nejdelší dobu si stejně jako v 1. pol. 2018 vyžádaly nemoci a úrazy v</w:t>
      </w:r>
      <w:r w:rsidR="00F659EB" w:rsidRPr="00F659EB">
        <w:rPr>
          <w:rFonts w:ascii="Arial" w:hAnsi="Arial"/>
          <w:sz w:val="20"/>
        </w:rPr>
        <w:t xml:space="preserve"> Moravskoslezsk</w:t>
      </w:r>
      <w:r>
        <w:rPr>
          <w:rFonts w:ascii="Arial" w:hAnsi="Arial"/>
          <w:sz w:val="20"/>
        </w:rPr>
        <w:t>ém</w:t>
      </w:r>
      <w:r w:rsidR="00F659EB" w:rsidRPr="00F659EB">
        <w:rPr>
          <w:rFonts w:ascii="Arial" w:hAnsi="Arial"/>
          <w:sz w:val="20"/>
        </w:rPr>
        <w:t xml:space="preserve"> kraj</w:t>
      </w:r>
      <w:r>
        <w:rPr>
          <w:rFonts w:ascii="Arial" w:hAnsi="Arial"/>
          <w:sz w:val="20"/>
        </w:rPr>
        <w:t>i</w:t>
      </w:r>
      <w:r w:rsidR="0094763D">
        <w:rPr>
          <w:rFonts w:ascii="Arial" w:hAnsi="Arial"/>
          <w:sz w:val="20"/>
        </w:rPr>
        <w:t xml:space="preserve"> (5,5 mil.</w:t>
      </w:r>
      <w:r w:rsidR="00D85E22">
        <w:rPr>
          <w:rFonts w:ascii="Arial" w:hAnsi="Arial"/>
          <w:sz w:val="20"/>
        </w:rPr>
        <w:t xml:space="preserve"> dnů</w:t>
      </w:r>
      <w:r w:rsidR="0094763D">
        <w:rPr>
          <w:rFonts w:ascii="Arial" w:hAnsi="Arial"/>
          <w:sz w:val="20"/>
        </w:rPr>
        <w:t>)</w:t>
      </w:r>
      <w:r w:rsidR="00F659EB" w:rsidRPr="00F659EB">
        <w:rPr>
          <w:rFonts w:ascii="Arial" w:hAnsi="Arial"/>
          <w:sz w:val="20"/>
        </w:rPr>
        <w:t xml:space="preserve">. </w:t>
      </w:r>
    </w:p>
    <w:p w14:paraId="5A8A4327" w14:textId="5B5EE258" w:rsidR="00824AFD" w:rsidRDefault="00B12B85" w:rsidP="00D457E4">
      <w:pPr>
        <w:spacing w:after="120"/>
        <w:jc w:val="both"/>
        <w:rPr>
          <w:b/>
        </w:rPr>
      </w:pPr>
      <w:r w:rsidRPr="00B12B85">
        <w:rPr>
          <w:b/>
        </w:rPr>
        <w:t>Tab. 3.1</w:t>
      </w:r>
      <w:r>
        <w:rPr>
          <w:b/>
        </w:rPr>
        <w:t>:</w:t>
      </w:r>
      <w:r w:rsidRPr="00B12B85">
        <w:rPr>
          <w:b/>
        </w:rPr>
        <w:t xml:space="preserve"> </w:t>
      </w:r>
      <w:r w:rsidR="0047242F">
        <w:rPr>
          <w:b/>
        </w:rPr>
        <w:t xml:space="preserve">Ukončené případy dočasné pracovní neschopnosti, počet kalendářních dnů a průměrná délka trvání případu dočasné pracovní neschopnosti </w:t>
      </w:r>
      <w:r w:rsidRPr="00B12B85">
        <w:rPr>
          <w:b/>
        </w:rPr>
        <w:t xml:space="preserve">podle krajů </w:t>
      </w:r>
      <w:r w:rsidR="007476C8">
        <w:rPr>
          <w:b/>
        </w:rPr>
        <w:t xml:space="preserve">ČR </w:t>
      </w:r>
      <w:r w:rsidRPr="00B12B85">
        <w:rPr>
          <w:b/>
        </w:rPr>
        <w:t>za 1. pol</w:t>
      </w:r>
      <w:r w:rsidR="008E25C7">
        <w:rPr>
          <w:b/>
        </w:rPr>
        <w:t>.</w:t>
      </w:r>
      <w:r w:rsidRPr="00B12B85">
        <w:rPr>
          <w:b/>
        </w:rPr>
        <w:t xml:space="preserve"> 2019</w:t>
      </w:r>
    </w:p>
    <w:tbl>
      <w:tblPr>
        <w:tblW w:w="9514" w:type="dxa"/>
        <w:tblCellMar>
          <w:left w:w="70" w:type="dxa"/>
          <w:right w:w="70" w:type="dxa"/>
        </w:tblCellMar>
        <w:tblLook w:val="04A0" w:firstRow="1" w:lastRow="0" w:firstColumn="1" w:lastColumn="0" w:noHBand="0" w:noVBand="1"/>
      </w:tblPr>
      <w:tblGrid>
        <w:gridCol w:w="2293"/>
        <w:gridCol w:w="2407"/>
        <w:gridCol w:w="2407"/>
        <w:gridCol w:w="2407"/>
      </w:tblGrid>
      <w:tr w:rsidR="0061054D" w:rsidRPr="0061054D" w14:paraId="3F77E348" w14:textId="77777777" w:rsidTr="00907B59">
        <w:trPr>
          <w:trHeight w:val="533"/>
        </w:trPr>
        <w:tc>
          <w:tcPr>
            <w:tcW w:w="2293" w:type="dxa"/>
            <w:tcBorders>
              <w:top w:val="single" w:sz="4" w:space="0" w:color="auto"/>
              <w:left w:val="nil"/>
              <w:bottom w:val="single" w:sz="4" w:space="0" w:color="auto"/>
              <w:right w:val="single" w:sz="4" w:space="0" w:color="auto"/>
            </w:tcBorders>
            <w:shd w:val="clear" w:color="000000" w:fill="F2DCDB"/>
            <w:vAlign w:val="center"/>
            <w:hideMark/>
          </w:tcPr>
          <w:p w14:paraId="0C62FCEF" w14:textId="77777777" w:rsidR="0061054D" w:rsidRPr="0061054D" w:rsidRDefault="0061054D" w:rsidP="0061054D">
            <w:pPr>
              <w:spacing w:after="0" w:line="240" w:lineRule="auto"/>
              <w:jc w:val="center"/>
              <w:rPr>
                <w:rFonts w:cs="Arial"/>
                <w:sz w:val="16"/>
                <w:szCs w:val="16"/>
              </w:rPr>
            </w:pPr>
            <w:r w:rsidRPr="0061054D">
              <w:rPr>
                <w:rFonts w:cs="Arial"/>
                <w:sz w:val="16"/>
                <w:szCs w:val="16"/>
              </w:rPr>
              <w:t>Kraj ČR</w:t>
            </w:r>
          </w:p>
        </w:tc>
        <w:tc>
          <w:tcPr>
            <w:tcW w:w="2407" w:type="dxa"/>
            <w:tcBorders>
              <w:top w:val="single" w:sz="4" w:space="0" w:color="auto"/>
              <w:left w:val="nil"/>
              <w:bottom w:val="single" w:sz="4" w:space="0" w:color="auto"/>
              <w:right w:val="single" w:sz="4" w:space="0" w:color="auto"/>
            </w:tcBorders>
            <w:shd w:val="clear" w:color="000000" w:fill="F2DCDB"/>
            <w:vAlign w:val="center"/>
            <w:hideMark/>
          </w:tcPr>
          <w:p w14:paraId="4C8E0FA0" w14:textId="77777777" w:rsidR="0061054D" w:rsidRPr="0061054D" w:rsidRDefault="0061054D" w:rsidP="0061054D">
            <w:pPr>
              <w:spacing w:after="0" w:line="240" w:lineRule="auto"/>
              <w:jc w:val="center"/>
              <w:rPr>
                <w:rFonts w:cs="Arial"/>
                <w:sz w:val="16"/>
                <w:szCs w:val="16"/>
              </w:rPr>
            </w:pPr>
            <w:r w:rsidRPr="0061054D">
              <w:rPr>
                <w:rFonts w:cs="Arial"/>
                <w:sz w:val="16"/>
                <w:szCs w:val="16"/>
              </w:rPr>
              <w:t>Počet ukončených případů DPN</w:t>
            </w:r>
          </w:p>
        </w:tc>
        <w:tc>
          <w:tcPr>
            <w:tcW w:w="2407" w:type="dxa"/>
            <w:tcBorders>
              <w:top w:val="single" w:sz="4" w:space="0" w:color="auto"/>
              <w:left w:val="nil"/>
              <w:bottom w:val="single" w:sz="4" w:space="0" w:color="auto"/>
              <w:right w:val="single" w:sz="4" w:space="0" w:color="auto"/>
            </w:tcBorders>
            <w:shd w:val="clear" w:color="000000" w:fill="F2DCDB"/>
            <w:vAlign w:val="center"/>
            <w:hideMark/>
          </w:tcPr>
          <w:p w14:paraId="00FA4CD0" w14:textId="089B439B" w:rsidR="0061054D" w:rsidRPr="0061054D" w:rsidRDefault="0061054D" w:rsidP="0061054D">
            <w:pPr>
              <w:spacing w:after="0" w:line="240" w:lineRule="auto"/>
              <w:jc w:val="center"/>
              <w:rPr>
                <w:rFonts w:cs="Arial"/>
                <w:sz w:val="16"/>
                <w:szCs w:val="16"/>
              </w:rPr>
            </w:pPr>
            <w:r w:rsidRPr="0061054D">
              <w:rPr>
                <w:rFonts w:cs="Arial"/>
                <w:sz w:val="16"/>
                <w:szCs w:val="16"/>
              </w:rPr>
              <w:t>Počet kalendářních dnů</w:t>
            </w:r>
            <w:r w:rsidR="0047242F">
              <w:rPr>
                <w:rFonts w:cs="Arial"/>
                <w:sz w:val="16"/>
                <w:szCs w:val="16"/>
              </w:rPr>
              <w:t xml:space="preserve"> DPN</w:t>
            </w:r>
          </w:p>
        </w:tc>
        <w:tc>
          <w:tcPr>
            <w:tcW w:w="2407" w:type="dxa"/>
            <w:tcBorders>
              <w:top w:val="single" w:sz="4" w:space="0" w:color="auto"/>
              <w:left w:val="nil"/>
              <w:bottom w:val="single" w:sz="4" w:space="0" w:color="auto"/>
              <w:right w:val="nil"/>
            </w:tcBorders>
            <w:shd w:val="clear" w:color="000000" w:fill="F2DCDB"/>
            <w:vAlign w:val="center"/>
            <w:hideMark/>
          </w:tcPr>
          <w:p w14:paraId="23DDAAB7" w14:textId="77777777" w:rsidR="0061054D" w:rsidRDefault="0061054D" w:rsidP="0061054D">
            <w:pPr>
              <w:spacing w:after="0" w:line="240" w:lineRule="auto"/>
              <w:jc w:val="center"/>
              <w:rPr>
                <w:rFonts w:cs="Arial"/>
                <w:sz w:val="16"/>
                <w:szCs w:val="16"/>
              </w:rPr>
            </w:pPr>
            <w:r w:rsidRPr="0061054D">
              <w:rPr>
                <w:rFonts w:cs="Arial"/>
                <w:sz w:val="16"/>
                <w:szCs w:val="16"/>
              </w:rPr>
              <w:t xml:space="preserve">Průměrná délka trvání </w:t>
            </w:r>
          </w:p>
          <w:p w14:paraId="07214C55" w14:textId="77777777" w:rsidR="0047242F" w:rsidRDefault="0047242F" w:rsidP="0061054D">
            <w:pPr>
              <w:spacing w:after="0" w:line="240" w:lineRule="auto"/>
              <w:jc w:val="center"/>
              <w:rPr>
                <w:rFonts w:cs="Arial"/>
                <w:sz w:val="16"/>
                <w:szCs w:val="16"/>
              </w:rPr>
            </w:pPr>
            <w:r>
              <w:rPr>
                <w:rFonts w:cs="Arial"/>
                <w:sz w:val="16"/>
                <w:szCs w:val="16"/>
              </w:rPr>
              <w:t xml:space="preserve">ukončeného </w:t>
            </w:r>
            <w:r w:rsidR="0061054D" w:rsidRPr="0061054D">
              <w:rPr>
                <w:rFonts w:cs="Arial"/>
                <w:sz w:val="16"/>
                <w:szCs w:val="16"/>
              </w:rPr>
              <w:t>případu DPN</w:t>
            </w:r>
            <w:r>
              <w:rPr>
                <w:rFonts w:cs="Arial"/>
                <w:sz w:val="16"/>
                <w:szCs w:val="16"/>
              </w:rPr>
              <w:t xml:space="preserve"> </w:t>
            </w:r>
          </w:p>
          <w:p w14:paraId="1D617951" w14:textId="284C0324" w:rsidR="0061054D" w:rsidRPr="0061054D" w:rsidRDefault="0047242F" w:rsidP="0061054D">
            <w:pPr>
              <w:spacing w:after="0" w:line="240" w:lineRule="auto"/>
              <w:jc w:val="center"/>
              <w:rPr>
                <w:rFonts w:cs="Arial"/>
                <w:sz w:val="16"/>
                <w:szCs w:val="16"/>
              </w:rPr>
            </w:pPr>
            <w:r>
              <w:rPr>
                <w:rFonts w:cs="Arial"/>
                <w:sz w:val="16"/>
                <w:szCs w:val="16"/>
              </w:rPr>
              <w:t>ve dnech</w:t>
            </w:r>
          </w:p>
        </w:tc>
      </w:tr>
      <w:tr w:rsidR="0061054D" w:rsidRPr="0061054D" w14:paraId="4B6FE3B5" w14:textId="77777777" w:rsidTr="00907B59">
        <w:trPr>
          <w:trHeight w:val="288"/>
        </w:trPr>
        <w:tc>
          <w:tcPr>
            <w:tcW w:w="2293" w:type="dxa"/>
            <w:tcBorders>
              <w:top w:val="nil"/>
              <w:left w:val="nil"/>
              <w:bottom w:val="nil"/>
              <w:right w:val="single" w:sz="4" w:space="0" w:color="auto"/>
            </w:tcBorders>
            <w:shd w:val="clear" w:color="000000" w:fill="FFFFFF"/>
            <w:noWrap/>
            <w:vAlign w:val="bottom"/>
            <w:hideMark/>
          </w:tcPr>
          <w:p w14:paraId="755711BD" w14:textId="77777777" w:rsidR="0061054D" w:rsidRPr="0061054D" w:rsidRDefault="0061054D" w:rsidP="0061054D">
            <w:pPr>
              <w:spacing w:after="0" w:line="240" w:lineRule="auto"/>
              <w:rPr>
                <w:rFonts w:cs="Arial"/>
                <w:b/>
                <w:bCs/>
                <w:sz w:val="16"/>
                <w:szCs w:val="16"/>
              </w:rPr>
            </w:pPr>
            <w:r w:rsidRPr="0061054D">
              <w:rPr>
                <w:rFonts w:cs="Arial"/>
                <w:b/>
                <w:bCs/>
                <w:sz w:val="16"/>
                <w:szCs w:val="16"/>
              </w:rPr>
              <w:t>ČR celkem</w:t>
            </w:r>
          </w:p>
        </w:tc>
        <w:tc>
          <w:tcPr>
            <w:tcW w:w="2407" w:type="dxa"/>
            <w:tcBorders>
              <w:top w:val="nil"/>
              <w:left w:val="nil"/>
              <w:bottom w:val="nil"/>
              <w:right w:val="single" w:sz="4" w:space="0" w:color="auto"/>
            </w:tcBorders>
            <w:shd w:val="clear" w:color="000000" w:fill="FFFFFF"/>
            <w:vAlign w:val="bottom"/>
            <w:hideMark/>
          </w:tcPr>
          <w:p w14:paraId="28507A3F" w14:textId="77777777" w:rsidR="0061054D" w:rsidRPr="0061054D" w:rsidRDefault="0061054D" w:rsidP="0061054D">
            <w:pPr>
              <w:spacing w:after="0" w:line="240" w:lineRule="auto"/>
              <w:jc w:val="right"/>
              <w:rPr>
                <w:rFonts w:cs="Arial"/>
                <w:b/>
                <w:bCs/>
                <w:color w:val="000000"/>
                <w:sz w:val="16"/>
                <w:szCs w:val="16"/>
              </w:rPr>
            </w:pPr>
            <w:r w:rsidRPr="0061054D">
              <w:rPr>
                <w:rFonts w:cs="Arial"/>
                <w:b/>
                <w:bCs/>
                <w:color w:val="000000"/>
                <w:sz w:val="16"/>
                <w:szCs w:val="16"/>
              </w:rPr>
              <w:t>963 888</w:t>
            </w:r>
          </w:p>
        </w:tc>
        <w:tc>
          <w:tcPr>
            <w:tcW w:w="2407" w:type="dxa"/>
            <w:tcBorders>
              <w:top w:val="nil"/>
              <w:left w:val="nil"/>
              <w:bottom w:val="nil"/>
              <w:right w:val="single" w:sz="4" w:space="0" w:color="auto"/>
            </w:tcBorders>
            <w:shd w:val="clear" w:color="000000" w:fill="FFFFFF"/>
            <w:vAlign w:val="bottom"/>
            <w:hideMark/>
          </w:tcPr>
          <w:p w14:paraId="326E7CA8" w14:textId="77777777" w:rsidR="0061054D" w:rsidRPr="0061054D" w:rsidRDefault="0061054D" w:rsidP="0061054D">
            <w:pPr>
              <w:spacing w:after="0" w:line="240" w:lineRule="auto"/>
              <w:jc w:val="right"/>
              <w:rPr>
                <w:rFonts w:cs="Arial"/>
                <w:b/>
                <w:bCs/>
                <w:color w:val="000000"/>
                <w:sz w:val="16"/>
                <w:szCs w:val="16"/>
              </w:rPr>
            </w:pPr>
            <w:r w:rsidRPr="0061054D">
              <w:rPr>
                <w:rFonts w:cs="Arial"/>
                <w:b/>
                <w:bCs/>
                <w:color w:val="000000"/>
                <w:sz w:val="16"/>
                <w:szCs w:val="16"/>
              </w:rPr>
              <w:t>40 240 981</w:t>
            </w:r>
          </w:p>
        </w:tc>
        <w:tc>
          <w:tcPr>
            <w:tcW w:w="2407" w:type="dxa"/>
            <w:tcBorders>
              <w:top w:val="nil"/>
              <w:left w:val="nil"/>
              <w:bottom w:val="nil"/>
              <w:right w:val="nil"/>
            </w:tcBorders>
            <w:shd w:val="clear" w:color="000000" w:fill="FFFFFF"/>
            <w:noWrap/>
            <w:vAlign w:val="bottom"/>
            <w:hideMark/>
          </w:tcPr>
          <w:p w14:paraId="53B11498" w14:textId="77777777" w:rsidR="0061054D" w:rsidRPr="0061054D" w:rsidRDefault="0061054D" w:rsidP="0061054D">
            <w:pPr>
              <w:spacing w:after="0" w:line="240" w:lineRule="auto"/>
              <w:jc w:val="right"/>
              <w:rPr>
                <w:rFonts w:cs="Arial"/>
                <w:b/>
                <w:bCs/>
                <w:color w:val="000000"/>
                <w:sz w:val="16"/>
                <w:szCs w:val="16"/>
              </w:rPr>
            </w:pPr>
            <w:r w:rsidRPr="0061054D">
              <w:rPr>
                <w:rFonts w:cs="Arial"/>
                <w:b/>
                <w:bCs/>
                <w:color w:val="000000"/>
                <w:sz w:val="16"/>
                <w:szCs w:val="16"/>
              </w:rPr>
              <w:t>41,75</w:t>
            </w:r>
          </w:p>
        </w:tc>
      </w:tr>
      <w:tr w:rsidR="0061054D" w:rsidRPr="0061054D" w14:paraId="482B53A6" w14:textId="77777777" w:rsidTr="00907B59">
        <w:trPr>
          <w:trHeight w:val="288"/>
        </w:trPr>
        <w:tc>
          <w:tcPr>
            <w:tcW w:w="2293" w:type="dxa"/>
            <w:tcBorders>
              <w:top w:val="nil"/>
              <w:left w:val="nil"/>
              <w:bottom w:val="nil"/>
              <w:right w:val="single" w:sz="4" w:space="0" w:color="auto"/>
            </w:tcBorders>
            <w:shd w:val="clear" w:color="000000" w:fill="FFFFFF"/>
            <w:noWrap/>
            <w:vAlign w:val="bottom"/>
            <w:hideMark/>
          </w:tcPr>
          <w:p w14:paraId="1E7F8474" w14:textId="77777777" w:rsidR="0061054D" w:rsidRPr="0061054D" w:rsidRDefault="0061054D" w:rsidP="0061054D">
            <w:pPr>
              <w:spacing w:after="0" w:line="240" w:lineRule="auto"/>
              <w:ind w:firstLineChars="100" w:firstLine="160"/>
              <w:rPr>
                <w:rFonts w:cs="Arial"/>
                <w:sz w:val="16"/>
                <w:szCs w:val="16"/>
              </w:rPr>
            </w:pPr>
            <w:r w:rsidRPr="0061054D">
              <w:rPr>
                <w:rFonts w:cs="Arial"/>
                <w:sz w:val="16"/>
                <w:szCs w:val="16"/>
              </w:rPr>
              <w:t>Hl. m. Praha</w:t>
            </w:r>
          </w:p>
        </w:tc>
        <w:tc>
          <w:tcPr>
            <w:tcW w:w="2407" w:type="dxa"/>
            <w:tcBorders>
              <w:top w:val="nil"/>
              <w:left w:val="single" w:sz="4" w:space="0" w:color="auto"/>
              <w:bottom w:val="nil"/>
              <w:right w:val="single" w:sz="4" w:space="0" w:color="auto"/>
            </w:tcBorders>
            <w:shd w:val="clear" w:color="000000" w:fill="FFFFFF"/>
            <w:vAlign w:val="bottom"/>
            <w:hideMark/>
          </w:tcPr>
          <w:p w14:paraId="1D09069F"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106 589</w:t>
            </w:r>
          </w:p>
        </w:tc>
        <w:tc>
          <w:tcPr>
            <w:tcW w:w="2407" w:type="dxa"/>
            <w:tcBorders>
              <w:top w:val="nil"/>
              <w:left w:val="nil"/>
              <w:bottom w:val="nil"/>
              <w:right w:val="single" w:sz="4" w:space="0" w:color="auto"/>
            </w:tcBorders>
            <w:shd w:val="clear" w:color="000000" w:fill="FFFFFF"/>
            <w:vAlign w:val="bottom"/>
            <w:hideMark/>
          </w:tcPr>
          <w:p w14:paraId="7E4FC93D"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3 387 427</w:t>
            </w:r>
          </w:p>
        </w:tc>
        <w:tc>
          <w:tcPr>
            <w:tcW w:w="2407" w:type="dxa"/>
            <w:tcBorders>
              <w:top w:val="nil"/>
              <w:left w:val="nil"/>
              <w:bottom w:val="nil"/>
              <w:right w:val="nil"/>
            </w:tcBorders>
            <w:shd w:val="clear" w:color="000000" w:fill="FFFFFF"/>
            <w:noWrap/>
            <w:vAlign w:val="bottom"/>
            <w:hideMark/>
          </w:tcPr>
          <w:p w14:paraId="55E8344D"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31,78</w:t>
            </w:r>
          </w:p>
        </w:tc>
      </w:tr>
      <w:tr w:rsidR="0061054D" w:rsidRPr="0061054D" w14:paraId="44A77BC9" w14:textId="77777777" w:rsidTr="00907B59">
        <w:trPr>
          <w:trHeight w:val="288"/>
        </w:trPr>
        <w:tc>
          <w:tcPr>
            <w:tcW w:w="2293" w:type="dxa"/>
            <w:tcBorders>
              <w:top w:val="nil"/>
              <w:left w:val="nil"/>
              <w:bottom w:val="nil"/>
              <w:right w:val="single" w:sz="4" w:space="0" w:color="auto"/>
            </w:tcBorders>
            <w:shd w:val="clear" w:color="000000" w:fill="FFFFFF"/>
            <w:noWrap/>
            <w:vAlign w:val="bottom"/>
            <w:hideMark/>
          </w:tcPr>
          <w:p w14:paraId="4134F3CD" w14:textId="77777777" w:rsidR="0061054D" w:rsidRPr="0061054D" w:rsidRDefault="0061054D" w:rsidP="0061054D">
            <w:pPr>
              <w:spacing w:after="0" w:line="240" w:lineRule="auto"/>
              <w:ind w:firstLineChars="100" w:firstLine="160"/>
              <w:rPr>
                <w:rFonts w:cs="Arial"/>
                <w:sz w:val="16"/>
                <w:szCs w:val="16"/>
              </w:rPr>
            </w:pPr>
            <w:r w:rsidRPr="0061054D">
              <w:rPr>
                <w:rFonts w:cs="Arial"/>
                <w:sz w:val="16"/>
                <w:szCs w:val="16"/>
              </w:rPr>
              <w:t>Středočeský kraj</w:t>
            </w:r>
          </w:p>
        </w:tc>
        <w:tc>
          <w:tcPr>
            <w:tcW w:w="2407" w:type="dxa"/>
            <w:tcBorders>
              <w:top w:val="nil"/>
              <w:left w:val="single" w:sz="4" w:space="0" w:color="auto"/>
              <w:bottom w:val="nil"/>
              <w:right w:val="single" w:sz="4" w:space="0" w:color="auto"/>
            </w:tcBorders>
            <w:shd w:val="clear" w:color="000000" w:fill="FFFFFF"/>
            <w:vAlign w:val="bottom"/>
            <w:hideMark/>
          </w:tcPr>
          <w:p w14:paraId="2779D9EA"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110 958</w:t>
            </w:r>
          </w:p>
        </w:tc>
        <w:tc>
          <w:tcPr>
            <w:tcW w:w="2407" w:type="dxa"/>
            <w:tcBorders>
              <w:top w:val="nil"/>
              <w:left w:val="nil"/>
              <w:bottom w:val="nil"/>
              <w:right w:val="single" w:sz="4" w:space="0" w:color="auto"/>
            </w:tcBorders>
            <w:shd w:val="clear" w:color="000000" w:fill="FFFFFF"/>
            <w:vAlign w:val="bottom"/>
            <w:hideMark/>
          </w:tcPr>
          <w:p w14:paraId="08A9A2B4"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4 188 771</w:t>
            </w:r>
          </w:p>
        </w:tc>
        <w:tc>
          <w:tcPr>
            <w:tcW w:w="2407" w:type="dxa"/>
            <w:tcBorders>
              <w:top w:val="nil"/>
              <w:left w:val="nil"/>
              <w:bottom w:val="nil"/>
              <w:right w:val="nil"/>
            </w:tcBorders>
            <w:shd w:val="clear" w:color="000000" w:fill="FFFFFF"/>
            <w:noWrap/>
            <w:vAlign w:val="bottom"/>
            <w:hideMark/>
          </w:tcPr>
          <w:p w14:paraId="6ED38BCF"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37,75</w:t>
            </w:r>
          </w:p>
        </w:tc>
      </w:tr>
      <w:tr w:rsidR="0061054D" w:rsidRPr="0061054D" w14:paraId="10BF1E1F" w14:textId="77777777" w:rsidTr="00907B59">
        <w:trPr>
          <w:trHeight w:val="288"/>
        </w:trPr>
        <w:tc>
          <w:tcPr>
            <w:tcW w:w="2293" w:type="dxa"/>
            <w:tcBorders>
              <w:top w:val="nil"/>
              <w:left w:val="nil"/>
              <w:bottom w:val="nil"/>
              <w:right w:val="single" w:sz="4" w:space="0" w:color="auto"/>
            </w:tcBorders>
            <w:shd w:val="clear" w:color="000000" w:fill="FFFFFF"/>
            <w:noWrap/>
            <w:vAlign w:val="bottom"/>
            <w:hideMark/>
          </w:tcPr>
          <w:p w14:paraId="6844A3F6" w14:textId="77777777" w:rsidR="0061054D" w:rsidRPr="0061054D" w:rsidRDefault="0061054D" w:rsidP="0061054D">
            <w:pPr>
              <w:spacing w:after="0" w:line="240" w:lineRule="auto"/>
              <w:ind w:firstLineChars="100" w:firstLine="160"/>
              <w:rPr>
                <w:rFonts w:cs="Arial"/>
                <w:sz w:val="16"/>
                <w:szCs w:val="16"/>
              </w:rPr>
            </w:pPr>
            <w:r w:rsidRPr="0061054D">
              <w:rPr>
                <w:rFonts w:cs="Arial"/>
                <w:sz w:val="16"/>
                <w:szCs w:val="16"/>
              </w:rPr>
              <w:t>Jihočeský kraj</w:t>
            </w:r>
          </w:p>
        </w:tc>
        <w:tc>
          <w:tcPr>
            <w:tcW w:w="2407" w:type="dxa"/>
            <w:tcBorders>
              <w:top w:val="nil"/>
              <w:left w:val="single" w:sz="4" w:space="0" w:color="auto"/>
              <w:bottom w:val="nil"/>
              <w:right w:val="single" w:sz="4" w:space="0" w:color="auto"/>
            </w:tcBorders>
            <w:shd w:val="clear" w:color="000000" w:fill="FFFFFF"/>
            <w:vAlign w:val="bottom"/>
            <w:hideMark/>
          </w:tcPr>
          <w:p w14:paraId="2C52FB52"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60 659</w:t>
            </w:r>
          </w:p>
        </w:tc>
        <w:tc>
          <w:tcPr>
            <w:tcW w:w="2407" w:type="dxa"/>
            <w:tcBorders>
              <w:top w:val="nil"/>
              <w:left w:val="nil"/>
              <w:bottom w:val="nil"/>
              <w:right w:val="single" w:sz="4" w:space="0" w:color="auto"/>
            </w:tcBorders>
            <w:shd w:val="clear" w:color="000000" w:fill="FFFFFF"/>
            <w:vAlign w:val="bottom"/>
            <w:hideMark/>
          </w:tcPr>
          <w:p w14:paraId="0680424C"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2 670 502</w:t>
            </w:r>
          </w:p>
        </w:tc>
        <w:tc>
          <w:tcPr>
            <w:tcW w:w="2407" w:type="dxa"/>
            <w:tcBorders>
              <w:top w:val="nil"/>
              <w:left w:val="nil"/>
              <w:bottom w:val="nil"/>
              <w:right w:val="nil"/>
            </w:tcBorders>
            <w:shd w:val="clear" w:color="000000" w:fill="FFFFFF"/>
            <w:noWrap/>
            <w:vAlign w:val="bottom"/>
            <w:hideMark/>
          </w:tcPr>
          <w:p w14:paraId="017C185B"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44,02</w:t>
            </w:r>
          </w:p>
        </w:tc>
      </w:tr>
      <w:tr w:rsidR="0061054D" w:rsidRPr="0061054D" w14:paraId="645F7980" w14:textId="77777777" w:rsidTr="00907B59">
        <w:trPr>
          <w:trHeight w:val="288"/>
        </w:trPr>
        <w:tc>
          <w:tcPr>
            <w:tcW w:w="2293" w:type="dxa"/>
            <w:tcBorders>
              <w:top w:val="nil"/>
              <w:left w:val="nil"/>
              <w:bottom w:val="nil"/>
              <w:right w:val="single" w:sz="4" w:space="0" w:color="auto"/>
            </w:tcBorders>
            <w:shd w:val="clear" w:color="000000" w:fill="FFFFFF"/>
            <w:noWrap/>
            <w:vAlign w:val="bottom"/>
            <w:hideMark/>
          </w:tcPr>
          <w:p w14:paraId="0EF3548C" w14:textId="77777777" w:rsidR="0061054D" w:rsidRPr="0061054D" w:rsidRDefault="0061054D" w:rsidP="0061054D">
            <w:pPr>
              <w:spacing w:after="0" w:line="240" w:lineRule="auto"/>
              <w:ind w:firstLineChars="100" w:firstLine="160"/>
              <w:rPr>
                <w:rFonts w:cs="Arial"/>
                <w:sz w:val="16"/>
                <w:szCs w:val="16"/>
              </w:rPr>
            </w:pPr>
            <w:r w:rsidRPr="0061054D">
              <w:rPr>
                <w:rFonts w:cs="Arial"/>
                <w:sz w:val="16"/>
                <w:szCs w:val="16"/>
              </w:rPr>
              <w:t>Plzeňský kraj</w:t>
            </w:r>
          </w:p>
        </w:tc>
        <w:tc>
          <w:tcPr>
            <w:tcW w:w="2407" w:type="dxa"/>
            <w:tcBorders>
              <w:top w:val="nil"/>
              <w:left w:val="single" w:sz="4" w:space="0" w:color="auto"/>
              <w:bottom w:val="nil"/>
              <w:right w:val="single" w:sz="4" w:space="0" w:color="auto"/>
            </w:tcBorders>
            <w:shd w:val="clear" w:color="000000" w:fill="FFFFFF"/>
            <w:vAlign w:val="bottom"/>
            <w:hideMark/>
          </w:tcPr>
          <w:p w14:paraId="27FF3034"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61 239</w:t>
            </w:r>
          </w:p>
        </w:tc>
        <w:tc>
          <w:tcPr>
            <w:tcW w:w="2407" w:type="dxa"/>
            <w:tcBorders>
              <w:top w:val="nil"/>
              <w:left w:val="nil"/>
              <w:bottom w:val="nil"/>
              <w:right w:val="single" w:sz="4" w:space="0" w:color="auto"/>
            </w:tcBorders>
            <w:shd w:val="clear" w:color="000000" w:fill="FFFFFF"/>
            <w:vAlign w:val="bottom"/>
            <w:hideMark/>
          </w:tcPr>
          <w:p w14:paraId="03E8F29B"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2 397 950</w:t>
            </w:r>
          </w:p>
        </w:tc>
        <w:tc>
          <w:tcPr>
            <w:tcW w:w="2407" w:type="dxa"/>
            <w:tcBorders>
              <w:top w:val="nil"/>
              <w:left w:val="nil"/>
              <w:bottom w:val="nil"/>
              <w:right w:val="nil"/>
            </w:tcBorders>
            <w:shd w:val="clear" w:color="000000" w:fill="FFFFFF"/>
            <w:noWrap/>
            <w:vAlign w:val="bottom"/>
            <w:hideMark/>
          </w:tcPr>
          <w:p w14:paraId="1AAFC684"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39,16</w:t>
            </w:r>
          </w:p>
        </w:tc>
      </w:tr>
      <w:tr w:rsidR="0061054D" w:rsidRPr="0061054D" w14:paraId="5D368F5F" w14:textId="77777777" w:rsidTr="00907B59">
        <w:trPr>
          <w:trHeight w:val="288"/>
        </w:trPr>
        <w:tc>
          <w:tcPr>
            <w:tcW w:w="2293" w:type="dxa"/>
            <w:tcBorders>
              <w:top w:val="nil"/>
              <w:left w:val="nil"/>
              <w:bottom w:val="nil"/>
              <w:right w:val="single" w:sz="4" w:space="0" w:color="auto"/>
            </w:tcBorders>
            <w:shd w:val="clear" w:color="000000" w:fill="FFFFFF"/>
            <w:noWrap/>
            <w:vAlign w:val="bottom"/>
            <w:hideMark/>
          </w:tcPr>
          <w:p w14:paraId="3DC506E5" w14:textId="77777777" w:rsidR="0061054D" w:rsidRPr="0061054D" w:rsidRDefault="0061054D" w:rsidP="0061054D">
            <w:pPr>
              <w:spacing w:after="0" w:line="240" w:lineRule="auto"/>
              <w:ind w:firstLineChars="100" w:firstLine="160"/>
              <w:rPr>
                <w:rFonts w:cs="Arial"/>
                <w:sz w:val="16"/>
                <w:szCs w:val="16"/>
              </w:rPr>
            </w:pPr>
            <w:r w:rsidRPr="0061054D">
              <w:rPr>
                <w:rFonts w:cs="Arial"/>
                <w:sz w:val="16"/>
                <w:szCs w:val="16"/>
              </w:rPr>
              <w:t>Karlovarský kraj</w:t>
            </w:r>
          </w:p>
        </w:tc>
        <w:tc>
          <w:tcPr>
            <w:tcW w:w="2407" w:type="dxa"/>
            <w:tcBorders>
              <w:top w:val="nil"/>
              <w:left w:val="single" w:sz="4" w:space="0" w:color="auto"/>
              <w:bottom w:val="nil"/>
              <w:right w:val="single" w:sz="4" w:space="0" w:color="auto"/>
            </w:tcBorders>
            <w:shd w:val="clear" w:color="000000" w:fill="FFFFFF"/>
            <w:vAlign w:val="bottom"/>
            <w:hideMark/>
          </w:tcPr>
          <w:p w14:paraId="4AA643D3"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25 972</w:t>
            </w:r>
          </w:p>
        </w:tc>
        <w:tc>
          <w:tcPr>
            <w:tcW w:w="2407" w:type="dxa"/>
            <w:tcBorders>
              <w:top w:val="nil"/>
              <w:left w:val="nil"/>
              <w:bottom w:val="nil"/>
              <w:right w:val="single" w:sz="4" w:space="0" w:color="auto"/>
            </w:tcBorders>
            <w:shd w:val="clear" w:color="000000" w:fill="FFFFFF"/>
            <w:vAlign w:val="bottom"/>
            <w:hideMark/>
          </w:tcPr>
          <w:p w14:paraId="6784DE2D"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1 034 043</w:t>
            </w:r>
          </w:p>
        </w:tc>
        <w:tc>
          <w:tcPr>
            <w:tcW w:w="2407" w:type="dxa"/>
            <w:tcBorders>
              <w:top w:val="nil"/>
              <w:left w:val="nil"/>
              <w:bottom w:val="nil"/>
              <w:right w:val="nil"/>
            </w:tcBorders>
            <w:shd w:val="clear" w:color="000000" w:fill="FFFFFF"/>
            <w:noWrap/>
            <w:vAlign w:val="bottom"/>
            <w:hideMark/>
          </w:tcPr>
          <w:p w14:paraId="6F4C4D18"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39,81</w:t>
            </w:r>
          </w:p>
        </w:tc>
      </w:tr>
      <w:tr w:rsidR="0061054D" w:rsidRPr="0061054D" w14:paraId="3F7E510A" w14:textId="77777777" w:rsidTr="00907B59">
        <w:trPr>
          <w:trHeight w:val="288"/>
        </w:trPr>
        <w:tc>
          <w:tcPr>
            <w:tcW w:w="2293" w:type="dxa"/>
            <w:tcBorders>
              <w:top w:val="nil"/>
              <w:left w:val="nil"/>
              <w:bottom w:val="nil"/>
              <w:right w:val="single" w:sz="4" w:space="0" w:color="auto"/>
            </w:tcBorders>
            <w:shd w:val="clear" w:color="000000" w:fill="FFFFFF"/>
            <w:noWrap/>
            <w:vAlign w:val="bottom"/>
            <w:hideMark/>
          </w:tcPr>
          <w:p w14:paraId="112720E2" w14:textId="77777777" w:rsidR="0061054D" w:rsidRPr="0061054D" w:rsidRDefault="0061054D" w:rsidP="0061054D">
            <w:pPr>
              <w:spacing w:after="0" w:line="240" w:lineRule="auto"/>
              <w:ind w:firstLineChars="100" w:firstLine="160"/>
              <w:rPr>
                <w:rFonts w:cs="Arial"/>
                <w:sz w:val="16"/>
                <w:szCs w:val="16"/>
              </w:rPr>
            </w:pPr>
            <w:r w:rsidRPr="0061054D">
              <w:rPr>
                <w:rFonts w:cs="Arial"/>
                <w:sz w:val="16"/>
                <w:szCs w:val="16"/>
              </w:rPr>
              <w:t>Ústecký kraj</w:t>
            </w:r>
          </w:p>
        </w:tc>
        <w:tc>
          <w:tcPr>
            <w:tcW w:w="2407" w:type="dxa"/>
            <w:tcBorders>
              <w:top w:val="nil"/>
              <w:left w:val="single" w:sz="4" w:space="0" w:color="auto"/>
              <w:bottom w:val="nil"/>
              <w:right w:val="single" w:sz="4" w:space="0" w:color="auto"/>
            </w:tcBorders>
            <w:shd w:val="clear" w:color="000000" w:fill="FFFFFF"/>
            <w:vAlign w:val="bottom"/>
            <w:hideMark/>
          </w:tcPr>
          <w:p w14:paraId="25252AC3"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74 439</w:t>
            </w:r>
          </w:p>
        </w:tc>
        <w:tc>
          <w:tcPr>
            <w:tcW w:w="2407" w:type="dxa"/>
            <w:tcBorders>
              <w:top w:val="nil"/>
              <w:left w:val="nil"/>
              <w:bottom w:val="nil"/>
              <w:right w:val="single" w:sz="4" w:space="0" w:color="auto"/>
            </w:tcBorders>
            <w:shd w:val="clear" w:color="000000" w:fill="FFFFFF"/>
            <w:vAlign w:val="bottom"/>
            <w:hideMark/>
          </w:tcPr>
          <w:p w14:paraId="1DE63835"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3 066 526</w:t>
            </w:r>
          </w:p>
        </w:tc>
        <w:tc>
          <w:tcPr>
            <w:tcW w:w="2407" w:type="dxa"/>
            <w:tcBorders>
              <w:top w:val="nil"/>
              <w:left w:val="nil"/>
              <w:bottom w:val="nil"/>
              <w:right w:val="nil"/>
            </w:tcBorders>
            <w:shd w:val="clear" w:color="000000" w:fill="FFFFFF"/>
            <w:noWrap/>
            <w:vAlign w:val="bottom"/>
            <w:hideMark/>
          </w:tcPr>
          <w:p w14:paraId="24071A07"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41,20</w:t>
            </w:r>
          </w:p>
        </w:tc>
      </w:tr>
      <w:tr w:rsidR="0061054D" w:rsidRPr="0061054D" w14:paraId="19F88CF1" w14:textId="77777777" w:rsidTr="00907B59">
        <w:trPr>
          <w:trHeight w:val="288"/>
        </w:trPr>
        <w:tc>
          <w:tcPr>
            <w:tcW w:w="2293" w:type="dxa"/>
            <w:tcBorders>
              <w:top w:val="nil"/>
              <w:left w:val="nil"/>
              <w:bottom w:val="nil"/>
              <w:right w:val="single" w:sz="4" w:space="0" w:color="auto"/>
            </w:tcBorders>
            <w:shd w:val="clear" w:color="000000" w:fill="FFFFFF"/>
            <w:noWrap/>
            <w:vAlign w:val="bottom"/>
            <w:hideMark/>
          </w:tcPr>
          <w:p w14:paraId="6BF7C5F2" w14:textId="77777777" w:rsidR="0061054D" w:rsidRPr="0061054D" w:rsidRDefault="0061054D" w:rsidP="0061054D">
            <w:pPr>
              <w:spacing w:after="0" w:line="240" w:lineRule="auto"/>
              <w:ind w:firstLineChars="100" w:firstLine="160"/>
              <w:rPr>
                <w:rFonts w:cs="Arial"/>
                <w:sz w:val="16"/>
                <w:szCs w:val="16"/>
              </w:rPr>
            </w:pPr>
            <w:r w:rsidRPr="0061054D">
              <w:rPr>
                <w:rFonts w:cs="Arial"/>
                <w:sz w:val="16"/>
                <w:szCs w:val="16"/>
              </w:rPr>
              <w:t>Liberecký kraj</w:t>
            </w:r>
          </w:p>
        </w:tc>
        <w:tc>
          <w:tcPr>
            <w:tcW w:w="2407" w:type="dxa"/>
            <w:tcBorders>
              <w:top w:val="nil"/>
              <w:left w:val="single" w:sz="4" w:space="0" w:color="auto"/>
              <w:bottom w:val="nil"/>
              <w:right w:val="single" w:sz="4" w:space="0" w:color="auto"/>
            </w:tcBorders>
            <w:shd w:val="clear" w:color="000000" w:fill="FFFFFF"/>
            <w:vAlign w:val="bottom"/>
            <w:hideMark/>
          </w:tcPr>
          <w:p w14:paraId="1B71C289"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45 367</w:t>
            </w:r>
          </w:p>
        </w:tc>
        <w:tc>
          <w:tcPr>
            <w:tcW w:w="2407" w:type="dxa"/>
            <w:tcBorders>
              <w:top w:val="nil"/>
              <w:left w:val="nil"/>
              <w:bottom w:val="nil"/>
              <w:right w:val="single" w:sz="4" w:space="0" w:color="auto"/>
            </w:tcBorders>
            <w:shd w:val="clear" w:color="000000" w:fill="FFFFFF"/>
            <w:vAlign w:val="bottom"/>
            <w:hideMark/>
          </w:tcPr>
          <w:p w14:paraId="7640D1B7"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1 778 807</w:t>
            </w:r>
          </w:p>
        </w:tc>
        <w:tc>
          <w:tcPr>
            <w:tcW w:w="2407" w:type="dxa"/>
            <w:tcBorders>
              <w:top w:val="nil"/>
              <w:left w:val="nil"/>
              <w:bottom w:val="nil"/>
              <w:right w:val="nil"/>
            </w:tcBorders>
            <w:shd w:val="clear" w:color="000000" w:fill="FFFFFF"/>
            <w:noWrap/>
            <w:vAlign w:val="bottom"/>
            <w:hideMark/>
          </w:tcPr>
          <w:p w14:paraId="2FBA526B"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39,21</w:t>
            </w:r>
          </w:p>
        </w:tc>
      </w:tr>
      <w:tr w:rsidR="0061054D" w:rsidRPr="0061054D" w14:paraId="26051B0F" w14:textId="77777777" w:rsidTr="00907B59">
        <w:trPr>
          <w:trHeight w:val="288"/>
        </w:trPr>
        <w:tc>
          <w:tcPr>
            <w:tcW w:w="2293" w:type="dxa"/>
            <w:tcBorders>
              <w:top w:val="nil"/>
              <w:left w:val="nil"/>
              <w:bottom w:val="nil"/>
              <w:right w:val="single" w:sz="4" w:space="0" w:color="auto"/>
            </w:tcBorders>
            <w:shd w:val="clear" w:color="000000" w:fill="FFFFFF"/>
            <w:noWrap/>
            <w:vAlign w:val="bottom"/>
            <w:hideMark/>
          </w:tcPr>
          <w:p w14:paraId="6F43CA9F" w14:textId="77777777" w:rsidR="0061054D" w:rsidRPr="0061054D" w:rsidRDefault="0061054D" w:rsidP="0061054D">
            <w:pPr>
              <w:spacing w:after="0" w:line="240" w:lineRule="auto"/>
              <w:ind w:firstLineChars="100" w:firstLine="160"/>
              <w:rPr>
                <w:rFonts w:cs="Arial"/>
                <w:sz w:val="16"/>
                <w:szCs w:val="16"/>
              </w:rPr>
            </w:pPr>
            <w:r w:rsidRPr="0061054D">
              <w:rPr>
                <w:rFonts w:cs="Arial"/>
                <w:sz w:val="16"/>
                <w:szCs w:val="16"/>
              </w:rPr>
              <w:t>Královéhradecký kraj</w:t>
            </w:r>
          </w:p>
        </w:tc>
        <w:tc>
          <w:tcPr>
            <w:tcW w:w="2407" w:type="dxa"/>
            <w:tcBorders>
              <w:top w:val="nil"/>
              <w:left w:val="single" w:sz="4" w:space="0" w:color="auto"/>
              <w:bottom w:val="nil"/>
              <w:right w:val="single" w:sz="4" w:space="0" w:color="auto"/>
            </w:tcBorders>
            <w:shd w:val="clear" w:color="000000" w:fill="FFFFFF"/>
            <w:vAlign w:val="bottom"/>
            <w:hideMark/>
          </w:tcPr>
          <w:p w14:paraId="16C12422"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55 962</w:t>
            </w:r>
          </w:p>
        </w:tc>
        <w:tc>
          <w:tcPr>
            <w:tcW w:w="2407" w:type="dxa"/>
            <w:tcBorders>
              <w:top w:val="nil"/>
              <w:left w:val="nil"/>
              <w:bottom w:val="nil"/>
              <w:right w:val="single" w:sz="4" w:space="0" w:color="auto"/>
            </w:tcBorders>
            <w:shd w:val="clear" w:color="000000" w:fill="FFFFFF"/>
            <w:vAlign w:val="bottom"/>
            <w:hideMark/>
          </w:tcPr>
          <w:p w14:paraId="0A93F543"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2 200 305</w:t>
            </w:r>
          </w:p>
        </w:tc>
        <w:tc>
          <w:tcPr>
            <w:tcW w:w="2407" w:type="dxa"/>
            <w:tcBorders>
              <w:top w:val="nil"/>
              <w:left w:val="nil"/>
              <w:bottom w:val="nil"/>
              <w:right w:val="nil"/>
            </w:tcBorders>
            <w:shd w:val="clear" w:color="000000" w:fill="FFFFFF"/>
            <w:noWrap/>
            <w:vAlign w:val="bottom"/>
            <w:hideMark/>
          </w:tcPr>
          <w:p w14:paraId="6934B4B3"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39,32</w:t>
            </w:r>
          </w:p>
        </w:tc>
      </w:tr>
      <w:tr w:rsidR="0061054D" w:rsidRPr="0061054D" w14:paraId="13A725CF" w14:textId="77777777" w:rsidTr="00907B59">
        <w:trPr>
          <w:trHeight w:val="288"/>
        </w:trPr>
        <w:tc>
          <w:tcPr>
            <w:tcW w:w="2293" w:type="dxa"/>
            <w:tcBorders>
              <w:top w:val="nil"/>
              <w:left w:val="nil"/>
              <w:bottom w:val="nil"/>
              <w:right w:val="single" w:sz="4" w:space="0" w:color="auto"/>
            </w:tcBorders>
            <w:shd w:val="clear" w:color="000000" w:fill="FFFFFF"/>
            <w:noWrap/>
            <w:vAlign w:val="bottom"/>
            <w:hideMark/>
          </w:tcPr>
          <w:p w14:paraId="2CEBD4BC" w14:textId="77777777" w:rsidR="0061054D" w:rsidRPr="0061054D" w:rsidRDefault="0061054D" w:rsidP="0061054D">
            <w:pPr>
              <w:spacing w:after="0" w:line="240" w:lineRule="auto"/>
              <w:ind w:firstLineChars="100" w:firstLine="160"/>
              <w:rPr>
                <w:rFonts w:cs="Arial"/>
                <w:sz w:val="16"/>
                <w:szCs w:val="16"/>
              </w:rPr>
            </w:pPr>
            <w:r w:rsidRPr="0061054D">
              <w:rPr>
                <w:rFonts w:cs="Arial"/>
                <w:sz w:val="16"/>
                <w:szCs w:val="16"/>
              </w:rPr>
              <w:t>Pardubický kraj</w:t>
            </w:r>
          </w:p>
        </w:tc>
        <w:tc>
          <w:tcPr>
            <w:tcW w:w="2407" w:type="dxa"/>
            <w:tcBorders>
              <w:top w:val="nil"/>
              <w:left w:val="single" w:sz="4" w:space="0" w:color="auto"/>
              <w:bottom w:val="nil"/>
              <w:right w:val="single" w:sz="4" w:space="0" w:color="auto"/>
            </w:tcBorders>
            <w:shd w:val="clear" w:color="000000" w:fill="FFFFFF"/>
            <w:vAlign w:val="bottom"/>
            <w:hideMark/>
          </w:tcPr>
          <w:p w14:paraId="6E4CF24E"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48 882</w:t>
            </w:r>
          </w:p>
        </w:tc>
        <w:tc>
          <w:tcPr>
            <w:tcW w:w="2407" w:type="dxa"/>
            <w:tcBorders>
              <w:top w:val="nil"/>
              <w:left w:val="nil"/>
              <w:bottom w:val="nil"/>
              <w:right w:val="single" w:sz="4" w:space="0" w:color="auto"/>
            </w:tcBorders>
            <w:shd w:val="clear" w:color="000000" w:fill="FFFFFF"/>
            <w:vAlign w:val="bottom"/>
            <w:hideMark/>
          </w:tcPr>
          <w:p w14:paraId="18F89B84"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1 984 863</w:t>
            </w:r>
          </w:p>
        </w:tc>
        <w:tc>
          <w:tcPr>
            <w:tcW w:w="2407" w:type="dxa"/>
            <w:tcBorders>
              <w:top w:val="nil"/>
              <w:left w:val="nil"/>
              <w:bottom w:val="nil"/>
              <w:right w:val="nil"/>
            </w:tcBorders>
            <w:shd w:val="clear" w:color="000000" w:fill="FFFFFF"/>
            <w:noWrap/>
            <w:vAlign w:val="bottom"/>
            <w:hideMark/>
          </w:tcPr>
          <w:p w14:paraId="1472D020"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40,61</w:t>
            </w:r>
          </w:p>
        </w:tc>
      </w:tr>
      <w:tr w:rsidR="0061054D" w:rsidRPr="0061054D" w14:paraId="4CD138BA" w14:textId="77777777" w:rsidTr="00907B59">
        <w:trPr>
          <w:trHeight w:val="288"/>
        </w:trPr>
        <w:tc>
          <w:tcPr>
            <w:tcW w:w="2293" w:type="dxa"/>
            <w:tcBorders>
              <w:top w:val="nil"/>
              <w:left w:val="nil"/>
              <w:bottom w:val="nil"/>
              <w:right w:val="single" w:sz="4" w:space="0" w:color="auto"/>
            </w:tcBorders>
            <w:shd w:val="clear" w:color="000000" w:fill="FFFFFF"/>
            <w:noWrap/>
            <w:vAlign w:val="bottom"/>
            <w:hideMark/>
          </w:tcPr>
          <w:p w14:paraId="0E6222EF" w14:textId="77777777" w:rsidR="0061054D" w:rsidRPr="0061054D" w:rsidRDefault="0061054D" w:rsidP="0061054D">
            <w:pPr>
              <w:spacing w:after="0" w:line="240" w:lineRule="auto"/>
              <w:ind w:firstLineChars="100" w:firstLine="160"/>
              <w:rPr>
                <w:rFonts w:cs="Arial"/>
                <w:sz w:val="16"/>
                <w:szCs w:val="16"/>
              </w:rPr>
            </w:pPr>
            <w:r w:rsidRPr="0061054D">
              <w:rPr>
                <w:rFonts w:cs="Arial"/>
                <w:sz w:val="16"/>
                <w:szCs w:val="16"/>
              </w:rPr>
              <w:t>Vysočina</w:t>
            </w:r>
          </w:p>
        </w:tc>
        <w:tc>
          <w:tcPr>
            <w:tcW w:w="2407" w:type="dxa"/>
            <w:tcBorders>
              <w:top w:val="nil"/>
              <w:left w:val="nil"/>
              <w:bottom w:val="nil"/>
              <w:right w:val="nil"/>
            </w:tcBorders>
            <w:shd w:val="clear" w:color="000000" w:fill="FFFFFF"/>
            <w:noWrap/>
            <w:vAlign w:val="bottom"/>
            <w:hideMark/>
          </w:tcPr>
          <w:p w14:paraId="65E2EF28"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49 098</w:t>
            </w:r>
          </w:p>
        </w:tc>
        <w:tc>
          <w:tcPr>
            <w:tcW w:w="2407" w:type="dxa"/>
            <w:tcBorders>
              <w:top w:val="nil"/>
              <w:left w:val="single" w:sz="4" w:space="0" w:color="auto"/>
              <w:bottom w:val="nil"/>
              <w:right w:val="single" w:sz="4" w:space="0" w:color="auto"/>
            </w:tcBorders>
            <w:shd w:val="clear" w:color="000000" w:fill="FFFFFF"/>
            <w:vAlign w:val="bottom"/>
            <w:hideMark/>
          </w:tcPr>
          <w:p w14:paraId="4DFDC48C"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2 191 222</w:t>
            </w:r>
          </w:p>
        </w:tc>
        <w:tc>
          <w:tcPr>
            <w:tcW w:w="2407" w:type="dxa"/>
            <w:tcBorders>
              <w:top w:val="nil"/>
              <w:left w:val="nil"/>
              <w:bottom w:val="nil"/>
              <w:right w:val="nil"/>
            </w:tcBorders>
            <w:shd w:val="clear" w:color="000000" w:fill="FFFFFF"/>
            <w:noWrap/>
            <w:vAlign w:val="bottom"/>
            <w:hideMark/>
          </w:tcPr>
          <w:p w14:paraId="1B6A01BC"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44,63</w:t>
            </w:r>
          </w:p>
        </w:tc>
      </w:tr>
      <w:tr w:rsidR="0061054D" w:rsidRPr="0061054D" w14:paraId="72B4836F" w14:textId="77777777" w:rsidTr="00907B59">
        <w:trPr>
          <w:trHeight w:val="288"/>
        </w:trPr>
        <w:tc>
          <w:tcPr>
            <w:tcW w:w="2293" w:type="dxa"/>
            <w:tcBorders>
              <w:top w:val="nil"/>
              <w:left w:val="nil"/>
              <w:bottom w:val="nil"/>
              <w:right w:val="single" w:sz="4" w:space="0" w:color="auto"/>
            </w:tcBorders>
            <w:shd w:val="clear" w:color="000000" w:fill="FFFFFF"/>
            <w:noWrap/>
            <w:vAlign w:val="bottom"/>
            <w:hideMark/>
          </w:tcPr>
          <w:p w14:paraId="117A1097" w14:textId="77777777" w:rsidR="0061054D" w:rsidRPr="0061054D" w:rsidRDefault="0061054D" w:rsidP="0061054D">
            <w:pPr>
              <w:spacing w:after="0" w:line="240" w:lineRule="auto"/>
              <w:ind w:firstLineChars="100" w:firstLine="160"/>
              <w:rPr>
                <w:rFonts w:cs="Arial"/>
                <w:sz w:val="16"/>
                <w:szCs w:val="16"/>
              </w:rPr>
            </w:pPr>
            <w:r w:rsidRPr="0061054D">
              <w:rPr>
                <w:rFonts w:cs="Arial"/>
                <w:sz w:val="16"/>
                <w:szCs w:val="16"/>
              </w:rPr>
              <w:t>Jihomoravský kraj</w:t>
            </w:r>
          </w:p>
        </w:tc>
        <w:tc>
          <w:tcPr>
            <w:tcW w:w="2407" w:type="dxa"/>
            <w:tcBorders>
              <w:top w:val="nil"/>
              <w:left w:val="single" w:sz="4" w:space="0" w:color="auto"/>
              <w:bottom w:val="nil"/>
              <w:right w:val="single" w:sz="4" w:space="0" w:color="auto"/>
            </w:tcBorders>
            <w:shd w:val="clear" w:color="000000" w:fill="FFFFFF"/>
            <w:vAlign w:val="bottom"/>
            <w:hideMark/>
          </w:tcPr>
          <w:p w14:paraId="12DB1C3E"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103 452</w:t>
            </w:r>
          </w:p>
        </w:tc>
        <w:tc>
          <w:tcPr>
            <w:tcW w:w="2407" w:type="dxa"/>
            <w:tcBorders>
              <w:top w:val="nil"/>
              <w:left w:val="nil"/>
              <w:bottom w:val="nil"/>
              <w:right w:val="single" w:sz="4" w:space="0" w:color="auto"/>
            </w:tcBorders>
            <w:shd w:val="clear" w:color="000000" w:fill="FFFFFF"/>
            <w:noWrap/>
            <w:vAlign w:val="bottom"/>
            <w:hideMark/>
          </w:tcPr>
          <w:p w14:paraId="7AD73084"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4 519 085</w:t>
            </w:r>
          </w:p>
        </w:tc>
        <w:tc>
          <w:tcPr>
            <w:tcW w:w="2407" w:type="dxa"/>
            <w:tcBorders>
              <w:top w:val="nil"/>
              <w:left w:val="nil"/>
              <w:bottom w:val="nil"/>
              <w:right w:val="nil"/>
            </w:tcBorders>
            <w:shd w:val="clear" w:color="000000" w:fill="FFFFFF"/>
            <w:noWrap/>
            <w:vAlign w:val="bottom"/>
            <w:hideMark/>
          </w:tcPr>
          <w:p w14:paraId="2C6D286C"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43,68</w:t>
            </w:r>
          </w:p>
        </w:tc>
      </w:tr>
      <w:tr w:rsidR="0061054D" w:rsidRPr="0061054D" w14:paraId="1E4C665E" w14:textId="77777777" w:rsidTr="00907B59">
        <w:trPr>
          <w:trHeight w:val="288"/>
        </w:trPr>
        <w:tc>
          <w:tcPr>
            <w:tcW w:w="2293" w:type="dxa"/>
            <w:tcBorders>
              <w:top w:val="nil"/>
              <w:left w:val="nil"/>
              <w:bottom w:val="nil"/>
              <w:right w:val="single" w:sz="4" w:space="0" w:color="auto"/>
            </w:tcBorders>
            <w:shd w:val="clear" w:color="000000" w:fill="FFFFFF"/>
            <w:noWrap/>
            <w:vAlign w:val="bottom"/>
            <w:hideMark/>
          </w:tcPr>
          <w:p w14:paraId="12232F1D" w14:textId="77777777" w:rsidR="0061054D" w:rsidRPr="0061054D" w:rsidRDefault="0061054D" w:rsidP="0061054D">
            <w:pPr>
              <w:spacing w:after="0" w:line="240" w:lineRule="auto"/>
              <w:ind w:firstLineChars="100" w:firstLine="160"/>
              <w:rPr>
                <w:rFonts w:cs="Arial"/>
                <w:sz w:val="16"/>
                <w:szCs w:val="16"/>
              </w:rPr>
            </w:pPr>
            <w:r w:rsidRPr="0061054D">
              <w:rPr>
                <w:rFonts w:cs="Arial"/>
                <w:sz w:val="16"/>
                <w:szCs w:val="16"/>
              </w:rPr>
              <w:t>Olomoucký kraj</w:t>
            </w:r>
          </w:p>
        </w:tc>
        <w:tc>
          <w:tcPr>
            <w:tcW w:w="2407" w:type="dxa"/>
            <w:tcBorders>
              <w:top w:val="nil"/>
              <w:left w:val="single" w:sz="4" w:space="0" w:color="auto"/>
              <w:bottom w:val="nil"/>
              <w:right w:val="single" w:sz="4" w:space="0" w:color="auto"/>
            </w:tcBorders>
            <w:shd w:val="clear" w:color="000000" w:fill="FFFFFF"/>
            <w:vAlign w:val="bottom"/>
            <w:hideMark/>
          </w:tcPr>
          <w:p w14:paraId="6AD333B0"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59 414</w:t>
            </w:r>
          </w:p>
        </w:tc>
        <w:tc>
          <w:tcPr>
            <w:tcW w:w="2407" w:type="dxa"/>
            <w:tcBorders>
              <w:top w:val="nil"/>
              <w:left w:val="nil"/>
              <w:bottom w:val="nil"/>
              <w:right w:val="single" w:sz="4" w:space="0" w:color="auto"/>
            </w:tcBorders>
            <w:shd w:val="clear" w:color="000000" w:fill="FFFFFF"/>
            <w:vAlign w:val="bottom"/>
            <w:hideMark/>
          </w:tcPr>
          <w:p w14:paraId="4372E411"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2 696 382</w:t>
            </w:r>
          </w:p>
        </w:tc>
        <w:tc>
          <w:tcPr>
            <w:tcW w:w="2407" w:type="dxa"/>
            <w:tcBorders>
              <w:top w:val="nil"/>
              <w:left w:val="nil"/>
              <w:bottom w:val="nil"/>
              <w:right w:val="nil"/>
            </w:tcBorders>
            <w:shd w:val="clear" w:color="000000" w:fill="FFFFFF"/>
            <w:noWrap/>
            <w:vAlign w:val="bottom"/>
            <w:hideMark/>
          </w:tcPr>
          <w:p w14:paraId="29A44734"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45,38</w:t>
            </w:r>
          </w:p>
        </w:tc>
      </w:tr>
      <w:tr w:rsidR="0061054D" w:rsidRPr="0061054D" w14:paraId="1E580DD3" w14:textId="77777777" w:rsidTr="00907B59">
        <w:trPr>
          <w:trHeight w:val="288"/>
        </w:trPr>
        <w:tc>
          <w:tcPr>
            <w:tcW w:w="2293" w:type="dxa"/>
            <w:tcBorders>
              <w:top w:val="nil"/>
              <w:left w:val="nil"/>
              <w:bottom w:val="nil"/>
              <w:right w:val="single" w:sz="4" w:space="0" w:color="auto"/>
            </w:tcBorders>
            <w:shd w:val="clear" w:color="000000" w:fill="FFFFFF"/>
            <w:noWrap/>
            <w:vAlign w:val="bottom"/>
            <w:hideMark/>
          </w:tcPr>
          <w:p w14:paraId="73FFDAC5" w14:textId="77777777" w:rsidR="0061054D" w:rsidRPr="0061054D" w:rsidRDefault="0061054D" w:rsidP="0061054D">
            <w:pPr>
              <w:spacing w:after="0" w:line="240" w:lineRule="auto"/>
              <w:ind w:firstLineChars="100" w:firstLine="160"/>
              <w:rPr>
                <w:rFonts w:cs="Arial"/>
                <w:sz w:val="16"/>
                <w:szCs w:val="16"/>
              </w:rPr>
            </w:pPr>
            <w:r w:rsidRPr="0061054D">
              <w:rPr>
                <w:rFonts w:cs="Arial"/>
                <w:sz w:val="16"/>
                <w:szCs w:val="16"/>
              </w:rPr>
              <w:t>Zlínský kraj</w:t>
            </w:r>
          </w:p>
        </w:tc>
        <w:tc>
          <w:tcPr>
            <w:tcW w:w="2407" w:type="dxa"/>
            <w:tcBorders>
              <w:top w:val="nil"/>
              <w:left w:val="single" w:sz="4" w:space="0" w:color="auto"/>
              <w:bottom w:val="nil"/>
              <w:right w:val="single" w:sz="4" w:space="0" w:color="auto"/>
            </w:tcBorders>
            <w:shd w:val="clear" w:color="000000" w:fill="FFFFFF"/>
            <w:vAlign w:val="bottom"/>
            <w:hideMark/>
          </w:tcPr>
          <w:p w14:paraId="3978A15E"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53 270</w:t>
            </w:r>
          </w:p>
        </w:tc>
        <w:tc>
          <w:tcPr>
            <w:tcW w:w="2407" w:type="dxa"/>
            <w:tcBorders>
              <w:top w:val="nil"/>
              <w:left w:val="nil"/>
              <w:bottom w:val="nil"/>
              <w:right w:val="single" w:sz="4" w:space="0" w:color="auto"/>
            </w:tcBorders>
            <w:shd w:val="clear" w:color="000000" w:fill="FFFFFF"/>
            <w:vAlign w:val="bottom"/>
            <w:hideMark/>
          </w:tcPr>
          <w:p w14:paraId="63D358E8"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2 662 679</w:t>
            </w:r>
          </w:p>
        </w:tc>
        <w:tc>
          <w:tcPr>
            <w:tcW w:w="2407" w:type="dxa"/>
            <w:tcBorders>
              <w:top w:val="nil"/>
              <w:left w:val="nil"/>
              <w:bottom w:val="nil"/>
              <w:right w:val="nil"/>
            </w:tcBorders>
            <w:shd w:val="clear" w:color="000000" w:fill="FFFFFF"/>
            <w:noWrap/>
            <w:vAlign w:val="bottom"/>
            <w:hideMark/>
          </w:tcPr>
          <w:p w14:paraId="3E069A3E"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49,98</w:t>
            </w:r>
          </w:p>
        </w:tc>
      </w:tr>
      <w:tr w:rsidR="0061054D" w:rsidRPr="0061054D" w14:paraId="380129C5" w14:textId="77777777" w:rsidTr="00907B59">
        <w:trPr>
          <w:trHeight w:val="288"/>
        </w:trPr>
        <w:tc>
          <w:tcPr>
            <w:tcW w:w="2293" w:type="dxa"/>
            <w:tcBorders>
              <w:top w:val="nil"/>
              <w:left w:val="nil"/>
              <w:bottom w:val="nil"/>
              <w:right w:val="single" w:sz="4" w:space="0" w:color="auto"/>
            </w:tcBorders>
            <w:shd w:val="clear" w:color="000000" w:fill="FFFFFF"/>
            <w:noWrap/>
            <w:vAlign w:val="bottom"/>
            <w:hideMark/>
          </w:tcPr>
          <w:p w14:paraId="33170E34" w14:textId="77777777" w:rsidR="0061054D" w:rsidRPr="0061054D" w:rsidRDefault="0061054D" w:rsidP="0061054D">
            <w:pPr>
              <w:spacing w:after="0" w:line="240" w:lineRule="auto"/>
              <w:ind w:firstLineChars="100" w:firstLine="160"/>
              <w:rPr>
                <w:rFonts w:cs="Arial"/>
                <w:sz w:val="16"/>
                <w:szCs w:val="16"/>
              </w:rPr>
            </w:pPr>
            <w:r w:rsidRPr="0061054D">
              <w:rPr>
                <w:rFonts w:cs="Arial"/>
                <w:sz w:val="16"/>
                <w:szCs w:val="16"/>
              </w:rPr>
              <w:t>Moravskoslezský kraj</w:t>
            </w:r>
          </w:p>
        </w:tc>
        <w:tc>
          <w:tcPr>
            <w:tcW w:w="2407" w:type="dxa"/>
            <w:tcBorders>
              <w:top w:val="nil"/>
              <w:left w:val="single" w:sz="4" w:space="0" w:color="auto"/>
              <w:bottom w:val="nil"/>
              <w:right w:val="single" w:sz="4" w:space="0" w:color="auto"/>
            </w:tcBorders>
            <w:shd w:val="clear" w:color="000000" w:fill="FFFFFF"/>
            <w:vAlign w:val="bottom"/>
            <w:hideMark/>
          </w:tcPr>
          <w:p w14:paraId="16889D5C"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108 587</w:t>
            </w:r>
          </w:p>
        </w:tc>
        <w:tc>
          <w:tcPr>
            <w:tcW w:w="2407" w:type="dxa"/>
            <w:tcBorders>
              <w:top w:val="nil"/>
              <w:left w:val="nil"/>
              <w:bottom w:val="nil"/>
              <w:right w:val="single" w:sz="4" w:space="0" w:color="auto"/>
            </w:tcBorders>
            <w:shd w:val="clear" w:color="000000" w:fill="FFFFFF"/>
            <w:vAlign w:val="bottom"/>
            <w:hideMark/>
          </w:tcPr>
          <w:p w14:paraId="12099C4E"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5 462 419</w:t>
            </w:r>
          </w:p>
        </w:tc>
        <w:tc>
          <w:tcPr>
            <w:tcW w:w="2407" w:type="dxa"/>
            <w:tcBorders>
              <w:top w:val="nil"/>
              <w:left w:val="nil"/>
              <w:bottom w:val="nil"/>
              <w:right w:val="nil"/>
            </w:tcBorders>
            <w:shd w:val="clear" w:color="000000" w:fill="FFFFFF"/>
            <w:noWrap/>
            <w:vAlign w:val="bottom"/>
            <w:hideMark/>
          </w:tcPr>
          <w:p w14:paraId="15BE1390"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50,30</w:t>
            </w:r>
          </w:p>
        </w:tc>
      </w:tr>
    </w:tbl>
    <w:p w14:paraId="5E468387" w14:textId="63355F51" w:rsidR="00824AFD" w:rsidRPr="00D82821" w:rsidRDefault="00824AFD" w:rsidP="00D457E4">
      <w:pPr>
        <w:spacing w:before="120" w:line="240" w:lineRule="auto"/>
        <w:jc w:val="both"/>
        <w:rPr>
          <w:rFonts w:cs="Arial"/>
          <w:sz w:val="16"/>
          <w:szCs w:val="16"/>
        </w:rPr>
      </w:pPr>
      <w:r w:rsidRPr="00D82821">
        <w:rPr>
          <w:rFonts w:cs="Arial"/>
          <w:sz w:val="16"/>
          <w:szCs w:val="16"/>
        </w:rPr>
        <w:t>Zdroj: ČSSZ</w:t>
      </w:r>
    </w:p>
    <w:p w14:paraId="7EA5E15D" w14:textId="4185C1D9" w:rsidR="00907B59" w:rsidRDefault="00907B59" w:rsidP="00907B59">
      <w:pPr>
        <w:pStyle w:val="Normlnweb"/>
        <w:spacing w:line="288" w:lineRule="auto"/>
        <w:jc w:val="both"/>
        <w:rPr>
          <w:rFonts w:ascii="Arial" w:hAnsi="Arial"/>
          <w:sz w:val="20"/>
        </w:rPr>
      </w:pPr>
      <w:r w:rsidRPr="0094763D">
        <w:rPr>
          <w:rFonts w:ascii="Arial" w:hAnsi="Arial"/>
          <w:b/>
          <w:sz w:val="20"/>
        </w:rPr>
        <w:lastRenderedPageBreak/>
        <w:t>Průměrná délka trvání</w:t>
      </w:r>
      <w:r w:rsidRPr="00F659EB">
        <w:rPr>
          <w:rFonts w:ascii="Arial" w:hAnsi="Arial"/>
          <w:sz w:val="20"/>
        </w:rPr>
        <w:t xml:space="preserve"> jednoho případu dočasné pracovní neschopnosti se meziročně </w:t>
      </w:r>
      <w:r>
        <w:rPr>
          <w:rFonts w:ascii="Arial" w:hAnsi="Arial"/>
          <w:sz w:val="20"/>
        </w:rPr>
        <w:t xml:space="preserve">prodloužila o 4 dny – </w:t>
      </w:r>
      <w:r w:rsidRPr="00F659EB">
        <w:rPr>
          <w:rFonts w:ascii="Arial" w:hAnsi="Arial"/>
          <w:sz w:val="20"/>
        </w:rPr>
        <w:t xml:space="preserve">z loňských </w:t>
      </w:r>
      <w:r>
        <w:rPr>
          <w:rFonts w:ascii="Arial" w:hAnsi="Arial"/>
          <w:sz w:val="20"/>
        </w:rPr>
        <w:t>37,8</w:t>
      </w:r>
      <w:r w:rsidRPr="00F659EB">
        <w:rPr>
          <w:rFonts w:ascii="Arial" w:hAnsi="Arial"/>
          <w:sz w:val="20"/>
        </w:rPr>
        <w:t xml:space="preserve"> dne na letošních </w:t>
      </w:r>
      <w:r>
        <w:rPr>
          <w:rFonts w:ascii="Arial" w:hAnsi="Arial"/>
          <w:sz w:val="20"/>
        </w:rPr>
        <w:t>41,8</w:t>
      </w:r>
      <w:r w:rsidRPr="00F659EB">
        <w:rPr>
          <w:rFonts w:ascii="Arial" w:hAnsi="Arial"/>
          <w:sz w:val="20"/>
        </w:rPr>
        <w:t xml:space="preserve"> dne. Nejkratší dobu opět stonali pojištěnci v Praze (</w:t>
      </w:r>
      <w:r>
        <w:rPr>
          <w:rFonts w:ascii="Arial" w:hAnsi="Arial"/>
          <w:sz w:val="20"/>
        </w:rPr>
        <w:t>31,8</w:t>
      </w:r>
      <w:r w:rsidRPr="00F659EB">
        <w:rPr>
          <w:rFonts w:ascii="Arial" w:hAnsi="Arial"/>
          <w:sz w:val="20"/>
        </w:rPr>
        <w:t xml:space="preserve"> dne) následováni Středočechy (3</w:t>
      </w:r>
      <w:r>
        <w:rPr>
          <w:rFonts w:ascii="Arial" w:hAnsi="Arial"/>
          <w:sz w:val="20"/>
        </w:rPr>
        <w:t>7</w:t>
      </w:r>
      <w:r w:rsidRPr="00F659EB">
        <w:rPr>
          <w:rFonts w:ascii="Arial" w:hAnsi="Arial"/>
          <w:sz w:val="20"/>
        </w:rPr>
        <w:t>,</w:t>
      </w:r>
      <w:r>
        <w:rPr>
          <w:rFonts w:ascii="Arial" w:hAnsi="Arial"/>
          <w:sz w:val="20"/>
        </w:rPr>
        <w:t>8</w:t>
      </w:r>
      <w:r w:rsidRPr="00F659EB">
        <w:rPr>
          <w:rFonts w:ascii="Arial" w:hAnsi="Arial"/>
          <w:sz w:val="20"/>
        </w:rPr>
        <w:t xml:space="preserve"> dne).</w:t>
      </w:r>
      <w:r>
        <w:rPr>
          <w:rFonts w:ascii="Arial" w:hAnsi="Arial"/>
          <w:sz w:val="20"/>
        </w:rPr>
        <w:t xml:space="preserve"> Naopak v průměru n</w:t>
      </w:r>
      <w:r w:rsidRPr="00F659EB">
        <w:rPr>
          <w:rFonts w:ascii="Arial" w:hAnsi="Arial"/>
          <w:sz w:val="20"/>
        </w:rPr>
        <w:t xml:space="preserve">ejdéle na neschopence byli </w:t>
      </w:r>
      <w:r w:rsidR="00D853A4">
        <w:rPr>
          <w:rFonts w:ascii="Arial" w:hAnsi="Arial"/>
          <w:sz w:val="20"/>
        </w:rPr>
        <w:t>v 1. pol. 2019</w:t>
      </w:r>
      <w:r w:rsidRPr="00F659EB">
        <w:rPr>
          <w:rFonts w:ascii="Arial" w:hAnsi="Arial"/>
          <w:sz w:val="20"/>
        </w:rPr>
        <w:t xml:space="preserve"> pojištěnci v</w:t>
      </w:r>
      <w:r>
        <w:rPr>
          <w:rFonts w:ascii="Arial" w:hAnsi="Arial"/>
          <w:sz w:val="20"/>
        </w:rPr>
        <w:t> Moravskoslezském</w:t>
      </w:r>
      <w:r w:rsidRPr="00F659EB">
        <w:rPr>
          <w:rFonts w:ascii="Arial" w:hAnsi="Arial"/>
          <w:sz w:val="20"/>
        </w:rPr>
        <w:t xml:space="preserve"> (</w:t>
      </w:r>
      <w:r>
        <w:rPr>
          <w:rFonts w:ascii="Arial" w:hAnsi="Arial"/>
          <w:sz w:val="20"/>
        </w:rPr>
        <w:t xml:space="preserve">50,3 dne) a </w:t>
      </w:r>
      <w:r w:rsidR="0047242F">
        <w:rPr>
          <w:rFonts w:ascii="Arial" w:hAnsi="Arial"/>
          <w:sz w:val="20"/>
        </w:rPr>
        <w:t xml:space="preserve">ve </w:t>
      </w:r>
      <w:r>
        <w:rPr>
          <w:rFonts w:ascii="Arial" w:hAnsi="Arial"/>
          <w:sz w:val="20"/>
        </w:rPr>
        <w:t>Zlínském kraji (50 dní).</w:t>
      </w:r>
    </w:p>
    <w:p w14:paraId="069FD58C" w14:textId="7610605E" w:rsidR="00901128" w:rsidRDefault="00AF2E89" w:rsidP="000318FA">
      <w:pPr>
        <w:jc w:val="both"/>
      </w:pPr>
      <w:r w:rsidRPr="00AF2E89">
        <w:t xml:space="preserve">Z pohledu </w:t>
      </w:r>
      <w:r w:rsidRPr="0094763D">
        <w:rPr>
          <w:b/>
        </w:rPr>
        <w:t>věkové struktury</w:t>
      </w:r>
      <w:r w:rsidRPr="00AF2E89">
        <w:t xml:space="preserve"> práce neschopných</w:t>
      </w:r>
      <w:r w:rsidR="007C21CE">
        <w:t xml:space="preserve"> </w:t>
      </w:r>
      <w:r w:rsidR="0094763D">
        <w:t>se</w:t>
      </w:r>
      <w:r w:rsidR="007C21CE">
        <w:t xml:space="preserve"> </w:t>
      </w:r>
      <w:r w:rsidR="003007A7">
        <w:t>v</w:t>
      </w:r>
      <w:r w:rsidR="00263C28">
        <w:t> 1. pol. 201</w:t>
      </w:r>
      <w:r w:rsidR="0094763D">
        <w:t>9</w:t>
      </w:r>
      <w:r w:rsidR="003007A7">
        <w:t xml:space="preserve"> </w:t>
      </w:r>
      <w:r w:rsidR="007C21CE">
        <w:t>nejvíce případů pracovní neschopnosti</w:t>
      </w:r>
      <w:r w:rsidR="003007A7">
        <w:t xml:space="preserve"> </w:t>
      </w:r>
      <w:r w:rsidR="00FE54D3">
        <w:t>událo</w:t>
      </w:r>
      <w:r w:rsidR="0094763D">
        <w:t xml:space="preserve"> osob</w:t>
      </w:r>
      <w:r w:rsidR="00FE54D3">
        <w:t>ám</w:t>
      </w:r>
      <w:r w:rsidR="0094763D">
        <w:t xml:space="preserve"> ve věkové skupině 40</w:t>
      </w:r>
      <w:r w:rsidR="003007A7">
        <w:t>–4</w:t>
      </w:r>
      <w:r w:rsidR="00263C28">
        <w:t>9</w:t>
      </w:r>
      <w:r w:rsidR="003007A7">
        <w:t xml:space="preserve"> let (</w:t>
      </w:r>
      <w:r w:rsidR="0094763D">
        <w:t>26</w:t>
      </w:r>
      <w:r w:rsidR="00FF00AC">
        <w:t xml:space="preserve">% </w:t>
      </w:r>
      <w:r w:rsidR="003007A7">
        <w:t xml:space="preserve">podíl na počtu všech případů) a dále ve věkové skupině </w:t>
      </w:r>
      <w:r w:rsidR="00E16BB9">
        <w:br/>
      </w:r>
      <w:r w:rsidR="0078196B">
        <w:t>50</w:t>
      </w:r>
      <w:r w:rsidR="003007A7">
        <w:t>–</w:t>
      </w:r>
      <w:r w:rsidR="0078196B">
        <w:t>59</w:t>
      </w:r>
      <w:r w:rsidR="003007A7">
        <w:t xml:space="preserve"> let (</w:t>
      </w:r>
      <w:r w:rsidR="00D853A4">
        <w:t>24</w:t>
      </w:r>
      <w:r w:rsidR="0078196B">
        <w:t xml:space="preserve">% </w:t>
      </w:r>
      <w:r w:rsidR="003007A7">
        <w:t>podíl</w:t>
      </w:r>
      <w:r w:rsidR="0078196B">
        <w:t xml:space="preserve"> ze všech případů</w:t>
      </w:r>
      <w:r w:rsidR="003007A7">
        <w:t>).</w:t>
      </w:r>
      <w:r w:rsidR="006B4327">
        <w:t xml:space="preserve"> </w:t>
      </w:r>
      <w:r w:rsidR="00D853A4">
        <w:t xml:space="preserve">Polovina všech ukončených </w:t>
      </w:r>
      <w:r w:rsidR="00E16BB9">
        <w:t xml:space="preserve">případů </w:t>
      </w:r>
      <w:r w:rsidR="00D853A4">
        <w:t xml:space="preserve">pracovních neschopností se tedy </w:t>
      </w:r>
      <w:r w:rsidR="00E16BB9">
        <w:t>stala</w:t>
      </w:r>
      <w:r w:rsidR="00D853A4">
        <w:t xml:space="preserve"> pojištěncům ve věku 40–59 let. </w:t>
      </w:r>
      <w:r w:rsidR="006B4327">
        <w:t xml:space="preserve">Naopak nejméně případů dočasné pracovní neschopnosti bylo </w:t>
      </w:r>
      <w:r w:rsidR="00E16BB9">
        <w:t xml:space="preserve">zaznamenáno </w:t>
      </w:r>
      <w:r w:rsidR="006B4327">
        <w:t>ve věkové skupině do 20 let (1,</w:t>
      </w:r>
      <w:r w:rsidR="0094763D">
        <w:t>3</w:t>
      </w:r>
      <w:r w:rsidR="006B4327">
        <w:t>% podíl ze všech případů) a ve věkové skupině 60 a více let (7</w:t>
      </w:r>
      <w:r w:rsidR="0094763D">
        <w:t>,3</w:t>
      </w:r>
      <w:r w:rsidR="006B4327">
        <w:t xml:space="preserve">% podíl ze všech případů). </w:t>
      </w:r>
      <w:r w:rsidR="00D853A4">
        <w:t>Nízký</w:t>
      </w:r>
      <w:r w:rsidR="000674CE">
        <w:t xml:space="preserve"> počet případů v nejstarší věkové skupině může souviset i se zkrácenou podpůrčí dobou u pracujících důchodců</w:t>
      </w:r>
      <w:r w:rsidR="00901128">
        <w:rPr>
          <w:rStyle w:val="Znakapoznpodarou"/>
        </w:rPr>
        <w:footnoteReference w:id="3"/>
      </w:r>
      <w:r w:rsidR="000674CE">
        <w:t xml:space="preserve"> </w:t>
      </w:r>
      <w:r w:rsidR="00901128">
        <w:t>a s faktem, že pokud v tomto věku pojištěnec onemocní vážnější chorobou, většinou již ve výdělečné činnosti dále nepokračuje.</w:t>
      </w:r>
    </w:p>
    <w:p w14:paraId="0AC77FB5" w14:textId="75E1F1E7" w:rsidR="00866779" w:rsidRDefault="005A3F7E" w:rsidP="000318FA">
      <w:pPr>
        <w:jc w:val="both"/>
        <w:rPr>
          <w:b/>
        </w:rPr>
      </w:pPr>
      <w:r>
        <w:t xml:space="preserve">Z hlediska pohlaví </w:t>
      </w:r>
      <w:r w:rsidR="0047242F">
        <w:t xml:space="preserve">na neschopence </w:t>
      </w:r>
      <w:r>
        <w:t xml:space="preserve">převládali až do věkové skupiny 30–39 let muži, ve věkové skupině </w:t>
      </w:r>
      <w:r w:rsidR="005A0510">
        <w:br/>
      </w:r>
      <w:r>
        <w:t xml:space="preserve">40–59 let naopak ženy. </w:t>
      </w:r>
      <w:r w:rsidR="00E16BB9">
        <w:t xml:space="preserve">Ženy ve věku 40–59 let v 1. pol. 2019 vykazovaly o 88 tis. ukončených případů více než muži ve stejném věkovém vymezení. </w:t>
      </w:r>
      <w:r>
        <w:t xml:space="preserve">U 60letých a starších je opět zřejmá převaha mužů. </w:t>
      </w:r>
    </w:p>
    <w:p w14:paraId="650B9AFA" w14:textId="098CC24D" w:rsidR="00EE5D67" w:rsidRDefault="0061054D" w:rsidP="00FE54D3">
      <w:pPr>
        <w:spacing w:after="120"/>
        <w:jc w:val="both"/>
        <w:rPr>
          <w:rFonts w:ascii="Calibri" w:eastAsia="Calibri" w:hAnsi="Calibri"/>
          <w:szCs w:val="20"/>
          <w:lang w:eastAsia="en-US"/>
        </w:rPr>
      </w:pPr>
      <w:r w:rsidRPr="0061054D">
        <w:rPr>
          <w:b/>
        </w:rPr>
        <w:t>Tab. 3.2</w:t>
      </w:r>
      <w:r>
        <w:rPr>
          <w:b/>
        </w:rPr>
        <w:t>: U</w:t>
      </w:r>
      <w:r w:rsidRPr="0061054D">
        <w:rPr>
          <w:b/>
        </w:rPr>
        <w:t>končené případy dočasné pracovní neschopnosti, po</w:t>
      </w:r>
      <w:r>
        <w:rPr>
          <w:b/>
        </w:rPr>
        <w:t xml:space="preserve">čet kalendářních dnů a </w:t>
      </w:r>
      <w:r w:rsidR="005A3F7E">
        <w:rPr>
          <w:b/>
        </w:rPr>
        <w:t>průměrná</w:t>
      </w:r>
      <w:r w:rsidR="005A3F7E" w:rsidRPr="0061054D">
        <w:rPr>
          <w:b/>
        </w:rPr>
        <w:t xml:space="preserve"> délka</w:t>
      </w:r>
      <w:r w:rsidRPr="0061054D">
        <w:rPr>
          <w:b/>
        </w:rPr>
        <w:t xml:space="preserve"> trvání případu dočasné pracovní neschopnosti podle věku a pohlaví (1. pol. 2018, 2019)</w:t>
      </w:r>
      <w:r w:rsidR="00A02F0C">
        <w:fldChar w:fldCharType="begin"/>
      </w:r>
      <w:r w:rsidR="00A02F0C">
        <w:instrText xml:space="preserve"> LINK </w:instrText>
      </w:r>
      <w:r w:rsidR="00EE5D67">
        <w:instrText xml:space="preserve">Excel.Sheet.12 "E:\\PN_1.pol.2019\\1. pol\\TABULKY V TEXTU.xlsx" 3.2.!R4C1:R22C10 </w:instrText>
      </w:r>
      <w:r w:rsidR="00A02F0C">
        <w:instrText xml:space="preserve">\a \f 4 \h  \* MERGEFORMAT </w:instrText>
      </w:r>
      <w:r w:rsidR="00A02F0C">
        <w:fldChar w:fldCharType="separate"/>
      </w:r>
    </w:p>
    <w:tbl>
      <w:tblPr>
        <w:tblW w:w="9654" w:type="dxa"/>
        <w:tblCellMar>
          <w:left w:w="70" w:type="dxa"/>
          <w:right w:w="70" w:type="dxa"/>
        </w:tblCellMar>
        <w:tblLook w:val="04A0" w:firstRow="1" w:lastRow="0" w:firstColumn="1" w:lastColumn="0" w:noHBand="0" w:noVBand="1"/>
      </w:tblPr>
      <w:tblGrid>
        <w:gridCol w:w="1214"/>
        <w:gridCol w:w="891"/>
        <w:gridCol w:w="864"/>
        <w:gridCol w:w="870"/>
        <w:gridCol w:w="982"/>
        <w:gridCol w:w="57"/>
        <w:gridCol w:w="925"/>
        <w:gridCol w:w="57"/>
        <w:gridCol w:w="925"/>
        <w:gridCol w:w="57"/>
        <w:gridCol w:w="879"/>
        <w:gridCol w:w="57"/>
        <w:gridCol w:w="879"/>
        <w:gridCol w:w="57"/>
        <w:gridCol w:w="873"/>
        <w:gridCol w:w="10"/>
        <w:gridCol w:w="20"/>
        <w:gridCol w:w="37"/>
      </w:tblGrid>
      <w:tr w:rsidR="00EE5D67" w:rsidRPr="00EE5D67" w14:paraId="4C00CD30" w14:textId="77777777" w:rsidTr="00EE5D67">
        <w:trPr>
          <w:gridAfter w:val="3"/>
          <w:divId w:val="283998286"/>
          <w:wAfter w:w="65" w:type="dxa"/>
          <w:trHeight w:val="672"/>
        </w:trPr>
        <w:tc>
          <w:tcPr>
            <w:tcW w:w="1214" w:type="dxa"/>
            <w:vMerge w:val="restart"/>
            <w:tcBorders>
              <w:top w:val="single" w:sz="4" w:space="0" w:color="auto"/>
              <w:left w:val="nil"/>
              <w:bottom w:val="single" w:sz="4" w:space="0" w:color="000000"/>
              <w:right w:val="single" w:sz="4" w:space="0" w:color="auto"/>
            </w:tcBorders>
            <w:shd w:val="clear" w:color="000000" w:fill="F2DCDB"/>
            <w:vAlign w:val="center"/>
            <w:hideMark/>
          </w:tcPr>
          <w:p w14:paraId="0755833A" w14:textId="0CB70A1C" w:rsidR="00EE5D67" w:rsidRPr="00EE5D67" w:rsidRDefault="00EE5D67" w:rsidP="00EE5D67">
            <w:pPr>
              <w:spacing w:after="0" w:line="240" w:lineRule="auto"/>
              <w:jc w:val="center"/>
              <w:rPr>
                <w:rFonts w:cs="Arial"/>
                <w:sz w:val="16"/>
                <w:szCs w:val="16"/>
              </w:rPr>
            </w:pPr>
            <w:r w:rsidRPr="00EE5D67">
              <w:rPr>
                <w:rFonts w:cs="Arial"/>
                <w:sz w:val="16"/>
                <w:szCs w:val="16"/>
              </w:rPr>
              <w:t>Věková skupina</w:t>
            </w:r>
          </w:p>
        </w:tc>
        <w:tc>
          <w:tcPr>
            <w:tcW w:w="2627" w:type="dxa"/>
            <w:gridSpan w:val="3"/>
            <w:tcBorders>
              <w:top w:val="single" w:sz="4" w:space="0" w:color="auto"/>
              <w:left w:val="single" w:sz="4" w:space="0" w:color="auto"/>
              <w:bottom w:val="single" w:sz="4" w:space="0" w:color="auto"/>
              <w:right w:val="single" w:sz="4" w:space="0" w:color="000000"/>
            </w:tcBorders>
            <w:shd w:val="clear" w:color="000000" w:fill="F2DCDB"/>
            <w:vAlign w:val="center"/>
            <w:hideMark/>
          </w:tcPr>
          <w:p w14:paraId="7697FE8A" w14:textId="77777777" w:rsidR="00EE5D67" w:rsidRPr="00EE5D67" w:rsidRDefault="00EE5D67" w:rsidP="00EE5D67">
            <w:pPr>
              <w:spacing w:after="0" w:line="240" w:lineRule="auto"/>
              <w:jc w:val="center"/>
              <w:rPr>
                <w:rFonts w:cs="Arial"/>
                <w:sz w:val="16"/>
                <w:szCs w:val="16"/>
              </w:rPr>
            </w:pPr>
            <w:r w:rsidRPr="00EE5D67">
              <w:rPr>
                <w:rFonts w:cs="Arial"/>
                <w:sz w:val="16"/>
                <w:szCs w:val="16"/>
              </w:rPr>
              <w:t>Počet ukončených případů DPN</w:t>
            </w:r>
          </w:p>
        </w:tc>
        <w:tc>
          <w:tcPr>
            <w:tcW w:w="2946" w:type="dxa"/>
            <w:gridSpan w:val="5"/>
            <w:tcBorders>
              <w:top w:val="single" w:sz="4" w:space="0" w:color="auto"/>
              <w:left w:val="nil"/>
              <w:bottom w:val="single" w:sz="4" w:space="0" w:color="auto"/>
              <w:right w:val="single" w:sz="4" w:space="0" w:color="000000"/>
            </w:tcBorders>
            <w:shd w:val="clear" w:color="000000" w:fill="F2DCDB"/>
            <w:vAlign w:val="center"/>
            <w:hideMark/>
          </w:tcPr>
          <w:p w14:paraId="400CF65C" w14:textId="77777777" w:rsidR="00EE5D67" w:rsidRPr="00EE5D67" w:rsidRDefault="00EE5D67" w:rsidP="00EE5D67">
            <w:pPr>
              <w:spacing w:after="0" w:line="240" w:lineRule="auto"/>
              <w:jc w:val="center"/>
              <w:rPr>
                <w:rFonts w:cs="Arial"/>
                <w:sz w:val="16"/>
                <w:szCs w:val="16"/>
              </w:rPr>
            </w:pPr>
            <w:r w:rsidRPr="00EE5D67">
              <w:rPr>
                <w:rFonts w:cs="Arial"/>
                <w:sz w:val="16"/>
                <w:szCs w:val="16"/>
              </w:rPr>
              <w:t>Počet kalendářních dnů DPN</w:t>
            </w:r>
          </w:p>
        </w:tc>
        <w:tc>
          <w:tcPr>
            <w:tcW w:w="2802" w:type="dxa"/>
            <w:gridSpan w:val="6"/>
            <w:tcBorders>
              <w:top w:val="single" w:sz="4" w:space="0" w:color="auto"/>
              <w:left w:val="nil"/>
              <w:bottom w:val="single" w:sz="4" w:space="0" w:color="auto"/>
              <w:right w:val="nil"/>
            </w:tcBorders>
            <w:shd w:val="clear" w:color="000000" w:fill="F2DCDB"/>
            <w:vAlign w:val="center"/>
            <w:hideMark/>
          </w:tcPr>
          <w:p w14:paraId="4C53F592" w14:textId="0591E81B" w:rsidR="00EE5D67" w:rsidRPr="00EE5D67" w:rsidRDefault="00EE5D67" w:rsidP="00E16BB9">
            <w:pPr>
              <w:spacing w:after="0" w:line="240" w:lineRule="auto"/>
              <w:jc w:val="center"/>
              <w:rPr>
                <w:rFonts w:cs="Arial"/>
                <w:sz w:val="16"/>
                <w:szCs w:val="16"/>
              </w:rPr>
            </w:pPr>
            <w:r w:rsidRPr="00EE5D67">
              <w:rPr>
                <w:rFonts w:cs="Arial"/>
                <w:sz w:val="16"/>
                <w:szCs w:val="16"/>
              </w:rPr>
              <w:t>Průměrná délka trvání ukončeného případu DPN ve dnech</w:t>
            </w:r>
          </w:p>
        </w:tc>
      </w:tr>
      <w:tr w:rsidR="00EE5D67" w:rsidRPr="00EE5D67" w14:paraId="535C69FD" w14:textId="77777777" w:rsidTr="00EE5D67">
        <w:trPr>
          <w:gridAfter w:val="2"/>
          <w:divId w:val="283998286"/>
          <w:wAfter w:w="56" w:type="dxa"/>
          <w:trHeight w:val="305"/>
        </w:trPr>
        <w:tc>
          <w:tcPr>
            <w:tcW w:w="1214" w:type="dxa"/>
            <w:vMerge/>
            <w:tcBorders>
              <w:top w:val="single" w:sz="4" w:space="0" w:color="auto"/>
              <w:left w:val="nil"/>
              <w:bottom w:val="single" w:sz="4" w:space="0" w:color="000000"/>
              <w:right w:val="single" w:sz="4" w:space="0" w:color="auto"/>
            </w:tcBorders>
            <w:vAlign w:val="center"/>
            <w:hideMark/>
          </w:tcPr>
          <w:p w14:paraId="55CC7A89" w14:textId="77777777" w:rsidR="00EE5D67" w:rsidRPr="00EE5D67" w:rsidRDefault="00EE5D67" w:rsidP="00EE5D67">
            <w:pPr>
              <w:spacing w:after="0" w:line="240" w:lineRule="auto"/>
              <w:rPr>
                <w:rFonts w:cs="Arial"/>
                <w:sz w:val="16"/>
                <w:szCs w:val="16"/>
              </w:rPr>
            </w:pPr>
          </w:p>
        </w:tc>
        <w:tc>
          <w:tcPr>
            <w:tcW w:w="892" w:type="dxa"/>
            <w:vMerge w:val="restart"/>
            <w:tcBorders>
              <w:top w:val="nil"/>
              <w:left w:val="single" w:sz="4" w:space="0" w:color="auto"/>
              <w:right w:val="single" w:sz="4" w:space="0" w:color="auto"/>
            </w:tcBorders>
            <w:shd w:val="clear" w:color="000000" w:fill="F2DCDB"/>
            <w:vAlign w:val="center"/>
            <w:hideMark/>
          </w:tcPr>
          <w:p w14:paraId="2085BA48" w14:textId="1F7EF803" w:rsidR="00EE5D67" w:rsidRPr="00EE5D67" w:rsidRDefault="00097DA1" w:rsidP="00EE5D67">
            <w:pPr>
              <w:spacing w:after="0" w:line="240" w:lineRule="auto"/>
              <w:jc w:val="center"/>
              <w:rPr>
                <w:rFonts w:cs="Arial"/>
                <w:sz w:val="16"/>
                <w:szCs w:val="16"/>
              </w:rPr>
            </w:pPr>
            <w:r>
              <w:rPr>
                <w:rFonts w:cs="Arial"/>
                <w:sz w:val="16"/>
                <w:szCs w:val="16"/>
              </w:rPr>
              <w:t>C</w:t>
            </w:r>
            <w:r w:rsidR="00EE5D67" w:rsidRPr="00EE5D67">
              <w:rPr>
                <w:rFonts w:cs="Arial"/>
                <w:sz w:val="16"/>
                <w:szCs w:val="16"/>
              </w:rPr>
              <w:t>elkem</w:t>
            </w:r>
          </w:p>
        </w:tc>
        <w:tc>
          <w:tcPr>
            <w:tcW w:w="1734" w:type="dxa"/>
            <w:gridSpan w:val="2"/>
            <w:tcBorders>
              <w:top w:val="single" w:sz="4" w:space="0" w:color="auto"/>
              <w:left w:val="nil"/>
              <w:bottom w:val="single" w:sz="4" w:space="0" w:color="auto"/>
              <w:right w:val="single" w:sz="4" w:space="0" w:color="000000"/>
            </w:tcBorders>
            <w:shd w:val="clear" w:color="000000" w:fill="F2DCDB"/>
            <w:vAlign w:val="center"/>
            <w:hideMark/>
          </w:tcPr>
          <w:p w14:paraId="45480DD5" w14:textId="77777777" w:rsidR="00EE5D67" w:rsidRPr="00EE5D67" w:rsidRDefault="00EE5D67" w:rsidP="00EE5D67">
            <w:pPr>
              <w:spacing w:after="0" w:line="240" w:lineRule="auto"/>
              <w:jc w:val="center"/>
              <w:rPr>
                <w:rFonts w:cs="Arial"/>
                <w:sz w:val="16"/>
                <w:szCs w:val="16"/>
              </w:rPr>
            </w:pPr>
            <w:r w:rsidRPr="00EE5D67">
              <w:rPr>
                <w:rFonts w:cs="Arial"/>
                <w:sz w:val="16"/>
                <w:szCs w:val="16"/>
              </w:rPr>
              <w:t>podle pohlaví</w:t>
            </w:r>
          </w:p>
        </w:tc>
        <w:tc>
          <w:tcPr>
            <w:tcW w:w="982" w:type="dxa"/>
            <w:vMerge w:val="restart"/>
            <w:tcBorders>
              <w:top w:val="nil"/>
              <w:left w:val="single" w:sz="4" w:space="0" w:color="auto"/>
              <w:right w:val="single" w:sz="4" w:space="0" w:color="auto"/>
            </w:tcBorders>
            <w:shd w:val="clear" w:color="000000" w:fill="F2DCDB"/>
            <w:vAlign w:val="center"/>
            <w:hideMark/>
          </w:tcPr>
          <w:p w14:paraId="78478EA0" w14:textId="44830A7E" w:rsidR="00EE5D67" w:rsidRPr="00EE5D67" w:rsidRDefault="00097DA1" w:rsidP="00EE5D67">
            <w:pPr>
              <w:spacing w:after="0" w:line="240" w:lineRule="auto"/>
              <w:jc w:val="center"/>
              <w:rPr>
                <w:rFonts w:cs="Arial"/>
                <w:sz w:val="16"/>
                <w:szCs w:val="16"/>
              </w:rPr>
            </w:pPr>
            <w:r>
              <w:rPr>
                <w:rFonts w:cs="Arial"/>
                <w:sz w:val="16"/>
                <w:szCs w:val="16"/>
              </w:rPr>
              <w:t>C</w:t>
            </w:r>
            <w:r w:rsidR="00EE5D67" w:rsidRPr="00EE5D67">
              <w:rPr>
                <w:rFonts w:cs="Arial"/>
                <w:sz w:val="16"/>
                <w:szCs w:val="16"/>
              </w:rPr>
              <w:t>elkem</w:t>
            </w:r>
          </w:p>
        </w:tc>
        <w:tc>
          <w:tcPr>
            <w:tcW w:w="1964" w:type="dxa"/>
            <w:gridSpan w:val="4"/>
            <w:tcBorders>
              <w:top w:val="single" w:sz="4" w:space="0" w:color="auto"/>
              <w:left w:val="nil"/>
              <w:bottom w:val="single" w:sz="4" w:space="0" w:color="auto"/>
              <w:right w:val="single" w:sz="4" w:space="0" w:color="000000"/>
            </w:tcBorders>
            <w:shd w:val="clear" w:color="000000" w:fill="F2DCDB"/>
            <w:vAlign w:val="center"/>
            <w:hideMark/>
          </w:tcPr>
          <w:p w14:paraId="6C377FB1" w14:textId="77777777" w:rsidR="00EE5D67" w:rsidRPr="00EE5D67" w:rsidRDefault="00EE5D67" w:rsidP="00EE5D67">
            <w:pPr>
              <w:spacing w:after="0" w:line="240" w:lineRule="auto"/>
              <w:jc w:val="center"/>
              <w:rPr>
                <w:rFonts w:cs="Arial"/>
                <w:sz w:val="16"/>
                <w:szCs w:val="16"/>
              </w:rPr>
            </w:pPr>
            <w:r w:rsidRPr="00EE5D67">
              <w:rPr>
                <w:rFonts w:cs="Arial"/>
                <w:sz w:val="16"/>
                <w:szCs w:val="16"/>
              </w:rPr>
              <w:t>podle pohlaví</w:t>
            </w:r>
          </w:p>
        </w:tc>
        <w:tc>
          <w:tcPr>
            <w:tcW w:w="936" w:type="dxa"/>
            <w:gridSpan w:val="2"/>
            <w:vMerge w:val="restart"/>
            <w:tcBorders>
              <w:top w:val="nil"/>
              <w:left w:val="single" w:sz="4" w:space="0" w:color="auto"/>
              <w:right w:val="single" w:sz="4" w:space="0" w:color="auto"/>
            </w:tcBorders>
            <w:shd w:val="clear" w:color="000000" w:fill="F2DCDB"/>
            <w:vAlign w:val="center"/>
            <w:hideMark/>
          </w:tcPr>
          <w:p w14:paraId="282A94F9" w14:textId="00D84C7C" w:rsidR="00EE5D67" w:rsidRPr="00EE5D67" w:rsidRDefault="00097DA1" w:rsidP="00EE5D67">
            <w:pPr>
              <w:spacing w:after="0" w:line="240" w:lineRule="auto"/>
              <w:jc w:val="center"/>
              <w:rPr>
                <w:rFonts w:cs="Arial"/>
                <w:sz w:val="16"/>
                <w:szCs w:val="16"/>
              </w:rPr>
            </w:pPr>
            <w:r>
              <w:rPr>
                <w:rFonts w:cs="Arial"/>
                <w:sz w:val="16"/>
                <w:szCs w:val="16"/>
              </w:rPr>
              <w:t>C</w:t>
            </w:r>
            <w:r w:rsidR="00EE5D67" w:rsidRPr="00EE5D67">
              <w:rPr>
                <w:rFonts w:cs="Arial"/>
                <w:sz w:val="16"/>
                <w:szCs w:val="16"/>
              </w:rPr>
              <w:t>elkem</w:t>
            </w:r>
          </w:p>
        </w:tc>
        <w:tc>
          <w:tcPr>
            <w:tcW w:w="1876" w:type="dxa"/>
            <w:gridSpan w:val="5"/>
            <w:tcBorders>
              <w:top w:val="single" w:sz="4" w:space="0" w:color="auto"/>
              <w:left w:val="nil"/>
              <w:bottom w:val="single" w:sz="4" w:space="0" w:color="auto"/>
              <w:right w:val="nil"/>
            </w:tcBorders>
            <w:shd w:val="clear" w:color="000000" w:fill="F2DCDB"/>
            <w:vAlign w:val="center"/>
            <w:hideMark/>
          </w:tcPr>
          <w:p w14:paraId="04A1EF0D" w14:textId="77777777" w:rsidR="00EE5D67" w:rsidRPr="00EE5D67" w:rsidRDefault="00EE5D67" w:rsidP="00EE5D67">
            <w:pPr>
              <w:spacing w:after="0" w:line="240" w:lineRule="auto"/>
              <w:jc w:val="center"/>
              <w:rPr>
                <w:rFonts w:cs="Arial"/>
                <w:sz w:val="16"/>
                <w:szCs w:val="16"/>
              </w:rPr>
            </w:pPr>
            <w:r w:rsidRPr="00EE5D67">
              <w:rPr>
                <w:rFonts w:cs="Arial"/>
                <w:sz w:val="16"/>
                <w:szCs w:val="16"/>
              </w:rPr>
              <w:t>podle pohlaví</w:t>
            </w:r>
          </w:p>
        </w:tc>
      </w:tr>
      <w:tr w:rsidR="00EE5D67" w:rsidRPr="00EE5D67" w14:paraId="069A6F6A" w14:textId="77777777" w:rsidTr="00EE5D67">
        <w:trPr>
          <w:gridAfter w:val="2"/>
          <w:divId w:val="283998286"/>
          <w:wAfter w:w="57" w:type="dxa"/>
          <w:trHeight w:val="305"/>
        </w:trPr>
        <w:tc>
          <w:tcPr>
            <w:tcW w:w="1214" w:type="dxa"/>
            <w:vMerge/>
            <w:tcBorders>
              <w:top w:val="single" w:sz="4" w:space="0" w:color="auto"/>
              <w:left w:val="nil"/>
              <w:bottom w:val="single" w:sz="4" w:space="0" w:color="000000"/>
              <w:right w:val="single" w:sz="4" w:space="0" w:color="auto"/>
            </w:tcBorders>
            <w:vAlign w:val="center"/>
            <w:hideMark/>
          </w:tcPr>
          <w:p w14:paraId="1B5AE574" w14:textId="77777777" w:rsidR="00EE5D67" w:rsidRPr="00EE5D67" w:rsidRDefault="00EE5D67" w:rsidP="00EE5D67">
            <w:pPr>
              <w:spacing w:after="0" w:line="240" w:lineRule="auto"/>
              <w:rPr>
                <w:rFonts w:cs="Arial"/>
                <w:sz w:val="16"/>
                <w:szCs w:val="16"/>
              </w:rPr>
            </w:pPr>
          </w:p>
        </w:tc>
        <w:tc>
          <w:tcPr>
            <w:tcW w:w="892" w:type="dxa"/>
            <w:vMerge/>
            <w:tcBorders>
              <w:left w:val="single" w:sz="4" w:space="0" w:color="auto"/>
              <w:bottom w:val="single" w:sz="4" w:space="0" w:color="000000"/>
              <w:right w:val="single" w:sz="4" w:space="0" w:color="auto"/>
            </w:tcBorders>
            <w:vAlign w:val="center"/>
            <w:hideMark/>
          </w:tcPr>
          <w:p w14:paraId="0921651E" w14:textId="77777777" w:rsidR="00EE5D67" w:rsidRPr="00EE5D67" w:rsidRDefault="00EE5D67" w:rsidP="00EE5D67">
            <w:pPr>
              <w:spacing w:after="0" w:line="240" w:lineRule="auto"/>
              <w:rPr>
                <w:rFonts w:cs="Arial"/>
                <w:sz w:val="16"/>
                <w:szCs w:val="16"/>
              </w:rPr>
            </w:pPr>
          </w:p>
        </w:tc>
        <w:tc>
          <w:tcPr>
            <w:tcW w:w="865" w:type="dxa"/>
            <w:tcBorders>
              <w:top w:val="nil"/>
              <w:left w:val="nil"/>
              <w:bottom w:val="single" w:sz="4" w:space="0" w:color="auto"/>
              <w:right w:val="single" w:sz="4" w:space="0" w:color="auto"/>
            </w:tcBorders>
            <w:shd w:val="clear" w:color="000000" w:fill="F2DCDB"/>
            <w:vAlign w:val="center"/>
            <w:hideMark/>
          </w:tcPr>
          <w:p w14:paraId="6130D86F" w14:textId="77777777" w:rsidR="00EE5D67" w:rsidRPr="00EE5D67" w:rsidRDefault="00EE5D67" w:rsidP="00EE5D67">
            <w:pPr>
              <w:spacing w:after="0" w:line="240" w:lineRule="auto"/>
              <w:jc w:val="center"/>
              <w:rPr>
                <w:rFonts w:cs="Arial"/>
                <w:sz w:val="16"/>
                <w:szCs w:val="16"/>
              </w:rPr>
            </w:pPr>
            <w:r w:rsidRPr="00EE5D67">
              <w:rPr>
                <w:rFonts w:cs="Arial"/>
                <w:sz w:val="16"/>
                <w:szCs w:val="16"/>
              </w:rPr>
              <w:t>muži</w:t>
            </w:r>
          </w:p>
        </w:tc>
        <w:tc>
          <w:tcPr>
            <w:tcW w:w="869" w:type="dxa"/>
            <w:tcBorders>
              <w:top w:val="nil"/>
              <w:left w:val="nil"/>
              <w:bottom w:val="single" w:sz="4" w:space="0" w:color="auto"/>
              <w:right w:val="nil"/>
            </w:tcBorders>
            <w:shd w:val="clear" w:color="000000" w:fill="F2DCDB"/>
            <w:vAlign w:val="center"/>
            <w:hideMark/>
          </w:tcPr>
          <w:p w14:paraId="29EBFE6E" w14:textId="77777777" w:rsidR="00EE5D67" w:rsidRPr="00EE5D67" w:rsidRDefault="00EE5D67" w:rsidP="00EE5D67">
            <w:pPr>
              <w:spacing w:after="0" w:line="240" w:lineRule="auto"/>
              <w:jc w:val="center"/>
              <w:rPr>
                <w:rFonts w:cs="Arial"/>
                <w:sz w:val="16"/>
                <w:szCs w:val="16"/>
              </w:rPr>
            </w:pPr>
            <w:r w:rsidRPr="00EE5D67">
              <w:rPr>
                <w:rFonts w:cs="Arial"/>
                <w:sz w:val="16"/>
                <w:szCs w:val="16"/>
              </w:rPr>
              <w:t>ženy</w:t>
            </w:r>
          </w:p>
        </w:tc>
        <w:tc>
          <w:tcPr>
            <w:tcW w:w="982" w:type="dxa"/>
            <w:vMerge/>
            <w:tcBorders>
              <w:left w:val="single" w:sz="4" w:space="0" w:color="auto"/>
              <w:bottom w:val="single" w:sz="4" w:space="0" w:color="000000"/>
              <w:right w:val="single" w:sz="4" w:space="0" w:color="auto"/>
            </w:tcBorders>
            <w:vAlign w:val="center"/>
            <w:hideMark/>
          </w:tcPr>
          <w:p w14:paraId="5D8C8F36" w14:textId="77777777" w:rsidR="00EE5D67" w:rsidRPr="00EE5D67" w:rsidRDefault="00EE5D67" w:rsidP="00EE5D67">
            <w:pPr>
              <w:spacing w:after="0" w:line="240" w:lineRule="auto"/>
              <w:rPr>
                <w:rFonts w:cs="Arial"/>
                <w:sz w:val="16"/>
                <w:szCs w:val="16"/>
              </w:rPr>
            </w:pPr>
          </w:p>
        </w:tc>
        <w:tc>
          <w:tcPr>
            <w:tcW w:w="982" w:type="dxa"/>
            <w:gridSpan w:val="2"/>
            <w:tcBorders>
              <w:top w:val="nil"/>
              <w:left w:val="nil"/>
              <w:bottom w:val="single" w:sz="4" w:space="0" w:color="auto"/>
              <w:right w:val="single" w:sz="4" w:space="0" w:color="auto"/>
            </w:tcBorders>
            <w:shd w:val="clear" w:color="000000" w:fill="F2DCDB"/>
            <w:vAlign w:val="center"/>
            <w:hideMark/>
          </w:tcPr>
          <w:p w14:paraId="745EEEDE" w14:textId="77777777" w:rsidR="00EE5D67" w:rsidRPr="00EE5D67" w:rsidRDefault="00EE5D67" w:rsidP="00EE5D67">
            <w:pPr>
              <w:spacing w:after="0" w:line="240" w:lineRule="auto"/>
              <w:jc w:val="center"/>
              <w:rPr>
                <w:rFonts w:cs="Arial"/>
                <w:sz w:val="16"/>
                <w:szCs w:val="16"/>
              </w:rPr>
            </w:pPr>
            <w:r w:rsidRPr="00EE5D67">
              <w:rPr>
                <w:rFonts w:cs="Arial"/>
                <w:sz w:val="16"/>
                <w:szCs w:val="16"/>
              </w:rPr>
              <w:t>muži</w:t>
            </w:r>
          </w:p>
        </w:tc>
        <w:tc>
          <w:tcPr>
            <w:tcW w:w="982" w:type="dxa"/>
            <w:gridSpan w:val="2"/>
            <w:tcBorders>
              <w:top w:val="nil"/>
              <w:left w:val="nil"/>
              <w:bottom w:val="single" w:sz="4" w:space="0" w:color="auto"/>
              <w:right w:val="nil"/>
            </w:tcBorders>
            <w:shd w:val="clear" w:color="000000" w:fill="F2DCDB"/>
            <w:vAlign w:val="center"/>
            <w:hideMark/>
          </w:tcPr>
          <w:p w14:paraId="78FEBC32" w14:textId="77777777" w:rsidR="00EE5D67" w:rsidRPr="00EE5D67" w:rsidRDefault="00EE5D67" w:rsidP="00EE5D67">
            <w:pPr>
              <w:spacing w:after="0" w:line="240" w:lineRule="auto"/>
              <w:jc w:val="center"/>
              <w:rPr>
                <w:rFonts w:cs="Arial"/>
                <w:sz w:val="16"/>
                <w:szCs w:val="16"/>
              </w:rPr>
            </w:pPr>
            <w:r w:rsidRPr="00EE5D67">
              <w:rPr>
                <w:rFonts w:cs="Arial"/>
                <w:sz w:val="16"/>
                <w:szCs w:val="16"/>
              </w:rPr>
              <w:t>ženy</w:t>
            </w:r>
          </w:p>
        </w:tc>
        <w:tc>
          <w:tcPr>
            <w:tcW w:w="936" w:type="dxa"/>
            <w:gridSpan w:val="2"/>
            <w:vMerge/>
            <w:tcBorders>
              <w:left w:val="single" w:sz="4" w:space="0" w:color="auto"/>
              <w:bottom w:val="single" w:sz="4" w:space="0" w:color="000000"/>
              <w:right w:val="single" w:sz="4" w:space="0" w:color="auto"/>
            </w:tcBorders>
            <w:vAlign w:val="center"/>
            <w:hideMark/>
          </w:tcPr>
          <w:p w14:paraId="5F86CC9D" w14:textId="77777777" w:rsidR="00EE5D67" w:rsidRPr="00EE5D67" w:rsidRDefault="00EE5D67" w:rsidP="00EE5D67">
            <w:pPr>
              <w:spacing w:after="0" w:line="240" w:lineRule="auto"/>
              <w:rPr>
                <w:rFonts w:cs="Arial"/>
                <w:sz w:val="16"/>
                <w:szCs w:val="16"/>
              </w:rPr>
            </w:pPr>
          </w:p>
        </w:tc>
        <w:tc>
          <w:tcPr>
            <w:tcW w:w="936" w:type="dxa"/>
            <w:gridSpan w:val="2"/>
            <w:tcBorders>
              <w:top w:val="nil"/>
              <w:left w:val="nil"/>
              <w:bottom w:val="single" w:sz="4" w:space="0" w:color="auto"/>
              <w:right w:val="single" w:sz="4" w:space="0" w:color="auto"/>
            </w:tcBorders>
            <w:shd w:val="clear" w:color="000000" w:fill="F2DCDB"/>
            <w:vAlign w:val="center"/>
            <w:hideMark/>
          </w:tcPr>
          <w:p w14:paraId="51648604" w14:textId="77777777" w:rsidR="00EE5D67" w:rsidRPr="00EE5D67" w:rsidRDefault="00EE5D67" w:rsidP="00EE5D67">
            <w:pPr>
              <w:spacing w:after="0" w:line="240" w:lineRule="auto"/>
              <w:jc w:val="center"/>
              <w:rPr>
                <w:rFonts w:cs="Arial"/>
                <w:sz w:val="16"/>
                <w:szCs w:val="16"/>
              </w:rPr>
            </w:pPr>
            <w:r w:rsidRPr="00EE5D67">
              <w:rPr>
                <w:rFonts w:cs="Arial"/>
                <w:sz w:val="16"/>
                <w:szCs w:val="16"/>
              </w:rPr>
              <w:t>muži</w:t>
            </w:r>
          </w:p>
        </w:tc>
        <w:tc>
          <w:tcPr>
            <w:tcW w:w="939" w:type="dxa"/>
            <w:gridSpan w:val="3"/>
            <w:tcBorders>
              <w:top w:val="nil"/>
              <w:left w:val="nil"/>
              <w:bottom w:val="single" w:sz="4" w:space="0" w:color="auto"/>
              <w:right w:val="nil"/>
            </w:tcBorders>
            <w:shd w:val="clear" w:color="000000" w:fill="F2DCDB"/>
            <w:vAlign w:val="center"/>
            <w:hideMark/>
          </w:tcPr>
          <w:p w14:paraId="18761F46" w14:textId="77777777" w:rsidR="00EE5D67" w:rsidRPr="00EE5D67" w:rsidRDefault="00EE5D67" w:rsidP="00EE5D67">
            <w:pPr>
              <w:spacing w:after="0" w:line="240" w:lineRule="auto"/>
              <w:jc w:val="center"/>
              <w:rPr>
                <w:rFonts w:cs="Arial"/>
                <w:sz w:val="16"/>
                <w:szCs w:val="16"/>
              </w:rPr>
            </w:pPr>
            <w:r w:rsidRPr="00EE5D67">
              <w:rPr>
                <w:rFonts w:cs="Arial"/>
                <w:sz w:val="16"/>
                <w:szCs w:val="16"/>
              </w:rPr>
              <w:t>ženy</w:t>
            </w:r>
          </w:p>
        </w:tc>
      </w:tr>
      <w:tr w:rsidR="00EE5D67" w:rsidRPr="00EE5D67" w14:paraId="4413F30A" w14:textId="77777777" w:rsidTr="005A3F7E">
        <w:trPr>
          <w:gridAfter w:val="1"/>
          <w:divId w:val="283998286"/>
          <w:wAfter w:w="35" w:type="dxa"/>
          <w:trHeight w:val="305"/>
        </w:trPr>
        <w:tc>
          <w:tcPr>
            <w:tcW w:w="1214" w:type="dxa"/>
            <w:tcBorders>
              <w:top w:val="nil"/>
              <w:left w:val="nil"/>
              <w:bottom w:val="nil"/>
              <w:right w:val="nil"/>
            </w:tcBorders>
            <w:shd w:val="clear" w:color="000000" w:fill="FFFFFF"/>
            <w:noWrap/>
            <w:vAlign w:val="bottom"/>
            <w:hideMark/>
          </w:tcPr>
          <w:p w14:paraId="6DB0E4B6" w14:textId="77777777" w:rsidR="00EE5D67" w:rsidRPr="00EE5D67" w:rsidRDefault="00EE5D67" w:rsidP="00EE5D67">
            <w:pPr>
              <w:spacing w:after="0" w:line="240" w:lineRule="auto"/>
              <w:rPr>
                <w:rFonts w:ascii="Calibri" w:hAnsi="Calibri"/>
                <w:color w:val="000000"/>
                <w:sz w:val="22"/>
                <w:szCs w:val="22"/>
              </w:rPr>
            </w:pPr>
            <w:r w:rsidRPr="00EE5D67">
              <w:rPr>
                <w:rFonts w:ascii="Calibri" w:hAnsi="Calibri"/>
                <w:color w:val="000000"/>
                <w:sz w:val="22"/>
                <w:szCs w:val="22"/>
              </w:rPr>
              <w:t> </w:t>
            </w:r>
          </w:p>
        </w:tc>
        <w:tc>
          <w:tcPr>
            <w:tcW w:w="8405" w:type="dxa"/>
            <w:gridSpan w:val="16"/>
            <w:tcBorders>
              <w:top w:val="single" w:sz="4" w:space="0" w:color="auto"/>
              <w:left w:val="single" w:sz="4" w:space="0" w:color="auto"/>
              <w:bottom w:val="single" w:sz="4" w:space="0" w:color="auto"/>
              <w:right w:val="nil"/>
            </w:tcBorders>
            <w:shd w:val="clear" w:color="000000" w:fill="FFFFFF"/>
            <w:vAlign w:val="center"/>
            <w:hideMark/>
          </w:tcPr>
          <w:p w14:paraId="36430497" w14:textId="77777777" w:rsidR="00EE5D67" w:rsidRPr="00EE5D67" w:rsidRDefault="00EE5D67" w:rsidP="005A3F7E">
            <w:pPr>
              <w:spacing w:after="0" w:line="240" w:lineRule="auto"/>
              <w:jc w:val="center"/>
              <w:rPr>
                <w:rFonts w:ascii="Arial CE" w:hAnsi="Arial CE" w:cs="Arial CE"/>
                <w:sz w:val="16"/>
                <w:szCs w:val="16"/>
              </w:rPr>
            </w:pPr>
            <w:r w:rsidRPr="00EE5D67">
              <w:rPr>
                <w:rFonts w:ascii="Arial CE" w:hAnsi="Arial CE" w:cs="Arial CE"/>
                <w:sz w:val="16"/>
                <w:szCs w:val="16"/>
              </w:rPr>
              <w:t>1. pol. 2019</w:t>
            </w:r>
          </w:p>
        </w:tc>
      </w:tr>
      <w:tr w:rsidR="00EE5D67" w:rsidRPr="00EE5D67" w14:paraId="6E65BF5E" w14:textId="77777777" w:rsidTr="00FA3B19">
        <w:trPr>
          <w:divId w:val="283998286"/>
          <w:trHeight w:val="305"/>
        </w:trPr>
        <w:tc>
          <w:tcPr>
            <w:tcW w:w="1214" w:type="dxa"/>
            <w:tcBorders>
              <w:top w:val="nil"/>
              <w:left w:val="nil"/>
              <w:bottom w:val="nil"/>
              <w:right w:val="single" w:sz="4" w:space="0" w:color="auto"/>
            </w:tcBorders>
            <w:shd w:val="clear" w:color="000000" w:fill="FFFFFF"/>
            <w:vAlign w:val="center"/>
            <w:hideMark/>
          </w:tcPr>
          <w:p w14:paraId="4C5FACD6" w14:textId="7ACCCF6C" w:rsidR="00EE5D67" w:rsidRPr="00EE5D67" w:rsidRDefault="00244622" w:rsidP="00FA3B19">
            <w:pPr>
              <w:spacing w:after="0" w:line="240" w:lineRule="auto"/>
              <w:rPr>
                <w:rFonts w:cs="Arial"/>
                <w:b/>
                <w:bCs/>
                <w:sz w:val="16"/>
                <w:szCs w:val="16"/>
              </w:rPr>
            </w:pPr>
            <w:r>
              <w:rPr>
                <w:rFonts w:cs="Arial"/>
                <w:b/>
                <w:bCs/>
                <w:sz w:val="16"/>
                <w:szCs w:val="16"/>
              </w:rPr>
              <w:t>C</w:t>
            </w:r>
            <w:r w:rsidR="00EE5D67" w:rsidRPr="00EE5D67">
              <w:rPr>
                <w:rFonts w:cs="Arial"/>
                <w:b/>
                <w:bCs/>
                <w:sz w:val="16"/>
                <w:szCs w:val="16"/>
              </w:rPr>
              <w:t>elkem</w:t>
            </w:r>
          </w:p>
        </w:tc>
        <w:tc>
          <w:tcPr>
            <w:tcW w:w="892" w:type="dxa"/>
            <w:tcBorders>
              <w:top w:val="nil"/>
              <w:left w:val="single" w:sz="4" w:space="0" w:color="auto"/>
              <w:bottom w:val="nil"/>
              <w:right w:val="nil"/>
            </w:tcBorders>
            <w:shd w:val="clear" w:color="000000" w:fill="FFFFFF"/>
            <w:vAlign w:val="center"/>
            <w:hideMark/>
          </w:tcPr>
          <w:p w14:paraId="0D765E4B"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963 888</w:t>
            </w:r>
          </w:p>
        </w:tc>
        <w:tc>
          <w:tcPr>
            <w:tcW w:w="865" w:type="dxa"/>
            <w:tcBorders>
              <w:top w:val="nil"/>
              <w:left w:val="nil"/>
              <w:bottom w:val="nil"/>
              <w:right w:val="nil"/>
            </w:tcBorders>
            <w:shd w:val="clear" w:color="000000" w:fill="FFFFFF"/>
            <w:vAlign w:val="center"/>
            <w:hideMark/>
          </w:tcPr>
          <w:p w14:paraId="110C20D7"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448 294</w:t>
            </w:r>
          </w:p>
        </w:tc>
        <w:tc>
          <w:tcPr>
            <w:tcW w:w="869" w:type="dxa"/>
            <w:tcBorders>
              <w:top w:val="nil"/>
              <w:left w:val="nil"/>
              <w:bottom w:val="nil"/>
              <w:right w:val="nil"/>
            </w:tcBorders>
            <w:shd w:val="clear" w:color="000000" w:fill="FFFFFF"/>
            <w:vAlign w:val="center"/>
            <w:hideMark/>
          </w:tcPr>
          <w:p w14:paraId="1954976C"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515 594</w:t>
            </w:r>
          </w:p>
        </w:tc>
        <w:tc>
          <w:tcPr>
            <w:tcW w:w="1039" w:type="dxa"/>
            <w:gridSpan w:val="2"/>
            <w:tcBorders>
              <w:top w:val="nil"/>
              <w:left w:val="single" w:sz="4" w:space="0" w:color="auto"/>
              <w:bottom w:val="nil"/>
              <w:right w:val="nil"/>
            </w:tcBorders>
            <w:shd w:val="clear" w:color="000000" w:fill="FFFFFF"/>
            <w:vAlign w:val="center"/>
            <w:hideMark/>
          </w:tcPr>
          <w:p w14:paraId="5D41D05E"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40 240 981</w:t>
            </w:r>
          </w:p>
        </w:tc>
        <w:tc>
          <w:tcPr>
            <w:tcW w:w="982" w:type="dxa"/>
            <w:gridSpan w:val="2"/>
            <w:tcBorders>
              <w:top w:val="nil"/>
              <w:left w:val="nil"/>
              <w:bottom w:val="nil"/>
              <w:right w:val="nil"/>
            </w:tcBorders>
            <w:shd w:val="clear" w:color="000000" w:fill="FFFFFF"/>
            <w:vAlign w:val="center"/>
            <w:hideMark/>
          </w:tcPr>
          <w:p w14:paraId="40E38096"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18 101 001</w:t>
            </w:r>
          </w:p>
        </w:tc>
        <w:tc>
          <w:tcPr>
            <w:tcW w:w="982" w:type="dxa"/>
            <w:gridSpan w:val="2"/>
            <w:tcBorders>
              <w:top w:val="nil"/>
              <w:left w:val="nil"/>
              <w:bottom w:val="nil"/>
              <w:right w:val="single" w:sz="4" w:space="0" w:color="auto"/>
            </w:tcBorders>
            <w:shd w:val="clear" w:color="000000" w:fill="FFFFFF"/>
            <w:vAlign w:val="center"/>
            <w:hideMark/>
          </w:tcPr>
          <w:p w14:paraId="72C8DD8B"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22 139 980</w:t>
            </w:r>
          </w:p>
        </w:tc>
        <w:tc>
          <w:tcPr>
            <w:tcW w:w="936" w:type="dxa"/>
            <w:gridSpan w:val="2"/>
            <w:tcBorders>
              <w:top w:val="nil"/>
              <w:left w:val="nil"/>
              <w:bottom w:val="nil"/>
              <w:right w:val="nil"/>
            </w:tcBorders>
            <w:shd w:val="clear" w:color="000000" w:fill="FFFFFF"/>
            <w:vAlign w:val="center"/>
            <w:hideMark/>
          </w:tcPr>
          <w:p w14:paraId="1EE822A5"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41,75</w:t>
            </w:r>
          </w:p>
        </w:tc>
        <w:tc>
          <w:tcPr>
            <w:tcW w:w="936" w:type="dxa"/>
            <w:gridSpan w:val="2"/>
            <w:tcBorders>
              <w:top w:val="nil"/>
              <w:left w:val="nil"/>
              <w:bottom w:val="nil"/>
              <w:right w:val="nil"/>
            </w:tcBorders>
            <w:shd w:val="clear" w:color="000000" w:fill="FFFFFF"/>
            <w:vAlign w:val="center"/>
            <w:hideMark/>
          </w:tcPr>
          <w:p w14:paraId="4A85E53D"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40,38</w:t>
            </w:r>
          </w:p>
        </w:tc>
        <w:tc>
          <w:tcPr>
            <w:tcW w:w="939" w:type="dxa"/>
            <w:gridSpan w:val="4"/>
            <w:tcBorders>
              <w:top w:val="nil"/>
              <w:left w:val="nil"/>
              <w:bottom w:val="nil"/>
              <w:right w:val="nil"/>
            </w:tcBorders>
            <w:shd w:val="clear" w:color="000000" w:fill="FFFFFF"/>
            <w:vAlign w:val="center"/>
            <w:hideMark/>
          </w:tcPr>
          <w:p w14:paraId="0DB83213"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42,94</w:t>
            </w:r>
          </w:p>
        </w:tc>
      </w:tr>
      <w:tr w:rsidR="00EE5D67" w:rsidRPr="00EE5D67" w14:paraId="6A570964" w14:textId="77777777" w:rsidTr="00FA3B19">
        <w:trPr>
          <w:divId w:val="283998286"/>
          <w:trHeight w:val="305"/>
        </w:trPr>
        <w:tc>
          <w:tcPr>
            <w:tcW w:w="1214" w:type="dxa"/>
            <w:tcBorders>
              <w:top w:val="nil"/>
              <w:left w:val="nil"/>
              <w:bottom w:val="nil"/>
              <w:right w:val="single" w:sz="4" w:space="0" w:color="auto"/>
            </w:tcBorders>
            <w:shd w:val="clear" w:color="000000" w:fill="FFFFFF"/>
            <w:vAlign w:val="center"/>
            <w:hideMark/>
          </w:tcPr>
          <w:p w14:paraId="506B6964" w14:textId="77777777" w:rsidR="00EE5D67" w:rsidRPr="00EE5D67" w:rsidRDefault="00EE5D67" w:rsidP="00FA3B19">
            <w:pPr>
              <w:spacing w:after="0" w:line="240" w:lineRule="auto"/>
              <w:ind w:firstLineChars="100" w:firstLine="160"/>
              <w:rPr>
                <w:rFonts w:cs="Arial"/>
                <w:sz w:val="16"/>
                <w:szCs w:val="16"/>
              </w:rPr>
            </w:pPr>
            <w:r w:rsidRPr="00EE5D67">
              <w:rPr>
                <w:rFonts w:cs="Arial"/>
                <w:sz w:val="16"/>
                <w:szCs w:val="16"/>
              </w:rPr>
              <w:t>do 20 let</w:t>
            </w:r>
          </w:p>
        </w:tc>
        <w:tc>
          <w:tcPr>
            <w:tcW w:w="892" w:type="dxa"/>
            <w:tcBorders>
              <w:top w:val="nil"/>
              <w:left w:val="single" w:sz="4" w:space="0" w:color="auto"/>
              <w:bottom w:val="nil"/>
              <w:right w:val="nil"/>
            </w:tcBorders>
            <w:shd w:val="clear" w:color="000000" w:fill="FFFFFF"/>
            <w:vAlign w:val="center"/>
            <w:hideMark/>
          </w:tcPr>
          <w:p w14:paraId="43B6FF10" w14:textId="77777777" w:rsidR="00EE5D67" w:rsidRPr="00EE5D67" w:rsidRDefault="00EE5D67" w:rsidP="00FA3B19">
            <w:pPr>
              <w:spacing w:after="0" w:line="240" w:lineRule="auto"/>
              <w:jc w:val="right"/>
              <w:rPr>
                <w:rFonts w:cs="Arial"/>
                <w:sz w:val="16"/>
                <w:szCs w:val="16"/>
              </w:rPr>
            </w:pPr>
            <w:r w:rsidRPr="00EE5D67">
              <w:rPr>
                <w:rFonts w:cs="Arial"/>
                <w:sz w:val="16"/>
                <w:szCs w:val="16"/>
              </w:rPr>
              <w:t>12 630</w:t>
            </w:r>
          </w:p>
        </w:tc>
        <w:tc>
          <w:tcPr>
            <w:tcW w:w="865" w:type="dxa"/>
            <w:tcBorders>
              <w:top w:val="nil"/>
              <w:left w:val="nil"/>
              <w:bottom w:val="nil"/>
              <w:right w:val="nil"/>
            </w:tcBorders>
            <w:shd w:val="clear" w:color="000000" w:fill="FFFFFF"/>
            <w:vAlign w:val="center"/>
            <w:hideMark/>
          </w:tcPr>
          <w:p w14:paraId="5E63EB91" w14:textId="77777777" w:rsidR="00EE5D67" w:rsidRPr="00EE5D67" w:rsidRDefault="00EE5D67" w:rsidP="00FA3B19">
            <w:pPr>
              <w:spacing w:after="0" w:line="240" w:lineRule="auto"/>
              <w:jc w:val="right"/>
              <w:rPr>
                <w:rFonts w:cs="Arial"/>
                <w:sz w:val="16"/>
                <w:szCs w:val="16"/>
              </w:rPr>
            </w:pPr>
            <w:r w:rsidRPr="00EE5D67">
              <w:rPr>
                <w:rFonts w:cs="Arial"/>
                <w:sz w:val="16"/>
                <w:szCs w:val="16"/>
              </w:rPr>
              <w:t>6 964</w:t>
            </w:r>
          </w:p>
        </w:tc>
        <w:tc>
          <w:tcPr>
            <w:tcW w:w="869" w:type="dxa"/>
            <w:tcBorders>
              <w:top w:val="nil"/>
              <w:left w:val="nil"/>
              <w:bottom w:val="nil"/>
              <w:right w:val="nil"/>
            </w:tcBorders>
            <w:shd w:val="clear" w:color="000000" w:fill="FFFFFF"/>
            <w:vAlign w:val="center"/>
            <w:hideMark/>
          </w:tcPr>
          <w:p w14:paraId="3A5102F3" w14:textId="77777777" w:rsidR="00EE5D67" w:rsidRPr="00EE5D67" w:rsidRDefault="00EE5D67" w:rsidP="00FA3B19">
            <w:pPr>
              <w:spacing w:after="0" w:line="240" w:lineRule="auto"/>
              <w:jc w:val="right"/>
              <w:rPr>
                <w:rFonts w:cs="Arial"/>
                <w:sz w:val="16"/>
                <w:szCs w:val="16"/>
              </w:rPr>
            </w:pPr>
            <w:r w:rsidRPr="00EE5D67">
              <w:rPr>
                <w:rFonts w:cs="Arial"/>
                <w:sz w:val="16"/>
                <w:szCs w:val="16"/>
              </w:rPr>
              <w:t>5 666</w:t>
            </w:r>
          </w:p>
        </w:tc>
        <w:tc>
          <w:tcPr>
            <w:tcW w:w="1039" w:type="dxa"/>
            <w:gridSpan w:val="2"/>
            <w:tcBorders>
              <w:top w:val="nil"/>
              <w:left w:val="single" w:sz="4" w:space="0" w:color="auto"/>
              <w:bottom w:val="nil"/>
              <w:right w:val="nil"/>
            </w:tcBorders>
            <w:shd w:val="clear" w:color="000000" w:fill="FFFFFF"/>
            <w:vAlign w:val="center"/>
            <w:hideMark/>
          </w:tcPr>
          <w:p w14:paraId="50EB05FC" w14:textId="77777777" w:rsidR="00EE5D67" w:rsidRPr="00EE5D67" w:rsidRDefault="00EE5D67" w:rsidP="00FA3B19">
            <w:pPr>
              <w:spacing w:after="0" w:line="240" w:lineRule="auto"/>
              <w:jc w:val="right"/>
              <w:rPr>
                <w:rFonts w:cs="Arial"/>
                <w:sz w:val="16"/>
                <w:szCs w:val="16"/>
              </w:rPr>
            </w:pPr>
            <w:r w:rsidRPr="00EE5D67">
              <w:rPr>
                <w:rFonts w:cs="Arial"/>
                <w:sz w:val="16"/>
                <w:szCs w:val="16"/>
              </w:rPr>
              <w:t>236 445</w:t>
            </w:r>
          </w:p>
        </w:tc>
        <w:tc>
          <w:tcPr>
            <w:tcW w:w="982" w:type="dxa"/>
            <w:gridSpan w:val="2"/>
            <w:tcBorders>
              <w:top w:val="nil"/>
              <w:left w:val="nil"/>
              <w:bottom w:val="nil"/>
              <w:right w:val="nil"/>
            </w:tcBorders>
            <w:shd w:val="clear" w:color="000000" w:fill="FFFFFF"/>
            <w:vAlign w:val="center"/>
            <w:hideMark/>
          </w:tcPr>
          <w:p w14:paraId="635168FD" w14:textId="77777777" w:rsidR="00EE5D67" w:rsidRPr="00EE5D67" w:rsidRDefault="00EE5D67" w:rsidP="00FA3B19">
            <w:pPr>
              <w:spacing w:after="0" w:line="240" w:lineRule="auto"/>
              <w:jc w:val="right"/>
              <w:rPr>
                <w:rFonts w:cs="Arial"/>
                <w:sz w:val="16"/>
                <w:szCs w:val="16"/>
              </w:rPr>
            </w:pPr>
            <w:r w:rsidRPr="00EE5D67">
              <w:rPr>
                <w:rFonts w:cs="Arial"/>
                <w:sz w:val="16"/>
                <w:szCs w:val="16"/>
              </w:rPr>
              <w:t>115 818</w:t>
            </w:r>
          </w:p>
        </w:tc>
        <w:tc>
          <w:tcPr>
            <w:tcW w:w="982" w:type="dxa"/>
            <w:gridSpan w:val="2"/>
            <w:tcBorders>
              <w:top w:val="nil"/>
              <w:left w:val="nil"/>
              <w:bottom w:val="nil"/>
              <w:right w:val="single" w:sz="4" w:space="0" w:color="auto"/>
            </w:tcBorders>
            <w:shd w:val="clear" w:color="000000" w:fill="FFFFFF"/>
            <w:vAlign w:val="center"/>
            <w:hideMark/>
          </w:tcPr>
          <w:p w14:paraId="4535A6F3" w14:textId="77777777" w:rsidR="00EE5D67" w:rsidRPr="00EE5D67" w:rsidRDefault="00EE5D67" w:rsidP="00FA3B19">
            <w:pPr>
              <w:spacing w:after="0" w:line="240" w:lineRule="auto"/>
              <w:jc w:val="right"/>
              <w:rPr>
                <w:rFonts w:cs="Arial"/>
                <w:sz w:val="16"/>
                <w:szCs w:val="16"/>
              </w:rPr>
            </w:pPr>
            <w:r w:rsidRPr="00EE5D67">
              <w:rPr>
                <w:rFonts w:cs="Arial"/>
                <w:sz w:val="16"/>
                <w:szCs w:val="16"/>
              </w:rPr>
              <w:t>120 627</w:t>
            </w:r>
          </w:p>
        </w:tc>
        <w:tc>
          <w:tcPr>
            <w:tcW w:w="936" w:type="dxa"/>
            <w:gridSpan w:val="2"/>
            <w:tcBorders>
              <w:top w:val="nil"/>
              <w:left w:val="nil"/>
              <w:bottom w:val="nil"/>
              <w:right w:val="nil"/>
            </w:tcBorders>
            <w:shd w:val="clear" w:color="000000" w:fill="FFFFFF"/>
            <w:vAlign w:val="center"/>
            <w:hideMark/>
          </w:tcPr>
          <w:p w14:paraId="3652877A" w14:textId="77777777" w:rsidR="00EE5D67" w:rsidRPr="00EE5D67" w:rsidRDefault="00EE5D67" w:rsidP="00FA3B19">
            <w:pPr>
              <w:spacing w:after="0" w:line="240" w:lineRule="auto"/>
              <w:jc w:val="right"/>
              <w:rPr>
                <w:rFonts w:cs="Arial"/>
                <w:sz w:val="16"/>
                <w:szCs w:val="16"/>
              </w:rPr>
            </w:pPr>
            <w:r w:rsidRPr="00EE5D67">
              <w:rPr>
                <w:rFonts w:cs="Arial"/>
                <w:sz w:val="16"/>
                <w:szCs w:val="16"/>
              </w:rPr>
              <w:t>18,72</w:t>
            </w:r>
          </w:p>
        </w:tc>
        <w:tc>
          <w:tcPr>
            <w:tcW w:w="936" w:type="dxa"/>
            <w:gridSpan w:val="2"/>
            <w:tcBorders>
              <w:top w:val="nil"/>
              <w:left w:val="nil"/>
              <w:bottom w:val="nil"/>
              <w:right w:val="nil"/>
            </w:tcBorders>
            <w:shd w:val="clear" w:color="000000" w:fill="FFFFFF"/>
            <w:vAlign w:val="center"/>
            <w:hideMark/>
          </w:tcPr>
          <w:p w14:paraId="17242CF0" w14:textId="77777777" w:rsidR="00EE5D67" w:rsidRPr="00EE5D67" w:rsidRDefault="00EE5D67" w:rsidP="00FA3B19">
            <w:pPr>
              <w:spacing w:after="0" w:line="240" w:lineRule="auto"/>
              <w:jc w:val="right"/>
              <w:rPr>
                <w:rFonts w:cs="Arial"/>
                <w:sz w:val="16"/>
                <w:szCs w:val="16"/>
              </w:rPr>
            </w:pPr>
            <w:r w:rsidRPr="00EE5D67">
              <w:rPr>
                <w:rFonts w:cs="Arial"/>
                <w:sz w:val="16"/>
                <w:szCs w:val="16"/>
              </w:rPr>
              <w:t>16,63</w:t>
            </w:r>
          </w:p>
        </w:tc>
        <w:tc>
          <w:tcPr>
            <w:tcW w:w="939" w:type="dxa"/>
            <w:gridSpan w:val="4"/>
            <w:tcBorders>
              <w:top w:val="nil"/>
              <w:left w:val="nil"/>
              <w:bottom w:val="nil"/>
              <w:right w:val="nil"/>
            </w:tcBorders>
            <w:shd w:val="clear" w:color="000000" w:fill="FFFFFF"/>
            <w:vAlign w:val="center"/>
            <w:hideMark/>
          </w:tcPr>
          <w:p w14:paraId="61DCAFF4" w14:textId="77777777" w:rsidR="00EE5D67" w:rsidRPr="00EE5D67" w:rsidRDefault="00EE5D67" w:rsidP="00FA3B19">
            <w:pPr>
              <w:spacing w:after="0" w:line="240" w:lineRule="auto"/>
              <w:jc w:val="right"/>
              <w:rPr>
                <w:rFonts w:cs="Arial"/>
                <w:sz w:val="16"/>
                <w:szCs w:val="16"/>
              </w:rPr>
            </w:pPr>
            <w:r w:rsidRPr="00EE5D67">
              <w:rPr>
                <w:rFonts w:cs="Arial"/>
                <w:sz w:val="16"/>
                <w:szCs w:val="16"/>
              </w:rPr>
              <w:t>21,29</w:t>
            </w:r>
          </w:p>
        </w:tc>
      </w:tr>
      <w:tr w:rsidR="00EE5D67" w:rsidRPr="00EE5D67" w14:paraId="2EB5FC5B" w14:textId="77777777" w:rsidTr="00FA3B19">
        <w:trPr>
          <w:divId w:val="283998286"/>
          <w:trHeight w:val="305"/>
        </w:trPr>
        <w:tc>
          <w:tcPr>
            <w:tcW w:w="1214" w:type="dxa"/>
            <w:tcBorders>
              <w:top w:val="nil"/>
              <w:left w:val="nil"/>
              <w:bottom w:val="nil"/>
              <w:right w:val="single" w:sz="4" w:space="0" w:color="auto"/>
            </w:tcBorders>
            <w:shd w:val="clear" w:color="000000" w:fill="FFFFFF"/>
            <w:vAlign w:val="center"/>
            <w:hideMark/>
          </w:tcPr>
          <w:p w14:paraId="281034CB" w14:textId="77777777" w:rsidR="00EE5D67" w:rsidRPr="00EE5D67" w:rsidRDefault="00EE5D67" w:rsidP="00FA3B19">
            <w:pPr>
              <w:spacing w:after="0" w:line="240" w:lineRule="auto"/>
              <w:ind w:firstLineChars="100" w:firstLine="160"/>
              <w:rPr>
                <w:rFonts w:cs="Arial"/>
                <w:sz w:val="16"/>
                <w:szCs w:val="16"/>
              </w:rPr>
            </w:pPr>
            <w:r w:rsidRPr="00EE5D67">
              <w:rPr>
                <w:rFonts w:cs="Arial"/>
                <w:sz w:val="16"/>
                <w:szCs w:val="16"/>
              </w:rPr>
              <w:t>20–29 let</w:t>
            </w:r>
          </w:p>
        </w:tc>
        <w:tc>
          <w:tcPr>
            <w:tcW w:w="892" w:type="dxa"/>
            <w:tcBorders>
              <w:top w:val="nil"/>
              <w:left w:val="single" w:sz="4" w:space="0" w:color="auto"/>
              <w:bottom w:val="nil"/>
              <w:right w:val="nil"/>
            </w:tcBorders>
            <w:shd w:val="clear" w:color="000000" w:fill="FFFFFF"/>
            <w:vAlign w:val="center"/>
            <w:hideMark/>
          </w:tcPr>
          <w:p w14:paraId="10C62611" w14:textId="77777777" w:rsidR="00EE5D67" w:rsidRPr="00EE5D67" w:rsidRDefault="00EE5D67" w:rsidP="00FA3B19">
            <w:pPr>
              <w:spacing w:after="0" w:line="240" w:lineRule="auto"/>
              <w:jc w:val="right"/>
              <w:rPr>
                <w:rFonts w:cs="Arial"/>
                <w:sz w:val="16"/>
                <w:szCs w:val="16"/>
              </w:rPr>
            </w:pPr>
            <w:r w:rsidRPr="00EE5D67">
              <w:rPr>
                <w:rFonts w:cs="Arial"/>
                <w:sz w:val="16"/>
                <w:szCs w:val="16"/>
              </w:rPr>
              <w:t>198 141</w:t>
            </w:r>
          </w:p>
        </w:tc>
        <w:tc>
          <w:tcPr>
            <w:tcW w:w="865" w:type="dxa"/>
            <w:tcBorders>
              <w:top w:val="nil"/>
              <w:left w:val="nil"/>
              <w:bottom w:val="nil"/>
              <w:right w:val="nil"/>
            </w:tcBorders>
            <w:shd w:val="clear" w:color="000000" w:fill="FFFFFF"/>
            <w:vAlign w:val="center"/>
            <w:hideMark/>
          </w:tcPr>
          <w:p w14:paraId="1CAF173F" w14:textId="77777777" w:rsidR="00EE5D67" w:rsidRPr="00EE5D67" w:rsidRDefault="00EE5D67" w:rsidP="00FA3B19">
            <w:pPr>
              <w:spacing w:after="0" w:line="240" w:lineRule="auto"/>
              <w:jc w:val="right"/>
              <w:rPr>
                <w:rFonts w:cs="Arial"/>
                <w:sz w:val="16"/>
                <w:szCs w:val="16"/>
              </w:rPr>
            </w:pPr>
            <w:r w:rsidRPr="00EE5D67">
              <w:rPr>
                <w:rFonts w:cs="Arial"/>
                <w:sz w:val="16"/>
                <w:szCs w:val="16"/>
              </w:rPr>
              <w:t>102 993</w:t>
            </w:r>
          </w:p>
        </w:tc>
        <w:tc>
          <w:tcPr>
            <w:tcW w:w="869" w:type="dxa"/>
            <w:tcBorders>
              <w:top w:val="nil"/>
              <w:left w:val="nil"/>
              <w:bottom w:val="nil"/>
              <w:right w:val="nil"/>
            </w:tcBorders>
            <w:shd w:val="clear" w:color="000000" w:fill="FFFFFF"/>
            <w:vAlign w:val="center"/>
            <w:hideMark/>
          </w:tcPr>
          <w:p w14:paraId="041B80CA" w14:textId="77777777" w:rsidR="00EE5D67" w:rsidRPr="00EE5D67" w:rsidRDefault="00EE5D67" w:rsidP="00FA3B19">
            <w:pPr>
              <w:spacing w:after="0" w:line="240" w:lineRule="auto"/>
              <w:jc w:val="right"/>
              <w:rPr>
                <w:rFonts w:cs="Arial"/>
                <w:sz w:val="16"/>
                <w:szCs w:val="16"/>
              </w:rPr>
            </w:pPr>
            <w:r w:rsidRPr="00EE5D67">
              <w:rPr>
                <w:rFonts w:cs="Arial"/>
                <w:sz w:val="16"/>
                <w:szCs w:val="16"/>
              </w:rPr>
              <w:t>95 148</w:t>
            </w:r>
          </w:p>
        </w:tc>
        <w:tc>
          <w:tcPr>
            <w:tcW w:w="1039" w:type="dxa"/>
            <w:gridSpan w:val="2"/>
            <w:tcBorders>
              <w:top w:val="nil"/>
              <w:left w:val="single" w:sz="4" w:space="0" w:color="auto"/>
              <w:bottom w:val="nil"/>
              <w:right w:val="nil"/>
            </w:tcBorders>
            <w:shd w:val="clear" w:color="000000" w:fill="FFFFFF"/>
            <w:vAlign w:val="center"/>
            <w:hideMark/>
          </w:tcPr>
          <w:p w14:paraId="2E288200" w14:textId="77777777" w:rsidR="00EE5D67" w:rsidRPr="00EE5D67" w:rsidRDefault="00EE5D67" w:rsidP="00FA3B19">
            <w:pPr>
              <w:spacing w:after="0" w:line="240" w:lineRule="auto"/>
              <w:jc w:val="right"/>
              <w:rPr>
                <w:rFonts w:cs="Arial"/>
                <w:sz w:val="16"/>
                <w:szCs w:val="16"/>
              </w:rPr>
            </w:pPr>
            <w:r w:rsidRPr="00EE5D67">
              <w:rPr>
                <w:rFonts w:cs="Arial"/>
                <w:sz w:val="16"/>
                <w:szCs w:val="16"/>
              </w:rPr>
              <w:t>5 364 779</w:t>
            </w:r>
          </w:p>
        </w:tc>
        <w:tc>
          <w:tcPr>
            <w:tcW w:w="982" w:type="dxa"/>
            <w:gridSpan w:val="2"/>
            <w:tcBorders>
              <w:top w:val="nil"/>
              <w:left w:val="nil"/>
              <w:bottom w:val="nil"/>
              <w:right w:val="nil"/>
            </w:tcBorders>
            <w:shd w:val="clear" w:color="000000" w:fill="FFFFFF"/>
            <w:vAlign w:val="center"/>
            <w:hideMark/>
          </w:tcPr>
          <w:p w14:paraId="631011D0" w14:textId="77777777" w:rsidR="00EE5D67" w:rsidRPr="00EE5D67" w:rsidRDefault="00EE5D67" w:rsidP="00FA3B19">
            <w:pPr>
              <w:spacing w:after="0" w:line="240" w:lineRule="auto"/>
              <w:jc w:val="right"/>
              <w:rPr>
                <w:rFonts w:cs="Arial"/>
                <w:sz w:val="16"/>
                <w:szCs w:val="16"/>
              </w:rPr>
            </w:pPr>
            <w:r w:rsidRPr="00EE5D67">
              <w:rPr>
                <w:rFonts w:cs="Arial"/>
                <w:sz w:val="16"/>
                <w:szCs w:val="16"/>
              </w:rPr>
              <w:t>2 282 784</w:t>
            </w:r>
          </w:p>
        </w:tc>
        <w:tc>
          <w:tcPr>
            <w:tcW w:w="982" w:type="dxa"/>
            <w:gridSpan w:val="2"/>
            <w:tcBorders>
              <w:top w:val="nil"/>
              <w:left w:val="nil"/>
              <w:bottom w:val="nil"/>
              <w:right w:val="single" w:sz="4" w:space="0" w:color="auto"/>
            </w:tcBorders>
            <w:shd w:val="clear" w:color="000000" w:fill="FFFFFF"/>
            <w:vAlign w:val="center"/>
            <w:hideMark/>
          </w:tcPr>
          <w:p w14:paraId="7A885444" w14:textId="77777777" w:rsidR="00EE5D67" w:rsidRPr="00EE5D67" w:rsidRDefault="00EE5D67" w:rsidP="00FA3B19">
            <w:pPr>
              <w:spacing w:after="0" w:line="240" w:lineRule="auto"/>
              <w:jc w:val="right"/>
              <w:rPr>
                <w:rFonts w:cs="Arial"/>
                <w:sz w:val="16"/>
                <w:szCs w:val="16"/>
              </w:rPr>
            </w:pPr>
            <w:r w:rsidRPr="00EE5D67">
              <w:rPr>
                <w:rFonts w:cs="Arial"/>
                <w:sz w:val="16"/>
                <w:szCs w:val="16"/>
              </w:rPr>
              <w:t>3 081 995</w:t>
            </w:r>
          </w:p>
        </w:tc>
        <w:tc>
          <w:tcPr>
            <w:tcW w:w="936" w:type="dxa"/>
            <w:gridSpan w:val="2"/>
            <w:tcBorders>
              <w:top w:val="nil"/>
              <w:left w:val="nil"/>
              <w:bottom w:val="nil"/>
              <w:right w:val="nil"/>
            </w:tcBorders>
            <w:shd w:val="clear" w:color="000000" w:fill="FFFFFF"/>
            <w:vAlign w:val="center"/>
            <w:hideMark/>
          </w:tcPr>
          <w:p w14:paraId="5B15B0A2" w14:textId="77777777" w:rsidR="00EE5D67" w:rsidRPr="00EE5D67" w:rsidRDefault="00EE5D67" w:rsidP="00FA3B19">
            <w:pPr>
              <w:spacing w:after="0" w:line="240" w:lineRule="auto"/>
              <w:jc w:val="right"/>
              <w:rPr>
                <w:rFonts w:cs="Arial"/>
                <w:sz w:val="16"/>
                <w:szCs w:val="16"/>
              </w:rPr>
            </w:pPr>
            <w:r w:rsidRPr="00EE5D67">
              <w:rPr>
                <w:rFonts w:cs="Arial"/>
                <w:sz w:val="16"/>
                <w:szCs w:val="16"/>
              </w:rPr>
              <w:t>27,08</w:t>
            </w:r>
          </w:p>
        </w:tc>
        <w:tc>
          <w:tcPr>
            <w:tcW w:w="936" w:type="dxa"/>
            <w:gridSpan w:val="2"/>
            <w:tcBorders>
              <w:top w:val="nil"/>
              <w:left w:val="nil"/>
              <w:bottom w:val="nil"/>
              <w:right w:val="nil"/>
            </w:tcBorders>
            <w:shd w:val="clear" w:color="000000" w:fill="FFFFFF"/>
            <w:vAlign w:val="center"/>
            <w:hideMark/>
          </w:tcPr>
          <w:p w14:paraId="6A262179" w14:textId="77777777" w:rsidR="00EE5D67" w:rsidRPr="00EE5D67" w:rsidRDefault="00EE5D67" w:rsidP="00FA3B19">
            <w:pPr>
              <w:spacing w:after="0" w:line="240" w:lineRule="auto"/>
              <w:jc w:val="right"/>
              <w:rPr>
                <w:rFonts w:cs="Arial"/>
                <w:sz w:val="16"/>
                <w:szCs w:val="16"/>
              </w:rPr>
            </w:pPr>
            <w:r w:rsidRPr="00EE5D67">
              <w:rPr>
                <w:rFonts w:cs="Arial"/>
                <w:sz w:val="16"/>
                <w:szCs w:val="16"/>
              </w:rPr>
              <w:t>22,16</w:t>
            </w:r>
          </w:p>
        </w:tc>
        <w:tc>
          <w:tcPr>
            <w:tcW w:w="939" w:type="dxa"/>
            <w:gridSpan w:val="4"/>
            <w:tcBorders>
              <w:top w:val="nil"/>
              <w:left w:val="nil"/>
              <w:bottom w:val="nil"/>
              <w:right w:val="nil"/>
            </w:tcBorders>
            <w:shd w:val="clear" w:color="000000" w:fill="FFFFFF"/>
            <w:vAlign w:val="center"/>
            <w:hideMark/>
          </w:tcPr>
          <w:p w14:paraId="53DF0B01" w14:textId="77777777" w:rsidR="00EE5D67" w:rsidRPr="00EE5D67" w:rsidRDefault="00EE5D67" w:rsidP="00FA3B19">
            <w:pPr>
              <w:spacing w:after="0" w:line="240" w:lineRule="auto"/>
              <w:jc w:val="right"/>
              <w:rPr>
                <w:rFonts w:cs="Arial"/>
                <w:sz w:val="16"/>
                <w:szCs w:val="16"/>
              </w:rPr>
            </w:pPr>
            <w:r w:rsidRPr="00EE5D67">
              <w:rPr>
                <w:rFonts w:cs="Arial"/>
                <w:sz w:val="16"/>
                <w:szCs w:val="16"/>
              </w:rPr>
              <w:t>32,39</w:t>
            </w:r>
          </w:p>
        </w:tc>
      </w:tr>
      <w:tr w:rsidR="00EE5D67" w:rsidRPr="00EE5D67" w14:paraId="592A19A8" w14:textId="77777777" w:rsidTr="00FA3B19">
        <w:trPr>
          <w:divId w:val="283998286"/>
          <w:trHeight w:val="305"/>
        </w:trPr>
        <w:tc>
          <w:tcPr>
            <w:tcW w:w="1214" w:type="dxa"/>
            <w:tcBorders>
              <w:top w:val="nil"/>
              <w:left w:val="nil"/>
              <w:bottom w:val="nil"/>
              <w:right w:val="single" w:sz="4" w:space="0" w:color="auto"/>
            </w:tcBorders>
            <w:shd w:val="clear" w:color="000000" w:fill="FFFFFF"/>
            <w:vAlign w:val="center"/>
            <w:hideMark/>
          </w:tcPr>
          <w:p w14:paraId="169F047B" w14:textId="77777777" w:rsidR="00EE5D67" w:rsidRPr="00EE5D67" w:rsidRDefault="00EE5D67" w:rsidP="00FA3B19">
            <w:pPr>
              <w:spacing w:after="0" w:line="240" w:lineRule="auto"/>
              <w:ind w:firstLineChars="100" w:firstLine="160"/>
              <w:rPr>
                <w:rFonts w:cs="Arial"/>
                <w:sz w:val="16"/>
                <w:szCs w:val="16"/>
              </w:rPr>
            </w:pPr>
            <w:r w:rsidRPr="00EE5D67">
              <w:rPr>
                <w:rFonts w:cs="Arial"/>
                <w:sz w:val="16"/>
                <w:szCs w:val="16"/>
              </w:rPr>
              <w:t>30–39 let</w:t>
            </w:r>
          </w:p>
        </w:tc>
        <w:tc>
          <w:tcPr>
            <w:tcW w:w="892" w:type="dxa"/>
            <w:tcBorders>
              <w:top w:val="nil"/>
              <w:left w:val="single" w:sz="4" w:space="0" w:color="auto"/>
              <w:bottom w:val="nil"/>
              <w:right w:val="nil"/>
            </w:tcBorders>
            <w:shd w:val="clear" w:color="000000" w:fill="FFFFFF"/>
            <w:vAlign w:val="center"/>
            <w:hideMark/>
          </w:tcPr>
          <w:p w14:paraId="6D7B98DB" w14:textId="77777777" w:rsidR="00EE5D67" w:rsidRPr="00EE5D67" w:rsidRDefault="00EE5D67" w:rsidP="00FA3B19">
            <w:pPr>
              <w:spacing w:after="0" w:line="240" w:lineRule="auto"/>
              <w:jc w:val="right"/>
              <w:rPr>
                <w:rFonts w:cs="Arial"/>
                <w:sz w:val="16"/>
                <w:szCs w:val="16"/>
              </w:rPr>
            </w:pPr>
            <w:r w:rsidRPr="00EE5D67">
              <w:rPr>
                <w:rFonts w:cs="Arial"/>
                <w:sz w:val="16"/>
                <w:szCs w:val="16"/>
              </w:rPr>
              <w:t>204 220</w:t>
            </w:r>
          </w:p>
        </w:tc>
        <w:tc>
          <w:tcPr>
            <w:tcW w:w="865" w:type="dxa"/>
            <w:tcBorders>
              <w:top w:val="nil"/>
              <w:left w:val="nil"/>
              <w:bottom w:val="nil"/>
              <w:right w:val="nil"/>
            </w:tcBorders>
            <w:shd w:val="clear" w:color="000000" w:fill="FFFFFF"/>
            <w:vAlign w:val="center"/>
            <w:hideMark/>
          </w:tcPr>
          <w:p w14:paraId="39A3EFE9" w14:textId="77777777" w:rsidR="00EE5D67" w:rsidRPr="00EE5D67" w:rsidRDefault="00EE5D67" w:rsidP="00FA3B19">
            <w:pPr>
              <w:spacing w:after="0" w:line="240" w:lineRule="auto"/>
              <w:jc w:val="right"/>
              <w:rPr>
                <w:rFonts w:cs="Arial"/>
                <w:sz w:val="16"/>
                <w:szCs w:val="16"/>
              </w:rPr>
            </w:pPr>
            <w:r w:rsidRPr="00EE5D67">
              <w:rPr>
                <w:rFonts w:cs="Arial"/>
                <w:sz w:val="16"/>
                <w:szCs w:val="16"/>
              </w:rPr>
              <w:t>102 278</w:t>
            </w:r>
          </w:p>
        </w:tc>
        <w:tc>
          <w:tcPr>
            <w:tcW w:w="869" w:type="dxa"/>
            <w:tcBorders>
              <w:top w:val="nil"/>
              <w:left w:val="nil"/>
              <w:bottom w:val="nil"/>
              <w:right w:val="nil"/>
            </w:tcBorders>
            <w:shd w:val="clear" w:color="000000" w:fill="FFFFFF"/>
            <w:vAlign w:val="center"/>
            <w:hideMark/>
          </w:tcPr>
          <w:p w14:paraId="61379C47" w14:textId="77777777" w:rsidR="00EE5D67" w:rsidRPr="00EE5D67" w:rsidRDefault="00EE5D67" w:rsidP="00FA3B19">
            <w:pPr>
              <w:spacing w:after="0" w:line="240" w:lineRule="auto"/>
              <w:jc w:val="right"/>
              <w:rPr>
                <w:rFonts w:cs="Arial"/>
                <w:sz w:val="16"/>
                <w:szCs w:val="16"/>
              </w:rPr>
            </w:pPr>
            <w:r w:rsidRPr="00EE5D67">
              <w:rPr>
                <w:rFonts w:cs="Arial"/>
                <w:sz w:val="16"/>
                <w:szCs w:val="16"/>
              </w:rPr>
              <w:t>101 942</w:t>
            </w:r>
          </w:p>
        </w:tc>
        <w:tc>
          <w:tcPr>
            <w:tcW w:w="1039" w:type="dxa"/>
            <w:gridSpan w:val="2"/>
            <w:tcBorders>
              <w:top w:val="nil"/>
              <w:left w:val="single" w:sz="4" w:space="0" w:color="auto"/>
              <w:bottom w:val="nil"/>
              <w:right w:val="nil"/>
            </w:tcBorders>
            <w:shd w:val="clear" w:color="000000" w:fill="FFFFFF"/>
            <w:vAlign w:val="center"/>
            <w:hideMark/>
          </w:tcPr>
          <w:p w14:paraId="2D733971" w14:textId="77777777" w:rsidR="00EE5D67" w:rsidRPr="00EE5D67" w:rsidRDefault="00EE5D67" w:rsidP="00FA3B19">
            <w:pPr>
              <w:spacing w:after="0" w:line="240" w:lineRule="auto"/>
              <w:jc w:val="right"/>
              <w:rPr>
                <w:rFonts w:cs="Arial"/>
                <w:sz w:val="16"/>
                <w:szCs w:val="16"/>
              </w:rPr>
            </w:pPr>
            <w:r w:rsidRPr="00EE5D67">
              <w:rPr>
                <w:rFonts w:cs="Arial"/>
                <w:sz w:val="16"/>
                <w:szCs w:val="16"/>
              </w:rPr>
              <w:t>7 153 042</w:t>
            </w:r>
          </w:p>
        </w:tc>
        <w:tc>
          <w:tcPr>
            <w:tcW w:w="982" w:type="dxa"/>
            <w:gridSpan w:val="2"/>
            <w:tcBorders>
              <w:top w:val="nil"/>
              <w:left w:val="nil"/>
              <w:bottom w:val="nil"/>
              <w:right w:val="nil"/>
            </w:tcBorders>
            <w:shd w:val="clear" w:color="000000" w:fill="FFFFFF"/>
            <w:vAlign w:val="center"/>
            <w:hideMark/>
          </w:tcPr>
          <w:p w14:paraId="386F823D" w14:textId="77777777" w:rsidR="00EE5D67" w:rsidRPr="00EE5D67" w:rsidRDefault="00EE5D67" w:rsidP="00FA3B19">
            <w:pPr>
              <w:spacing w:after="0" w:line="240" w:lineRule="auto"/>
              <w:jc w:val="right"/>
              <w:rPr>
                <w:rFonts w:cs="Arial"/>
                <w:sz w:val="16"/>
                <w:szCs w:val="16"/>
              </w:rPr>
            </w:pPr>
            <w:r w:rsidRPr="00EE5D67">
              <w:rPr>
                <w:rFonts w:cs="Arial"/>
                <w:sz w:val="16"/>
                <w:szCs w:val="16"/>
              </w:rPr>
              <w:t>3 079 665</w:t>
            </w:r>
          </w:p>
        </w:tc>
        <w:tc>
          <w:tcPr>
            <w:tcW w:w="982" w:type="dxa"/>
            <w:gridSpan w:val="2"/>
            <w:tcBorders>
              <w:top w:val="nil"/>
              <w:left w:val="nil"/>
              <w:bottom w:val="nil"/>
              <w:right w:val="single" w:sz="4" w:space="0" w:color="auto"/>
            </w:tcBorders>
            <w:shd w:val="clear" w:color="000000" w:fill="FFFFFF"/>
            <w:vAlign w:val="center"/>
            <w:hideMark/>
          </w:tcPr>
          <w:p w14:paraId="28E41E00" w14:textId="77777777" w:rsidR="00EE5D67" w:rsidRPr="00EE5D67" w:rsidRDefault="00EE5D67" w:rsidP="00FA3B19">
            <w:pPr>
              <w:spacing w:after="0" w:line="240" w:lineRule="auto"/>
              <w:jc w:val="right"/>
              <w:rPr>
                <w:rFonts w:cs="Arial"/>
                <w:sz w:val="16"/>
                <w:szCs w:val="16"/>
              </w:rPr>
            </w:pPr>
            <w:r w:rsidRPr="00EE5D67">
              <w:rPr>
                <w:rFonts w:cs="Arial"/>
                <w:sz w:val="16"/>
                <w:szCs w:val="16"/>
              </w:rPr>
              <w:t>4 073 377</w:t>
            </w:r>
          </w:p>
        </w:tc>
        <w:tc>
          <w:tcPr>
            <w:tcW w:w="936" w:type="dxa"/>
            <w:gridSpan w:val="2"/>
            <w:tcBorders>
              <w:top w:val="nil"/>
              <w:left w:val="nil"/>
              <w:bottom w:val="nil"/>
              <w:right w:val="nil"/>
            </w:tcBorders>
            <w:shd w:val="clear" w:color="000000" w:fill="FFFFFF"/>
            <w:vAlign w:val="center"/>
            <w:hideMark/>
          </w:tcPr>
          <w:p w14:paraId="525FB68C" w14:textId="77777777" w:rsidR="00EE5D67" w:rsidRPr="00EE5D67" w:rsidRDefault="00EE5D67" w:rsidP="00FA3B19">
            <w:pPr>
              <w:spacing w:after="0" w:line="240" w:lineRule="auto"/>
              <w:jc w:val="right"/>
              <w:rPr>
                <w:rFonts w:cs="Arial"/>
                <w:sz w:val="16"/>
                <w:szCs w:val="16"/>
              </w:rPr>
            </w:pPr>
            <w:r w:rsidRPr="00EE5D67">
              <w:rPr>
                <w:rFonts w:cs="Arial"/>
                <w:sz w:val="16"/>
                <w:szCs w:val="16"/>
              </w:rPr>
              <w:t>35,03</w:t>
            </w:r>
          </w:p>
        </w:tc>
        <w:tc>
          <w:tcPr>
            <w:tcW w:w="936" w:type="dxa"/>
            <w:gridSpan w:val="2"/>
            <w:tcBorders>
              <w:top w:val="nil"/>
              <w:left w:val="nil"/>
              <w:bottom w:val="nil"/>
              <w:right w:val="nil"/>
            </w:tcBorders>
            <w:shd w:val="clear" w:color="000000" w:fill="FFFFFF"/>
            <w:vAlign w:val="center"/>
            <w:hideMark/>
          </w:tcPr>
          <w:p w14:paraId="3CEAFCD0" w14:textId="77777777" w:rsidR="00EE5D67" w:rsidRPr="00EE5D67" w:rsidRDefault="00EE5D67" w:rsidP="00FA3B19">
            <w:pPr>
              <w:spacing w:after="0" w:line="240" w:lineRule="auto"/>
              <w:jc w:val="right"/>
              <w:rPr>
                <w:rFonts w:cs="Arial"/>
                <w:sz w:val="16"/>
                <w:szCs w:val="16"/>
              </w:rPr>
            </w:pPr>
            <w:r w:rsidRPr="00EE5D67">
              <w:rPr>
                <w:rFonts w:cs="Arial"/>
                <w:sz w:val="16"/>
                <w:szCs w:val="16"/>
              </w:rPr>
              <w:t>30,11</w:t>
            </w:r>
          </w:p>
        </w:tc>
        <w:tc>
          <w:tcPr>
            <w:tcW w:w="939" w:type="dxa"/>
            <w:gridSpan w:val="4"/>
            <w:tcBorders>
              <w:top w:val="nil"/>
              <w:left w:val="nil"/>
              <w:bottom w:val="nil"/>
              <w:right w:val="nil"/>
            </w:tcBorders>
            <w:shd w:val="clear" w:color="000000" w:fill="FFFFFF"/>
            <w:vAlign w:val="center"/>
            <w:hideMark/>
          </w:tcPr>
          <w:p w14:paraId="1DF19D3E" w14:textId="77777777" w:rsidR="00EE5D67" w:rsidRPr="00EE5D67" w:rsidRDefault="00EE5D67" w:rsidP="00FA3B19">
            <w:pPr>
              <w:spacing w:after="0" w:line="240" w:lineRule="auto"/>
              <w:jc w:val="right"/>
              <w:rPr>
                <w:rFonts w:cs="Arial"/>
                <w:sz w:val="16"/>
                <w:szCs w:val="16"/>
              </w:rPr>
            </w:pPr>
            <w:r w:rsidRPr="00EE5D67">
              <w:rPr>
                <w:rFonts w:cs="Arial"/>
                <w:sz w:val="16"/>
                <w:szCs w:val="16"/>
              </w:rPr>
              <w:t>39,96</w:t>
            </w:r>
          </w:p>
        </w:tc>
      </w:tr>
      <w:tr w:rsidR="00EE5D67" w:rsidRPr="00EE5D67" w14:paraId="1F66DD17" w14:textId="77777777" w:rsidTr="00FA3B19">
        <w:trPr>
          <w:divId w:val="283998286"/>
          <w:trHeight w:val="305"/>
        </w:trPr>
        <w:tc>
          <w:tcPr>
            <w:tcW w:w="1214" w:type="dxa"/>
            <w:tcBorders>
              <w:top w:val="nil"/>
              <w:left w:val="nil"/>
              <w:bottom w:val="nil"/>
              <w:right w:val="single" w:sz="4" w:space="0" w:color="auto"/>
            </w:tcBorders>
            <w:shd w:val="clear" w:color="000000" w:fill="FFFFFF"/>
            <w:vAlign w:val="center"/>
            <w:hideMark/>
          </w:tcPr>
          <w:p w14:paraId="3F271C78" w14:textId="77777777" w:rsidR="00EE5D67" w:rsidRPr="00EE5D67" w:rsidRDefault="00EE5D67" w:rsidP="00FA3B19">
            <w:pPr>
              <w:spacing w:after="0" w:line="240" w:lineRule="auto"/>
              <w:ind w:firstLineChars="100" w:firstLine="160"/>
              <w:rPr>
                <w:rFonts w:cs="Arial"/>
                <w:sz w:val="16"/>
                <w:szCs w:val="16"/>
              </w:rPr>
            </w:pPr>
            <w:r w:rsidRPr="00EE5D67">
              <w:rPr>
                <w:rFonts w:cs="Arial"/>
                <w:sz w:val="16"/>
                <w:szCs w:val="16"/>
              </w:rPr>
              <w:t>40–49 let</w:t>
            </w:r>
          </w:p>
        </w:tc>
        <w:tc>
          <w:tcPr>
            <w:tcW w:w="892" w:type="dxa"/>
            <w:tcBorders>
              <w:top w:val="nil"/>
              <w:left w:val="single" w:sz="4" w:space="0" w:color="auto"/>
              <w:bottom w:val="nil"/>
              <w:right w:val="nil"/>
            </w:tcBorders>
            <w:shd w:val="clear" w:color="000000" w:fill="FFFFFF"/>
            <w:vAlign w:val="center"/>
            <w:hideMark/>
          </w:tcPr>
          <w:p w14:paraId="5A7C0AA6" w14:textId="77777777" w:rsidR="00EE5D67" w:rsidRPr="00EE5D67" w:rsidRDefault="00EE5D67" w:rsidP="00FA3B19">
            <w:pPr>
              <w:spacing w:after="0" w:line="240" w:lineRule="auto"/>
              <w:jc w:val="right"/>
              <w:rPr>
                <w:rFonts w:cs="Arial"/>
                <w:sz w:val="16"/>
                <w:szCs w:val="16"/>
              </w:rPr>
            </w:pPr>
            <w:r w:rsidRPr="00EE5D67">
              <w:rPr>
                <w:rFonts w:cs="Arial"/>
                <w:sz w:val="16"/>
                <w:szCs w:val="16"/>
              </w:rPr>
              <w:t>252 233</w:t>
            </w:r>
          </w:p>
        </w:tc>
        <w:tc>
          <w:tcPr>
            <w:tcW w:w="865" w:type="dxa"/>
            <w:tcBorders>
              <w:top w:val="nil"/>
              <w:left w:val="nil"/>
              <w:bottom w:val="nil"/>
              <w:right w:val="nil"/>
            </w:tcBorders>
            <w:shd w:val="clear" w:color="000000" w:fill="FFFFFF"/>
            <w:vAlign w:val="center"/>
            <w:hideMark/>
          </w:tcPr>
          <w:p w14:paraId="63B16116" w14:textId="77777777" w:rsidR="00EE5D67" w:rsidRPr="00EE5D67" w:rsidRDefault="00EE5D67" w:rsidP="00FA3B19">
            <w:pPr>
              <w:spacing w:after="0" w:line="240" w:lineRule="auto"/>
              <w:jc w:val="right"/>
              <w:rPr>
                <w:rFonts w:cs="Arial"/>
                <w:sz w:val="16"/>
                <w:szCs w:val="16"/>
              </w:rPr>
            </w:pPr>
            <w:r w:rsidRPr="00EE5D67">
              <w:rPr>
                <w:rFonts w:cs="Arial"/>
                <w:sz w:val="16"/>
                <w:szCs w:val="16"/>
              </w:rPr>
              <w:t>104 107</w:t>
            </w:r>
          </w:p>
        </w:tc>
        <w:tc>
          <w:tcPr>
            <w:tcW w:w="869" w:type="dxa"/>
            <w:tcBorders>
              <w:top w:val="nil"/>
              <w:left w:val="nil"/>
              <w:bottom w:val="nil"/>
              <w:right w:val="nil"/>
            </w:tcBorders>
            <w:shd w:val="clear" w:color="000000" w:fill="FFFFFF"/>
            <w:vAlign w:val="center"/>
            <w:hideMark/>
          </w:tcPr>
          <w:p w14:paraId="26E68094" w14:textId="77777777" w:rsidR="00EE5D67" w:rsidRPr="00EE5D67" w:rsidRDefault="00EE5D67" w:rsidP="00FA3B19">
            <w:pPr>
              <w:spacing w:after="0" w:line="240" w:lineRule="auto"/>
              <w:jc w:val="right"/>
              <w:rPr>
                <w:rFonts w:cs="Arial"/>
                <w:sz w:val="16"/>
                <w:szCs w:val="16"/>
              </w:rPr>
            </w:pPr>
            <w:r w:rsidRPr="00EE5D67">
              <w:rPr>
                <w:rFonts w:cs="Arial"/>
                <w:sz w:val="16"/>
                <w:szCs w:val="16"/>
              </w:rPr>
              <w:t>148 126</w:t>
            </w:r>
          </w:p>
        </w:tc>
        <w:tc>
          <w:tcPr>
            <w:tcW w:w="1039" w:type="dxa"/>
            <w:gridSpan w:val="2"/>
            <w:tcBorders>
              <w:top w:val="nil"/>
              <w:left w:val="single" w:sz="4" w:space="0" w:color="auto"/>
              <w:bottom w:val="nil"/>
              <w:right w:val="nil"/>
            </w:tcBorders>
            <w:shd w:val="clear" w:color="000000" w:fill="FFFFFF"/>
            <w:vAlign w:val="center"/>
            <w:hideMark/>
          </w:tcPr>
          <w:p w14:paraId="73DF83B5" w14:textId="77777777" w:rsidR="00EE5D67" w:rsidRPr="00EE5D67" w:rsidRDefault="00EE5D67" w:rsidP="00FA3B19">
            <w:pPr>
              <w:spacing w:after="0" w:line="240" w:lineRule="auto"/>
              <w:jc w:val="right"/>
              <w:rPr>
                <w:rFonts w:cs="Arial"/>
                <w:sz w:val="16"/>
                <w:szCs w:val="16"/>
              </w:rPr>
            </w:pPr>
            <w:r w:rsidRPr="00EE5D67">
              <w:rPr>
                <w:rFonts w:cs="Arial"/>
                <w:sz w:val="16"/>
                <w:szCs w:val="16"/>
              </w:rPr>
              <w:t>10 760 305</w:t>
            </w:r>
          </w:p>
        </w:tc>
        <w:tc>
          <w:tcPr>
            <w:tcW w:w="982" w:type="dxa"/>
            <w:gridSpan w:val="2"/>
            <w:tcBorders>
              <w:top w:val="nil"/>
              <w:left w:val="nil"/>
              <w:bottom w:val="nil"/>
              <w:right w:val="nil"/>
            </w:tcBorders>
            <w:shd w:val="clear" w:color="000000" w:fill="FFFFFF"/>
            <w:vAlign w:val="center"/>
            <w:hideMark/>
          </w:tcPr>
          <w:p w14:paraId="60CC9DB4" w14:textId="77777777" w:rsidR="00EE5D67" w:rsidRPr="00EE5D67" w:rsidRDefault="00EE5D67" w:rsidP="00FA3B19">
            <w:pPr>
              <w:spacing w:after="0" w:line="240" w:lineRule="auto"/>
              <w:jc w:val="right"/>
              <w:rPr>
                <w:rFonts w:cs="Arial"/>
                <w:sz w:val="16"/>
                <w:szCs w:val="16"/>
              </w:rPr>
            </w:pPr>
            <w:r w:rsidRPr="00EE5D67">
              <w:rPr>
                <w:rFonts w:cs="Arial"/>
                <w:sz w:val="16"/>
                <w:szCs w:val="16"/>
              </w:rPr>
              <w:t>4 444 080</w:t>
            </w:r>
          </w:p>
        </w:tc>
        <w:tc>
          <w:tcPr>
            <w:tcW w:w="982" w:type="dxa"/>
            <w:gridSpan w:val="2"/>
            <w:tcBorders>
              <w:top w:val="nil"/>
              <w:left w:val="nil"/>
              <w:bottom w:val="nil"/>
              <w:right w:val="single" w:sz="4" w:space="0" w:color="auto"/>
            </w:tcBorders>
            <w:shd w:val="clear" w:color="000000" w:fill="FFFFFF"/>
            <w:vAlign w:val="center"/>
            <w:hideMark/>
          </w:tcPr>
          <w:p w14:paraId="24CAF269" w14:textId="77777777" w:rsidR="00EE5D67" w:rsidRPr="00EE5D67" w:rsidRDefault="00EE5D67" w:rsidP="00FA3B19">
            <w:pPr>
              <w:spacing w:after="0" w:line="240" w:lineRule="auto"/>
              <w:jc w:val="right"/>
              <w:rPr>
                <w:rFonts w:cs="Arial"/>
                <w:sz w:val="16"/>
                <w:szCs w:val="16"/>
              </w:rPr>
            </w:pPr>
            <w:r w:rsidRPr="00EE5D67">
              <w:rPr>
                <w:rFonts w:cs="Arial"/>
                <w:sz w:val="16"/>
                <w:szCs w:val="16"/>
              </w:rPr>
              <w:t>6 316 225</w:t>
            </w:r>
          </w:p>
        </w:tc>
        <w:tc>
          <w:tcPr>
            <w:tcW w:w="936" w:type="dxa"/>
            <w:gridSpan w:val="2"/>
            <w:tcBorders>
              <w:top w:val="nil"/>
              <w:left w:val="nil"/>
              <w:bottom w:val="nil"/>
              <w:right w:val="nil"/>
            </w:tcBorders>
            <w:shd w:val="clear" w:color="000000" w:fill="FFFFFF"/>
            <w:vAlign w:val="center"/>
            <w:hideMark/>
          </w:tcPr>
          <w:p w14:paraId="18C26ED4" w14:textId="77777777" w:rsidR="00EE5D67" w:rsidRPr="00EE5D67" w:rsidRDefault="00EE5D67" w:rsidP="00FA3B19">
            <w:pPr>
              <w:spacing w:after="0" w:line="240" w:lineRule="auto"/>
              <w:jc w:val="right"/>
              <w:rPr>
                <w:rFonts w:cs="Arial"/>
                <w:sz w:val="16"/>
                <w:szCs w:val="16"/>
              </w:rPr>
            </w:pPr>
            <w:r w:rsidRPr="00EE5D67">
              <w:rPr>
                <w:rFonts w:cs="Arial"/>
                <w:sz w:val="16"/>
                <w:szCs w:val="16"/>
              </w:rPr>
              <w:t>42,66</w:t>
            </w:r>
          </w:p>
        </w:tc>
        <w:tc>
          <w:tcPr>
            <w:tcW w:w="936" w:type="dxa"/>
            <w:gridSpan w:val="2"/>
            <w:tcBorders>
              <w:top w:val="nil"/>
              <w:left w:val="nil"/>
              <w:bottom w:val="nil"/>
              <w:right w:val="nil"/>
            </w:tcBorders>
            <w:shd w:val="clear" w:color="000000" w:fill="FFFFFF"/>
            <w:vAlign w:val="center"/>
            <w:hideMark/>
          </w:tcPr>
          <w:p w14:paraId="762275D5" w14:textId="77777777" w:rsidR="00EE5D67" w:rsidRPr="00EE5D67" w:rsidRDefault="00EE5D67" w:rsidP="00FA3B19">
            <w:pPr>
              <w:spacing w:after="0" w:line="240" w:lineRule="auto"/>
              <w:jc w:val="right"/>
              <w:rPr>
                <w:rFonts w:cs="Arial"/>
                <w:sz w:val="16"/>
                <w:szCs w:val="16"/>
              </w:rPr>
            </w:pPr>
            <w:r w:rsidRPr="00EE5D67">
              <w:rPr>
                <w:rFonts w:cs="Arial"/>
                <w:sz w:val="16"/>
                <w:szCs w:val="16"/>
              </w:rPr>
              <w:t>42,69</w:t>
            </w:r>
          </w:p>
        </w:tc>
        <w:tc>
          <w:tcPr>
            <w:tcW w:w="939" w:type="dxa"/>
            <w:gridSpan w:val="4"/>
            <w:tcBorders>
              <w:top w:val="nil"/>
              <w:left w:val="nil"/>
              <w:bottom w:val="nil"/>
              <w:right w:val="nil"/>
            </w:tcBorders>
            <w:shd w:val="clear" w:color="000000" w:fill="FFFFFF"/>
            <w:vAlign w:val="center"/>
            <w:hideMark/>
          </w:tcPr>
          <w:p w14:paraId="230F5CC6" w14:textId="77777777" w:rsidR="00EE5D67" w:rsidRPr="00EE5D67" w:rsidRDefault="00EE5D67" w:rsidP="00FA3B19">
            <w:pPr>
              <w:spacing w:after="0" w:line="240" w:lineRule="auto"/>
              <w:jc w:val="right"/>
              <w:rPr>
                <w:rFonts w:cs="Arial"/>
                <w:sz w:val="16"/>
                <w:szCs w:val="16"/>
              </w:rPr>
            </w:pPr>
            <w:r w:rsidRPr="00EE5D67">
              <w:rPr>
                <w:rFonts w:cs="Arial"/>
                <w:sz w:val="16"/>
                <w:szCs w:val="16"/>
              </w:rPr>
              <w:t>42,64</w:t>
            </w:r>
          </w:p>
        </w:tc>
      </w:tr>
      <w:tr w:rsidR="00EE5D67" w:rsidRPr="00EE5D67" w14:paraId="384A6842" w14:textId="77777777" w:rsidTr="00FA3B19">
        <w:trPr>
          <w:divId w:val="283998286"/>
          <w:trHeight w:val="305"/>
        </w:trPr>
        <w:tc>
          <w:tcPr>
            <w:tcW w:w="1214" w:type="dxa"/>
            <w:tcBorders>
              <w:top w:val="nil"/>
              <w:left w:val="nil"/>
              <w:bottom w:val="nil"/>
              <w:right w:val="single" w:sz="4" w:space="0" w:color="auto"/>
            </w:tcBorders>
            <w:shd w:val="clear" w:color="000000" w:fill="FFFFFF"/>
            <w:vAlign w:val="center"/>
            <w:hideMark/>
          </w:tcPr>
          <w:p w14:paraId="483C87EF" w14:textId="77777777" w:rsidR="00EE5D67" w:rsidRPr="00EE5D67" w:rsidRDefault="00EE5D67" w:rsidP="00FA3B19">
            <w:pPr>
              <w:spacing w:after="0" w:line="240" w:lineRule="auto"/>
              <w:ind w:firstLineChars="100" w:firstLine="160"/>
              <w:rPr>
                <w:rFonts w:cs="Arial"/>
                <w:sz w:val="16"/>
                <w:szCs w:val="16"/>
              </w:rPr>
            </w:pPr>
            <w:r w:rsidRPr="00EE5D67">
              <w:rPr>
                <w:rFonts w:cs="Arial"/>
                <w:sz w:val="16"/>
                <w:szCs w:val="16"/>
              </w:rPr>
              <w:t>50–59 let</w:t>
            </w:r>
          </w:p>
        </w:tc>
        <w:tc>
          <w:tcPr>
            <w:tcW w:w="892" w:type="dxa"/>
            <w:tcBorders>
              <w:top w:val="nil"/>
              <w:left w:val="single" w:sz="4" w:space="0" w:color="auto"/>
              <w:bottom w:val="nil"/>
              <w:right w:val="nil"/>
            </w:tcBorders>
            <w:shd w:val="clear" w:color="000000" w:fill="FFFFFF"/>
            <w:vAlign w:val="center"/>
            <w:hideMark/>
          </w:tcPr>
          <w:p w14:paraId="5537A7BA" w14:textId="77777777" w:rsidR="00EE5D67" w:rsidRPr="00EE5D67" w:rsidRDefault="00EE5D67" w:rsidP="00FA3B19">
            <w:pPr>
              <w:spacing w:after="0" w:line="240" w:lineRule="auto"/>
              <w:jc w:val="right"/>
              <w:rPr>
                <w:rFonts w:cs="Arial"/>
                <w:sz w:val="16"/>
                <w:szCs w:val="16"/>
              </w:rPr>
            </w:pPr>
            <w:r w:rsidRPr="00EE5D67">
              <w:rPr>
                <w:rFonts w:cs="Arial"/>
                <w:sz w:val="16"/>
                <w:szCs w:val="16"/>
              </w:rPr>
              <w:t>226 678</w:t>
            </w:r>
          </w:p>
        </w:tc>
        <w:tc>
          <w:tcPr>
            <w:tcW w:w="865" w:type="dxa"/>
            <w:tcBorders>
              <w:top w:val="nil"/>
              <w:left w:val="nil"/>
              <w:bottom w:val="nil"/>
              <w:right w:val="nil"/>
            </w:tcBorders>
            <w:shd w:val="clear" w:color="000000" w:fill="FFFFFF"/>
            <w:vAlign w:val="center"/>
            <w:hideMark/>
          </w:tcPr>
          <w:p w14:paraId="532A647C" w14:textId="77777777" w:rsidR="00EE5D67" w:rsidRPr="00EE5D67" w:rsidRDefault="00EE5D67" w:rsidP="00FA3B19">
            <w:pPr>
              <w:spacing w:after="0" w:line="240" w:lineRule="auto"/>
              <w:jc w:val="right"/>
              <w:rPr>
                <w:rFonts w:cs="Arial"/>
                <w:sz w:val="16"/>
                <w:szCs w:val="16"/>
              </w:rPr>
            </w:pPr>
            <w:r w:rsidRPr="00EE5D67">
              <w:rPr>
                <w:rFonts w:cs="Arial"/>
                <w:sz w:val="16"/>
                <w:szCs w:val="16"/>
              </w:rPr>
              <w:t>91 254</w:t>
            </w:r>
          </w:p>
        </w:tc>
        <w:tc>
          <w:tcPr>
            <w:tcW w:w="869" w:type="dxa"/>
            <w:tcBorders>
              <w:top w:val="nil"/>
              <w:left w:val="nil"/>
              <w:bottom w:val="nil"/>
              <w:right w:val="nil"/>
            </w:tcBorders>
            <w:shd w:val="clear" w:color="000000" w:fill="FFFFFF"/>
            <w:vAlign w:val="center"/>
            <w:hideMark/>
          </w:tcPr>
          <w:p w14:paraId="1C5DC1B1" w14:textId="77777777" w:rsidR="00EE5D67" w:rsidRPr="00EE5D67" w:rsidRDefault="00EE5D67" w:rsidP="00FA3B19">
            <w:pPr>
              <w:spacing w:after="0" w:line="240" w:lineRule="auto"/>
              <w:jc w:val="right"/>
              <w:rPr>
                <w:rFonts w:cs="Arial"/>
                <w:sz w:val="16"/>
                <w:szCs w:val="16"/>
              </w:rPr>
            </w:pPr>
            <w:r w:rsidRPr="00EE5D67">
              <w:rPr>
                <w:rFonts w:cs="Arial"/>
                <w:sz w:val="16"/>
                <w:szCs w:val="16"/>
              </w:rPr>
              <w:t>135 424</w:t>
            </w:r>
          </w:p>
        </w:tc>
        <w:tc>
          <w:tcPr>
            <w:tcW w:w="1039" w:type="dxa"/>
            <w:gridSpan w:val="2"/>
            <w:tcBorders>
              <w:top w:val="nil"/>
              <w:left w:val="single" w:sz="4" w:space="0" w:color="auto"/>
              <w:bottom w:val="nil"/>
              <w:right w:val="nil"/>
            </w:tcBorders>
            <w:shd w:val="clear" w:color="000000" w:fill="FFFFFF"/>
            <w:vAlign w:val="center"/>
            <w:hideMark/>
          </w:tcPr>
          <w:p w14:paraId="53DC5234" w14:textId="77777777" w:rsidR="00EE5D67" w:rsidRPr="00EE5D67" w:rsidRDefault="00EE5D67" w:rsidP="00FA3B19">
            <w:pPr>
              <w:spacing w:after="0" w:line="240" w:lineRule="auto"/>
              <w:jc w:val="right"/>
              <w:rPr>
                <w:rFonts w:cs="Arial"/>
                <w:sz w:val="16"/>
                <w:szCs w:val="16"/>
              </w:rPr>
            </w:pPr>
            <w:r w:rsidRPr="00EE5D67">
              <w:rPr>
                <w:rFonts w:cs="Arial"/>
                <w:sz w:val="16"/>
                <w:szCs w:val="16"/>
              </w:rPr>
              <w:t>12 196 911</w:t>
            </w:r>
          </w:p>
        </w:tc>
        <w:tc>
          <w:tcPr>
            <w:tcW w:w="982" w:type="dxa"/>
            <w:gridSpan w:val="2"/>
            <w:tcBorders>
              <w:top w:val="nil"/>
              <w:left w:val="nil"/>
              <w:bottom w:val="nil"/>
              <w:right w:val="nil"/>
            </w:tcBorders>
            <w:shd w:val="clear" w:color="000000" w:fill="FFFFFF"/>
            <w:vAlign w:val="center"/>
            <w:hideMark/>
          </w:tcPr>
          <w:p w14:paraId="464A89DB" w14:textId="77777777" w:rsidR="00EE5D67" w:rsidRPr="00EE5D67" w:rsidRDefault="00EE5D67" w:rsidP="00FA3B19">
            <w:pPr>
              <w:spacing w:after="0" w:line="240" w:lineRule="auto"/>
              <w:jc w:val="right"/>
              <w:rPr>
                <w:rFonts w:cs="Arial"/>
                <w:sz w:val="16"/>
                <w:szCs w:val="16"/>
              </w:rPr>
            </w:pPr>
            <w:r w:rsidRPr="00EE5D67">
              <w:rPr>
                <w:rFonts w:cs="Arial"/>
                <w:sz w:val="16"/>
                <w:szCs w:val="16"/>
              </w:rPr>
              <w:t>5 192 900</w:t>
            </w:r>
          </w:p>
        </w:tc>
        <w:tc>
          <w:tcPr>
            <w:tcW w:w="982" w:type="dxa"/>
            <w:gridSpan w:val="2"/>
            <w:tcBorders>
              <w:top w:val="nil"/>
              <w:left w:val="nil"/>
              <w:bottom w:val="nil"/>
              <w:right w:val="single" w:sz="4" w:space="0" w:color="auto"/>
            </w:tcBorders>
            <w:shd w:val="clear" w:color="000000" w:fill="FFFFFF"/>
            <w:vAlign w:val="center"/>
            <w:hideMark/>
          </w:tcPr>
          <w:p w14:paraId="34975ECA" w14:textId="77777777" w:rsidR="00EE5D67" w:rsidRPr="00EE5D67" w:rsidRDefault="00EE5D67" w:rsidP="00FA3B19">
            <w:pPr>
              <w:spacing w:after="0" w:line="240" w:lineRule="auto"/>
              <w:jc w:val="right"/>
              <w:rPr>
                <w:rFonts w:cs="Arial"/>
                <w:sz w:val="16"/>
                <w:szCs w:val="16"/>
              </w:rPr>
            </w:pPr>
            <w:r w:rsidRPr="00EE5D67">
              <w:rPr>
                <w:rFonts w:cs="Arial"/>
                <w:sz w:val="16"/>
                <w:szCs w:val="16"/>
              </w:rPr>
              <w:t>7 004 011</w:t>
            </w:r>
          </w:p>
        </w:tc>
        <w:tc>
          <w:tcPr>
            <w:tcW w:w="936" w:type="dxa"/>
            <w:gridSpan w:val="2"/>
            <w:tcBorders>
              <w:top w:val="nil"/>
              <w:left w:val="nil"/>
              <w:bottom w:val="nil"/>
              <w:right w:val="nil"/>
            </w:tcBorders>
            <w:shd w:val="clear" w:color="000000" w:fill="FFFFFF"/>
            <w:vAlign w:val="center"/>
            <w:hideMark/>
          </w:tcPr>
          <w:p w14:paraId="2E1C491F" w14:textId="77777777" w:rsidR="00EE5D67" w:rsidRPr="00EE5D67" w:rsidRDefault="00EE5D67" w:rsidP="00FA3B19">
            <w:pPr>
              <w:spacing w:after="0" w:line="240" w:lineRule="auto"/>
              <w:jc w:val="right"/>
              <w:rPr>
                <w:rFonts w:cs="Arial"/>
                <w:sz w:val="16"/>
                <w:szCs w:val="16"/>
              </w:rPr>
            </w:pPr>
            <w:r w:rsidRPr="00EE5D67">
              <w:rPr>
                <w:rFonts w:cs="Arial"/>
                <w:sz w:val="16"/>
                <w:szCs w:val="16"/>
              </w:rPr>
              <w:t>53,81</w:t>
            </w:r>
          </w:p>
        </w:tc>
        <w:tc>
          <w:tcPr>
            <w:tcW w:w="936" w:type="dxa"/>
            <w:gridSpan w:val="2"/>
            <w:tcBorders>
              <w:top w:val="nil"/>
              <w:left w:val="nil"/>
              <w:bottom w:val="nil"/>
              <w:right w:val="nil"/>
            </w:tcBorders>
            <w:shd w:val="clear" w:color="000000" w:fill="FFFFFF"/>
            <w:vAlign w:val="center"/>
            <w:hideMark/>
          </w:tcPr>
          <w:p w14:paraId="0E2DE6A8" w14:textId="77777777" w:rsidR="00EE5D67" w:rsidRPr="00EE5D67" w:rsidRDefault="00EE5D67" w:rsidP="00FA3B19">
            <w:pPr>
              <w:spacing w:after="0" w:line="240" w:lineRule="auto"/>
              <w:jc w:val="right"/>
              <w:rPr>
                <w:rFonts w:cs="Arial"/>
                <w:sz w:val="16"/>
                <w:szCs w:val="16"/>
              </w:rPr>
            </w:pPr>
            <w:r w:rsidRPr="00EE5D67">
              <w:rPr>
                <w:rFonts w:cs="Arial"/>
                <w:sz w:val="16"/>
                <w:szCs w:val="16"/>
              </w:rPr>
              <w:t>56,91</w:t>
            </w:r>
          </w:p>
        </w:tc>
        <w:tc>
          <w:tcPr>
            <w:tcW w:w="939" w:type="dxa"/>
            <w:gridSpan w:val="4"/>
            <w:tcBorders>
              <w:top w:val="nil"/>
              <w:left w:val="nil"/>
              <w:bottom w:val="nil"/>
              <w:right w:val="nil"/>
            </w:tcBorders>
            <w:shd w:val="clear" w:color="000000" w:fill="FFFFFF"/>
            <w:vAlign w:val="center"/>
            <w:hideMark/>
          </w:tcPr>
          <w:p w14:paraId="11F67DF2" w14:textId="77777777" w:rsidR="00EE5D67" w:rsidRPr="00EE5D67" w:rsidRDefault="00EE5D67" w:rsidP="00FA3B19">
            <w:pPr>
              <w:spacing w:after="0" w:line="240" w:lineRule="auto"/>
              <w:jc w:val="right"/>
              <w:rPr>
                <w:rFonts w:cs="Arial"/>
                <w:sz w:val="16"/>
                <w:szCs w:val="16"/>
              </w:rPr>
            </w:pPr>
            <w:r w:rsidRPr="00EE5D67">
              <w:rPr>
                <w:rFonts w:cs="Arial"/>
                <w:sz w:val="16"/>
                <w:szCs w:val="16"/>
              </w:rPr>
              <w:t>51,72</w:t>
            </w:r>
          </w:p>
        </w:tc>
      </w:tr>
      <w:tr w:rsidR="00EE5D67" w:rsidRPr="00EE5D67" w14:paraId="75C4881D" w14:textId="77777777" w:rsidTr="00FA3B19">
        <w:trPr>
          <w:divId w:val="283998286"/>
          <w:trHeight w:val="305"/>
        </w:trPr>
        <w:tc>
          <w:tcPr>
            <w:tcW w:w="1214" w:type="dxa"/>
            <w:tcBorders>
              <w:top w:val="nil"/>
              <w:left w:val="nil"/>
              <w:bottom w:val="nil"/>
              <w:right w:val="single" w:sz="4" w:space="0" w:color="auto"/>
            </w:tcBorders>
            <w:shd w:val="clear" w:color="000000" w:fill="FFFFFF"/>
            <w:vAlign w:val="center"/>
            <w:hideMark/>
          </w:tcPr>
          <w:p w14:paraId="198E806C" w14:textId="77777777" w:rsidR="00EE5D67" w:rsidRPr="00EE5D67" w:rsidRDefault="00EE5D67" w:rsidP="00FA3B19">
            <w:pPr>
              <w:spacing w:after="0" w:line="240" w:lineRule="auto"/>
              <w:ind w:firstLineChars="100" w:firstLine="160"/>
              <w:rPr>
                <w:rFonts w:cs="Arial"/>
                <w:sz w:val="16"/>
                <w:szCs w:val="16"/>
              </w:rPr>
            </w:pPr>
            <w:r w:rsidRPr="00EE5D67">
              <w:rPr>
                <w:rFonts w:cs="Arial"/>
                <w:sz w:val="16"/>
                <w:szCs w:val="16"/>
              </w:rPr>
              <w:t>60 a více let</w:t>
            </w:r>
          </w:p>
        </w:tc>
        <w:tc>
          <w:tcPr>
            <w:tcW w:w="892" w:type="dxa"/>
            <w:tcBorders>
              <w:top w:val="nil"/>
              <w:left w:val="single" w:sz="4" w:space="0" w:color="auto"/>
              <w:bottom w:val="nil"/>
              <w:right w:val="nil"/>
            </w:tcBorders>
            <w:shd w:val="clear" w:color="000000" w:fill="FFFFFF"/>
            <w:vAlign w:val="center"/>
            <w:hideMark/>
          </w:tcPr>
          <w:p w14:paraId="0AE17DEA" w14:textId="77777777" w:rsidR="00EE5D67" w:rsidRPr="00EE5D67" w:rsidRDefault="00EE5D67" w:rsidP="00FA3B19">
            <w:pPr>
              <w:spacing w:after="0" w:line="240" w:lineRule="auto"/>
              <w:jc w:val="right"/>
              <w:rPr>
                <w:rFonts w:cs="Arial"/>
                <w:sz w:val="16"/>
                <w:szCs w:val="16"/>
              </w:rPr>
            </w:pPr>
            <w:r w:rsidRPr="00EE5D67">
              <w:rPr>
                <w:rFonts w:cs="Arial"/>
                <w:sz w:val="16"/>
                <w:szCs w:val="16"/>
              </w:rPr>
              <w:t>69 986</w:t>
            </w:r>
          </w:p>
        </w:tc>
        <w:tc>
          <w:tcPr>
            <w:tcW w:w="865" w:type="dxa"/>
            <w:tcBorders>
              <w:top w:val="nil"/>
              <w:left w:val="nil"/>
              <w:bottom w:val="nil"/>
              <w:right w:val="nil"/>
            </w:tcBorders>
            <w:shd w:val="clear" w:color="000000" w:fill="FFFFFF"/>
            <w:vAlign w:val="center"/>
            <w:hideMark/>
          </w:tcPr>
          <w:p w14:paraId="07A822D9" w14:textId="77777777" w:rsidR="00EE5D67" w:rsidRPr="00EE5D67" w:rsidRDefault="00EE5D67" w:rsidP="00FA3B19">
            <w:pPr>
              <w:spacing w:after="0" w:line="240" w:lineRule="auto"/>
              <w:jc w:val="right"/>
              <w:rPr>
                <w:rFonts w:cs="Arial"/>
                <w:sz w:val="16"/>
                <w:szCs w:val="16"/>
              </w:rPr>
            </w:pPr>
            <w:r w:rsidRPr="00EE5D67">
              <w:rPr>
                <w:rFonts w:cs="Arial"/>
                <w:sz w:val="16"/>
                <w:szCs w:val="16"/>
              </w:rPr>
              <w:t>40 698</w:t>
            </w:r>
          </w:p>
        </w:tc>
        <w:tc>
          <w:tcPr>
            <w:tcW w:w="869" w:type="dxa"/>
            <w:tcBorders>
              <w:top w:val="nil"/>
              <w:left w:val="nil"/>
              <w:bottom w:val="nil"/>
              <w:right w:val="nil"/>
            </w:tcBorders>
            <w:shd w:val="clear" w:color="000000" w:fill="FFFFFF"/>
            <w:vAlign w:val="center"/>
            <w:hideMark/>
          </w:tcPr>
          <w:p w14:paraId="584D9215" w14:textId="77777777" w:rsidR="00EE5D67" w:rsidRPr="00EE5D67" w:rsidRDefault="00EE5D67" w:rsidP="00FA3B19">
            <w:pPr>
              <w:spacing w:after="0" w:line="240" w:lineRule="auto"/>
              <w:jc w:val="right"/>
              <w:rPr>
                <w:rFonts w:cs="Arial"/>
                <w:sz w:val="16"/>
                <w:szCs w:val="16"/>
              </w:rPr>
            </w:pPr>
            <w:r w:rsidRPr="00EE5D67">
              <w:rPr>
                <w:rFonts w:cs="Arial"/>
                <w:sz w:val="16"/>
                <w:szCs w:val="16"/>
              </w:rPr>
              <w:t>29 288</w:t>
            </w:r>
          </w:p>
        </w:tc>
        <w:tc>
          <w:tcPr>
            <w:tcW w:w="1039" w:type="dxa"/>
            <w:gridSpan w:val="2"/>
            <w:tcBorders>
              <w:top w:val="nil"/>
              <w:left w:val="single" w:sz="4" w:space="0" w:color="auto"/>
              <w:bottom w:val="nil"/>
              <w:right w:val="nil"/>
            </w:tcBorders>
            <w:shd w:val="clear" w:color="000000" w:fill="FFFFFF"/>
            <w:vAlign w:val="center"/>
            <w:hideMark/>
          </w:tcPr>
          <w:p w14:paraId="32EA12C3" w14:textId="77777777" w:rsidR="00EE5D67" w:rsidRPr="00EE5D67" w:rsidRDefault="00EE5D67" w:rsidP="00FA3B19">
            <w:pPr>
              <w:spacing w:after="0" w:line="240" w:lineRule="auto"/>
              <w:jc w:val="right"/>
              <w:rPr>
                <w:rFonts w:cs="Arial"/>
                <w:sz w:val="16"/>
                <w:szCs w:val="16"/>
              </w:rPr>
            </w:pPr>
            <w:r w:rsidRPr="00EE5D67">
              <w:rPr>
                <w:rFonts w:cs="Arial"/>
                <w:sz w:val="16"/>
                <w:szCs w:val="16"/>
              </w:rPr>
              <w:t>4 529 499</w:t>
            </w:r>
          </w:p>
        </w:tc>
        <w:tc>
          <w:tcPr>
            <w:tcW w:w="982" w:type="dxa"/>
            <w:gridSpan w:val="2"/>
            <w:tcBorders>
              <w:top w:val="nil"/>
              <w:left w:val="nil"/>
              <w:bottom w:val="nil"/>
              <w:right w:val="nil"/>
            </w:tcBorders>
            <w:shd w:val="clear" w:color="000000" w:fill="FFFFFF"/>
            <w:vAlign w:val="center"/>
            <w:hideMark/>
          </w:tcPr>
          <w:p w14:paraId="58DE823A" w14:textId="77777777" w:rsidR="00EE5D67" w:rsidRPr="00EE5D67" w:rsidRDefault="00EE5D67" w:rsidP="00FA3B19">
            <w:pPr>
              <w:spacing w:after="0" w:line="240" w:lineRule="auto"/>
              <w:jc w:val="right"/>
              <w:rPr>
                <w:rFonts w:cs="Arial"/>
                <w:sz w:val="16"/>
                <w:szCs w:val="16"/>
              </w:rPr>
            </w:pPr>
            <w:r w:rsidRPr="00EE5D67">
              <w:rPr>
                <w:rFonts w:cs="Arial"/>
                <w:sz w:val="16"/>
                <w:szCs w:val="16"/>
              </w:rPr>
              <w:t>2 985 754</w:t>
            </w:r>
          </w:p>
        </w:tc>
        <w:tc>
          <w:tcPr>
            <w:tcW w:w="982" w:type="dxa"/>
            <w:gridSpan w:val="2"/>
            <w:tcBorders>
              <w:top w:val="nil"/>
              <w:left w:val="nil"/>
              <w:bottom w:val="nil"/>
              <w:right w:val="single" w:sz="4" w:space="0" w:color="auto"/>
            </w:tcBorders>
            <w:shd w:val="clear" w:color="000000" w:fill="FFFFFF"/>
            <w:vAlign w:val="center"/>
            <w:hideMark/>
          </w:tcPr>
          <w:p w14:paraId="6B36DE88" w14:textId="77777777" w:rsidR="00EE5D67" w:rsidRPr="00EE5D67" w:rsidRDefault="00EE5D67" w:rsidP="00FA3B19">
            <w:pPr>
              <w:spacing w:after="0" w:line="240" w:lineRule="auto"/>
              <w:jc w:val="right"/>
              <w:rPr>
                <w:rFonts w:cs="Arial"/>
                <w:sz w:val="16"/>
                <w:szCs w:val="16"/>
              </w:rPr>
            </w:pPr>
            <w:r w:rsidRPr="00EE5D67">
              <w:rPr>
                <w:rFonts w:cs="Arial"/>
                <w:sz w:val="16"/>
                <w:szCs w:val="16"/>
              </w:rPr>
              <w:t>1 543 745</w:t>
            </w:r>
          </w:p>
        </w:tc>
        <w:tc>
          <w:tcPr>
            <w:tcW w:w="936" w:type="dxa"/>
            <w:gridSpan w:val="2"/>
            <w:tcBorders>
              <w:top w:val="nil"/>
              <w:left w:val="nil"/>
              <w:bottom w:val="nil"/>
              <w:right w:val="nil"/>
            </w:tcBorders>
            <w:shd w:val="clear" w:color="000000" w:fill="FFFFFF"/>
            <w:vAlign w:val="center"/>
            <w:hideMark/>
          </w:tcPr>
          <w:p w14:paraId="33040417" w14:textId="77777777" w:rsidR="00EE5D67" w:rsidRPr="00EE5D67" w:rsidRDefault="00EE5D67" w:rsidP="00FA3B19">
            <w:pPr>
              <w:spacing w:after="0" w:line="240" w:lineRule="auto"/>
              <w:jc w:val="right"/>
              <w:rPr>
                <w:rFonts w:cs="Arial"/>
                <w:sz w:val="16"/>
                <w:szCs w:val="16"/>
              </w:rPr>
            </w:pPr>
            <w:r w:rsidRPr="00EE5D67">
              <w:rPr>
                <w:rFonts w:cs="Arial"/>
                <w:sz w:val="16"/>
                <w:szCs w:val="16"/>
              </w:rPr>
              <w:t>64,72</w:t>
            </w:r>
          </w:p>
        </w:tc>
        <w:tc>
          <w:tcPr>
            <w:tcW w:w="936" w:type="dxa"/>
            <w:gridSpan w:val="2"/>
            <w:tcBorders>
              <w:top w:val="nil"/>
              <w:left w:val="nil"/>
              <w:bottom w:val="nil"/>
              <w:right w:val="nil"/>
            </w:tcBorders>
            <w:shd w:val="clear" w:color="000000" w:fill="FFFFFF"/>
            <w:vAlign w:val="center"/>
            <w:hideMark/>
          </w:tcPr>
          <w:p w14:paraId="3C1DA36C" w14:textId="77777777" w:rsidR="00EE5D67" w:rsidRPr="00EE5D67" w:rsidRDefault="00EE5D67" w:rsidP="00FA3B19">
            <w:pPr>
              <w:spacing w:after="0" w:line="240" w:lineRule="auto"/>
              <w:jc w:val="right"/>
              <w:rPr>
                <w:rFonts w:cs="Arial"/>
                <w:sz w:val="16"/>
                <w:szCs w:val="16"/>
              </w:rPr>
            </w:pPr>
            <w:r w:rsidRPr="00EE5D67">
              <w:rPr>
                <w:rFonts w:cs="Arial"/>
                <w:sz w:val="16"/>
                <w:szCs w:val="16"/>
              </w:rPr>
              <w:t>73,36</w:t>
            </w:r>
          </w:p>
        </w:tc>
        <w:tc>
          <w:tcPr>
            <w:tcW w:w="939" w:type="dxa"/>
            <w:gridSpan w:val="4"/>
            <w:tcBorders>
              <w:top w:val="nil"/>
              <w:left w:val="nil"/>
              <w:bottom w:val="nil"/>
              <w:right w:val="nil"/>
            </w:tcBorders>
            <w:shd w:val="clear" w:color="000000" w:fill="FFFFFF"/>
            <w:vAlign w:val="center"/>
            <w:hideMark/>
          </w:tcPr>
          <w:p w14:paraId="5813417F" w14:textId="77777777" w:rsidR="00EE5D67" w:rsidRPr="00EE5D67" w:rsidRDefault="00EE5D67" w:rsidP="00FA3B19">
            <w:pPr>
              <w:spacing w:after="0" w:line="240" w:lineRule="auto"/>
              <w:jc w:val="right"/>
              <w:rPr>
                <w:rFonts w:cs="Arial"/>
                <w:sz w:val="16"/>
                <w:szCs w:val="16"/>
              </w:rPr>
            </w:pPr>
            <w:r w:rsidRPr="00EE5D67">
              <w:rPr>
                <w:rFonts w:cs="Arial"/>
                <w:sz w:val="16"/>
                <w:szCs w:val="16"/>
              </w:rPr>
              <w:t>52,71</w:t>
            </w:r>
          </w:p>
        </w:tc>
      </w:tr>
      <w:tr w:rsidR="00EE5D67" w:rsidRPr="00EE5D67" w14:paraId="18A33F39" w14:textId="77777777" w:rsidTr="005A3F7E">
        <w:trPr>
          <w:gridAfter w:val="1"/>
          <w:divId w:val="283998286"/>
          <w:wAfter w:w="35" w:type="dxa"/>
          <w:trHeight w:val="305"/>
        </w:trPr>
        <w:tc>
          <w:tcPr>
            <w:tcW w:w="1214" w:type="dxa"/>
            <w:tcBorders>
              <w:top w:val="nil"/>
              <w:left w:val="nil"/>
              <w:bottom w:val="nil"/>
              <w:right w:val="nil"/>
            </w:tcBorders>
            <w:shd w:val="clear" w:color="000000" w:fill="FFFFFF"/>
            <w:noWrap/>
            <w:vAlign w:val="bottom"/>
            <w:hideMark/>
          </w:tcPr>
          <w:p w14:paraId="0FA6BEB8" w14:textId="77777777" w:rsidR="00EE5D67" w:rsidRPr="00EE5D67" w:rsidRDefault="00EE5D67" w:rsidP="00EE5D67">
            <w:pPr>
              <w:spacing w:after="0" w:line="240" w:lineRule="auto"/>
              <w:rPr>
                <w:rFonts w:cs="Arial"/>
                <w:sz w:val="16"/>
                <w:szCs w:val="16"/>
              </w:rPr>
            </w:pPr>
            <w:r w:rsidRPr="00EE5D67">
              <w:rPr>
                <w:rFonts w:cs="Arial"/>
                <w:sz w:val="16"/>
                <w:szCs w:val="16"/>
              </w:rPr>
              <w:t> </w:t>
            </w:r>
          </w:p>
        </w:tc>
        <w:tc>
          <w:tcPr>
            <w:tcW w:w="8405" w:type="dxa"/>
            <w:gridSpan w:val="16"/>
            <w:tcBorders>
              <w:top w:val="single" w:sz="4" w:space="0" w:color="auto"/>
              <w:left w:val="single" w:sz="4" w:space="0" w:color="auto"/>
              <w:bottom w:val="single" w:sz="4" w:space="0" w:color="auto"/>
              <w:right w:val="nil"/>
            </w:tcBorders>
            <w:shd w:val="clear" w:color="000000" w:fill="FFFFFF"/>
            <w:vAlign w:val="center"/>
            <w:hideMark/>
          </w:tcPr>
          <w:p w14:paraId="0AEF47D4" w14:textId="77777777" w:rsidR="00EE5D67" w:rsidRPr="00EE5D67" w:rsidRDefault="00EE5D67" w:rsidP="005A3F7E">
            <w:pPr>
              <w:spacing w:after="0" w:line="240" w:lineRule="auto"/>
              <w:jc w:val="center"/>
              <w:rPr>
                <w:rFonts w:ascii="Arial CE" w:hAnsi="Arial CE" w:cs="Arial CE"/>
                <w:sz w:val="16"/>
                <w:szCs w:val="16"/>
              </w:rPr>
            </w:pPr>
            <w:r w:rsidRPr="00EE5D67">
              <w:rPr>
                <w:rFonts w:ascii="Arial CE" w:hAnsi="Arial CE" w:cs="Arial CE"/>
                <w:sz w:val="16"/>
                <w:szCs w:val="16"/>
              </w:rPr>
              <w:t>1. pol. 2018</w:t>
            </w:r>
          </w:p>
        </w:tc>
      </w:tr>
      <w:tr w:rsidR="00EE5D67" w:rsidRPr="00EE5D67" w14:paraId="3747501B" w14:textId="77777777" w:rsidTr="00FA3B19">
        <w:trPr>
          <w:divId w:val="283998286"/>
          <w:trHeight w:val="305"/>
        </w:trPr>
        <w:tc>
          <w:tcPr>
            <w:tcW w:w="1214" w:type="dxa"/>
            <w:tcBorders>
              <w:top w:val="nil"/>
              <w:left w:val="nil"/>
              <w:bottom w:val="nil"/>
              <w:right w:val="single" w:sz="4" w:space="0" w:color="auto"/>
            </w:tcBorders>
            <w:shd w:val="clear" w:color="000000" w:fill="FFFFFF"/>
            <w:vAlign w:val="center"/>
            <w:hideMark/>
          </w:tcPr>
          <w:p w14:paraId="49BD31D1" w14:textId="34F19FFE" w:rsidR="00EE5D67" w:rsidRPr="00EE5D67" w:rsidRDefault="00244622" w:rsidP="00FA3B19">
            <w:pPr>
              <w:spacing w:after="0" w:line="240" w:lineRule="auto"/>
              <w:rPr>
                <w:rFonts w:cs="Arial"/>
                <w:b/>
                <w:bCs/>
                <w:sz w:val="16"/>
                <w:szCs w:val="16"/>
              </w:rPr>
            </w:pPr>
            <w:r>
              <w:rPr>
                <w:rFonts w:cs="Arial"/>
                <w:b/>
                <w:bCs/>
                <w:sz w:val="16"/>
                <w:szCs w:val="16"/>
              </w:rPr>
              <w:t>C</w:t>
            </w:r>
            <w:r w:rsidR="00EE5D67" w:rsidRPr="00EE5D67">
              <w:rPr>
                <w:rFonts w:cs="Arial"/>
                <w:b/>
                <w:bCs/>
                <w:sz w:val="16"/>
                <w:szCs w:val="16"/>
              </w:rPr>
              <w:t>elkem</w:t>
            </w:r>
          </w:p>
        </w:tc>
        <w:tc>
          <w:tcPr>
            <w:tcW w:w="892" w:type="dxa"/>
            <w:tcBorders>
              <w:top w:val="nil"/>
              <w:left w:val="single" w:sz="4" w:space="0" w:color="auto"/>
              <w:bottom w:val="nil"/>
              <w:right w:val="nil"/>
            </w:tcBorders>
            <w:shd w:val="clear" w:color="000000" w:fill="FFFFFF"/>
            <w:vAlign w:val="center"/>
            <w:hideMark/>
          </w:tcPr>
          <w:p w14:paraId="7A2CFD08"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1 013 791</w:t>
            </w:r>
          </w:p>
        </w:tc>
        <w:tc>
          <w:tcPr>
            <w:tcW w:w="865" w:type="dxa"/>
            <w:tcBorders>
              <w:top w:val="nil"/>
              <w:left w:val="nil"/>
              <w:bottom w:val="nil"/>
              <w:right w:val="nil"/>
            </w:tcBorders>
            <w:shd w:val="clear" w:color="000000" w:fill="FFFFFF"/>
            <w:vAlign w:val="center"/>
            <w:hideMark/>
          </w:tcPr>
          <w:p w14:paraId="2AF42181"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471 646</w:t>
            </w:r>
          </w:p>
        </w:tc>
        <w:tc>
          <w:tcPr>
            <w:tcW w:w="869" w:type="dxa"/>
            <w:tcBorders>
              <w:top w:val="nil"/>
              <w:left w:val="nil"/>
              <w:bottom w:val="nil"/>
              <w:right w:val="single" w:sz="4" w:space="0" w:color="auto"/>
            </w:tcBorders>
            <w:shd w:val="clear" w:color="000000" w:fill="FFFFFF"/>
            <w:vAlign w:val="center"/>
            <w:hideMark/>
          </w:tcPr>
          <w:p w14:paraId="72B6269B"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542 145</w:t>
            </w:r>
          </w:p>
        </w:tc>
        <w:tc>
          <w:tcPr>
            <w:tcW w:w="1039" w:type="dxa"/>
            <w:gridSpan w:val="2"/>
            <w:tcBorders>
              <w:top w:val="nil"/>
              <w:left w:val="nil"/>
              <w:bottom w:val="nil"/>
              <w:right w:val="nil"/>
            </w:tcBorders>
            <w:shd w:val="clear" w:color="000000" w:fill="FFFFFF"/>
            <w:noWrap/>
            <w:vAlign w:val="center"/>
            <w:hideMark/>
          </w:tcPr>
          <w:p w14:paraId="50F3F2DB"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38 286 512</w:t>
            </w:r>
          </w:p>
        </w:tc>
        <w:tc>
          <w:tcPr>
            <w:tcW w:w="982" w:type="dxa"/>
            <w:gridSpan w:val="2"/>
            <w:tcBorders>
              <w:top w:val="nil"/>
              <w:left w:val="nil"/>
              <w:bottom w:val="nil"/>
              <w:right w:val="nil"/>
            </w:tcBorders>
            <w:shd w:val="clear" w:color="000000" w:fill="FFFFFF"/>
            <w:noWrap/>
            <w:vAlign w:val="center"/>
            <w:hideMark/>
          </w:tcPr>
          <w:p w14:paraId="39B8A0CA"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17 174 798</w:t>
            </w:r>
          </w:p>
        </w:tc>
        <w:tc>
          <w:tcPr>
            <w:tcW w:w="982" w:type="dxa"/>
            <w:gridSpan w:val="2"/>
            <w:tcBorders>
              <w:top w:val="nil"/>
              <w:left w:val="nil"/>
              <w:bottom w:val="nil"/>
              <w:right w:val="single" w:sz="4" w:space="0" w:color="auto"/>
            </w:tcBorders>
            <w:shd w:val="clear" w:color="000000" w:fill="FFFFFF"/>
            <w:noWrap/>
            <w:vAlign w:val="center"/>
            <w:hideMark/>
          </w:tcPr>
          <w:p w14:paraId="7AFD2811"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21 111 714</w:t>
            </w:r>
          </w:p>
        </w:tc>
        <w:tc>
          <w:tcPr>
            <w:tcW w:w="936" w:type="dxa"/>
            <w:gridSpan w:val="2"/>
            <w:tcBorders>
              <w:top w:val="nil"/>
              <w:left w:val="nil"/>
              <w:bottom w:val="nil"/>
              <w:right w:val="nil"/>
            </w:tcBorders>
            <w:shd w:val="clear" w:color="000000" w:fill="FFFFFF"/>
            <w:vAlign w:val="center"/>
            <w:hideMark/>
          </w:tcPr>
          <w:p w14:paraId="5CF70757"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37,77</w:t>
            </w:r>
          </w:p>
        </w:tc>
        <w:tc>
          <w:tcPr>
            <w:tcW w:w="936" w:type="dxa"/>
            <w:gridSpan w:val="2"/>
            <w:tcBorders>
              <w:top w:val="nil"/>
              <w:left w:val="nil"/>
              <w:bottom w:val="nil"/>
              <w:right w:val="nil"/>
            </w:tcBorders>
            <w:shd w:val="clear" w:color="000000" w:fill="FFFFFF"/>
            <w:vAlign w:val="center"/>
            <w:hideMark/>
          </w:tcPr>
          <w:p w14:paraId="0BE1757E"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36,41</w:t>
            </w:r>
          </w:p>
        </w:tc>
        <w:tc>
          <w:tcPr>
            <w:tcW w:w="939" w:type="dxa"/>
            <w:gridSpan w:val="4"/>
            <w:tcBorders>
              <w:top w:val="nil"/>
              <w:left w:val="nil"/>
              <w:bottom w:val="nil"/>
              <w:right w:val="nil"/>
            </w:tcBorders>
            <w:shd w:val="clear" w:color="000000" w:fill="FFFFFF"/>
            <w:vAlign w:val="center"/>
            <w:hideMark/>
          </w:tcPr>
          <w:p w14:paraId="636510ED"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38,94</w:t>
            </w:r>
          </w:p>
        </w:tc>
      </w:tr>
      <w:tr w:rsidR="00EE5D67" w:rsidRPr="00EE5D67" w14:paraId="7D0B0FA3" w14:textId="77777777" w:rsidTr="00FA3B19">
        <w:trPr>
          <w:divId w:val="283998286"/>
          <w:trHeight w:val="305"/>
        </w:trPr>
        <w:tc>
          <w:tcPr>
            <w:tcW w:w="1214" w:type="dxa"/>
            <w:tcBorders>
              <w:top w:val="nil"/>
              <w:left w:val="nil"/>
              <w:bottom w:val="nil"/>
              <w:right w:val="single" w:sz="4" w:space="0" w:color="auto"/>
            </w:tcBorders>
            <w:shd w:val="clear" w:color="000000" w:fill="FFFFFF"/>
            <w:vAlign w:val="center"/>
            <w:hideMark/>
          </w:tcPr>
          <w:p w14:paraId="45D8E6E3" w14:textId="77777777" w:rsidR="00EE5D67" w:rsidRPr="00EE5D67" w:rsidRDefault="00EE5D67" w:rsidP="00FA3B19">
            <w:pPr>
              <w:spacing w:after="0" w:line="240" w:lineRule="auto"/>
              <w:ind w:firstLineChars="100" w:firstLine="160"/>
              <w:rPr>
                <w:rFonts w:cs="Arial"/>
                <w:sz w:val="16"/>
                <w:szCs w:val="16"/>
              </w:rPr>
            </w:pPr>
            <w:r w:rsidRPr="00EE5D67">
              <w:rPr>
                <w:rFonts w:cs="Arial"/>
                <w:sz w:val="16"/>
                <w:szCs w:val="16"/>
              </w:rPr>
              <w:t>do 20 let</w:t>
            </w:r>
          </w:p>
        </w:tc>
        <w:tc>
          <w:tcPr>
            <w:tcW w:w="892" w:type="dxa"/>
            <w:tcBorders>
              <w:top w:val="nil"/>
              <w:left w:val="single" w:sz="4" w:space="0" w:color="auto"/>
              <w:bottom w:val="nil"/>
              <w:right w:val="nil"/>
            </w:tcBorders>
            <w:shd w:val="clear" w:color="000000" w:fill="FFFFFF"/>
            <w:vAlign w:val="center"/>
            <w:hideMark/>
          </w:tcPr>
          <w:p w14:paraId="2D1E6C75" w14:textId="77777777" w:rsidR="00EE5D67" w:rsidRPr="00EE5D67" w:rsidRDefault="00EE5D67" w:rsidP="00FA3B19">
            <w:pPr>
              <w:spacing w:after="0" w:line="240" w:lineRule="auto"/>
              <w:jc w:val="right"/>
              <w:rPr>
                <w:rFonts w:cs="Arial"/>
                <w:sz w:val="16"/>
                <w:szCs w:val="16"/>
              </w:rPr>
            </w:pPr>
            <w:r w:rsidRPr="00EE5D67">
              <w:rPr>
                <w:rFonts w:cs="Arial"/>
                <w:sz w:val="16"/>
                <w:szCs w:val="16"/>
              </w:rPr>
              <w:t>13 920</w:t>
            </w:r>
          </w:p>
        </w:tc>
        <w:tc>
          <w:tcPr>
            <w:tcW w:w="865" w:type="dxa"/>
            <w:tcBorders>
              <w:top w:val="nil"/>
              <w:left w:val="nil"/>
              <w:bottom w:val="nil"/>
              <w:right w:val="nil"/>
            </w:tcBorders>
            <w:shd w:val="clear" w:color="000000" w:fill="FFFFFF"/>
            <w:vAlign w:val="center"/>
            <w:hideMark/>
          </w:tcPr>
          <w:p w14:paraId="03337DC1" w14:textId="77777777" w:rsidR="00EE5D67" w:rsidRPr="00EE5D67" w:rsidRDefault="00EE5D67" w:rsidP="00FA3B19">
            <w:pPr>
              <w:spacing w:after="0" w:line="240" w:lineRule="auto"/>
              <w:jc w:val="right"/>
              <w:rPr>
                <w:rFonts w:cs="Arial"/>
                <w:sz w:val="16"/>
                <w:szCs w:val="16"/>
              </w:rPr>
            </w:pPr>
            <w:r w:rsidRPr="00EE5D67">
              <w:rPr>
                <w:rFonts w:cs="Arial"/>
                <w:sz w:val="16"/>
                <w:szCs w:val="16"/>
              </w:rPr>
              <w:t>7 666</w:t>
            </w:r>
          </w:p>
        </w:tc>
        <w:tc>
          <w:tcPr>
            <w:tcW w:w="869" w:type="dxa"/>
            <w:tcBorders>
              <w:top w:val="nil"/>
              <w:left w:val="nil"/>
              <w:bottom w:val="nil"/>
              <w:right w:val="single" w:sz="4" w:space="0" w:color="auto"/>
            </w:tcBorders>
            <w:shd w:val="clear" w:color="000000" w:fill="FFFFFF"/>
            <w:vAlign w:val="center"/>
            <w:hideMark/>
          </w:tcPr>
          <w:p w14:paraId="696BFFE5" w14:textId="77777777" w:rsidR="00EE5D67" w:rsidRPr="00EE5D67" w:rsidRDefault="00EE5D67" w:rsidP="00FA3B19">
            <w:pPr>
              <w:spacing w:after="0" w:line="240" w:lineRule="auto"/>
              <w:jc w:val="right"/>
              <w:rPr>
                <w:rFonts w:cs="Arial"/>
                <w:sz w:val="16"/>
                <w:szCs w:val="16"/>
              </w:rPr>
            </w:pPr>
            <w:r w:rsidRPr="00EE5D67">
              <w:rPr>
                <w:rFonts w:cs="Arial"/>
                <w:sz w:val="16"/>
                <w:szCs w:val="16"/>
              </w:rPr>
              <w:t>6 254</w:t>
            </w:r>
          </w:p>
        </w:tc>
        <w:tc>
          <w:tcPr>
            <w:tcW w:w="1039" w:type="dxa"/>
            <w:gridSpan w:val="2"/>
            <w:tcBorders>
              <w:top w:val="nil"/>
              <w:left w:val="nil"/>
              <w:bottom w:val="nil"/>
              <w:right w:val="nil"/>
            </w:tcBorders>
            <w:shd w:val="clear" w:color="000000" w:fill="FFFFFF"/>
            <w:noWrap/>
            <w:vAlign w:val="center"/>
            <w:hideMark/>
          </w:tcPr>
          <w:p w14:paraId="6F44E987" w14:textId="77777777" w:rsidR="00EE5D67" w:rsidRPr="00EE5D67" w:rsidRDefault="00EE5D67" w:rsidP="00FA3B19">
            <w:pPr>
              <w:spacing w:after="0" w:line="240" w:lineRule="auto"/>
              <w:jc w:val="right"/>
              <w:rPr>
                <w:rFonts w:cs="Arial"/>
                <w:sz w:val="16"/>
                <w:szCs w:val="16"/>
              </w:rPr>
            </w:pPr>
            <w:r w:rsidRPr="00EE5D67">
              <w:rPr>
                <w:rFonts w:cs="Arial"/>
                <w:sz w:val="16"/>
                <w:szCs w:val="16"/>
              </w:rPr>
              <w:t>238 179</w:t>
            </w:r>
          </w:p>
        </w:tc>
        <w:tc>
          <w:tcPr>
            <w:tcW w:w="982" w:type="dxa"/>
            <w:gridSpan w:val="2"/>
            <w:tcBorders>
              <w:top w:val="nil"/>
              <w:left w:val="nil"/>
              <w:bottom w:val="nil"/>
              <w:right w:val="nil"/>
            </w:tcBorders>
            <w:shd w:val="clear" w:color="000000" w:fill="FFFFFF"/>
            <w:noWrap/>
            <w:vAlign w:val="center"/>
            <w:hideMark/>
          </w:tcPr>
          <w:p w14:paraId="41BFE21E" w14:textId="77777777" w:rsidR="00EE5D67" w:rsidRPr="00EE5D67" w:rsidRDefault="00EE5D67" w:rsidP="00FA3B19">
            <w:pPr>
              <w:spacing w:after="0" w:line="240" w:lineRule="auto"/>
              <w:jc w:val="right"/>
              <w:rPr>
                <w:rFonts w:cs="Arial"/>
                <w:sz w:val="16"/>
                <w:szCs w:val="16"/>
              </w:rPr>
            </w:pPr>
            <w:r w:rsidRPr="00EE5D67">
              <w:rPr>
                <w:rFonts w:cs="Arial"/>
                <w:sz w:val="16"/>
                <w:szCs w:val="16"/>
              </w:rPr>
              <w:t>116 304</w:t>
            </w:r>
          </w:p>
        </w:tc>
        <w:tc>
          <w:tcPr>
            <w:tcW w:w="982" w:type="dxa"/>
            <w:gridSpan w:val="2"/>
            <w:tcBorders>
              <w:top w:val="nil"/>
              <w:left w:val="nil"/>
              <w:bottom w:val="nil"/>
              <w:right w:val="single" w:sz="4" w:space="0" w:color="auto"/>
            </w:tcBorders>
            <w:shd w:val="clear" w:color="000000" w:fill="FFFFFF"/>
            <w:noWrap/>
            <w:vAlign w:val="center"/>
            <w:hideMark/>
          </w:tcPr>
          <w:p w14:paraId="79527F52" w14:textId="77777777" w:rsidR="00EE5D67" w:rsidRPr="00EE5D67" w:rsidRDefault="00EE5D67" w:rsidP="00FA3B19">
            <w:pPr>
              <w:spacing w:after="0" w:line="240" w:lineRule="auto"/>
              <w:jc w:val="right"/>
              <w:rPr>
                <w:rFonts w:cs="Arial"/>
                <w:sz w:val="16"/>
                <w:szCs w:val="16"/>
              </w:rPr>
            </w:pPr>
            <w:r w:rsidRPr="00EE5D67">
              <w:rPr>
                <w:rFonts w:cs="Arial"/>
                <w:sz w:val="16"/>
                <w:szCs w:val="16"/>
              </w:rPr>
              <w:t>121 875</w:t>
            </w:r>
          </w:p>
        </w:tc>
        <w:tc>
          <w:tcPr>
            <w:tcW w:w="936" w:type="dxa"/>
            <w:gridSpan w:val="2"/>
            <w:tcBorders>
              <w:top w:val="nil"/>
              <w:left w:val="nil"/>
              <w:bottom w:val="nil"/>
              <w:right w:val="nil"/>
            </w:tcBorders>
            <w:shd w:val="clear" w:color="000000" w:fill="FFFFFF"/>
            <w:vAlign w:val="center"/>
            <w:hideMark/>
          </w:tcPr>
          <w:p w14:paraId="6CEB789A" w14:textId="77777777" w:rsidR="00EE5D67" w:rsidRPr="00EE5D67" w:rsidRDefault="00EE5D67" w:rsidP="00FA3B19">
            <w:pPr>
              <w:spacing w:after="0" w:line="240" w:lineRule="auto"/>
              <w:jc w:val="right"/>
              <w:rPr>
                <w:rFonts w:cs="Arial"/>
                <w:sz w:val="16"/>
                <w:szCs w:val="16"/>
              </w:rPr>
            </w:pPr>
            <w:r w:rsidRPr="00EE5D67">
              <w:rPr>
                <w:rFonts w:cs="Arial"/>
                <w:sz w:val="16"/>
                <w:szCs w:val="16"/>
              </w:rPr>
              <w:t>17,11</w:t>
            </w:r>
          </w:p>
        </w:tc>
        <w:tc>
          <w:tcPr>
            <w:tcW w:w="936" w:type="dxa"/>
            <w:gridSpan w:val="2"/>
            <w:tcBorders>
              <w:top w:val="nil"/>
              <w:left w:val="nil"/>
              <w:bottom w:val="nil"/>
              <w:right w:val="nil"/>
            </w:tcBorders>
            <w:shd w:val="clear" w:color="000000" w:fill="FFFFFF"/>
            <w:vAlign w:val="center"/>
            <w:hideMark/>
          </w:tcPr>
          <w:p w14:paraId="207EAA0D" w14:textId="77777777" w:rsidR="00EE5D67" w:rsidRPr="00EE5D67" w:rsidRDefault="00EE5D67" w:rsidP="00FA3B19">
            <w:pPr>
              <w:spacing w:after="0" w:line="240" w:lineRule="auto"/>
              <w:jc w:val="right"/>
              <w:rPr>
                <w:rFonts w:cs="Arial"/>
                <w:sz w:val="16"/>
                <w:szCs w:val="16"/>
              </w:rPr>
            </w:pPr>
            <w:r w:rsidRPr="00EE5D67">
              <w:rPr>
                <w:rFonts w:cs="Arial"/>
                <w:sz w:val="16"/>
                <w:szCs w:val="16"/>
              </w:rPr>
              <w:t>15,17</w:t>
            </w:r>
          </w:p>
        </w:tc>
        <w:tc>
          <w:tcPr>
            <w:tcW w:w="939" w:type="dxa"/>
            <w:gridSpan w:val="4"/>
            <w:tcBorders>
              <w:top w:val="nil"/>
              <w:left w:val="nil"/>
              <w:bottom w:val="nil"/>
              <w:right w:val="nil"/>
            </w:tcBorders>
            <w:shd w:val="clear" w:color="000000" w:fill="FFFFFF"/>
            <w:vAlign w:val="center"/>
            <w:hideMark/>
          </w:tcPr>
          <w:p w14:paraId="364E832C" w14:textId="77777777" w:rsidR="00EE5D67" w:rsidRPr="00EE5D67" w:rsidRDefault="00EE5D67" w:rsidP="00FA3B19">
            <w:pPr>
              <w:spacing w:after="0" w:line="240" w:lineRule="auto"/>
              <w:jc w:val="right"/>
              <w:rPr>
                <w:rFonts w:cs="Arial"/>
                <w:sz w:val="16"/>
                <w:szCs w:val="16"/>
              </w:rPr>
            </w:pPr>
            <w:r w:rsidRPr="00EE5D67">
              <w:rPr>
                <w:rFonts w:cs="Arial"/>
                <w:sz w:val="16"/>
                <w:szCs w:val="16"/>
              </w:rPr>
              <w:t>19,49</w:t>
            </w:r>
          </w:p>
        </w:tc>
      </w:tr>
      <w:tr w:rsidR="00EE5D67" w:rsidRPr="00EE5D67" w14:paraId="0E820732" w14:textId="77777777" w:rsidTr="00FA3B19">
        <w:trPr>
          <w:divId w:val="283998286"/>
          <w:trHeight w:val="305"/>
        </w:trPr>
        <w:tc>
          <w:tcPr>
            <w:tcW w:w="1214" w:type="dxa"/>
            <w:tcBorders>
              <w:top w:val="nil"/>
              <w:left w:val="nil"/>
              <w:bottom w:val="nil"/>
              <w:right w:val="single" w:sz="4" w:space="0" w:color="auto"/>
            </w:tcBorders>
            <w:shd w:val="clear" w:color="000000" w:fill="FFFFFF"/>
            <w:vAlign w:val="center"/>
            <w:hideMark/>
          </w:tcPr>
          <w:p w14:paraId="2C63EC8F" w14:textId="77777777" w:rsidR="00EE5D67" w:rsidRPr="00EE5D67" w:rsidRDefault="00EE5D67" w:rsidP="00FA3B19">
            <w:pPr>
              <w:spacing w:after="0" w:line="240" w:lineRule="auto"/>
              <w:ind w:firstLineChars="100" w:firstLine="160"/>
              <w:rPr>
                <w:rFonts w:cs="Arial"/>
                <w:sz w:val="16"/>
                <w:szCs w:val="16"/>
              </w:rPr>
            </w:pPr>
            <w:r w:rsidRPr="00EE5D67">
              <w:rPr>
                <w:rFonts w:cs="Arial"/>
                <w:sz w:val="16"/>
                <w:szCs w:val="16"/>
              </w:rPr>
              <w:t>20–29 let</w:t>
            </w:r>
          </w:p>
        </w:tc>
        <w:tc>
          <w:tcPr>
            <w:tcW w:w="892" w:type="dxa"/>
            <w:tcBorders>
              <w:top w:val="nil"/>
              <w:left w:val="single" w:sz="4" w:space="0" w:color="auto"/>
              <w:bottom w:val="nil"/>
              <w:right w:val="nil"/>
            </w:tcBorders>
            <w:shd w:val="clear" w:color="000000" w:fill="FFFFFF"/>
            <w:vAlign w:val="center"/>
            <w:hideMark/>
          </w:tcPr>
          <w:p w14:paraId="1076E5AC" w14:textId="77777777" w:rsidR="00EE5D67" w:rsidRPr="00EE5D67" w:rsidRDefault="00EE5D67" w:rsidP="00FA3B19">
            <w:pPr>
              <w:spacing w:after="0" w:line="240" w:lineRule="auto"/>
              <w:jc w:val="right"/>
              <w:rPr>
                <w:rFonts w:cs="Arial"/>
                <w:sz w:val="16"/>
                <w:szCs w:val="16"/>
              </w:rPr>
            </w:pPr>
            <w:r w:rsidRPr="00EE5D67">
              <w:rPr>
                <w:rFonts w:cs="Arial"/>
                <w:sz w:val="16"/>
                <w:szCs w:val="16"/>
              </w:rPr>
              <w:t>208 523</w:t>
            </w:r>
          </w:p>
        </w:tc>
        <w:tc>
          <w:tcPr>
            <w:tcW w:w="865" w:type="dxa"/>
            <w:tcBorders>
              <w:top w:val="nil"/>
              <w:left w:val="nil"/>
              <w:bottom w:val="nil"/>
              <w:right w:val="nil"/>
            </w:tcBorders>
            <w:shd w:val="clear" w:color="000000" w:fill="FFFFFF"/>
            <w:vAlign w:val="center"/>
            <w:hideMark/>
          </w:tcPr>
          <w:p w14:paraId="3C55A20B" w14:textId="77777777" w:rsidR="00EE5D67" w:rsidRPr="00EE5D67" w:rsidRDefault="00EE5D67" w:rsidP="00FA3B19">
            <w:pPr>
              <w:spacing w:after="0" w:line="240" w:lineRule="auto"/>
              <w:jc w:val="right"/>
              <w:rPr>
                <w:rFonts w:cs="Arial"/>
                <w:sz w:val="16"/>
                <w:szCs w:val="16"/>
              </w:rPr>
            </w:pPr>
            <w:r w:rsidRPr="00EE5D67">
              <w:rPr>
                <w:rFonts w:cs="Arial"/>
                <w:sz w:val="16"/>
                <w:szCs w:val="16"/>
              </w:rPr>
              <w:t>109 478</w:t>
            </w:r>
          </w:p>
        </w:tc>
        <w:tc>
          <w:tcPr>
            <w:tcW w:w="869" w:type="dxa"/>
            <w:tcBorders>
              <w:top w:val="nil"/>
              <w:left w:val="nil"/>
              <w:bottom w:val="nil"/>
              <w:right w:val="single" w:sz="4" w:space="0" w:color="auto"/>
            </w:tcBorders>
            <w:shd w:val="clear" w:color="000000" w:fill="FFFFFF"/>
            <w:vAlign w:val="center"/>
            <w:hideMark/>
          </w:tcPr>
          <w:p w14:paraId="3C36606E" w14:textId="77777777" w:rsidR="00EE5D67" w:rsidRPr="00EE5D67" w:rsidRDefault="00EE5D67" w:rsidP="00FA3B19">
            <w:pPr>
              <w:spacing w:after="0" w:line="240" w:lineRule="auto"/>
              <w:jc w:val="right"/>
              <w:rPr>
                <w:rFonts w:cs="Arial"/>
                <w:sz w:val="16"/>
                <w:szCs w:val="16"/>
              </w:rPr>
            </w:pPr>
            <w:r w:rsidRPr="00EE5D67">
              <w:rPr>
                <w:rFonts w:cs="Arial"/>
                <w:sz w:val="16"/>
                <w:szCs w:val="16"/>
              </w:rPr>
              <w:t>99 045</w:t>
            </w:r>
          </w:p>
        </w:tc>
        <w:tc>
          <w:tcPr>
            <w:tcW w:w="1039" w:type="dxa"/>
            <w:gridSpan w:val="2"/>
            <w:tcBorders>
              <w:top w:val="nil"/>
              <w:left w:val="nil"/>
              <w:bottom w:val="nil"/>
              <w:right w:val="nil"/>
            </w:tcBorders>
            <w:shd w:val="clear" w:color="000000" w:fill="FFFFFF"/>
            <w:noWrap/>
            <w:vAlign w:val="center"/>
            <w:hideMark/>
          </w:tcPr>
          <w:p w14:paraId="0D1E2D09" w14:textId="77777777" w:rsidR="00EE5D67" w:rsidRPr="00EE5D67" w:rsidRDefault="00EE5D67" w:rsidP="00FA3B19">
            <w:pPr>
              <w:spacing w:after="0" w:line="240" w:lineRule="auto"/>
              <w:jc w:val="right"/>
              <w:rPr>
                <w:rFonts w:cs="Arial"/>
                <w:sz w:val="16"/>
                <w:szCs w:val="16"/>
              </w:rPr>
            </w:pPr>
            <w:r w:rsidRPr="00EE5D67">
              <w:rPr>
                <w:rFonts w:cs="Arial"/>
                <w:sz w:val="16"/>
                <w:szCs w:val="16"/>
              </w:rPr>
              <w:t>5 301 341</w:t>
            </w:r>
          </w:p>
        </w:tc>
        <w:tc>
          <w:tcPr>
            <w:tcW w:w="982" w:type="dxa"/>
            <w:gridSpan w:val="2"/>
            <w:tcBorders>
              <w:top w:val="nil"/>
              <w:left w:val="nil"/>
              <w:bottom w:val="nil"/>
              <w:right w:val="nil"/>
            </w:tcBorders>
            <w:shd w:val="clear" w:color="000000" w:fill="FFFFFF"/>
            <w:noWrap/>
            <w:vAlign w:val="center"/>
            <w:hideMark/>
          </w:tcPr>
          <w:p w14:paraId="59B27A46" w14:textId="77777777" w:rsidR="00EE5D67" w:rsidRPr="00EE5D67" w:rsidRDefault="00EE5D67" w:rsidP="00FA3B19">
            <w:pPr>
              <w:spacing w:after="0" w:line="240" w:lineRule="auto"/>
              <w:jc w:val="right"/>
              <w:rPr>
                <w:rFonts w:cs="Arial"/>
                <w:sz w:val="16"/>
                <w:szCs w:val="16"/>
              </w:rPr>
            </w:pPr>
            <w:r w:rsidRPr="00EE5D67">
              <w:rPr>
                <w:rFonts w:cs="Arial"/>
                <w:sz w:val="16"/>
                <w:szCs w:val="16"/>
              </w:rPr>
              <w:t>2 248 714</w:t>
            </w:r>
          </w:p>
        </w:tc>
        <w:tc>
          <w:tcPr>
            <w:tcW w:w="982" w:type="dxa"/>
            <w:gridSpan w:val="2"/>
            <w:tcBorders>
              <w:top w:val="nil"/>
              <w:left w:val="nil"/>
              <w:bottom w:val="nil"/>
              <w:right w:val="single" w:sz="4" w:space="0" w:color="auto"/>
            </w:tcBorders>
            <w:shd w:val="clear" w:color="000000" w:fill="FFFFFF"/>
            <w:noWrap/>
            <w:vAlign w:val="center"/>
            <w:hideMark/>
          </w:tcPr>
          <w:p w14:paraId="2F09BEA0" w14:textId="77777777" w:rsidR="00EE5D67" w:rsidRPr="00EE5D67" w:rsidRDefault="00EE5D67" w:rsidP="00FA3B19">
            <w:pPr>
              <w:spacing w:after="0" w:line="240" w:lineRule="auto"/>
              <w:jc w:val="right"/>
              <w:rPr>
                <w:rFonts w:cs="Arial"/>
                <w:sz w:val="16"/>
                <w:szCs w:val="16"/>
              </w:rPr>
            </w:pPr>
            <w:r w:rsidRPr="00EE5D67">
              <w:rPr>
                <w:rFonts w:cs="Arial"/>
                <w:sz w:val="16"/>
                <w:szCs w:val="16"/>
              </w:rPr>
              <w:t>3 052 627</w:t>
            </w:r>
          </w:p>
        </w:tc>
        <w:tc>
          <w:tcPr>
            <w:tcW w:w="936" w:type="dxa"/>
            <w:gridSpan w:val="2"/>
            <w:tcBorders>
              <w:top w:val="nil"/>
              <w:left w:val="nil"/>
              <w:bottom w:val="nil"/>
              <w:right w:val="nil"/>
            </w:tcBorders>
            <w:shd w:val="clear" w:color="000000" w:fill="FFFFFF"/>
            <w:vAlign w:val="center"/>
            <w:hideMark/>
          </w:tcPr>
          <w:p w14:paraId="23E2C8E2" w14:textId="77777777" w:rsidR="00EE5D67" w:rsidRPr="00EE5D67" w:rsidRDefault="00EE5D67" w:rsidP="00FA3B19">
            <w:pPr>
              <w:spacing w:after="0" w:line="240" w:lineRule="auto"/>
              <w:jc w:val="right"/>
              <w:rPr>
                <w:rFonts w:cs="Arial"/>
                <w:sz w:val="16"/>
                <w:szCs w:val="16"/>
              </w:rPr>
            </w:pPr>
            <w:r w:rsidRPr="00EE5D67">
              <w:rPr>
                <w:rFonts w:cs="Arial"/>
                <w:sz w:val="16"/>
                <w:szCs w:val="16"/>
              </w:rPr>
              <w:t>25,42</w:t>
            </w:r>
          </w:p>
        </w:tc>
        <w:tc>
          <w:tcPr>
            <w:tcW w:w="936" w:type="dxa"/>
            <w:gridSpan w:val="2"/>
            <w:tcBorders>
              <w:top w:val="nil"/>
              <w:left w:val="nil"/>
              <w:bottom w:val="nil"/>
              <w:right w:val="nil"/>
            </w:tcBorders>
            <w:shd w:val="clear" w:color="000000" w:fill="FFFFFF"/>
            <w:vAlign w:val="center"/>
            <w:hideMark/>
          </w:tcPr>
          <w:p w14:paraId="4E4147E3" w14:textId="77777777" w:rsidR="00EE5D67" w:rsidRPr="00EE5D67" w:rsidRDefault="00EE5D67" w:rsidP="00FA3B19">
            <w:pPr>
              <w:spacing w:after="0" w:line="240" w:lineRule="auto"/>
              <w:jc w:val="right"/>
              <w:rPr>
                <w:rFonts w:cs="Arial"/>
                <w:sz w:val="16"/>
                <w:szCs w:val="16"/>
              </w:rPr>
            </w:pPr>
            <w:r w:rsidRPr="00EE5D67">
              <w:rPr>
                <w:rFonts w:cs="Arial"/>
                <w:sz w:val="16"/>
                <w:szCs w:val="16"/>
              </w:rPr>
              <w:t>20,54</w:t>
            </w:r>
          </w:p>
        </w:tc>
        <w:tc>
          <w:tcPr>
            <w:tcW w:w="939" w:type="dxa"/>
            <w:gridSpan w:val="4"/>
            <w:tcBorders>
              <w:top w:val="nil"/>
              <w:left w:val="nil"/>
              <w:bottom w:val="nil"/>
              <w:right w:val="nil"/>
            </w:tcBorders>
            <w:shd w:val="clear" w:color="000000" w:fill="FFFFFF"/>
            <w:vAlign w:val="center"/>
            <w:hideMark/>
          </w:tcPr>
          <w:p w14:paraId="396FBBBD" w14:textId="77777777" w:rsidR="00EE5D67" w:rsidRPr="00EE5D67" w:rsidRDefault="00EE5D67" w:rsidP="00FA3B19">
            <w:pPr>
              <w:spacing w:after="0" w:line="240" w:lineRule="auto"/>
              <w:jc w:val="right"/>
              <w:rPr>
                <w:rFonts w:cs="Arial"/>
                <w:sz w:val="16"/>
                <w:szCs w:val="16"/>
              </w:rPr>
            </w:pPr>
            <w:r w:rsidRPr="00EE5D67">
              <w:rPr>
                <w:rFonts w:cs="Arial"/>
                <w:sz w:val="16"/>
                <w:szCs w:val="16"/>
              </w:rPr>
              <w:t>30,82</w:t>
            </w:r>
          </w:p>
        </w:tc>
      </w:tr>
      <w:tr w:rsidR="00EE5D67" w:rsidRPr="00EE5D67" w14:paraId="25BB24AC" w14:textId="77777777" w:rsidTr="00FA3B19">
        <w:trPr>
          <w:divId w:val="283998286"/>
          <w:trHeight w:val="305"/>
        </w:trPr>
        <w:tc>
          <w:tcPr>
            <w:tcW w:w="1214" w:type="dxa"/>
            <w:tcBorders>
              <w:top w:val="nil"/>
              <w:left w:val="nil"/>
              <w:bottom w:val="nil"/>
              <w:right w:val="single" w:sz="4" w:space="0" w:color="auto"/>
            </w:tcBorders>
            <w:shd w:val="clear" w:color="000000" w:fill="FFFFFF"/>
            <w:vAlign w:val="center"/>
            <w:hideMark/>
          </w:tcPr>
          <w:p w14:paraId="2D5AD238" w14:textId="77777777" w:rsidR="00EE5D67" w:rsidRPr="00EE5D67" w:rsidRDefault="00EE5D67" w:rsidP="00FA3B19">
            <w:pPr>
              <w:spacing w:after="0" w:line="240" w:lineRule="auto"/>
              <w:ind w:firstLineChars="100" w:firstLine="160"/>
              <w:rPr>
                <w:rFonts w:cs="Arial"/>
                <w:sz w:val="16"/>
                <w:szCs w:val="16"/>
              </w:rPr>
            </w:pPr>
            <w:r w:rsidRPr="00EE5D67">
              <w:rPr>
                <w:rFonts w:cs="Arial"/>
                <w:sz w:val="16"/>
                <w:szCs w:val="16"/>
              </w:rPr>
              <w:t>30–39 let</w:t>
            </w:r>
          </w:p>
        </w:tc>
        <w:tc>
          <w:tcPr>
            <w:tcW w:w="892" w:type="dxa"/>
            <w:tcBorders>
              <w:top w:val="nil"/>
              <w:left w:val="single" w:sz="4" w:space="0" w:color="auto"/>
              <w:bottom w:val="nil"/>
              <w:right w:val="nil"/>
            </w:tcBorders>
            <w:shd w:val="clear" w:color="000000" w:fill="FFFFFF"/>
            <w:vAlign w:val="center"/>
            <w:hideMark/>
          </w:tcPr>
          <w:p w14:paraId="103F8C02" w14:textId="77777777" w:rsidR="00EE5D67" w:rsidRPr="00EE5D67" w:rsidRDefault="00EE5D67" w:rsidP="00FA3B19">
            <w:pPr>
              <w:spacing w:after="0" w:line="240" w:lineRule="auto"/>
              <w:jc w:val="right"/>
              <w:rPr>
                <w:rFonts w:cs="Arial"/>
                <w:sz w:val="16"/>
                <w:szCs w:val="16"/>
              </w:rPr>
            </w:pPr>
            <w:r w:rsidRPr="00EE5D67">
              <w:rPr>
                <w:rFonts w:cs="Arial"/>
                <w:sz w:val="16"/>
                <w:szCs w:val="16"/>
              </w:rPr>
              <w:t>217 612</w:t>
            </w:r>
          </w:p>
        </w:tc>
        <w:tc>
          <w:tcPr>
            <w:tcW w:w="865" w:type="dxa"/>
            <w:tcBorders>
              <w:top w:val="nil"/>
              <w:left w:val="nil"/>
              <w:bottom w:val="nil"/>
              <w:right w:val="nil"/>
            </w:tcBorders>
            <w:shd w:val="clear" w:color="000000" w:fill="FFFFFF"/>
            <w:vAlign w:val="center"/>
            <w:hideMark/>
          </w:tcPr>
          <w:p w14:paraId="70EADE26" w14:textId="77777777" w:rsidR="00EE5D67" w:rsidRPr="00EE5D67" w:rsidRDefault="00EE5D67" w:rsidP="00FA3B19">
            <w:pPr>
              <w:spacing w:after="0" w:line="240" w:lineRule="auto"/>
              <w:jc w:val="right"/>
              <w:rPr>
                <w:rFonts w:cs="Arial"/>
                <w:sz w:val="16"/>
                <w:szCs w:val="16"/>
              </w:rPr>
            </w:pPr>
            <w:r w:rsidRPr="00EE5D67">
              <w:rPr>
                <w:rFonts w:cs="Arial"/>
                <w:sz w:val="16"/>
                <w:szCs w:val="16"/>
              </w:rPr>
              <w:t>107 974</w:t>
            </w:r>
          </w:p>
        </w:tc>
        <w:tc>
          <w:tcPr>
            <w:tcW w:w="869" w:type="dxa"/>
            <w:tcBorders>
              <w:top w:val="nil"/>
              <w:left w:val="nil"/>
              <w:bottom w:val="nil"/>
              <w:right w:val="single" w:sz="4" w:space="0" w:color="auto"/>
            </w:tcBorders>
            <w:shd w:val="clear" w:color="000000" w:fill="FFFFFF"/>
            <w:vAlign w:val="center"/>
            <w:hideMark/>
          </w:tcPr>
          <w:p w14:paraId="7D594532" w14:textId="77777777" w:rsidR="00EE5D67" w:rsidRPr="00EE5D67" w:rsidRDefault="00EE5D67" w:rsidP="00FA3B19">
            <w:pPr>
              <w:spacing w:after="0" w:line="240" w:lineRule="auto"/>
              <w:jc w:val="right"/>
              <w:rPr>
                <w:rFonts w:cs="Arial"/>
                <w:sz w:val="16"/>
                <w:szCs w:val="16"/>
              </w:rPr>
            </w:pPr>
            <w:r w:rsidRPr="00EE5D67">
              <w:rPr>
                <w:rFonts w:cs="Arial"/>
                <w:sz w:val="16"/>
                <w:szCs w:val="16"/>
              </w:rPr>
              <w:t>109 638</w:t>
            </w:r>
          </w:p>
        </w:tc>
        <w:tc>
          <w:tcPr>
            <w:tcW w:w="1039" w:type="dxa"/>
            <w:gridSpan w:val="2"/>
            <w:tcBorders>
              <w:top w:val="nil"/>
              <w:left w:val="nil"/>
              <w:bottom w:val="nil"/>
              <w:right w:val="nil"/>
            </w:tcBorders>
            <w:shd w:val="clear" w:color="000000" w:fill="FFFFFF"/>
            <w:noWrap/>
            <w:vAlign w:val="center"/>
            <w:hideMark/>
          </w:tcPr>
          <w:p w14:paraId="64C096DB" w14:textId="77777777" w:rsidR="00EE5D67" w:rsidRPr="00EE5D67" w:rsidRDefault="00EE5D67" w:rsidP="00FA3B19">
            <w:pPr>
              <w:spacing w:after="0" w:line="240" w:lineRule="auto"/>
              <w:jc w:val="right"/>
              <w:rPr>
                <w:rFonts w:cs="Arial"/>
                <w:sz w:val="16"/>
                <w:szCs w:val="16"/>
              </w:rPr>
            </w:pPr>
            <w:r w:rsidRPr="00EE5D67">
              <w:rPr>
                <w:rFonts w:cs="Arial"/>
                <w:sz w:val="16"/>
                <w:szCs w:val="16"/>
              </w:rPr>
              <w:t>7 084 676</w:t>
            </w:r>
          </w:p>
        </w:tc>
        <w:tc>
          <w:tcPr>
            <w:tcW w:w="982" w:type="dxa"/>
            <w:gridSpan w:val="2"/>
            <w:tcBorders>
              <w:top w:val="nil"/>
              <w:left w:val="nil"/>
              <w:bottom w:val="nil"/>
              <w:right w:val="nil"/>
            </w:tcBorders>
            <w:shd w:val="clear" w:color="000000" w:fill="FFFFFF"/>
            <w:noWrap/>
            <w:vAlign w:val="center"/>
            <w:hideMark/>
          </w:tcPr>
          <w:p w14:paraId="4B684DF6" w14:textId="77777777" w:rsidR="00EE5D67" w:rsidRPr="00EE5D67" w:rsidRDefault="00EE5D67" w:rsidP="00FA3B19">
            <w:pPr>
              <w:spacing w:after="0" w:line="240" w:lineRule="auto"/>
              <w:jc w:val="right"/>
              <w:rPr>
                <w:rFonts w:cs="Arial"/>
                <w:sz w:val="16"/>
                <w:szCs w:val="16"/>
              </w:rPr>
            </w:pPr>
            <w:r w:rsidRPr="00EE5D67">
              <w:rPr>
                <w:rFonts w:cs="Arial"/>
                <w:sz w:val="16"/>
                <w:szCs w:val="16"/>
              </w:rPr>
              <w:t>3 001 481</w:t>
            </w:r>
          </w:p>
        </w:tc>
        <w:tc>
          <w:tcPr>
            <w:tcW w:w="982" w:type="dxa"/>
            <w:gridSpan w:val="2"/>
            <w:tcBorders>
              <w:top w:val="nil"/>
              <w:left w:val="nil"/>
              <w:bottom w:val="nil"/>
              <w:right w:val="single" w:sz="4" w:space="0" w:color="auto"/>
            </w:tcBorders>
            <w:shd w:val="clear" w:color="000000" w:fill="FFFFFF"/>
            <w:noWrap/>
            <w:vAlign w:val="center"/>
            <w:hideMark/>
          </w:tcPr>
          <w:p w14:paraId="7B83C09D" w14:textId="77777777" w:rsidR="00EE5D67" w:rsidRPr="00EE5D67" w:rsidRDefault="00EE5D67" w:rsidP="00FA3B19">
            <w:pPr>
              <w:spacing w:after="0" w:line="240" w:lineRule="auto"/>
              <w:jc w:val="right"/>
              <w:rPr>
                <w:rFonts w:cs="Arial"/>
                <w:sz w:val="16"/>
                <w:szCs w:val="16"/>
              </w:rPr>
            </w:pPr>
            <w:r w:rsidRPr="00EE5D67">
              <w:rPr>
                <w:rFonts w:cs="Arial"/>
                <w:sz w:val="16"/>
                <w:szCs w:val="16"/>
              </w:rPr>
              <w:t>4 083 195</w:t>
            </w:r>
          </w:p>
        </w:tc>
        <w:tc>
          <w:tcPr>
            <w:tcW w:w="936" w:type="dxa"/>
            <w:gridSpan w:val="2"/>
            <w:tcBorders>
              <w:top w:val="nil"/>
              <w:left w:val="nil"/>
              <w:bottom w:val="nil"/>
              <w:right w:val="nil"/>
            </w:tcBorders>
            <w:shd w:val="clear" w:color="000000" w:fill="FFFFFF"/>
            <w:vAlign w:val="center"/>
            <w:hideMark/>
          </w:tcPr>
          <w:p w14:paraId="0881369B" w14:textId="77777777" w:rsidR="00EE5D67" w:rsidRPr="00EE5D67" w:rsidRDefault="00EE5D67" w:rsidP="00FA3B19">
            <w:pPr>
              <w:spacing w:after="0" w:line="240" w:lineRule="auto"/>
              <w:jc w:val="right"/>
              <w:rPr>
                <w:rFonts w:cs="Arial"/>
                <w:sz w:val="16"/>
                <w:szCs w:val="16"/>
              </w:rPr>
            </w:pPr>
            <w:r w:rsidRPr="00EE5D67">
              <w:rPr>
                <w:rFonts w:cs="Arial"/>
                <w:sz w:val="16"/>
                <w:szCs w:val="16"/>
              </w:rPr>
              <w:t>32,56</w:t>
            </w:r>
          </w:p>
        </w:tc>
        <w:tc>
          <w:tcPr>
            <w:tcW w:w="936" w:type="dxa"/>
            <w:gridSpan w:val="2"/>
            <w:tcBorders>
              <w:top w:val="nil"/>
              <w:left w:val="nil"/>
              <w:bottom w:val="nil"/>
              <w:right w:val="nil"/>
            </w:tcBorders>
            <w:shd w:val="clear" w:color="000000" w:fill="FFFFFF"/>
            <w:vAlign w:val="center"/>
            <w:hideMark/>
          </w:tcPr>
          <w:p w14:paraId="60189D9E" w14:textId="77777777" w:rsidR="00EE5D67" w:rsidRPr="00EE5D67" w:rsidRDefault="00EE5D67" w:rsidP="00FA3B19">
            <w:pPr>
              <w:spacing w:after="0" w:line="240" w:lineRule="auto"/>
              <w:jc w:val="right"/>
              <w:rPr>
                <w:rFonts w:cs="Arial"/>
                <w:sz w:val="16"/>
                <w:szCs w:val="16"/>
              </w:rPr>
            </w:pPr>
            <w:r w:rsidRPr="00EE5D67">
              <w:rPr>
                <w:rFonts w:cs="Arial"/>
                <w:sz w:val="16"/>
                <w:szCs w:val="16"/>
              </w:rPr>
              <w:t>27,80</w:t>
            </w:r>
          </w:p>
        </w:tc>
        <w:tc>
          <w:tcPr>
            <w:tcW w:w="939" w:type="dxa"/>
            <w:gridSpan w:val="4"/>
            <w:tcBorders>
              <w:top w:val="nil"/>
              <w:left w:val="nil"/>
              <w:bottom w:val="nil"/>
              <w:right w:val="nil"/>
            </w:tcBorders>
            <w:shd w:val="clear" w:color="000000" w:fill="FFFFFF"/>
            <w:vAlign w:val="center"/>
            <w:hideMark/>
          </w:tcPr>
          <w:p w14:paraId="2B6390EA" w14:textId="77777777" w:rsidR="00EE5D67" w:rsidRPr="00EE5D67" w:rsidRDefault="00EE5D67" w:rsidP="00FA3B19">
            <w:pPr>
              <w:spacing w:after="0" w:line="240" w:lineRule="auto"/>
              <w:jc w:val="right"/>
              <w:rPr>
                <w:rFonts w:cs="Arial"/>
                <w:sz w:val="16"/>
                <w:szCs w:val="16"/>
              </w:rPr>
            </w:pPr>
            <w:r w:rsidRPr="00EE5D67">
              <w:rPr>
                <w:rFonts w:cs="Arial"/>
                <w:sz w:val="16"/>
                <w:szCs w:val="16"/>
              </w:rPr>
              <w:t>37,24</w:t>
            </w:r>
          </w:p>
        </w:tc>
      </w:tr>
      <w:tr w:rsidR="00EE5D67" w:rsidRPr="00EE5D67" w14:paraId="25ECD9CE" w14:textId="77777777" w:rsidTr="00FA3B19">
        <w:trPr>
          <w:divId w:val="283998286"/>
          <w:trHeight w:val="305"/>
        </w:trPr>
        <w:tc>
          <w:tcPr>
            <w:tcW w:w="1214" w:type="dxa"/>
            <w:tcBorders>
              <w:top w:val="nil"/>
              <w:left w:val="nil"/>
              <w:bottom w:val="nil"/>
              <w:right w:val="single" w:sz="4" w:space="0" w:color="auto"/>
            </w:tcBorders>
            <w:shd w:val="clear" w:color="000000" w:fill="FFFFFF"/>
            <w:vAlign w:val="center"/>
            <w:hideMark/>
          </w:tcPr>
          <w:p w14:paraId="177A8ECA" w14:textId="77777777" w:rsidR="00EE5D67" w:rsidRPr="00EE5D67" w:rsidRDefault="00EE5D67" w:rsidP="00FA3B19">
            <w:pPr>
              <w:spacing w:after="0" w:line="240" w:lineRule="auto"/>
              <w:ind w:firstLineChars="100" w:firstLine="160"/>
              <w:rPr>
                <w:rFonts w:cs="Arial"/>
                <w:sz w:val="16"/>
                <w:szCs w:val="16"/>
              </w:rPr>
            </w:pPr>
            <w:r w:rsidRPr="00EE5D67">
              <w:rPr>
                <w:rFonts w:cs="Arial"/>
                <w:sz w:val="16"/>
                <w:szCs w:val="16"/>
              </w:rPr>
              <w:t>40–49 let</w:t>
            </w:r>
          </w:p>
        </w:tc>
        <w:tc>
          <w:tcPr>
            <w:tcW w:w="892" w:type="dxa"/>
            <w:tcBorders>
              <w:top w:val="nil"/>
              <w:left w:val="single" w:sz="4" w:space="0" w:color="auto"/>
              <w:bottom w:val="nil"/>
              <w:right w:val="nil"/>
            </w:tcBorders>
            <w:shd w:val="clear" w:color="000000" w:fill="FFFFFF"/>
            <w:vAlign w:val="center"/>
            <w:hideMark/>
          </w:tcPr>
          <w:p w14:paraId="53C4869E" w14:textId="77777777" w:rsidR="00EE5D67" w:rsidRPr="00EE5D67" w:rsidRDefault="00EE5D67" w:rsidP="00FA3B19">
            <w:pPr>
              <w:spacing w:after="0" w:line="240" w:lineRule="auto"/>
              <w:jc w:val="right"/>
              <w:rPr>
                <w:rFonts w:cs="Arial"/>
                <w:sz w:val="16"/>
                <w:szCs w:val="16"/>
              </w:rPr>
            </w:pPr>
            <w:r w:rsidRPr="00EE5D67">
              <w:rPr>
                <w:rFonts w:cs="Arial"/>
                <w:sz w:val="16"/>
                <w:szCs w:val="16"/>
              </w:rPr>
              <w:t>264 690</w:t>
            </w:r>
          </w:p>
        </w:tc>
        <w:tc>
          <w:tcPr>
            <w:tcW w:w="865" w:type="dxa"/>
            <w:tcBorders>
              <w:top w:val="nil"/>
              <w:left w:val="nil"/>
              <w:bottom w:val="nil"/>
              <w:right w:val="nil"/>
            </w:tcBorders>
            <w:shd w:val="clear" w:color="000000" w:fill="FFFFFF"/>
            <w:vAlign w:val="center"/>
            <w:hideMark/>
          </w:tcPr>
          <w:p w14:paraId="356D2DD2" w14:textId="77777777" w:rsidR="00EE5D67" w:rsidRPr="00EE5D67" w:rsidRDefault="00EE5D67" w:rsidP="00FA3B19">
            <w:pPr>
              <w:spacing w:after="0" w:line="240" w:lineRule="auto"/>
              <w:jc w:val="right"/>
              <w:rPr>
                <w:rFonts w:cs="Arial"/>
                <w:sz w:val="16"/>
                <w:szCs w:val="16"/>
              </w:rPr>
            </w:pPr>
            <w:r w:rsidRPr="00EE5D67">
              <w:rPr>
                <w:rFonts w:cs="Arial"/>
                <w:sz w:val="16"/>
                <w:szCs w:val="16"/>
              </w:rPr>
              <w:t>108 418</w:t>
            </w:r>
          </w:p>
        </w:tc>
        <w:tc>
          <w:tcPr>
            <w:tcW w:w="869" w:type="dxa"/>
            <w:tcBorders>
              <w:top w:val="nil"/>
              <w:left w:val="nil"/>
              <w:bottom w:val="nil"/>
              <w:right w:val="single" w:sz="4" w:space="0" w:color="auto"/>
            </w:tcBorders>
            <w:shd w:val="clear" w:color="000000" w:fill="FFFFFF"/>
            <w:vAlign w:val="center"/>
            <w:hideMark/>
          </w:tcPr>
          <w:p w14:paraId="3883A3A3" w14:textId="77777777" w:rsidR="00EE5D67" w:rsidRPr="00EE5D67" w:rsidRDefault="00EE5D67" w:rsidP="00FA3B19">
            <w:pPr>
              <w:spacing w:after="0" w:line="240" w:lineRule="auto"/>
              <w:jc w:val="right"/>
              <w:rPr>
                <w:rFonts w:cs="Arial"/>
                <w:sz w:val="16"/>
                <w:szCs w:val="16"/>
              </w:rPr>
            </w:pPr>
            <w:r w:rsidRPr="00EE5D67">
              <w:rPr>
                <w:rFonts w:cs="Arial"/>
                <w:sz w:val="16"/>
                <w:szCs w:val="16"/>
              </w:rPr>
              <w:t>156 272</w:t>
            </w:r>
          </w:p>
        </w:tc>
        <w:tc>
          <w:tcPr>
            <w:tcW w:w="1039" w:type="dxa"/>
            <w:gridSpan w:val="2"/>
            <w:tcBorders>
              <w:top w:val="nil"/>
              <w:left w:val="nil"/>
              <w:bottom w:val="nil"/>
              <w:right w:val="nil"/>
            </w:tcBorders>
            <w:shd w:val="clear" w:color="000000" w:fill="FFFFFF"/>
            <w:noWrap/>
            <w:vAlign w:val="center"/>
            <w:hideMark/>
          </w:tcPr>
          <w:p w14:paraId="2D296F98" w14:textId="77777777" w:rsidR="00EE5D67" w:rsidRPr="00EE5D67" w:rsidRDefault="00EE5D67" w:rsidP="00FA3B19">
            <w:pPr>
              <w:spacing w:after="0" w:line="240" w:lineRule="auto"/>
              <w:jc w:val="right"/>
              <w:rPr>
                <w:rFonts w:cs="Arial"/>
                <w:sz w:val="16"/>
                <w:szCs w:val="16"/>
              </w:rPr>
            </w:pPr>
            <w:r w:rsidRPr="00EE5D67">
              <w:rPr>
                <w:rFonts w:cs="Arial"/>
                <w:sz w:val="16"/>
                <w:szCs w:val="16"/>
              </w:rPr>
              <w:t>10 079 974</w:t>
            </w:r>
          </w:p>
        </w:tc>
        <w:tc>
          <w:tcPr>
            <w:tcW w:w="982" w:type="dxa"/>
            <w:gridSpan w:val="2"/>
            <w:tcBorders>
              <w:top w:val="nil"/>
              <w:left w:val="nil"/>
              <w:bottom w:val="nil"/>
              <w:right w:val="nil"/>
            </w:tcBorders>
            <w:shd w:val="clear" w:color="000000" w:fill="FFFFFF"/>
            <w:noWrap/>
            <w:vAlign w:val="center"/>
            <w:hideMark/>
          </w:tcPr>
          <w:p w14:paraId="29AAE9B8" w14:textId="77777777" w:rsidR="00EE5D67" w:rsidRPr="00EE5D67" w:rsidRDefault="00EE5D67" w:rsidP="00FA3B19">
            <w:pPr>
              <w:spacing w:after="0" w:line="240" w:lineRule="auto"/>
              <w:jc w:val="right"/>
              <w:rPr>
                <w:rFonts w:cs="Arial"/>
                <w:sz w:val="16"/>
                <w:szCs w:val="16"/>
              </w:rPr>
            </w:pPr>
            <w:r w:rsidRPr="00EE5D67">
              <w:rPr>
                <w:rFonts w:cs="Arial"/>
                <w:sz w:val="16"/>
                <w:szCs w:val="16"/>
              </w:rPr>
              <w:t>4 126 899</w:t>
            </w:r>
          </w:p>
        </w:tc>
        <w:tc>
          <w:tcPr>
            <w:tcW w:w="982" w:type="dxa"/>
            <w:gridSpan w:val="2"/>
            <w:tcBorders>
              <w:top w:val="nil"/>
              <w:left w:val="nil"/>
              <w:bottom w:val="nil"/>
              <w:right w:val="single" w:sz="4" w:space="0" w:color="auto"/>
            </w:tcBorders>
            <w:shd w:val="clear" w:color="000000" w:fill="FFFFFF"/>
            <w:noWrap/>
            <w:vAlign w:val="center"/>
            <w:hideMark/>
          </w:tcPr>
          <w:p w14:paraId="1CD506F8" w14:textId="77777777" w:rsidR="00EE5D67" w:rsidRPr="00EE5D67" w:rsidRDefault="00EE5D67" w:rsidP="00FA3B19">
            <w:pPr>
              <w:spacing w:after="0" w:line="240" w:lineRule="auto"/>
              <w:jc w:val="right"/>
              <w:rPr>
                <w:rFonts w:cs="Arial"/>
                <w:sz w:val="16"/>
                <w:szCs w:val="16"/>
              </w:rPr>
            </w:pPr>
            <w:r w:rsidRPr="00EE5D67">
              <w:rPr>
                <w:rFonts w:cs="Arial"/>
                <w:sz w:val="16"/>
                <w:szCs w:val="16"/>
              </w:rPr>
              <w:t>5 953 075</w:t>
            </w:r>
          </w:p>
        </w:tc>
        <w:tc>
          <w:tcPr>
            <w:tcW w:w="936" w:type="dxa"/>
            <w:gridSpan w:val="2"/>
            <w:tcBorders>
              <w:top w:val="nil"/>
              <w:left w:val="nil"/>
              <w:bottom w:val="nil"/>
              <w:right w:val="nil"/>
            </w:tcBorders>
            <w:shd w:val="clear" w:color="000000" w:fill="FFFFFF"/>
            <w:vAlign w:val="center"/>
            <w:hideMark/>
          </w:tcPr>
          <w:p w14:paraId="33792ABE" w14:textId="77777777" w:rsidR="00EE5D67" w:rsidRPr="00EE5D67" w:rsidRDefault="00EE5D67" w:rsidP="00FA3B19">
            <w:pPr>
              <w:spacing w:after="0" w:line="240" w:lineRule="auto"/>
              <w:jc w:val="right"/>
              <w:rPr>
                <w:rFonts w:cs="Arial"/>
                <w:sz w:val="16"/>
                <w:szCs w:val="16"/>
              </w:rPr>
            </w:pPr>
            <w:r w:rsidRPr="00EE5D67">
              <w:rPr>
                <w:rFonts w:cs="Arial"/>
                <w:sz w:val="16"/>
                <w:szCs w:val="16"/>
              </w:rPr>
              <w:t>38,08</w:t>
            </w:r>
          </w:p>
        </w:tc>
        <w:tc>
          <w:tcPr>
            <w:tcW w:w="936" w:type="dxa"/>
            <w:gridSpan w:val="2"/>
            <w:tcBorders>
              <w:top w:val="nil"/>
              <w:left w:val="nil"/>
              <w:bottom w:val="nil"/>
              <w:right w:val="nil"/>
            </w:tcBorders>
            <w:shd w:val="clear" w:color="000000" w:fill="FFFFFF"/>
            <w:vAlign w:val="center"/>
            <w:hideMark/>
          </w:tcPr>
          <w:p w14:paraId="4A697BE9" w14:textId="77777777" w:rsidR="00EE5D67" w:rsidRPr="00EE5D67" w:rsidRDefault="00EE5D67" w:rsidP="00FA3B19">
            <w:pPr>
              <w:spacing w:after="0" w:line="240" w:lineRule="auto"/>
              <w:jc w:val="right"/>
              <w:rPr>
                <w:rFonts w:cs="Arial"/>
                <w:sz w:val="16"/>
                <w:szCs w:val="16"/>
              </w:rPr>
            </w:pPr>
            <w:r w:rsidRPr="00EE5D67">
              <w:rPr>
                <w:rFonts w:cs="Arial"/>
                <w:sz w:val="16"/>
                <w:szCs w:val="16"/>
              </w:rPr>
              <w:t>38,06</w:t>
            </w:r>
          </w:p>
        </w:tc>
        <w:tc>
          <w:tcPr>
            <w:tcW w:w="939" w:type="dxa"/>
            <w:gridSpan w:val="4"/>
            <w:tcBorders>
              <w:top w:val="nil"/>
              <w:left w:val="nil"/>
              <w:bottom w:val="nil"/>
              <w:right w:val="nil"/>
            </w:tcBorders>
            <w:shd w:val="clear" w:color="000000" w:fill="FFFFFF"/>
            <w:vAlign w:val="center"/>
            <w:hideMark/>
          </w:tcPr>
          <w:p w14:paraId="4BC37F06" w14:textId="77777777" w:rsidR="00EE5D67" w:rsidRPr="00EE5D67" w:rsidRDefault="00EE5D67" w:rsidP="00FA3B19">
            <w:pPr>
              <w:spacing w:after="0" w:line="240" w:lineRule="auto"/>
              <w:jc w:val="right"/>
              <w:rPr>
                <w:rFonts w:cs="Arial"/>
                <w:sz w:val="16"/>
                <w:szCs w:val="16"/>
              </w:rPr>
            </w:pPr>
            <w:r w:rsidRPr="00EE5D67">
              <w:rPr>
                <w:rFonts w:cs="Arial"/>
                <w:sz w:val="16"/>
                <w:szCs w:val="16"/>
              </w:rPr>
              <w:t>38,09</w:t>
            </w:r>
          </w:p>
        </w:tc>
      </w:tr>
      <w:tr w:rsidR="00EE5D67" w:rsidRPr="00EE5D67" w14:paraId="45759879" w14:textId="77777777" w:rsidTr="00FA3B19">
        <w:trPr>
          <w:divId w:val="283998286"/>
          <w:trHeight w:val="305"/>
        </w:trPr>
        <w:tc>
          <w:tcPr>
            <w:tcW w:w="1214" w:type="dxa"/>
            <w:tcBorders>
              <w:top w:val="nil"/>
              <w:left w:val="nil"/>
              <w:bottom w:val="nil"/>
              <w:right w:val="single" w:sz="4" w:space="0" w:color="auto"/>
            </w:tcBorders>
            <w:shd w:val="clear" w:color="000000" w:fill="FFFFFF"/>
            <w:vAlign w:val="center"/>
            <w:hideMark/>
          </w:tcPr>
          <w:p w14:paraId="0A6C7866" w14:textId="77777777" w:rsidR="00EE5D67" w:rsidRPr="00EE5D67" w:rsidRDefault="00EE5D67" w:rsidP="00FA3B19">
            <w:pPr>
              <w:spacing w:after="0" w:line="240" w:lineRule="auto"/>
              <w:ind w:firstLineChars="100" w:firstLine="160"/>
              <w:rPr>
                <w:rFonts w:cs="Arial"/>
                <w:sz w:val="16"/>
                <w:szCs w:val="16"/>
              </w:rPr>
            </w:pPr>
            <w:r w:rsidRPr="00EE5D67">
              <w:rPr>
                <w:rFonts w:cs="Arial"/>
                <w:sz w:val="16"/>
                <w:szCs w:val="16"/>
              </w:rPr>
              <w:t>50–59 let</w:t>
            </w:r>
          </w:p>
        </w:tc>
        <w:tc>
          <w:tcPr>
            <w:tcW w:w="892" w:type="dxa"/>
            <w:tcBorders>
              <w:top w:val="nil"/>
              <w:left w:val="single" w:sz="4" w:space="0" w:color="auto"/>
              <w:bottom w:val="nil"/>
              <w:right w:val="nil"/>
            </w:tcBorders>
            <w:shd w:val="clear" w:color="000000" w:fill="FFFFFF"/>
            <w:vAlign w:val="center"/>
            <w:hideMark/>
          </w:tcPr>
          <w:p w14:paraId="7E539C3F" w14:textId="77777777" w:rsidR="00EE5D67" w:rsidRPr="00EE5D67" w:rsidRDefault="00EE5D67" w:rsidP="00FA3B19">
            <w:pPr>
              <w:spacing w:after="0" w:line="240" w:lineRule="auto"/>
              <w:jc w:val="right"/>
              <w:rPr>
                <w:rFonts w:cs="Arial"/>
                <w:sz w:val="16"/>
                <w:szCs w:val="16"/>
              </w:rPr>
            </w:pPr>
            <w:r w:rsidRPr="00EE5D67">
              <w:rPr>
                <w:rFonts w:cs="Arial"/>
                <w:sz w:val="16"/>
                <w:szCs w:val="16"/>
              </w:rPr>
              <w:t>237 787</w:t>
            </w:r>
          </w:p>
        </w:tc>
        <w:tc>
          <w:tcPr>
            <w:tcW w:w="865" w:type="dxa"/>
            <w:tcBorders>
              <w:top w:val="nil"/>
              <w:left w:val="nil"/>
              <w:bottom w:val="nil"/>
              <w:right w:val="nil"/>
            </w:tcBorders>
            <w:shd w:val="clear" w:color="000000" w:fill="FFFFFF"/>
            <w:vAlign w:val="center"/>
            <w:hideMark/>
          </w:tcPr>
          <w:p w14:paraId="689E09C1" w14:textId="77777777" w:rsidR="00EE5D67" w:rsidRPr="00EE5D67" w:rsidRDefault="00EE5D67" w:rsidP="00FA3B19">
            <w:pPr>
              <w:spacing w:after="0" w:line="240" w:lineRule="auto"/>
              <w:jc w:val="right"/>
              <w:rPr>
                <w:rFonts w:cs="Arial"/>
                <w:sz w:val="16"/>
                <w:szCs w:val="16"/>
              </w:rPr>
            </w:pPr>
            <w:r w:rsidRPr="00EE5D67">
              <w:rPr>
                <w:rFonts w:cs="Arial"/>
                <w:sz w:val="16"/>
                <w:szCs w:val="16"/>
              </w:rPr>
              <w:t>95 456</w:t>
            </w:r>
          </w:p>
        </w:tc>
        <w:tc>
          <w:tcPr>
            <w:tcW w:w="869" w:type="dxa"/>
            <w:tcBorders>
              <w:top w:val="nil"/>
              <w:left w:val="nil"/>
              <w:bottom w:val="nil"/>
              <w:right w:val="single" w:sz="4" w:space="0" w:color="auto"/>
            </w:tcBorders>
            <w:shd w:val="clear" w:color="000000" w:fill="FFFFFF"/>
            <w:vAlign w:val="center"/>
            <w:hideMark/>
          </w:tcPr>
          <w:p w14:paraId="11E92E79" w14:textId="77777777" w:rsidR="00EE5D67" w:rsidRPr="00EE5D67" w:rsidRDefault="00EE5D67" w:rsidP="00FA3B19">
            <w:pPr>
              <w:spacing w:after="0" w:line="240" w:lineRule="auto"/>
              <w:jc w:val="right"/>
              <w:rPr>
                <w:rFonts w:cs="Arial"/>
                <w:sz w:val="16"/>
                <w:szCs w:val="16"/>
              </w:rPr>
            </w:pPr>
            <w:r w:rsidRPr="00EE5D67">
              <w:rPr>
                <w:rFonts w:cs="Arial"/>
                <w:sz w:val="16"/>
                <w:szCs w:val="16"/>
              </w:rPr>
              <w:t>142 331</w:t>
            </w:r>
          </w:p>
        </w:tc>
        <w:tc>
          <w:tcPr>
            <w:tcW w:w="1039" w:type="dxa"/>
            <w:gridSpan w:val="2"/>
            <w:tcBorders>
              <w:top w:val="nil"/>
              <w:left w:val="nil"/>
              <w:bottom w:val="nil"/>
              <w:right w:val="nil"/>
            </w:tcBorders>
            <w:shd w:val="clear" w:color="000000" w:fill="FFFFFF"/>
            <w:noWrap/>
            <w:vAlign w:val="center"/>
            <w:hideMark/>
          </w:tcPr>
          <w:p w14:paraId="39A88703" w14:textId="77777777" w:rsidR="00EE5D67" w:rsidRPr="00EE5D67" w:rsidRDefault="00EE5D67" w:rsidP="00FA3B19">
            <w:pPr>
              <w:spacing w:after="0" w:line="240" w:lineRule="auto"/>
              <w:jc w:val="right"/>
              <w:rPr>
                <w:rFonts w:cs="Arial"/>
                <w:sz w:val="16"/>
                <w:szCs w:val="16"/>
              </w:rPr>
            </w:pPr>
            <w:r w:rsidRPr="00EE5D67">
              <w:rPr>
                <w:rFonts w:cs="Arial"/>
                <w:sz w:val="16"/>
                <w:szCs w:val="16"/>
              </w:rPr>
              <w:t>11 463 279</w:t>
            </w:r>
          </w:p>
        </w:tc>
        <w:tc>
          <w:tcPr>
            <w:tcW w:w="982" w:type="dxa"/>
            <w:gridSpan w:val="2"/>
            <w:tcBorders>
              <w:top w:val="nil"/>
              <w:left w:val="nil"/>
              <w:bottom w:val="nil"/>
              <w:right w:val="nil"/>
            </w:tcBorders>
            <w:shd w:val="clear" w:color="000000" w:fill="FFFFFF"/>
            <w:noWrap/>
            <w:vAlign w:val="center"/>
            <w:hideMark/>
          </w:tcPr>
          <w:p w14:paraId="11505AA1" w14:textId="77777777" w:rsidR="00EE5D67" w:rsidRPr="00EE5D67" w:rsidRDefault="00EE5D67" w:rsidP="00FA3B19">
            <w:pPr>
              <w:spacing w:after="0" w:line="240" w:lineRule="auto"/>
              <w:jc w:val="right"/>
              <w:rPr>
                <w:rFonts w:cs="Arial"/>
                <w:sz w:val="16"/>
                <w:szCs w:val="16"/>
              </w:rPr>
            </w:pPr>
            <w:r w:rsidRPr="00EE5D67">
              <w:rPr>
                <w:rFonts w:cs="Arial"/>
                <w:sz w:val="16"/>
                <w:szCs w:val="16"/>
              </w:rPr>
              <w:t>4 874 494</w:t>
            </w:r>
          </w:p>
        </w:tc>
        <w:tc>
          <w:tcPr>
            <w:tcW w:w="982" w:type="dxa"/>
            <w:gridSpan w:val="2"/>
            <w:tcBorders>
              <w:top w:val="nil"/>
              <w:left w:val="nil"/>
              <w:bottom w:val="nil"/>
              <w:right w:val="single" w:sz="4" w:space="0" w:color="auto"/>
            </w:tcBorders>
            <w:shd w:val="clear" w:color="000000" w:fill="FFFFFF"/>
            <w:noWrap/>
            <w:vAlign w:val="center"/>
            <w:hideMark/>
          </w:tcPr>
          <w:p w14:paraId="52B1927A" w14:textId="77777777" w:rsidR="00EE5D67" w:rsidRPr="00EE5D67" w:rsidRDefault="00EE5D67" w:rsidP="00FA3B19">
            <w:pPr>
              <w:spacing w:after="0" w:line="240" w:lineRule="auto"/>
              <w:jc w:val="right"/>
              <w:rPr>
                <w:rFonts w:cs="Arial"/>
                <w:sz w:val="16"/>
                <w:szCs w:val="16"/>
              </w:rPr>
            </w:pPr>
            <w:r w:rsidRPr="00EE5D67">
              <w:rPr>
                <w:rFonts w:cs="Arial"/>
                <w:sz w:val="16"/>
                <w:szCs w:val="16"/>
              </w:rPr>
              <w:t>6 588 785</w:t>
            </w:r>
          </w:p>
        </w:tc>
        <w:tc>
          <w:tcPr>
            <w:tcW w:w="936" w:type="dxa"/>
            <w:gridSpan w:val="2"/>
            <w:tcBorders>
              <w:top w:val="nil"/>
              <w:left w:val="nil"/>
              <w:bottom w:val="nil"/>
              <w:right w:val="nil"/>
            </w:tcBorders>
            <w:shd w:val="clear" w:color="000000" w:fill="FFFFFF"/>
            <w:vAlign w:val="center"/>
            <w:hideMark/>
          </w:tcPr>
          <w:p w14:paraId="014D30CF" w14:textId="77777777" w:rsidR="00EE5D67" w:rsidRPr="00EE5D67" w:rsidRDefault="00EE5D67" w:rsidP="00FA3B19">
            <w:pPr>
              <w:spacing w:after="0" w:line="240" w:lineRule="auto"/>
              <w:jc w:val="right"/>
              <w:rPr>
                <w:rFonts w:cs="Arial"/>
                <w:sz w:val="16"/>
                <w:szCs w:val="16"/>
              </w:rPr>
            </w:pPr>
            <w:r w:rsidRPr="00EE5D67">
              <w:rPr>
                <w:rFonts w:cs="Arial"/>
                <w:sz w:val="16"/>
                <w:szCs w:val="16"/>
              </w:rPr>
              <w:t>48,21</w:t>
            </w:r>
          </w:p>
        </w:tc>
        <w:tc>
          <w:tcPr>
            <w:tcW w:w="936" w:type="dxa"/>
            <w:gridSpan w:val="2"/>
            <w:tcBorders>
              <w:top w:val="nil"/>
              <w:left w:val="nil"/>
              <w:bottom w:val="nil"/>
              <w:right w:val="nil"/>
            </w:tcBorders>
            <w:shd w:val="clear" w:color="000000" w:fill="FFFFFF"/>
            <w:vAlign w:val="center"/>
            <w:hideMark/>
          </w:tcPr>
          <w:p w14:paraId="09562A8D" w14:textId="77777777" w:rsidR="00EE5D67" w:rsidRPr="00EE5D67" w:rsidRDefault="00EE5D67" w:rsidP="00FA3B19">
            <w:pPr>
              <w:spacing w:after="0" w:line="240" w:lineRule="auto"/>
              <w:jc w:val="right"/>
              <w:rPr>
                <w:rFonts w:cs="Arial"/>
                <w:sz w:val="16"/>
                <w:szCs w:val="16"/>
              </w:rPr>
            </w:pPr>
            <w:r w:rsidRPr="00EE5D67">
              <w:rPr>
                <w:rFonts w:cs="Arial"/>
                <w:sz w:val="16"/>
                <w:szCs w:val="16"/>
              </w:rPr>
              <w:t>51,07</w:t>
            </w:r>
          </w:p>
        </w:tc>
        <w:tc>
          <w:tcPr>
            <w:tcW w:w="939" w:type="dxa"/>
            <w:gridSpan w:val="4"/>
            <w:tcBorders>
              <w:top w:val="nil"/>
              <w:left w:val="nil"/>
              <w:bottom w:val="nil"/>
              <w:right w:val="nil"/>
            </w:tcBorders>
            <w:shd w:val="clear" w:color="000000" w:fill="FFFFFF"/>
            <w:vAlign w:val="center"/>
            <w:hideMark/>
          </w:tcPr>
          <w:p w14:paraId="49AB234A" w14:textId="77777777" w:rsidR="00EE5D67" w:rsidRPr="00EE5D67" w:rsidRDefault="00EE5D67" w:rsidP="00FA3B19">
            <w:pPr>
              <w:spacing w:after="0" w:line="240" w:lineRule="auto"/>
              <w:jc w:val="right"/>
              <w:rPr>
                <w:rFonts w:cs="Arial"/>
                <w:sz w:val="16"/>
                <w:szCs w:val="16"/>
              </w:rPr>
            </w:pPr>
            <w:r w:rsidRPr="00EE5D67">
              <w:rPr>
                <w:rFonts w:cs="Arial"/>
                <w:sz w:val="16"/>
                <w:szCs w:val="16"/>
              </w:rPr>
              <w:t>46,29</w:t>
            </w:r>
          </w:p>
        </w:tc>
      </w:tr>
      <w:tr w:rsidR="00EE5D67" w:rsidRPr="00EE5D67" w14:paraId="146F4BAE" w14:textId="77777777" w:rsidTr="00FA3B19">
        <w:trPr>
          <w:divId w:val="283998286"/>
          <w:trHeight w:val="305"/>
        </w:trPr>
        <w:tc>
          <w:tcPr>
            <w:tcW w:w="1214" w:type="dxa"/>
            <w:tcBorders>
              <w:top w:val="nil"/>
              <w:left w:val="nil"/>
              <w:bottom w:val="nil"/>
              <w:right w:val="single" w:sz="4" w:space="0" w:color="auto"/>
            </w:tcBorders>
            <w:shd w:val="clear" w:color="000000" w:fill="FFFFFF"/>
            <w:vAlign w:val="center"/>
            <w:hideMark/>
          </w:tcPr>
          <w:p w14:paraId="4B674029" w14:textId="77777777" w:rsidR="00EE5D67" w:rsidRPr="00EE5D67" w:rsidRDefault="00EE5D67" w:rsidP="00FA3B19">
            <w:pPr>
              <w:spacing w:after="0" w:line="240" w:lineRule="auto"/>
              <w:ind w:firstLineChars="100" w:firstLine="160"/>
              <w:rPr>
                <w:rFonts w:cs="Arial"/>
                <w:sz w:val="16"/>
                <w:szCs w:val="16"/>
              </w:rPr>
            </w:pPr>
            <w:r w:rsidRPr="00EE5D67">
              <w:rPr>
                <w:rFonts w:cs="Arial"/>
                <w:sz w:val="16"/>
                <w:szCs w:val="16"/>
              </w:rPr>
              <w:t>60 a více let</w:t>
            </w:r>
          </w:p>
        </w:tc>
        <w:tc>
          <w:tcPr>
            <w:tcW w:w="892" w:type="dxa"/>
            <w:tcBorders>
              <w:top w:val="nil"/>
              <w:left w:val="single" w:sz="4" w:space="0" w:color="auto"/>
              <w:bottom w:val="nil"/>
              <w:right w:val="nil"/>
            </w:tcBorders>
            <w:shd w:val="clear" w:color="000000" w:fill="FFFFFF"/>
            <w:vAlign w:val="center"/>
            <w:hideMark/>
          </w:tcPr>
          <w:p w14:paraId="53153571" w14:textId="77777777" w:rsidR="00EE5D67" w:rsidRPr="00EE5D67" w:rsidRDefault="00EE5D67" w:rsidP="00FA3B19">
            <w:pPr>
              <w:spacing w:after="0" w:line="240" w:lineRule="auto"/>
              <w:jc w:val="right"/>
              <w:rPr>
                <w:rFonts w:cs="Arial"/>
                <w:sz w:val="16"/>
                <w:szCs w:val="16"/>
              </w:rPr>
            </w:pPr>
            <w:r w:rsidRPr="00EE5D67">
              <w:rPr>
                <w:rFonts w:cs="Arial"/>
                <w:sz w:val="16"/>
                <w:szCs w:val="16"/>
              </w:rPr>
              <w:t>71 259</w:t>
            </w:r>
          </w:p>
        </w:tc>
        <w:tc>
          <w:tcPr>
            <w:tcW w:w="865" w:type="dxa"/>
            <w:tcBorders>
              <w:top w:val="nil"/>
              <w:left w:val="nil"/>
              <w:bottom w:val="nil"/>
              <w:right w:val="nil"/>
            </w:tcBorders>
            <w:shd w:val="clear" w:color="000000" w:fill="FFFFFF"/>
            <w:vAlign w:val="center"/>
            <w:hideMark/>
          </w:tcPr>
          <w:p w14:paraId="6FB01401" w14:textId="77777777" w:rsidR="00EE5D67" w:rsidRPr="00EE5D67" w:rsidRDefault="00EE5D67" w:rsidP="00FA3B19">
            <w:pPr>
              <w:spacing w:after="0" w:line="240" w:lineRule="auto"/>
              <w:jc w:val="right"/>
              <w:rPr>
                <w:rFonts w:cs="Arial"/>
                <w:sz w:val="16"/>
                <w:szCs w:val="16"/>
              </w:rPr>
            </w:pPr>
            <w:r w:rsidRPr="00EE5D67">
              <w:rPr>
                <w:rFonts w:cs="Arial"/>
                <w:sz w:val="16"/>
                <w:szCs w:val="16"/>
              </w:rPr>
              <w:t>42 654</w:t>
            </w:r>
          </w:p>
        </w:tc>
        <w:tc>
          <w:tcPr>
            <w:tcW w:w="869" w:type="dxa"/>
            <w:tcBorders>
              <w:top w:val="nil"/>
              <w:left w:val="nil"/>
              <w:bottom w:val="nil"/>
              <w:right w:val="single" w:sz="4" w:space="0" w:color="auto"/>
            </w:tcBorders>
            <w:shd w:val="clear" w:color="000000" w:fill="FFFFFF"/>
            <w:vAlign w:val="center"/>
            <w:hideMark/>
          </w:tcPr>
          <w:p w14:paraId="50FC500A" w14:textId="77777777" w:rsidR="00EE5D67" w:rsidRPr="00EE5D67" w:rsidRDefault="00EE5D67" w:rsidP="00FA3B19">
            <w:pPr>
              <w:spacing w:after="0" w:line="240" w:lineRule="auto"/>
              <w:jc w:val="right"/>
              <w:rPr>
                <w:rFonts w:cs="Arial"/>
                <w:sz w:val="16"/>
                <w:szCs w:val="16"/>
              </w:rPr>
            </w:pPr>
            <w:r w:rsidRPr="00EE5D67">
              <w:rPr>
                <w:rFonts w:cs="Arial"/>
                <w:sz w:val="16"/>
                <w:szCs w:val="16"/>
              </w:rPr>
              <w:t>28 605</w:t>
            </w:r>
          </w:p>
        </w:tc>
        <w:tc>
          <w:tcPr>
            <w:tcW w:w="1039" w:type="dxa"/>
            <w:gridSpan w:val="2"/>
            <w:tcBorders>
              <w:top w:val="nil"/>
              <w:left w:val="nil"/>
              <w:bottom w:val="nil"/>
              <w:right w:val="nil"/>
            </w:tcBorders>
            <w:shd w:val="clear" w:color="000000" w:fill="FFFFFF"/>
            <w:noWrap/>
            <w:vAlign w:val="center"/>
            <w:hideMark/>
          </w:tcPr>
          <w:p w14:paraId="7A977C33" w14:textId="77777777" w:rsidR="00EE5D67" w:rsidRPr="00EE5D67" w:rsidRDefault="00EE5D67" w:rsidP="00FA3B19">
            <w:pPr>
              <w:spacing w:after="0" w:line="240" w:lineRule="auto"/>
              <w:jc w:val="right"/>
              <w:rPr>
                <w:rFonts w:cs="Arial"/>
                <w:sz w:val="16"/>
                <w:szCs w:val="16"/>
              </w:rPr>
            </w:pPr>
            <w:r w:rsidRPr="00EE5D67">
              <w:rPr>
                <w:rFonts w:cs="Arial"/>
                <w:sz w:val="16"/>
                <w:szCs w:val="16"/>
              </w:rPr>
              <w:t>4 119 063</w:t>
            </w:r>
          </w:p>
        </w:tc>
        <w:tc>
          <w:tcPr>
            <w:tcW w:w="982" w:type="dxa"/>
            <w:gridSpan w:val="2"/>
            <w:tcBorders>
              <w:top w:val="nil"/>
              <w:left w:val="nil"/>
              <w:bottom w:val="nil"/>
              <w:right w:val="nil"/>
            </w:tcBorders>
            <w:shd w:val="clear" w:color="000000" w:fill="FFFFFF"/>
            <w:noWrap/>
            <w:vAlign w:val="center"/>
            <w:hideMark/>
          </w:tcPr>
          <w:p w14:paraId="2084B84D" w14:textId="77777777" w:rsidR="00EE5D67" w:rsidRPr="00EE5D67" w:rsidRDefault="00EE5D67" w:rsidP="00FA3B19">
            <w:pPr>
              <w:spacing w:after="0" w:line="240" w:lineRule="auto"/>
              <w:jc w:val="right"/>
              <w:rPr>
                <w:rFonts w:cs="Arial"/>
                <w:sz w:val="16"/>
                <w:szCs w:val="16"/>
              </w:rPr>
            </w:pPr>
            <w:r w:rsidRPr="00EE5D67">
              <w:rPr>
                <w:rFonts w:cs="Arial"/>
                <w:sz w:val="16"/>
                <w:szCs w:val="16"/>
              </w:rPr>
              <w:t>2 806 906</w:t>
            </w:r>
          </w:p>
        </w:tc>
        <w:tc>
          <w:tcPr>
            <w:tcW w:w="982" w:type="dxa"/>
            <w:gridSpan w:val="2"/>
            <w:tcBorders>
              <w:top w:val="nil"/>
              <w:left w:val="nil"/>
              <w:bottom w:val="nil"/>
              <w:right w:val="single" w:sz="4" w:space="0" w:color="auto"/>
            </w:tcBorders>
            <w:shd w:val="clear" w:color="000000" w:fill="FFFFFF"/>
            <w:noWrap/>
            <w:vAlign w:val="center"/>
            <w:hideMark/>
          </w:tcPr>
          <w:p w14:paraId="1E9F1A8C" w14:textId="77777777" w:rsidR="00EE5D67" w:rsidRPr="00EE5D67" w:rsidRDefault="00EE5D67" w:rsidP="00FA3B19">
            <w:pPr>
              <w:spacing w:after="0" w:line="240" w:lineRule="auto"/>
              <w:jc w:val="right"/>
              <w:rPr>
                <w:rFonts w:cs="Arial"/>
                <w:sz w:val="16"/>
                <w:szCs w:val="16"/>
              </w:rPr>
            </w:pPr>
            <w:r w:rsidRPr="00EE5D67">
              <w:rPr>
                <w:rFonts w:cs="Arial"/>
                <w:sz w:val="16"/>
                <w:szCs w:val="16"/>
              </w:rPr>
              <w:t>1 312 157</w:t>
            </w:r>
          </w:p>
        </w:tc>
        <w:tc>
          <w:tcPr>
            <w:tcW w:w="936" w:type="dxa"/>
            <w:gridSpan w:val="2"/>
            <w:tcBorders>
              <w:top w:val="nil"/>
              <w:left w:val="nil"/>
              <w:bottom w:val="nil"/>
              <w:right w:val="nil"/>
            </w:tcBorders>
            <w:shd w:val="clear" w:color="000000" w:fill="FFFFFF"/>
            <w:vAlign w:val="center"/>
            <w:hideMark/>
          </w:tcPr>
          <w:p w14:paraId="58CA25A7" w14:textId="77777777" w:rsidR="00EE5D67" w:rsidRPr="00EE5D67" w:rsidRDefault="00EE5D67" w:rsidP="00FA3B19">
            <w:pPr>
              <w:spacing w:after="0" w:line="240" w:lineRule="auto"/>
              <w:jc w:val="right"/>
              <w:rPr>
                <w:rFonts w:cs="Arial"/>
                <w:sz w:val="16"/>
                <w:szCs w:val="16"/>
              </w:rPr>
            </w:pPr>
            <w:r w:rsidRPr="00EE5D67">
              <w:rPr>
                <w:rFonts w:cs="Arial"/>
                <w:sz w:val="16"/>
                <w:szCs w:val="16"/>
              </w:rPr>
              <w:t>57,80</w:t>
            </w:r>
          </w:p>
        </w:tc>
        <w:tc>
          <w:tcPr>
            <w:tcW w:w="936" w:type="dxa"/>
            <w:gridSpan w:val="2"/>
            <w:tcBorders>
              <w:top w:val="nil"/>
              <w:left w:val="nil"/>
              <w:bottom w:val="nil"/>
              <w:right w:val="nil"/>
            </w:tcBorders>
            <w:shd w:val="clear" w:color="000000" w:fill="FFFFFF"/>
            <w:vAlign w:val="center"/>
            <w:hideMark/>
          </w:tcPr>
          <w:p w14:paraId="5E136BBB" w14:textId="77777777" w:rsidR="00EE5D67" w:rsidRPr="00EE5D67" w:rsidRDefault="00EE5D67" w:rsidP="00FA3B19">
            <w:pPr>
              <w:spacing w:after="0" w:line="240" w:lineRule="auto"/>
              <w:jc w:val="right"/>
              <w:rPr>
                <w:rFonts w:cs="Arial"/>
                <w:sz w:val="16"/>
                <w:szCs w:val="16"/>
              </w:rPr>
            </w:pPr>
            <w:r w:rsidRPr="00EE5D67">
              <w:rPr>
                <w:rFonts w:cs="Arial"/>
                <w:sz w:val="16"/>
                <w:szCs w:val="16"/>
              </w:rPr>
              <w:t>65,81</w:t>
            </w:r>
          </w:p>
        </w:tc>
        <w:tc>
          <w:tcPr>
            <w:tcW w:w="939" w:type="dxa"/>
            <w:gridSpan w:val="4"/>
            <w:tcBorders>
              <w:top w:val="nil"/>
              <w:left w:val="nil"/>
              <w:bottom w:val="nil"/>
              <w:right w:val="nil"/>
            </w:tcBorders>
            <w:shd w:val="clear" w:color="000000" w:fill="FFFFFF"/>
            <w:vAlign w:val="center"/>
            <w:hideMark/>
          </w:tcPr>
          <w:p w14:paraId="2A18CCA3" w14:textId="77777777" w:rsidR="00EE5D67" w:rsidRPr="00EE5D67" w:rsidRDefault="00EE5D67" w:rsidP="00FA3B19">
            <w:pPr>
              <w:spacing w:after="0" w:line="240" w:lineRule="auto"/>
              <w:jc w:val="right"/>
              <w:rPr>
                <w:rFonts w:cs="Arial"/>
                <w:sz w:val="16"/>
                <w:szCs w:val="16"/>
              </w:rPr>
            </w:pPr>
            <w:r w:rsidRPr="00EE5D67">
              <w:rPr>
                <w:rFonts w:cs="Arial"/>
                <w:sz w:val="16"/>
                <w:szCs w:val="16"/>
              </w:rPr>
              <w:t>45,87</w:t>
            </w:r>
          </w:p>
        </w:tc>
      </w:tr>
    </w:tbl>
    <w:p w14:paraId="5B96D53A" w14:textId="1B7C8A9E" w:rsidR="00D82821" w:rsidRPr="00D82821" w:rsidRDefault="00A02F0C" w:rsidP="005A3F7E">
      <w:pPr>
        <w:spacing w:before="120"/>
        <w:jc w:val="both"/>
        <w:rPr>
          <w:rFonts w:cs="Arial"/>
          <w:sz w:val="16"/>
          <w:szCs w:val="16"/>
        </w:rPr>
      </w:pPr>
      <w:r>
        <w:fldChar w:fldCharType="end"/>
      </w:r>
      <w:r w:rsidR="00D82821" w:rsidRPr="00D82821">
        <w:rPr>
          <w:rFonts w:cs="Arial"/>
          <w:sz w:val="16"/>
          <w:szCs w:val="16"/>
        </w:rPr>
        <w:t>Zdroj: ČSSZ</w:t>
      </w:r>
    </w:p>
    <w:p w14:paraId="37BC1923" w14:textId="77777777" w:rsidR="00907B59" w:rsidRDefault="00907B59">
      <w:pPr>
        <w:spacing w:after="0" w:line="240" w:lineRule="auto"/>
        <w:rPr>
          <w:b/>
        </w:rPr>
      </w:pPr>
      <w:r>
        <w:rPr>
          <w:b/>
        </w:rPr>
        <w:br w:type="page"/>
      </w:r>
    </w:p>
    <w:p w14:paraId="202D8B04" w14:textId="50245C31" w:rsidR="0061054D" w:rsidRDefault="0061054D" w:rsidP="0019246C">
      <w:pPr>
        <w:spacing w:after="120"/>
        <w:jc w:val="both"/>
        <w:rPr>
          <w:b/>
        </w:rPr>
      </w:pPr>
      <w:r w:rsidRPr="0061054D">
        <w:rPr>
          <w:b/>
        </w:rPr>
        <w:lastRenderedPageBreak/>
        <w:t>Graf 3.1</w:t>
      </w:r>
      <w:r>
        <w:rPr>
          <w:b/>
        </w:rPr>
        <w:t>: U</w:t>
      </w:r>
      <w:r w:rsidRPr="0061054D">
        <w:rPr>
          <w:b/>
        </w:rPr>
        <w:t xml:space="preserve">končené případy </w:t>
      </w:r>
      <w:r w:rsidR="00097DA1">
        <w:rPr>
          <w:b/>
        </w:rPr>
        <w:t xml:space="preserve">dočasné </w:t>
      </w:r>
      <w:r w:rsidRPr="0061054D">
        <w:rPr>
          <w:b/>
        </w:rPr>
        <w:t>pracovní neschopnosti podle věku a pohlaví v 1. pol. 2019</w:t>
      </w:r>
    </w:p>
    <w:p w14:paraId="12462CF1" w14:textId="755D1D5F" w:rsidR="00C904CE" w:rsidRPr="005C7F8A" w:rsidRDefault="0061054D" w:rsidP="005C7F8A">
      <w:pPr>
        <w:jc w:val="both"/>
        <w:rPr>
          <w:b/>
        </w:rPr>
      </w:pPr>
      <w:r>
        <w:rPr>
          <w:noProof/>
        </w:rPr>
        <w:drawing>
          <wp:inline distT="0" distB="0" distL="0" distR="0" wp14:anchorId="6CD5B8D4" wp14:editId="1942C7D3">
            <wp:extent cx="6162675" cy="3114675"/>
            <wp:effectExtent l="0" t="0" r="0" b="0"/>
            <wp:docPr id="62" name="Graf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C904CE" w:rsidRPr="00D82821">
        <w:rPr>
          <w:rFonts w:cs="Arial"/>
          <w:sz w:val="16"/>
          <w:szCs w:val="16"/>
        </w:rPr>
        <w:t>Zdroj: ČSSZ</w:t>
      </w:r>
    </w:p>
    <w:p w14:paraId="7E636921" w14:textId="17C8AFCA" w:rsidR="00112274" w:rsidRDefault="00622CCE" w:rsidP="00622CCE">
      <w:pPr>
        <w:jc w:val="both"/>
      </w:pPr>
      <w:r w:rsidRPr="000D2467">
        <w:t>Průměrná délka trvání jednoho případu pracovní neschopnosti průběžně roste s věkem (viz tab. 3.</w:t>
      </w:r>
      <w:r w:rsidR="00FA3B19">
        <w:t>2), a to od 18</w:t>
      </w:r>
      <w:r w:rsidRPr="000D2467">
        <w:t>,</w:t>
      </w:r>
      <w:r w:rsidR="00FA3B19">
        <w:t>7</w:t>
      </w:r>
      <w:r w:rsidRPr="000D2467">
        <w:t xml:space="preserve"> dne ve věkové skupině do 20 let až po </w:t>
      </w:r>
      <w:r w:rsidR="00FA3B19">
        <w:t>64,7</w:t>
      </w:r>
      <w:r w:rsidRPr="000D2467">
        <w:t xml:space="preserve"> dne ve věkové skupině 60 a více let, což je dáno zejména poklesem krátkodobých případů pracovní neschopnosti pro nemoci dýchací soustavy a naopak nárůstem dlouhodobých případů pracovní neschopnosti pro nádorová onemocnění a nemoci oběhové soustavy se zvyšujícím se věkem.</w:t>
      </w:r>
      <w:r>
        <w:t xml:space="preserve"> Rozložení </w:t>
      </w:r>
      <w:r w:rsidR="002D51F0">
        <w:t>případů</w:t>
      </w:r>
      <w:r>
        <w:t xml:space="preserve"> </w:t>
      </w:r>
      <w:r w:rsidR="005C7F8A">
        <w:t>pracovní neschopnosti</w:t>
      </w:r>
      <w:r>
        <w:t xml:space="preserve"> podle věku a pohlaví je ovlivněno také věkovou hranicí pro odchod do důchodu, v nejstarší věkové skupině </w:t>
      </w:r>
      <w:r w:rsidR="00FB3A35">
        <w:t xml:space="preserve">60 a víceletých </w:t>
      </w:r>
      <w:r w:rsidR="00F20F72">
        <w:t xml:space="preserve">ve spojitosti s ukončenými případy dočasné pracovní neschopnosti </w:t>
      </w:r>
      <w:r>
        <w:t xml:space="preserve">je </w:t>
      </w:r>
      <w:r w:rsidR="00F20F72">
        <w:t xml:space="preserve">totiž </w:t>
      </w:r>
      <w:r w:rsidR="00FB3A35">
        <w:t xml:space="preserve">větší zastoupení </w:t>
      </w:r>
      <w:r>
        <w:t xml:space="preserve">mužů než </w:t>
      </w:r>
      <w:r w:rsidR="009A1A83">
        <w:t>žen</w:t>
      </w:r>
      <w:r>
        <w:t>.</w:t>
      </w:r>
      <w:r w:rsidR="00F449CD">
        <w:t xml:space="preserve"> </w:t>
      </w:r>
      <w:r w:rsidR="00395E54">
        <w:t xml:space="preserve">V následující tab. </w:t>
      </w:r>
      <w:r w:rsidR="002665F3">
        <w:t>3.</w:t>
      </w:r>
      <w:r w:rsidR="009A1A83">
        <w:t>3</w:t>
      </w:r>
      <w:r w:rsidR="002665F3">
        <w:t xml:space="preserve"> </w:t>
      </w:r>
      <w:r w:rsidR="009A1A83">
        <w:t xml:space="preserve">je uveden </w:t>
      </w:r>
      <w:r w:rsidR="002665F3">
        <w:t>přehled ukončených případů dočasné pracovní neschopnosti podle délky jejího trvání</w:t>
      </w:r>
      <w:r w:rsidR="009A1A83">
        <w:t>.</w:t>
      </w:r>
      <w:r w:rsidR="00F649B5">
        <w:t xml:space="preserve"> </w:t>
      </w:r>
      <w:r w:rsidR="009A1A83">
        <w:t>N</w:t>
      </w:r>
      <w:r w:rsidR="00F649B5">
        <w:t>ejvíce ukončených případů DPN</w:t>
      </w:r>
      <w:r w:rsidR="008D3293">
        <w:t xml:space="preserve"> </w:t>
      </w:r>
      <w:r w:rsidR="004C4C8F">
        <w:t xml:space="preserve">(dočasné pracovní neschopnosti) </w:t>
      </w:r>
      <w:r w:rsidR="008D3293">
        <w:t xml:space="preserve">je ve skupině 1–14 dnů a 15–21 dnů, nejméně ve skupině </w:t>
      </w:r>
      <w:r w:rsidR="005C7F8A">
        <w:t>271–365</w:t>
      </w:r>
      <w:r w:rsidR="008D3293">
        <w:t xml:space="preserve"> dnů.</w:t>
      </w:r>
      <w:r w:rsidR="00112274">
        <w:t xml:space="preserve"> </w:t>
      </w:r>
    </w:p>
    <w:p w14:paraId="69756C80" w14:textId="6DEA6575" w:rsidR="00622CCE" w:rsidRDefault="00112274" w:rsidP="00622CCE">
      <w:pPr>
        <w:jc w:val="both"/>
      </w:pPr>
      <w:r>
        <w:t>Při zohlednění velikosti krajů, bylo nejvíce ukončených případů pracovní neschopnosti zaznamenáno v Plzeňském, Libereckém a Královéhradeckém kraji (všude více než 10 000 případů na 100</w:t>
      </w:r>
      <w:r w:rsidR="007476C8">
        <w:t xml:space="preserve"> 000 </w:t>
      </w:r>
      <w:r w:rsidR="00F20F72">
        <w:t>obyvatel</w:t>
      </w:r>
      <w:r>
        <w:t xml:space="preserve"> v daném kraji).</w:t>
      </w:r>
    </w:p>
    <w:p w14:paraId="2EAEBF1F" w14:textId="2B46EBDE" w:rsidR="00907B59" w:rsidRDefault="00907B59" w:rsidP="00907B59">
      <w:pPr>
        <w:jc w:val="both"/>
      </w:pPr>
      <w:r>
        <w:t xml:space="preserve">Pracovní neschopnost plyne z různých příčin a statistiky ČSSZ nabízí přehled ukončených případů pracovní neschopnosti </w:t>
      </w:r>
      <w:r w:rsidRPr="00861778">
        <w:rPr>
          <w:b/>
        </w:rPr>
        <w:t>podle diagnóz</w:t>
      </w:r>
      <w:r>
        <w:rPr>
          <w:b/>
        </w:rPr>
        <w:t xml:space="preserve"> </w:t>
      </w:r>
      <w:r w:rsidRPr="00861778">
        <w:t>(dle kapitol MKN-10).</w:t>
      </w:r>
      <w:r>
        <w:t xml:space="preserve"> N</w:t>
      </w:r>
      <w:r w:rsidRPr="00655BD5">
        <w:t>ejčastějším důvodem pracovní neschopnosti zůstávají nemoci dýchací soustavy, které v 1. pol. 201</w:t>
      </w:r>
      <w:r>
        <w:t>9</w:t>
      </w:r>
      <w:r w:rsidRPr="00655BD5">
        <w:t xml:space="preserve">  tvořily </w:t>
      </w:r>
      <w:r>
        <w:t>40,4</w:t>
      </w:r>
      <w:r w:rsidRPr="00655BD5">
        <w:t xml:space="preserve"> % všech případů pracovní neschopnosti</w:t>
      </w:r>
      <w:r>
        <w:t>. Z</w:t>
      </w:r>
      <w:r w:rsidRPr="00A34C92">
        <w:t> </w:t>
      </w:r>
      <w:r>
        <w:t>necelého</w:t>
      </w:r>
      <w:r w:rsidRPr="00A34C92">
        <w:t xml:space="preserve"> milionu ukončených neschopenek zapříčinily nemoci dýchací soustavy </w:t>
      </w:r>
      <w:r>
        <w:t>389 646</w:t>
      </w:r>
      <w:r w:rsidRPr="00A34C92">
        <w:t xml:space="preserve"> případ</w:t>
      </w:r>
      <w:r>
        <w:t>ů dočasné pracovní neschopnosti.</w:t>
      </w:r>
      <w:r w:rsidRPr="00A34C92">
        <w:t xml:space="preserve"> </w:t>
      </w:r>
      <w:r>
        <w:t>Pro srovnání l</w:t>
      </w:r>
      <w:r w:rsidRPr="00A34C92">
        <w:t xml:space="preserve">oni od ledna do června tato onemocnění způsobila </w:t>
      </w:r>
      <w:r>
        <w:t>470 080 případů</w:t>
      </w:r>
      <w:r w:rsidRPr="00A34C92">
        <w:t xml:space="preserve">. </w:t>
      </w:r>
      <w:r w:rsidRPr="00655BD5">
        <w:t xml:space="preserve">Z nemocí této skupiny </w:t>
      </w:r>
      <w:r w:rsidR="00FB3A35">
        <w:t>bývají</w:t>
      </w:r>
      <w:r>
        <w:t xml:space="preserve"> neschopenky vystaveny zejména kvůli</w:t>
      </w:r>
      <w:r w:rsidRPr="00655BD5">
        <w:t xml:space="preserve"> akutn</w:t>
      </w:r>
      <w:r>
        <w:t xml:space="preserve">í infekci dýchacích cest, chřipce či </w:t>
      </w:r>
      <w:r w:rsidRPr="00655BD5">
        <w:t>chronické</w:t>
      </w:r>
      <w:r>
        <w:t>mu onemocnění dýchacích cest</w:t>
      </w:r>
      <w:r w:rsidRPr="00655BD5">
        <w:t xml:space="preserve">. </w:t>
      </w:r>
      <w:r w:rsidR="00F075BE">
        <w:t>Nemoci dýchací soustavy jsou sice nejčastější příčinou pracovní neschopnosti, n</w:t>
      </w:r>
      <w:r>
        <w:t xml:space="preserve">a druhou stranu </w:t>
      </w:r>
      <w:r w:rsidR="00F075BE">
        <w:t xml:space="preserve">za 1. pol. 2019 </w:t>
      </w:r>
      <w:r>
        <w:t>způsobil</w:t>
      </w:r>
      <w:r w:rsidR="00F075BE">
        <w:t>y</w:t>
      </w:r>
      <w:r w:rsidRPr="00655BD5">
        <w:t xml:space="preserve"> pouze </w:t>
      </w:r>
      <w:r>
        <w:t>15,7</w:t>
      </w:r>
      <w:r w:rsidRPr="00655BD5">
        <w:t xml:space="preserve"> % (</w:t>
      </w:r>
      <w:r>
        <w:t>6 297,9 tis. dnů</w:t>
      </w:r>
      <w:r w:rsidRPr="00655BD5">
        <w:t>) z celkového počtu prostonaných dnů, což znamená v průměru nejkratší dobu pracovní nescho</w:t>
      </w:r>
      <w:r>
        <w:t>pnosti ze všech skupin diagnóz, a</w:t>
      </w:r>
      <w:r w:rsidR="00614C38">
        <w:t> </w:t>
      </w:r>
      <w:r>
        <w:t xml:space="preserve">sice 16 </w:t>
      </w:r>
      <w:r w:rsidRPr="00655BD5">
        <w:t>dn</w:t>
      </w:r>
      <w:r>
        <w:t>ů na jeden případ</w:t>
      </w:r>
      <w:r w:rsidRPr="00655BD5">
        <w:t>.</w:t>
      </w:r>
    </w:p>
    <w:p w14:paraId="51EC7060" w14:textId="275BA902" w:rsidR="00907B59" w:rsidRDefault="00907B59" w:rsidP="00907B59">
      <w:pPr>
        <w:jc w:val="both"/>
      </w:pPr>
      <w:r w:rsidRPr="00655BD5">
        <w:t xml:space="preserve">Naopak </w:t>
      </w:r>
      <w:r>
        <w:t>50 pacientů s t</w:t>
      </w:r>
      <w:r w:rsidRPr="00655BD5">
        <w:t>ube</w:t>
      </w:r>
      <w:r>
        <w:t>r</w:t>
      </w:r>
      <w:r w:rsidRPr="00655BD5">
        <w:t xml:space="preserve">kulózou strávilo na lůžku v průměru </w:t>
      </w:r>
      <w:r>
        <w:t>185</w:t>
      </w:r>
      <w:r w:rsidRPr="00655BD5">
        <w:t xml:space="preserve"> dní.</w:t>
      </w:r>
      <w:r>
        <w:t xml:space="preserve"> K nemocem s časově náročnou léčbou a tedy i dlouhou dobou trvání patří také onkologická onemocnění (v 1. pol. 2019 179 dnů, loni 178 dnů) a cévní onemocnění mozku (167 oproti loňským 161 dnům).</w:t>
      </w:r>
    </w:p>
    <w:p w14:paraId="21998CA4" w14:textId="20E95C9B" w:rsidR="00EE5D67" w:rsidRDefault="00003180" w:rsidP="00F20F72">
      <w:pPr>
        <w:spacing w:after="120"/>
        <w:jc w:val="both"/>
        <w:rPr>
          <w:rFonts w:ascii="Calibri" w:eastAsia="Calibri" w:hAnsi="Calibri"/>
          <w:szCs w:val="20"/>
          <w:lang w:eastAsia="en-US"/>
        </w:rPr>
      </w:pPr>
      <w:r w:rsidRPr="00003180">
        <w:rPr>
          <w:b/>
        </w:rPr>
        <w:lastRenderedPageBreak/>
        <w:t>Tab. 3.3</w:t>
      </w:r>
      <w:r>
        <w:rPr>
          <w:b/>
        </w:rPr>
        <w:t xml:space="preserve">: </w:t>
      </w:r>
      <w:r w:rsidRPr="00003180">
        <w:rPr>
          <w:b/>
        </w:rPr>
        <w:t xml:space="preserve">Ukončené případy dočasné pracovní neschopnosti </w:t>
      </w:r>
      <w:r w:rsidR="00F20F72">
        <w:rPr>
          <w:b/>
        </w:rPr>
        <w:t>podle délky trvání a krajů ČR za 1. pol. 2019</w:t>
      </w:r>
      <w:r w:rsidR="00183E6E">
        <w:rPr>
          <w:b/>
        </w:rPr>
        <w:fldChar w:fldCharType="begin"/>
      </w:r>
      <w:r w:rsidR="00183E6E">
        <w:rPr>
          <w:b/>
        </w:rPr>
        <w:instrText xml:space="preserve"> LINK </w:instrText>
      </w:r>
      <w:r w:rsidR="00EE5D67">
        <w:rPr>
          <w:b/>
        </w:rPr>
        <w:instrText xml:space="preserve">Excel.Sheet.12 "E:\\PN_1.pol.2019\\1. pol\\TABULKY V TEXTU.xlsx" 3.3a!R1C1:R34C11 </w:instrText>
      </w:r>
      <w:r w:rsidR="00183E6E">
        <w:rPr>
          <w:b/>
        </w:rPr>
        <w:instrText xml:space="preserve">\a \f 4 \h </w:instrText>
      </w:r>
      <w:r w:rsidR="00FA3B19">
        <w:rPr>
          <w:b/>
        </w:rPr>
        <w:instrText xml:space="preserve"> \* MERGEFORMAT </w:instrText>
      </w:r>
      <w:r w:rsidR="00183E6E">
        <w:rPr>
          <w:b/>
        </w:rPr>
        <w:fldChar w:fldCharType="separate"/>
      </w:r>
    </w:p>
    <w:tbl>
      <w:tblPr>
        <w:tblW w:w="9638" w:type="dxa"/>
        <w:tblCellMar>
          <w:left w:w="70" w:type="dxa"/>
          <w:right w:w="70" w:type="dxa"/>
        </w:tblCellMar>
        <w:tblLook w:val="04A0" w:firstRow="1" w:lastRow="0" w:firstColumn="1" w:lastColumn="0" w:noHBand="0" w:noVBand="1"/>
      </w:tblPr>
      <w:tblGrid>
        <w:gridCol w:w="1418"/>
        <w:gridCol w:w="750"/>
        <w:gridCol w:w="830"/>
        <w:gridCol w:w="830"/>
        <w:gridCol w:w="830"/>
        <w:gridCol w:w="830"/>
        <w:gridCol w:w="830"/>
        <w:gridCol w:w="830"/>
        <w:gridCol w:w="830"/>
        <w:gridCol w:w="830"/>
        <w:gridCol w:w="830"/>
      </w:tblGrid>
      <w:tr w:rsidR="00F20F72" w:rsidRPr="00EE5D67" w14:paraId="75FB83FC" w14:textId="77777777" w:rsidTr="00F20F72">
        <w:trPr>
          <w:divId w:val="1692755238"/>
          <w:trHeight w:val="287"/>
        </w:trPr>
        <w:tc>
          <w:tcPr>
            <w:tcW w:w="1418" w:type="dxa"/>
            <w:vMerge w:val="restart"/>
            <w:tcBorders>
              <w:top w:val="single" w:sz="4" w:space="0" w:color="auto"/>
              <w:left w:val="nil"/>
              <w:right w:val="single" w:sz="4" w:space="0" w:color="auto"/>
            </w:tcBorders>
            <w:shd w:val="clear" w:color="000000" w:fill="F2DCDB"/>
            <w:noWrap/>
            <w:vAlign w:val="center"/>
            <w:hideMark/>
          </w:tcPr>
          <w:p w14:paraId="79575608" w14:textId="55B69A33" w:rsidR="00F20F72" w:rsidRPr="00EE5D67" w:rsidRDefault="00F20F72" w:rsidP="00F20F72">
            <w:pPr>
              <w:spacing w:after="0" w:line="240" w:lineRule="auto"/>
              <w:jc w:val="center"/>
              <w:rPr>
                <w:rFonts w:cs="Arial"/>
                <w:color w:val="000000"/>
                <w:sz w:val="16"/>
                <w:szCs w:val="16"/>
              </w:rPr>
            </w:pPr>
            <w:r>
              <w:rPr>
                <w:rFonts w:cs="Arial"/>
                <w:color w:val="000000"/>
                <w:sz w:val="16"/>
                <w:szCs w:val="16"/>
              </w:rPr>
              <w:t>Kraj ČR</w:t>
            </w:r>
          </w:p>
        </w:tc>
        <w:tc>
          <w:tcPr>
            <w:tcW w:w="8220" w:type="dxa"/>
            <w:gridSpan w:val="10"/>
            <w:tcBorders>
              <w:top w:val="single" w:sz="4" w:space="0" w:color="auto"/>
              <w:left w:val="nil"/>
              <w:bottom w:val="single" w:sz="4" w:space="0" w:color="auto"/>
              <w:right w:val="nil"/>
            </w:tcBorders>
            <w:shd w:val="clear" w:color="000000" w:fill="F2DCDB"/>
            <w:vAlign w:val="center"/>
            <w:hideMark/>
          </w:tcPr>
          <w:p w14:paraId="268C789A" w14:textId="77777777" w:rsidR="00F20F72" w:rsidRPr="00EE5D67" w:rsidRDefault="00F20F72" w:rsidP="00EE5D67">
            <w:pPr>
              <w:spacing w:after="0" w:line="240" w:lineRule="auto"/>
              <w:jc w:val="center"/>
              <w:rPr>
                <w:rFonts w:cs="Arial"/>
                <w:sz w:val="16"/>
                <w:szCs w:val="16"/>
              </w:rPr>
            </w:pPr>
            <w:r w:rsidRPr="00EE5D67">
              <w:rPr>
                <w:rFonts w:cs="Arial"/>
                <w:sz w:val="16"/>
                <w:szCs w:val="16"/>
              </w:rPr>
              <w:t>Trvání DPN</w:t>
            </w:r>
          </w:p>
        </w:tc>
      </w:tr>
      <w:tr w:rsidR="00F20F72" w:rsidRPr="00EE5D67" w14:paraId="3C38D770" w14:textId="77777777" w:rsidTr="00C81EB1">
        <w:trPr>
          <w:divId w:val="1692755238"/>
          <w:trHeight w:val="431"/>
        </w:trPr>
        <w:tc>
          <w:tcPr>
            <w:tcW w:w="1418" w:type="dxa"/>
            <w:vMerge/>
            <w:tcBorders>
              <w:left w:val="nil"/>
              <w:bottom w:val="nil"/>
              <w:right w:val="single" w:sz="4" w:space="0" w:color="auto"/>
            </w:tcBorders>
            <w:shd w:val="clear" w:color="auto" w:fill="F2DCDB"/>
            <w:noWrap/>
            <w:vAlign w:val="bottom"/>
            <w:hideMark/>
          </w:tcPr>
          <w:p w14:paraId="4D0344CB" w14:textId="4DA14A0F" w:rsidR="00F20F72" w:rsidRPr="00EE5D67" w:rsidRDefault="00F20F72" w:rsidP="00EE5D67">
            <w:pPr>
              <w:spacing w:after="0" w:line="240" w:lineRule="auto"/>
              <w:rPr>
                <w:rFonts w:cs="Arial"/>
                <w:color w:val="000000"/>
                <w:sz w:val="16"/>
                <w:szCs w:val="16"/>
              </w:rPr>
            </w:pPr>
          </w:p>
        </w:tc>
        <w:tc>
          <w:tcPr>
            <w:tcW w:w="750" w:type="dxa"/>
            <w:tcBorders>
              <w:top w:val="nil"/>
              <w:left w:val="nil"/>
              <w:bottom w:val="nil"/>
              <w:right w:val="nil"/>
            </w:tcBorders>
            <w:shd w:val="clear" w:color="auto" w:fill="F2DCDB"/>
            <w:vAlign w:val="center"/>
            <w:hideMark/>
          </w:tcPr>
          <w:p w14:paraId="11730F78" w14:textId="02373FE8" w:rsidR="00F20F72" w:rsidRPr="00EE5D67" w:rsidRDefault="00F20F72" w:rsidP="00EE5D67">
            <w:pPr>
              <w:spacing w:after="0" w:line="240" w:lineRule="auto"/>
              <w:jc w:val="right"/>
              <w:rPr>
                <w:rFonts w:ascii="Arial CE" w:hAnsi="Arial CE" w:cs="Arial CE"/>
                <w:b/>
                <w:bCs/>
                <w:sz w:val="16"/>
                <w:szCs w:val="16"/>
              </w:rPr>
            </w:pPr>
            <w:r>
              <w:rPr>
                <w:rFonts w:ascii="Arial CE" w:hAnsi="Arial CE" w:cs="Arial CE"/>
                <w:b/>
                <w:bCs/>
                <w:sz w:val="16"/>
                <w:szCs w:val="16"/>
              </w:rPr>
              <w:t>C</w:t>
            </w:r>
            <w:r w:rsidRPr="00EE5D67">
              <w:rPr>
                <w:rFonts w:ascii="Arial CE" w:hAnsi="Arial CE" w:cs="Arial CE"/>
                <w:b/>
                <w:bCs/>
                <w:sz w:val="16"/>
                <w:szCs w:val="16"/>
              </w:rPr>
              <w:t>elkem</w:t>
            </w:r>
          </w:p>
        </w:tc>
        <w:tc>
          <w:tcPr>
            <w:tcW w:w="830" w:type="dxa"/>
            <w:tcBorders>
              <w:top w:val="nil"/>
              <w:left w:val="nil"/>
              <w:bottom w:val="nil"/>
              <w:right w:val="nil"/>
            </w:tcBorders>
            <w:shd w:val="clear" w:color="auto" w:fill="F2DCDB"/>
            <w:noWrap/>
            <w:vAlign w:val="center"/>
            <w:hideMark/>
          </w:tcPr>
          <w:p w14:paraId="4C598305" w14:textId="77777777" w:rsidR="00F20F72" w:rsidRDefault="00F20F72" w:rsidP="00EE5D67">
            <w:pPr>
              <w:spacing w:after="0" w:line="240" w:lineRule="auto"/>
              <w:jc w:val="right"/>
              <w:rPr>
                <w:rFonts w:cs="Arial"/>
                <w:sz w:val="16"/>
                <w:szCs w:val="16"/>
              </w:rPr>
            </w:pPr>
            <w:r w:rsidRPr="00EE5D67">
              <w:rPr>
                <w:rFonts w:cs="Arial"/>
                <w:sz w:val="16"/>
                <w:szCs w:val="16"/>
              </w:rPr>
              <w:t xml:space="preserve">1–14 </w:t>
            </w:r>
          </w:p>
          <w:p w14:paraId="06251B68" w14:textId="4AD444A0" w:rsidR="00F20F72" w:rsidRPr="00EE5D67" w:rsidRDefault="00F20F72" w:rsidP="00EE5D67">
            <w:pPr>
              <w:spacing w:after="0" w:line="240" w:lineRule="auto"/>
              <w:jc w:val="right"/>
              <w:rPr>
                <w:rFonts w:cs="Arial"/>
                <w:sz w:val="16"/>
                <w:szCs w:val="16"/>
              </w:rPr>
            </w:pPr>
            <w:r w:rsidRPr="00EE5D67">
              <w:rPr>
                <w:rFonts w:cs="Arial"/>
                <w:sz w:val="16"/>
                <w:szCs w:val="16"/>
              </w:rPr>
              <w:t>dnů</w:t>
            </w:r>
          </w:p>
        </w:tc>
        <w:tc>
          <w:tcPr>
            <w:tcW w:w="830" w:type="dxa"/>
            <w:tcBorders>
              <w:top w:val="nil"/>
              <w:left w:val="nil"/>
              <w:bottom w:val="nil"/>
              <w:right w:val="nil"/>
            </w:tcBorders>
            <w:shd w:val="clear" w:color="auto" w:fill="F2DCDB"/>
            <w:noWrap/>
            <w:vAlign w:val="center"/>
            <w:hideMark/>
          </w:tcPr>
          <w:p w14:paraId="589909B8" w14:textId="77777777" w:rsidR="00F20F72" w:rsidRPr="00EE5D67" w:rsidRDefault="00F20F72" w:rsidP="00EE5D67">
            <w:pPr>
              <w:spacing w:after="0" w:line="240" w:lineRule="auto"/>
              <w:jc w:val="right"/>
              <w:rPr>
                <w:rFonts w:cs="Arial"/>
                <w:sz w:val="16"/>
                <w:szCs w:val="16"/>
              </w:rPr>
            </w:pPr>
            <w:r w:rsidRPr="00EE5D67">
              <w:rPr>
                <w:rFonts w:cs="Arial"/>
                <w:sz w:val="16"/>
                <w:szCs w:val="16"/>
              </w:rPr>
              <w:t>15–21 dnů</w:t>
            </w:r>
          </w:p>
        </w:tc>
        <w:tc>
          <w:tcPr>
            <w:tcW w:w="830" w:type="dxa"/>
            <w:tcBorders>
              <w:top w:val="nil"/>
              <w:left w:val="nil"/>
              <w:bottom w:val="nil"/>
              <w:right w:val="nil"/>
            </w:tcBorders>
            <w:shd w:val="clear" w:color="auto" w:fill="F2DCDB"/>
            <w:noWrap/>
            <w:vAlign w:val="center"/>
            <w:hideMark/>
          </w:tcPr>
          <w:p w14:paraId="0216C6BE" w14:textId="77777777" w:rsidR="00F20F72" w:rsidRPr="00EE5D67" w:rsidRDefault="00F20F72" w:rsidP="00EE5D67">
            <w:pPr>
              <w:spacing w:after="0" w:line="240" w:lineRule="auto"/>
              <w:jc w:val="right"/>
              <w:rPr>
                <w:rFonts w:cs="Arial"/>
                <w:sz w:val="16"/>
                <w:szCs w:val="16"/>
              </w:rPr>
            </w:pPr>
            <w:r w:rsidRPr="00EE5D67">
              <w:rPr>
                <w:rFonts w:cs="Arial"/>
                <w:sz w:val="16"/>
                <w:szCs w:val="16"/>
              </w:rPr>
              <w:t>22–30 dnů</w:t>
            </w:r>
          </w:p>
        </w:tc>
        <w:tc>
          <w:tcPr>
            <w:tcW w:w="830" w:type="dxa"/>
            <w:tcBorders>
              <w:top w:val="nil"/>
              <w:left w:val="nil"/>
              <w:bottom w:val="nil"/>
              <w:right w:val="nil"/>
            </w:tcBorders>
            <w:shd w:val="clear" w:color="auto" w:fill="F2DCDB"/>
            <w:noWrap/>
            <w:vAlign w:val="center"/>
            <w:hideMark/>
          </w:tcPr>
          <w:p w14:paraId="3ED313E8" w14:textId="77777777" w:rsidR="00F20F72" w:rsidRPr="00EE5D67" w:rsidRDefault="00F20F72" w:rsidP="00EE5D67">
            <w:pPr>
              <w:spacing w:after="0" w:line="240" w:lineRule="auto"/>
              <w:jc w:val="right"/>
              <w:rPr>
                <w:rFonts w:cs="Arial"/>
                <w:sz w:val="16"/>
                <w:szCs w:val="16"/>
              </w:rPr>
            </w:pPr>
            <w:r w:rsidRPr="00EE5D67">
              <w:rPr>
                <w:rFonts w:cs="Arial"/>
                <w:sz w:val="16"/>
                <w:szCs w:val="16"/>
              </w:rPr>
              <w:t>31–60 dnů</w:t>
            </w:r>
          </w:p>
        </w:tc>
        <w:tc>
          <w:tcPr>
            <w:tcW w:w="830" w:type="dxa"/>
            <w:tcBorders>
              <w:top w:val="nil"/>
              <w:left w:val="nil"/>
              <w:bottom w:val="nil"/>
              <w:right w:val="nil"/>
            </w:tcBorders>
            <w:shd w:val="clear" w:color="auto" w:fill="F2DCDB"/>
            <w:noWrap/>
            <w:vAlign w:val="center"/>
            <w:hideMark/>
          </w:tcPr>
          <w:p w14:paraId="42AF7D8E" w14:textId="77777777" w:rsidR="00F20F72" w:rsidRPr="00EE5D67" w:rsidRDefault="00F20F72" w:rsidP="00EE5D67">
            <w:pPr>
              <w:spacing w:after="0" w:line="240" w:lineRule="auto"/>
              <w:jc w:val="right"/>
              <w:rPr>
                <w:rFonts w:cs="Arial"/>
                <w:sz w:val="16"/>
                <w:szCs w:val="16"/>
              </w:rPr>
            </w:pPr>
            <w:r w:rsidRPr="00EE5D67">
              <w:rPr>
                <w:rFonts w:cs="Arial"/>
                <w:sz w:val="16"/>
                <w:szCs w:val="16"/>
              </w:rPr>
              <w:t>61–90 dnů</w:t>
            </w:r>
          </w:p>
        </w:tc>
        <w:tc>
          <w:tcPr>
            <w:tcW w:w="830" w:type="dxa"/>
            <w:tcBorders>
              <w:top w:val="nil"/>
              <w:left w:val="nil"/>
              <w:bottom w:val="nil"/>
              <w:right w:val="nil"/>
            </w:tcBorders>
            <w:shd w:val="clear" w:color="auto" w:fill="F2DCDB"/>
            <w:noWrap/>
            <w:vAlign w:val="center"/>
            <w:hideMark/>
          </w:tcPr>
          <w:p w14:paraId="61708BFF" w14:textId="77777777" w:rsidR="00F20F72" w:rsidRPr="00EE5D67" w:rsidRDefault="00F20F72" w:rsidP="00EE5D67">
            <w:pPr>
              <w:spacing w:after="0" w:line="240" w:lineRule="auto"/>
              <w:jc w:val="right"/>
              <w:rPr>
                <w:rFonts w:cs="Arial"/>
                <w:sz w:val="16"/>
                <w:szCs w:val="16"/>
              </w:rPr>
            </w:pPr>
            <w:r w:rsidRPr="00EE5D67">
              <w:rPr>
                <w:rFonts w:cs="Arial"/>
                <w:sz w:val="16"/>
                <w:szCs w:val="16"/>
              </w:rPr>
              <w:t>91–180 dnů</w:t>
            </w:r>
          </w:p>
        </w:tc>
        <w:tc>
          <w:tcPr>
            <w:tcW w:w="830" w:type="dxa"/>
            <w:tcBorders>
              <w:top w:val="nil"/>
              <w:left w:val="nil"/>
              <w:bottom w:val="nil"/>
              <w:right w:val="nil"/>
            </w:tcBorders>
            <w:shd w:val="clear" w:color="auto" w:fill="F2DCDB"/>
            <w:noWrap/>
            <w:vAlign w:val="center"/>
            <w:hideMark/>
          </w:tcPr>
          <w:p w14:paraId="35B7A68E" w14:textId="77777777" w:rsidR="00F20F72" w:rsidRPr="00EE5D67" w:rsidRDefault="00F20F72" w:rsidP="00EE5D67">
            <w:pPr>
              <w:spacing w:after="0" w:line="240" w:lineRule="auto"/>
              <w:jc w:val="right"/>
              <w:rPr>
                <w:rFonts w:cs="Arial"/>
                <w:sz w:val="16"/>
                <w:szCs w:val="16"/>
              </w:rPr>
            </w:pPr>
            <w:r w:rsidRPr="00EE5D67">
              <w:rPr>
                <w:rFonts w:cs="Arial"/>
                <w:sz w:val="16"/>
                <w:szCs w:val="16"/>
              </w:rPr>
              <w:t>181–270 dnů</w:t>
            </w:r>
          </w:p>
        </w:tc>
        <w:tc>
          <w:tcPr>
            <w:tcW w:w="830" w:type="dxa"/>
            <w:tcBorders>
              <w:top w:val="nil"/>
              <w:left w:val="nil"/>
              <w:bottom w:val="nil"/>
              <w:right w:val="nil"/>
            </w:tcBorders>
            <w:shd w:val="clear" w:color="auto" w:fill="F2DCDB"/>
            <w:noWrap/>
            <w:vAlign w:val="center"/>
            <w:hideMark/>
          </w:tcPr>
          <w:p w14:paraId="617D6528" w14:textId="77777777" w:rsidR="00F20F72" w:rsidRPr="00EE5D67" w:rsidRDefault="00F20F72" w:rsidP="00EE5D67">
            <w:pPr>
              <w:spacing w:after="0" w:line="240" w:lineRule="auto"/>
              <w:jc w:val="right"/>
              <w:rPr>
                <w:rFonts w:cs="Arial"/>
                <w:sz w:val="16"/>
                <w:szCs w:val="16"/>
              </w:rPr>
            </w:pPr>
            <w:r w:rsidRPr="00EE5D67">
              <w:rPr>
                <w:rFonts w:cs="Arial"/>
                <w:sz w:val="16"/>
                <w:szCs w:val="16"/>
              </w:rPr>
              <w:t>271–365 dnů</w:t>
            </w:r>
          </w:p>
        </w:tc>
        <w:tc>
          <w:tcPr>
            <w:tcW w:w="830" w:type="dxa"/>
            <w:tcBorders>
              <w:top w:val="nil"/>
              <w:left w:val="nil"/>
              <w:bottom w:val="nil"/>
              <w:right w:val="nil"/>
            </w:tcBorders>
            <w:shd w:val="clear" w:color="auto" w:fill="F2DCDB"/>
            <w:vAlign w:val="center"/>
            <w:hideMark/>
          </w:tcPr>
          <w:p w14:paraId="6EB44E07" w14:textId="77777777" w:rsidR="00F20F72" w:rsidRDefault="00F20F72" w:rsidP="005C7F8A">
            <w:pPr>
              <w:spacing w:after="0" w:line="240" w:lineRule="auto"/>
              <w:jc w:val="center"/>
              <w:rPr>
                <w:rFonts w:cs="Arial"/>
                <w:sz w:val="16"/>
                <w:szCs w:val="16"/>
              </w:rPr>
            </w:pPr>
            <w:r w:rsidRPr="00EE5D67">
              <w:rPr>
                <w:rFonts w:cs="Arial"/>
                <w:sz w:val="16"/>
                <w:szCs w:val="16"/>
              </w:rPr>
              <w:t>366</w:t>
            </w:r>
            <w:r>
              <w:rPr>
                <w:rFonts w:cs="Arial"/>
                <w:sz w:val="16"/>
                <w:szCs w:val="16"/>
              </w:rPr>
              <w:t xml:space="preserve"> </w:t>
            </w:r>
          </w:p>
          <w:p w14:paraId="229EABFD" w14:textId="602E63B7" w:rsidR="00F20F72" w:rsidRPr="00EE5D67" w:rsidRDefault="00F20F72" w:rsidP="005C7F8A">
            <w:pPr>
              <w:spacing w:after="0" w:line="240" w:lineRule="auto"/>
              <w:jc w:val="center"/>
              <w:rPr>
                <w:rFonts w:cs="Arial"/>
                <w:sz w:val="16"/>
                <w:szCs w:val="16"/>
              </w:rPr>
            </w:pPr>
            <w:r w:rsidRPr="00EE5D67">
              <w:rPr>
                <w:rFonts w:cs="Arial"/>
                <w:sz w:val="16"/>
                <w:szCs w:val="16"/>
              </w:rPr>
              <w:t>a více dnů</w:t>
            </w:r>
          </w:p>
        </w:tc>
      </w:tr>
      <w:tr w:rsidR="00EE5D67" w:rsidRPr="00EE5D67" w14:paraId="66AC5AE1" w14:textId="77777777" w:rsidTr="00FA3B19">
        <w:trPr>
          <w:divId w:val="1692755238"/>
          <w:trHeight w:val="287"/>
        </w:trPr>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14:paraId="6BADA4F3" w14:textId="77777777" w:rsidR="00EE5D67" w:rsidRPr="00EE5D67" w:rsidRDefault="00EE5D67" w:rsidP="00EE5D67">
            <w:pPr>
              <w:spacing w:after="0" w:line="240" w:lineRule="auto"/>
              <w:rPr>
                <w:rFonts w:cs="Arial"/>
                <w:color w:val="000000"/>
                <w:sz w:val="16"/>
                <w:szCs w:val="16"/>
              </w:rPr>
            </w:pPr>
            <w:r w:rsidRPr="00EE5D67">
              <w:rPr>
                <w:rFonts w:cs="Arial"/>
                <w:color w:val="000000"/>
                <w:sz w:val="16"/>
                <w:szCs w:val="16"/>
              </w:rPr>
              <w:t> </w:t>
            </w:r>
          </w:p>
        </w:tc>
        <w:tc>
          <w:tcPr>
            <w:tcW w:w="8220" w:type="dxa"/>
            <w:gridSpan w:val="10"/>
            <w:tcBorders>
              <w:top w:val="single" w:sz="4" w:space="0" w:color="auto"/>
              <w:left w:val="nil"/>
              <w:bottom w:val="single" w:sz="4" w:space="0" w:color="auto"/>
              <w:right w:val="nil"/>
            </w:tcBorders>
            <w:shd w:val="clear" w:color="000000" w:fill="FFFFFF"/>
            <w:vAlign w:val="center"/>
            <w:hideMark/>
          </w:tcPr>
          <w:p w14:paraId="7F9DE021" w14:textId="77777777" w:rsidR="00EE5D67" w:rsidRPr="00EE5D67" w:rsidRDefault="00EE5D67" w:rsidP="00EE5D67">
            <w:pPr>
              <w:spacing w:after="0" w:line="240" w:lineRule="auto"/>
              <w:jc w:val="center"/>
              <w:rPr>
                <w:rFonts w:cs="Arial"/>
                <w:sz w:val="16"/>
                <w:szCs w:val="16"/>
              </w:rPr>
            </w:pPr>
            <w:r w:rsidRPr="00EE5D67">
              <w:rPr>
                <w:rFonts w:cs="Arial"/>
                <w:sz w:val="16"/>
                <w:szCs w:val="16"/>
              </w:rPr>
              <w:t xml:space="preserve">(absolutní počty) </w:t>
            </w:r>
          </w:p>
        </w:tc>
      </w:tr>
      <w:tr w:rsidR="00EE5D67" w:rsidRPr="00EE5D67" w14:paraId="603DA031"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7D27648B" w14:textId="65A62139" w:rsidR="00EE5D67" w:rsidRPr="00FA3B19" w:rsidRDefault="00FA3B19" w:rsidP="00EE5D67">
            <w:pPr>
              <w:spacing w:after="0" w:line="240" w:lineRule="auto"/>
              <w:rPr>
                <w:rFonts w:cs="Arial"/>
                <w:b/>
                <w:sz w:val="16"/>
                <w:szCs w:val="16"/>
              </w:rPr>
            </w:pPr>
            <w:r w:rsidRPr="00FA3B19">
              <w:rPr>
                <w:rFonts w:cs="Arial"/>
                <w:b/>
                <w:sz w:val="16"/>
                <w:szCs w:val="16"/>
              </w:rPr>
              <w:t>ČR</w:t>
            </w:r>
            <w:r w:rsidR="00496B5A">
              <w:rPr>
                <w:rFonts w:cs="Arial"/>
                <w:b/>
                <w:sz w:val="16"/>
                <w:szCs w:val="16"/>
              </w:rPr>
              <w:t xml:space="preserve"> celkem</w:t>
            </w:r>
          </w:p>
        </w:tc>
        <w:tc>
          <w:tcPr>
            <w:tcW w:w="750" w:type="dxa"/>
            <w:tcBorders>
              <w:top w:val="nil"/>
              <w:left w:val="nil"/>
              <w:bottom w:val="nil"/>
              <w:right w:val="nil"/>
            </w:tcBorders>
            <w:shd w:val="clear" w:color="000000" w:fill="FFFFFF"/>
            <w:vAlign w:val="center"/>
            <w:hideMark/>
          </w:tcPr>
          <w:p w14:paraId="6B491D88"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963 888</w:t>
            </w:r>
          </w:p>
        </w:tc>
        <w:tc>
          <w:tcPr>
            <w:tcW w:w="830" w:type="dxa"/>
            <w:tcBorders>
              <w:top w:val="nil"/>
              <w:left w:val="nil"/>
              <w:bottom w:val="nil"/>
              <w:right w:val="nil"/>
            </w:tcBorders>
            <w:shd w:val="clear" w:color="000000" w:fill="FFFFFF"/>
            <w:noWrap/>
            <w:vAlign w:val="center"/>
            <w:hideMark/>
          </w:tcPr>
          <w:p w14:paraId="6EFEE01E" w14:textId="77777777" w:rsidR="00EE5D67" w:rsidRPr="00EE5D67" w:rsidRDefault="00EE5D67" w:rsidP="00EE5D67">
            <w:pPr>
              <w:spacing w:after="0" w:line="240" w:lineRule="auto"/>
              <w:jc w:val="right"/>
              <w:rPr>
                <w:rFonts w:cs="Arial"/>
                <w:sz w:val="16"/>
                <w:szCs w:val="16"/>
              </w:rPr>
            </w:pPr>
            <w:r w:rsidRPr="00EE5D67">
              <w:rPr>
                <w:rFonts w:cs="Arial"/>
                <w:sz w:val="16"/>
                <w:szCs w:val="16"/>
              </w:rPr>
              <w:t>447 794</w:t>
            </w:r>
          </w:p>
        </w:tc>
        <w:tc>
          <w:tcPr>
            <w:tcW w:w="830" w:type="dxa"/>
            <w:tcBorders>
              <w:top w:val="nil"/>
              <w:left w:val="nil"/>
              <w:bottom w:val="nil"/>
              <w:right w:val="nil"/>
            </w:tcBorders>
            <w:shd w:val="clear" w:color="000000" w:fill="FFFFFF"/>
            <w:noWrap/>
            <w:vAlign w:val="center"/>
            <w:hideMark/>
          </w:tcPr>
          <w:p w14:paraId="42E8C686" w14:textId="77777777" w:rsidR="00EE5D67" w:rsidRPr="00EE5D67" w:rsidRDefault="00EE5D67" w:rsidP="00EE5D67">
            <w:pPr>
              <w:spacing w:after="0" w:line="240" w:lineRule="auto"/>
              <w:jc w:val="right"/>
              <w:rPr>
                <w:rFonts w:cs="Arial"/>
                <w:sz w:val="16"/>
                <w:szCs w:val="16"/>
              </w:rPr>
            </w:pPr>
            <w:r w:rsidRPr="00EE5D67">
              <w:rPr>
                <w:rFonts w:cs="Arial"/>
                <w:sz w:val="16"/>
                <w:szCs w:val="16"/>
              </w:rPr>
              <w:t>137 594</w:t>
            </w:r>
          </w:p>
        </w:tc>
        <w:tc>
          <w:tcPr>
            <w:tcW w:w="830" w:type="dxa"/>
            <w:tcBorders>
              <w:top w:val="nil"/>
              <w:left w:val="nil"/>
              <w:bottom w:val="nil"/>
              <w:right w:val="nil"/>
            </w:tcBorders>
            <w:shd w:val="clear" w:color="000000" w:fill="FFFFFF"/>
            <w:noWrap/>
            <w:vAlign w:val="center"/>
            <w:hideMark/>
          </w:tcPr>
          <w:p w14:paraId="7714E49C" w14:textId="77777777" w:rsidR="00EE5D67" w:rsidRPr="00EE5D67" w:rsidRDefault="00EE5D67" w:rsidP="00EE5D67">
            <w:pPr>
              <w:spacing w:after="0" w:line="240" w:lineRule="auto"/>
              <w:jc w:val="right"/>
              <w:rPr>
                <w:rFonts w:cs="Arial"/>
                <w:sz w:val="16"/>
                <w:szCs w:val="16"/>
              </w:rPr>
            </w:pPr>
            <w:r w:rsidRPr="00EE5D67">
              <w:rPr>
                <w:rFonts w:cs="Arial"/>
                <w:sz w:val="16"/>
                <w:szCs w:val="16"/>
              </w:rPr>
              <w:t>88 092</w:t>
            </w:r>
          </w:p>
        </w:tc>
        <w:tc>
          <w:tcPr>
            <w:tcW w:w="830" w:type="dxa"/>
            <w:tcBorders>
              <w:top w:val="nil"/>
              <w:left w:val="nil"/>
              <w:bottom w:val="nil"/>
              <w:right w:val="nil"/>
            </w:tcBorders>
            <w:shd w:val="clear" w:color="000000" w:fill="FFFFFF"/>
            <w:noWrap/>
            <w:vAlign w:val="center"/>
            <w:hideMark/>
          </w:tcPr>
          <w:p w14:paraId="77931E05" w14:textId="77777777" w:rsidR="00EE5D67" w:rsidRPr="00EE5D67" w:rsidRDefault="00EE5D67" w:rsidP="00EE5D67">
            <w:pPr>
              <w:spacing w:after="0" w:line="240" w:lineRule="auto"/>
              <w:jc w:val="right"/>
              <w:rPr>
                <w:rFonts w:cs="Arial"/>
                <w:sz w:val="16"/>
                <w:szCs w:val="16"/>
              </w:rPr>
            </w:pPr>
            <w:r w:rsidRPr="00EE5D67">
              <w:rPr>
                <w:rFonts w:cs="Arial"/>
                <w:sz w:val="16"/>
                <w:szCs w:val="16"/>
              </w:rPr>
              <w:t>122 388</w:t>
            </w:r>
          </w:p>
        </w:tc>
        <w:tc>
          <w:tcPr>
            <w:tcW w:w="830" w:type="dxa"/>
            <w:tcBorders>
              <w:top w:val="nil"/>
              <w:left w:val="nil"/>
              <w:bottom w:val="nil"/>
              <w:right w:val="nil"/>
            </w:tcBorders>
            <w:shd w:val="clear" w:color="000000" w:fill="FFFFFF"/>
            <w:noWrap/>
            <w:vAlign w:val="center"/>
            <w:hideMark/>
          </w:tcPr>
          <w:p w14:paraId="61F38EA4" w14:textId="77777777" w:rsidR="00EE5D67" w:rsidRPr="00EE5D67" w:rsidRDefault="00EE5D67" w:rsidP="00EE5D67">
            <w:pPr>
              <w:spacing w:after="0" w:line="240" w:lineRule="auto"/>
              <w:jc w:val="right"/>
              <w:rPr>
                <w:rFonts w:cs="Arial"/>
                <w:sz w:val="16"/>
                <w:szCs w:val="16"/>
              </w:rPr>
            </w:pPr>
            <w:r w:rsidRPr="00EE5D67">
              <w:rPr>
                <w:rFonts w:cs="Arial"/>
                <w:sz w:val="16"/>
                <w:szCs w:val="16"/>
              </w:rPr>
              <w:t>56 581</w:t>
            </w:r>
          </w:p>
        </w:tc>
        <w:tc>
          <w:tcPr>
            <w:tcW w:w="830" w:type="dxa"/>
            <w:tcBorders>
              <w:top w:val="nil"/>
              <w:left w:val="nil"/>
              <w:bottom w:val="nil"/>
              <w:right w:val="nil"/>
            </w:tcBorders>
            <w:shd w:val="clear" w:color="000000" w:fill="FFFFFF"/>
            <w:noWrap/>
            <w:vAlign w:val="center"/>
            <w:hideMark/>
          </w:tcPr>
          <w:p w14:paraId="57B407E9" w14:textId="77777777" w:rsidR="00EE5D67" w:rsidRPr="00EE5D67" w:rsidRDefault="00EE5D67" w:rsidP="00EE5D67">
            <w:pPr>
              <w:spacing w:after="0" w:line="240" w:lineRule="auto"/>
              <w:jc w:val="right"/>
              <w:rPr>
                <w:rFonts w:cs="Arial"/>
                <w:sz w:val="16"/>
                <w:szCs w:val="16"/>
              </w:rPr>
            </w:pPr>
            <w:r w:rsidRPr="00EE5D67">
              <w:rPr>
                <w:rFonts w:cs="Arial"/>
                <w:sz w:val="16"/>
                <w:szCs w:val="16"/>
              </w:rPr>
              <w:t>65 435</w:t>
            </w:r>
          </w:p>
        </w:tc>
        <w:tc>
          <w:tcPr>
            <w:tcW w:w="830" w:type="dxa"/>
            <w:tcBorders>
              <w:top w:val="nil"/>
              <w:left w:val="nil"/>
              <w:bottom w:val="nil"/>
              <w:right w:val="nil"/>
            </w:tcBorders>
            <w:shd w:val="clear" w:color="000000" w:fill="FFFFFF"/>
            <w:noWrap/>
            <w:vAlign w:val="center"/>
            <w:hideMark/>
          </w:tcPr>
          <w:p w14:paraId="30A069C9" w14:textId="77777777" w:rsidR="00EE5D67" w:rsidRPr="00EE5D67" w:rsidRDefault="00EE5D67" w:rsidP="00EE5D67">
            <w:pPr>
              <w:spacing w:after="0" w:line="240" w:lineRule="auto"/>
              <w:jc w:val="right"/>
              <w:rPr>
                <w:rFonts w:cs="Arial"/>
                <w:sz w:val="16"/>
                <w:szCs w:val="16"/>
              </w:rPr>
            </w:pPr>
            <w:r w:rsidRPr="00EE5D67">
              <w:rPr>
                <w:rFonts w:cs="Arial"/>
                <w:sz w:val="16"/>
                <w:szCs w:val="16"/>
              </w:rPr>
              <w:t>21 469</w:t>
            </w:r>
          </w:p>
        </w:tc>
        <w:tc>
          <w:tcPr>
            <w:tcW w:w="830" w:type="dxa"/>
            <w:tcBorders>
              <w:top w:val="nil"/>
              <w:left w:val="nil"/>
              <w:bottom w:val="nil"/>
              <w:right w:val="nil"/>
            </w:tcBorders>
            <w:shd w:val="clear" w:color="000000" w:fill="FFFFFF"/>
            <w:noWrap/>
            <w:vAlign w:val="center"/>
            <w:hideMark/>
          </w:tcPr>
          <w:p w14:paraId="15070C54" w14:textId="77777777" w:rsidR="00EE5D67" w:rsidRPr="00EE5D67" w:rsidRDefault="00EE5D67" w:rsidP="00EE5D67">
            <w:pPr>
              <w:spacing w:after="0" w:line="240" w:lineRule="auto"/>
              <w:jc w:val="right"/>
              <w:rPr>
                <w:rFonts w:cs="Arial"/>
                <w:sz w:val="16"/>
                <w:szCs w:val="16"/>
              </w:rPr>
            </w:pPr>
            <w:r w:rsidRPr="00EE5D67">
              <w:rPr>
                <w:rFonts w:cs="Arial"/>
                <w:sz w:val="16"/>
                <w:szCs w:val="16"/>
              </w:rPr>
              <w:t>11 596</w:t>
            </w:r>
          </w:p>
        </w:tc>
        <w:tc>
          <w:tcPr>
            <w:tcW w:w="830" w:type="dxa"/>
            <w:tcBorders>
              <w:top w:val="nil"/>
              <w:left w:val="nil"/>
              <w:bottom w:val="nil"/>
              <w:right w:val="nil"/>
            </w:tcBorders>
            <w:shd w:val="clear" w:color="000000" w:fill="FFFFFF"/>
            <w:noWrap/>
            <w:vAlign w:val="center"/>
            <w:hideMark/>
          </w:tcPr>
          <w:p w14:paraId="4A70B0DB" w14:textId="77777777" w:rsidR="00EE5D67" w:rsidRPr="00EE5D67" w:rsidRDefault="00EE5D67" w:rsidP="00EE5D67">
            <w:pPr>
              <w:spacing w:after="0" w:line="240" w:lineRule="auto"/>
              <w:jc w:val="right"/>
              <w:rPr>
                <w:rFonts w:cs="Arial"/>
                <w:sz w:val="16"/>
                <w:szCs w:val="16"/>
              </w:rPr>
            </w:pPr>
            <w:r w:rsidRPr="00EE5D67">
              <w:rPr>
                <w:rFonts w:cs="Arial"/>
                <w:sz w:val="16"/>
                <w:szCs w:val="16"/>
              </w:rPr>
              <w:t>12 939</w:t>
            </w:r>
          </w:p>
        </w:tc>
      </w:tr>
      <w:tr w:rsidR="00EE5D67" w:rsidRPr="00EE5D67" w14:paraId="471551FF"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37376173" w14:textId="77777777" w:rsidR="00EE5D67" w:rsidRPr="00EE5D67" w:rsidRDefault="00EE5D67" w:rsidP="00EE5D67">
            <w:pPr>
              <w:spacing w:after="0" w:line="240" w:lineRule="auto"/>
              <w:rPr>
                <w:rFonts w:cs="Arial"/>
                <w:sz w:val="16"/>
                <w:szCs w:val="16"/>
              </w:rPr>
            </w:pPr>
            <w:r w:rsidRPr="00EE5D67">
              <w:rPr>
                <w:rFonts w:cs="Arial"/>
                <w:sz w:val="16"/>
                <w:szCs w:val="16"/>
              </w:rPr>
              <w:t>Hl. m. Praha</w:t>
            </w:r>
          </w:p>
        </w:tc>
        <w:tc>
          <w:tcPr>
            <w:tcW w:w="750" w:type="dxa"/>
            <w:tcBorders>
              <w:top w:val="nil"/>
              <w:left w:val="nil"/>
              <w:bottom w:val="nil"/>
              <w:right w:val="nil"/>
            </w:tcBorders>
            <w:shd w:val="clear" w:color="000000" w:fill="FFFFFF"/>
            <w:vAlign w:val="center"/>
            <w:hideMark/>
          </w:tcPr>
          <w:p w14:paraId="62A256F6"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106 589</w:t>
            </w:r>
          </w:p>
        </w:tc>
        <w:tc>
          <w:tcPr>
            <w:tcW w:w="830" w:type="dxa"/>
            <w:tcBorders>
              <w:top w:val="nil"/>
              <w:left w:val="nil"/>
              <w:bottom w:val="nil"/>
              <w:right w:val="nil"/>
            </w:tcBorders>
            <w:shd w:val="clear" w:color="000000" w:fill="FFFFFF"/>
            <w:noWrap/>
            <w:vAlign w:val="center"/>
            <w:hideMark/>
          </w:tcPr>
          <w:p w14:paraId="08EF0193" w14:textId="77777777" w:rsidR="00EE5D67" w:rsidRPr="00EE5D67" w:rsidRDefault="00EE5D67" w:rsidP="00EE5D67">
            <w:pPr>
              <w:spacing w:after="0" w:line="240" w:lineRule="auto"/>
              <w:jc w:val="right"/>
              <w:rPr>
                <w:rFonts w:cs="Arial"/>
                <w:sz w:val="16"/>
                <w:szCs w:val="16"/>
              </w:rPr>
            </w:pPr>
            <w:r w:rsidRPr="00EE5D67">
              <w:rPr>
                <w:rFonts w:cs="Arial"/>
                <w:sz w:val="16"/>
                <w:szCs w:val="16"/>
              </w:rPr>
              <w:t>62 441</w:t>
            </w:r>
          </w:p>
        </w:tc>
        <w:tc>
          <w:tcPr>
            <w:tcW w:w="830" w:type="dxa"/>
            <w:tcBorders>
              <w:top w:val="nil"/>
              <w:left w:val="nil"/>
              <w:bottom w:val="nil"/>
              <w:right w:val="nil"/>
            </w:tcBorders>
            <w:shd w:val="clear" w:color="000000" w:fill="FFFFFF"/>
            <w:noWrap/>
            <w:vAlign w:val="center"/>
            <w:hideMark/>
          </w:tcPr>
          <w:p w14:paraId="541C0E96" w14:textId="77777777" w:rsidR="00EE5D67" w:rsidRPr="00EE5D67" w:rsidRDefault="00EE5D67" w:rsidP="00EE5D67">
            <w:pPr>
              <w:spacing w:after="0" w:line="240" w:lineRule="auto"/>
              <w:jc w:val="right"/>
              <w:rPr>
                <w:rFonts w:cs="Arial"/>
                <w:sz w:val="16"/>
                <w:szCs w:val="16"/>
              </w:rPr>
            </w:pPr>
            <w:r w:rsidRPr="00EE5D67">
              <w:rPr>
                <w:rFonts w:cs="Arial"/>
                <w:sz w:val="16"/>
                <w:szCs w:val="16"/>
              </w:rPr>
              <w:t>13 953</w:t>
            </w:r>
          </w:p>
        </w:tc>
        <w:tc>
          <w:tcPr>
            <w:tcW w:w="830" w:type="dxa"/>
            <w:tcBorders>
              <w:top w:val="nil"/>
              <w:left w:val="nil"/>
              <w:bottom w:val="nil"/>
              <w:right w:val="nil"/>
            </w:tcBorders>
            <w:shd w:val="clear" w:color="000000" w:fill="FFFFFF"/>
            <w:noWrap/>
            <w:vAlign w:val="center"/>
            <w:hideMark/>
          </w:tcPr>
          <w:p w14:paraId="53687472" w14:textId="77777777" w:rsidR="00EE5D67" w:rsidRPr="00EE5D67" w:rsidRDefault="00EE5D67" w:rsidP="00EE5D67">
            <w:pPr>
              <w:spacing w:after="0" w:line="240" w:lineRule="auto"/>
              <w:jc w:val="right"/>
              <w:rPr>
                <w:rFonts w:cs="Arial"/>
                <w:sz w:val="16"/>
                <w:szCs w:val="16"/>
              </w:rPr>
            </w:pPr>
            <w:r w:rsidRPr="00EE5D67">
              <w:rPr>
                <w:rFonts w:cs="Arial"/>
                <w:sz w:val="16"/>
                <w:szCs w:val="16"/>
              </w:rPr>
              <w:t>7 573</w:t>
            </w:r>
          </w:p>
        </w:tc>
        <w:tc>
          <w:tcPr>
            <w:tcW w:w="830" w:type="dxa"/>
            <w:tcBorders>
              <w:top w:val="nil"/>
              <w:left w:val="nil"/>
              <w:bottom w:val="nil"/>
              <w:right w:val="nil"/>
            </w:tcBorders>
            <w:shd w:val="clear" w:color="000000" w:fill="FFFFFF"/>
            <w:noWrap/>
            <w:vAlign w:val="center"/>
            <w:hideMark/>
          </w:tcPr>
          <w:p w14:paraId="69481F17" w14:textId="77777777" w:rsidR="00EE5D67" w:rsidRPr="00EE5D67" w:rsidRDefault="00EE5D67" w:rsidP="00EE5D67">
            <w:pPr>
              <w:spacing w:after="0" w:line="240" w:lineRule="auto"/>
              <w:jc w:val="right"/>
              <w:rPr>
                <w:rFonts w:cs="Arial"/>
                <w:sz w:val="16"/>
                <w:szCs w:val="16"/>
              </w:rPr>
            </w:pPr>
            <w:r w:rsidRPr="00EE5D67">
              <w:rPr>
                <w:rFonts w:cs="Arial"/>
                <w:sz w:val="16"/>
                <w:szCs w:val="16"/>
              </w:rPr>
              <w:t>10 195</w:t>
            </w:r>
          </w:p>
        </w:tc>
        <w:tc>
          <w:tcPr>
            <w:tcW w:w="830" w:type="dxa"/>
            <w:tcBorders>
              <w:top w:val="nil"/>
              <w:left w:val="nil"/>
              <w:bottom w:val="nil"/>
              <w:right w:val="nil"/>
            </w:tcBorders>
            <w:shd w:val="clear" w:color="000000" w:fill="FFFFFF"/>
            <w:noWrap/>
            <w:vAlign w:val="center"/>
            <w:hideMark/>
          </w:tcPr>
          <w:p w14:paraId="0EDDA1DB" w14:textId="77777777" w:rsidR="00EE5D67" w:rsidRPr="00EE5D67" w:rsidRDefault="00EE5D67" w:rsidP="00EE5D67">
            <w:pPr>
              <w:spacing w:after="0" w:line="240" w:lineRule="auto"/>
              <w:jc w:val="right"/>
              <w:rPr>
                <w:rFonts w:cs="Arial"/>
                <w:sz w:val="16"/>
                <w:szCs w:val="16"/>
              </w:rPr>
            </w:pPr>
            <w:r w:rsidRPr="00EE5D67">
              <w:rPr>
                <w:rFonts w:cs="Arial"/>
                <w:sz w:val="16"/>
                <w:szCs w:val="16"/>
              </w:rPr>
              <w:t>4 282</w:t>
            </w:r>
          </w:p>
        </w:tc>
        <w:tc>
          <w:tcPr>
            <w:tcW w:w="830" w:type="dxa"/>
            <w:tcBorders>
              <w:top w:val="nil"/>
              <w:left w:val="nil"/>
              <w:bottom w:val="nil"/>
              <w:right w:val="nil"/>
            </w:tcBorders>
            <w:shd w:val="clear" w:color="000000" w:fill="FFFFFF"/>
            <w:noWrap/>
            <w:vAlign w:val="center"/>
            <w:hideMark/>
          </w:tcPr>
          <w:p w14:paraId="679702A2" w14:textId="77777777" w:rsidR="00EE5D67" w:rsidRPr="00EE5D67" w:rsidRDefault="00EE5D67" w:rsidP="00EE5D67">
            <w:pPr>
              <w:spacing w:after="0" w:line="240" w:lineRule="auto"/>
              <w:jc w:val="right"/>
              <w:rPr>
                <w:rFonts w:cs="Arial"/>
                <w:sz w:val="16"/>
                <w:szCs w:val="16"/>
              </w:rPr>
            </w:pPr>
            <w:r w:rsidRPr="00EE5D67">
              <w:rPr>
                <w:rFonts w:cs="Arial"/>
                <w:sz w:val="16"/>
                <w:szCs w:val="16"/>
              </w:rPr>
              <w:t>4 822</w:t>
            </w:r>
          </w:p>
        </w:tc>
        <w:tc>
          <w:tcPr>
            <w:tcW w:w="830" w:type="dxa"/>
            <w:tcBorders>
              <w:top w:val="nil"/>
              <w:left w:val="nil"/>
              <w:bottom w:val="nil"/>
              <w:right w:val="nil"/>
            </w:tcBorders>
            <w:shd w:val="clear" w:color="000000" w:fill="FFFFFF"/>
            <w:noWrap/>
            <w:vAlign w:val="center"/>
            <w:hideMark/>
          </w:tcPr>
          <w:p w14:paraId="274CE3E9" w14:textId="77777777" w:rsidR="00EE5D67" w:rsidRPr="00EE5D67" w:rsidRDefault="00EE5D67" w:rsidP="00EE5D67">
            <w:pPr>
              <w:spacing w:after="0" w:line="240" w:lineRule="auto"/>
              <w:jc w:val="right"/>
              <w:rPr>
                <w:rFonts w:cs="Arial"/>
                <w:sz w:val="16"/>
                <w:szCs w:val="16"/>
              </w:rPr>
            </w:pPr>
            <w:r w:rsidRPr="00EE5D67">
              <w:rPr>
                <w:rFonts w:cs="Arial"/>
                <w:sz w:val="16"/>
                <w:szCs w:val="16"/>
              </w:rPr>
              <w:t>1 433</w:t>
            </w:r>
          </w:p>
        </w:tc>
        <w:tc>
          <w:tcPr>
            <w:tcW w:w="830" w:type="dxa"/>
            <w:tcBorders>
              <w:top w:val="nil"/>
              <w:left w:val="nil"/>
              <w:bottom w:val="nil"/>
              <w:right w:val="nil"/>
            </w:tcBorders>
            <w:shd w:val="clear" w:color="000000" w:fill="FFFFFF"/>
            <w:noWrap/>
            <w:vAlign w:val="center"/>
            <w:hideMark/>
          </w:tcPr>
          <w:p w14:paraId="4BD01A11" w14:textId="77777777" w:rsidR="00EE5D67" w:rsidRPr="00EE5D67" w:rsidRDefault="00EE5D67" w:rsidP="00EE5D67">
            <w:pPr>
              <w:spacing w:after="0" w:line="240" w:lineRule="auto"/>
              <w:jc w:val="right"/>
              <w:rPr>
                <w:rFonts w:cs="Arial"/>
                <w:sz w:val="16"/>
                <w:szCs w:val="16"/>
              </w:rPr>
            </w:pPr>
            <w:r w:rsidRPr="00EE5D67">
              <w:rPr>
                <w:rFonts w:cs="Arial"/>
                <w:sz w:val="16"/>
                <w:szCs w:val="16"/>
              </w:rPr>
              <w:t>738</w:t>
            </w:r>
          </w:p>
        </w:tc>
        <w:tc>
          <w:tcPr>
            <w:tcW w:w="830" w:type="dxa"/>
            <w:tcBorders>
              <w:top w:val="nil"/>
              <w:left w:val="nil"/>
              <w:bottom w:val="nil"/>
              <w:right w:val="nil"/>
            </w:tcBorders>
            <w:shd w:val="clear" w:color="000000" w:fill="FFFFFF"/>
            <w:noWrap/>
            <w:vAlign w:val="center"/>
            <w:hideMark/>
          </w:tcPr>
          <w:p w14:paraId="0984CF67" w14:textId="77777777" w:rsidR="00EE5D67" w:rsidRPr="00EE5D67" w:rsidRDefault="00EE5D67" w:rsidP="00EE5D67">
            <w:pPr>
              <w:spacing w:after="0" w:line="240" w:lineRule="auto"/>
              <w:jc w:val="right"/>
              <w:rPr>
                <w:rFonts w:cs="Arial"/>
                <w:sz w:val="16"/>
                <w:szCs w:val="16"/>
              </w:rPr>
            </w:pPr>
            <w:r w:rsidRPr="00EE5D67">
              <w:rPr>
                <w:rFonts w:cs="Arial"/>
                <w:sz w:val="16"/>
                <w:szCs w:val="16"/>
              </w:rPr>
              <w:t>1 152</w:t>
            </w:r>
          </w:p>
        </w:tc>
      </w:tr>
      <w:tr w:rsidR="00EE5D67" w:rsidRPr="00EE5D67" w14:paraId="3302BA82"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17F78A97" w14:textId="77777777" w:rsidR="00EE5D67" w:rsidRPr="00EE5D67" w:rsidRDefault="00EE5D67" w:rsidP="00EE5D67">
            <w:pPr>
              <w:spacing w:after="0" w:line="240" w:lineRule="auto"/>
              <w:rPr>
                <w:rFonts w:cs="Arial"/>
                <w:sz w:val="16"/>
                <w:szCs w:val="16"/>
              </w:rPr>
            </w:pPr>
            <w:r w:rsidRPr="00EE5D67">
              <w:rPr>
                <w:rFonts w:cs="Arial"/>
                <w:sz w:val="16"/>
                <w:szCs w:val="16"/>
              </w:rPr>
              <w:t>Středočeský</w:t>
            </w:r>
          </w:p>
        </w:tc>
        <w:tc>
          <w:tcPr>
            <w:tcW w:w="750" w:type="dxa"/>
            <w:tcBorders>
              <w:top w:val="nil"/>
              <w:left w:val="nil"/>
              <w:bottom w:val="nil"/>
              <w:right w:val="nil"/>
            </w:tcBorders>
            <w:shd w:val="clear" w:color="000000" w:fill="FFFFFF"/>
            <w:vAlign w:val="center"/>
            <w:hideMark/>
          </w:tcPr>
          <w:p w14:paraId="0E8C8C5D"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110 958</w:t>
            </w:r>
          </w:p>
        </w:tc>
        <w:tc>
          <w:tcPr>
            <w:tcW w:w="830" w:type="dxa"/>
            <w:tcBorders>
              <w:top w:val="nil"/>
              <w:left w:val="nil"/>
              <w:bottom w:val="nil"/>
              <w:right w:val="nil"/>
            </w:tcBorders>
            <w:shd w:val="clear" w:color="000000" w:fill="FFFFFF"/>
            <w:noWrap/>
            <w:vAlign w:val="center"/>
            <w:hideMark/>
          </w:tcPr>
          <w:p w14:paraId="40F18687" w14:textId="77777777" w:rsidR="00EE5D67" w:rsidRPr="00EE5D67" w:rsidRDefault="00EE5D67" w:rsidP="00EE5D67">
            <w:pPr>
              <w:spacing w:after="0" w:line="240" w:lineRule="auto"/>
              <w:jc w:val="right"/>
              <w:rPr>
                <w:rFonts w:cs="Arial"/>
                <w:sz w:val="16"/>
                <w:szCs w:val="16"/>
              </w:rPr>
            </w:pPr>
            <w:r w:rsidRPr="00EE5D67">
              <w:rPr>
                <w:rFonts w:cs="Arial"/>
                <w:sz w:val="16"/>
                <w:szCs w:val="16"/>
              </w:rPr>
              <w:t>56 716</w:t>
            </w:r>
          </w:p>
        </w:tc>
        <w:tc>
          <w:tcPr>
            <w:tcW w:w="830" w:type="dxa"/>
            <w:tcBorders>
              <w:top w:val="nil"/>
              <w:left w:val="nil"/>
              <w:bottom w:val="nil"/>
              <w:right w:val="nil"/>
            </w:tcBorders>
            <w:shd w:val="clear" w:color="000000" w:fill="FFFFFF"/>
            <w:noWrap/>
            <w:vAlign w:val="center"/>
            <w:hideMark/>
          </w:tcPr>
          <w:p w14:paraId="0CC2D278" w14:textId="77777777" w:rsidR="00EE5D67" w:rsidRPr="00EE5D67" w:rsidRDefault="00EE5D67" w:rsidP="00EE5D67">
            <w:pPr>
              <w:spacing w:after="0" w:line="240" w:lineRule="auto"/>
              <w:jc w:val="right"/>
              <w:rPr>
                <w:rFonts w:cs="Arial"/>
                <w:sz w:val="16"/>
                <w:szCs w:val="16"/>
              </w:rPr>
            </w:pPr>
            <w:r w:rsidRPr="00EE5D67">
              <w:rPr>
                <w:rFonts w:cs="Arial"/>
                <w:sz w:val="16"/>
                <w:szCs w:val="16"/>
              </w:rPr>
              <w:t>16 007</w:t>
            </w:r>
          </w:p>
        </w:tc>
        <w:tc>
          <w:tcPr>
            <w:tcW w:w="830" w:type="dxa"/>
            <w:tcBorders>
              <w:top w:val="nil"/>
              <w:left w:val="nil"/>
              <w:bottom w:val="nil"/>
              <w:right w:val="nil"/>
            </w:tcBorders>
            <w:shd w:val="clear" w:color="000000" w:fill="FFFFFF"/>
            <w:noWrap/>
            <w:vAlign w:val="center"/>
            <w:hideMark/>
          </w:tcPr>
          <w:p w14:paraId="29110EE0" w14:textId="77777777" w:rsidR="00EE5D67" w:rsidRPr="00EE5D67" w:rsidRDefault="00EE5D67" w:rsidP="00EE5D67">
            <w:pPr>
              <w:spacing w:after="0" w:line="240" w:lineRule="auto"/>
              <w:jc w:val="right"/>
              <w:rPr>
                <w:rFonts w:cs="Arial"/>
                <w:sz w:val="16"/>
                <w:szCs w:val="16"/>
              </w:rPr>
            </w:pPr>
            <w:r w:rsidRPr="00EE5D67">
              <w:rPr>
                <w:rFonts w:cs="Arial"/>
                <w:sz w:val="16"/>
                <w:szCs w:val="16"/>
              </w:rPr>
              <w:t>9 119</w:t>
            </w:r>
          </w:p>
        </w:tc>
        <w:tc>
          <w:tcPr>
            <w:tcW w:w="830" w:type="dxa"/>
            <w:tcBorders>
              <w:top w:val="nil"/>
              <w:left w:val="nil"/>
              <w:bottom w:val="nil"/>
              <w:right w:val="nil"/>
            </w:tcBorders>
            <w:shd w:val="clear" w:color="000000" w:fill="FFFFFF"/>
            <w:noWrap/>
            <w:vAlign w:val="center"/>
            <w:hideMark/>
          </w:tcPr>
          <w:p w14:paraId="0E747395" w14:textId="77777777" w:rsidR="00EE5D67" w:rsidRPr="00EE5D67" w:rsidRDefault="00EE5D67" w:rsidP="00EE5D67">
            <w:pPr>
              <w:spacing w:after="0" w:line="240" w:lineRule="auto"/>
              <w:jc w:val="right"/>
              <w:rPr>
                <w:rFonts w:cs="Arial"/>
                <w:sz w:val="16"/>
                <w:szCs w:val="16"/>
              </w:rPr>
            </w:pPr>
            <w:r w:rsidRPr="00EE5D67">
              <w:rPr>
                <w:rFonts w:cs="Arial"/>
                <w:sz w:val="16"/>
                <w:szCs w:val="16"/>
              </w:rPr>
              <w:t>12 774</w:t>
            </w:r>
          </w:p>
        </w:tc>
        <w:tc>
          <w:tcPr>
            <w:tcW w:w="830" w:type="dxa"/>
            <w:tcBorders>
              <w:top w:val="nil"/>
              <w:left w:val="nil"/>
              <w:bottom w:val="nil"/>
              <w:right w:val="nil"/>
            </w:tcBorders>
            <w:shd w:val="clear" w:color="000000" w:fill="FFFFFF"/>
            <w:noWrap/>
            <w:vAlign w:val="center"/>
            <w:hideMark/>
          </w:tcPr>
          <w:p w14:paraId="2482C431" w14:textId="77777777" w:rsidR="00EE5D67" w:rsidRPr="00EE5D67" w:rsidRDefault="00EE5D67" w:rsidP="00EE5D67">
            <w:pPr>
              <w:spacing w:after="0" w:line="240" w:lineRule="auto"/>
              <w:jc w:val="right"/>
              <w:rPr>
                <w:rFonts w:cs="Arial"/>
                <w:sz w:val="16"/>
                <w:szCs w:val="16"/>
              </w:rPr>
            </w:pPr>
            <w:r w:rsidRPr="00EE5D67">
              <w:rPr>
                <w:rFonts w:cs="Arial"/>
                <w:sz w:val="16"/>
                <w:szCs w:val="16"/>
              </w:rPr>
              <w:t>5 547</w:t>
            </w:r>
          </w:p>
        </w:tc>
        <w:tc>
          <w:tcPr>
            <w:tcW w:w="830" w:type="dxa"/>
            <w:tcBorders>
              <w:top w:val="nil"/>
              <w:left w:val="nil"/>
              <w:bottom w:val="nil"/>
              <w:right w:val="nil"/>
            </w:tcBorders>
            <w:shd w:val="clear" w:color="000000" w:fill="FFFFFF"/>
            <w:noWrap/>
            <w:vAlign w:val="center"/>
            <w:hideMark/>
          </w:tcPr>
          <w:p w14:paraId="47AD53F5" w14:textId="77777777" w:rsidR="00EE5D67" w:rsidRPr="00EE5D67" w:rsidRDefault="00EE5D67" w:rsidP="00EE5D67">
            <w:pPr>
              <w:spacing w:after="0" w:line="240" w:lineRule="auto"/>
              <w:jc w:val="right"/>
              <w:rPr>
                <w:rFonts w:cs="Arial"/>
                <w:sz w:val="16"/>
                <w:szCs w:val="16"/>
              </w:rPr>
            </w:pPr>
            <w:r w:rsidRPr="00EE5D67">
              <w:rPr>
                <w:rFonts w:cs="Arial"/>
                <w:sz w:val="16"/>
                <w:szCs w:val="16"/>
              </w:rPr>
              <w:t>6 098</w:t>
            </w:r>
          </w:p>
        </w:tc>
        <w:tc>
          <w:tcPr>
            <w:tcW w:w="830" w:type="dxa"/>
            <w:tcBorders>
              <w:top w:val="nil"/>
              <w:left w:val="nil"/>
              <w:bottom w:val="nil"/>
              <w:right w:val="nil"/>
            </w:tcBorders>
            <w:shd w:val="clear" w:color="000000" w:fill="FFFFFF"/>
            <w:noWrap/>
            <w:vAlign w:val="center"/>
            <w:hideMark/>
          </w:tcPr>
          <w:p w14:paraId="5F7AB4C5" w14:textId="77777777" w:rsidR="00EE5D67" w:rsidRPr="00EE5D67" w:rsidRDefault="00EE5D67" w:rsidP="00EE5D67">
            <w:pPr>
              <w:spacing w:after="0" w:line="240" w:lineRule="auto"/>
              <w:jc w:val="right"/>
              <w:rPr>
                <w:rFonts w:cs="Arial"/>
                <w:sz w:val="16"/>
                <w:szCs w:val="16"/>
              </w:rPr>
            </w:pPr>
            <w:r w:rsidRPr="00EE5D67">
              <w:rPr>
                <w:rFonts w:cs="Arial"/>
                <w:sz w:val="16"/>
                <w:szCs w:val="16"/>
              </w:rPr>
              <w:t>2 047</w:t>
            </w:r>
          </w:p>
        </w:tc>
        <w:tc>
          <w:tcPr>
            <w:tcW w:w="830" w:type="dxa"/>
            <w:tcBorders>
              <w:top w:val="nil"/>
              <w:left w:val="nil"/>
              <w:bottom w:val="nil"/>
              <w:right w:val="nil"/>
            </w:tcBorders>
            <w:shd w:val="clear" w:color="000000" w:fill="FFFFFF"/>
            <w:noWrap/>
            <w:vAlign w:val="center"/>
            <w:hideMark/>
          </w:tcPr>
          <w:p w14:paraId="0175D072" w14:textId="77777777" w:rsidR="00EE5D67" w:rsidRPr="00EE5D67" w:rsidRDefault="00EE5D67" w:rsidP="00EE5D67">
            <w:pPr>
              <w:spacing w:after="0" w:line="240" w:lineRule="auto"/>
              <w:jc w:val="right"/>
              <w:rPr>
                <w:rFonts w:cs="Arial"/>
                <w:sz w:val="16"/>
                <w:szCs w:val="16"/>
              </w:rPr>
            </w:pPr>
            <w:r w:rsidRPr="00EE5D67">
              <w:rPr>
                <w:rFonts w:cs="Arial"/>
                <w:sz w:val="16"/>
                <w:szCs w:val="16"/>
              </w:rPr>
              <w:t>1 206</w:t>
            </w:r>
          </w:p>
        </w:tc>
        <w:tc>
          <w:tcPr>
            <w:tcW w:w="830" w:type="dxa"/>
            <w:tcBorders>
              <w:top w:val="nil"/>
              <w:left w:val="nil"/>
              <w:bottom w:val="nil"/>
              <w:right w:val="nil"/>
            </w:tcBorders>
            <w:shd w:val="clear" w:color="000000" w:fill="FFFFFF"/>
            <w:noWrap/>
            <w:vAlign w:val="center"/>
            <w:hideMark/>
          </w:tcPr>
          <w:p w14:paraId="1FCA67F4" w14:textId="77777777" w:rsidR="00EE5D67" w:rsidRPr="00EE5D67" w:rsidRDefault="00EE5D67" w:rsidP="00EE5D67">
            <w:pPr>
              <w:spacing w:after="0" w:line="240" w:lineRule="auto"/>
              <w:jc w:val="right"/>
              <w:rPr>
                <w:rFonts w:cs="Arial"/>
                <w:sz w:val="16"/>
                <w:szCs w:val="16"/>
              </w:rPr>
            </w:pPr>
            <w:r w:rsidRPr="00EE5D67">
              <w:rPr>
                <w:rFonts w:cs="Arial"/>
                <w:sz w:val="16"/>
                <w:szCs w:val="16"/>
              </w:rPr>
              <w:t>1 444</w:t>
            </w:r>
          </w:p>
        </w:tc>
      </w:tr>
      <w:tr w:rsidR="00EE5D67" w:rsidRPr="00EE5D67" w14:paraId="66D27D95"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0AB9DB6B" w14:textId="77777777" w:rsidR="00EE5D67" w:rsidRPr="00EE5D67" w:rsidRDefault="00EE5D67" w:rsidP="00EE5D67">
            <w:pPr>
              <w:spacing w:after="0" w:line="240" w:lineRule="auto"/>
              <w:rPr>
                <w:rFonts w:cs="Arial"/>
                <w:sz w:val="16"/>
                <w:szCs w:val="16"/>
              </w:rPr>
            </w:pPr>
            <w:r w:rsidRPr="00EE5D67">
              <w:rPr>
                <w:rFonts w:cs="Arial"/>
                <w:sz w:val="16"/>
                <w:szCs w:val="16"/>
              </w:rPr>
              <w:t>Jihočeský</w:t>
            </w:r>
          </w:p>
        </w:tc>
        <w:tc>
          <w:tcPr>
            <w:tcW w:w="750" w:type="dxa"/>
            <w:tcBorders>
              <w:top w:val="nil"/>
              <w:left w:val="nil"/>
              <w:bottom w:val="nil"/>
              <w:right w:val="nil"/>
            </w:tcBorders>
            <w:shd w:val="clear" w:color="000000" w:fill="FFFFFF"/>
            <w:vAlign w:val="center"/>
            <w:hideMark/>
          </w:tcPr>
          <w:p w14:paraId="17234CF6"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60 659</w:t>
            </w:r>
          </w:p>
        </w:tc>
        <w:tc>
          <w:tcPr>
            <w:tcW w:w="830" w:type="dxa"/>
            <w:tcBorders>
              <w:top w:val="nil"/>
              <w:left w:val="nil"/>
              <w:bottom w:val="nil"/>
              <w:right w:val="nil"/>
            </w:tcBorders>
            <w:shd w:val="clear" w:color="000000" w:fill="FFFFFF"/>
            <w:noWrap/>
            <w:vAlign w:val="center"/>
            <w:hideMark/>
          </w:tcPr>
          <w:p w14:paraId="404C3439" w14:textId="77777777" w:rsidR="00EE5D67" w:rsidRPr="00EE5D67" w:rsidRDefault="00EE5D67" w:rsidP="00EE5D67">
            <w:pPr>
              <w:spacing w:after="0" w:line="240" w:lineRule="auto"/>
              <w:jc w:val="right"/>
              <w:rPr>
                <w:rFonts w:cs="Arial"/>
                <w:sz w:val="16"/>
                <w:szCs w:val="16"/>
              </w:rPr>
            </w:pPr>
            <w:r w:rsidRPr="00EE5D67">
              <w:rPr>
                <w:rFonts w:cs="Arial"/>
                <w:sz w:val="16"/>
                <w:szCs w:val="16"/>
              </w:rPr>
              <w:t>26 852</w:t>
            </w:r>
          </w:p>
        </w:tc>
        <w:tc>
          <w:tcPr>
            <w:tcW w:w="830" w:type="dxa"/>
            <w:tcBorders>
              <w:top w:val="nil"/>
              <w:left w:val="nil"/>
              <w:bottom w:val="nil"/>
              <w:right w:val="nil"/>
            </w:tcBorders>
            <w:shd w:val="clear" w:color="000000" w:fill="FFFFFF"/>
            <w:noWrap/>
            <w:vAlign w:val="center"/>
            <w:hideMark/>
          </w:tcPr>
          <w:p w14:paraId="467C4F67" w14:textId="77777777" w:rsidR="00EE5D67" w:rsidRPr="00EE5D67" w:rsidRDefault="00EE5D67" w:rsidP="00EE5D67">
            <w:pPr>
              <w:spacing w:after="0" w:line="240" w:lineRule="auto"/>
              <w:jc w:val="right"/>
              <w:rPr>
                <w:rFonts w:cs="Arial"/>
                <w:sz w:val="16"/>
                <w:szCs w:val="16"/>
              </w:rPr>
            </w:pPr>
            <w:r w:rsidRPr="00EE5D67">
              <w:rPr>
                <w:rFonts w:cs="Arial"/>
                <w:sz w:val="16"/>
                <w:szCs w:val="16"/>
              </w:rPr>
              <w:t>8 652</w:t>
            </w:r>
          </w:p>
        </w:tc>
        <w:tc>
          <w:tcPr>
            <w:tcW w:w="830" w:type="dxa"/>
            <w:tcBorders>
              <w:top w:val="nil"/>
              <w:left w:val="nil"/>
              <w:bottom w:val="nil"/>
              <w:right w:val="nil"/>
            </w:tcBorders>
            <w:shd w:val="clear" w:color="000000" w:fill="FFFFFF"/>
            <w:noWrap/>
            <w:vAlign w:val="center"/>
            <w:hideMark/>
          </w:tcPr>
          <w:p w14:paraId="29FEF8BD" w14:textId="77777777" w:rsidR="00EE5D67" w:rsidRPr="00EE5D67" w:rsidRDefault="00EE5D67" w:rsidP="00EE5D67">
            <w:pPr>
              <w:spacing w:after="0" w:line="240" w:lineRule="auto"/>
              <w:jc w:val="right"/>
              <w:rPr>
                <w:rFonts w:cs="Arial"/>
                <w:sz w:val="16"/>
                <w:szCs w:val="16"/>
              </w:rPr>
            </w:pPr>
            <w:r w:rsidRPr="00EE5D67">
              <w:rPr>
                <w:rFonts w:cs="Arial"/>
                <w:sz w:val="16"/>
                <w:szCs w:val="16"/>
              </w:rPr>
              <w:t>5 985</w:t>
            </w:r>
          </w:p>
        </w:tc>
        <w:tc>
          <w:tcPr>
            <w:tcW w:w="830" w:type="dxa"/>
            <w:tcBorders>
              <w:top w:val="nil"/>
              <w:left w:val="nil"/>
              <w:bottom w:val="nil"/>
              <w:right w:val="nil"/>
            </w:tcBorders>
            <w:shd w:val="clear" w:color="000000" w:fill="FFFFFF"/>
            <w:noWrap/>
            <w:vAlign w:val="center"/>
            <w:hideMark/>
          </w:tcPr>
          <w:p w14:paraId="359927BA" w14:textId="77777777" w:rsidR="00EE5D67" w:rsidRPr="00EE5D67" w:rsidRDefault="00EE5D67" w:rsidP="00EE5D67">
            <w:pPr>
              <w:spacing w:after="0" w:line="240" w:lineRule="auto"/>
              <w:jc w:val="right"/>
              <w:rPr>
                <w:rFonts w:cs="Arial"/>
                <w:sz w:val="16"/>
                <w:szCs w:val="16"/>
              </w:rPr>
            </w:pPr>
            <w:r w:rsidRPr="00EE5D67">
              <w:rPr>
                <w:rFonts w:cs="Arial"/>
                <w:sz w:val="16"/>
                <w:szCs w:val="16"/>
              </w:rPr>
              <w:t>7 899</w:t>
            </w:r>
          </w:p>
        </w:tc>
        <w:tc>
          <w:tcPr>
            <w:tcW w:w="830" w:type="dxa"/>
            <w:tcBorders>
              <w:top w:val="nil"/>
              <w:left w:val="nil"/>
              <w:bottom w:val="nil"/>
              <w:right w:val="nil"/>
            </w:tcBorders>
            <w:shd w:val="clear" w:color="000000" w:fill="FFFFFF"/>
            <w:noWrap/>
            <w:vAlign w:val="center"/>
            <w:hideMark/>
          </w:tcPr>
          <w:p w14:paraId="4F95E5D5" w14:textId="77777777" w:rsidR="00EE5D67" w:rsidRPr="00EE5D67" w:rsidRDefault="00EE5D67" w:rsidP="00EE5D67">
            <w:pPr>
              <w:spacing w:after="0" w:line="240" w:lineRule="auto"/>
              <w:jc w:val="right"/>
              <w:rPr>
                <w:rFonts w:cs="Arial"/>
                <w:sz w:val="16"/>
                <w:szCs w:val="16"/>
              </w:rPr>
            </w:pPr>
            <w:r w:rsidRPr="00EE5D67">
              <w:rPr>
                <w:rFonts w:cs="Arial"/>
                <w:sz w:val="16"/>
                <w:szCs w:val="16"/>
              </w:rPr>
              <w:t>3 786</w:t>
            </w:r>
          </w:p>
        </w:tc>
        <w:tc>
          <w:tcPr>
            <w:tcW w:w="830" w:type="dxa"/>
            <w:tcBorders>
              <w:top w:val="nil"/>
              <w:left w:val="nil"/>
              <w:bottom w:val="nil"/>
              <w:right w:val="nil"/>
            </w:tcBorders>
            <w:shd w:val="clear" w:color="000000" w:fill="FFFFFF"/>
            <w:noWrap/>
            <w:vAlign w:val="center"/>
            <w:hideMark/>
          </w:tcPr>
          <w:p w14:paraId="449EFF5C" w14:textId="77777777" w:rsidR="00EE5D67" w:rsidRPr="00EE5D67" w:rsidRDefault="00EE5D67" w:rsidP="00EE5D67">
            <w:pPr>
              <w:spacing w:after="0" w:line="240" w:lineRule="auto"/>
              <w:jc w:val="right"/>
              <w:rPr>
                <w:rFonts w:cs="Arial"/>
                <w:sz w:val="16"/>
                <w:szCs w:val="16"/>
              </w:rPr>
            </w:pPr>
            <w:r w:rsidRPr="00EE5D67">
              <w:rPr>
                <w:rFonts w:cs="Arial"/>
                <w:sz w:val="16"/>
                <w:szCs w:val="16"/>
              </w:rPr>
              <w:t>4 310</w:t>
            </w:r>
          </w:p>
        </w:tc>
        <w:tc>
          <w:tcPr>
            <w:tcW w:w="830" w:type="dxa"/>
            <w:tcBorders>
              <w:top w:val="nil"/>
              <w:left w:val="nil"/>
              <w:bottom w:val="nil"/>
              <w:right w:val="nil"/>
            </w:tcBorders>
            <w:shd w:val="clear" w:color="000000" w:fill="FFFFFF"/>
            <w:noWrap/>
            <w:vAlign w:val="center"/>
            <w:hideMark/>
          </w:tcPr>
          <w:p w14:paraId="22B7443D" w14:textId="77777777" w:rsidR="00EE5D67" w:rsidRPr="00EE5D67" w:rsidRDefault="00EE5D67" w:rsidP="00EE5D67">
            <w:pPr>
              <w:spacing w:after="0" w:line="240" w:lineRule="auto"/>
              <w:jc w:val="right"/>
              <w:rPr>
                <w:rFonts w:cs="Arial"/>
                <w:sz w:val="16"/>
                <w:szCs w:val="16"/>
              </w:rPr>
            </w:pPr>
            <w:r w:rsidRPr="00EE5D67">
              <w:rPr>
                <w:rFonts w:cs="Arial"/>
                <w:sz w:val="16"/>
                <w:szCs w:val="16"/>
              </w:rPr>
              <w:t>1 503</w:t>
            </w:r>
          </w:p>
        </w:tc>
        <w:tc>
          <w:tcPr>
            <w:tcW w:w="830" w:type="dxa"/>
            <w:tcBorders>
              <w:top w:val="nil"/>
              <w:left w:val="nil"/>
              <w:bottom w:val="nil"/>
              <w:right w:val="nil"/>
            </w:tcBorders>
            <w:shd w:val="clear" w:color="000000" w:fill="FFFFFF"/>
            <w:noWrap/>
            <w:vAlign w:val="center"/>
            <w:hideMark/>
          </w:tcPr>
          <w:p w14:paraId="6BC1AD80" w14:textId="77777777" w:rsidR="00EE5D67" w:rsidRPr="00EE5D67" w:rsidRDefault="00EE5D67" w:rsidP="00EE5D67">
            <w:pPr>
              <w:spacing w:after="0" w:line="240" w:lineRule="auto"/>
              <w:jc w:val="right"/>
              <w:rPr>
                <w:rFonts w:cs="Arial"/>
                <w:sz w:val="16"/>
                <w:szCs w:val="16"/>
              </w:rPr>
            </w:pPr>
            <w:r w:rsidRPr="00EE5D67">
              <w:rPr>
                <w:rFonts w:cs="Arial"/>
                <w:sz w:val="16"/>
                <w:szCs w:val="16"/>
              </w:rPr>
              <w:t>768</w:t>
            </w:r>
          </w:p>
        </w:tc>
        <w:tc>
          <w:tcPr>
            <w:tcW w:w="830" w:type="dxa"/>
            <w:tcBorders>
              <w:top w:val="nil"/>
              <w:left w:val="nil"/>
              <w:bottom w:val="nil"/>
              <w:right w:val="nil"/>
            </w:tcBorders>
            <w:shd w:val="clear" w:color="000000" w:fill="FFFFFF"/>
            <w:noWrap/>
            <w:vAlign w:val="center"/>
            <w:hideMark/>
          </w:tcPr>
          <w:p w14:paraId="002A0370" w14:textId="77777777" w:rsidR="00EE5D67" w:rsidRPr="00EE5D67" w:rsidRDefault="00EE5D67" w:rsidP="00EE5D67">
            <w:pPr>
              <w:spacing w:after="0" w:line="240" w:lineRule="auto"/>
              <w:jc w:val="right"/>
              <w:rPr>
                <w:rFonts w:cs="Arial"/>
                <w:sz w:val="16"/>
                <w:szCs w:val="16"/>
              </w:rPr>
            </w:pPr>
            <w:r w:rsidRPr="00EE5D67">
              <w:rPr>
                <w:rFonts w:cs="Arial"/>
                <w:sz w:val="16"/>
                <w:szCs w:val="16"/>
              </w:rPr>
              <w:t>904</w:t>
            </w:r>
          </w:p>
        </w:tc>
      </w:tr>
      <w:tr w:rsidR="00EE5D67" w:rsidRPr="00EE5D67" w14:paraId="1E888B6C"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3428A92E" w14:textId="77777777" w:rsidR="00EE5D67" w:rsidRPr="00EE5D67" w:rsidRDefault="00EE5D67" w:rsidP="00EE5D67">
            <w:pPr>
              <w:spacing w:after="0" w:line="240" w:lineRule="auto"/>
              <w:rPr>
                <w:rFonts w:cs="Arial"/>
                <w:sz w:val="16"/>
                <w:szCs w:val="16"/>
              </w:rPr>
            </w:pPr>
            <w:r w:rsidRPr="00EE5D67">
              <w:rPr>
                <w:rFonts w:cs="Arial"/>
                <w:sz w:val="16"/>
                <w:szCs w:val="16"/>
              </w:rPr>
              <w:t xml:space="preserve">Plzeňský   </w:t>
            </w:r>
          </w:p>
        </w:tc>
        <w:tc>
          <w:tcPr>
            <w:tcW w:w="750" w:type="dxa"/>
            <w:tcBorders>
              <w:top w:val="nil"/>
              <w:left w:val="nil"/>
              <w:bottom w:val="nil"/>
              <w:right w:val="nil"/>
            </w:tcBorders>
            <w:shd w:val="clear" w:color="000000" w:fill="FFFFFF"/>
            <w:vAlign w:val="center"/>
            <w:hideMark/>
          </w:tcPr>
          <w:p w14:paraId="16EF08BA"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61 239</w:t>
            </w:r>
          </w:p>
        </w:tc>
        <w:tc>
          <w:tcPr>
            <w:tcW w:w="830" w:type="dxa"/>
            <w:tcBorders>
              <w:top w:val="nil"/>
              <w:left w:val="nil"/>
              <w:bottom w:val="nil"/>
              <w:right w:val="nil"/>
            </w:tcBorders>
            <w:shd w:val="clear" w:color="000000" w:fill="FFFFFF"/>
            <w:noWrap/>
            <w:vAlign w:val="center"/>
            <w:hideMark/>
          </w:tcPr>
          <w:p w14:paraId="6B2E9831" w14:textId="77777777" w:rsidR="00EE5D67" w:rsidRPr="00EE5D67" w:rsidRDefault="00EE5D67" w:rsidP="00EE5D67">
            <w:pPr>
              <w:spacing w:after="0" w:line="240" w:lineRule="auto"/>
              <w:jc w:val="right"/>
              <w:rPr>
                <w:rFonts w:cs="Arial"/>
                <w:sz w:val="16"/>
                <w:szCs w:val="16"/>
              </w:rPr>
            </w:pPr>
            <w:r w:rsidRPr="00EE5D67">
              <w:rPr>
                <w:rFonts w:cs="Arial"/>
                <w:sz w:val="16"/>
                <w:szCs w:val="16"/>
              </w:rPr>
              <w:t>30 129</w:t>
            </w:r>
          </w:p>
        </w:tc>
        <w:tc>
          <w:tcPr>
            <w:tcW w:w="830" w:type="dxa"/>
            <w:tcBorders>
              <w:top w:val="nil"/>
              <w:left w:val="nil"/>
              <w:bottom w:val="nil"/>
              <w:right w:val="nil"/>
            </w:tcBorders>
            <w:shd w:val="clear" w:color="000000" w:fill="FFFFFF"/>
            <w:noWrap/>
            <w:vAlign w:val="center"/>
            <w:hideMark/>
          </w:tcPr>
          <w:p w14:paraId="75917AB8" w14:textId="77777777" w:rsidR="00EE5D67" w:rsidRPr="00EE5D67" w:rsidRDefault="00EE5D67" w:rsidP="00EE5D67">
            <w:pPr>
              <w:spacing w:after="0" w:line="240" w:lineRule="auto"/>
              <w:jc w:val="right"/>
              <w:rPr>
                <w:rFonts w:cs="Arial"/>
                <w:sz w:val="16"/>
                <w:szCs w:val="16"/>
              </w:rPr>
            </w:pPr>
            <w:r w:rsidRPr="00EE5D67">
              <w:rPr>
                <w:rFonts w:cs="Arial"/>
                <w:sz w:val="16"/>
                <w:szCs w:val="16"/>
              </w:rPr>
              <w:t>9 150</w:t>
            </w:r>
          </w:p>
        </w:tc>
        <w:tc>
          <w:tcPr>
            <w:tcW w:w="830" w:type="dxa"/>
            <w:tcBorders>
              <w:top w:val="nil"/>
              <w:left w:val="nil"/>
              <w:bottom w:val="nil"/>
              <w:right w:val="nil"/>
            </w:tcBorders>
            <w:shd w:val="clear" w:color="000000" w:fill="FFFFFF"/>
            <w:noWrap/>
            <w:vAlign w:val="center"/>
            <w:hideMark/>
          </w:tcPr>
          <w:p w14:paraId="691DECD6" w14:textId="77777777" w:rsidR="00EE5D67" w:rsidRPr="00EE5D67" w:rsidRDefault="00EE5D67" w:rsidP="00EE5D67">
            <w:pPr>
              <w:spacing w:after="0" w:line="240" w:lineRule="auto"/>
              <w:jc w:val="right"/>
              <w:rPr>
                <w:rFonts w:cs="Arial"/>
                <w:sz w:val="16"/>
                <w:szCs w:val="16"/>
              </w:rPr>
            </w:pPr>
            <w:r w:rsidRPr="00EE5D67">
              <w:rPr>
                <w:rFonts w:cs="Arial"/>
                <w:sz w:val="16"/>
                <w:szCs w:val="16"/>
              </w:rPr>
              <w:t>5 324</w:t>
            </w:r>
          </w:p>
        </w:tc>
        <w:tc>
          <w:tcPr>
            <w:tcW w:w="830" w:type="dxa"/>
            <w:tcBorders>
              <w:top w:val="nil"/>
              <w:left w:val="nil"/>
              <w:bottom w:val="nil"/>
              <w:right w:val="nil"/>
            </w:tcBorders>
            <w:shd w:val="clear" w:color="000000" w:fill="FFFFFF"/>
            <w:noWrap/>
            <w:vAlign w:val="center"/>
            <w:hideMark/>
          </w:tcPr>
          <w:p w14:paraId="3C13C1A8" w14:textId="77777777" w:rsidR="00EE5D67" w:rsidRPr="00EE5D67" w:rsidRDefault="00EE5D67" w:rsidP="00EE5D67">
            <w:pPr>
              <w:spacing w:after="0" w:line="240" w:lineRule="auto"/>
              <w:jc w:val="right"/>
              <w:rPr>
                <w:rFonts w:cs="Arial"/>
                <w:sz w:val="16"/>
                <w:szCs w:val="16"/>
              </w:rPr>
            </w:pPr>
            <w:r w:rsidRPr="00EE5D67">
              <w:rPr>
                <w:rFonts w:cs="Arial"/>
                <w:sz w:val="16"/>
                <w:szCs w:val="16"/>
              </w:rPr>
              <w:t>7 110</w:t>
            </w:r>
          </w:p>
        </w:tc>
        <w:tc>
          <w:tcPr>
            <w:tcW w:w="830" w:type="dxa"/>
            <w:tcBorders>
              <w:top w:val="nil"/>
              <w:left w:val="nil"/>
              <w:bottom w:val="nil"/>
              <w:right w:val="nil"/>
            </w:tcBorders>
            <w:shd w:val="clear" w:color="000000" w:fill="FFFFFF"/>
            <w:noWrap/>
            <w:vAlign w:val="center"/>
            <w:hideMark/>
          </w:tcPr>
          <w:p w14:paraId="5CF923CB" w14:textId="77777777" w:rsidR="00EE5D67" w:rsidRPr="00EE5D67" w:rsidRDefault="00EE5D67" w:rsidP="00EE5D67">
            <w:pPr>
              <w:spacing w:after="0" w:line="240" w:lineRule="auto"/>
              <w:jc w:val="right"/>
              <w:rPr>
                <w:rFonts w:cs="Arial"/>
                <w:sz w:val="16"/>
                <w:szCs w:val="16"/>
              </w:rPr>
            </w:pPr>
            <w:r w:rsidRPr="00EE5D67">
              <w:rPr>
                <w:rFonts w:cs="Arial"/>
                <w:sz w:val="16"/>
                <w:szCs w:val="16"/>
              </w:rPr>
              <w:t>3 205</w:t>
            </w:r>
          </w:p>
        </w:tc>
        <w:tc>
          <w:tcPr>
            <w:tcW w:w="830" w:type="dxa"/>
            <w:tcBorders>
              <w:top w:val="nil"/>
              <w:left w:val="nil"/>
              <w:bottom w:val="nil"/>
              <w:right w:val="nil"/>
            </w:tcBorders>
            <w:shd w:val="clear" w:color="000000" w:fill="FFFFFF"/>
            <w:noWrap/>
            <w:vAlign w:val="center"/>
            <w:hideMark/>
          </w:tcPr>
          <w:p w14:paraId="5CDF13D0" w14:textId="77777777" w:rsidR="00EE5D67" w:rsidRPr="00EE5D67" w:rsidRDefault="00EE5D67" w:rsidP="00EE5D67">
            <w:pPr>
              <w:spacing w:after="0" w:line="240" w:lineRule="auto"/>
              <w:jc w:val="right"/>
              <w:rPr>
                <w:rFonts w:cs="Arial"/>
                <w:sz w:val="16"/>
                <w:szCs w:val="16"/>
              </w:rPr>
            </w:pPr>
            <w:r w:rsidRPr="00EE5D67">
              <w:rPr>
                <w:rFonts w:cs="Arial"/>
                <w:sz w:val="16"/>
                <w:szCs w:val="16"/>
              </w:rPr>
              <w:t>3 519</w:t>
            </w:r>
          </w:p>
        </w:tc>
        <w:tc>
          <w:tcPr>
            <w:tcW w:w="830" w:type="dxa"/>
            <w:tcBorders>
              <w:top w:val="nil"/>
              <w:left w:val="nil"/>
              <w:bottom w:val="nil"/>
              <w:right w:val="nil"/>
            </w:tcBorders>
            <w:shd w:val="clear" w:color="000000" w:fill="FFFFFF"/>
            <w:noWrap/>
            <w:vAlign w:val="center"/>
            <w:hideMark/>
          </w:tcPr>
          <w:p w14:paraId="7507F012" w14:textId="77777777" w:rsidR="00EE5D67" w:rsidRPr="00EE5D67" w:rsidRDefault="00EE5D67" w:rsidP="00EE5D67">
            <w:pPr>
              <w:spacing w:after="0" w:line="240" w:lineRule="auto"/>
              <w:jc w:val="right"/>
              <w:rPr>
                <w:rFonts w:cs="Arial"/>
                <w:sz w:val="16"/>
                <w:szCs w:val="16"/>
              </w:rPr>
            </w:pPr>
            <w:r w:rsidRPr="00EE5D67">
              <w:rPr>
                <w:rFonts w:cs="Arial"/>
                <w:sz w:val="16"/>
                <w:szCs w:val="16"/>
              </w:rPr>
              <w:t>1 299</w:t>
            </w:r>
          </w:p>
        </w:tc>
        <w:tc>
          <w:tcPr>
            <w:tcW w:w="830" w:type="dxa"/>
            <w:tcBorders>
              <w:top w:val="nil"/>
              <w:left w:val="nil"/>
              <w:bottom w:val="nil"/>
              <w:right w:val="nil"/>
            </w:tcBorders>
            <w:shd w:val="clear" w:color="000000" w:fill="FFFFFF"/>
            <w:noWrap/>
            <w:vAlign w:val="center"/>
            <w:hideMark/>
          </w:tcPr>
          <w:p w14:paraId="4C91D6C1" w14:textId="77777777" w:rsidR="00EE5D67" w:rsidRPr="00EE5D67" w:rsidRDefault="00EE5D67" w:rsidP="00EE5D67">
            <w:pPr>
              <w:spacing w:after="0" w:line="240" w:lineRule="auto"/>
              <w:jc w:val="right"/>
              <w:rPr>
                <w:rFonts w:cs="Arial"/>
                <w:sz w:val="16"/>
                <w:szCs w:val="16"/>
              </w:rPr>
            </w:pPr>
            <w:r w:rsidRPr="00EE5D67">
              <w:rPr>
                <w:rFonts w:cs="Arial"/>
                <w:sz w:val="16"/>
                <w:szCs w:val="16"/>
              </w:rPr>
              <w:t>685</w:t>
            </w:r>
          </w:p>
        </w:tc>
        <w:tc>
          <w:tcPr>
            <w:tcW w:w="830" w:type="dxa"/>
            <w:tcBorders>
              <w:top w:val="nil"/>
              <w:left w:val="nil"/>
              <w:bottom w:val="nil"/>
              <w:right w:val="nil"/>
            </w:tcBorders>
            <w:shd w:val="clear" w:color="000000" w:fill="FFFFFF"/>
            <w:noWrap/>
            <w:vAlign w:val="center"/>
            <w:hideMark/>
          </w:tcPr>
          <w:p w14:paraId="11E87977" w14:textId="77777777" w:rsidR="00EE5D67" w:rsidRPr="00EE5D67" w:rsidRDefault="00EE5D67" w:rsidP="00EE5D67">
            <w:pPr>
              <w:spacing w:after="0" w:line="240" w:lineRule="auto"/>
              <w:jc w:val="right"/>
              <w:rPr>
                <w:rFonts w:cs="Arial"/>
                <w:sz w:val="16"/>
                <w:szCs w:val="16"/>
              </w:rPr>
            </w:pPr>
            <w:r w:rsidRPr="00EE5D67">
              <w:rPr>
                <w:rFonts w:cs="Arial"/>
                <w:sz w:val="16"/>
                <w:szCs w:val="16"/>
              </w:rPr>
              <w:t>818</w:t>
            </w:r>
          </w:p>
        </w:tc>
      </w:tr>
      <w:tr w:rsidR="00EE5D67" w:rsidRPr="00EE5D67" w14:paraId="5ACDA794"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775962C2" w14:textId="77777777" w:rsidR="00EE5D67" w:rsidRPr="00EE5D67" w:rsidRDefault="00EE5D67" w:rsidP="00EE5D67">
            <w:pPr>
              <w:spacing w:after="0" w:line="240" w:lineRule="auto"/>
              <w:rPr>
                <w:rFonts w:cs="Arial"/>
                <w:sz w:val="16"/>
                <w:szCs w:val="16"/>
              </w:rPr>
            </w:pPr>
            <w:r w:rsidRPr="00EE5D67">
              <w:rPr>
                <w:rFonts w:cs="Arial"/>
                <w:sz w:val="16"/>
                <w:szCs w:val="16"/>
              </w:rPr>
              <w:t>Karlovarský</w:t>
            </w:r>
          </w:p>
        </w:tc>
        <w:tc>
          <w:tcPr>
            <w:tcW w:w="750" w:type="dxa"/>
            <w:tcBorders>
              <w:top w:val="nil"/>
              <w:left w:val="nil"/>
              <w:bottom w:val="nil"/>
              <w:right w:val="nil"/>
            </w:tcBorders>
            <w:shd w:val="clear" w:color="000000" w:fill="FFFFFF"/>
            <w:vAlign w:val="center"/>
            <w:hideMark/>
          </w:tcPr>
          <w:p w14:paraId="3B2E92FB"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25 972</w:t>
            </w:r>
          </w:p>
        </w:tc>
        <w:tc>
          <w:tcPr>
            <w:tcW w:w="830" w:type="dxa"/>
            <w:tcBorders>
              <w:top w:val="nil"/>
              <w:left w:val="nil"/>
              <w:bottom w:val="nil"/>
              <w:right w:val="nil"/>
            </w:tcBorders>
            <w:shd w:val="clear" w:color="000000" w:fill="FFFFFF"/>
            <w:noWrap/>
            <w:vAlign w:val="center"/>
            <w:hideMark/>
          </w:tcPr>
          <w:p w14:paraId="04C96D3F" w14:textId="77777777" w:rsidR="00EE5D67" w:rsidRPr="00EE5D67" w:rsidRDefault="00EE5D67" w:rsidP="00EE5D67">
            <w:pPr>
              <w:spacing w:after="0" w:line="240" w:lineRule="auto"/>
              <w:jc w:val="right"/>
              <w:rPr>
                <w:rFonts w:cs="Arial"/>
                <w:sz w:val="16"/>
                <w:szCs w:val="16"/>
              </w:rPr>
            </w:pPr>
            <w:r w:rsidRPr="00EE5D67">
              <w:rPr>
                <w:rFonts w:cs="Arial"/>
                <w:sz w:val="16"/>
                <w:szCs w:val="16"/>
              </w:rPr>
              <w:t>11 990</w:t>
            </w:r>
          </w:p>
        </w:tc>
        <w:tc>
          <w:tcPr>
            <w:tcW w:w="830" w:type="dxa"/>
            <w:tcBorders>
              <w:top w:val="nil"/>
              <w:left w:val="nil"/>
              <w:bottom w:val="nil"/>
              <w:right w:val="nil"/>
            </w:tcBorders>
            <w:shd w:val="clear" w:color="000000" w:fill="FFFFFF"/>
            <w:noWrap/>
            <w:vAlign w:val="center"/>
            <w:hideMark/>
          </w:tcPr>
          <w:p w14:paraId="3E70B6FE" w14:textId="77777777" w:rsidR="00EE5D67" w:rsidRPr="00EE5D67" w:rsidRDefault="00EE5D67" w:rsidP="00EE5D67">
            <w:pPr>
              <w:spacing w:after="0" w:line="240" w:lineRule="auto"/>
              <w:jc w:val="right"/>
              <w:rPr>
                <w:rFonts w:cs="Arial"/>
                <w:sz w:val="16"/>
                <w:szCs w:val="16"/>
              </w:rPr>
            </w:pPr>
            <w:r w:rsidRPr="00EE5D67">
              <w:rPr>
                <w:rFonts w:cs="Arial"/>
                <w:sz w:val="16"/>
                <w:szCs w:val="16"/>
              </w:rPr>
              <w:t>3 713</w:t>
            </w:r>
          </w:p>
        </w:tc>
        <w:tc>
          <w:tcPr>
            <w:tcW w:w="830" w:type="dxa"/>
            <w:tcBorders>
              <w:top w:val="nil"/>
              <w:left w:val="nil"/>
              <w:bottom w:val="nil"/>
              <w:right w:val="nil"/>
            </w:tcBorders>
            <w:shd w:val="clear" w:color="000000" w:fill="FFFFFF"/>
            <w:noWrap/>
            <w:vAlign w:val="center"/>
            <w:hideMark/>
          </w:tcPr>
          <w:p w14:paraId="05291574" w14:textId="77777777" w:rsidR="00EE5D67" w:rsidRPr="00EE5D67" w:rsidRDefault="00EE5D67" w:rsidP="00EE5D67">
            <w:pPr>
              <w:spacing w:after="0" w:line="240" w:lineRule="auto"/>
              <w:jc w:val="right"/>
              <w:rPr>
                <w:rFonts w:cs="Arial"/>
                <w:sz w:val="16"/>
                <w:szCs w:val="16"/>
              </w:rPr>
            </w:pPr>
            <w:r w:rsidRPr="00EE5D67">
              <w:rPr>
                <w:rFonts w:cs="Arial"/>
                <w:sz w:val="16"/>
                <w:szCs w:val="16"/>
              </w:rPr>
              <w:t>3 271</w:t>
            </w:r>
          </w:p>
        </w:tc>
        <w:tc>
          <w:tcPr>
            <w:tcW w:w="830" w:type="dxa"/>
            <w:tcBorders>
              <w:top w:val="nil"/>
              <w:left w:val="nil"/>
              <w:bottom w:val="nil"/>
              <w:right w:val="nil"/>
            </w:tcBorders>
            <w:shd w:val="clear" w:color="000000" w:fill="FFFFFF"/>
            <w:noWrap/>
            <w:vAlign w:val="center"/>
            <w:hideMark/>
          </w:tcPr>
          <w:p w14:paraId="1428BB31" w14:textId="77777777" w:rsidR="00EE5D67" w:rsidRPr="00EE5D67" w:rsidRDefault="00EE5D67" w:rsidP="00EE5D67">
            <w:pPr>
              <w:spacing w:after="0" w:line="240" w:lineRule="auto"/>
              <w:jc w:val="right"/>
              <w:rPr>
                <w:rFonts w:cs="Arial"/>
                <w:sz w:val="16"/>
                <w:szCs w:val="16"/>
              </w:rPr>
            </w:pPr>
            <w:r w:rsidRPr="00EE5D67">
              <w:rPr>
                <w:rFonts w:cs="Arial"/>
                <w:sz w:val="16"/>
                <w:szCs w:val="16"/>
              </w:rPr>
              <w:t>2 997</w:t>
            </w:r>
          </w:p>
        </w:tc>
        <w:tc>
          <w:tcPr>
            <w:tcW w:w="830" w:type="dxa"/>
            <w:tcBorders>
              <w:top w:val="nil"/>
              <w:left w:val="nil"/>
              <w:bottom w:val="nil"/>
              <w:right w:val="nil"/>
            </w:tcBorders>
            <w:shd w:val="clear" w:color="000000" w:fill="FFFFFF"/>
            <w:noWrap/>
            <w:vAlign w:val="center"/>
            <w:hideMark/>
          </w:tcPr>
          <w:p w14:paraId="79A1F52E" w14:textId="77777777" w:rsidR="00EE5D67" w:rsidRPr="00EE5D67" w:rsidRDefault="00EE5D67" w:rsidP="00EE5D67">
            <w:pPr>
              <w:spacing w:after="0" w:line="240" w:lineRule="auto"/>
              <w:jc w:val="right"/>
              <w:rPr>
                <w:rFonts w:cs="Arial"/>
                <w:sz w:val="16"/>
                <w:szCs w:val="16"/>
              </w:rPr>
            </w:pPr>
            <w:r w:rsidRPr="00EE5D67">
              <w:rPr>
                <w:rFonts w:cs="Arial"/>
                <w:sz w:val="16"/>
                <w:szCs w:val="16"/>
              </w:rPr>
              <w:t>1 340</w:t>
            </w:r>
          </w:p>
        </w:tc>
        <w:tc>
          <w:tcPr>
            <w:tcW w:w="830" w:type="dxa"/>
            <w:tcBorders>
              <w:top w:val="nil"/>
              <w:left w:val="nil"/>
              <w:bottom w:val="nil"/>
              <w:right w:val="nil"/>
            </w:tcBorders>
            <w:shd w:val="clear" w:color="000000" w:fill="FFFFFF"/>
            <w:noWrap/>
            <w:vAlign w:val="center"/>
            <w:hideMark/>
          </w:tcPr>
          <w:p w14:paraId="5547D042" w14:textId="77777777" w:rsidR="00EE5D67" w:rsidRPr="00EE5D67" w:rsidRDefault="00EE5D67" w:rsidP="00EE5D67">
            <w:pPr>
              <w:spacing w:after="0" w:line="240" w:lineRule="auto"/>
              <w:jc w:val="right"/>
              <w:rPr>
                <w:rFonts w:cs="Arial"/>
                <w:sz w:val="16"/>
                <w:szCs w:val="16"/>
              </w:rPr>
            </w:pPr>
            <w:r w:rsidRPr="00EE5D67">
              <w:rPr>
                <w:rFonts w:cs="Arial"/>
                <w:sz w:val="16"/>
                <w:szCs w:val="16"/>
              </w:rPr>
              <w:t>1 538</w:t>
            </w:r>
          </w:p>
        </w:tc>
        <w:tc>
          <w:tcPr>
            <w:tcW w:w="830" w:type="dxa"/>
            <w:tcBorders>
              <w:top w:val="nil"/>
              <w:left w:val="nil"/>
              <w:bottom w:val="nil"/>
              <w:right w:val="nil"/>
            </w:tcBorders>
            <w:shd w:val="clear" w:color="000000" w:fill="FFFFFF"/>
            <w:noWrap/>
            <w:vAlign w:val="center"/>
            <w:hideMark/>
          </w:tcPr>
          <w:p w14:paraId="3F0D5934" w14:textId="77777777" w:rsidR="00EE5D67" w:rsidRPr="00EE5D67" w:rsidRDefault="00EE5D67" w:rsidP="00EE5D67">
            <w:pPr>
              <w:spacing w:after="0" w:line="240" w:lineRule="auto"/>
              <w:jc w:val="right"/>
              <w:rPr>
                <w:rFonts w:cs="Arial"/>
                <w:sz w:val="16"/>
                <w:szCs w:val="16"/>
              </w:rPr>
            </w:pPr>
            <w:r w:rsidRPr="00EE5D67">
              <w:rPr>
                <w:rFonts w:cs="Arial"/>
                <w:sz w:val="16"/>
                <w:szCs w:val="16"/>
              </w:rPr>
              <w:t>494</w:t>
            </w:r>
          </w:p>
        </w:tc>
        <w:tc>
          <w:tcPr>
            <w:tcW w:w="830" w:type="dxa"/>
            <w:tcBorders>
              <w:top w:val="nil"/>
              <w:left w:val="nil"/>
              <w:bottom w:val="nil"/>
              <w:right w:val="nil"/>
            </w:tcBorders>
            <w:shd w:val="clear" w:color="000000" w:fill="FFFFFF"/>
            <w:noWrap/>
            <w:vAlign w:val="center"/>
            <w:hideMark/>
          </w:tcPr>
          <w:p w14:paraId="7E2408F0" w14:textId="77777777" w:rsidR="00EE5D67" w:rsidRPr="00EE5D67" w:rsidRDefault="00EE5D67" w:rsidP="00EE5D67">
            <w:pPr>
              <w:spacing w:after="0" w:line="240" w:lineRule="auto"/>
              <w:jc w:val="right"/>
              <w:rPr>
                <w:rFonts w:cs="Arial"/>
                <w:sz w:val="16"/>
                <w:szCs w:val="16"/>
              </w:rPr>
            </w:pPr>
            <w:r w:rsidRPr="00EE5D67">
              <w:rPr>
                <w:rFonts w:cs="Arial"/>
                <w:sz w:val="16"/>
                <w:szCs w:val="16"/>
              </w:rPr>
              <w:t>270</w:t>
            </w:r>
          </w:p>
        </w:tc>
        <w:tc>
          <w:tcPr>
            <w:tcW w:w="830" w:type="dxa"/>
            <w:tcBorders>
              <w:top w:val="nil"/>
              <w:left w:val="nil"/>
              <w:bottom w:val="nil"/>
              <w:right w:val="nil"/>
            </w:tcBorders>
            <w:shd w:val="clear" w:color="000000" w:fill="FFFFFF"/>
            <w:noWrap/>
            <w:vAlign w:val="center"/>
            <w:hideMark/>
          </w:tcPr>
          <w:p w14:paraId="4777D25A" w14:textId="77777777" w:rsidR="00EE5D67" w:rsidRPr="00EE5D67" w:rsidRDefault="00EE5D67" w:rsidP="00EE5D67">
            <w:pPr>
              <w:spacing w:after="0" w:line="240" w:lineRule="auto"/>
              <w:jc w:val="right"/>
              <w:rPr>
                <w:rFonts w:cs="Arial"/>
                <w:sz w:val="16"/>
                <w:szCs w:val="16"/>
              </w:rPr>
            </w:pPr>
            <w:r w:rsidRPr="00EE5D67">
              <w:rPr>
                <w:rFonts w:cs="Arial"/>
                <w:sz w:val="16"/>
                <w:szCs w:val="16"/>
              </w:rPr>
              <w:t>359</w:t>
            </w:r>
          </w:p>
        </w:tc>
      </w:tr>
      <w:tr w:rsidR="00EE5D67" w:rsidRPr="00EE5D67" w14:paraId="4DCF8123"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1EA2AD49" w14:textId="77777777" w:rsidR="00EE5D67" w:rsidRPr="00EE5D67" w:rsidRDefault="00EE5D67" w:rsidP="00EE5D67">
            <w:pPr>
              <w:spacing w:after="0" w:line="240" w:lineRule="auto"/>
              <w:rPr>
                <w:rFonts w:cs="Arial"/>
                <w:sz w:val="16"/>
                <w:szCs w:val="16"/>
              </w:rPr>
            </w:pPr>
            <w:r w:rsidRPr="00EE5D67">
              <w:rPr>
                <w:rFonts w:cs="Arial"/>
                <w:sz w:val="16"/>
                <w:szCs w:val="16"/>
              </w:rPr>
              <w:t>Ústecký</w:t>
            </w:r>
          </w:p>
        </w:tc>
        <w:tc>
          <w:tcPr>
            <w:tcW w:w="750" w:type="dxa"/>
            <w:tcBorders>
              <w:top w:val="nil"/>
              <w:left w:val="nil"/>
              <w:bottom w:val="nil"/>
              <w:right w:val="nil"/>
            </w:tcBorders>
            <w:shd w:val="clear" w:color="000000" w:fill="FFFFFF"/>
            <w:vAlign w:val="center"/>
            <w:hideMark/>
          </w:tcPr>
          <w:p w14:paraId="61DE9F29"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74 439</w:t>
            </w:r>
          </w:p>
        </w:tc>
        <w:tc>
          <w:tcPr>
            <w:tcW w:w="830" w:type="dxa"/>
            <w:tcBorders>
              <w:top w:val="nil"/>
              <w:left w:val="nil"/>
              <w:bottom w:val="nil"/>
              <w:right w:val="nil"/>
            </w:tcBorders>
            <w:shd w:val="clear" w:color="000000" w:fill="FFFFFF"/>
            <w:noWrap/>
            <w:vAlign w:val="center"/>
            <w:hideMark/>
          </w:tcPr>
          <w:p w14:paraId="348CD956" w14:textId="77777777" w:rsidR="00EE5D67" w:rsidRPr="00EE5D67" w:rsidRDefault="00EE5D67" w:rsidP="00EE5D67">
            <w:pPr>
              <w:spacing w:after="0" w:line="240" w:lineRule="auto"/>
              <w:jc w:val="right"/>
              <w:rPr>
                <w:rFonts w:cs="Arial"/>
                <w:sz w:val="16"/>
                <w:szCs w:val="16"/>
              </w:rPr>
            </w:pPr>
            <w:r w:rsidRPr="00EE5D67">
              <w:rPr>
                <w:rFonts w:cs="Arial"/>
                <w:sz w:val="16"/>
                <w:szCs w:val="16"/>
              </w:rPr>
              <w:t>36 581</w:t>
            </w:r>
          </w:p>
        </w:tc>
        <w:tc>
          <w:tcPr>
            <w:tcW w:w="830" w:type="dxa"/>
            <w:tcBorders>
              <w:top w:val="nil"/>
              <w:left w:val="nil"/>
              <w:bottom w:val="nil"/>
              <w:right w:val="nil"/>
            </w:tcBorders>
            <w:shd w:val="clear" w:color="000000" w:fill="FFFFFF"/>
            <w:noWrap/>
            <w:vAlign w:val="center"/>
            <w:hideMark/>
          </w:tcPr>
          <w:p w14:paraId="1A7A923C" w14:textId="77777777" w:rsidR="00EE5D67" w:rsidRPr="00EE5D67" w:rsidRDefault="00EE5D67" w:rsidP="00EE5D67">
            <w:pPr>
              <w:spacing w:after="0" w:line="240" w:lineRule="auto"/>
              <w:jc w:val="right"/>
              <w:rPr>
                <w:rFonts w:cs="Arial"/>
                <w:sz w:val="16"/>
                <w:szCs w:val="16"/>
              </w:rPr>
            </w:pPr>
            <w:r w:rsidRPr="00EE5D67">
              <w:rPr>
                <w:rFonts w:cs="Arial"/>
                <w:sz w:val="16"/>
                <w:szCs w:val="16"/>
              </w:rPr>
              <w:t>10 188</w:t>
            </w:r>
          </w:p>
        </w:tc>
        <w:tc>
          <w:tcPr>
            <w:tcW w:w="830" w:type="dxa"/>
            <w:tcBorders>
              <w:top w:val="nil"/>
              <w:left w:val="nil"/>
              <w:bottom w:val="nil"/>
              <w:right w:val="nil"/>
            </w:tcBorders>
            <w:shd w:val="clear" w:color="000000" w:fill="FFFFFF"/>
            <w:noWrap/>
            <w:vAlign w:val="center"/>
            <w:hideMark/>
          </w:tcPr>
          <w:p w14:paraId="6B48C10A" w14:textId="77777777" w:rsidR="00EE5D67" w:rsidRPr="00EE5D67" w:rsidRDefault="00EE5D67" w:rsidP="00EE5D67">
            <w:pPr>
              <w:spacing w:after="0" w:line="240" w:lineRule="auto"/>
              <w:jc w:val="right"/>
              <w:rPr>
                <w:rFonts w:cs="Arial"/>
                <w:sz w:val="16"/>
                <w:szCs w:val="16"/>
              </w:rPr>
            </w:pPr>
            <w:r w:rsidRPr="00EE5D67">
              <w:rPr>
                <w:rFonts w:cs="Arial"/>
                <w:sz w:val="16"/>
                <w:szCs w:val="16"/>
              </w:rPr>
              <w:t>6 075</w:t>
            </w:r>
          </w:p>
        </w:tc>
        <w:tc>
          <w:tcPr>
            <w:tcW w:w="830" w:type="dxa"/>
            <w:tcBorders>
              <w:top w:val="nil"/>
              <w:left w:val="nil"/>
              <w:bottom w:val="nil"/>
              <w:right w:val="nil"/>
            </w:tcBorders>
            <w:shd w:val="clear" w:color="000000" w:fill="FFFFFF"/>
            <w:noWrap/>
            <w:vAlign w:val="center"/>
            <w:hideMark/>
          </w:tcPr>
          <w:p w14:paraId="61229424" w14:textId="77777777" w:rsidR="00EE5D67" w:rsidRPr="00EE5D67" w:rsidRDefault="00EE5D67" w:rsidP="00EE5D67">
            <w:pPr>
              <w:spacing w:after="0" w:line="240" w:lineRule="auto"/>
              <w:jc w:val="right"/>
              <w:rPr>
                <w:rFonts w:cs="Arial"/>
                <w:sz w:val="16"/>
                <w:szCs w:val="16"/>
              </w:rPr>
            </w:pPr>
            <w:r w:rsidRPr="00EE5D67">
              <w:rPr>
                <w:rFonts w:cs="Arial"/>
                <w:sz w:val="16"/>
                <w:szCs w:val="16"/>
              </w:rPr>
              <w:t>8 981</w:t>
            </w:r>
          </w:p>
        </w:tc>
        <w:tc>
          <w:tcPr>
            <w:tcW w:w="830" w:type="dxa"/>
            <w:tcBorders>
              <w:top w:val="nil"/>
              <w:left w:val="nil"/>
              <w:bottom w:val="nil"/>
              <w:right w:val="nil"/>
            </w:tcBorders>
            <w:shd w:val="clear" w:color="000000" w:fill="FFFFFF"/>
            <w:noWrap/>
            <w:vAlign w:val="center"/>
            <w:hideMark/>
          </w:tcPr>
          <w:p w14:paraId="069A1E7F" w14:textId="77777777" w:rsidR="00EE5D67" w:rsidRPr="00EE5D67" w:rsidRDefault="00EE5D67" w:rsidP="00EE5D67">
            <w:pPr>
              <w:spacing w:after="0" w:line="240" w:lineRule="auto"/>
              <w:jc w:val="right"/>
              <w:rPr>
                <w:rFonts w:cs="Arial"/>
                <w:sz w:val="16"/>
                <w:szCs w:val="16"/>
              </w:rPr>
            </w:pPr>
            <w:r w:rsidRPr="00EE5D67">
              <w:rPr>
                <w:rFonts w:cs="Arial"/>
                <w:sz w:val="16"/>
                <w:szCs w:val="16"/>
              </w:rPr>
              <w:t>4 156</w:t>
            </w:r>
          </w:p>
        </w:tc>
        <w:tc>
          <w:tcPr>
            <w:tcW w:w="830" w:type="dxa"/>
            <w:tcBorders>
              <w:top w:val="nil"/>
              <w:left w:val="nil"/>
              <w:bottom w:val="nil"/>
              <w:right w:val="nil"/>
            </w:tcBorders>
            <w:shd w:val="clear" w:color="000000" w:fill="FFFFFF"/>
            <w:noWrap/>
            <w:vAlign w:val="center"/>
            <w:hideMark/>
          </w:tcPr>
          <w:p w14:paraId="61909373" w14:textId="77777777" w:rsidR="00EE5D67" w:rsidRPr="00EE5D67" w:rsidRDefault="00EE5D67" w:rsidP="00EE5D67">
            <w:pPr>
              <w:spacing w:after="0" w:line="240" w:lineRule="auto"/>
              <w:jc w:val="right"/>
              <w:rPr>
                <w:rFonts w:cs="Arial"/>
                <w:sz w:val="16"/>
                <w:szCs w:val="16"/>
              </w:rPr>
            </w:pPr>
            <w:r w:rsidRPr="00EE5D67">
              <w:rPr>
                <w:rFonts w:cs="Arial"/>
                <w:sz w:val="16"/>
                <w:szCs w:val="16"/>
              </w:rPr>
              <w:t>4 682</w:t>
            </w:r>
          </w:p>
        </w:tc>
        <w:tc>
          <w:tcPr>
            <w:tcW w:w="830" w:type="dxa"/>
            <w:tcBorders>
              <w:top w:val="nil"/>
              <w:left w:val="nil"/>
              <w:bottom w:val="nil"/>
              <w:right w:val="nil"/>
            </w:tcBorders>
            <w:shd w:val="clear" w:color="000000" w:fill="FFFFFF"/>
            <w:noWrap/>
            <w:vAlign w:val="center"/>
            <w:hideMark/>
          </w:tcPr>
          <w:p w14:paraId="02758E27" w14:textId="77777777" w:rsidR="00EE5D67" w:rsidRPr="00EE5D67" w:rsidRDefault="00EE5D67" w:rsidP="00EE5D67">
            <w:pPr>
              <w:spacing w:after="0" w:line="240" w:lineRule="auto"/>
              <w:jc w:val="right"/>
              <w:rPr>
                <w:rFonts w:cs="Arial"/>
                <w:sz w:val="16"/>
                <w:szCs w:val="16"/>
              </w:rPr>
            </w:pPr>
            <w:r w:rsidRPr="00EE5D67">
              <w:rPr>
                <w:rFonts w:cs="Arial"/>
                <w:sz w:val="16"/>
                <w:szCs w:val="16"/>
              </w:rPr>
              <w:t>1 704</w:t>
            </w:r>
          </w:p>
        </w:tc>
        <w:tc>
          <w:tcPr>
            <w:tcW w:w="830" w:type="dxa"/>
            <w:tcBorders>
              <w:top w:val="nil"/>
              <w:left w:val="nil"/>
              <w:bottom w:val="nil"/>
              <w:right w:val="nil"/>
            </w:tcBorders>
            <w:shd w:val="clear" w:color="000000" w:fill="FFFFFF"/>
            <w:noWrap/>
            <w:vAlign w:val="center"/>
            <w:hideMark/>
          </w:tcPr>
          <w:p w14:paraId="72DB2CCE" w14:textId="77777777" w:rsidR="00EE5D67" w:rsidRPr="00EE5D67" w:rsidRDefault="00EE5D67" w:rsidP="00EE5D67">
            <w:pPr>
              <w:spacing w:after="0" w:line="240" w:lineRule="auto"/>
              <w:jc w:val="right"/>
              <w:rPr>
                <w:rFonts w:cs="Arial"/>
                <w:sz w:val="16"/>
                <w:szCs w:val="16"/>
              </w:rPr>
            </w:pPr>
            <w:r w:rsidRPr="00EE5D67">
              <w:rPr>
                <w:rFonts w:cs="Arial"/>
                <w:sz w:val="16"/>
                <w:szCs w:val="16"/>
              </w:rPr>
              <w:t>1 004</w:t>
            </w:r>
          </w:p>
        </w:tc>
        <w:tc>
          <w:tcPr>
            <w:tcW w:w="830" w:type="dxa"/>
            <w:tcBorders>
              <w:top w:val="nil"/>
              <w:left w:val="nil"/>
              <w:bottom w:val="nil"/>
              <w:right w:val="nil"/>
            </w:tcBorders>
            <w:shd w:val="clear" w:color="000000" w:fill="FFFFFF"/>
            <w:noWrap/>
            <w:vAlign w:val="center"/>
            <w:hideMark/>
          </w:tcPr>
          <w:p w14:paraId="5D52D558" w14:textId="77777777" w:rsidR="00EE5D67" w:rsidRPr="00EE5D67" w:rsidRDefault="00EE5D67" w:rsidP="00EE5D67">
            <w:pPr>
              <w:spacing w:after="0" w:line="240" w:lineRule="auto"/>
              <w:jc w:val="right"/>
              <w:rPr>
                <w:rFonts w:cs="Arial"/>
                <w:sz w:val="16"/>
                <w:szCs w:val="16"/>
              </w:rPr>
            </w:pPr>
            <w:r w:rsidRPr="00EE5D67">
              <w:rPr>
                <w:rFonts w:cs="Arial"/>
                <w:sz w:val="16"/>
                <w:szCs w:val="16"/>
              </w:rPr>
              <w:t>1 068</w:t>
            </w:r>
          </w:p>
        </w:tc>
      </w:tr>
      <w:tr w:rsidR="00EE5D67" w:rsidRPr="00EE5D67" w14:paraId="3D44FF4F"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2C99F255" w14:textId="77777777" w:rsidR="00EE5D67" w:rsidRPr="00EE5D67" w:rsidRDefault="00EE5D67" w:rsidP="00EE5D67">
            <w:pPr>
              <w:spacing w:after="0" w:line="240" w:lineRule="auto"/>
              <w:rPr>
                <w:rFonts w:cs="Arial"/>
                <w:sz w:val="16"/>
                <w:szCs w:val="16"/>
              </w:rPr>
            </w:pPr>
            <w:r w:rsidRPr="00EE5D67">
              <w:rPr>
                <w:rFonts w:cs="Arial"/>
                <w:sz w:val="16"/>
                <w:szCs w:val="16"/>
              </w:rPr>
              <w:t>Liberecký</w:t>
            </w:r>
          </w:p>
        </w:tc>
        <w:tc>
          <w:tcPr>
            <w:tcW w:w="750" w:type="dxa"/>
            <w:tcBorders>
              <w:top w:val="nil"/>
              <w:left w:val="nil"/>
              <w:bottom w:val="nil"/>
              <w:right w:val="nil"/>
            </w:tcBorders>
            <w:shd w:val="clear" w:color="000000" w:fill="FFFFFF"/>
            <w:vAlign w:val="center"/>
            <w:hideMark/>
          </w:tcPr>
          <w:p w14:paraId="28F27FD2"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45 367</w:t>
            </w:r>
          </w:p>
        </w:tc>
        <w:tc>
          <w:tcPr>
            <w:tcW w:w="830" w:type="dxa"/>
            <w:tcBorders>
              <w:top w:val="nil"/>
              <w:left w:val="nil"/>
              <w:bottom w:val="nil"/>
              <w:right w:val="nil"/>
            </w:tcBorders>
            <w:shd w:val="clear" w:color="000000" w:fill="FFFFFF"/>
            <w:noWrap/>
            <w:vAlign w:val="center"/>
            <w:hideMark/>
          </w:tcPr>
          <w:p w14:paraId="7A1E6610" w14:textId="77777777" w:rsidR="00EE5D67" w:rsidRPr="00EE5D67" w:rsidRDefault="00EE5D67" w:rsidP="00EE5D67">
            <w:pPr>
              <w:spacing w:after="0" w:line="240" w:lineRule="auto"/>
              <w:jc w:val="right"/>
              <w:rPr>
                <w:rFonts w:cs="Arial"/>
                <w:sz w:val="16"/>
                <w:szCs w:val="16"/>
              </w:rPr>
            </w:pPr>
            <w:r w:rsidRPr="00EE5D67">
              <w:rPr>
                <w:rFonts w:cs="Arial"/>
                <w:sz w:val="16"/>
                <w:szCs w:val="16"/>
              </w:rPr>
              <w:t>23 012</w:t>
            </w:r>
          </w:p>
        </w:tc>
        <w:tc>
          <w:tcPr>
            <w:tcW w:w="830" w:type="dxa"/>
            <w:tcBorders>
              <w:top w:val="nil"/>
              <w:left w:val="nil"/>
              <w:bottom w:val="nil"/>
              <w:right w:val="nil"/>
            </w:tcBorders>
            <w:shd w:val="clear" w:color="000000" w:fill="FFFFFF"/>
            <w:noWrap/>
            <w:vAlign w:val="center"/>
            <w:hideMark/>
          </w:tcPr>
          <w:p w14:paraId="7B3E7EA7" w14:textId="77777777" w:rsidR="00EE5D67" w:rsidRPr="00EE5D67" w:rsidRDefault="00EE5D67" w:rsidP="00EE5D67">
            <w:pPr>
              <w:spacing w:after="0" w:line="240" w:lineRule="auto"/>
              <w:jc w:val="right"/>
              <w:rPr>
                <w:rFonts w:cs="Arial"/>
                <w:sz w:val="16"/>
                <w:szCs w:val="16"/>
              </w:rPr>
            </w:pPr>
            <w:r w:rsidRPr="00EE5D67">
              <w:rPr>
                <w:rFonts w:cs="Arial"/>
                <w:sz w:val="16"/>
                <w:szCs w:val="16"/>
              </w:rPr>
              <w:t>6 248</w:t>
            </w:r>
          </w:p>
        </w:tc>
        <w:tc>
          <w:tcPr>
            <w:tcW w:w="830" w:type="dxa"/>
            <w:tcBorders>
              <w:top w:val="nil"/>
              <w:left w:val="nil"/>
              <w:bottom w:val="nil"/>
              <w:right w:val="nil"/>
            </w:tcBorders>
            <w:shd w:val="clear" w:color="000000" w:fill="FFFFFF"/>
            <w:noWrap/>
            <w:vAlign w:val="center"/>
            <w:hideMark/>
          </w:tcPr>
          <w:p w14:paraId="278DBCD6" w14:textId="77777777" w:rsidR="00EE5D67" w:rsidRPr="00EE5D67" w:rsidRDefault="00EE5D67" w:rsidP="00EE5D67">
            <w:pPr>
              <w:spacing w:after="0" w:line="240" w:lineRule="auto"/>
              <w:jc w:val="right"/>
              <w:rPr>
                <w:rFonts w:cs="Arial"/>
                <w:sz w:val="16"/>
                <w:szCs w:val="16"/>
              </w:rPr>
            </w:pPr>
            <w:r w:rsidRPr="00EE5D67">
              <w:rPr>
                <w:rFonts w:cs="Arial"/>
                <w:sz w:val="16"/>
                <w:szCs w:val="16"/>
              </w:rPr>
              <w:t>3 614</w:t>
            </w:r>
          </w:p>
        </w:tc>
        <w:tc>
          <w:tcPr>
            <w:tcW w:w="830" w:type="dxa"/>
            <w:tcBorders>
              <w:top w:val="nil"/>
              <w:left w:val="nil"/>
              <w:bottom w:val="nil"/>
              <w:right w:val="nil"/>
            </w:tcBorders>
            <w:shd w:val="clear" w:color="000000" w:fill="FFFFFF"/>
            <w:noWrap/>
            <w:vAlign w:val="center"/>
            <w:hideMark/>
          </w:tcPr>
          <w:p w14:paraId="03923470" w14:textId="77777777" w:rsidR="00EE5D67" w:rsidRPr="00EE5D67" w:rsidRDefault="00EE5D67" w:rsidP="00EE5D67">
            <w:pPr>
              <w:spacing w:after="0" w:line="240" w:lineRule="auto"/>
              <w:jc w:val="right"/>
              <w:rPr>
                <w:rFonts w:cs="Arial"/>
                <w:sz w:val="16"/>
                <w:szCs w:val="16"/>
              </w:rPr>
            </w:pPr>
            <w:r w:rsidRPr="00EE5D67">
              <w:rPr>
                <w:rFonts w:cs="Arial"/>
                <w:sz w:val="16"/>
                <w:szCs w:val="16"/>
              </w:rPr>
              <w:t>5 164</w:t>
            </w:r>
          </w:p>
        </w:tc>
        <w:tc>
          <w:tcPr>
            <w:tcW w:w="830" w:type="dxa"/>
            <w:tcBorders>
              <w:top w:val="nil"/>
              <w:left w:val="nil"/>
              <w:bottom w:val="nil"/>
              <w:right w:val="nil"/>
            </w:tcBorders>
            <w:shd w:val="clear" w:color="000000" w:fill="FFFFFF"/>
            <w:noWrap/>
            <w:vAlign w:val="center"/>
            <w:hideMark/>
          </w:tcPr>
          <w:p w14:paraId="1AF2663C" w14:textId="77777777" w:rsidR="00EE5D67" w:rsidRPr="00EE5D67" w:rsidRDefault="00EE5D67" w:rsidP="00EE5D67">
            <w:pPr>
              <w:spacing w:after="0" w:line="240" w:lineRule="auto"/>
              <w:jc w:val="right"/>
              <w:rPr>
                <w:rFonts w:cs="Arial"/>
                <w:sz w:val="16"/>
                <w:szCs w:val="16"/>
              </w:rPr>
            </w:pPr>
            <w:r w:rsidRPr="00EE5D67">
              <w:rPr>
                <w:rFonts w:cs="Arial"/>
                <w:sz w:val="16"/>
                <w:szCs w:val="16"/>
              </w:rPr>
              <w:t>2 321</w:t>
            </w:r>
          </w:p>
        </w:tc>
        <w:tc>
          <w:tcPr>
            <w:tcW w:w="830" w:type="dxa"/>
            <w:tcBorders>
              <w:top w:val="nil"/>
              <w:left w:val="nil"/>
              <w:bottom w:val="nil"/>
              <w:right w:val="nil"/>
            </w:tcBorders>
            <w:shd w:val="clear" w:color="000000" w:fill="FFFFFF"/>
            <w:noWrap/>
            <w:vAlign w:val="center"/>
            <w:hideMark/>
          </w:tcPr>
          <w:p w14:paraId="6048D274" w14:textId="77777777" w:rsidR="00EE5D67" w:rsidRPr="00EE5D67" w:rsidRDefault="00EE5D67" w:rsidP="00EE5D67">
            <w:pPr>
              <w:spacing w:after="0" w:line="240" w:lineRule="auto"/>
              <w:jc w:val="right"/>
              <w:rPr>
                <w:rFonts w:cs="Arial"/>
                <w:sz w:val="16"/>
                <w:szCs w:val="16"/>
              </w:rPr>
            </w:pPr>
            <w:r w:rsidRPr="00EE5D67">
              <w:rPr>
                <w:rFonts w:cs="Arial"/>
                <w:sz w:val="16"/>
                <w:szCs w:val="16"/>
              </w:rPr>
              <w:t>2 914</w:t>
            </w:r>
          </w:p>
        </w:tc>
        <w:tc>
          <w:tcPr>
            <w:tcW w:w="830" w:type="dxa"/>
            <w:tcBorders>
              <w:top w:val="nil"/>
              <w:left w:val="nil"/>
              <w:bottom w:val="nil"/>
              <w:right w:val="nil"/>
            </w:tcBorders>
            <w:shd w:val="clear" w:color="000000" w:fill="FFFFFF"/>
            <w:noWrap/>
            <w:vAlign w:val="center"/>
            <w:hideMark/>
          </w:tcPr>
          <w:p w14:paraId="64BE90FE" w14:textId="77777777" w:rsidR="00EE5D67" w:rsidRPr="00EE5D67" w:rsidRDefault="00EE5D67" w:rsidP="00EE5D67">
            <w:pPr>
              <w:spacing w:after="0" w:line="240" w:lineRule="auto"/>
              <w:jc w:val="right"/>
              <w:rPr>
                <w:rFonts w:cs="Arial"/>
                <w:sz w:val="16"/>
                <w:szCs w:val="16"/>
              </w:rPr>
            </w:pPr>
            <w:r w:rsidRPr="00EE5D67">
              <w:rPr>
                <w:rFonts w:cs="Arial"/>
                <w:sz w:val="16"/>
                <w:szCs w:val="16"/>
              </w:rPr>
              <w:t>994</w:t>
            </w:r>
          </w:p>
        </w:tc>
        <w:tc>
          <w:tcPr>
            <w:tcW w:w="830" w:type="dxa"/>
            <w:tcBorders>
              <w:top w:val="nil"/>
              <w:left w:val="nil"/>
              <w:bottom w:val="nil"/>
              <w:right w:val="nil"/>
            </w:tcBorders>
            <w:shd w:val="clear" w:color="000000" w:fill="FFFFFF"/>
            <w:noWrap/>
            <w:vAlign w:val="center"/>
            <w:hideMark/>
          </w:tcPr>
          <w:p w14:paraId="7DCD4CD7" w14:textId="77777777" w:rsidR="00EE5D67" w:rsidRPr="00EE5D67" w:rsidRDefault="00EE5D67" w:rsidP="00EE5D67">
            <w:pPr>
              <w:spacing w:after="0" w:line="240" w:lineRule="auto"/>
              <w:jc w:val="right"/>
              <w:rPr>
                <w:rFonts w:cs="Arial"/>
                <w:sz w:val="16"/>
                <w:szCs w:val="16"/>
              </w:rPr>
            </w:pPr>
            <w:r w:rsidRPr="00EE5D67">
              <w:rPr>
                <w:rFonts w:cs="Arial"/>
                <w:sz w:val="16"/>
                <w:szCs w:val="16"/>
              </w:rPr>
              <w:t>560</w:t>
            </w:r>
          </w:p>
        </w:tc>
        <w:tc>
          <w:tcPr>
            <w:tcW w:w="830" w:type="dxa"/>
            <w:tcBorders>
              <w:top w:val="nil"/>
              <w:left w:val="nil"/>
              <w:bottom w:val="nil"/>
              <w:right w:val="nil"/>
            </w:tcBorders>
            <w:shd w:val="clear" w:color="000000" w:fill="FFFFFF"/>
            <w:noWrap/>
            <w:vAlign w:val="center"/>
            <w:hideMark/>
          </w:tcPr>
          <w:p w14:paraId="4809DBE0" w14:textId="77777777" w:rsidR="00EE5D67" w:rsidRPr="00EE5D67" w:rsidRDefault="00EE5D67" w:rsidP="00EE5D67">
            <w:pPr>
              <w:spacing w:after="0" w:line="240" w:lineRule="auto"/>
              <w:jc w:val="right"/>
              <w:rPr>
                <w:rFonts w:cs="Arial"/>
                <w:sz w:val="16"/>
                <w:szCs w:val="16"/>
              </w:rPr>
            </w:pPr>
            <w:r w:rsidRPr="00EE5D67">
              <w:rPr>
                <w:rFonts w:cs="Arial"/>
                <w:sz w:val="16"/>
                <w:szCs w:val="16"/>
              </w:rPr>
              <w:t>540</w:t>
            </w:r>
          </w:p>
        </w:tc>
      </w:tr>
      <w:tr w:rsidR="00EE5D67" w:rsidRPr="00EE5D67" w14:paraId="3A788947"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1B0358DC" w14:textId="77777777" w:rsidR="00EE5D67" w:rsidRPr="00EE5D67" w:rsidRDefault="00EE5D67" w:rsidP="00EE5D67">
            <w:pPr>
              <w:spacing w:after="0" w:line="240" w:lineRule="auto"/>
              <w:rPr>
                <w:rFonts w:cs="Arial"/>
                <w:sz w:val="16"/>
                <w:szCs w:val="16"/>
              </w:rPr>
            </w:pPr>
            <w:r w:rsidRPr="00EE5D67">
              <w:rPr>
                <w:rFonts w:cs="Arial"/>
                <w:sz w:val="16"/>
                <w:szCs w:val="16"/>
              </w:rPr>
              <w:t xml:space="preserve">Královéhradecký </w:t>
            </w:r>
          </w:p>
        </w:tc>
        <w:tc>
          <w:tcPr>
            <w:tcW w:w="750" w:type="dxa"/>
            <w:tcBorders>
              <w:top w:val="nil"/>
              <w:left w:val="nil"/>
              <w:bottom w:val="nil"/>
              <w:right w:val="nil"/>
            </w:tcBorders>
            <w:shd w:val="clear" w:color="000000" w:fill="FFFFFF"/>
            <w:vAlign w:val="center"/>
            <w:hideMark/>
          </w:tcPr>
          <w:p w14:paraId="6A74BD9F"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55 962</w:t>
            </w:r>
          </w:p>
        </w:tc>
        <w:tc>
          <w:tcPr>
            <w:tcW w:w="830" w:type="dxa"/>
            <w:tcBorders>
              <w:top w:val="nil"/>
              <w:left w:val="nil"/>
              <w:bottom w:val="nil"/>
              <w:right w:val="nil"/>
            </w:tcBorders>
            <w:shd w:val="clear" w:color="000000" w:fill="FFFFFF"/>
            <w:noWrap/>
            <w:vAlign w:val="center"/>
            <w:hideMark/>
          </w:tcPr>
          <w:p w14:paraId="1B9B6477" w14:textId="77777777" w:rsidR="00EE5D67" w:rsidRPr="00EE5D67" w:rsidRDefault="00EE5D67" w:rsidP="00EE5D67">
            <w:pPr>
              <w:spacing w:after="0" w:line="240" w:lineRule="auto"/>
              <w:jc w:val="right"/>
              <w:rPr>
                <w:rFonts w:cs="Arial"/>
                <w:sz w:val="16"/>
                <w:szCs w:val="16"/>
              </w:rPr>
            </w:pPr>
            <w:r w:rsidRPr="00EE5D67">
              <w:rPr>
                <w:rFonts w:cs="Arial"/>
                <w:sz w:val="16"/>
                <w:szCs w:val="16"/>
              </w:rPr>
              <w:t>27 344</w:t>
            </w:r>
          </w:p>
        </w:tc>
        <w:tc>
          <w:tcPr>
            <w:tcW w:w="830" w:type="dxa"/>
            <w:tcBorders>
              <w:top w:val="nil"/>
              <w:left w:val="nil"/>
              <w:bottom w:val="nil"/>
              <w:right w:val="nil"/>
            </w:tcBorders>
            <w:shd w:val="clear" w:color="000000" w:fill="FFFFFF"/>
            <w:noWrap/>
            <w:vAlign w:val="center"/>
            <w:hideMark/>
          </w:tcPr>
          <w:p w14:paraId="3369EBB1" w14:textId="77777777" w:rsidR="00EE5D67" w:rsidRPr="00EE5D67" w:rsidRDefault="00EE5D67" w:rsidP="00EE5D67">
            <w:pPr>
              <w:spacing w:after="0" w:line="240" w:lineRule="auto"/>
              <w:jc w:val="right"/>
              <w:rPr>
                <w:rFonts w:cs="Arial"/>
                <w:sz w:val="16"/>
                <w:szCs w:val="16"/>
              </w:rPr>
            </w:pPr>
            <w:r w:rsidRPr="00EE5D67">
              <w:rPr>
                <w:rFonts w:cs="Arial"/>
                <w:sz w:val="16"/>
                <w:szCs w:val="16"/>
              </w:rPr>
              <w:t>8 057</w:t>
            </w:r>
          </w:p>
        </w:tc>
        <w:tc>
          <w:tcPr>
            <w:tcW w:w="830" w:type="dxa"/>
            <w:tcBorders>
              <w:top w:val="nil"/>
              <w:left w:val="nil"/>
              <w:bottom w:val="nil"/>
              <w:right w:val="nil"/>
            </w:tcBorders>
            <w:shd w:val="clear" w:color="000000" w:fill="FFFFFF"/>
            <w:noWrap/>
            <w:vAlign w:val="center"/>
            <w:hideMark/>
          </w:tcPr>
          <w:p w14:paraId="0183C391" w14:textId="77777777" w:rsidR="00EE5D67" w:rsidRPr="00EE5D67" w:rsidRDefault="00EE5D67" w:rsidP="00EE5D67">
            <w:pPr>
              <w:spacing w:after="0" w:line="240" w:lineRule="auto"/>
              <w:jc w:val="right"/>
              <w:rPr>
                <w:rFonts w:cs="Arial"/>
                <w:sz w:val="16"/>
                <w:szCs w:val="16"/>
              </w:rPr>
            </w:pPr>
            <w:r w:rsidRPr="00EE5D67">
              <w:rPr>
                <w:rFonts w:cs="Arial"/>
                <w:sz w:val="16"/>
                <w:szCs w:val="16"/>
              </w:rPr>
              <w:t>5 160</w:t>
            </w:r>
          </w:p>
        </w:tc>
        <w:tc>
          <w:tcPr>
            <w:tcW w:w="830" w:type="dxa"/>
            <w:tcBorders>
              <w:top w:val="nil"/>
              <w:left w:val="nil"/>
              <w:bottom w:val="nil"/>
              <w:right w:val="nil"/>
            </w:tcBorders>
            <w:shd w:val="clear" w:color="000000" w:fill="FFFFFF"/>
            <w:noWrap/>
            <w:vAlign w:val="center"/>
            <w:hideMark/>
          </w:tcPr>
          <w:p w14:paraId="36F2321F" w14:textId="77777777" w:rsidR="00EE5D67" w:rsidRPr="00EE5D67" w:rsidRDefault="00EE5D67" w:rsidP="00EE5D67">
            <w:pPr>
              <w:spacing w:after="0" w:line="240" w:lineRule="auto"/>
              <w:jc w:val="right"/>
              <w:rPr>
                <w:rFonts w:cs="Arial"/>
                <w:sz w:val="16"/>
                <w:szCs w:val="16"/>
              </w:rPr>
            </w:pPr>
            <w:r w:rsidRPr="00EE5D67">
              <w:rPr>
                <w:rFonts w:cs="Arial"/>
                <w:sz w:val="16"/>
                <w:szCs w:val="16"/>
              </w:rPr>
              <w:t>6 636</w:t>
            </w:r>
          </w:p>
        </w:tc>
        <w:tc>
          <w:tcPr>
            <w:tcW w:w="830" w:type="dxa"/>
            <w:tcBorders>
              <w:top w:val="nil"/>
              <w:left w:val="nil"/>
              <w:bottom w:val="nil"/>
              <w:right w:val="nil"/>
            </w:tcBorders>
            <w:shd w:val="clear" w:color="000000" w:fill="FFFFFF"/>
            <w:noWrap/>
            <w:vAlign w:val="center"/>
            <w:hideMark/>
          </w:tcPr>
          <w:p w14:paraId="04799BB2" w14:textId="77777777" w:rsidR="00EE5D67" w:rsidRPr="00EE5D67" w:rsidRDefault="00EE5D67" w:rsidP="00EE5D67">
            <w:pPr>
              <w:spacing w:after="0" w:line="240" w:lineRule="auto"/>
              <w:jc w:val="right"/>
              <w:rPr>
                <w:rFonts w:cs="Arial"/>
                <w:sz w:val="16"/>
                <w:szCs w:val="16"/>
              </w:rPr>
            </w:pPr>
            <w:r w:rsidRPr="00EE5D67">
              <w:rPr>
                <w:rFonts w:cs="Arial"/>
                <w:sz w:val="16"/>
                <w:szCs w:val="16"/>
              </w:rPr>
              <w:t>2 869</w:t>
            </w:r>
          </w:p>
        </w:tc>
        <w:tc>
          <w:tcPr>
            <w:tcW w:w="830" w:type="dxa"/>
            <w:tcBorders>
              <w:top w:val="nil"/>
              <w:left w:val="nil"/>
              <w:bottom w:val="nil"/>
              <w:right w:val="nil"/>
            </w:tcBorders>
            <w:shd w:val="clear" w:color="000000" w:fill="FFFFFF"/>
            <w:noWrap/>
            <w:vAlign w:val="center"/>
            <w:hideMark/>
          </w:tcPr>
          <w:p w14:paraId="48569EBB" w14:textId="77777777" w:rsidR="00EE5D67" w:rsidRPr="00EE5D67" w:rsidRDefault="00EE5D67" w:rsidP="00EE5D67">
            <w:pPr>
              <w:spacing w:after="0" w:line="240" w:lineRule="auto"/>
              <w:jc w:val="right"/>
              <w:rPr>
                <w:rFonts w:cs="Arial"/>
                <w:sz w:val="16"/>
                <w:szCs w:val="16"/>
              </w:rPr>
            </w:pPr>
            <w:r w:rsidRPr="00EE5D67">
              <w:rPr>
                <w:rFonts w:cs="Arial"/>
                <w:sz w:val="16"/>
                <w:szCs w:val="16"/>
              </w:rPr>
              <w:t>3 430</w:t>
            </w:r>
          </w:p>
        </w:tc>
        <w:tc>
          <w:tcPr>
            <w:tcW w:w="830" w:type="dxa"/>
            <w:tcBorders>
              <w:top w:val="nil"/>
              <w:left w:val="nil"/>
              <w:bottom w:val="nil"/>
              <w:right w:val="nil"/>
            </w:tcBorders>
            <w:shd w:val="clear" w:color="000000" w:fill="FFFFFF"/>
            <w:noWrap/>
            <w:vAlign w:val="center"/>
            <w:hideMark/>
          </w:tcPr>
          <w:p w14:paraId="3E144613" w14:textId="77777777" w:rsidR="00EE5D67" w:rsidRPr="00EE5D67" w:rsidRDefault="00EE5D67" w:rsidP="00EE5D67">
            <w:pPr>
              <w:spacing w:after="0" w:line="240" w:lineRule="auto"/>
              <w:jc w:val="right"/>
              <w:rPr>
                <w:rFonts w:cs="Arial"/>
                <w:sz w:val="16"/>
                <w:szCs w:val="16"/>
              </w:rPr>
            </w:pPr>
            <w:r w:rsidRPr="00EE5D67">
              <w:rPr>
                <w:rFonts w:cs="Arial"/>
                <w:sz w:val="16"/>
                <w:szCs w:val="16"/>
              </w:rPr>
              <w:t>1 164</w:t>
            </w:r>
          </w:p>
        </w:tc>
        <w:tc>
          <w:tcPr>
            <w:tcW w:w="830" w:type="dxa"/>
            <w:tcBorders>
              <w:top w:val="nil"/>
              <w:left w:val="nil"/>
              <w:bottom w:val="nil"/>
              <w:right w:val="nil"/>
            </w:tcBorders>
            <w:shd w:val="clear" w:color="000000" w:fill="FFFFFF"/>
            <w:noWrap/>
            <w:vAlign w:val="center"/>
            <w:hideMark/>
          </w:tcPr>
          <w:p w14:paraId="2AD10E16" w14:textId="77777777" w:rsidR="00EE5D67" w:rsidRPr="00EE5D67" w:rsidRDefault="00EE5D67" w:rsidP="00EE5D67">
            <w:pPr>
              <w:spacing w:after="0" w:line="240" w:lineRule="auto"/>
              <w:jc w:val="right"/>
              <w:rPr>
                <w:rFonts w:cs="Arial"/>
                <w:sz w:val="16"/>
                <w:szCs w:val="16"/>
              </w:rPr>
            </w:pPr>
            <w:r w:rsidRPr="00EE5D67">
              <w:rPr>
                <w:rFonts w:cs="Arial"/>
                <w:sz w:val="16"/>
                <w:szCs w:val="16"/>
              </w:rPr>
              <w:t>578</w:t>
            </w:r>
          </w:p>
        </w:tc>
        <w:tc>
          <w:tcPr>
            <w:tcW w:w="830" w:type="dxa"/>
            <w:tcBorders>
              <w:top w:val="nil"/>
              <w:left w:val="nil"/>
              <w:bottom w:val="nil"/>
              <w:right w:val="nil"/>
            </w:tcBorders>
            <w:shd w:val="clear" w:color="000000" w:fill="FFFFFF"/>
            <w:noWrap/>
            <w:vAlign w:val="center"/>
            <w:hideMark/>
          </w:tcPr>
          <w:p w14:paraId="31162AE6" w14:textId="77777777" w:rsidR="00EE5D67" w:rsidRPr="00EE5D67" w:rsidRDefault="00EE5D67" w:rsidP="00EE5D67">
            <w:pPr>
              <w:spacing w:after="0" w:line="240" w:lineRule="auto"/>
              <w:jc w:val="right"/>
              <w:rPr>
                <w:rFonts w:cs="Arial"/>
                <w:sz w:val="16"/>
                <w:szCs w:val="16"/>
              </w:rPr>
            </w:pPr>
            <w:r w:rsidRPr="00EE5D67">
              <w:rPr>
                <w:rFonts w:cs="Arial"/>
                <w:sz w:val="16"/>
                <w:szCs w:val="16"/>
              </w:rPr>
              <w:t>724</w:t>
            </w:r>
          </w:p>
        </w:tc>
      </w:tr>
      <w:tr w:rsidR="00EE5D67" w:rsidRPr="00EE5D67" w14:paraId="21129A24"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3D374CD3" w14:textId="77777777" w:rsidR="00EE5D67" w:rsidRPr="00EE5D67" w:rsidRDefault="00EE5D67" w:rsidP="00EE5D67">
            <w:pPr>
              <w:spacing w:after="0" w:line="240" w:lineRule="auto"/>
              <w:rPr>
                <w:rFonts w:cs="Arial"/>
                <w:sz w:val="16"/>
                <w:szCs w:val="16"/>
              </w:rPr>
            </w:pPr>
            <w:r w:rsidRPr="00EE5D67">
              <w:rPr>
                <w:rFonts w:cs="Arial"/>
                <w:sz w:val="16"/>
                <w:szCs w:val="16"/>
              </w:rPr>
              <w:t>Pardubický</w:t>
            </w:r>
          </w:p>
        </w:tc>
        <w:tc>
          <w:tcPr>
            <w:tcW w:w="750" w:type="dxa"/>
            <w:tcBorders>
              <w:top w:val="nil"/>
              <w:left w:val="nil"/>
              <w:bottom w:val="nil"/>
              <w:right w:val="nil"/>
            </w:tcBorders>
            <w:shd w:val="clear" w:color="000000" w:fill="FFFFFF"/>
            <w:vAlign w:val="center"/>
            <w:hideMark/>
          </w:tcPr>
          <w:p w14:paraId="0D8B00F0"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48 882</w:t>
            </w:r>
          </w:p>
        </w:tc>
        <w:tc>
          <w:tcPr>
            <w:tcW w:w="830" w:type="dxa"/>
            <w:tcBorders>
              <w:top w:val="nil"/>
              <w:left w:val="nil"/>
              <w:bottom w:val="nil"/>
              <w:right w:val="nil"/>
            </w:tcBorders>
            <w:shd w:val="clear" w:color="000000" w:fill="FFFFFF"/>
            <w:noWrap/>
            <w:vAlign w:val="center"/>
            <w:hideMark/>
          </w:tcPr>
          <w:p w14:paraId="28AFB933" w14:textId="77777777" w:rsidR="00EE5D67" w:rsidRPr="00EE5D67" w:rsidRDefault="00EE5D67" w:rsidP="00EE5D67">
            <w:pPr>
              <w:spacing w:after="0" w:line="240" w:lineRule="auto"/>
              <w:jc w:val="right"/>
              <w:rPr>
                <w:rFonts w:cs="Arial"/>
                <w:sz w:val="16"/>
                <w:szCs w:val="16"/>
              </w:rPr>
            </w:pPr>
            <w:r w:rsidRPr="00EE5D67">
              <w:rPr>
                <w:rFonts w:cs="Arial"/>
                <w:sz w:val="16"/>
                <w:szCs w:val="16"/>
              </w:rPr>
              <w:t>23 237</w:t>
            </w:r>
          </w:p>
        </w:tc>
        <w:tc>
          <w:tcPr>
            <w:tcW w:w="830" w:type="dxa"/>
            <w:tcBorders>
              <w:top w:val="nil"/>
              <w:left w:val="nil"/>
              <w:bottom w:val="nil"/>
              <w:right w:val="nil"/>
            </w:tcBorders>
            <w:shd w:val="clear" w:color="000000" w:fill="FFFFFF"/>
            <w:noWrap/>
            <w:vAlign w:val="center"/>
            <w:hideMark/>
          </w:tcPr>
          <w:p w14:paraId="7860B456" w14:textId="77777777" w:rsidR="00EE5D67" w:rsidRPr="00EE5D67" w:rsidRDefault="00EE5D67" w:rsidP="00EE5D67">
            <w:pPr>
              <w:spacing w:after="0" w:line="240" w:lineRule="auto"/>
              <w:jc w:val="right"/>
              <w:rPr>
                <w:rFonts w:cs="Arial"/>
                <w:sz w:val="16"/>
                <w:szCs w:val="16"/>
              </w:rPr>
            </w:pPr>
            <w:r w:rsidRPr="00EE5D67">
              <w:rPr>
                <w:rFonts w:cs="Arial"/>
                <w:sz w:val="16"/>
                <w:szCs w:val="16"/>
              </w:rPr>
              <w:t>6 773</w:t>
            </w:r>
          </w:p>
        </w:tc>
        <w:tc>
          <w:tcPr>
            <w:tcW w:w="830" w:type="dxa"/>
            <w:tcBorders>
              <w:top w:val="nil"/>
              <w:left w:val="nil"/>
              <w:bottom w:val="nil"/>
              <w:right w:val="nil"/>
            </w:tcBorders>
            <w:shd w:val="clear" w:color="000000" w:fill="FFFFFF"/>
            <w:noWrap/>
            <w:vAlign w:val="center"/>
            <w:hideMark/>
          </w:tcPr>
          <w:p w14:paraId="30F34D24" w14:textId="77777777" w:rsidR="00EE5D67" w:rsidRPr="00EE5D67" w:rsidRDefault="00EE5D67" w:rsidP="00EE5D67">
            <w:pPr>
              <w:spacing w:after="0" w:line="240" w:lineRule="auto"/>
              <w:jc w:val="right"/>
              <w:rPr>
                <w:rFonts w:cs="Arial"/>
                <w:sz w:val="16"/>
                <w:szCs w:val="16"/>
              </w:rPr>
            </w:pPr>
            <w:r w:rsidRPr="00EE5D67">
              <w:rPr>
                <w:rFonts w:cs="Arial"/>
                <w:sz w:val="16"/>
                <w:szCs w:val="16"/>
              </w:rPr>
              <w:t>4 473</w:t>
            </w:r>
          </w:p>
        </w:tc>
        <w:tc>
          <w:tcPr>
            <w:tcW w:w="830" w:type="dxa"/>
            <w:tcBorders>
              <w:top w:val="nil"/>
              <w:left w:val="nil"/>
              <w:bottom w:val="nil"/>
              <w:right w:val="nil"/>
            </w:tcBorders>
            <w:shd w:val="clear" w:color="000000" w:fill="FFFFFF"/>
            <w:noWrap/>
            <w:vAlign w:val="center"/>
            <w:hideMark/>
          </w:tcPr>
          <w:p w14:paraId="00E32856" w14:textId="77777777" w:rsidR="00EE5D67" w:rsidRPr="00EE5D67" w:rsidRDefault="00EE5D67" w:rsidP="00EE5D67">
            <w:pPr>
              <w:spacing w:after="0" w:line="240" w:lineRule="auto"/>
              <w:jc w:val="right"/>
              <w:rPr>
                <w:rFonts w:cs="Arial"/>
                <w:sz w:val="16"/>
                <w:szCs w:val="16"/>
              </w:rPr>
            </w:pPr>
            <w:r w:rsidRPr="00EE5D67">
              <w:rPr>
                <w:rFonts w:cs="Arial"/>
                <w:sz w:val="16"/>
                <w:szCs w:val="16"/>
              </w:rPr>
              <w:t>6 111</w:t>
            </w:r>
          </w:p>
        </w:tc>
        <w:tc>
          <w:tcPr>
            <w:tcW w:w="830" w:type="dxa"/>
            <w:tcBorders>
              <w:top w:val="nil"/>
              <w:left w:val="nil"/>
              <w:bottom w:val="nil"/>
              <w:right w:val="nil"/>
            </w:tcBorders>
            <w:shd w:val="clear" w:color="000000" w:fill="FFFFFF"/>
            <w:noWrap/>
            <w:vAlign w:val="center"/>
            <w:hideMark/>
          </w:tcPr>
          <w:p w14:paraId="258F1EF2" w14:textId="77777777" w:rsidR="00EE5D67" w:rsidRPr="00EE5D67" w:rsidRDefault="00EE5D67" w:rsidP="00EE5D67">
            <w:pPr>
              <w:spacing w:after="0" w:line="240" w:lineRule="auto"/>
              <w:jc w:val="right"/>
              <w:rPr>
                <w:rFonts w:cs="Arial"/>
                <w:sz w:val="16"/>
                <w:szCs w:val="16"/>
              </w:rPr>
            </w:pPr>
            <w:r w:rsidRPr="00EE5D67">
              <w:rPr>
                <w:rFonts w:cs="Arial"/>
                <w:sz w:val="16"/>
                <w:szCs w:val="16"/>
              </w:rPr>
              <w:t>2 763</w:t>
            </w:r>
          </w:p>
        </w:tc>
        <w:tc>
          <w:tcPr>
            <w:tcW w:w="830" w:type="dxa"/>
            <w:tcBorders>
              <w:top w:val="nil"/>
              <w:left w:val="nil"/>
              <w:bottom w:val="nil"/>
              <w:right w:val="nil"/>
            </w:tcBorders>
            <w:shd w:val="clear" w:color="000000" w:fill="FFFFFF"/>
            <w:noWrap/>
            <w:vAlign w:val="center"/>
            <w:hideMark/>
          </w:tcPr>
          <w:p w14:paraId="7EA2EA20" w14:textId="77777777" w:rsidR="00EE5D67" w:rsidRPr="00EE5D67" w:rsidRDefault="00EE5D67" w:rsidP="00EE5D67">
            <w:pPr>
              <w:spacing w:after="0" w:line="240" w:lineRule="auto"/>
              <w:jc w:val="right"/>
              <w:rPr>
                <w:rFonts w:cs="Arial"/>
                <w:sz w:val="16"/>
                <w:szCs w:val="16"/>
              </w:rPr>
            </w:pPr>
            <w:r w:rsidRPr="00EE5D67">
              <w:rPr>
                <w:rFonts w:cs="Arial"/>
                <w:sz w:val="16"/>
                <w:szCs w:val="16"/>
              </w:rPr>
              <w:t>3 260</w:t>
            </w:r>
          </w:p>
        </w:tc>
        <w:tc>
          <w:tcPr>
            <w:tcW w:w="830" w:type="dxa"/>
            <w:tcBorders>
              <w:top w:val="nil"/>
              <w:left w:val="nil"/>
              <w:bottom w:val="nil"/>
              <w:right w:val="nil"/>
            </w:tcBorders>
            <w:shd w:val="clear" w:color="000000" w:fill="FFFFFF"/>
            <w:noWrap/>
            <w:vAlign w:val="center"/>
            <w:hideMark/>
          </w:tcPr>
          <w:p w14:paraId="4AFCCC84" w14:textId="77777777" w:rsidR="00EE5D67" w:rsidRPr="00EE5D67" w:rsidRDefault="00EE5D67" w:rsidP="00EE5D67">
            <w:pPr>
              <w:spacing w:after="0" w:line="240" w:lineRule="auto"/>
              <w:jc w:val="right"/>
              <w:rPr>
                <w:rFonts w:cs="Arial"/>
                <w:sz w:val="16"/>
                <w:szCs w:val="16"/>
              </w:rPr>
            </w:pPr>
            <w:r w:rsidRPr="00EE5D67">
              <w:rPr>
                <w:rFonts w:cs="Arial"/>
                <w:sz w:val="16"/>
                <w:szCs w:val="16"/>
              </w:rPr>
              <w:t>1 075</w:t>
            </w:r>
          </w:p>
        </w:tc>
        <w:tc>
          <w:tcPr>
            <w:tcW w:w="830" w:type="dxa"/>
            <w:tcBorders>
              <w:top w:val="nil"/>
              <w:left w:val="nil"/>
              <w:bottom w:val="nil"/>
              <w:right w:val="nil"/>
            </w:tcBorders>
            <w:shd w:val="clear" w:color="000000" w:fill="FFFFFF"/>
            <w:noWrap/>
            <w:vAlign w:val="center"/>
            <w:hideMark/>
          </w:tcPr>
          <w:p w14:paraId="5F3EC1FD" w14:textId="77777777" w:rsidR="00EE5D67" w:rsidRPr="00EE5D67" w:rsidRDefault="00EE5D67" w:rsidP="00EE5D67">
            <w:pPr>
              <w:spacing w:after="0" w:line="240" w:lineRule="auto"/>
              <w:jc w:val="right"/>
              <w:rPr>
                <w:rFonts w:cs="Arial"/>
                <w:sz w:val="16"/>
                <w:szCs w:val="16"/>
              </w:rPr>
            </w:pPr>
            <w:r w:rsidRPr="00EE5D67">
              <w:rPr>
                <w:rFonts w:cs="Arial"/>
                <w:sz w:val="16"/>
                <w:szCs w:val="16"/>
              </w:rPr>
              <w:t>574</w:t>
            </w:r>
          </w:p>
        </w:tc>
        <w:tc>
          <w:tcPr>
            <w:tcW w:w="830" w:type="dxa"/>
            <w:tcBorders>
              <w:top w:val="nil"/>
              <w:left w:val="nil"/>
              <w:bottom w:val="nil"/>
              <w:right w:val="nil"/>
            </w:tcBorders>
            <w:shd w:val="clear" w:color="000000" w:fill="FFFFFF"/>
            <w:noWrap/>
            <w:vAlign w:val="center"/>
            <w:hideMark/>
          </w:tcPr>
          <w:p w14:paraId="05A4DF2E" w14:textId="77777777" w:rsidR="00EE5D67" w:rsidRPr="00EE5D67" w:rsidRDefault="00EE5D67" w:rsidP="00EE5D67">
            <w:pPr>
              <w:spacing w:after="0" w:line="240" w:lineRule="auto"/>
              <w:jc w:val="right"/>
              <w:rPr>
                <w:rFonts w:cs="Arial"/>
                <w:sz w:val="16"/>
                <w:szCs w:val="16"/>
              </w:rPr>
            </w:pPr>
            <w:r w:rsidRPr="00EE5D67">
              <w:rPr>
                <w:rFonts w:cs="Arial"/>
                <w:sz w:val="16"/>
                <w:szCs w:val="16"/>
              </w:rPr>
              <w:t>616</w:t>
            </w:r>
          </w:p>
        </w:tc>
      </w:tr>
      <w:tr w:rsidR="00EE5D67" w:rsidRPr="00EE5D67" w14:paraId="3C07A575"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61B013EB" w14:textId="77777777" w:rsidR="00EE5D67" w:rsidRPr="00EE5D67" w:rsidRDefault="00EE5D67" w:rsidP="00EE5D67">
            <w:pPr>
              <w:spacing w:after="0" w:line="240" w:lineRule="auto"/>
              <w:rPr>
                <w:rFonts w:cs="Arial"/>
                <w:sz w:val="16"/>
                <w:szCs w:val="16"/>
              </w:rPr>
            </w:pPr>
            <w:r w:rsidRPr="00EE5D67">
              <w:rPr>
                <w:rFonts w:cs="Arial"/>
                <w:sz w:val="16"/>
                <w:szCs w:val="16"/>
              </w:rPr>
              <w:t>Vysočina</w:t>
            </w:r>
          </w:p>
        </w:tc>
        <w:tc>
          <w:tcPr>
            <w:tcW w:w="750" w:type="dxa"/>
            <w:tcBorders>
              <w:top w:val="nil"/>
              <w:left w:val="nil"/>
              <w:bottom w:val="nil"/>
              <w:right w:val="nil"/>
            </w:tcBorders>
            <w:shd w:val="clear" w:color="000000" w:fill="FFFFFF"/>
            <w:noWrap/>
            <w:vAlign w:val="center"/>
            <w:hideMark/>
          </w:tcPr>
          <w:p w14:paraId="3AF90B18"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49 098</w:t>
            </w:r>
          </w:p>
        </w:tc>
        <w:tc>
          <w:tcPr>
            <w:tcW w:w="830" w:type="dxa"/>
            <w:tcBorders>
              <w:top w:val="nil"/>
              <w:left w:val="nil"/>
              <w:bottom w:val="nil"/>
              <w:right w:val="nil"/>
            </w:tcBorders>
            <w:shd w:val="clear" w:color="000000" w:fill="FFFFFF"/>
            <w:noWrap/>
            <w:vAlign w:val="center"/>
            <w:hideMark/>
          </w:tcPr>
          <w:p w14:paraId="7F2B60B2" w14:textId="77777777" w:rsidR="00EE5D67" w:rsidRPr="00EE5D67" w:rsidRDefault="00EE5D67" w:rsidP="00EE5D67">
            <w:pPr>
              <w:spacing w:after="0" w:line="240" w:lineRule="auto"/>
              <w:jc w:val="right"/>
              <w:rPr>
                <w:rFonts w:cs="Arial"/>
                <w:sz w:val="16"/>
                <w:szCs w:val="16"/>
              </w:rPr>
            </w:pPr>
            <w:r w:rsidRPr="00EE5D67">
              <w:rPr>
                <w:rFonts w:cs="Arial"/>
                <w:sz w:val="16"/>
                <w:szCs w:val="16"/>
              </w:rPr>
              <w:t>20 719</w:t>
            </w:r>
          </w:p>
        </w:tc>
        <w:tc>
          <w:tcPr>
            <w:tcW w:w="830" w:type="dxa"/>
            <w:tcBorders>
              <w:top w:val="nil"/>
              <w:left w:val="nil"/>
              <w:bottom w:val="nil"/>
              <w:right w:val="nil"/>
            </w:tcBorders>
            <w:shd w:val="clear" w:color="000000" w:fill="FFFFFF"/>
            <w:noWrap/>
            <w:vAlign w:val="center"/>
            <w:hideMark/>
          </w:tcPr>
          <w:p w14:paraId="3E2989B8" w14:textId="77777777" w:rsidR="00EE5D67" w:rsidRPr="00EE5D67" w:rsidRDefault="00EE5D67" w:rsidP="00EE5D67">
            <w:pPr>
              <w:spacing w:after="0" w:line="240" w:lineRule="auto"/>
              <w:jc w:val="right"/>
              <w:rPr>
                <w:rFonts w:cs="Arial"/>
                <w:sz w:val="16"/>
                <w:szCs w:val="16"/>
              </w:rPr>
            </w:pPr>
            <w:r w:rsidRPr="00EE5D67">
              <w:rPr>
                <w:rFonts w:cs="Arial"/>
                <w:sz w:val="16"/>
                <w:szCs w:val="16"/>
              </w:rPr>
              <w:t>7 427</w:t>
            </w:r>
          </w:p>
        </w:tc>
        <w:tc>
          <w:tcPr>
            <w:tcW w:w="830" w:type="dxa"/>
            <w:tcBorders>
              <w:top w:val="nil"/>
              <w:left w:val="nil"/>
              <w:bottom w:val="nil"/>
              <w:right w:val="nil"/>
            </w:tcBorders>
            <w:shd w:val="clear" w:color="000000" w:fill="FFFFFF"/>
            <w:noWrap/>
            <w:vAlign w:val="center"/>
            <w:hideMark/>
          </w:tcPr>
          <w:p w14:paraId="5A9537D3" w14:textId="77777777" w:rsidR="00EE5D67" w:rsidRPr="00EE5D67" w:rsidRDefault="00EE5D67" w:rsidP="00EE5D67">
            <w:pPr>
              <w:spacing w:after="0" w:line="240" w:lineRule="auto"/>
              <w:jc w:val="right"/>
              <w:rPr>
                <w:rFonts w:cs="Arial"/>
                <w:sz w:val="16"/>
                <w:szCs w:val="16"/>
              </w:rPr>
            </w:pPr>
            <w:r w:rsidRPr="00EE5D67">
              <w:rPr>
                <w:rFonts w:cs="Arial"/>
                <w:sz w:val="16"/>
                <w:szCs w:val="16"/>
              </w:rPr>
              <w:t>4 577</w:t>
            </w:r>
          </w:p>
        </w:tc>
        <w:tc>
          <w:tcPr>
            <w:tcW w:w="830" w:type="dxa"/>
            <w:tcBorders>
              <w:top w:val="nil"/>
              <w:left w:val="nil"/>
              <w:bottom w:val="nil"/>
              <w:right w:val="nil"/>
            </w:tcBorders>
            <w:shd w:val="clear" w:color="000000" w:fill="FFFFFF"/>
            <w:noWrap/>
            <w:vAlign w:val="center"/>
            <w:hideMark/>
          </w:tcPr>
          <w:p w14:paraId="298B8DA5" w14:textId="77777777" w:rsidR="00EE5D67" w:rsidRPr="00EE5D67" w:rsidRDefault="00EE5D67" w:rsidP="00EE5D67">
            <w:pPr>
              <w:spacing w:after="0" w:line="240" w:lineRule="auto"/>
              <w:jc w:val="right"/>
              <w:rPr>
                <w:rFonts w:cs="Arial"/>
                <w:sz w:val="16"/>
                <w:szCs w:val="16"/>
              </w:rPr>
            </w:pPr>
            <w:r w:rsidRPr="00EE5D67">
              <w:rPr>
                <w:rFonts w:cs="Arial"/>
                <w:sz w:val="16"/>
                <w:szCs w:val="16"/>
              </w:rPr>
              <w:t>7 030</w:t>
            </w:r>
          </w:p>
        </w:tc>
        <w:tc>
          <w:tcPr>
            <w:tcW w:w="830" w:type="dxa"/>
            <w:tcBorders>
              <w:top w:val="nil"/>
              <w:left w:val="nil"/>
              <w:bottom w:val="nil"/>
              <w:right w:val="nil"/>
            </w:tcBorders>
            <w:shd w:val="clear" w:color="000000" w:fill="FFFFFF"/>
            <w:noWrap/>
            <w:vAlign w:val="center"/>
            <w:hideMark/>
          </w:tcPr>
          <w:p w14:paraId="69C5AD4F" w14:textId="77777777" w:rsidR="00EE5D67" w:rsidRPr="00EE5D67" w:rsidRDefault="00EE5D67" w:rsidP="00EE5D67">
            <w:pPr>
              <w:spacing w:after="0" w:line="240" w:lineRule="auto"/>
              <w:jc w:val="right"/>
              <w:rPr>
                <w:rFonts w:cs="Arial"/>
                <w:sz w:val="16"/>
                <w:szCs w:val="16"/>
              </w:rPr>
            </w:pPr>
            <w:r w:rsidRPr="00EE5D67">
              <w:rPr>
                <w:rFonts w:cs="Arial"/>
                <w:sz w:val="16"/>
                <w:szCs w:val="16"/>
              </w:rPr>
              <w:t>3 115</w:t>
            </w:r>
          </w:p>
        </w:tc>
        <w:tc>
          <w:tcPr>
            <w:tcW w:w="830" w:type="dxa"/>
            <w:tcBorders>
              <w:top w:val="nil"/>
              <w:left w:val="nil"/>
              <w:bottom w:val="nil"/>
              <w:right w:val="nil"/>
            </w:tcBorders>
            <w:shd w:val="clear" w:color="000000" w:fill="FFFFFF"/>
            <w:noWrap/>
            <w:vAlign w:val="center"/>
            <w:hideMark/>
          </w:tcPr>
          <w:p w14:paraId="5F969CA5" w14:textId="77777777" w:rsidR="00EE5D67" w:rsidRPr="00EE5D67" w:rsidRDefault="00EE5D67" w:rsidP="00EE5D67">
            <w:pPr>
              <w:spacing w:after="0" w:line="240" w:lineRule="auto"/>
              <w:jc w:val="right"/>
              <w:rPr>
                <w:rFonts w:cs="Arial"/>
                <w:sz w:val="16"/>
                <w:szCs w:val="16"/>
              </w:rPr>
            </w:pPr>
            <w:r w:rsidRPr="00EE5D67">
              <w:rPr>
                <w:rFonts w:cs="Arial"/>
                <w:sz w:val="16"/>
                <w:szCs w:val="16"/>
              </w:rPr>
              <w:t>3 722</w:t>
            </w:r>
          </w:p>
        </w:tc>
        <w:tc>
          <w:tcPr>
            <w:tcW w:w="830" w:type="dxa"/>
            <w:tcBorders>
              <w:top w:val="nil"/>
              <w:left w:val="nil"/>
              <w:bottom w:val="nil"/>
              <w:right w:val="nil"/>
            </w:tcBorders>
            <w:shd w:val="clear" w:color="000000" w:fill="FFFFFF"/>
            <w:noWrap/>
            <w:vAlign w:val="center"/>
            <w:hideMark/>
          </w:tcPr>
          <w:p w14:paraId="300443D4" w14:textId="77777777" w:rsidR="00EE5D67" w:rsidRPr="00EE5D67" w:rsidRDefault="00EE5D67" w:rsidP="00EE5D67">
            <w:pPr>
              <w:spacing w:after="0" w:line="240" w:lineRule="auto"/>
              <w:jc w:val="right"/>
              <w:rPr>
                <w:rFonts w:cs="Arial"/>
                <w:sz w:val="16"/>
                <w:szCs w:val="16"/>
              </w:rPr>
            </w:pPr>
            <w:r w:rsidRPr="00EE5D67">
              <w:rPr>
                <w:rFonts w:cs="Arial"/>
                <w:sz w:val="16"/>
                <w:szCs w:val="16"/>
              </w:rPr>
              <w:t>1 215</w:t>
            </w:r>
          </w:p>
        </w:tc>
        <w:tc>
          <w:tcPr>
            <w:tcW w:w="830" w:type="dxa"/>
            <w:tcBorders>
              <w:top w:val="nil"/>
              <w:left w:val="nil"/>
              <w:bottom w:val="nil"/>
              <w:right w:val="nil"/>
            </w:tcBorders>
            <w:shd w:val="clear" w:color="000000" w:fill="FFFFFF"/>
            <w:noWrap/>
            <w:vAlign w:val="center"/>
            <w:hideMark/>
          </w:tcPr>
          <w:p w14:paraId="2EAAE659" w14:textId="77777777" w:rsidR="00EE5D67" w:rsidRPr="00EE5D67" w:rsidRDefault="00EE5D67" w:rsidP="00EE5D67">
            <w:pPr>
              <w:spacing w:after="0" w:line="240" w:lineRule="auto"/>
              <w:jc w:val="right"/>
              <w:rPr>
                <w:rFonts w:cs="Arial"/>
                <w:sz w:val="16"/>
                <w:szCs w:val="16"/>
              </w:rPr>
            </w:pPr>
            <w:r w:rsidRPr="00EE5D67">
              <w:rPr>
                <w:rFonts w:cs="Arial"/>
                <w:sz w:val="16"/>
                <w:szCs w:val="16"/>
              </w:rPr>
              <w:t>619</w:t>
            </w:r>
          </w:p>
        </w:tc>
        <w:tc>
          <w:tcPr>
            <w:tcW w:w="830" w:type="dxa"/>
            <w:tcBorders>
              <w:top w:val="nil"/>
              <w:left w:val="nil"/>
              <w:bottom w:val="nil"/>
              <w:right w:val="nil"/>
            </w:tcBorders>
            <w:shd w:val="clear" w:color="000000" w:fill="FFFFFF"/>
            <w:noWrap/>
            <w:vAlign w:val="center"/>
            <w:hideMark/>
          </w:tcPr>
          <w:p w14:paraId="6D539F00" w14:textId="77777777" w:rsidR="00EE5D67" w:rsidRPr="00EE5D67" w:rsidRDefault="00EE5D67" w:rsidP="00EE5D67">
            <w:pPr>
              <w:spacing w:after="0" w:line="240" w:lineRule="auto"/>
              <w:jc w:val="right"/>
              <w:rPr>
                <w:rFonts w:cs="Arial"/>
                <w:sz w:val="16"/>
                <w:szCs w:val="16"/>
              </w:rPr>
            </w:pPr>
            <w:r w:rsidRPr="00EE5D67">
              <w:rPr>
                <w:rFonts w:cs="Arial"/>
                <w:sz w:val="16"/>
                <w:szCs w:val="16"/>
              </w:rPr>
              <w:t>674</w:t>
            </w:r>
          </w:p>
        </w:tc>
      </w:tr>
      <w:tr w:rsidR="00EE5D67" w:rsidRPr="00EE5D67" w14:paraId="790ECF09"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0C63470F" w14:textId="77777777" w:rsidR="00EE5D67" w:rsidRPr="00EE5D67" w:rsidRDefault="00EE5D67" w:rsidP="00EE5D67">
            <w:pPr>
              <w:spacing w:after="0" w:line="240" w:lineRule="auto"/>
              <w:rPr>
                <w:rFonts w:cs="Arial"/>
                <w:sz w:val="16"/>
                <w:szCs w:val="16"/>
              </w:rPr>
            </w:pPr>
            <w:r w:rsidRPr="00EE5D67">
              <w:rPr>
                <w:rFonts w:cs="Arial"/>
                <w:sz w:val="16"/>
                <w:szCs w:val="16"/>
              </w:rPr>
              <w:t>Jihomoravský</w:t>
            </w:r>
          </w:p>
        </w:tc>
        <w:tc>
          <w:tcPr>
            <w:tcW w:w="750" w:type="dxa"/>
            <w:tcBorders>
              <w:top w:val="nil"/>
              <w:left w:val="nil"/>
              <w:bottom w:val="nil"/>
              <w:right w:val="nil"/>
            </w:tcBorders>
            <w:shd w:val="clear" w:color="000000" w:fill="FFFFFF"/>
            <w:vAlign w:val="center"/>
            <w:hideMark/>
          </w:tcPr>
          <w:p w14:paraId="57A9BDD9"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103 452</w:t>
            </w:r>
          </w:p>
        </w:tc>
        <w:tc>
          <w:tcPr>
            <w:tcW w:w="830" w:type="dxa"/>
            <w:tcBorders>
              <w:top w:val="nil"/>
              <w:left w:val="nil"/>
              <w:bottom w:val="nil"/>
              <w:right w:val="nil"/>
            </w:tcBorders>
            <w:shd w:val="clear" w:color="000000" w:fill="FFFFFF"/>
            <w:noWrap/>
            <w:vAlign w:val="center"/>
            <w:hideMark/>
          </w:tcPr>
          <w:p w14:paraId="25E51EE7" w14:textId="77777777" w:rsidR="00EE5D67" w:rsidRPr="00EE5D67" w:rsidRDefault="00EE5D67" w:rsidP="00EE5D67">
            <w:pPr>
              <w:spacing w:after="0" w:line="240" w:lineRule="auto"/>
              <w:jc w:val="right"/>
              <w:rPr>
                <w:rFonts w:cs="Arial"/>
                <w:sz w:val="16"/>
                <w:szCs w:val="16"/>
              </w:rPr>
            </w:pPr>
            <w:r w:rsidRPr="00EE5D67">
              <w:rPr>
                <w:rFonts w:cs="Arial"/>
                <w:sz w:val="16"/>
                <w:szCs w:val="16"/>
              </w:rPr>
              <w:t>46 496</w:t>
            </w:r>
          </w:p>
        </w:tc>
        <w:tc>
          <w:tcPr>
            <w:tcW w:w="830" w:type="dxa"/>
            <w:tcBorders>
              <w:top w:val="nil"/>
              <w:left w:val="nil"/>
              <w:bottom w:val="nil"/>
              <w:right w:val="nil"/>
            </w:tcBorders>
            <w:shd w:val="clear" w:color="000000" w:fill="FFFFFF"/>
            <w:noWrap/>
            <w:vAlign w:val="center"/>
            <w:hideMark/>
          </w:tcPr>
          <w:p w14:paraId="61DF3B10" w14:textId="77777777" w:rsidR="00EE5D67" w:rsidRPr="00EE5D67" w:rsidRDefault="00EE5D67" w:rsidP="00EE5D67">
            <w:pPr>
              <w:spacing w:after="0" w:line="240" w:lineRule="auto"/>
              <w:jc w:val="right"/>
              <w:rPr>
                <w:rFonts w:cs="Arial"/>
                <w:sz w:val="16"/>
                <w:szCs w:val="16"/>
              </w:rPr>
            </w:pPr>
            <w:r w:rsidRPr="00EE5D67">
              <w:rPr>
                <w:rFonts w:cs="Arial"/>
                <w:sz w:val="16"/>
                <w:szCs w:val="16"/>
              </w:rPr>
              <w:t>14 614</w:t>
            </w:r>
          </w:p>
        </w:tc>
        <w:tc>
          <w:tcPr>
            <w:tcW w:w="830" w:type="dxa"/>
            <w:tcBorders>
              <w:top w:val="nil"/>
              <w:left w:val="nil"/>
              <w:bottom w:val="nil"/>
              <w:right w:val="nil"/>
            </w:tcBorders>
            <w:shd w:val="clear" w:color="000000" w:fill="FFFFFF"/>
            <w:noWrap/>
            <w:vAlign w:val="center"/>
            <w:hideMark/>
          </w:tcPr>
          <w:p w14:paraId="4BE9C907" w14:textId="77777777" w:rsidR="00EE5D67" w:rsidRPr="00EE5D67" w:rsidRDefault="00EE5D67" w:rsidP="00EE5D67">
            <w:pPr>
              <w:spacing w:after="0" w:line="240" w:lineRule="auto"/>
              <w:jc w:val="right"/>
              <w:rPr>
                <w:rFonts w:cs="Arial"/>
                <w:sz w:val="16"/>
                <w:szCs w:val="16"/>
              </w:rPr>
            </w:pPr>
            <w:r w:rsidRPr="00EE5D67">
              <w:rPr>
                <w:rFonts w:cs="Arial"/>
                <w:sz w:val="16"/>
                <w:szCs w:val="16"/>
              </w:rPr>
              <w:t>9 348</w:t>
            </w:r>
          </w:p>
        </w:tc>
        <w:tc>
          <w:tcPr>
            <w:tcW w:w="830" w:type="dxa"/>
            <w:tcBorders>
              <w:top w:val="nil"/>
              <w:left w:val="nil"/>
              <w:bottom w:val="nil"/>
              <w:right w:val="nil"/>
            </w:tcBorders>
            <w:shd w:val="clear" w:color="000000" w:fill="FFFFFF"/>
            <w:noWrap/>
            <w:vAlign w:val="center"/>
            <w:hideMark/>
          </w:tcPr>
          <w:p w14:paraId="62D1E0D1" w14:textId="77777777" w:rsidR="00EE5D67" w:rsidRPr="00EE5D67" w:rsidRDefault="00EE5D67" w:rsidP="00EE5D67">
            <w:pPr>
              <w:spacing w:after="0" w:line="240" w:lineRule="auto"/>
              <w:jc w:val="right"/>
              <w:rPr>
                <w:rFonts w:cs="Arial"/>
                <w:sz w:val="16"/>
                <w:szCs w:val="16"/>
              </w:rPr>
            </w:pPr>
            <w:r w:rsidRPr="00EE5D67">
              <w:rPr>
                <w:rFonts w:cs="Arial"/>
                <w:sz w:val="16"/>
                <w:szCs w:val="16"/>
              </w:rPr>
              <w:t>13 725</w:t>
            </w:r>
          </w:p>
        </w:tc>
        <w:tc>
          <w:tcPr>
            <w:tcW w:w="830" w:type="dxa"/>
            <w:tcBorders>
              <w:top w:val="nil"/>
              <w:left w:val="nil"/>
              <w:bottom w:val="nil"/>
              <w:right w:val="nil"/>
            </w:tcBorders>
            <w:shd w:val="clear" w:color="000000" w:fill="FFFFFF"/>
            <w:noWrap/>
            <w:vAlign w:val="center"/>
            <w:hideMark/>
          </w:tcPr>
          <w:p w14:paraId="28AA9283" w14:textId="77777777" w:rsidR="00EE5D67" w:rsidRPr="00EE5D67" w:rsidRDefault="00EE5D67" w:rsidP="00EE5D67">
            <w:pPr>
              <w:spacing w:after="0" w:line="240" w:lineRule="auto"/>
              <w:jc w:val="right"/>
              <w:rPr>
                <w:rFonts w:cs="Arial"/>
                <w:sz w:val="16"/>
                <w:szCs w:val="16"/>
              </w:rPr>
            </w:pPr>
            <w:r w:rsidRPr="00EE5D67">
              <w:rPr>
                <w:rFonts w:cs="Arial"/>
                <w:sz w:val="16"/>
                <w:szCs w:val="16"/>
              </w:rPr>
              <w:t>6 543</w:t>
            </w:r>
          </w:p>
        </w:tc>
        <w:tc>
          <w:tcPr>
            <w:tcW w:w="830" w:type="dxa"/>
            <w:tcBorders>
              <w:top w:val="nil"/>
              <w:left w:val="nil"/>
              <w:bottom w:val="nil"/>
              <w:right w:val="nil"/>
            </w:tcBorders>
            <w:shd w:val="clear" w:color="000000" w:fill="FFFFFF"/>
            <w:noWrap/>
            <w:vAlign w:val="center"/>
            <w:hideMark/>
          </w:tcPr>
          <w:p w14:paraId="32C3643D" w14:textId="77777777" w:rsidR="00EE5D67" w:rsidRPr="00EE5D67" w:rsidRDefault="00EE5D67" w:rsidP="00EE5D67">
            <w:pPr>
              <w:spacing w:after="0" w:line="240" w:lineRule="auto"/>
              <w:jc w:val="right"/>
              <w:rPr>
                <w:rFonts w:cs="Arial"/>
                <w:sz w:val="16"/>
                <w:szCs w:val="16"/>
              </w:rPr>
            </w:pPr>
            <w:r w:rsidRPr="00EE5D67">
              <w:rPr>
                <w:rFonts w:cs="Arial"/>
                <w:sz w:val="16"/>
                <w:szCs w:val="16"/>
              </w:rPr>
              <w:t>7 543</w:t>
            </w:r>
          </w:p>
        </w:tc>
        <w:tc>
          <w:tcPr>
            <w:tcW w:w="830" w:type="dxa"/>
            <w:tcBorders>
              <w:top w:val="nil"/>
              <w:left w:val="nil"/>
              <w:bottom w:val="nil"/>
              <w:right w:val="nil"/>
            </w:tcBorders>
            <w:shd w:val="clear" w:color="000000" w:fill="FFFFFF"/>
            <w:noWrap/>
            <w:vAlign w:val="center"/>
            <w:hideMark/>
          </w:tcPr>
          <w:p w14:paraId="0CE937ED" w14:textId="77777777" w:rsidR="00EE5D67" w:rsidRPr="00EE5D67" w:rsidRDefault="00EE5D67" w:rsidP="00EE5D67">
            <w:pPr>
              <w:spacing w:after="0" w:line="240" w:lineRule="auto"/>
              <w:jc w:val="right"/>
              <w:rPr>
                <w:rFonts w:cs="Arial"/>
                <w:sz w:val="16"/>
                <w:szCs w:val="16"/>
              </w:rPr>
            </w:pPr>
            <w:r w:rsidRPr="00EE5D67">
              <w:rPr>
                <w:rFonts w:cs="Arial"/>
                <w:sz w:val="16"/>
                <w:szCs w:val="16"/>
              </w:rPr>
              <w:t>2 358</w:t>
            </w:r>
          </w:p>
        </w:tc>
        <w:tc>
          <w:tcPr>
            <w:tcW w:w="830" w:type="dxa"/>
            <w:tcBorders>
              <w:top w:val="nil"/>
              <w:left w:val="nil"/>
              <w:bottom w:val="nil"/>
              <w:right w:val="nil"/>
            </w:tcBorders>
            <w:shd w:val="clear" w:color="000000" w:fill="FFFFFF"/>
            <w:noWrap/>
            <w:vAlign w:val="center"/>
            <w:hideMark/>
          </w:tcPr>
          <w:p w14:paraId="6A1348AD" w14:textId="77777777" w:rsidR="00EE5D67" w:rsidRPr="00EE5D67" w:rsidRDefault="00EE5D67" w:rsidP="00EE5D67">
            <w:pPr>
              <w:spacing w:after="0" w:line="240" w:lineRule="auto"/>
              <w:jc w:val="right"/>
              <w:rPr>
                <w:rFonts w:cs="Arial"/>
                <w:sz w:val="16"/>
                <w:szCs w:val="16"/>
              </w:rPr>
            </w:pPr>
            <w:r w:rsidRPr="00EE5D67">
              <w:rPr>
                <w:rFonts w:cs="Arial"/>
                <w:sz w:val="16"/>
                <w:szCs w:val="16"/>
              </w:rPr>
              <w:t>1 308</w:t>
            </w:r>
          </w:p>
        </w:tc>
        <w:tc>
          <w:tcPr>
            <w:tcW w:w="830" w:type="dxa"/>
            <w:tcBorders>
              <w:top w:val="nil"/>
              <w:left w:val="nil"/>
              <w:bottom w:val="nil"/>
              <w:right w:val="nil"/>
            </w:tcBorders>
            <w:shd w:val="clear" w:color="000000" w:fill="FFFFFF"/>
            <w:noWrap/>
            <w:vAlign w:val="center"/>
            <w:hideMark/>
          </w:tcPr>
          <w:p w14:paraId="00D7FCED" w14:textId="77777777" w:rsidR="00EE5D67" w:rsidRPr="00EE5D67" w:rsidRDefault="00EE5D67" w:rsidP="00EE5D67">
            <w:pPr>
              <w:spacing w:after="0" w:line="240" w:lineRule="auto"/>
              <w:jc w:val="right"/>
              <w:rPr>
                <w:rFonts w:cs="Arial"/>
                <w:sz w:val="16"/>
                <w:szCs w:val="16"/>
              </w:rPr>
            </w:pPr>
            <w:r w:rsidRPr="00EE5D67">
              <w:rPr>
                <w:rFonts w:cs="Arial"/>
                <w:sz w:val="16"/>
                <w:szCs w:val="16"/>
              </w:rPr>
              <w:t>1 517</w:t>
            </w:r>
          </w:p>
        </w:tc>
      </w:tr>
      <w:tr w:rsidR="00EE5D67" w:rsidRPr="00EE5D67" w14:paraId="2D67D343"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48297C4A" w14:textId="77777777" w:rsidR="00EE5D67" w:rsidRPr="00EE5D67" w:rsidRDefault="00EE5D67" w:rsidP="00EE5D67">
            <w:pPr>
              <w:spacing w:after="0" w:line="240" w:lineRule="auto"/>
              <w:rPr>
                <w:rFonts w:cs="Arial"/>
                <w:sz w:val="16"/>
                <w:szCs w:val="16"/>
              </w:rPr>
            </w:pPr>
            <w:r w:rsidRPr="00EE5D67">
              <w:rPr>
                <w:rFonts w:cs="Arial"/>
                <w:sz w:val="16"/>
                <w:szCs w:val="16"/>
              </w:rPr>
              <w:t>Olomoucký</w:t>
            </w:r>
          </w:p>
        </w:tc>
        <w:tc>
          <w:tcPr>
            <w:tcW w:w="750" w:type="dxa"/>
            <w:tcBorders>
              <w:top w:val="nil"/>
              <w:left w:val="nil"/>
              <w:bottom w:val="nil"/>
              <w:right w:val="nil"/>
            </w:tcBorders>
            <w:shd w:val="clear" w:color="000000" w:fill="FFFFFF"/>
            <w:vAlign w:val="center"/>
            <w:hideMark/>
          </w:tcPr>
          <w:p w14:paraId="7A91F72D"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59 414</w:t>
            </w:r>
          </w:p>
        </w:tc>
        <w:tc>
          <w:tcPr>
            <w:tcW w:w="830" w:type="dxa"/>
            <w:tcBorders>
              <w:top w:val="nil"/>
              <w:left w:val="nil"/>
              <w:bottom w:val="nil"/>
              <w:right w:val="nil"/>
            </w:tcBorders>
            <w:shd w:val="clear" w:color="000000" w:fill="FFFFFF"/>
            <w:noWrap/>
            <w:vAlign w:val="center"/>
            <w:hideMark/>
          </w:tcPr>
          <w:p w14:paraId="4CC46073" w14:textId="77777777" w:rsidR="00EE5D67" w:rsidRPr="00EE5D67" w:rsidRDefault="00EE5D67" w:rsidP="00EE5D67">
            <w:pPr>
              <w:spacing w:after="0" w:line="240" w:lineRule="auto"/>
              <w:jc w:val="right"/>
              <w:rPr>
                <w:rFonts w:cs="Arial"/>
                <w:sz w:val="16"/>
                <w:szCs w:val="16"/>
              </w:rPr>
            </w:pPr>
            <w:r w:rsidRPr="00EE5D67">
              <w:rPr>
                <w:rFonts w:cs="Arial"/>
                <w:sz w:val="16"/>
                <w:szCs w:val="16"/>
              </w:rPr>
              <w:t>24 182</w:t>
            </w:r>
          </w:p>
        </w:tc>
        <w:tc>
          <w:tcPr>
            <w:tcW w:w="830" w:type="dxa"/>
            <w:tcBorders>
              <w:top w:val="nil"/>
              <w:left w:val="nil"/>
              <w:bottom w:val="nil"/>
              <w:right w:val="nil"/>
            </w:tcBorders>
            <w:shd w:val="clear" w:color="000000" w:fill="FFFFFF"/>
            <w:noWrap/>
            <w:vAlign w:val="center"/>
            <w:hideMark/>
          </w:tcPr>
          <w:p w14:paraId="24B4F338" w14:textId="77777777" w:rsidR="00EE5D67" w:rsidRPr="00EE5D67" w:rsidRDefault="00EE5D67" w:rsidP="00EE5D67">
            <w:pPr>
              <w:spacing w:after="0" w:line="240" w:lineRule="auto"/>
              <w:jc w:val="right"/>
              <w:rPr>
                <w:rFonts w:cs="Arial"/>
                <w:sz w:val="16"/>
                <w:szCs w:val="16"/>
              </w:rPr>
            </w:pPr>
            <w:r w:rsidRPr="00EE5D67">
              <w:rPr>
                <w:rFonts w:cs="Arial"/>
                <w:sz w:val="16"/>
                <w:szCs w:val="16"/>
              </w:rPr>
              <w:t>8 784</w:t>
            </w:r>
          </w:p>
        </w:tc>
        <w:tc>
          <w:tcPr>
            <w:tcW w:w="830" w:type="dxa"/>
            <w:tcBorders>
              <w:top w:val="nil"/>
              <w:left w:val="nil"/>
              <w:bottom w:val="nil"/>
              <w:right w:val="nil"/>
            </w:tcBorders>
            <w:shd w:val="clear" w:color="000000" w:fill="FFFFFF"/>
            <w:noWrap/>
            <w:vAlign w:val="center"/>
            <w:hideMark/>
          </w:tcPr>
          <w:p w14:paraId="4CE38435" w14:textId="77777777" w:rsidR="00EE5D67" w:rsidRPr="00EE5D67" w:rsidRDefault="00EE5D67" w:rsidP="00EE5D67">
            <w:pPr>
              <w:spacing w:after="0" w:line="240" w:lineRule="auto"/>
              <w:jc w:val="right"/>
              <w:rPr>
                <w:rFonts w:cs="Arial"/>
                <w:sz w:val="16"/>
                <w:szCs w:val="16"/>
              </w:rPr>
            </w:pPr>
            <w:r w:rsidRPr="00EE5D67">
              <w:rPr>
                <w:rFonts w:cs="Arial"/>
                <w:sz w:val="16"/>
                <w:szCs w:val="16"/>
              </w:rPr>
              <w:t>6 401</w:t>
            </w:r>
          </w:p>
        </w:tc>
        <w:tc>
          <w:tcPr>
            <w:tcW w:w="830" w:type="dxa"/>
            <w:tcBorders>
              <w:top w:val="nil"/>
              <w:left w:val="nil"/>
              <w:bottom w:val="nil"/>
              <w:right w:val="nil"/>
            </w:tcBorders>
            <w:shd w:val="clear" w:color="000000" w:fill="FFFFFF"/>
            <w:noWrap/>
            <w:vAlign w:val="center"/>
            <w:hideMark/>
          </w:tcPr>
          <w:p w14:paraId="4F53CF6D" w14:textId="77777777" w:rsidR="00EE5D67" w:rsidRPr="00EE5D67" w:rsidRDefault="00EE5D67" w:rsidP="00EE5D67">
            <w:pPr>
              <w:spacing w:after="0" w:line="240" w:lineRule="auto"/>
              <w:jc w:val="right"/>
              <w:rPr>
                <w:rFonts w:cs="Arial"/>
                <w:sz w:val="16"/>
                <w:szCs w:val="16"/>
              </w:rPr>
            </w:pPr>
            <w:r w:rsidRPr="00EE5D67">
              <w:rPr>
                <w:rFonts w:cs="Arial"/>
                <w:sz w:val="16"/>
                <w:szCs w:val="16"/>
              </w:rPr>
              <w:t>8 366</w:t>
            </w:r>
          </w:p>
        </w:tc>
        <w:tc>
          <w:tcPr>
            <w:tcW w:w="830" w:type="dxa"/>
            <w:tcBorders>
              <w:top w:val="nil"/>
              <w:left w:val="nil"/>
              <w:bottom w:val="nil"/>
              <w:right w:val="nil"/>
            </w:tcBorders>
            <w:shd w:val="clear" w:color="000000" w:fill="FFFFFF"/>
            <w:noWrap/>
            <w:vAlign w:val="center"/>
            <w:hideMark/>
          </w:tcPr>
          <w:p w14:paraId="5D497132" w14:textId="77777777" w:rsidR="00EE5D67" w:rsidRPr="00EE5D67" w:rsidRDefault="00EE5D67" w:rsidP="00EE5D67">
            <w:pPr>
              <w:spacing w:after="0" w:line="240" w:lineRule="auto"/>
              <w:jc w:val="right"/>
              <w:rPr>
                <w:rFonts w:cs="Arial"/>
                <w:sz w:val="16"/>
                <w:szCs w:val="16"/>
              </w:rPr>
            </w:pPr>
            <w:r w:rsidRPr="00EE5D67">
              <w:rPr>
                <w:rFonts w:cs="Arial"/>
                <w:sz w:val="16"/>
                <w:szCs w:val="16"/>
              </w:rPr>
              <w:t>3 968</w:t>
            </w:r>
          </w:p>
        </w:tc>
        <w:tc>
          <w:tcPr>
            <w:tcW w:w="830" w:type="dxa"/>
            <w:tcBorders>
              <w:top w:val="nil"/>
              <w:left w:val="nil"/>
              <w:bottom w:val="nil"/>
              <w:right w:val="nil"/>
            </w:tcBorders>
            <w:shd w:val="clear" w:color="000000" w:fill="FFFFFF"/>
            <w:noWrap/>
            <w:vAlign w:val="center"/>
            <w:hideMark/>
          </w:tcPr>
          <w:p w14:paraId="65887AE1" w14:textId="77777777" w:rsidR="00EE5D67" w:rsidRPr="00EE5D67" w:rsidRDefault="00EE5D67" w:rsidP="00EE5D67">
            <w:pPr>
              <w:spacing w:after="0" w:line="240" w:lineRule="auto"/>
              <w:jc w:val="right"/>
              <w:rPr>
                <w:rFonts w:cs="Arial"/>
                <w:sz w:val="16"/>
                <w:szCs w:val="16"/>
              </w:rPr>
            </w:pPr>
            <w:r w:rsidRPr="00EE5D67">
              <w:rPr>
                <w:rFonts w:cs="Arial"/>
                <w:sz w:val="16"/>
                <w:szCs w:val="16"/>
              </w:rPr>
              <w:t>4 617</w:t>
            </w:r>
          </w:p>
        </w:tc>
        <w:tc>
          <w:tcPr>
            <w:tcW w:w="830" w:type="dxa"/>
            <w:tcBorders>
              <w:top w:val="nil"/>
              <w:left w:val="nil"/>
              <w:bottom w:val="nil"/>
              <w:right w:val="nil"/>
            </w:tcBorders>
            <w:shd w:val="clear" w:color="000000" w:fill="FFFFFF"/>
            <w:noWrap/>
            <w:vAlign w:val="center"/>
            <w:hideMark/>
          </w:tcPr>
          <w:p w14:paraId="3FDF0346" w14:textId="77777777" w:rsidR="00EE5D67" w:rsidRPr="00EE5D67" w:rsidRDefault="00EE5D67" w:rsidP="00EE5D67">
            <w:pPr>
              <w:spacing w:after="0" w:line="240" w:lineRule="auto"/>
              <w:jc w:val="right"/>
              <w:rPr>
                <w:rFonts w:cs="Arial"/>
                <w:sz w:val="16"/>
                <w:szCs w:val="16"/>
              </w:rPr>
            </w:pPr>
            <w:r w:rsidRPr="00EE5D67">
              <w:rPr>
                <w:rFonts w:cs="Arial"/>
                <w:sz w:val="16"/>
                <w:szCs w:val="16"/>
              </w:rPr>
              <w:t>1 553</w:t>
            </w:r>
          </w:p>
        </w:tc>
        <w:tc>
          <w:tcPr>
            <w:tcW w:w="830" w:type="dxa"/>
            <w:tcBorders>
              <w:top w:val="nil"/>
              <w:left w:val="nil"/>
              <w:bottom w:val="nil"/>
              <w:right w:val="nil"/>
            </w:tcBorders>
            <w:shd w:val="clear" w:color="000000" w:fill="FFFFFF"/>
            <w:noWrap/>
            <w:vAlign w:val="center"/>
            <w:hideMark/>
          </w:tcPr>
          <w:p w14:paraId="698D5FBB" w14:textId="77777777" w:rsidR="00EE5D67" w:rsidRPr="00EE5D67" w:rsidRDefault="00EE5D67" w:rsidP="00EE5D67">
            <w:pPr>
              <w:spacing w:after="0" w:line="240" w:lineRule="auto"/>
              <w:jc w:val="right"/>
              <w:rPr>
                <w:rFonts w:cs="Arial"/>
                <w:sz w:val="16"/>
                <w:szCs w:val="16"/>
              </w:rPr>
            </w:pPr>
            <w:r w:rsidRPr="00EE5D67">
              <w:rPr>
                <w:rFonts w:cs="Arial"/>
                <w:sz w:val="16"/>
                <w:szCs w:val="16"/>
              </w:rPr>
              <w:t>766</w:t>
            </w:r>
          </w:p>
        </w:tc>
        <w:tc>
          <w:tcPr>
            <w:tcW w:w="830" w:type="dxa"/>
            <w:tcBorders>
              <w:top w:val="nil"/>
              <w:left w:val="nil"/>
              <w:bottom w:val="nil"/>
              <w:right w:val="nil"/>
            </w:tcBorders>
            <w:shd w:val="clear" w:color="000000" w:fill="FFFFFF"/>
            <w:noWrap/>
            <w:vAlign w:val="center"/>
            <w:hideMark/>
          </w:tcPr>
          <w:p w14:paraId="6F9E77D3" w14:textId="77777777" w:rsidR="00EE5D67" w:rsidRPr="00EE5D67" w:rsidRDefault="00EE5D67" w:rsidP="00EE5D67">
            <w:pPr>
              <w:spacing w:after="0" w:line="240" w:lineRule="auto"/>
              <w:jc w:val="right"/>
              <w:rPr>
                <w:rFonts w:cs="Arial"/>
                <w:sz w:val="16"/>
                <w:szCs w:val="16"/>
              </w:rPr>
            </w:pPr>
            <w:r w:rsidRPr="00EE5D67">
              <w:rPr>
                <w:rFonts w:cs="Arial"/>
                <w:sz w:val="16"/>
                <w:szCs w:val="16"/>
              </w:rPr>
              <w:t>777</w:t>
            </w:r>
          </w:p>
        </w:tc>
      </w:tr>
      <w:tr w:rsidR="00EE5D67" w:rsidRPr="00EE5D67" w14:paraId="3B838972"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032083B1" w14:textId="77777777" w:rsidR="00EE5D67" w:rsidRPr="00EE5D67" w:rsidRDefault="00EE5D67" w:rsidP="00EE5D67">
            <w:pPr>
              <w:spacing w:after="0" w:line="240" w:lineRule="auto"/>
              <w:rPr>
                <w:rFonts w:cs="Arial"/>
                <w:sz w:val="16"/>
                <w:szCs w:val="16"/>
              </w:rPr>
            </w:pPr>
            <w:r w:rsidRPr="00EE5D67">
              <w:rPr>
                <w:rFonts w:cs="Arial"/>
                <w:sz w:val="16"/>
                <w:szCs w:val="16"/>
              </w:rPr>
              <w:t xml:space="preserve">Zlínský      </w:t>
            </w:r>
          </w:p>
        </w:tc>
        <w:tc>
          <w:tcPr>
            <w:tcW w:w="750" w:type="dxa"/>
            <w:tcBorders>
              <w:top w:val="nil"/>
              <w:left w:val="nil"/>
              <w:bottom w:val="nil"/>
              <w:right w:val="nil"/>
            </w:tcBorders>
            <w:shd w:val="clear" w:color="000000" w:fill="FFFFFF"/>
            <w:vAlign w:val="center"/>
            <w:hideMark/>
          </w:tcPr>
          <w:p w14:paraId="1168C252"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53 270</w:t>
            </w:r>
          </w:p>
        </w:tc>
        <w:tc>
          <w:tcPr>
            <w:tcW w:w="830" w:type="dxa"/>
            <w:tcBorders>
              <w:top w:val="nil"/>
              <w:left w:val="nil"/>
              <w:bottom w:val="nil"/>
              <w:right w:val="nil"/>
            </w:tcBorders>
            <w:shd w:val="clear" w:color="000000" w:fill="FFFFFF"/>
            <w:noWrap/>
            <w:vAlign w:val="center"/>
            <w:hideMark/>
          </w:tcPr>
          <w:p w14:paraId="7AF36CEC" w14:textId="77777777" w:rsidR="00EE5D67" w:rsidRPr="00EE5D67" w:rsidRDefault="00EE5D67" w:rsidP="00EE5D67">
            <w:pPr>
              <w:spacing w:after="0" w:line="240" w:lineRule="auto"/>
              <w:jc w:val="right"/>
              <w:rPr>
                <w:rFonts w:cs="Arial"/>
                <w:sz w:val="16"/>
                <w:szCs w:val="16"/>
              </w:rPr>
            </w:pPr>
            <w:r w:rsidRPr="00EE5D67">
              <w:rPr>
                <w:rFonts w:cs="Arial"/>
                <w:sz w:val="16"/>
                <w:szCs w:val="16"/>
              </w:rPr>
              <w:t>18 655</w:t>
            </w:r>
          </w:p>
        </w:tc>
        <w:tc>
          <w:tcPr>
            <w:tcW w:w="830" w:type="dxa"/>
            <w:tcBorders>
              <w:top w:val="nil"/>
              <w:left w:val="nil"/>
              <w:bottom w:val="nil"/>
              <w:right w:val="nil"/>
            </w:tcBorders>
            <w:shd w:val="clear" w:color="000000" w:fill="FFFFFF"/>
            <w:noWrap/>
            <w:vAlign w:val="center"/>
            <w:hideMark/>
          </w:tcPr>
          <w:p w14:paraId="67A6A639" w14:textId="77777777" w:rsidR="00EE5D67" w:rsidRPr="00EE5D67" w:rsidRDefault="00EE5D67" w:rsidP="00EE5D67">
            <w:pPr>
              <w:spacing w:after="0" w:line="240" w:lineRule="auto"/>
              <w:jc w:val="right"/>
              <w:rPr>
                <w:rFonts w:cs="Arial"/>
                <w:sz w:val="16"/>
                <w:szCs w:val="16"/>
              </w:rPr>
            </w:pPr>
            <w:r w:rsidRPr="00EE5D67">
              <w:rPr>
                <w:rFonts w:cs="Arial"/>
                <w:sz w:val="16"/>
                <w:szCs w:val="16"/>
              </w:rPr>
              <w:t>7 985</w:t>
            </w:r>
          </w:p>
        </w:tc>
        <w:tc>
          <w:tcPr>
            <w:tcW w:w="830" w:type="dxa"/>
            <w:tcBorders>
              <w:top w:val="nil"/>
              <w:left w:val="nil"/>
              <w:bottom w:val="nil"/>
              <w:right w:val="nil"/>
            </w:tcBorders>
            <w:shd w:val="clear" w:color="000000" w:fill="FFFFFF"/>
            <w:noWrap/>
            <w:vAlign w:val="center"/>
            <w:hideMark/>
          </w:tcPr>
          <w:p w14:paraId="7F43C8B9" w14:textId="77777777" w:rsidR="00EE5D67" w:rsidRPr="00EE5D67" w:rsidRDefault="00EE5D67" w:rsidP="00EE5D67">
            <w:pPr>
              <w:spacing w:after="0" w:line="240" w:lineRule="auto"/>
              <w:jc w:val="right"/>
              <w:rPr>
                <w:rFonts w:cs="Arial"/>
                <w:sz w:val="16"/>
                <w:szCs w:val="16"/>
              </w:rPr>
            </w:pPr>
            <w:r w:rsidRPr="00EE5D67">
              <w:rPr>
                <w:rFonts w:cs="Arial"/>
                <w:sz w:val="16"/>
                <w:szCs w:val="16"/>
              </w:rPr>
              <w:t>6 003</w:t>
            </w:r>
          </w:p>
        </w:tc>
        <w:tc>
          <w:tcPr>
            <w:tcW w:w="830" w:type="dxa"/>
            <w:tcBorders>
              <w:top w:val="nil"/>
              <w:left w:val="nil"/>
              <w:bottom w:val="nil"/>
              <w:right w:val="nil"/>
            </w:tcBorders>
            <w:shd w:val="clear" w:color="000000" w:fill="FFFFFF"/>
            <w:noWrap/>
            <w:vAlign w:val="center"/>
            <w:hideMark/>
          </w:tcPr>
          <w:p w14:paraId="66785040" w14:textId="77777777" w:rsidR="00EE5D67" w:rsidRPr="00EE5D67" w:rsidRDefault="00EE5D67" w:rsidP="00EE5D67">
            <w:pPr>
              <w:spacing w:after="0" w:line="240" w:lineRule="auto"/>
              <w:jc w:val="right"/>
              <w:rPr>
                <w:rFonts w:cs="Arial"/>
                <w:sz w:val="16"/>
                <w:szCs w:val="16"/>
              </w:rPr>
            </w:pPr>
            <w:r w:rsidRPr="00EE5D67">
              <w:rPr>
                <w:rFonts w:cs="Arial"/>
                <w:sz w:val="16"/>
                <w:szCs w:val="16"/>
              </w:rPr>
              <w:t>8 663</w:t>
            </w:r>
          </w:p>
        </w:tc>
        <w:tc>
          <w:tcPr>
            <w:tcW w:w="830" w:type="dxa"/>
            <w:tcBorders>
              <w:top w:val="nil"/>
              <w:left w:val="nil"/>
              <w:bottom w:val="nil"/>
              <w:right w:val="nil"/>
            </w:tcBorders>
            <w:shd w:val="clear" w:color="000000" w:fill="FFFFFF"/>
            <w:noWrap/>
            <w:vAlign w:val="center"/>
            <w:hideMark/>
          </w:tcPr>
          <w:p w14:paraId="30AB8895" w14:textId="77777777" w:rsidR="00EE5D67" w:rsidRPr="00EE5D67" w:rsidRDefault="00EE5D67" w:rsidP="00EE5D67">
            <w:pPr>
              <w:spacing w:after="0" w:line="240" w:lineRule="auto"/>
              <w:jc w:val="right"/>
              <w:rPr>
                <w:rFonts w:cs="Arial"/>
                <w:sz w:val="16"/>
                <w:szCs w:val="16"/>
              </w:rPr>
            </w:pPr>
            <w:r w:rsidRPr="00EE5D67">
              <w:rPr>
                <w:rFonts w:cs="Arial"/>
                <w:sz w:val="16"/>
                <w:szCs w:val="16"/>
              </w:rPr>
              <w:t>4 214</w:t>
            </w:r>
          </w:p>
        </w:tc>
        <w:tc>
          <w:tcPr>
            <w:tcW w:w="830" w:type="dxa"/>
            <w:tcBorders>
              <w:top w:val="nil"/>
              <w:left w:val="nil"/>
              <w:bottom w:val="nil"/>
              <w:right w:val="nil"/>
            </w:tcBorders>
            <w:shd w:val="clear" w:color="000000" w:fill="FFFFFF"/>
            <w:noWrap/>
            <w:vAlign w:val="center"/>
            <w:hideMark/>
          </w:tcPr>
          <w:p w14:paraId="3FA39418" w14:textId="77777777" w:rsidR="00EE5D67" w:rsidRPr="00EE5D67" w:rsidRDefault="00EE5D67" w:rsidP="00EE5D67">
            <w:pPr>
              <w:spacing w:after="0" w:line="240" w:lineRule="auto"/>
              <w:jc w:val="right"/>
              <w:rPr>
                <w:rFonts w:cs="Arial"/>
                <w:sz w:val="16"/>
                <w:szCs w:val="16"/>
              </w:rPr>
            </w:pPr>
            <w:r w:rsidRPr="00EE5D67">
              <w:rPr>
                <w:rFonts w:cs="Arial"/>
                <w:sz w:val="16"/>
                <w:szCs w:val="16"/>
              </w:rPr>
              <w:t>4 765</w:t>
            </w:r>
          </w:p>
        </w:tc>
        <w:tc>
          <w:tcPr>
            <w:tcW w:w="830" w:type="dxa"/>
            <w:tcBorders>
              <w:top w:val="nil"/>
              <w:left w:val="nil"/>
              <w:bottom w:val="nil"/>
              <w:right w:val="nil"/>
            </w:tcBorders>
            <w:shd w:val="clear" w:color="000000" w:fill="FFFFFF"/>
            <w:noWrap/>
            <w:vAlign w:val="center"/>
            <w:hideMark/>
          </w:tcPr>
          <w:p w14:paraId="01754001" w14:textId="77777777" w:rsidR="00EE5D67" w:rsidRPr="00EE5D67" w:rsidRDefault="00EE5D67" w:rsidP="00EE5D67">
            <w:pPr>
              <w:spacing w:after="0" w:line="240" w:lineRule="auto"/>
              <w:jc w:val="right"/>
              <w:rPr>
                <w:rFonts w:cs="Arial"/>
                <w:sz w:val="16"/>
                <w:szCs w:val="16"/>
              </w:rPr>
            </w:pPr>
            <w:r w:rsidRPr="00EE5D67">
              <w:rPr>
                <w:rFonts w:cs="Arial"/>
                <w:sz w:val="16"/>
                <w:szCs w:val="16"/>
              </w:rPr>
              <w:t>1 404</w:t>
            </w:r>
          </w:p>
        </w:tc>
        <w:tc>
          <w:tcPr>
            <w:tcW w:w="830" w:type="dxa"/>
            <w:tcBorders>
              <w:top w:val="nil"/>
              <w:left w:val="nil"/>
              <w:bottom w:val="nil"/>
              <w:right w:val="nil"/>
            </w:tcBorders>
            <w:shd w:val="clear" w:color="000000" w:fill="FFFFFF"/>
            <w:noWrap/>
            <w:vAlign w:val="center"/>
            <w:hideMark/>
          </w:tcPr>
          <w:p w14:paraId="0A250D54" w14:textId="77777777" w:rsidR="00EE5D67" w:rsidRPr="00EE5D67" w:rsidRDefault="00EE5D67" w:rsidP="00EE5D67">
            <w:pPr>
              <w:spacing w:after="0" w:line="240" w:lineRule="auto"/>
              <w:jc w:val="right"/>
              <w:rPr>
                <w:rFonts w:cs="Arial"/>
                <w:sz w:val="16"/>
                <w:szCs w:val="16"/>
              </w:rPr>
            </w:pPr>
            <w:r w:rsidRPr="00EE5D67">
              <w:rPr>
                <w:rFonts w:cs="Arial"/>
                <w:sz w:val="16"/>
                <w:szCs w:val="16"/>
              </w:rPr>
              <w:t>736</w:t>
            </w:r>
          </w:p>
        </w:tc>
        <w:tc>
          <w:tcPr>
            <w:tcW w:w="830" w:type="dxa"/>
            <w:tcBorders>
              <w:top w:val="nil"/>
              <w:left w:val="nil"/>
              <w:bottom w:val="nil"/>
              <w:right w:val="nil"/>
            </w:tcBorders>
            <w:shd w:val="clear" w:color="000000" w:fill="FFFFFF"/>
            <w:noWrap/>
            <w:vAlign w:val="center"/>
            <w:hideMark/>
          </w:tcPr>
          <w:p w14:paraId="4A7D1460" w14:textId="77777777" w:rsidR="00EE5D67" w:rsidRPr="00EE5D67" w:rsidRDefault="00EE5D67" w:rsidP="00EE5D67">
            <w:pPr>
              <w:spacing w:after="0" w:line="240" w:lineRule="auto"/>
              <w:jc w:val="right"/>
              <w:rPr>
                <w:rFonts w:cs="Arial"/>
                <w:sz w:val="16"/>
                <w:szCs w:val="16"/>
              </w:rPr>
            </w:pPr>
            <w:r w:rsidRPr="00EE5D67">
              <w:rPr>
                <w:rFonts w:cs="Arial"/>
                <w:sz w:val="16"/>
                <w:szCs w:val="16"/>
              </w:rPr>
              <w:t>845</w:t>
            </w:r>
          </w:p>
        </w:tc>
      </w:tr>
      <w:tr w:rsidR="00EE5D67" w:rsidRPr="00EE5D67" w14:paraId="4FE47A8A"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403C9F0C" w14:textId="77777777" w:rsidR="00EE5D67" w:rsidRPr="00EE5D67" w:rsidRDefault="00EE5D67" w:rsidP="00EE5D67">
            <w:pPr>
              <w:spacing w:after="0" w:line="240" w:lineRule="auto"/>
              <w:rPr>
                <w:rFonts w:cs="Arial"/>
                <w:sz w:val="16"/>
                <w:szCs w:val="16"/>
              </w:rPr>
            </w:pPr>
            <w:r w:rsidRPr="00EE5D67">
              <w:rPr>
                <w:rFonts w:cs="Arial"/>
                <w:sz w:val="16"/>
                <w:szCs w:val="16"/>
              </w:rPr>
              <w:t>Moravskoslezský</w:t>
            </w:r>
          </w:p>
        </w:tc>
        <w:tc>
          <w:tcPr>
            <w:tcW w:w="750" w:type="dxa"/>
            <w:tcBorders>
              <w:top w:val="nil"/>
              <w:left w:val="nil"/>
              <w:bottom w:val="nil"/>
              <w:right w:val="nil"/>
            </w:tcBorders>
            <w:shd w:val="clear" w:color="000000" w:fill="FFFFFF"/>
            <w:vAlign w:val="center"/>
            <w:hideMark/>
          </w:tcPr>
          <w:p w14:paraId="70AE77E2"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108 587</w:t>
            </w:r>
          </w:p>
        </w:tc>
        <w:tc>
          <w:tcPr>
            <w:tcW w:w="830" w:type="dxa"/>
            <w:tcBorders>
              <w:top w:val="nil"/>
              <w:left w:val="nil"/>
              <w:bottom w:val="nil"/>
              <w:right w:val="nil"/>
            </w:tcBorders>
            <w:shd w:val="clear" w:color="000000" w:fill="FFFFFF"/>
            <w:noWrap/>
            <w:vAlign w:val="center"/>
            <w:hideMark/>
          </w:tcPr>
          <w:p w14:paraId="703A01D9" w14:textId="77777777" w:rsidR="00EE5D67" w:rsidRPr="00EE5D67" w:rsidRDefault="00EE5D67" w:rsidP="00EE5D67">
            <w:pPr>
              <w:spacing w:after="0" w:line="240" w:lineRule="auto"/>
              <w:jc w:val="right"/>
              <w:rPr>
                <w:rFonts w:cs="Arial"/>
                <w:sz w:val="16"/>
                <w:szCs w:val="16"/>
              </w:rPr>
            </w:pPr>
            <w:r w:rsidRPr="00EE5D67">
              <w:rPr>
                <w:rFonts w:cs="Arial"/>
                <w:sz w:val="16"/>
                <w:szCs w:val="16"/>
              </w:rPr>
              <w:t>39 440</w:t>
            </w:r>
          </w:p>
        </w:tc>
        <w:tc>
          <w:tcPr>
            <w:tcW w:w="830" w:type="dxa"/>
            <w:tcBorders>
              <w:top w:val="nil"/>
              <w:left w:val="nil"/>
              <w:bottom w:val="nil"/>
              <w:right w:val="nil"/>
            </w:tcBorders>
            <w:shd w:val="clear" w:color="000000" w:fill="FFFFFF"/>
            <w:noWrap/>
            <w:vAlign w:val="center"/>
            <w:hideMark/>
          </w:tcPr>
          <w:p w14:paraId="7C65DFA2" w14:textId="77777777" w:rsidR="00EE5D67" w:rsidRPr="00EE5D67" w:rsidRDefault="00EE5D67" w:rsidP="00EE5D67">
            <w:pPr>
              <w:spacing w:after="0" w:line="240" w:lineRule="auto"/>
              <w:jc w:val="right"/>
              <w:rPr>
                <w:rFonts w:cs="Arial"/>
                <w:sz w:val="16"/>
                <w:szCs w:val="16"/>
              </w:rPr>
            </w:pPr>
            <w:r w:rsidRPr="00EE5D67">
              <w:rPr>
                <w:rFonts w:cs="Arial"/>
                <w:sz w:val="16"/>
                <w:szCs w:val="16"/>
              </w:rPr>
              <w:t>16 043</w:t>
            </w:r>
          </w:p>
        </w:tc>
        <w:tc>
          <w:tcPr>
            <w:tcW w:w="830" w:type="dxa"/>
            <w:tcBorders>
              <w:top w:val="nil"/>
              <w:left w:val="nil"/>
              <w:bottom w:val="nil"/>
              <w:right w:val="nil"/>
            </w:tcBorders>
            <w:shd w:val="clear" w:color="000000" w:fill="FFFFFF"/>
            <w:noWrap/>
            <w:vAlign w:val="center"/>
            <w:hideMark/>
          </w:tcPr>
          <w:p w14:paraId="6B414927" w14:textId="77777777" w:rsidR="00EE5D67" w:rsidRPr="00EE5D67" w:rsidRDefault="00EE5D67" w:rsidP="00EE5D67">
            <w:pPr>
              <w:spacing w:after="0" w:line="240" w:lineRule="auto"/>
              <w:jc w:val="right"/>
              <w:rPr>
                <w:rFonts w:cs="Arial"/>
                <w:sz w:val="16"/>
                <w:szCs w:val="16"/>
              </w:rPr>
            </w:pPr>
            <w:r w:rsidRPr="00EE5D67">
              <w:rPr>
                <w:rFonts w:cs="Arial"/>
                <w:sz w:val="16"/>
                <w:szCs w:val="16"/>
              </w:rPr>
              <w:t>11 169</w:t>
            </w:r>
          </w:p>
        </w:tc>
        <w:tc>
          <w:tcPr>
            <w:tcW w:w="830" w:type="dxa"/>
            <w:tcBorders>
              <w:top w:val="nil"/>
              <w:left w:val="nil"/>
              <w:bottom w:val="nil"/>
              <w:right w:val="nil"/>
            </w:tcBorders>
            <w:shd w:val="clear" w:color="000000" w:fill="FFFFFF"/>
            <w:noWrap/>
            <w:vAlign w:val="center"/>
            <w:hideMark/>
          </w:tcPr>
          <w:p w14:paraId="42A04E63" w14:textId="77777777" w:rsidR="00EE5D67" w:rsidRPr="00EE5D67" w:rsidRDefault="00EE5D67" w:rsidP="00EE5D67">
            <w:pPr>
              <w:spacing w:after="0" w:line="240" w:lineRule="auto"/>
              <w:jc w:val="right"/>
              <w:rPr>
                <w:rFonts w:cs="Arial"/>
                <w:sz w:val="16"/>
                <w:szCs w:val="16"/>
              </w:rPr>
            </w:pPr>
            <w:r w:rsidRPr="00EE5D67">
              <w:rPr>
                <w:rFonts w:cs="Arial"/>
                <w:sz w:val="16"/>
                <w:szCs w:val="16"/>
              </w:rPr>
              <w:t>16 737</w:t>
            </w:r>
          </w:p>
        </w:tc>
        <w:tc>
          <w:tcPr>
            <w:tcW w:w="830" w:type="dxa"/>
            <w:tcBorders>
              <w:top w:val="nil"/>
              <w:left w:val="nil"/>
              <w:bottom w:val="nil"/>
              <w:right w:val="nil"/>
            </w:tcBorders>
            <w:shd w:val="clear" w:color="000000" w:fill="FFFFFF"/>
            <w:noWrap/>
            <w:vAlign w:val="center"/>
            <w:hideMark/>
          </w:tcPr>
          <w:p w14:paraId="1AEBF120" w14:textId="77777777" w:rsidR="00EE5D67" w:rsidRPr="00EE5D67" w:rsidRDefault="00EE5D67" w:rsidP="00EE5D67">
            <w:pPr>
              <w:spacing w:after="0" w:line="240" w:lineRule="auto"/>
              <w:jc w:val="right"/>
              <w:rPr>
                <w:rFonts w:cs="Arial"/>
                <w:sz w:val="16"/>
                <w:szCs w:val="16"/>
              </w:rPr>
            </w:pPr>
            <w:r w:rsidRPr="00EE5D67">
              <w:rPr>
                <w:rFonts w:cs="Arial"/>
                <w:sz w:val="16"/>
                <w:szCs w:val="16"/>
              </w:rPr>
              <w:t>8 472</w:t>
            </w:r>
          </w:p>
        </w:tc>
        <w:tc>
          <w:tcPr>
            <w:tcW w:w="830" w:type="dxa"/>
            <w:tcBorders>
              <w:top w:val="nil"/>
              <w:left w:val="nil"/>
              <w:bottom w:val="nil"/>
              <w:right w:val="nil"/>
            </w:tcBorders>
            <w:shd w:val="clear" w:color="000000" w:fill="FFFFFF"/>
            <w:noWrap/>
            <w:vAlign w:val="center"/>
            <w:hideMark/>
          </w:tcPr>
          <w:p w14:paraId="688E2533" w14:textId="77777777" w:rsidR="00EE5D67" w:rsidRPr="00EE5D67" w:rsidRDefault="00EE5D67" w:rsidP="00EE5D67">
            <w:pPr>
              <w:spacing w:after="0" w:line="240" w:lineRule="auto"/>
              <w:jc w:val="right"/>
              <w:rPr>
                <w:rFonts w:cs="Arial"/>
                <w:sz w:val="16"/>
                <w:szCs w:val="16"/>
              </w:rPr>
            </w:pPr>
            <w:r w:rsidRPr="00EE5D67">
              <w:rPr>
                <w:rFonts w:cs="Arial"/>
                <w:sz w:val="16"/>
                <w:szCs w:val="16"/>
              </w:rPr>
              <w:t>10 215</w:t>
            </w:r>
          </w:p>
        </w:tc>
        <w:tc>
          <w:tcPr>
            <w:tcW w:w="830" w:type="dxa"/>
            <w:tcBorders>
              <w:top w:val="nil"/>
              <w:left w:val="nil"/>
              <w:bottom w:val="nil"/>
              <w:right w:val="nil"/>
            </w:tcBorders>
            <w:shd w:val="clear" w:color="000000" w:fill="FFFFFF"/>
            <w:noWrap/>
            <w:vAlign w:val="center"/>
            <w:hideMark/>
          </w:tcPr>
          <w:p w14:paraId="303607CB" w14:textId="77777777" w:rsidR="00EE5D67" w:rsidRPr="00EE5D67" w:rsidRDefault="00EE5D67" w:rsidP="00EE5D67">
            <w:pPr>
              <w:spacing w:after="0" w:line="240" w:lineRule="auto"/>
              <w:jc w:val="right"/>
              <w:rPr>
                <w:rFonts w:cs="Arial"/>
                <w:sz w:val="16"/>
                <w:szCs w:val="16"/>
              </w:rPr>
            </w:pPr>
            <w:r w:rsidRPr="00EE5D67">
              <w:rPr>
                <w:rFonts w:cs="Arial"/>
                <w:sz w:val="16"/>
                <w:szCs w:val="16"/>
              </w:rPr>
              <w:t>3 226</w:t>
            </w:r>
          </w:p>
        </w:tc>
        <w:tc>
          <w:tcPr>
            <w:tcW w:w="830" w:type="dxa"/>
            <w:tcBorders>
              <w:top w:val="nil"/>
              <w:left w:val="nil"/>
              <w:bottom w:val="nil"/>
              <w:right w:val="nil"/>
            </w:tcBorders>
            <w:shd w:val="clear" w:color="000000" w:fill="FFFFFF"/>
            <w:noWrap/>
            <w:vAlign w:val="center"/>
            <w:hideMark/>
          </w:tcPr>
          <w:p w14:paraId="23D5D0A9" w14:textId="77777777" w:rsidR="00EE5D67" w:rsidRPr="00EE5D67" w:rsidRDefault="00EE5D67" w:rsidP="00EE5D67">
            <w:pPr>
              <w:spacing w:after="0" w:line="240" w:lineRule="auto"/>
              <w:jc w:val="right"/>
              <w:rPr>
                <w:rFonts w:cs="Arial"/>
                <w:sz w:val="16"/>
                <w:szCs w:val="16"/>
              </w:rPr>
            </w:pPr>
            <w:r w:rsidRPr="00EE5D67">
              <w:rPr>
                <w:rFonts w:cs="Arial"/>
                <w:sz w:val="16"/>
                <w:szCs w:val="16"/>
              </w:rPr>
              <w:t>1 784</w:t>
            </w:r>
          </w:p>
        </w:tc>
        <w:tc>
          <w:tcPr>
            <w:tcW w:w="830" w:type="dxa"/>
            <w:tcBorders>
              <w:top w:val="nil"/>
              <w:left w:val="nil"/>
              <w:bottom w:val="nil"/>
              <w:right w:val="nil"/>
            </w:tcBorders>
            <w:shd w:val="clear" w:color="000000" w:fill="FFFFFF"/>
            <w:noWrap/>
            <w:vAlign w:val="center"/>
            <w:hideMark/>
          </w:tcPr>
          <w:p w14:paraId="5CB2BC09" w14:textId="77777777" w:rsidR="00EE5D67" w:rsidRPr="00EE5D67" w:rsidRDefault="00EE5D67" w:rsidP="00EE5D67">
            <w:pPr>
              <w:spacing w:after="0" w:line="240" w:lineRule="auto"/>
              <w:jc w:val="right"/>
              <w:rPr>
                <w:rFonts w:cs="Arial"/>
                <w:sz w:val="16"/>
                <w:szCs w:val="16"/>
              </w:rPr>
            </w:pPr>
            <w:r w:rsidRPr="00EE5D67">
              <w:rPr>
                <w:rFonts w:cs="Arial"/>
                <w:sz w:val="16"/>
                <w:szCs w:val="16"/>
              </w:rPr>
              <w:t>1 501</w:t>
            </w:r>
          </w:p>
        </w:tc>
      </w:tr>
      <w:tr w:rsidR="00EE5D67" w:rsidRPr="00EE5D67" w14:paraId="33D67AC8" w14:textId="77777777" w:rsidTr="00FA3B19">
        <w:trPr>
          <w:divId w:val="1692755238"/>
          <w:trHeight w:val="287"/>
        </w:trPr>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B3DCEBC" w14:textId="77777777" w:rsidR="00EE5D67" w:rsidRPr="00EE5D67" w:rsidRDefault="00EE5D67" w:rsidP="00EE5D67">
            <w:pPr>
              <w:spacing w:after="0" w:line="240" w:lineRule="auto"/>
              <w:rPr>
                <w:rFonts w:cs="Arial"/>
                <w:color w:val="000000"/>
                <w:sz w:val="16"/>
                <w:szCs w:val="16"/>
              </w:rPr>
            </w:pPr>
            <w:r w:rsidRPr="00EE5D67">
              <w:rPr>
                <w:rFonts w:cs="Arial"/>
                <w:color w:val="000000"/>
                <w:sz w:val="16"/>
                <w:szCs w:val="16"/>
              </w:rPr>
              <w:t> </w:t>
            </w:r>
          </w:p>
        </w:tc>
        <w:tc>
          <w:tcPr>
            <w:tcW w:w="8220" w:type="dxa"/>
            <w:gridSpan w:val="10"/>
            <w:tcBorders>
              <w:top w:val="single" w:sz="4" w:space="0" w:color="auto"/>
              <w:left w:val="nil"/>
              <w:bottom w:val="single" w:sz="4" w:space="0" w:color="auto"/>
              <w:right w:val="nil"/>
            </w:tcBorders>
            <w:shd w:val="clear" w:color="000000" w:fill="FFFFFF"/>
            <w:vAlign w:val="center"/>
            <w:hideMark/>
          </w:tcPr>
          <w:p w14:paraId="5D30CA87" w14:textId="77777777" w:rsidR="00EE5D67" w:rsidRPr="00EE5D67" w:rsidRDefault="00EE5D67" w:rsidP="00EE5D67">
            <w:pPr>
              <w:spacing w:after="0" w:line="240" w:lineRule="auto"/>
              <w:jc w:val="center"/>
              <w:rPr>
                <w:rFonts w:cs="Arial"/>
                <w:sz w:val="16"/>
                <w:szCs w:val="16"/>
              </w:rPr>
            </w:pPr>
            <w:r w:rsidRPr="00EE5D67">
              <w:rPr>
                <w:rFonts w:cs="Arial"/>
                <w:sz w:val="16"/>
                <w:szCs w:val="16"/>
              </w:rPr>
              <w:t>(přepočet na 100 000 obyvatel)</w:t>
            </w:r>
          </w:p>
        </w:tc>
      </w:tr>
      <w:tr w:rsidR="00EE5D67" w:rsidRPr="00EE5D67" w14:paraId="222C8106"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4631070C" w14:textId="13E2379D" w:rsidR="00EE5D67" w:rsidRPr="00FA3B19" w:rsidRDefault="00FA3B19" w:rsidP="00FA3B19">
            <w:pPr>
              <w:spacing w:after="0" w:line="240" w:lineRule="auto"/>
              <w:rPr>
                <w:rFonts w:cs="Arial"/>
                <w:b/>
                <w:sz w:val="16"/>
                <w:szCs w:val="16"/>
              </w:rPr>
            </w:pPr>
            <w:r w:rsidRPr="00FA3B19">
              <w:rPr>
                <w:rFonts w:cs="Arial"/>
                <w:b/>
                <w:sz w:val="16"/>
                <w:szCs w:val="16"/>
              </w:rPr>
              <w:t>ČR</w:t>
            </w:r>
            <w:r w:rsidR="00496B5A">
              <w:rPr>
                <w:rFonts w:cs="Arial"/>
                <w:b/>
                <w:sz w:val="16"/>
                <w:szCs w:val="16"/>
              </w:rPr>
              <w:t xml:space="preserve"> celkem</w:t>
            </w:r>
          </w:p>
        </w:tc>
        <w:tc>
          <w:tcPr>
            <w:tcW w:w="750" w:type="dxa"/>
            <w:tcBorders>
              <w:top w:val="nil"/>
              <w:left w:val="nil"/>
              <w:bottom w:val="nil"/>
              <w:right w:val="nil"/>
            </w:tcBorders>
            <w:shd w:val="clear" w:color="000000" w:fill="FFFFFF"/>
            <w:vAlign w:val="center"/>
            <w:hideMark/>
          </w:tcPr>
          <w:p w14:paraId="61E840A2"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9 111</w:t>
            </w:r>
          </w:p>
        </w:tc>
        <w:tc>
          <w:tcPr>
            <w:tcW w:w="830" w:type="dxa"/>
            <w:tcBorders>
              <w:top w:val="nil"/>
              <w:left w:val="nil"/>
              <w:bottom w:val="nil"/>
              <w:right w:val="nil"/>
            </w:tcBorders>
            <w:shd w:val="clear" w:color="000000" w:fill="FFFFFF"/>
            <w:noWrap/>
            <w:vAlign w:val="center"/>
            <w:hideMark/>
          </w:tcPr>
          <w:p w14:paraId="2604688F" w14:textId="77777777" w:rsidR="00EE5D67" w:rsidRPr="00EE5D67" w:rsidRDefault="00EE5D67" w:rsidP="00EE5D67">
            <w:pPr>
              <w:spacing w:after="0" w:line="240" w:lineRule="auto"/>
              <w:jc w:val="right"/>
              <w:rPr>
                <w:rFonts w:cs="Arial"/>
                <w:sz w:val="16"/>
                <w:szCs w:val="16"/>
              </w:rPr>
            </w:pPr>
            <w:r w:rsidRPr="00EE5D67">
              <w:rPr>
                <w:rFonts w:cs="Arial"/>
                <w:sz w:val="16"/>
                <w:szCs w:val="16"/>
              </w:rPr>
              <w:t>4 233</w:t>
            </w:r>
          </w:p>
        </w:tc>
        <w:tc>
          <w:tcPr>
            <w:tcW w:w="830" w:type="dxa"/>
            <w:tcBorders>
              <w:top w:val="nil"/>
              <w:left w:val="nil"/>
              <w:bottom w:val="nil"/>
              <w:right w:val="nil"/>
            </w:tcBorders>
            <w:shd w:val="clear" w:color="000000" w:fill="FFFFFF"/>
            <w:noWrap/>
            <w:vAlign w:val="center"/>
            <w:hideMark/>
          </w:tcPr>
          <w:p w14:paraId="122C0A66" w14:textId="77777777" w:rsidR="00EE5D67" w:rsidRPr="00EE5D67" w:rsidRDefault="00EE5D67" w:rsidP="00EE5D67">
            <w:pPr>
              <w:spacing w:after="0" w:line="240" w:lineRule="auto"/>
              <w:jc w:val="right"/>
              <w:rPr>
                <w:rFonts w:cs="Arial"/>
                <w:sz w:val="16"/>
                <w:szCs w:val="16"/>
              </w:rPr>
            </w:pPr>
            <w:r w:rsidRPr="00EE5D67">
              <w:rPr>
                <w:rFonts w:cs="Arial"/>
                <w:sz w:val="16"/>
                <w:szCs w:val="16"/>
              </w:rPr>
              <w:t>1 301</w:t>
            </w:r>
          </w:p>
        </w:tc>
        <w:tc>
          <w:tcPr>
            <w:tcW w:w="830" w:type="dxa"/>
            <w:tcBorders>
              <w:top w:val="nil"/>
              <w:left w:val="nil"/>
              <w:bottom w:val="nil"/>
              <w:right w:val="nil"/>
            </w:tcBorders>
            <w:shd w:val="clear" w:color="000000" w:fill="FFFFFF"/>
            <w:noWrap/>
            <w:vAlign w:val="center"/>
            <w:hideMark/>
          </w:tcPr>
          <w:p w14:paraId="3E97935E" w14:textId="77777777" w:rsidR="00EE5D67" w:rsidRPr="00EE5D67" w:rsidRDefault="00EE5D67" w:rsidP="00EE5D67">
            <w:pPr>
              <w:spacing w:after="0" w:line="240" w:lineRule="auto"/>
              <w:jc w:val="right"/>
              <w:rPr>
                <w:rFonts w:cs="Arial"/>
                <w:sz w:val="16"/>
                <w:szCs w:val="16"/>
              </w:rPr>
            </w:pPr>
            <w:r w:rsidRPr="00EE5D67">
              <w:rPr>
                <w:rFonts w:cs="Arial"/>
                <w:sz w:val="16"/>
                <w:szCs w:val="16"/>
              </w:rPr>
              <w:t>833</w:t>
            </w:r>
          </w:p>
        </w:tc>
        <w:tc>
          <w:tcPr>
            <w:tcW w:w="830" w:type="dxa"/>
            <w:tcBorders>
              <w:top w:val="nil"/>
              <w:left w:val="nil"/>
              <w:bottom w:val="nil"/>
              <w:right w:val="nil"/>
            </w:tcBorders>
            <w:shd w:val="clear" w:color="000000" w:fill="FFFFFF"/>
            <w:noWrap/>
            <w:vAlign w:val="center"/>
            <w:hideMark/>
          </w:tcPr>
          <w:p w14:paraId="57FD4C59" w14:textId="77777777" w:rsidR="00EE5D67" w:rsidRPr="00EE5D67" w:rsidRDefault="00EE5D67" w:rsidP="00EE5D67">
            <w:pPr>
              <w:spacing w:after="0" w:line="240" w:lineRule="auto"/>
              <w:jc w:val="right"/>
              <w:rPr>
                <w:rFonts w:cs="Arial"/>
                <w:sz w:val="16"/>
                <w:szCs w:val="16"/>
              </w:rPr>
            </w:pPr>
            <w:r w:rsidRPr="00EE5D67">
              <w:rPr>
                <w:rFonts w:cs="Arial"/>
                <w:sz w:val="16"/>
                <w:szCs w:val="16"/>
              </w:rPr>
              <w:t>1 157</w:t>
            </w:r>
          </w:p>
        </w:tc>
        <w:tc>
          <w:tcPr>
            <w:tcW w:w="830" w:type="dxa"/>
            <w:tcBorders>
              <w:top w:val="nil"/>
              <w:left w:val="nil"/>
              <w:bottom w:val="nil"/>
              <w:right w:val="nil"/>
            </w:tcBorders>
            <w:shd w:val="clear" w:color="000000" w:fill="FFFFFF"/>
            <w:noWrap/>
            <w:vAlign w:val="center"/>
            <w:hideMark/>
          </w:tcPr>
          <w:p w14:paraId="2B66CBF3" w14:textId="77777777" w:rsidR="00EE5D67" w:rsidRPr="00EE5D67" w:rsidRDefault="00EE5D67" w:rsidP="00EE5D67">
            <w:pPr>
              <w:spacing w:after="0" w:line="240" w:lineRule="auto"/>
              <w:jc w:val="right"/>
              <w:rPr>
                <w:rFonts w:cs="Arial"/>
                <w:sz w:val="16"/>
                <w:szCs w:val="16"/>
              </w:rPr>
            </w:pPr>
            <w:r w:rsidRPr="00EE5D67">
              <w:rPr>
                <w:rFonts w:cs="Arial"/>
                <w:sz w:val="16"/>
                <w:szCs w:val="16"/>
              </w:rPr>
              <w:t>535</w:t>
            </w:r>
          </w:p>
        </w:tc>
        <w:tc>
          <w:tcPr>
            <w:tcW w:w="830" w:type="dxa"/>
            <w:tcBorders>
              <w:top w:val="nil"/>
              <w:left w:val="nil"/>
              <w:bottom w:val="nil"/>
              <w:right w:val="nil"/>
            </w:tcBorders>
            <w:shd w:val="clear" w:color="000000" w:fill="FFFFFF"/>
            <w:noWrap/>
            <w:vAlign w:val="center"/>
            <w:hideMark/>
          </w:tcPr>
          <w:p w14:paraId="21AAE60C" w14:textId="77777777" w:rsidR="00EE5D67" w:rsidRPr="00EE5D67" w:rsidRDefault="00EE5D67" w:rsidP="00EE5D67">
            <w:pPr>
              <w:spacing w:after="0" w:line="240" w:lineRule="auto"/>
              <w:jc w:val="right"/>
              <w:rPr>
                <w:rFonts w:cs="Arial"/>
                <w:sz w:val="16"/>
                <w:szCs w:val="16"/>
              </w:rPr>
            </w:pPr>
            <w:r w:rsidRPr="00EE5D67">
              <w:rPr>
                <w:rFonts w:cs="Arial"/>
                <w:sz w:val="16"/>
                <w:szCs w:val="16"/>
              </w:rPr>
              <w:t>619</w:t>
            </w:r>
          </w:p>
        </w:tc>
        <w:tc>
          <w:tcPr>
            <w:tcW w:w="830" w:type="dxa"/>
            <w:tcBorders>
              <w:top w:val="nil"/>
              <w:left w:val="nil"/>
              <w:bottom w:val="nil"/>
              <w:right w:val="nil"/>
            </w:tcBorders>
            <w:shd w:val="clear" w:color="000000" w:fill="FFFFFF"/>
            <w:noWrap/>
            <w:vAlign w:val="center"/>
            <w:hideMark/>
          </w:tcPr>
          <w:p w14:paraId="344819C0" w14:textId="77777777" w:rsidR="00EE5D67" w:rsidRPr="00EE5D67" w:rsidRDefault="00EE5D67" w:rsidP="00EE5D67">
            <w:pPr>
              <w:spacing w:after="0" w:line="240" w:lineRule="auto"/>
              <w:jc w:val="right"/>
              <w:rPr>
                <w:rFonts w:cs="Arial"/>
                <w:sz w:val="16"/>
                <w:szCs w:val="16"/>
              </w:rPr>
            </w:pPr>
            <w:r w:rsidRPr="00EE5D67">
              <w:rPr>
                <w:rFonts w:cs="Arial"/>
                <w:sz w:val="16"/>
                <w:szCs w:val="16"/>
              </w:rPr>
              <w:t>203</w:t>
            </w:r>
          </w:p>
        </w:tc>
        <w:tc>
          <w:tcPr>
            <w:tcW w:w="830" w:type="dxa"/>
            <w:tcBorders>
              <w:top w:val="nil"/>
              <w:left w:val="nil"/>
              <w:bottom w:val="nil"/>
              <w:right w:val="nil"/>
            </w:tcBorders>
            <w:shd w:val="clear" w:color="000000" w:fill="FFFFFF"/>
            <w:noWrap/>
            <w:vAlign w:val="center"/>
            <w:hideMark/>
          </w:tcPr>
          <w:p w14:paraId="4D10A7DA" w14:textId="77777777" w:rsidR="00EE5D67" w:rsidRPr="00EE5D67" w:rsidRDefault="00EE5D67" w:rsidP="00EE5D67">
            <w:pPr>
              <w:spacing w:after="0" w:line="240" w:lineRule="auto"/>
              <w:jc w:val="right"/>
              <w:rPr>
                <w:rFonts w:cs="Arial"/>
                <w:sz w:val="16"/>
                <w:szCs w:val="16"/>
              </w:rPr>
            </w:pPr>
            <w:r w:rsidRPr="00EE5D67">
              <w:rPr>
                <w:rFonts w:cs="Arial"/>
                <w:sz w:val="16"/>
                <w:szCs w:val="16"/>
              </w:rPr>
              <w:t>110</w:t>
            </w:r>
          </w:p>
        </w:tc>
        <w:tc>
          <w:tcPr>
            <w:tcW w:w="830" w:type="dxa"/>
            <w:tcBorders>
              <w:top w:val="nil"/>
              <w:left w:val="nil"/>
              <w:bottom w:val="nil"/>
              <w:right w:val="nil"/>
            </w:tcBorders>
            <w:shd w:val="clear" w:color="000000" w:fill="FFFFFF"/>
            <w:noWrap/>
            <w:vAlign w:val="center"/>
            <w:hideMark/>
          </w:tcPr>
          <w:p w14:paraId="13042C84" w14:textId="77777777" w:rsidR="00EE5D67" w:rsidRPr="00EE5D67" w:rsidRDefault="00EE5D67" w:rsidP="00EE5D67">
            <w:pPr>
              <w:spacing w:after="0" w:line="240" w:lineRule="auto"/>
              <w:jc w:val="right"/>
              <w:rPr>
                <w:rFonts w:cs="Arial"/>
                <w:sz w:val="16"/>
                <w:szCs w:val="16"/>
              </w:rPr>
            </w:pPr>
            <w:r w:rsidRPr="00EE5D67">
              <w:rPr>
                <w:rFonts w:cs="Arial"/>
                <w:sz w:val="16"/>
                <w:szCs w:val="16"/>
              </w:rPr>
              <w:t>122</w:t>
            </w:r>
          </w:p>
        </w:tc>
      </w:tr>
      <w:tr w:rsidR="00EE5D67" w:rsidRPr="00EE5D67" w14:paraId="67EA5749"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205E7815" w14:textId="77777777" w:rsidR="00EE5D67" w:rsidRPr="00EE5D67" w:rsidRDefault="00EE5D67" w:rsidP="00EE5D67">
            <w:pPr>
              <w:spacing w:after="0" w:line="240" w:lineRule="auto"/>
              <w:rPr>
                <w:rFonts w:cs="Arial"/>
                <w:sz w:val="16"/>
                <w:szCs w:val="16"/>
              </w:rPr>
            </w:pPr>
            <w:r w:rsidRPr="00EE5D67">
              <w:rPr>
                <w:rFonts w:cs="Arial"/>
                <w:sz w:val="16"/>
                <w:szCs w:val="16"/>
              </w:rPr>
              <w:t>Hl. m. Praha</w:t>
            </w:r>
          </w:p>
        </w:tc>
        <w:tc>
          <w:tcPr>
            <w:tcW w:w="750" w:type="dxa"/>
            <w:tcBorders>
              <w:top w:val="nil"/>
              <w:left w:val="nil"/>
              <w:bottom w:val="nil"/>
              <w:right w:val="nil"/>
            </w:tcBorders>
            <w:shd w:val="clear" w:color="000000" w:fill="FFFFFF"/>
            <w:vAlign w:val="center"/>
            <w:hideMark/>
          </w:tcPr>
          <w:p w14:paraId="63317A3E"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8 324</w:t>
            </w:r>
          </w:p>
        </w:tc>
        <w:tc>
          <w:tcPr>
            <w:tcW w:w="830" w:type="dxa"/>
            <w:tcBorders>
              <w:top w:val="nil"/>
              <w:left w:val="nil"/>
              <w:bottom w:val="nil"/>
              <w:right w:val="nil"/>
            </w:tcBorders>
            <w:shd w:val="clear" w:color="000000" w:fill="FFFFFF"/>
            <w:noWrap/>
            <w:vAlign w:val="center"/>
            <w:hideMark/>
          </w:tcPr>
          <w:p w14:paraId="7C2B9AB3" w14:textId="77777777" w:rsidR="00EE5D67" w:rsidRPr="00EE5D67" w:rsidRDefault="00EE5D67" w:rsidP="00EE5D67">
            <w:pPr>
              <w:spacing w:after="0" w:line="240" w:lineRule="auto"/>
              <w:jc w:val="right"/>
              <w:rPr>
                <w:rFonts w:cs="Arial"/>
                <w:sz w:val="16"/>
                <w:szCs w:val="16"/>
              </w:rPr>
            </w:pPr>
            <w:r w:rsidRPr="00EE5D67">
              <w:rPr>
                <w:rFonts w:cs="Arial"/>
                <w:sz w:val="16"/>
                <w:szCs w:val="16"/>
              </w:rPr>
              <w:t>4 876</w:t>
            </w:r>
          </w:p>
        </w:tc>
        <w:tc>
          <w:tcPr>
            <w:tcW w:w="830" w:type="dxa"/>
            <w:tcBorders>
              <w:top w:val="nil"/>
              <w:left w:val="nil"/>
              <w:bottom w:val="nil"/>
              <w:right w:val="nil"/>
            </w:tcBorders>
            <w:shd w:val="clear" w:color="000000" w:fill="FFFFFF"/>
            <w:noWrap/>
            <w:vAlign w:val="center"/>
            <w:hideMark/>
          </w:tcPr>
          <w:p w14:paraId="2FDAC0BC" w14:textId="77777777" w:rsidR="00EE5D67" w:rsidRPr="00EE5D67" w:rsidRDefault="00EE5D67" w:rsidP="00EE5D67">
            <w:pPr>
              <w:spacing w:after="0" w:line="240" w:lineRule="auto"/>
              <w:jc w:val="right"/>
              <w:rPr>
                <w:rFonts w:cs="Arial"/>
                <w:sz w:val="16"/>
                <w:szCs w:val="16"/>
              </w:rPr>
            </w:pPr>
            <w:r w:rsidRPr="00EE5D67">
              <w:rPr>
                <w:rFonts w:cs="Arial"/>
                <w:sz w:val="16"/>
                <w:szCs w:val="16"/>
              </w:rPr>
              <w:t>1 090</w:t>
            </w:r>
          </w:p>
        </w:tc>
        <w:tc>
          <w:tcPr>
            <w:tcW w:w="830" w:type="dxa"/>
            <w:tcBorders>
              <w:top w:val="nil"/>
              <w:left w:val="nil"/>
              <w:bottom w:val="nil"/>
              <w:right w:val="nil"/>
            </w:tcBorders>
            <w:shd w:val="clear" w:color="000000" w:fill="FFFFFF"/>
            <w:noWrap/>
            <w:vAlign w:val="center"/>
            <w:hideMark/>
          </w:tcPr>
          <w:p w14:paraId="7620C1F0" w14:textId="77777777" w:rsidR="00EE5D67" w:rsidRPr="00EE5D67" w:rsidRDefault="00EE5D67" w:rsidP="00EE5D67">
            <w:pPr>
              <w:spacing w:after="0" w:line="240" w:lineRule="auto"/>
              <w:jc w:val="right"/>
              <w:rPr>
                <w:rFonts w:cs="Arial"/>
                <w:sz w:val="16"/>
                <w:szCs w:val="16"/>
              </w:rPr>
            </w:pPr>
            <w:r w:rsidRPr="00EE5D67">
              <w:rPr>
                <w:rFonts w:cs="Arial"/>
                <w:sz w:val="16"/>
                <w:szCs w:val="16"/>
              </w:rPr>
              <w:t>591</w:t>
            </w:r>
          </w:p>
        </w:tc>
        <w:tc>
          <w:tcPr>
            <w:tcW w:w="830" w:type="dxa"/>
            <w:tcBorders>
              <w:top w:val="nil"/>
              <w:left w:val="nil"/>
              <w:bottom w:val="nil"/>
              <w:right w:val="nil"/>
            </w:tcBorders>
            <w:shd w:val="clear" w:color="000000" w:fill="FFFFFF"/>
            <w:noWrap/>
            <w:vAlign w:val="center"/>
            <w:hideMark/>
          </w:tcPr>
          <w:p w14:paraId="61BD05A1" w14:textId="77777777" w:rsidR="00EE5D67" w:rsidRPr="00EE5D67" w:rsidRDefault="00EE5D67" w:rsidP="00EE5D67">
            <w:pPr>
              <w:spacing w:after="0" w:line="240" w:lineRule="auto"/>
              <w:jc w:val="right"/>
              <w:rPr>
                <w:rFonts w:cs="Arial"/>
                <w:sz w:val="16"/>
                <w:szCs w:val="16"/>
              </w:rPr>
            </w:pPr>
            <w:r w:rsidRPr="00EE5D67">
              <w:rPr>
                <w:rFonts w:cs="Arial"/>
                <w:sz w:val="16"/>
                <w:szCs w:val="16"/>
              </w:rPr>
              <w:t>796</w:t>
            </w:r>
          </w:p>
        </w:tc>
        <w:tc>
          <w:tcPr>
            <w:tcW w:w="830" w:type="dxa"/>
            <w:tcBorders>
              <w:top w:val="nil"/>
              <w:left w:val="nil"/>
              <w:bottom w:val="nil"/>
              <w:right w:val="nil"/>
            </w:tcBorders>
            <w:shd w:val="clear" w:color="000000" w:fill="FFFFFF"/>
            <w:noWrap/>
            <w:vAlign w:val="center"/>
            <w:hideMark/>
          </w:tcPr>
          <w:p w14:paraId="2B8DCBA1" w14:textId="77777777" w:rsidR="00EE5D67" w:rsidRPr="00EE5D67" w:rsidRDefault="00EE5D67" w:rsidP="00EE5D67">
            <w:pPr>
              <w:spacing w:after="0" w:line="240" w:lineRule="auto"/>
              <w:jc w:val="right"/>
              <w:rPr>
                <w:rFonts w:cs="Arial"/>
                <w:sz w:val="16"/>
                <w:szCs w:val="16"/>
              </w:rPr>
            </w:pPr>
            <w:r w:rsidRPr="00EE5D67">
              <w:rPr>
                <w:rFonts w:cs="Arial"/>
                <w:sz w:val="16"/>
                <w:szCs w:val="16"/>
              </w:rPr>
              <w:t>334</w:t>
            </w:r>
          </w:p>
        </w:tc>
        <w:tc>
          <w:tcPr>
            <w:tcW w:w="830" w:type="dxa"/>
            <w:tcBorders>
              <w:top w:val="nil"/>
              <w:left w:val="nil"/>
              <w:bottom w:val="nil"/>
              <w:right w:val="nil"/>
            </w:tcBorders>
            <w:shd w:val="clear" w:color="000000" w:fill="FFFFFF"/>
            <w:noWrap/>
            <w:vAlign w:val="center"/>
            <w:hideMark/>
          </w:tcPr>
          <w:p w14:paraId="79C9A6AB" w14:textId="77777777" w:rsidR="00EE5D67" w:rsidRPr="00EE5D67" w:rsidRDefault="00EE5D67" w:rsidP="00EE5D67">
            <w:pPr>
              <w:spacing w:after="0" w:line="240" w:lineRule="auto"/>
              <w:jc w:val="right"/>
              <w:rPr>
                <w:rFonts w:cs="Arial"/>
                <w:sz w:val="16"/>
                <w:szCs w:val="16"/>
              </w:rPr>
            </w:pPr>
            <w:r w:rsidRPr="00EE5D67">
              <w:rPr>
                <w:rFonts w:cs="Arial"/>
                <w:sz w:val="16"/>
                <w:szCs w:val="16"/>
              </w:rPr>
              <w:t>377</w:t>
            </w:r>
          </w:p>
        </w:tc>
        <w:tc>
          <w:tcPr>
            <w:tcW w:w="830" w:type="dxa"/>
            <w:tcBorders>
              <w:top w:val="nil"/>
              <w:left w:val="nil"/>
              <w:bottom w:val="nil"/>
              <w:right w:val="nil"/>
            </w:tcBorders>
            <w:shd w:val="clear" w:color="000000" w:fill="FFFFFF"/>
            <w:noWrap/>
            <w:vAlign w:val="center"/>
            <w:hideMark/>
          </w:tcPr>
          <w:p w14:paraId="480BDD64" w14:textId="77777777" w:rsidR="00EE5D67" w:rsidRPr="00EE5D67" w:rsidRDefault="00EE5D67" w:rsidP="00EE5D67">
            <w:pPr>
              <w:spacing w:after="0" w:line="240" w:lineRule="auto"/>
              <w:jc w:val="right"/>
              <w:rPr>
                <w:rFonts w:cs="Arial"/>
                <w:sz w:val="16"/>
                <w:szCs w:val="16"/>
              </w:rPr>
            </w:pPr>
            <w:r w:rsidRPr="00EE5D67">
              <w:rPr>
                <w:rFonts w:cs="Arial"/>
                <w:sz w:val="16"/>
                <w:szCs w:val="16"/>
              </w:rPr>
              <w:t>112</w:t>
            </w:r>
          </w:p>
        </w:tc>
        <w:tc>
          <w:tcPr>
            <w:tcW w:w="830" w:type="dxa"/>
            <w:tcBorders>
              <w:top w:val="nil"/>
              <w:left w:val="nil"/>
              <w:bottom w:val="nil"/>
              <w:right w:val="nil"/>
            </w:tcBorders>
            <w:shd w:val="clear" w:color="000000" w:fill="FFFFFF"/>
            <w:noWrap/>
            <w:vAlign w:val="center"/>
            <w:hideMark/>
          </w:tcPr>
          <w:p w14:paraId="0A391521" w14:textId="77777777" w:rsidR="00EE5D67" w:rsidRPr="00EE5D67" w:rsidRDefault="00EE5D67" w:rsidP="00EE5D67">
            <w:pPr>
              <w:spacing w:after="0" w:line="240" w:lineRule="auto"/>
              <w:jc w:val="right"/>
              <w:rPr>
                <w:rFonts w:cs="Arial"/>
                <w:sz w:val="16"/>
                <w:szCs w:val="16"/>
              </w:rPr>
            </w:pPr>
            <w:r w:rsidRPr="00EE5D67">
              <w:rPr>
                <w:rFonts w:cs="Arial"/>
                <w:sz w:val="16"/>
                <w:szCs w:val="16"/>
              </w:rPr>
              <w:t>58</w:t>
            </w:r>
          </w:p>
        </w:tc>
        <w:tc>
          <w:tcPr>
            <w:tcW w:w="830" w:type="dxa"/>
            <w:tcBorders>
              <w:top w:val="nil"/>
              <w:left w:val="nil"/>
              <w:bottom w:val="nil"/>
              <w:right w:val="nil"/>
            </w:tcBorders>
            <w:shd w:val="clear" w:color="000000" w:fill="FFFFFF"/>
            <w:noWrap/>
            <w:vAlign w:val="center"/>
            <w:hideMark/>
          </w:tcPr>
          <w:p w14:paraId="4AEC579F" w14:textId="77777777" w:rsidR="00EE5D67" w:rsidRPr="00EE5D67" w:rsidRDefault="00EE5D67" w:rsidP="00EE5D67">
            <w:pPr>
              <w:spacing w:after="0" w:line="240" w:lineRule="auto"/>
              <w:jc w:val="right"/>
              <w:rPr>
                <w:rFonts w:cs="Arial"/>
                <w:sz w:val="16"/>
                <w:szCs w:val="16"/>
              </w:rPr>
            </w:pPr>
            <w:r w:rsidRPr="00EE5D67">
              <w:rPr>
                <w:rFonts w:cs="Arial"/>
                <w:sz w:val="16"/>
                <w:szCs w:val="16"/>
              </w:rPr>
              <w:t>90</w:t>
            </w:r>
          </w:p>
        </w:tc>
      </w:tr>
      <w:tr w:rsidR="00EE5D67" w:rsidRPr="00EE5D67" w14:paraId="50D8B685"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24237445" w14:textId="77777777" w:rsidR="00EE5D67" w:rsidRPr="00EE5D67" w:rsidRDefault="00EE5D67" w:rsidP="00EE5D67">
            <w:pPr>
              <w:spacing w:after="0" w:line="240" w:lineRule="auto"/>
              <w:rPr>
                <w:rFonts w:cs="Arial"/>
                <w:sz w:val="16"/>
                <w:szCs w:val="16"/>
              </w:rPr>
            </w:pPr>
            <w:r w:rsidRPr="00EE5D67">
              <w:rPr>
                <w:rFonts w:cs="Arial"/>
                <w:sz w:val="16"/>
                <w:szCs w:val="16"/>
              </w:rPr>
              <w:t>Středočeský</w:t>
            </w:r>
          </w:p>
        </w:tc>
        <w:tc>
          <w:tcPr>
            <w:tcW w:w="750" w:type="dxa"/>
            <w:tcBorders>
              <w:top w:val="nil"/>
              <w:left w:val="nil"/>
              <w:bottom w:val="nil"/>
              <w:right w:val="nil"/>
            </w:tcBorders>
            <w:shd w:val="clear" w:color="000000" w:fill="FFFFFF"/>
            <w:vAlign w:val="center"/>
            <w:hideMark/>
          </w:tcPr>
          <w:p w14:paraId="7F30525B"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8 287</w:t>
            </w:r>
          </w:p>
        </w:tc>
        <w:tc>
          <w:tcPr>
            <w:tcW w:w="830" w:type="dxa"/>
            <w:tcBorders>
              <w:top w:val="nil"/>
              <w:left w:val="nil"/>
              <w:bottom w:val="nil"/>
              <w:right w:val="nil"/>
            </w:tcBorders>
            <w:shd w:val="clear" w:color="000000" w:fill="FFFFFF"/>
            <w:noWrap/>
            <w:vAlign w:val="center"/>
            <w:hideMark/>
          </w:tcPr>
          <w:p w14:paraId="7BD45E59" w14:textId="77777777" w:rsidR="00EE5D67" w:rsidRPr="00EE5D67" w:rsidRDefault="00EE5D67" w:rsidP="00EE5D67">
            <w:pPr>
              <w:spacing w:after="0" w:line="240" w:lineRule="auto"/>
              <w:jc w:val="right"/>
              <w:rPr>
                <w:rFonts w:cs="Arial"/>
                <w:sz w:val="16"/>
                <w:szCs w:val="16"/>
              </w:rPr>
            </w:pPr>
            <w:r w:rsidRPr="00EE5D67">
              <w:rPr>
                <w:rFonts w:cs="Arial"/>
                <w:sz w:val="16"/>
                <w:szCs w:val="16"/>
              </w:rPr>
              <w:t>4 236</w:t>
            </w:r>
          </w:p>
        </w:tc>
        <w:tc>
          <w:tcPr>
            <w:tcW w:w="830" w:type="dxa"/>
            <w:tcBorders>
              <w:top w:val="nil"/>
              <w:left w:val="nil"/>
              <w:bottom w:val="nil"/>
              <w:right w:val="nil"/>
            </w:tcBorders>
            <w:shd w:val="clear" w:color="000000" w:fill="FFFFFF"/>
            <w:noWrap/>
            <w:vAlign w:val="center"/>
            <w:hideMark/>
          </w:tcPr>
          <w:p w14:paraId="1D346EC0" w14:textId="77777777" w:rsidR="00EE5D67" w:rsidRPr="00EE5D67" w:rsidRDefault="00EE5D67" w:rsidP="00EE5D67">
            <w:pPr>
              <w:spacing w:after="0" w:line="240" w:lineRule="auto"/>
              <w:jc w:val="right"/>
              <w:rPr>
                <w:rFonts w:cs="Arial"/>
                <w:sz w:val="16"/>
                <w:szCs w:val="16"/>
              </w:rPr>
            </w:pPr>
            <w:r w:rsidRPr="00EE5D67">
              <w:rPr>
                <w:rFonts w:cs="Arial"/>
                <w:sz w:val="16"/>
                <w:szCs w:val="16"/>
              </w:rPr>
              <w:t>1 195</w:t>
            </w:r>
          </w:p>
        </w:tc>
        <w:tc>
          <w:tcPr>
            <w:tcW w:w="830" w:type="dxa"/>
            <w:tcBorders>
              <w:top w:val="nil"/>
              <w:left w:val="nil"/>
              <w:bottom w:val="nil"/>
              <w:right w:val="nil"/>
            </w:tcBorders>
            <w:shd w:val="clear" w:color="000000" w:fill="FFFFFF"/>
            <w:noWrap/>
            <w:vAlign w:val="center"/>
            <w:hideMark/>
          </w:tcPr>
          <w:p w14:paraId="7F897D4F" w14:textId="77777777" w:rsidR="00EE5D67" w:rsidRPr="00EE5D67" w:rsidRDefault="00EE5D67" w:rsidP="00EE5D67">
            <w:pPr>
              <w:spacing w:after="0" w:line="240" w:lineRule="auto"/>
              <w:jc w:val="right"/>
              <w:rPr>
                <w:rFonts w:cs="Arial"/>
                <w:sz w:val="16"/>
                <w:szCs w:val="16"/>
              </w:rPr>
            </w:pPr>
            <w:r w:rsidRPr="00EE5D67">
              <w:rPr>
                <w:rFonts w:cs="Arial"/>
                <w:sz w:val="16"/>
                <w:szCs w:val="16"/>
              </w:rPr>
              <w:t>681</w:t>
            </w:r>
          </w:p>
        </w:tc>
        <w:tc>
          <w:tcPr>
            <w:tcW w:w="830" w:type="dxa"/>
            <w:tcBorders>
              <w:top w:val="nil"/>
              <w:left w:val="nil"/>
              <w:bottom w:val="nil"/>
              <w:right w:val="nil"/>
            </w:tcBorders>
            <w:shd w:val="clear" w:color="000000" w:fill="FFFFFF"/>
            <w:noWrap/>
            <w:vAlign w:val="center"/>
            <w:hideMark/>
          </w:tcPr>
          <w:p w14:paraId="58993D6D" w14:textId="77777777" w:rsidR="00EE5D67" w:rsidRPr="00EE5D67" w:rsidRDefault="00EE5D67" w:rsidP="00EE5D67">
            <w:pPr>
              <w:spacing w:after="0" w:line="240" w:lineRule="auto"/>
              <w:jc w:val="right"/>
              <w:rPr>
                <w:rFonts w:cs="Arial"/>
                <w:sz w:val="16"/>
                <w:szCs w:val="16"/>
              </w:rPr>
            </w:pPr>
            <w:r w:rsidRPr="00EE5D67">
              <w:rPr>
                <w:rFonts w:cs="Arial"/>
                <w:sz w:val="16"/>
                <w:szCs w:val="16"/>
              </w:rPr>
              <w:t>954</w:t>
            </w:r>
          </w:p>
        </w:tc>
        <w:tc>
          <w:tcPr>
            <w:tcW w:w="830" w:type="dxa"/>
            <w:tcBorders>
              <w:top w:val="nil"/>
              <w:left w:val="nil"/>
              <w:bottom w:val="nil"/>
              <w:right w:val="nil"/>
            </w:tcBorders>
            <w:shd w:val="clear" w:color="000000" w:fill="FFFFFF"/>
            <w:noWrap/>
            <w:vAlign w:val="center"/>
            <w:hideMark/>
          </w:tcPr>
          <w:p w14:paraId="09D67703" w14:textId="77777777" w:rsidR="00EE5D67" w:rsidRPr="00EE5D67" w:rsidRDefault="00EE5D67" w:rsidP="00EE5D67">
            <w:pPr>
              <w:spacing w:after="0" w:line="240" w:lineRule="auto"/>
              <w:jc w:val="right"/>
              <w:rPr>
                <w:rFonts w:cs="Arial"/>
                <w:sz w:val="16"/>
                <w:szCs w:val="16"/>
              </w:rPr>
            </w:pPr>
            <w:r w:rsidRPr="00EE5D67">
              <w:rPr>
                <w:rFonts w:cs="Arial"/>
                <w:sz w:val="16"/>
                <w:szCs w:val="16"/>
              </w:rPr>
              <w:t>414</w:t>
            </w:r>
          </w:p>
        </w:tc>
        <w:tc>
          <w:tcPr>
            <w:tcW w:w="830" w:type="dxa"/>
            <w:tcBorders>
              <w:top w:val="nil"/>
              <w:left w:val="nil"/>
              <w:bottom w:val="nil"/>
              <w:right w:val="nil"/>
            </w:tcBorders>
            <w:shd w:val="clear" w:color="000000" w:fill="FFFFFF"/>
            <w:noWrap/>
            <w:vAlign w:val="center"/>
            <w:hideMark/>
          </w:tcPr>
          <w:p w14:paraId="03A05D99" w14:textId="77777777" w:rsidR="00EE5D67" w:rsidRPr="00EE5D67" w:rsidRDefault="00EE5D67" w:rsidP="00EE5D67">
            <w:pPr>
              <w:spacing w:after="0" w:line="240" w:lineRule="auto"/>
              <w:jc w:val="right"/>
              <w:rPr>
                <w:rFonts w:cs="Arial"/>
                <w:sz w:val="16"/>
                <w:szCs w:val="16"/>
              </w:rPr>
            </w:pPr>
            <w:r w:rsidRPr="00EE5D67">
              <w:rPr>
                <w:rFonts w:cs="Arial"/>
                <w:sz w:val="16"/>
                <w:szCs w:val="16"/>
              </w:rPr>
              <w:t>455</w:t>
            </w:r>
          </w:p>
        </w:tc>
        <w:tc>
          <w:tcPr>
            <w:tcW w:w="830" w:type="dxa"/>
            <w:tcBorders>
              <w:top w:val="nil"/>
              <w:left w:val="nil"/>
              <w:bottom w:val="nil"/>
              <w:right w:val="nil"/>
            </w:tcBorders>
            <w:shd w:val="clear" w:color="000000" w:fill="FFFFFF"/>
            <w:noWrap/>
            <w:vAlign w:val="center"/>
            <w:hideMark/>
          </w:tcPr>
          <w:p w14:paraId="3A337034" w14:textId="77777777" w:rsidR="00EE5D67" w:rsidRPr="00EE5D67" w:rsidRDefault="00EE5D67" w:rsidP="00EE5D67">
            <w:pPr>
              <w:spacing w:after="0" w:line="240" w:lineRule="auto"/>
              <w:jc w:val="right"/>
              <w:rPr>
                <w:rFonts w:cs="Arial"/>
                <w:sz w:val="16"/>
                <w:szCs w:val="16"/>
              </w:rPr>
            </w:pPr>
            <w:r w:rsidRPr="00EE5D67">
              <w:rPr>
                <w:rFonts w:cs="Arial"/>
                <w:sz w:val="16"/>
                <w:szCs w:val="16"/>
              </w:rPr>
              <w:t>153</w:t>
            </w:r>
          </w:p>
        </w:tc>
        <w:tc>
          <w:tcPr>
            <w:tcW w:w="830" w:type="dxa"/>
            <w:tcBorders>
              <w:top w:val="nil"/>
              <w:left w:val="nil"/>
              <w:bottom w:val="nil"/>
              <w:right w:val="nil"/>
            </w:tcBorders>
            <w:shd w:val="clear" w:color="000000" w:fill="FFFFFF"/>
            <w:noWrap/>
            <w:vAlign w:val="center"/>
            <w:hideMark/>
          </w:tcPr>
          <w:p w14:paraId="62644884" w14:textId="77777777" w:rsidR="00EE5D67" w:rsidRPr="00EE5D67" w:rsidRDefault="00EE5D67" w:rsidP="00EE5D67">
            <w:pPr>
              <w:spacing w:after="0" w:line="240" w:lineRule="auto"/>
              <w:jc w:val="right"/>
              <w:rPr>
                <w:rFonts w:cs="Arial"/>
                <w:sz w:val="16"/>
                <w:szCs w:val="16"/>
              </w:rPr>
            </w:pPr>
            <w:r w:rsidRPr="00EE5D67">
              <w:rPr>
                <w:rFonts w:cs="Arial"/>
                <w:sz w:val="16"/>
                <w:szCs w:val="16"/>
              </w:rPr>
              <w:t>90</w:t>
            </w:r>
          </w:p>
        </w:tc>
        <w:tc>
          <w:tcPr>
            <w:tcW w:w="830" w:type="dxa"/>
            <w:tcBorders>
              <w:top w:val="nil"/>
              <w:left w:val="nil"/>
              <w:bottom w:val="nil"/>
              <w:right w:val="nil"/>
            </w:tcBorders>
            <w:shd w:val="clear" w:color="000000" w:fill="FFFFFF"/>
            <w:noWrap/>
            <w:vAlign w:val="center"/>
            <w:hideMark/>
          </w:tcPr>
          <w:p w14:paraId="3C3ED0B0" w14:textId="77777777" w:rsidR="00EE5D67" w:rsidRPr="00EE5D67" w:rsidRDefault="00EE5D67" w:rsidP="00EE5D67">
            <w:pPr>
              <w:spacing w:after="0" w:line="240" w:lineRule="auto"/>
              <w:jc w:val="right"/>
              <w:rPr>
                <w:rFonts w:cs="Arial"/>
                <w:sz w:val="16"/>
                <w:szCs w:val="16"/>
              </w:rPr>
            </w:pPr>
            <w:r w:rsidRPr="00EE5D67">
              <w:rPr>
                <w:rFonts w:cs="Arial"/>
                <w:sz w:val="16"/>
                <w:szCs w:val="16"/>
              </w:rPr>
              <w:t>108</w:t>
            </w:r>
          </w:p>
        </w:tc>
      </w:tr>
      <w:tr w:rsidR="00EE5D67" w:rsidRPr="00EE5D67" w14:paraId="7A05F66A"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24DEEA34" w14:textId="77777777" w:rsidR="00EE5D67" w:rsidRPr="00EE5D67" w:rsidRDefault="00EE5D67" w:rsidP="00EE5D67">
            <w:pPr>
              <w:spacing w:after="0" w:line="240" w:lineRule="auto"/>
              <w:rPr>
                <w:rFonts w:cs="Arial"/>
                <w:sz w:val="16"/>
                <w:szCs w:val="16"/>
              </w:rPr>
            </w:pPr>
            <w:r w:rsidRPr="00EE5D67">
              <w:rPr>
                <w:rFonts w:cs="Arial"/>
                <w:sz w:val="16"/>
                <w:szCs w:val="16"/>
              </w:rPr>
              <w:t>Jihočeský</w:t>
            </w:r>
          </w:p>
        </w:tc>
        <w:tc>
          <w:tcPr>
            <w:tcW w:w="750" w:type="dxa"/>
            <w:tcBorders>
              <w:top w:val="nil"/>
              <w:left w:val="nil"/>
              <w:bottom w:val="nil"/>
              <w:right w:val="nil"/>
            </w:tcBorders>
            <w:shd w:val="clear" w:color="000000" w:fill="FFFFFF"/>
            <w:vAlign w:val="center"/>
            <w:hideMark/>
          </w:tcPr>
          <w:p w14:paraId="16CB9739"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9 496</w:t>
            </w:r>
          </w:p>
        </w:tc>
        <w:tc>
          <w:tcPr>
            <w:tcW w:w="830" w:type="dxa"/>
            <w:tcBorders>
              <w:top w:val="nil"/>
              <w:left w:val="nil"/>
              <w:bottom w:val="nil"/>
              <w:right w:val="nil"/>
            </w:tcBorders>
            <w:shd w:val="clear" w:color="000000" w:fill="FFFFFF"/>
            <w:noWrap/>
            <w:vAlign w:val="center"/>
            <w:hideMark/>
          </w:tcPr>
          <w:p w14:paraId="1B752061" w14:textId="77777777" w:rsidR="00EE5D67" w:rsidRPr="00EE5D67" w:rsidRDefault="00EE5D67" w:rsidP="00EE5D67">
            <w:pPr>
              <w:spacing w:after="0" w:line="240" w:lineRule="auto"/>
              <w:jc w:val="right"/>
              <w:rPr>
                <w:rFonts w:cs="Arial"/>
                <w:sz w:val="16"/>
                <w:szCs w:val="16"/>
              </w:rPr>
            </w:pPr>
            <w:r w:rsidRPr="00EE5D67">
              <w:rPr>
                <w:rFonts w:cs="Arial"/>
                <w:sz w:val="16"/>
                <w:szCs w:val="16"/>
              </w:rPr>
              <w:t>4 204</w:t>
            </w:r>
          </w:p>
        </w:tc>
        <w:tc>
          <w:tcPr>
            <w:tcW w:w="830" w:type="dxa"/>
            <w:tcBorders>
              <w:top w:val="nil"/>
              <w:left w:val="nil"/>
              <w:bottom w:val="nil"/>
              <w:right w:val="nil"/>
            </w:tcBorders>
            <w:shd w:val="clear" w:color="000000" w:fill="FFFFFF"/>
            <w:noWrap/>
            <w:vAlign w:val="center"/>
            <w:hideMark/>
          </w:tcPr>
          <w:p w14:paraId="7767E554" w14:textId="77777777" w:rsidR="00EE5D67" w:rsidRPr="00EE5D67" w:rsidRDefault="00EE5D67" w:rsidP="00EE5D67">
            <w:pPr>
              <w:spacing w:after="0" w:line="240" w:lineRule="auto"/>
              <w:jc w:val="right"/>
              <w:rPr>
                <w:rFonts w:cs="Arial"/>
                <w:sz w:val="16"/>
                <w:szCs w:val="16"/>
              </w:rPr>
            </w:pPr>
            <w:r w:rsidRPr="00EE5D67">
              <w:rPr>
                <w:rFonts w:cs="Arial"/>
                <w:sz w:val="16"/>
                <w:szCs w:val="16"/>
              </w:rPr>
              <w:t>1 354</w:t>
            </w:r>
          </w:p>
        </w:tc>
        <w:tc>
          <w:tcPr>
            <w:tcW w:w="830" w:type="dxa"/>
            <w:tcBorders>
              <w:top w:val="nil"/>
              <w:left w:val="nil"/>
              <w:bottom w:val="nil"/>
              <w:right w:val="nil"/>
            </w:tcBorders>
            <w:shd w:val="clear" w:color="000000" w:fill="FFFFFF"/>
            <w:noWrap/>
            <w:vAlign w:val="center"/>
            <w:hideMark/>
          </w:tcPr>
          <w:p w14:paraId="67D5BB47" w14:textId="77777777" w:rsidR="00EE5D67" w:rsidRPr="00EE5D67" w:rsidRDefault="00EE5D67" w:rsidP="00EE5D67">
            <w:pPr>
              <w:spacing w:after="0" w:line="240" w:lineRule="auto"/>
              <w:jc w:val="right"/>
              <w:rPr>
                <w:rFonts w:cs="Arial"/>
                <w:sz w:val="16"/>
                <w:szCs w:val="16"/>
              </w:rPr>
            </w:pPr>
            <w:r w:rsidRPr="00EE5D67">
              <w:rPr>
                <w:rFonts w:cs="Arial"/>
                <w:sz w:val="16"/>
                <w:szCs w:val="16"/>
              </w:rPr>
              <w:t>937</w:t>
            </w:r>
          </w:p>
        </w:tc>
        <w:tc>
          <w:tcPr>
            <w:tcW w:w="830" w:type="dxa"/>
            <w:tcBorders>
              <w:top w:val="nil"/>
              <w:left w:val="nil"/>
              <w:bottom w:val="nil"/>
              <w:right w:val="nil"/>
            </w:tcBorders>
            <w:shd w:val="clear" w:color="000000" w:fill="FFFFFF"/>
            <w:noWrap/>
            <w:vAlign w:val="center"/>
            <w:hideMark/>
          </w:tcPr>
          <w:p w14:paraId="0D7E8510" w14:textId="77777777" w:rsidR="00EE5D67" w:rsidRPr="00EE5D67" w:rsidRDefault="00EE5D67" w:rsidP="00EE5D67">
            <w:pPr>
              <w:spacing w:after="0" w:line="240" w:lineRule="auto"/>
              <w:jc w:val="right"/>
              <w:rPr>
                <w:rFonts w:cs="Arial"/>
                <w:sz w:val="16"/>
                <w:szCs w:val="16"/>
              </w:rPr>
            </w:pPr>
            <w:r w:rsidRPr="00EE5D67">
              <w:rPr>
                <w:rFonts w:cs="Arial"/>
                <w:sz w:val="16"/>
                <w:szCs w:val="16"/>
              </w:rPr>
              <w:t>1 237</w:t>
            </w:r>
          </w:p>
        </w:tc>
        <w:tc>
          <w:tcPr>
            <w:tcW w:w="830" w:type="dxa"/>
            <w:tcBorders>
              <w:top w:val="nil"/>
              <w:left w:val="nil"/>
              <w:bottom w:val="nil"/>
              <w:right w:val="nil"/>
            </w:tcBorders>
            <w:shd w:val="clear" w:color="000000" w:fill="FFFFFF"/>
            <w:noWrap/>
            <w:vAlign w:val="center"/>
            <w:hideMark/>
          </w:tcPr>
          <w:p w14:paraId="49C36A5D" w14:textId="77777777" w:rsidR="00EE5D67" w:rsidRPr="00EE5D67" w:rsidRDefault="00EE5D67" w:rsidP="00EE5D67">
            <w:pPr>
              <w:spacing w:after="0" w:line="240" w:lineRule="auto"/>
              <w:jc w:val="right"/>
              <w:rPr>
                <w:rFonts w:cs="Arial"/>
                <w:sz w:val="16"/>
                <w:szCs w:val="16"/>
              </w:rPr>
            </w:pPr>
            <w:r w:rsidRPr="00EE5D67">
              <w:rPr>
                <w:rFonts w:cs="Arial"/>
                <w:sz w:val="16"/>
                <w:szCs w:val="16"/>
              </w:rPr>
              <w:t>593</w:t>
            </w:r>
          </w:p>
        </w:tc>
        <w:tc>
          <w:tcPr>
            <w:tcW w:w="830" w:type="dxa"/>
            <w:tcBorders>
              <w:top w:val="nil"/>
              <w:left w:val="nil"/>
              <w:bottom w:val="nil"/>
              <w:right w:val="nil"/>
            </w:tcBorders>
            <w:shd w:val="clear" w:color="000000" w:fill="FFFFFF"/>
            <w:noWrap/>
            <w:vAlign w:val="center"/>
            <w:hideMark/>
          </w:tcPr>
          <w:p w14:paraId="68D44A6C" w14:textId="77777777" w:rsidR="00EE5D67" w:rsidRPr="00EE5D67" w:rsidRDefault="00EE5D67" w:rsidP="00EE5D67">
            <w:pPr>
              <w:spacing w:after="0" w:line="240" w:lineRule="auto"/>
              <w:jc w:val="right"/>
              <w:rPr>
                <w:rFonts w:cs="Arial"/>
                <w:sz w:val="16"/>
                <w:szCs w:val="16"/>
              </w:rPr>
            </w:pPr>
            <w:r w:rsidRPr="00EE5D67">
              <w:rPr>
                <w:rFonts w:cs="Arial"/>
                <w:sz w:val="16"/>
                <w:szCs w:val="16"/>
              </w:rPr>
              <w:t>675</w:t>
            </w:r>
          </w:p>
        </w:tc>
        <w:tc>
          <w:tcPr>
            <w:tcW w:w="830" w:type="dxa"/>
            <w:tcBorders>
              <w:top w:val="nil"/>
              <w:left w:val="nil"/>
              <w:bottom w:val="nil"/>
              <w:right w:val="nil"/>
            </w:tcBorders>
            <w:shd w:val="clear" w:color="000000" w:fill="FFFFFF"/>
            <w:noWrap/>
            <w:vAlign w:val="center"/>
            <w:hideMark/>
          </w:tcPr>
          <w:p w14:paraId="33380CDE" w14:textId="77777777" w:rsidR="00EE5D67" w:rsidRPr="00EE5D67" w:rsidRDefault="00EE5D67" w:rsidP="00EE5D67">
            <w:pPr>
              <w:spacing w:after="0" w:line="240" w:lineRule="auto"/>
              <w:jc w:val="right"/>
              <w:rPr>
                <w:rFonts w:cs="Arial"/>
                <w:sz w:val="16"/>
                <w:szCs w:val="16"/>
              </w:rPr>
            </w:pPr>
            <w:r w:rsidRPr="00EE5D67">
              <w:rPr>
                <w:rFonts w:cs="Arial"/>
                <w:sz w:val="16"/>
                <w:szCs w:val="16"/>
              </w:rPr>
              <w:t>235</w:t>
            </w:r>
          </w:p>
        </w:tc>
        <w:tc>
          <w:tcPr>
            <w:tcW w:w="830" w:type="dxa"/>
            <w:tcBorders>
              <w:top w:val="nil"/>
              <w:left w:val="nil"/>
              <w:bottom w:val="nil"/>
              <w:right w:val="nil"/>
            </w:tcBorders>
            <w:shd w:val="clear" w:color="000000" w:fill="FFFFFF"/>
            <w:noWrap/>
            <w:vAlign w:val="center"/>
            <w:hideMark/>
          </w:tcPr>
          <w:p w14:paraId="08526F40" w14:textId="77777777" w:rsidR="00EE5D67" w:rsidRPr="00EE5D67" w:rsidRDefault="00EE5D67" w:rsidP="00EE5D67">
            <w:pPr>
              <w:spacing w:after="0" w:line="240" w:lineRule="auto"/>
              <w:jc w:val="right"/>
              <w:rPr>
                <w:rFonts w:cs="Arial"/>
                <w:sz w:val="16"/>
                <w:szCs w:val="16"/>
              </w:rPr>
            </w:pPr>
            <w:r w:rsidRPr="00EE5D67">
              <w:rPr>
                <w:rFonts w:cs="Arial"/>
                <w:sz w:val="16"/>
                <w:szCs w:val="16"/>
              </w:rPr>
              <w:t>120</w:t>
            </w:r>
          </w:p>
        </w:tc>
        <w:tc>
          <w:tcPr>
            <w:tcW w:w="830" w:type="dxa"/>
            <w:tcBorders>
              <w:top w:val="nil"/>
              <w:left w:val="nil"/>
              <w:bottom w:val="nil"/>
              <w:right w:val="nil"/>
            </w:tcBorders>
            <w:shd w:val="clear" w:color="000000" w:fill="FFFFFF"/>
            <w:noWrap/>
            <w:vAlign w:val="center"/>
            <w:hideMark/>
          </w:tcPr>
          <w:p w14:paraId="5D82B27B" w14:textId="77777777" w:rsidR="00EE5D67" w:rsidRPr="00EE5D67" w:rsidRDefault="00EE5D67" w:rsidP="00EE5D67">
            <w:pPr>
              <w:spacing w:after="0" w:line="240" w:lineRule="auto"/>
              <w:jc w:val="right"/>
              <w:rPr>
                <w:rFonts w:cs="Arial"/>
                <w:sz w:val="16"/>
                <w:szCs w:val="16"/>
              </w:rPr>
            </w:pPr>
            <w:r w:rsidRPr="00EE5D67">
              <w:rPr>
                <w:rFonts w:cs="Arial"/>
                <w:sz w:val="16"/>
                <w:szCs w:val="16"/>
              </w:rPr>
              <w:t>142</w:t>
            </w:r>
          </w:p>
        </w:tc>
      </w:tr>
      <w:tr w:rsidR="00EE5D67" w:rsidRPr="00EE5D67" w14:paraId="5671DA54"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51CB49A0" w14:textId="77777777" w:rsidR="00EE5D67" w:rsidRPr="00EE5D67" w:rsidRDefault="00EE5D67" w:rsidP="00EE5D67">
            <w:pPr>
              <w:spacing w:after="0" w:line="240" w:lineRule="auto"/>
              <w:rPr>
                <w:rFonts w:cs="Arial"/>
                <w:sz w:val="16"/>
                <w:szCs w:val="16"/>
              </w:rPr>
            </w:pPr>
            <w:r w:rsidRPr="00EE5D67">
              <w:rPr>
                <w:rFonts w:cs="Arial"/>
                <w:sz w:val="16"/>
                <w:szCs w:val="16"/>
              </w:rPr>
              <w:t xml:space="preserve">Plzeňský   </w:t>
            </w:r>
          </w:p>
        </w:tc>
        <w:tc>
          <w:tcPr>
            <w:tcW w:w="750" w:type="dxa"/>
            <w:tcBorders>
              <w:top w:val="nil"/>
              <w:left w:val="nil"/>
              <w:bottom w:val="nil"/>
              <w:right w:val="nil"/>
            </w:tcBorders>
            <w:shd w:val="clear" w:color="000000" w:fill="FFFFFF"/>
            <w:vAlign w:val="center"/>
            <w:hideMark/>
          </w:tcPr>
          <w:p w14:paraId="7ED4688C"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10 583</w:t>
            </w:r>
          </w:p>
        </w:tc>
        <w:tc>
          <w:tcPr>
            <w:tcW w:w="830" w:type="dxa"/>
            <w:tcBorders>
              <w:top w:val="nil"/>
              <w:left w:val="nil"/>
              <w:bottom w:val="nil"/>
              <w:right w:val="nil"/>
            </w:tcBorders>
            <w:shd w:val="clear" w:color="000000" w:fill="FFFFFF"/>
            <w:noWrap/>
            <w:vAlign w:val="center"/>
            <w:hideMark/>
          </w:tcPr>
          <w:p w14:paraId="35BBB281" w14:textId="77777777" w:rsidR="00EE5D67" w:rsidRPr="00EE5D67" w:rsidRDefault="00EE5D67" w:rsidP="00EE5D67">
            <w:pPr>
              <w:spacing w:after="0" w:line="240" w:lineRule="auto"/>
              <w:jc w:val="right"/>
              <w:rPr>
                <w:rFonts w:cs="Arial"/>
                <w:sz w:val="16"/>
                <w:szCs w:val="16"/>
              </w:rPr>
            </w:pPr>
            <w:r w:rsidRPr="00EE5D67">
              <w:rPr>
                <w:rFonts w:cs="Arial"/>
                <w:sz w:val="16"/>
                <w:szCs w:val="16"/>
              </w:rPr>
              <w:t>5 207</w:t>
            </w:r>
          </w:p>
        </w:tc>
        <w:tc>
          <w:tcPr>
            <w:tcW w:w="830" w:type="dxa"/>
            <w:tcBorders>
              <w:top w:val="nil"/>
              <w:left w:val="nil"/>
              <w:bottom w:val="nil"/>
              <w:right w:val="nil"/>
            </w:tcBorders>
            <w:shd w:val="clear" w:color="000000" w:fill="FFFFFF"/>
            <w:noWrap/>
            <w:vAlign w:val="center"/>
            <w:hideMark/>
          </w:tcPr>
          <w:p w14:paraId="7CBBCB36" w14:textId="77777777" w:rsidR="00EE5D67" w:rsidRPr="00EE5D67" w:rsidRDefault="00EE5D67" w:rsidP="00EE5D67">
            <w:pPr>
              <w:spacing w:after="0" w:line="240" w:lineRule="auto"/>
              <w:jc w:val="right"/>
              <w:rPr>
                <w:rFonts w:cs="Arial"/>
                <w:sz w:val="16"/>
                <w:szCs w:val="16"/>
              </w:rPr>
            </w:pPr>
            <w:r w:rsidRPr="00EE5D67">
              <w:rPr>
                <w:rFonts w:cs="Arial"/>
                <w:sz w:val="16"/>
                <w:szCs w:val="16"/>
              </w:rPr>
              <w:t>1 581</w:t>
            </w:r>
          </w:p>
        </w:tc>
        <w:tc>
          <w:tcPr>
            <w:tcW w:w="830" w:type="dxa"/>
            <w:tcBorders>
              <w:top w:val="nil"/>
              <w:left w:val="nil"/>
              <w:bottom w:val="nil"/>
              <w:right w:val="nil"/>
            </w:tcBorders>
            <w:shd w:val="clear" w:color="000000" w:fill="FFFFFF"/>
            <w:noWrap/>
            <w:vAlign w:val="center"/>
            <w:hideMark/>
          </w:tcPr>
          <w:p w14:paraId="4B6FDA57" w14:textId="77777777" w:rsidR="00EE5D67" w:rsidRPr="00EE5D67" w:rsidRDefault="00EE5D67" w:rsidP="00EE5D67">
            <w:pPr>
              <w:spacing w:after="0" w:line="240" w:lineRule="auto"/>
              <w:jc w:val="right"/>
              <w:rPr>
                <w:rFonts w:cs="Arial"/>
                <w:sz w:val="16"/>
                <w:szCs w:val="16"/>
              </w:rPr>
            </w:pPr>
            <w:r w:rsidRPr="00EE5D67">
              <w:rPr>
                <w:rFonts w:cs="Arial"/>
                <w:sz w:val="16"/>
                <w:szCs w:val="16"/>
              </w:rPr>
              <w:t>920</w:t>
            </w:r>
          </w:p>
        </w:tc>
        <w:tc>
          <w:tcPr>
            <w:tcW w:w="830" w:type="dxa"/>
            <w:tcBorders>
              <w:top w:val="nil"/>
              <w:left w:val="nil"/>
              <w:bottom w:val="nil"/>
              <w:right w:val="nil"/>
            </w:tcBorders>
            <w:shd w:val="clear" w:color="000000" w:fill="FFFFFF"/>
            <w:noWrap/>
            <w:vAlign w:val="center"/>
            <w:hideMark/>
          </w:tcPr>
          <w:p w14:paraId="1D182209" w14:textId="77777777" w:rsidR="00EE5D67" w:rsidRPr="00EE5D67" w:rsidRDefault="00EE5D67" w:rsidP="00EE5D67">
            <w:pPr>
              <w:spacing w:after="0" w:line="240" w:lineRule="auto"/>
              <w:jc w:val="right"/>
              <w:rPr>
                <w:rFonts w:cs="Arial"/>
                <w:sz w:val="16"/>
                <w:szCs w:val="16"/>
              </w:rPr>
            </w:pPr>
            <w:r w:rsidRPr="00EE5D67">
              <w:rPr>
                <w:rFonts w:cs="Arial"/>
                <w:sz w:val="16"/>
                <w:szCs w:val="16"/>
              </w:rPr>
              <w:t>1 229</w:t>
            </w:r>
          </w:p>
        </w:tc>
        <w:tc>
          <w:tcPr>
            <w:tcW w:w="830" w:type="dxa"/>
            <w:tcBorders>
              <w:top w:val="nil"/>
              <w:left w:val="nil"/>
              <w:bottom w:val="nil"/>
              <w:right w:val="nil"/>
            </w:tcBorders>
            <w:shd w:val="clear" w:color="000000" w:fill="FFFFFF"/>
            <w:noWrap/>
            <w:vAlign w:val="center"/>
            <w:hideMark/>
          </w:tcPr>
          <w:p w14:paraId="41DE725C" w14:textId="77777777" w:rsidR="00EE5D67" w:rsidRPr="00EE5D67" w:rsidRDefault="00EE5D67" w:rsidP="00EE5D67">
            <w:pPr>
              <w:spacing w:after="0" w:line="240" w:lineRule="auto"/>
              <w:jc w:val="right"/>
              <w:rPr>
                <w:rFonts w:cs="Arial"/>
                <w:sz w:val="16"/>
                <w:szCs w:val="16"/>
              </w:rPr>
            </w:pPr>
            <w:r w:rsidRPr="00EE5D67">
              <w:rPr>
                <w:rFonts w:cs="Arial"/>
                <w:sz w:val="16"/>
                <w:szCs w:val="16"/>
              </w:rPr>
              <w:t>554</w:t>
            </w:r>
          </w:p>
        </w:tc>
        <w:tc>
          <w:tcPr>
            <w:tcW w:w="830" w:type="dxa"/>
            <w:tcBorders>
              <w:top w:val="nil"/>
              <w:left w:val="nil"/>
              <w:bottom w:val="nil"/>
              <w:right w:val="nil"/>
            </w:tcBorders>
            <w:shd w:val="clear" w:color="000000" w:fill="FFFFFF"/>
            <w:noWrap/>
            <w:vAlign w:val="center"/>
            <w:hideMark/>
          </w:tcPr>
          <w:p w14:paraId="0DD60B04" w14:textId="77777777" w:rsidR="00EE5D67" w:rsidRPr="00EE5D67" w:rsidRDefault="00EE5D67" w:rsidP="00EE5D67">
            <w:pPr>
              <w:spacing w:after="0" w:line="240" w:lineRule="auto"/>
              <w:jc w:val="right"/>
              <w:rPr>
                <w:rFonts w:cs="Arial"/>
                <w:sz w:val="16"/>
                <w:szCs w:val="16"/>
              </w:rPr>
            </w:pPr>
            <w:r w:rsidRPr="00EE5D67">
              <w:rPr>
                <w:rFonts w:cs="Arial"/>
                <w:sz w:val="16"/>
                <w:szCs w:val="16"/>
              </w:rPr>
              <w:t>608</w:t>
            </w:r>
          </w:p>
        </w:tc>
        <w:tc>
          <w:tcPr>
            <w:tcW w:w="830" w:type="dxa"/>
            <w:tcBorders>
              <w:top w:val="nil"/>
              <w:left w:val="nil"/>
              <w:bottom w:val="nil"/>
              <w:right w:val="nil"/>
            </w:tcBorders>
            <w:shd w:val="clear" w:color="000000" w:fill="FFFFFF"/>
            <w:noWrap/>
            <w:vAlign w:val="center"/>
            <w:hideMark/>
          </w:tcPr>
          <w:p w14:paraId="677158E4" w14:textId="77777777" w:rsidR="00EE5D67" w:rsidRPr="00EE5D67" w:rsidRDefault="00EE5D67" w:rsidP="00EE5D67">
            <w:pPr>
              <w:spacing w:after="0" w:line="240" w:lineRule="auto"/>
              <w:jc w:val="right"/>
              <w:rPr>
                <w:rFonts w:cs="Arial"/>
                <w:sz w:val="16"/>
                <w:szCs w:val="16"/>
              </w:rPr>
            </w:pPr>
            <w:r w:rsidRPr="00EE5D67">
              <w:rPr>
                <w:rFonts w:cs="Arial"/>
                <w:sz w:val="16"/>
                <w:szCs w:val="16"/>
              </w:rPr>
              <w:t>224</w:t>
            </w:r>
          </w:p>
        </w:tc>
        <w:tc>
          <w:tcPr>
            <w:tcW w:w="830" w:type="dxa"/>
            <w:tcBorders>
              <w:top w:val="nil"/>
              <w:left w:val="nil"/>
              <w:bottom w:val="nil"/>
              <w:right w:val="nil"/>
            </w:tcBorders>
            <w:shd w:val="clear" w:color="000000" w:fill="FFFFFF"/>
            <w:noWrap/>
            <w:vAlign w:val="center"/>
            <w:hideMark/>
          </w:tcPr>
          <w:p w14:paraId="026C04C3" w14:textId="77777777" w:rsidR="00EE5D67" w:rsidRPr="00EE5D67" w:rsidRDefault="00EE5D67" w:rsidP="00EE5D67">
            <w:pPr>
              <w:spacing w:after="0" w:line="240" w:lineRule="auto"/>
              <w:jc w:val="right"/>
              <w:rPr>
                <w:rFonts w:cs="Arial"/>
                <w:sz w:val="16"/>
                <w:szCs w:val="16"/>
              </w:rPr>
            </w:pPr>
            <w:r w:rsidRPr="00EE5D67">
              <w:rPr>
                <w:rFonts w:cs="Arial"/>
                <w:sz w:val="16"/>
                <w:szCs w:val="16"/>
              </w:rPr>
              <w:t>118</w:t>
            </w:r>
          </w:p>
        </w:tc>
        <w:tc>
          <w:tcPr>
            <w:tcW w:w="830" w:type="dxa"/>
            <w:tcBorders>
              <w:top w:val="nil"/>
              <w:left w:val="nil"/>
              <w:bottom w:val="nil"/>
              <w:right w:val="nil"/>
            </w:tcBorders>
            <w:shd w:val="clear" w:color="000000" w:fill="FFFFFF"/>
            <w:noWrap/>
            <w:vAlign w:val="center"/>
            <w:hideMark/>
          </w:tcPr>
          <w:p w14:paraId="04FF6FD4" w14:textId="77777777" w:rsidR="00EE5D67" w:rsidRPr="00EE5D67" w:rsidRDefault="00EE5D67" w:rsidP="00EE5D67">
            <w:pPr>
              <w:spacing w:after="0" w:line="240" w:lineRule="auto"/>
              <w:jc w:val="right"/>
              <w:rPr>
                <w:rFonts w:cs="Arial"/>
                <w:sz w:val="16"/>
                <w:szCs w:val="16"/>
              </w:rPr>
            </w:pPr>
            <w:r w:rsidRPr="00EE5D67">
              <w:rPr>
                <w:rFonts w:cs="Arial"/>
                <w:sz w:val="16"/>
                <w:szCs w:val="16"/>
              </w:rPr>
              <w:t>141</w:t>
            </w:r>
          </w:p>
        </w:tc>
      </w:tr>
      <w:tr w:rsidR="00EE5D67" w:rsidRPr="00EE5D67" w14:paraId="08106C71"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68D1AFD5" w14:textId="77777777" w:rsidR="00EE5D67" w:rsidRPr="00EE5D67" w:rsidRDefault="00EE5D67" w:rsidP="00EE5D67">
            <w:pPr>
              <w:spacing w:after="0" w:line="240" w:lineRule="auto"/>
              <w:rPr>
                <w:rFonts w:cs="Arial"/>
                <w:sz w:val="16"/>
                <w:szCs w:val="16"/>
              </w:rPr>
            </w:pPr>
            <w:r w:rsidRPr="00EE5D67">
              <w:rPr>
                <w:rFonts w:cs="Arial"/>
                <w:sz w:val="16"/>
                <w:szCs w:val="16"/>
              </w:rPr>
              <w:t>Karlovarský</w:t>
            </w:r>
          </w:p>
        </w:tc>
        <w:tc>
          <w:tcPr>
            <w:tcW w:w="750" w:type="dxa"/>
            <w:tcBorders>
              <w:top w:val="nil"/>
              <w:left w:val="nil"/>
              <w:bottom w:val="nil"/>
              <w:right w:val="nil"/>
            </w:tcBorders>
            <w:shd w:val="clear" w:color="000000" w:fill="FFFFFF"/>
            <w:vAlign w:val="center"/>
            <w:hideMark/>
          </w:tcPr>
          <w:p w14:paraId="4F535B70"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8 752</w:t>
            </w:r>
          </w:p>
        </w:tc>
        <w:tc>
          <w:tcPr>
            <w:tcW w:w="830" w:type="dxa"/>
            <w:tcBorders>
              <w:top w:val="nil"/>
              <w:left w:val="nil"/>
              <w:bottom w:val="nil"/>
              <w:right w:val="nil"/>
            </w:tcBorders>
            <w:shd w:val="clear" w:color="000000" w:fill="FFFFFF"/>
            <w:noWrap/>
            <w:vAlign w:val="center"/>
            <w:hideMark/>
          </w:tcPr>
          <w:p w14:paraId="4BE7C874" w14:textId="77777777" w:rsidR="00EE5D67" w:rsidRPr="00EE5D67" w:rsidRDefault="00EE5D67" w:rsidP="00EE5D67">
            <w:pPr>
              <w:spacing w:after="0" w:line="240" w:lineRule="auto"/>
              <w:jc w:val="right"/>
              <w:rPr>
                <w:rFonts w:cs="Arial"/>
                <w:sz w:val="16"/>
                <w:szCs w:val="16"/>
              </w:rPr>
            </w:pPr>
            <w:r w:rsidRPr="00EE5D67">
              <w:rPr>
                <w:rFonts w:cs="Arial"/>
                <w:sz w:val="16"/>
                <w:szCs w:val="16"/>
              </w:rPr>
              <w:t>4 040</w:t>
            </w:r>
          </w:p>
        </w:tc>
        <w:tc>
          <w:tcPr>
            <w:tcW w:w="830" w:type="dxa"/>
            <w:tcBorders>
              <w:top w:val="nil"/>
              <w:left w:val="nil"/>
              <w:bottom w:val="nil"/>
              <w:right w:val="nil"/>
            </w:tcBorders>
            <w:shd w:val="clear" w:color="000000" w:fill="FFFFFF"/>
            <w:noWrap/>
            <w:vAlign w:val="center"/>
            <w:hideMark/>
          </w:tcPr>
          <w:p w14:paraId="1601F225" w14:textId="77777777" w:rsidR="00EE5D67" w:rsidRPr="00EE5D67" w:rsidRDefault="00EE5D67" w:rsidP="00EE5D67">
            <w:pPr>
              <w:spacing w:after="0" w:line="240" w:lineRule="auto"/>
              <w:jc w:val="right"/>
              <w:rPr>
                <w:rFonts w:cs="Arial"/>
                <w:sz w:val="16"/>
                <w:szCs w:val="16"/>
              </w:rPr>
            </w:pPr>
            <w:r w:rsidRPr="00EE5D67">
              <w:rPr>
                <w:rFonts w:cs="Arial"/>
                <w:sz w:val="16"/>
                <w:szCs w:val="16"/>
              </w:rPr>
              <w:t>1 251</w:t>
            </w:r>
          </w:p>
        </w:tc>
        <w:tc>
          <w:tcPr>
            <w:tcW w:w="830" w:type="dxa"/>
            <w:tcBorders>
              <w:top w:val="nil"/>
              <w:left w:val="nil"/>
              <w:bottom w:val="nil"/>
              <w:right w:val="nil"/>
            </w:tcBorders>
            <w:shd w:val="clear" w:color="000000" w:fill="FFFFFF"/>
            <w:noWrap/>
            <w:vAlign w:val="center"/>
            <w:hideMark/>
          </w:tcPr>
          <w:p w14:paraId="63B32D69" w14:textId="77777777" w:rsidR="00EE5D67" w:rsidRPr="00EE5D67" w:rsidRDefault="00EE5D67" w:rsidP="00EE5D67">
            <w:pPr>
              <w:spacing w:after="0" w:line="240" w:lineRule="auto"/>
              <w:jc w:val="right"/>
              <w:rPr>
                <w:rFonts w:cs="Arial"/>
                <w:sz w:val="16"/>
                <w:szCs w:val="16"/>
              </w:rPr>
            </w:pPr>
            <w:r w:rsidRPr="00EE5D67">
              <w:rPr>
                <w:rFonts w:cs="Arial"/>
                <w:sz w:val="16"/>
                <w:szCs w:val="16"/>
              </w:rPr>
              <w:t>1 102</w:t>
            </w:r>
          </w:p>
        </w:tc>
        <w:tc>
          <w:tcPr>
            <w:tcW w:w="830" w:type="dxa"/>
            <w:tcBorders>
              <w:top w:val="nil"/>
              <w:left w:val="nil"/>
              <w:bottom w:val="nil"/>
              <w:right w:val="nil"/>
            </w:tcBorders>
            <w:shd w:val="clear" w:color="000000" w:fill="FFFFFF"/>
            <w:noWrap/>
            <w:vAlign w:val="center"/>
            <w:hideMark/>
          </w:tcPr>
          <w:p w14:paraId="6BE20948" w14:textId="77777777" w:rsidR="00EE5D67" w:rsidRPr="00EE5D67" w:rsidRDefault="00EE5D67" w:rsidP="00EE5D67">
            <w:pPr>
              <w:spacing w:after="0" w:line="240" w:lineRule="auto"/>
              <w:jc w:val="right"/>
              <w:rPr>
                <w:rFonts w:cs="Arial"/>
                <w:sz w:val="16"/>
                <w:szCs w:val="16"/>
              </w:rPr>
            </w:pPr>
            <w:r w:rsidRPr="00EE5D67">
              <w:rPr>
                <w:rFonts w:cs="Arial"/>
                <w:sz w:val="16"/>
                <w:szCs w:val="16"/>
              </w:rPr>
              <w:t>1 010</w:t>
            </w:r>
          </w:p>
        </w:tc>
        <w:tc>
          <w:tcPr>
            <w:tcW w:w="830" w:type="dxa"/>
            <w:tcBorders>
              <w:top w:val="nil"/>
              <w:left w:val="nil"/>
              <w:bottom w:val="nil"/>
              <w:right w:val="nil"/>
            </w:tcBorders>
            <w:shd w:val="clear" w:color="000000" w:fill="FFFFFF"/>
            <w:noWrap/>
            <w:vAlign w:val="center"/>
            <w:hideMark/>
          </w:tcPr>
          <w:p w14:paraId="598AFDD3" w14:textId="77777777" w:rsidR="00EE5D67" w:rsidRPr="00EE5D67" w:rsidRDefault="00EE5D67" w:rsidP="00EE5D67">
            <w:pPr>
              <w:spacing w:after="0" w:line="240" w:lineRule="auto"/>
              <w:jc w:val="right"/>
              <w:rPr>
                <w:rFonts w:cs="Arial"/>
                <w:sz w:val="16"/>
                <w:szCs w:val="16"/>
              </w:rPr>
            </w:pPr>
            <w:r w:rsidRPr="00EE5D67">
              <w:rPr>
                <w:rFonts w:cs="Arial"/>
                <w:sz w:val="16"/>
                <w:szCs w:val="16"/>
              </w:rPr>
              <w:t>452</w:t>
            </w:r>
          </w:p>
        </w:tc>
        <w:tc>
          <w:tcPr>
            <w:tcW w:w="830" w:type="dxa"/>
            <w:tcBorders>
              <w:top w:val="nil"/>
              <w:left w:val="nil"/>
              <w:bottom w:val="nil"/>
              <w:right w:val="nil"/>
            </w:tcBorders>
            <w:shd w:val="clear" w:color="000000" w:fill="FFFFFF"/>
            <w:noWrap/>
            <w:vAlign w:val="center"/>
            <w:hideMark/>
          </w:tcPr>
          <w:p w14:paraId="44386C6E" w14:textId="77777777" w:rsidR="00EE5D67" w:rsidRPr="00EE5D67" w:rsidRDefault="00EE5D67" w:rsidP="00EE5D67">
            <w:pPr>
              <w:spacing w:after="0" w:line="240" w:lineRule="auto"/>
              <w:jc w:val="right"/>
              <w:rPr>
                <w:rFonts w:cs="Arial"/>
                <w:sz w:val="16"/>
                <w:szCs w:val="16"/>
              </w:rPr>
            </w:pPr>
            <w:r w:rsidRPr="00EE5D67">
              <w:rPr>
                <w:rFonts w:cs="Arial"/>
                <w:sz w:val="16"/>
                <w:szCs w:val="16"/>
              </w:rPr>
              <w:t>518</w:t>
            </w:r>
          </w:p>
        </w:tc>
        <w:tc>
          <w:tcPr>
            <w:tcW w:w="830" w:type="dxa"/>
            <w:tcBorders>
              <w:top w:val="nil"/>
              <w:left w:val="nil"/>
              <w:bottom w:val="nil"/>
              <w:right w:val="nil"/>
            </w:tcBorders>
            <w:shd w:val="clear" w:color="000000" w:fill="FFFFFF"/>
            <w:noWrap/>
            <w:vAlign w:val="center"/>
            <w:hideMark/>
          </w:tcPr>
          <w:p w14:paraId="43A49D90" w14:textId="77777777" w:rsidR="00EE5D67" w:rsidRPr="00EE5D67" w:rsidRDefault="00EE5D67" w:rsidP="00EE5D67">
            <w:pPr>
              <w:spacing w:after="0" w:line="240" w:lineRule="auto"/>
              <w:jc w:val="right"/>
              <w:rPr>
                <w:rFonts w:cs="Arial"/>
                <w:sz w:val="16"/>
                <w:szCs w:val="16"/>
              </w:rPr>
            </w:pPr>
            <w:r w:rsidRPr="00EE5D67">
              <w:rPr>
                <w:rFonts w:cs="Arial"/>
                <w:sz w:val="16"/>
                <w:szCs w:val="16"/>
              </w:rPr>
              <w:t>166</w:t>
            </w:r>
          </w:p>
        </w:tc>
        <w:tc>
          <w:tcPr>
            <w:tcW w:w="830" w:type="dxa"/>
            <w:tcBorders>
              <w:top w:val="nil"/>
              <w:left w:val="nil"/>
              <w:bottom w:val="nil"/>
              <w:right w:val="nil"/>
            </w:tcBorders>
            <w:shd w:val="clear" w:color="000000" w:fill="FFFFFF"/>
            <w:noWrap/>
            <w:vAlign w:val="center"/>
            <w:hideMark/>
          </w:tcPr>
          <w:p w14:paraId="1D3D82D8" w14:textId="77777777" w:rsidR="00EE5D67" w:rsidRPr="00EE5D67" w:rsidRDefault="00EE5D67" w:rsidP="00EE5D67">
            <w:pPr>
              <w:spacing w:after="0" w:line="240" w:lineRule="auto"/>
              <w:jc w:val="right"/>
              <w:rPr>
                <w:rFonts w:cs="Arial"/>
                <w:sz w:val="16"/>
                <w:szCs w:val="16"/>
              </w:rPr>
            </w:pPr>
            <w:r w:rsidRPr="00EE5D67">
              <w:rPr>
                <w:rFonts w:cs="Arial"/>
                <w:sz w:val="16"/>
                <w:szCs w:val="16"/>
              </w:rPr>
              <w:t>91</w:t>
            </w:r>
          </w:p>
        </w:tc>
        <w:tc>
          <w:tcPr>
            <w:tcW w:w="830" w:type="dxa"/>
            <w:tcBorders>
              <w:top w:val="nil"/>
              <w:left w:val="nil"/>
              <w:bottom w:val="nil"/>
              <w:right w:val="nil"/>
            </w:tcBorders>
            <w:shd w:val="clear" w:color="000000" w:fill="FFFFFF"/>
            <w:noWrap/>
            <w:vAlign w:val="center"/>
            <w:hideMark/>
          </w:tcPr>
          <w:p w14:paraId="5BD150AA" w14:textId="77777777" w:rsidR="00EE5D67" w:rsidRPr="00EE5D67" w:rsidRDefault="00EE5D67" w:rsidP="00EE5D67">
            <w:pPr>
              <w:spacing w:after="0" w:line="240" w:lineRule="auto"/>
              <w:jc w:val="right"/>
              <w:rPr>
                <w:rFonts w:cs="Arial"/>
                <w:sz w:val="16"/>
                <w:szCs w:val="16"/>
              </w:rPr>
            </w:pPr>
            <w:r w:rsidRPr="00EE5D67">
              <w:rPr>
                <w:rFonts w:cs="Arial"/>
                <w:sz w:val="16"/>
                <w:szCs w:val="16"/>
              </w:rPr>
              <w:t>121</w:t>
            </w:r>
          </w:p>
        </w:tc>
      </w:tr>
      <w:tr w:rsidR="00EE5D67" w:rsidRPr="00EE5D67" w14:paraId="6970FD6F"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791CE6FE" w14:textId="77777777" w:rsidR="00EE5D67" w:rsidRPr="00EE5D67" w:rsidRDefault="00EE5D67" w:rsidP="00EE5D67">
            <w:pPr>
              <w:spacing w:after="0" w:line="240" w:lineRule="auto"/>
              <w:rPr>
                <w:rFonts w:cs="Arial"/>
                <w:sz w:val="16"/>
                <w:szCs w:val="16"/>
              </w:rPr>
            </w:pPr>
            <w:r w:rsidRPr="00EE5D67">
              <w:rPr>
                <w:rFonts w:cs="Arial"/>
                <w:sz w:val="16"/>
                <w:szCs w:val="16"/>
              </w:rPr>
              <w:t>Ústecký</w:t>
            </w:r>
          </w:p>
        </w:tc>
        <w:tc>
          <w:tcPr>
            <w:tcW w:w="750" w:type="dxa"/>
            <w:tcBorders>
              <w:top w:val="nil"/>
              <w:left w:val="nil"/>
              <w:bottom w:val="nil"/>
              <w:right w:val="nil"/>
            </w:tcBorders>
            <w:shd w:val="clear" w:color="000000" w:fill="FFFFFF"/>
            <w:vAlign w:val="center"/>
            <w:hideMark/>
          </w:tcPr>
          <w:p w14:paraId="64D68419"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9 063</w:t>
            </w:r>
          </w:p>
        </w:tc>
        <w:tc>
          <w:tcPr>
            <w:tcW w:w="830" w:type="dxa"/>
            <w:tcBorders>
              <w:top w:val="nil"/>
              <w:left w:val="nil"/>
              <w:bottom w:val="nil"/>
              <w:right w:val="nil"/>
            </w:tcBorders>
            <w:shd w:val="clear" w:color="000000" w:fill="FFFFFF"/>
            <w:noWrap/>
            <w:vAlign w:val="center"/>
            <w:hideMark/>
          </w:tcPr>
          <w:p w14:paraId="1496AD98" w14:textId="77777777" w:rsidR="00EE5D67" w:rsidRPr="00EE5D67" w:rsidRDefault="00EE5D67" w:rsidP="00EE5D67">
            <w:pPr>
              <w:spacing w:after="0" w:line="240" w:lineRule="auto"/>
              <w:jc w:val="right"/>
              <w:rPr>
                <w:rFonts w:cs="Arial"/>
                <w:sz w:val="16"/>
                <w:szCs w:val="16"/>
              </w:rPr>
            </w:pPr>
            <w:r w:rsidRPr="00EE5D67">
              <w:rPr>
                <w:rFonts w:cs="Arial"/>
                <w:sz w:val="16"/>
                <w:szCs w:val="16"/>
              </w:rPr>
              <w:t>4 454</w:t>
            </w:r>
          </w:p>
        </w:tc>
        <w:tc>
          <w:tcPr>
            <w:tcW w:w="830" w:type="dxa"/>
            <w:tcBorders>
              <w:top w:val="nil"/>
              <w:left w:val="nil"/>
              <w:bottom w:val="nil"/>
              <w:right w:val="nil"/>
            </w:tcBorders>
            <w:shd w:val="clear" w:color="000000" w:fill="FFFFFF"/>
            <w:noWrap/>
            <w:vAlign w:val="center"/>
            <w:hideMark/>
          </w:tcPr>
          <w:p w14:paraId="738E5304" w14:textId="77777777" w:rsidR="00EE5D67" w:rsidRPr="00EE5D67" w:rsidRDefault="00EE5D67" w:rsidP="00EE5D67">
            <w:pPr>
              <w:spacing w:after="0" w:line="240" w:lineRule="auto"/>
              <w:jc w:val="right"/>
              <w:rPr>
                <w:rFonts w:cs="Arial"/>
                <w:sz w:val="16"/>
                <w:szCs w:val="16"/>
              </w:rPr>
            </w:pPr>
            <w:r w:rsidRPr="00EE5D67">
              <w:rPr>
                <w:rFonts w:cs="Arial"/>
                <w:sz w:val="16"/>
                <w:szCs w:val="16"/>
              </w:rPr>
              <w:t>1 240</w:t>
            </w:r>
          </w:p>
        </w:tc>
        <w:tc>
          <w:tcPr>
            <w:tcW w:w="830" w:type="dxa"/>
            <w:tcBorders>
              <w:top w:val="nil"/>
              <w:left w:val="nil"/>
              <w:bottom w:val="nil"/>
              <w:right w:val="nil"/>
            </w:tcBorders>
            <w:shd w:val="clear" w:color="000000" w:fill="FFFFFF"/>
            <w:noWrap/>
            <w:vAlign w:val="center"/>
            <w:hideMark/>
          </w:tcPr>
          <w:p w14:paraId="3613C680" w14:textId="77777777" w:rsidR="00EE5D67" w:rsidRPr="00EE5D67" w:rsidRDefault="00EE5D67" w:rsidP="00EE5D67">
            <w:pPr>
              <w:spacing w:after="0" w:line="240" w:lineRule="auto"/>
              <w:jc w:val="right"/>
              <w:rPr>
                <w:rFonts w:cs="Arial"/>
                <w:sz w:val="16"/>
                <w:szCs w:val="16"/>
              </w:rPr>
            </w:pPr>
            <w:r w:rsidRPr="00EE5D67">
              <w:rPr>
                <w:rFonts w:cs="Arial"/>
                <w:sz w:val="16"/>
                <w:szCs w:val="16"/>
              </w:rPr>
              <w:t>740</w:t>
            </w:r>
          </w:p>
        </w:tc>
        <w:tc>
          <w:tcPr>
            <w:tcW w:w="830" w:type="dxa"/>
            <w:tcBorders>
              <w:top w:val="nil"/>
              <w:left w:val="nil"/>
              <w:bottom w:val="nil"/>
              <w:right w:val="nil"/>
            </w:tcBorders>
            <w:shd w:val="clear" w:color="000000" w:fill="FFFFFF"/>
            <w:noWrap/>
            <w:vAlign w:val="center"/>
            <w:hideMark/>
          </w:tcPr>
          <w:p w14:paraId="2FB2F4B1" w14:textId="77777777" w:rsidR="00EE5D67" w:rsidRPr="00EE5D67" w:rsidRDefault="00EE5D67" w:rsidP="00EE5D67">
            <w:pPr>
              <w:spacing w:after="0" w:line="240" w:lineRule="auto"/>
              <w:jc w:val="right"/>
              <w:rPr>
                <w:rFonts w:cs="Arial"/>
                <w:sz w:val="16"/>
                <w:szCs w:val="16"/>
              </w:rPr>
            </w:pPr>
            <w:r w:rsidRPr="00EE5D67">
              <w:rPr>
                <w:rFonts w:cs="Arial"/>
                <w:sz w:val="16"/>
                <w:szCs w:val="16"/>
              </w:rPr>
              <w:t>1 093</w:t>
            </w:r>
          </w:p>
        </w:tc>
        <w:tc>
          <w:tcPr>
            <w:tcW w:w="830" w:type="dxa"/>
            <w:tcBorders>
              <w:top w:val="nil"/>
              <w:left w:val="nil"/>
              <w:bottom w:val="nil"/>
              <w:right w:val="nil"/>
            </w:tcBorders>
            <w:shd w:val="clear" w:color="000000" w:fill="FFFFFF"/>
            <w:noWrap/>
            <w:vAlign w:val="center"/>
            <w:hideMark/>
          </w:tcPr>
          <w:p w14:paraId="7F61FC1E" w14:textId="77777777" w:rsidR="00EE5D67" w:rsidRPr="00EE5D67" w:rsidRDefault="00EE5D67" w:rsidP="00EE5D67">
            <w:pPr>
              <w:spacing w:after="0" w:line="240" w:lineRule="auto"/>
              <w:jc w:val="right"/>
              <w:rPr>
                <w:rFonts w:cs="Arial"/>
                <w:sz w:val="16"/>
                <w:szCs w:val="16"/>
              </w:rPr>
            </w:pPr>
            <w:r w:rsidRPr="00EE5D67">
              <w:rPr>
                <w:rFonts w:cs="Arial"/>
                <w:sz w:val="16"/>
                <w:szCs w:val="16"/>
              </w:rPr>
              <w:t>506</w:t>
            </w:r>
          </w:p>
        </w:tc>
        <w:tc>
          <w:tcPr>
            <w:tcW w:w="830" w:type="dxa"/>
            <w:tcBorders>
              <w:top w:val="nil"/>
              <w:left w:val="nil"/>
              <w:bottom w:val="nil"/>
              <w:right w:val="nil"/>
            </w:tcBorders>
            <w:shd w:val="clear" w:color="000000" w:fill="FFFFFF"/>
            <w:noWrap/>
            <w:vAlign w:val="center"/>
            <w:hideMark/>
          </w:tcPr>
          <w:p w14:paraId="6D121896" w14:textId="77777777" w:rsidR="00EE5D67" w:rsidRPr="00EE5D67" w:rsidRDefault="00EE5D67" w:rsidP="00EE5D67">
            <w:pPr>
              <w:spacing w:after="0" w:line="240" w:lineRule="auto"/>
              <w:jc w:val="right"/>
              <w:rPr>
                <w:rFonts w:cs="Arial"/>
                <w:sz w:val="16"/>
                <w:szCs w:val="16"/>
              </w:rPr>
            </w:pPr>
            <w:r w:rsidRPr="00EE5D67">
              <w:rPr>
                <w:rFonts w:cs="Arial"/>
                <w:sz w:val="16"/>
                <w:szCs w:val="16"/>
              </w:rPr>
              <w:t>570</w:t>
            </w:r>
          </w:p>
        </w:tc>
        <w:tc>
          <w:tcPr>
            <w:tcW w:w="830" w:type="dxa"/>
            <w:tcBorders>
              <w:top w:val="nil"/>
              <w:left w:val="nil"/>
              <w:bottom w:val="nil"/>
              <w:right w:val="nil"/>
            </w:tcBorders>
            <w:shd w:val="clear" w:color="000000" w:fill="FFFFFF"/>
            <w:noWrap/>
            <w:vAlign w:val="center"/>
            <w:hideMark/>
          </w:tcPr>
          <w:p w14:paraId="6A461EE9" w14:textId="77777777" w:rsidR="00EE5D67" w:rsidRPr="00EE5D67" w:rsidRDefault="00EE5D67" w:rsidP="00EE5D67">
            <w:pPr>
              <w:spacing w:after="0" w:line="240" w:lineRule="auto"/>
              <w:jc w:val="right"/>
              <w:rPr>
                <w:rFonts w:cs="Arial"/>
                <w:sz w:val="16"/>
                <w:szCs w:val="16"/>
              </w:rPr>
            </w:pPr>
            <w:r w:rsidRPr="00EE5D67">
              <w:rPr>
                <w:rFonts w:cs="Arial"/>
                <w:sz w:val="16"/>
                <w:szCs w:val="16"/>
              </w:rPr>
              <w:t>207</w:t>
            </w:r>
          </w:p>
        </w:tc>
        <w:tc>
          <w:tcPr>
            <w:tcW w:w="830" w:type="dxa"/>
            <w:tcBorders>
              <w:top w:val="nil"/>
              <w:left w:val="nil"/>
              <w:bottom w:val="nil"/>
              <w:right w:val="nil"/>
            </w:tcBorders>
            <w:shd w:val="clear" w:color="000000" w:fill="FFFFFF"/>
            <w:noWrap/>
            <w:vAlign w:val="center"/>
            <w:hideMark/>
          </w:tcPr>
          <w:p w14:paraId="1F1CCA8E" w14:textId="77777777" w:rsidR="00EE5D67" w:rsidRPr="00EE5D67" w:rsidRDefault="00EE5D67" w:rsidP="00EE5D67">
            <w:pPr>
              <w:spacing w:after="0" w:line="240" w:lineRule="auto"/>
              <w:jc w:val="right"/>
              <w:rPr>
                <w:rFonts w:cs="Arial"/>
                <w:sz w:val="16"/>
                <w:szCs w:val="16"/>
              </w:rPr>
            </w:pPr>
            <w:r w:rsidRPr="00EE5D67">
              <w:rPr>
                <w:rFonts w:cs="Arial"/>
                <w:sz w:val="16"/>
                <w:szCs w:val="16"/>
              </w:rPr>
              <w:t>122</w:t>
            </w:r>
          </w:p>
        </w:tc>
        <w:tc>
          <w:tcPr>
            <w:tcW w:w="830" w:type="dxa"/>
            <w:tcBorders>
              <w:top w:val="nil"/>
              <w:left w:val="nil"/>
              <w:bottom w:val="nil"/>
              <w:right w:val="nil"/>
            </w:tcBorders>
            <w:shd w:val="clear" w:color="000000" w:fill="FFFFFF"/>
            <w:noWrap/>
            <w:vAlign w:val="center"/>
            <w:hideMark/>
          </w:tcPr>
          <w:p w14:paraId="2E93715E" w14:textId="77777777" w:rsidR="00EE5D67" w:rsidRPr="00EE5D67" w:rsidRDefault="00EE5D67" w:rsidP="00EE5D67">
            <w:pPr>
              <w:spacing w:after="0" w:line="240" w:lineRule="auto"/>
              <w:jc w:val="right"/>
              <w:rPr>
                <w:rFonts w:cs="Arial"/>
                <w:sz w:val="16"/>
                <w:szCs w:val="16"/>
              </w:rPr>
            </w:pPr>
            <w:r w:rsidRPr="00EE5D67">
              <w:rPr>
                <w:rFonts w:cs="Arial"/>
                <w:sz w:val="16"/>
                <w:szCs w:val="16"/>
              </w:rPr>
              <w:t>130</w:t>
            </w:r>
          </w:p>
        </w:tc>
      </w:tr>
      <w:tr w:rsidR="00EE5D67" w:rsidRPr="00EE5D67" w14:paraId="59FBCFE0"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2EB786CF" w14:textId="77777777" w:rsidR="00EE5D67" w:rsidRPr="00EE5D67" w:rsidRDefault="00EE5D67" w:rsidP="00EE5D67">
            <w:pPr>
              <w:spacing w:after="0" w:line="240" w:lineRule="auto"/>
              <w:rPr>
                <w:rFonts w:cs="Arial"/>
                <w:sz w:val="16"/>
                <w:szCs w:val="16"/>
              </w:rPr>
            </w:pPr>
            <w:r w:rsidRPr="00EE5D67">
              <w:rPr>
                <w:rFonts w:cs="Arial"/>
                <w:sz w:val="16"/>
                <w:szCs w:val="16"/>
              </w:rPr>
              <w:t>Liberecký</w:t>
            </w:r>
          </w:p>
        </w:tc>
        <w:tc>
          <w:tcPr>
            <w:tcW w:w="750" w:type="dxa"/>
            <w:tcBorders>
              <w:top w:val="nil"/>
              <w:left w:val="nil"/>
              <w:bottom w:val="nil"/>
              <w:right w:val="nil"/>
            </w:tcBorders>
            <w:shd w:val="clear" w:color="000000" w:fill="FFFFFF"/>
            <w:vAlign w:val="center"/>
            <w:hideMark/>
          </w:tcPr>
          <w:p w14:paraId="51BB73DD"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10 296</w:t>
            </w:r>
          </w:p>
        </w:tc>
        <w:tc>
          <w:tcPr>
            <w:tcW w:w="830" w:type="dxa"/>
            <w:tcBorders>
              <w:top w:val="nil"/>
              <w:left w:val="nil"/>
              <w:bottom w:val="nil"/>
              <w:right w:val="nil"/>
            </w:tcBorders>
            <w:shd w:val="clear" w:color="000000" w:fill="FFFFFF"/>
            <w:noWrap/>
            <w:vAlign w:val="center"/>
            <w:hideMark/>
          </w:tcPr>
          <w:p w14:paraId="1F58B5C3" w14:textId="77777777" w:rsidR="00EE5D67" w:rsidRPr="00EE5D67" w:rsidRDefault="00EE5D67" w:rsidP="00EE5D67">
            <w:pPr>
              <w:spacing w:after="0" w:line="240" w:lineRule="auto"/>
              <w:jc w:val="right"/>
              <w:rPr>
                <w:rFonts w:cs="Arial"/>
                <w:sz w:val="16"/>
                <w:szCs w:val="16"/>
              </w:rPr>
            </w:pPr>
            <w:r w:rsidRPr="00EE5D67">
              <w:rPr>
                <w:rFonts w:cs="Arial"/>
                <w:sz w:val="16"/>
                <w:szCs w:val="16"/>
              </w:rPr>
              <w:t>5 222</w:t>
            </w:r>
          </w:p>
        </w:tc>
        <w:tc>
          <w:tcPr>
            <w:tcW w:w="830" w:type="dxa"/>
            <w:tcBorders>
              <w:top w:val="nil"/>
              <w:left w:val="nil"/>
              <w:bottom w:val="nil"/>
              <w:right w:val="nil"/>
            </w:tcBorders>
            <w:shd w:val="clear" w:color="000000" w:fill="FFFFFF"/>
            <w:noWrap/>
            <w:vAlign w:val="center"/>
            <w:hideMark/>
          </w:tcPr>
          <w:p w14:paraId="2941B077" w14:textId="77777777" w:rsidR="00EE5D67" w:rsidRPr="00EE5D67" w:rsidRDefault="00EE5D67" w:rsidP="00EE5D67">
            <w:pPr>
              <w:spacing w:after="0" w:line="240" w:lineRule="auto"/>
              <w:jc w:val="right"/>
              <w:rPr>
                <w:rFonts w:cs="Arial"/>
                <w:sz w:val="16"/>
                <w:szCs w:val="16"/>
              </w:rPr>
            </w:pPr>
            <w:r w:rsidRPr="00EE5D67">
              <w:rPr>
                <w:rFonts w:cs="Arial"/>
                <w:sz w:val="16"/>
                <w:szCs w:val="16"/>
              </w:rPr>
              <w:t>1 418</w:t>
            </w:r>
          </w:p>
        </w:tc>
        <w:tc>
          <w:tcPr>
            <w:tcW w:w="830" w:type="dxa"/>
            <w:tcBorders>
              <w:top w:val="nil"/>
              <w:left w:val="nil"/>
              <w:bottom w:val="nil"/>
              <w:right w:val="nil"/>
            </w:tcBorders>
            <w:shd w:val="clear" w:color="000000" w:fill="FFFFFF"/>
            <w:noWrap/>
            <w:vAlign w:val="center"/>
            <w:hideMark/>
          </w:tcPr>
          <w:p w14:paraId="581B88AA" w14:textId="77777777" w:rsidR="00EE5D67" w:rsidRPr="00EE5D67" w:rsidRDefault="00EE5D67" w:rsidP="00EE5D67">
            <w:pPr>
              <w:spacing w:after="0" w:line="240" w:lineRule="auto"/>
              <w:jc w:val="right"/>
              <w:rPr>
                <w:rFonts w:cs="Arial"/>
                <w:sz w:val="16"/>
                <w:szCs w:val="16"/>
              </w:rPr>
            </w:pPr>
            <w:r w:rsidRPr="00EE5D67">
              <w:rPr>
                <w:rFonts w:cs="Arial"/>
                <w:sz w:val="16"/>
                <w:szCs w:val="16"/>
              </w:rPr>
              <w:t>820</w:t>
            </w:r>
          </w:p>
        </w:tc>
        <w:tc>
          <w:tcPr>
            <w:tcW w:w="830" w:type="dxa"/>
            <w:tcBorders>
              <w:top w:val="nil"/>
              <w:left w:val="nil"/>
              <w:bottom w:val="nil"/>
              <w:right w:val="nil"/>
            </w:tcBorders>
            <w:shd w:val="clear" w:color="000000" w:fill="FFFFFF"/>
            <w:noWrap/>
            <w:vAlign w:val="center"/>
            <w:hideMark/>
          </w:tcPr>
          <w:p w14:paraId="3356CDE1" w14:textId="77777777" w:rsidR="00EE5D67" w:rsidRPr="00EE5D67" w:rsidRDefault="00EE5D67" w:rsidP="00EE5D67">
            <w:pPr>
              <w:spacing w:after="0" w:line="240" w:lineRule="auto"/>
              <w:jc w:val="right"/>
              <w:rPr>
                <w:rFonts w:cs="Arial"/>
                <w:sz w:val="16"/>
                <w:szCs w:val="16"/>
              </w:rPr>
            </w:pPr>
            <w:r w:rsidRPr="00EE5D67">
              <w:rPr>
                <w:rFonts w:cs="Arial"/>
                <w:sz w:val="16"/>
                <w:szCs w:val="16"/>
              </w:rPr>
              <w:t>1 172</w:t>
            </w:r>
          </w:p>
        </w:tc>
        <w:tc>
          <w:tcPr>
            <w:tcW w:w="830" w:type="dxa"/>
            <w:tcBorders>
              <w:top w:val="nil"/>
              <w:left w:val="nil"/>
              <w:bottom w:val="nil"/>
              <w:right w:val="nil"/>
            </w:tcBorders>
            <w:shd w:val="clear" w:color="000000" w:fill="FFFFFF"/>
            <w:noWrap/>
            <w:vAlign w:val="center"/>
            <w:hideMark/>
          </w:tcPr>
          <w:p w14:paraId="24250EB3" w14:textId="77777777" w:rsidR="00EE5D67" w:rsidRPr="00EE5D67" w:rsidRDefault="00EE5D67" w:rsidP="00EE5D67">
            <w:pPr>
              <w:spacing w:after="0" w:line="240" w:lineRule="auto"/>
              <w:jc w:val="right"/>
              <w:rPr>
                <w:rFonts w:cs="Arial"/>
                <w:sz w:val="16"/>
                <w:szCs w:val="16"/>
              </w:rPr>
            </w:pPr>
            <w:r w:rsidRPr="00EE5D67">
              <w:rPr>
                <w:rFonts w:cs="Arial"/>
                <w:sz w:val="16"/>
                <w:szCs w:val="16"/>
              </w:rPr>
              <w:t>527</w:t>
            </w:r>
          </w:p>
        </w:tc>
        <w:tc>
          <w:tcPr>
            <w:tcW w:w="830" w:type="dxa"/>
            <w:tcBorders>
              <w:top w:val="nil"/>
              <w:left w:val="nil"/>
              <w:bottom w:val="nil"/>
              <w:right w:val="nil"/>
            </w:tcBorders>
            <w:shd w:val="clear" w:color="000000" w:fill="FFFFFF"/>
            <w:noWrap/>
            <w:vAlign w:val="center"/>
            <w:hideMark/>
          </w:tcPr>
          <w:p w14:paraId="3CB1BA53" w14:textId="77777777" w:rsidR="00EE5D67" w:rsidRPr="00EE5D67" w:rsidRDefault="00EE5D67" w:rsidP="00EE5D67">
            <w:pPr>
              <w:spacing w:after="0" w:line="240" w:lineRule="auto"/>
              <w:jc w:val="right"/>
              <w:rPr>
                <w:rFonts w:cs="Arial"/>
                <w:sz w:val="16"/>
                <w:szCs w:val="16"/>
              </w:rPr>
            </w:pPr>
            <w:r w:rsidRPr="00EE5D67">
              <w:rPr>
                <w:rFonts w:cs="Arial"/>
                <w:sz w:val="16"/>
                <w:szCs w:val="16"/>
              </w:rPr>
              <w:t>661</w:t>
            </w:r>
          </w:p>
        </w:tc>
        <w:tc>
          <w:tcPr>
            <w:tcW w:w="830" w:type="dxa"/>
            <w:tcBorders>
              <w:top w:val="nil"/>
              <w:left w:val="nil"/>
              <w:bottom w:val="nil"/>
              <w:right w:val="nil"/>
            </w:tcBorders>
            <w:shd w:val="clear" w:color="000000" w:fill="FFFFFF"/>
            <w:noWrap/>
            <w:vAlign w:val="center"/>
            <w:hideMark/>
          </w:tcPr>
          <w:p w14:paraId="0945DF11" w14:textId="77777777" w:rsidR="00EE5D67" w:rsidRPr="00EE5D67" w:rsidRDefault="00EE5D67" w:rsidP="00EE5D67">
            <w:pPr>
              <w:spacing w:after="0" w:line="240" w:lineRule="auto"/>
              <w:jc w:val="right"/>
              <w:rPr>
                <w:rFonts w:cs="Arial"/>
                <w:sz w:val="16"/>
                <w:szCs w:val="16"/>
              </w:rPr>
            </w:pPr>
            <w:r w:rsidRPr="00EE5D67">
              <w:rPr>
                <w:rFonts w:cs="Arial"/>
                <w:sz w:val="16"/>
                <w:szCs w:val="16"/>
              </w:rPr>
              <w:t>226</w:t>
            </w:r>
          </w:p>
        </w:tc>
        <w:tc>
          <w:tcPr>
            <w:tcW w:w="830" w:type="dxa"/>
            <w:tcBorders>
              <w:top w:val="nil"/>
              <w:left w:val="nil"/>
              <w:bottom w:val="nil"/>
              <w:right w:val="nil"/>
            </w:tcBorders>
            <w:shd w:val="clear" w:color="000000" w:fill="FFFFFF"/>
            <w:noWrap/>
            <w:vAlign w:val="center"/>
            <w:hideMark/>
          </w:tcPr>
          <w:p w14:paraId="588B4BA4" w14:textId="77777777" w:rsidR="00EE5D67" w:rsidRPr="00EE5D67" w:rsidRDefault="00EE5D67" w:rsidP="00EE5D67">
            <w:pPr>
              <w:spacing w:after="0" w:line="240" w:lineRule="auto"/>
              <w:jc w:val="right"/>
              <w:rPr>
                <w:rFonts w:cs="Arial"/>
                <w:sz w:val="16"/>
                <w:szCs w:val="16"/>
              </w:rPr>
            </w:pPr>
            <w:r w:rsidRPr="00EE5D67">
              <w:rPr>
                <w:rFonts w:cs="Arial"/>
                <w:sz w:val="16"/>
                <w:szCs w:val="16"/>
              </w:rPr>
              <w:t>127</w:t>
            </w:r>
          </w:p>
        </w:tc>
        <w:tc>
          <w:tcPr>
            <w:tcW w:w="830" w:type="dxa"/>
            <w:tcBorders>
              <w:top w:val="nil"/>
              <w:left w:val="nil"/>
              <w:bottom w:val="nil"/>
              <w:right w:val="nil"/>
            </w:tcBorders>
            <w:shd w:val="clear" w:color="000000" w:fill="FFFFFF"/>
            <w:noWrap/>
            <w:vAlign w:val="center"/>
            <w:hideMark/>
          </w:tcPr>
          <w:p w14:paraId="72E1C2D1" w14:textId="77777777" w:rsidR="00EE5D67" w:rsidRPr="00EE5D67" w:rsidRDefault="00EE5D67" w:rsidP="00EE5D67">
            <w:pPr>
              <w:spacing w:after="0" w:line="240" w:lineRule="auto"/>
              <w:jc w:val="right"/>
              <w:rPr>
                <w:rFonts w:cs="Arial"/>
                <w:sz w:val="16"/>
                <w:szCs w:val="16"/>
              </w:rPr>
            </w:pPr>
            <w:r w:rsidRPr="00EE5D67">
              <w:rPr>
                <w:rFonts w:cs="Arial"/>
                <w:sz w:val="16"/>
                <w:szCs w:val="16"/>
              </w:rPr>
              <w:t>123</w:t>
            </w:r>
          </w:p>
        </w:tc>
      </w:tr>
      <w:tr w:rsidR="00EE5D67" w:rsidRPr="00EE5D67" w14:paraId="0196C988"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2C629945" w14:textId="77777777" w:rsidR="00EE5D67" w:rsidRPr="00EE5D67" w:rsidRDefault="00EE5D67" w:rsidP="00EE5D67">
            <w:pPr>
              <w:spacing w:after="0" w:line="240" w:lineRule="auto"/>
              <w:rPr>
                <w:rFonts w:cs="Arial"/>
                <w:sz w:val="16"/>
                <w:szCs w:val="16"/>
              </w:rPr>
            </w:pPr>
            <w:r w:rsidRPr="00EE5D67">
              <w:rPr>
                <w:rFonts w:cs="Arial"/>
                <w:sz w:val="16"/>
                <w:szCs w:val="16"/>
              </w:rPr>
              <w:t xml:space="preserve">Královéhradecký </w:t>
            </w:r>
          </w:p>
        </w:tc>
        <w:tc>
          <w:tcPr>
            <w:tcW w:w="750" w:type="dxa"/>
            <w:tcBorders>
              <w:top w:val="nil"/>
              <w:left w:val="nil"/>
              <w:bottom w:val="nil"/>
              <w:right w:val="nil"/>
            </w:tcBorders>
            <w:shd w:val="clear" w:color="000000" w:fill="FFFFFF"/>
            <w:vAlign w:val="center"/>
            <w:hideMark/>
          </w:tcPr>
          <w:p w14:paraId="5D9EBE30"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10 160</w:t>
            </w:r>
          </w:p>
        </w:tc>
        <w:tc>
          <w:tcPr>
            <w:tcW w:w="830" w:type="dxa"/>
            <w:tcBorders>
              <w:top w:val="nil"/>
              <w:left w:val="nil"/>
              <w:bottom w:val="nil"/>
              <w:right w:val="nil"/>
            </w:tcBorders>
            <w:shd w:val="clear" w:color="000000" w:fill="FFFFFF"/>
            <w:noWrap/>
            <w:vAlign w:val="center"/>
            <w:hideMark/>
          </w:tcPr>
          <w:p w14:paraId="2DF31446" w14:textId="77777777" w:rsidR="00EE5D67" w:rsidRPr="00EE5D67" w:rsidRDefault="00EE5D67" w:rsidP="00EE5D67">
            <w:pPr>
              <w:spacing w:after="0" w:line="240" w:lineRule="auto"/>
              <w:jc w:val="right"/>
              <w:rPr>
                <w:rFonts w:cs="Arial"/>
                <w:sz w:val="16"/>
                <w:szCs w:val="16"/>
              </w:rPr>
            </w:pPr>
            <w:r w:rsidRPr="00EE5D67">
              <w:rPr>
                <w:rFonts w:cs="Arial"/>
                <w:sz w:val="16"/>
                <w:szCs w:val="16"/>
              </w:rPr>
              <w:t>4 964</w:t>
            </w:r>
          </w:p>
        </w:tc>
        <w:tc>
          <w:tcPr>
            <w:tcW w:w="830" w:type="dxa"/>
            <w:tcBorders>
              <w:top w:val="nil"/>
              <w:left w:val="nil"/>
              <w:bottom w:val="nil"/>
              <w:right w:val="nil"/>
            </w:tcBorders>
            <w:shd w:val="clear" w:color="000000" w:fill="FFFFFF"/>
            <w:noWrap/>
            <w:vAlign w:val="center"/>
            <w:hideMark/>
          </w:tcPr>
          <w:p w14:paraId="615D9D4A" w14:textId="77777777" w:rsidR="00EE5D67" w:rsidRPr="00EE5D67" w:rsidRDefault="00EE5D67" w:rsidP="00EE5D67">
            <w:pPr>
              <w:spacing w:after="0" w:line="240" w:lineRule="auto"/>
              <w:jc w:val="right"/>
              <w:rPr>
                <w:rFonts w:cs="Arial"/>
                <w:sz w:val="16"/>
                <w:szCs w:val="16"/>
              </w:rPr>
            </w:pPr>
            <w:r w:rsidRPr="00EE5D67">
              <w:rPr>
                <w:rFonts w:cs="Arial"/>
                <w:sz w:val="16"/>
                <w:szCs w:val="16"/>
              </w:rPr>
              <w:t>1 463</w:t>
            </w:r>
          </w:p>
        </w:tc>
        <w:tc>
          <w:tcPr>
            <w:tcW w:w="830" w:type="dxa"/>
            <w:tcBorders>
              <w:top w:val="nil"/>
              <w:left w:val="nil"/>
              <w:bottom w:val="nil"/>
              <w:right w:val="nil"/>
            </w:tcBorders>
            <w:shd w:val="clear" w:color="000000" w:fill="FFFFFF"/>
            <w:noWrap/>
            <w:vAlign w:val="center"/>
            <w:hideMark/>
          </w:tcPr>
          <w:p w14:paraId="5F68143F" w14:textId="77777777" w:rsidR="00EE5D67" w:rsidRPr="00EE5D67" w:rsidRDefault="00EE5D67" w:rsidP="00EE5D67">
            <w:pPr>
              <w:spacing w:after="0" w:line="240" w:lineRule="auto"/>
              <w:jc w:val="right"/>
              <w:rPr>
                <w:rFonts w:cs="Arial"/>
                <w:sz w:val="16"/>
                <w:szCs w:val="16"/>
              </w:rPr>
            </w:pPr>
            <w:r w:rsidRPr="00EE5D67">
              <w:rPr>
                <w:rFonts w:cs="Arial"/>
                <w:sz w:val="16"/>
                <w:szCs w:val="16"/>
              </w:rPr>
              <w:t>937</w:t>
            </w:r>
          </w:p>
        </w:tc>
        <w:tc>
          <w:tcPr>
            <w:tcW w:w="830" w:type="dxa"/>
            <w:tcBorders>
              <w:top w:val="nil"/>
              <w:left w:val="nil"/>
              <w:bottom w:val="nil"/>
              <w:right w:val="nil"/>
            </w:tcBorders>
            <w:shd w:val="clear" w:color="000000" w:fill="FFFFFF"/>
            <w:noWrap/>
            <w:vAlign w:val="center"/>
            <w:hideMark/>
          </w:tcPr>
          <w:p w14:paraId="36DD9219" w14:textId="77777777" w:rsidR="00EE5D67" w:rsidRPr="00EE5D67" w:rsidRDefault="00EE5D67" w:rsidP="00EE5D67">
            <w:pPr>
              <w:spacing w:after="0" w:line="240" w:lineRule="auto"/>
              <w:jc w:val="right"/>
              <w:rPr>
                <w:rFonts w:cs="Arial"/>
                <w:sz w:val="16"/>
                <w:szCs w:val="16"/>
              </w:rPr>
            </w:pPr>
            <w:r w:rsidRPr="00EE5D67">
              <w:rPr>
                <w:rFonts w:cs="Arial"/>
                <w:sz w:val="16"/>
                <w:szCs w:val="16"/>
              </w:rPr>
              <w:t>1 205</w:t>
            </w:r>
          </w:p>
        </w:tc>
        <w:tc>
          <w:tcPr>
            <w:tcW w:w="830" w:type="dxa"/>
            <w:tcBorders>
              <w:top w:val="nil"/>
              <w:left w:val="nil"/>
              <w:bottom w:val="nil"/>
              <w:right w:val="nil"/>
            </w:tcBorders>
            <w:shd w:val="clear" w:color="000000" w:fill="FFFFFF"/>
            <w:noWrap/>
            <w:vAlign w:val="center"/>
            <w:hideMark/>
          </w:tcPr>
          <w:p w14:paraId="6D3AA16C" w14:textId="77777777" w:rsidR="00EE5D67" w:rsidRPr="00EE5D67" w:rsidRDefault="00EE5D67" w:rsidP="00EE5D67">
            <w:pPr>
              <w:spacing w:after="0" w:line="240" w:lineRule="auto"/>
              <w:jc w:val="right"/>
              <w:rPr>
                <w:rFonts w:cs="Arial"/>
                <w:sz w:val="16"/>
                <w:szCs w:val="16"/>
              </w:rPr>
            </w:pPr>
            <w:r w:rsidRPr="00EE5D67">
              <w:rPr>
                <w:rFonts w:cs="Arial"/>
                <w:sz w:val="16"/>
                <w:szCs w:val="16"/>
              </w:rPr>
              <w:t>521</w:t>
            </w:r>
          </w:p>
        </w:tc>
        <w:tc>
          <w:tcPr>
            <w:tcW w:w="830" w:type="dxa"/>
            <w:tcBorders>
              <w:top w:val="nil"/>
              <w:left w:val="nil"/>
              <w:bottom w:val="nil"/>
              <w:right w:val="nil"/>
            </w:tcBorders>
            <w:shd w:val="clear" w:color="000000" w:fill="FFFFFF"/>
            <w:noWrap/>
            <w:vAlign w:val="center"/>
            <w:hideMark/>
          </w:tcPr>
          <w:p w14:paraId="7D4F8BFD" w14:textId="77777777" w:rsidR="00EE5D67" w:rsidRPr="00EE5D67" w:rsidRDefault="00EE5D67" w:rsidP="00EE5D67">
            <w:pPr>
              <w:spacing w:after="0" w:line="240" w:lineRule="auto"/>
              <w:jc w:val="right"/>
              <w:rPr>
                <w:rFonts w:cs="Arial"/>
                <w:sz w:val="16"/>
                <w:szCs w:val="16"/>
              </w:rPr>
            </w:pPr>
            <w:r w:rsidRPr="00EE5D67">
              <w:rPr>
                <w:rFonts w:cs="Arial"/>
                <w:sz w:val="16"/>
                <w:szCs w:val="16"/>
              </w:rPr>
              <w:t>623</w:t>
            </w:r>
          </w:p>
        </w:tc>
        <w:tc>
          <w:tcPr>
            <w:tcW w:w="830" w:type="dxa"/>
            <w:tcBorders>
              <w:top w:val="nil"/>
              <w:left w:val="nil"/>
              <w:bottom w:val="nil"/>
              <w:right w:val="nil"/>
            </w:tcBorders>
            <w:shd w:val="clear" w:color="000000" w:fill="FFFFFF"/>
            <w:noWrap/>
            <w:vAlign w:val="center"/>
            <w:hideMark/>
          </w:tcPr>
          <w:p w14:paraId="6FBA6E81" w14:textId="77777777" w:rsidR="00EE5D67" w:rsidRPr="00EE5D67" w:rsidRDefault="00EE5D67" w:rsidP="00EE5D67">
            <w:pPr>
              <w:spacing w:after="0" w:line="240" w:lineRule="auto"/>
              <w:jc w:val="right"/>
              <w:rPr>
                <w:rFonts w:cs="Arial"/>
                <w:sz w:val="16"/>
                <w:szCs w:val="16"/>
              </w:rPr>
            </w:pPr>
            <w:r w:rsidRPr="00EE5D67">
              <w:rPr>
                <w:rFonts w:cs="Arial"/>
                <w:sz w:val="16"/>
                <w:szCs w:val="16"/>
              </w:rPr>
              <w:t>211</w:t>
            </w:r>
          </w:p>
        </w:tc>
        <w:tc>
          <w:tcPr>
            <w:tcW w:w="830" w:type="dxa"/>
            <w:tcBorders>
              <w:top w:val="nil"/>
              <w:left w:val="nil"/>
              <w:bottom w:val="nil"/>
              <w:right w:val="nil"/>
            </w:tcBorders>
            <w:shd w:val="clear" w:color="000000" w:fill="FFFFFF"/>
            <w:noWrap/>
            <w:vAlign w:val="center"/>
            <w:hideMark/>
          </w:tcPr>
          <w:p w14:paraId="5E2E45F8" w14:textId="77777777" w:rsidR="00EE5D67" w:rsidRPr="00EE5D67" w:rsidRDefault="00EE5D67" w:rsidP="00EE5D67">
            <w:pPr>
              <w:spacing w:after="0" w:line="240" w:lineRule="auto"/>
              <w:jc w:val="right"/>
              <w:rPr>
                <w:rFonts w:cs="Arial"/>
                <w:sz w:val="16"/>
                <w:szCs w:val="16"/>
              </w:rPr>
            </w:pPr>
            <w:r w:rsidRPr="00EE5D67">
              <w:rPr>
                <w:rFonts w:cs="Arial"/>
                <w:sz w:val="16"/>
                <w:szCs w:val="16"/>
              </w:rPr>
              <w:t>105</w:t>
            </w:r>
          </w:p>
        </w:tc>
        <w:tc>
          <w:tcPr>
            <w:tcW w:w="830" w:type="dxa"/>
            <w:tcBorders>
              <w:top w:val="nil"/>
              <w:left w:val="nil"/>
              <w:bottom w:val="nil"/>
              <w:right w:val="nil"/>
            </w:tcBorders>
            <w:shd w:val="clear" w:color="000000" w:fill="FFFFFF"/>
            <w:noWrap/>
            <w:vAlign w:val="center"/>
            <w:hideMark/>
          </w:tcPr>
          <w:p w14:paraId="303F25B8" w14:textId="77777777" w:rsidR="00EE5D67" w:rsidRPr="00EE5D67" w:rsidRDefault="00EE5D67" w:rsidP="00EE5D67">
            <w:pPr>
              <w:spacing w:after="0" w:line="240" w:lineRule="auto"/>
              <w:jc w:val="right"/>
              <w:rPr>
                <w:rFonts w:cs="Arial"/>
                <w:sz w:val="16"/>
                <w:szCs w:val="16"/>
              </w:rPr>
            </w:pPr>
            <w:r w:rsidRPr="00EE5D67">
              <w:rPr>
                <w:rFonts w:cs="Arial"/>
                <w:sz w:val="16"/>
                <w:szCs w:val="16"/>
              </w:rPr>
              <w:t>131</w:t>
            </w:r>
          </w:p>
        </w:tc>
      </w:tr>
      <w:tr w:rsidR="00EE5D67" w:rsidRPr="00EE5D67" w14:paraId="33FC32D6"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10BE170A" w14:textId="77777777" w:rsidR="00EE5D67" w:rsidRPr="00EE5D67" w:rsidRDefault="00EE5D67" w:rsidP="00EE5D67">
            <w:pPr>
              <w:spacing w:after="0" w:line="240" w:lineRule="auto"/>
              <w:rPr>
                <w:rFonts w:cs="Arial"/>
                <w:sz w:val="16"/>
                <w:szCs w:val="16"/>
              </w:rPr>
            </w:pPr>
            <w:r w:rsidRPr="00EE5D67">
              <w:rPr>
                <w:rFonts w:cs="Arial"/>
                <w:sz w:val="16"/>
                <w:szCs w:val="16"/>
              </w:rPr>
              <w:t>Pardubický</w:t>
            </w:r>
          </w:p>
        </w:tc>
        <w:tc>
          <w:tcPr>
            <w:tcW w:w="750" w:type="dxa"/>
            <w:tcBorders>
              <w:top w:val="nil"/>
              <w:left w:val="nil"/>
              <w:bottom w:val="nil"/>
              <w:right w:val="nil"/>
            </w:tcBorders>
            <w:shd w:val="clear" w:color="000000" w:fill="FFFFFF"/>
            <w:vAlign w:val="center"/>
            <w:hideMark/>
          </w:tcPr>
          <w:p w14:paraId="678689B0"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9 453</w:t>
            </w:r>
          </w:p>
        </w:tc>
        <w:tc>
          <w:tcPr>
            <w:tcW w:w="830" w:type="dxa"/>
            <w:tcBorders>
              <w:top w:val="nil"/>
              <w:left w:val="nil"/>
              <w:bottom w:val="nil"/>
              <w:right w:val="nil"/>
            </w:tcBorders>
            <w:shd w:val="clear" w:color="000000" w:fill="FFFFFF"/>
            <w:noWrap/>
            <w:vAlign w:val="center"/>
            <w:hideMark/>
          </w:tcPr>
          <w:p w14:paraId="2F5D0CFA" w14:textId="77777777" w:rsidR="00EE5D67" w:rsidRPr="00EE5D67" w:rsidRDefault="00EE5D67" w:rsidP="00EE5D67">
            <w:pPr>
              <w:spacing w:after="0" w:line="240" w:lineRule="auto"/>
              <w:jc w:val="right"/>
              <w:rPr>
                <w:rFonts w:cs="Arial"/>
                <w:sz w:val="16"/>
                <w:szCs w:val="16"/>
              </w:rPr>
            </w:pPr>
            <w:r w:rsidRPr="00EE5D67">
              <w:rPr>
                <w:rFonts w:cs="Arial"/>
                <w:sz w:val="16"/>
                <w:szCs w:val="16"/>
              </w:rPr>
              <w:t>4 494</w:t>
            </w:r>
          </w:p>
        </w:tc>
        <w:tc>
          <w:tcPr>
            <w:tcW w:w="830" w:type="dxa"/>
            <w:tcBorders>
              <w:top w:val="nil"/>
              <w:left w:val="nil"/>
              <w:bottom w:val="nil"/>
              <w:right w:val="nil"/>
            </w:tcBorders>
            <w:shd w:val="clear" w:color="000000" w:fill="FFFFFF"/>
            <w:noWrap/>
            <w:vAlign w:val="center"/>
            <w:hideMark/>
          </w:tcPr>
          <w:p w14:paraId="1FC7A17F" w14:textId="77777777" w:rsidR="00EE5D67" w:rsidRPr="00EE5D67" w:rsidRDefault="00EE5D67" w:rsidP="00EE5D67">
            <w:pPr>
              <w:spacing w:after="0" w:line="240" w:lineRule="auto"/>
              <w:jc w:val="right"/>
              <w:rPr>
                <w:rFonts w:cs="Arial"/>
                <w:sz w:val="16"/>
                <w:szCs w:val="16"/>
              </w:rPr>
            </w:pPr>
            <w:r w:rsidRPr="00EE5D67">
              <w:rPr>
                <w:rFonts w:cs="Arial"/>
                <w:sz w:val="16"/>
                <w:szCs w:val="16"/>
              </w:rPr>
              <w:t>1 310</w:t>
            </w:r>
          </w:p>
        </w:tc>
        <w:tc>
          <w:tcPr>
            <w:tcW w:w="830" w:type="dxa"/>
            <w:tcBorders>
              <w:top w:val="nil"/>
              <w:left w:val="nil"/>
              <w:bottom w:val="nil"/>
              <w:right w:val="nil"/>
            </w:tcBorders>
            <w:shd w:val="clear" w:color="000000" w:fill="FFFFFF"/>
            <w:noWrap/>
            <w:vAlign w:val="center"/>
            <w:hideMark/>
          </w:tcPr>
          <w:p w14:paraId="488B5456" w14:textId="77777777" w:rsidR="00EE5D67" w:rsidRPr="00EE5D67" w:rsidRDefault="00EE5D67" w:rsidP="00EE5D67">
            <w:pPr>
              <w:spacing w:after="0" w:line="240" w:lineRule="auto"/>
              <w:jc w:val="right"/>
              <w:rPr>
                <w:rFonts w:cs="Arial"/>
                <w:sz w:val="16"/>
                <w:szCs w:val="16"/>
              </w:rPr>
            </w:pPr>
            <w:r w:rsidRPr="00EE5D67">
              <w:rPr>
                <w:rFonts w:cs="Arial"/>
                <w:sz w:val="16"/>
                <w:szCs w:val="16"/>
              </w:rPr>
              <w:t>865</w:t>
            </w:r>
          </w:p>
        </w:tc>
        <w:tc>
          <w:tcPr>
            <w:tcW w:w="830" w:type="dxa"/>
            <w:tcBorders>
              <w:top w:val="nil"/>
              <w:left w:val="nil"/>
              <w:bottom w:val="nil"/>
              <w:right w:val="nil"/>
            </w:tcBorders>
            <w:shd w:val="clear" w:color="000000" w:fill="FFFFFF"/>
            <w:noWrap/>
            <w:vAlign w:val="center"/>
            <w:hideMark/>
          </w:tcPr>
          <w:p w14:paraId="242F40DC" w14:textId="77777777" w:rsidR="00EE5D67" w:rsidRPr="00EE5D67" w:rsidRDefault="00EE5D67" w:rsidP="00EE5D67">
            <w:pPr>
              <w:spacing w:after="0" w:line="240" w:lineRule="auto"/>
              <w:jc w:val="right"/>
              <w:rPr>
                <w:rFonts w:cs="Arial"/>
                <w:sz w:val="16"/>
                <w:szCs w:val="16"/>
              </w:rPr>
            </w:pPr>
            <w:r w:rsidRPr="00EE5D67">
              <w:rPr>
                <w:rFonts w:cs="Arial"/>
                <w:sz w:val="16"/>
                <w:szCs w:val="16"/>
              </w:rPr>
              <w:t>1 182</w:t>
            </w:r>
          </w:p>
        </w:tc>
        <w:tc>
          <w:tcPr>
            <w:tcW w:w="830" w:type="dxa"/>
            <w:tcBorders>
              <w:top w:val="nil"/>
              <w:left w:val="nil"/>
              <w:bottom w:val="nil"/>
              <w:right w:val="nil"/>
            </w:tcBorders>
            <w:shd w:val="clear" w:color="000000" w:fill="FFFFFF"/>
            <w:noWrap/>
            <w:vAlign w:val="center"/>
            <w:hideMark/>
          </w:tcPr>
          <w:p w14:paraId="43D7F4B0" w14:textId="77777777" w:rsidR="00EE5D67" w:rsidRPr="00EE5D67" w:rsidRDefault="00EE5D67" w:rsidP="00EE5D67">
            <w:pPr>
              <w:spacing w:after="0" w:line="240" w:lineRule="auto"/>
              <w:jc w:val="right"/>
              <w:rPr>
                <w:rFonts w:cs="Arial"/>
                <w:sz w:val="16"/>
                <w:szCs w:val="16"/>
              </w:rPr>
            </w:pPr>
            <w:r w:rsidRPr="00EE5D67">
              <w:rPr>
                <w:rFonts w:cs="Arial"/>
                <w:sz w:val="16"/>
                <w:szCs w:val="16"/>
              </w:rPr>
              <w:t>534</w:t>
            </w:r>
          </w:p>
        </w:tc>
        <w:tc>
          <w:tcPr>
            <w:tcW w:w="830" w:type="dxa"/>
            <w:tcBorders>
              <w:top w:val="nil"/>
              <w:left w:val="nil"/>
              <w:bottom w:val="nil"/>
              <w:right w:val="nil"/>
            </w:tcBorders>
            <w:shd w:val="clear" w:color="000000" w:fill="FFFFFF"/>
            <w:noWrap/>
            <w:vAlign w:val="center"/>
            <w:hideMark/>
          </w:tcPr>
          <w:p w14:paraId="4ED2E9B1" w14:textId="77777777" w:rsidR="00EE5D67" w:rsidRPr="00EE5D67" w:rsidRDefault="00EE5D67" w:rsidP="00EE5D67">
            <w:pPr>
              <w:spacing w:after="0" w:line="240" w:lineRule="auto"/>
              <w:jc w:val="right"/>
              <w:rPr>
                <w:rFonts w:cs="Arial"/>
                <w:sz w:val="16"/>
                <w:szCs w:val="16"/>
              </w:rPr>
            </w:pPr>
            <w:r w:rsidRPr="00EE5D67">
              <w:rPr>
                <w:rFonts w:cs="Arial"/>
                <w:sz w:val="16"/>
                <w:szCs w:val="16"/>
              </w:rPr>
              <w:t>630</w:t>
            </w:r>
          </w:p>
        </w:tc>
        <w:tc>
          <w:tcPr>
            <w:tcW w:w="830" w:type="dxa"/>
            <w:tcBorders>
              <w:top w:val="nil"/>
              <w:left w:val="nil"/>
              <w:bottom w:val="nil"/>
              <w:right w:val="nil"/>
            </w:tcBorders>
            <w:shd w:val="clear" w:color="000000" w:fill="FFFFFF"/>
            <w:noWrap/>
            <w:vAlign w:val="center"/>
            <w:hideMark/>
          </w:tcPr>
          <w:p w14:paraId="0C5BF868" w14:textId="77777777" w:rsidR="00EE5D67" w:rsidRPr="00EE5D67" w:rsidRDefault="00EE5D67" w:rsidP="00EE5D67">
            <w:pPr>
              <w:spacing w:after="0" w:line="240" w:lineRule="auto"/>
              <w:jc w:val="right"/>
              <w:rPr>
                <w:rFonts w:cs="Arial"/>
                <w:sz w:val="16"/>
                <w:szCs w:val="16"/>
              </w:rPr>
            </w:pPr>
            <w:r w:rsidRPr="00EE5D67">
              <w:rPr>
                <w:rFonts w:cs="Arial"/>
                <w:sz w:val="16"/>
                <w:szCs w:val="16"/>
              </w:rPr>
              <w:t>208</w:t>
            </w:r>
          </w:p>
        </w:tc>
        <w:tc>
          <w:tcPr>
            <w:tcW w:w="830" w:type="dxa"/>
            <w:tcBorders>
              <w:top w:val="nil"/>
              <w:left w:val="nil"/>
              <w:bottom w:val="nil"/>
              <w:right w:val="nil"/>
            </w:tcBorders>
            <w:shd w:val="clear" w:color="000000" w:fill="FFFFFF"/>
            <w:noWrap/>
            <w:vAlign w:val="center"/>
            <w:hideMark/>
          </w:tcPr>
          <w:p w14:paraId="3F555DBC" w14:textId="77777777" w:rsidR="00EE5D67" w:rsidRPr="00EE5D67" w:rsidRDefault="00EE5D67" w:rsidP="00EE5D67">
            <w:pPr>
              <w:spacing w:after="0" w:line="240" w:lineRule="auto"/>
              <w:jc w:val="right"/>
              <w:rPr>
                <w:rFonts w:cs="Arial"/>
                <w:sz w:val="16"/>
                <w:szCs w:val="16"/>
              </w:rPr>
            </w:pPr>
            <w:r w:rsidRPr="00EE5D67">
              <w:rPr>
                <w:rFonts w:cs="Arial"/>
                <w:sz w:val="16"/>
                <w:szCs w:val="16"/>
              </w:rPr>
              <w:t>111</w:t>
            </w:r>
          </w:p>
        </w:tc>
        <w:tc>
          <w:tcPr>
            <w:tcW w:w="830" w:type="dxa"/>
            <w:tcBorders>
              <w:top w:val="nil"/>
              <w:left w:val="nil"/>
              <w:bottom w:val="nil"/>
              <w:right w:val="nil"/>
            </w:tcBorders>
            <w:shd w:val="clear" w:color="000000" w:fill="FFFFFF"/>
            <w:noWrap/>
            <w:vAlign w:val="center"/>
            <w:hideMark/>
          </w:tcPr>
          <w:p w14:paraId="48F9D8BA" w14:textId="77777777" w:rsidR="00EE5D67" w:rsidRPr="00EE5D67" w:rsidRDefault="00EE5D67" w:rsidP="00EE5D67">
            <w:pPr>
              <w:spacing w:after="0" w:line="240" w:lineRule="auto"/>
              <w:jc w:val="right"/>
              <w:rPr>
                <w:rFonts w:cs="Arial"/>
                <w:sz w:val="16"/>
                <w:szCs w:val="16"/>
              </w:rPr>
            </w:pPr>
            <w:r w:rsidRPr="00EE5D67">
              <w:rPr>
                <w:rFonts w:cs="Arial"/>
                <w:sz w:val="16"/>
                <w:szCs w:val="16"/>
              </w:rPr>
              <w:t>119</w:t>
            </w:r>
          </w:p>
        </w:tc>
      </w:tr>
      <w:tr w:rsidR="00EE5D67" w:rsidRPr="00EE5D67" w14:paraId="6C1D34F2"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6D36F85B" w14:textId="77777777" w:rsidR="00EE5D67" w:rsidRPr="00EE5D67" w:rsidRDefault="00EE5D67" w:rsidP="00EE5D67">
            <w:pPr>
              <w:spacing w:after="0" w:line="240" w:lineRule="auto"/>
              <w:rPr>
                <w:rFonts w:cs="Arial"/>
                <w:sz w:val="16"/>
                <w:szCs w:val="16"/>
              </w:rPr>
            </w:pPr>
            <w:r w:rsidRPr="00EE5D67">
              <w:rPr>
                <w:rFonts w:cs="Arial"/>
                <w:sz w:val="16"/>
                <w:szCs w:val="16"/>
              </w:rPr>
              <w:t>Vysočina</w:t>
            </w:r>
          </w:p>
        </w:tc>
        <w:tc>
          <w:tcPr>
            <w:tcW w:w="750" w:type="dxa"/>
            <w:tcBorders>
              <w:top w:val="nil"/>
              <w:left w:val="nil"/>
              <w:bottom w:val="nil"/>
              <w:right w:val="nil"/>
            </w:tcBorders>
            <w:shd w:val="clear" w:color="000000" w:fill="FFFFFF"/>
            <w:noWrap/>
            <w:vAlign w:val="center"/>
            <w:hideMark/>
          </w:tcPr>
          <w:p w14:paraId="70E2B93C"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9 647</w:t>
            </w:r>
          </w:p>
        </w:tc>
        <w:tc>
          <w:tcPr>
            <w:tcW w:w="830" w:type="dxa"/>
            <w:tcBorders>
              <w:top w:val="nil"/>
              <w:left w:val="nil"/>
              <w:bottom w:val="nil"/>
              <w:right w:val="nil"/>
            </w:tcBorders>
            <w:shd w:val="clear" w:color="000000" w:fill="FFFFFF"/>
            <w:noWrap/>
            <w:vAlign w:val="center"/>
            <w:hideMark/>
          </w:tcPr>
          <w:p w14:paraId="44E92E81" w14:textId="77777777" w:rsidR="00EE5D67" w:rsidRPr="00EE5D67" w:rsidRDefault="00EE5D67" w:rsidP="00EE5D67">
            <w:pPr>
              <w:spacing w:after="0" w:line="240" w:lineRule="auto"/>
              <w:jc w:val="right"/>
              <w:rPr>
                <w:rFonts w:cs="Arial"/>
                <w:sz w:val="16"/>
                <w:szCs w:val="16"/>
              </w:rPr>
            </w:pPr>
            <w:r w:rsidRPr="00EE5D67">
              <w:rPr>
                <w:rFonts w:cs="Arial"/>
                <w:sz w:val="16"/>
                <w:szCs w:val="16"/>
              </w:rPr>
              <w:t>4 071</w:t>
            </w:r>
          </w:p>
        </w:tc>
        <w:tc>
          <w:tcPr>
            <w:tcW w:w="830" w:type="dxa"/>
            <w:tcBorders>
              <w:top w:val="nil"/>
              <w:left w:val="nil"/>
              <w:bottom w:val="nil"/>
              <w:right w:val="nil"/>
            </w:tcBorders>
            <w:shd w:val="clear" w:color="000000" w:fill="FFFFFF"/>
            <w:noWrap/>
            <w:vAlign w:val="center"/>
            <w:hideMark/>
          </w:tcPr>
          <w:p w14:paraId="40A9E082" w14:textId="77777777" w:rsidR="00EE5D67" w:rsidRPr="00EE5D67" w:rsidRDefault="00EE5D67" w:rsidP="00EE5D67">
            <w:pPr>
              <w:spacing w:after="0" w:line="240" w:lineRule="auto"/>
              <w:jc w:val="right"/>
              <w:rPr>
                <w:rFonts w:cs="Arial"/>
                <w:sz w:val="16"/>
                <w:szCs w:val="16"/>
              </w:rPr>
            </w:pPr>
            <w:r w:rsidRPr="00EE5D67">
              <w:rPr>
                <w:rFonts w:cs="Arial"/>
                <w:sz w:val="16"/>
                <w:szCs w:val="16"/>
              </w:rPr>
              <w:t>1 459</w:t>
            </w:r>
          </w:p>
        </w:tc>
        <w:tc>
          <w:tcPr>
            <w:tcW w:w="830" w:type="dxa"/>
            <w:tcBorders>
              <w:top w:val="nil"/>
              <w:left w:val="nil"/>
              <w:bottom w:val="nil"/>
              <w:right w:val="nil"/>
            </w:tcBorders>
            <w:shd w:val="clear" w:color="000000" w:fill="FFFFFF"/>
            <w:noWrap/>
            <w:vAlign w:val="center"/>
            <w:hideMark/>
          </w:tcPr>
          <w:p w14:paraId="5016A64E" w14:textId="77777777" w:rsidR="00EE5D67" w:rsidRPr="00EE5D67" w:rsidRDefault="00EE5D67" w:rsidP="00EE5D67">
            <w:pPr>
              <w:spacing w:after="0" w:line="240" w:lineRule="auto"/>
              <w:jc w:val="right"/>
              <w:rPr>
                <w:rFonts w:cs="Arial"/>
                <w:sz w:val="16"/>
                <w:szCs w:val="16"/>
              </w:rPr>
            </w:pPr>
            <w:r w:rsidRPr="00EE5D67">
              <w:rPr>
                <w:rFonts w:cs="Arial"/>
                <w:sz w:val="16"/>
                <w:szCs w:val="16"/>
              </w:rPr>
              <w:t>899</w:t>
            </w:r>
          </w:p>
        </w:tc>
        <w:tc>
          <w:tcPr>
            <w:tcW w:w="830" w:type="dxa"/>
            <w:tcBorders>
              <w:top w:val="nil"/>
              <w:left w:val="nil"/>
              <w:bottom w:val="nil"/>
              <w:right w:val="nil"/>
            </w:tcBorders>
            <w:shd w:val="clear" w:color="000000" w:fill="FFFFFF"/>
            <w:noWrap/>
            <w:vAlign w:val="center"/>
            <w:hideMark/>
          </w:tcPr>
          <w:p w14:paraId="0FF6D854" w14:textId="77777777" w:rsidR="00EE5D67" w:rsidRPr="00EE5D67" w:rsidRDefault="00EE5D67" w:rsidP="00EE5D67">
            <w:pPr>
              <w:spacing w:after="0" w:line="240" w:lineRule="auto"/>
              <w:jc w:val="right"/>
              <w:rPr>
                <w:rFonts w:cs="Arial"/>
                <w:sz w:val="16"/>
                <w:szCs w:val="16"/>
              </w:rPr>
            </w:pPr>
            <w:r w:rsidRPr="00EE5D67">
              <w:rPr>
                <w:rFonts w:cs="Arial"/>
                <w:sz w:val="16"/>
                <w:szCs w:val="16"/>
              </w:rPr>
              <w:t>1 381</w:t>
            </w:r>
          </w:p>
        </w:tc>
        <w:tc>
          <w:tcPr>
            <w:tcW w:w="830" w:type="dxa"/>
            <w:tcBorders>
              <w:top w:val="nil"/>
              <w:left w:val="nil"/>
              <w:bottom w:val="nil"/>
              <w:right w:val="nil"/>
            </w:tcBorders>
            <w:shd w:val="clear" w:color="000000" w:fill="FFFFFF"/>
            <w:noWrap/>
            <w:vAlign w:val="center"/>
            <w:hideMark/>
          </w:tcPr>
          <w:p w14:paraId="0BD5C7C4" w14:textId="77777777" w:rsidR="00EE5D67" w:rsidRPr="00EE5D67" w:rsidRDefault="00EE5D67" w:rsidP="00EE5D67">
            <w:pPr>
              <w:spacing w:after="0" w:line="240" w:lineRule="auto"/>
              <w:jc w:val="right"/>
              <w:rPr>
                <w:rFonts w:cs="Arial"/>
                <w:sz w:val="16"/>
                <w:szCs w:val="16"/>
              </w:rPr>
            </w:pPr>
            <w:r w:rsidRPr="00EE5D67">
              <w:rPr>
                <w:rFonts w:cs="Arial"/>
                <w:sz w:val="16"/>
                <w:szCs w:val="16"/>
              </w:rPr>
              <w:t>612</w:t>
            </w:r>
          </w:p>
        </w:tc>
        <w:tc>
          <w:tcPr>
            <w:tcW w:w="830" w:type="dxa"/>
            <w:tcBorders>
              <w:top w:val="nil"/>
              <w:left w:val="nil"/>
              <w:bottom w:val="nil"/>
              <w:right w:val="nil"/>
            </w:tcBorders>
            <w:shd w:val="clear" w:color="000000" w:fill="FFFFFF"/>
            <w:noWrap/>
            <w:vAlign w:val="center"/>
            <w:hideMark/>
          </w:tcPr>
          <w:p w14:paraId="235D54FD" w14:textId="77777777" w:rsidR="00EE5D67" w:rsidRPr="00EE5D67" w:rsidRDefault="00EE5D67" w:rsidP="00EE5D67">
            <w:pPr>
              <w:spacing w:after="0" w:line="240" w:lineRule="auto"/>
              <w:jc w:val="right"/>
              <w:rPr>
                <w:rFonts w:cs="Arial"/>
                <w:sz w:val="16"/>
                <w:szCs w:val="16"/>
              </w:rPr>
            </w:pPr>
            <w:r w:rsidRPr="00EE5D67">
              <w:rPr>
                <w:rFonts w:cs="Arial"/>
                <w:sz w:val="16"/>
                <w:szCs w:val="16"/>
              </w:rPr>
              <w:t>731</w:t>
            </w:r>
          </w:p>
        </w:tc>
        <w:tc>
          <w:tcPr>
            <w:tcW w:w="830" w:type="dxa"/>
            <w:tcBorders>
              <w:top w:val="nil"/>
              <w:left w:val="nil"/>
              <w:bottom w:val="nil"/>
              <w:right w:val="nil"/>
            </w:tcBorders>
            <w:shd w:val="clear" w:color="000000" w:fill="FFFFFF"/>
            <w:noWrap/>
            <w:vAlign w:val="center"/>
            <w:hideMark/>
          </w:tcPr>
          <w:p w14:paraId="4E923CE2" w14:textId="77777777" w:rsidR="00EE5D67" w:rsidRPr="00EE5D67" w:rsidRDefault="00EE5D67" w:rsidP="00EE5D67">
            <w:pPr>
              <w:spacing w:after="0" w:line="240" w:lineRule="auto"/>
              <w:jc w:val="right"/>
              <w:rPr>
                <w:rFonts w:cs="Arial"/>
                <w:sz w:val="16"/>
                <w:szCs w:val="16"/>
              </w:rPr>
            </w:pPr>
            <w:r w:rsidRPr="00EE5D67">
              <w:rPr>
                <w:rFonts w:cs="Arial"/>
                <w:sz w:val="16"/>
                <w:szCs w:val="16"/>
              </w:rPr>
              <w:t>239</w:t>
            </w:r>
          </w:p>
        </w:tc>
        <w:tc>
          <w:tcPr>
            <w:tcW w:w="830" w:type="dxa"/>
            <w:tcBorders>
              <w:top w:val="nil"/>
              <w:left w:val="nil"/>
              <w:bottom w:val="nil"/>
              <w:right w:val="nil"/>
            </w:tcBorders>
            <w:shd w:val="clear" w:color="000000" w:fill="FFFFFF"/>
            <w:noWrap/>
            <w:vAlign w:val="center"/>
            <w:hideMark/>
          </w:tcPr>
          <w:p w14:paraId="5B36952C" w14:textId="77777777" w:rsidR="00EE5D67" w:rsidRPr="00EE5D67" w:rsidRDefault="00EE5D67" w:rsidP="00EE5D67">
            <w:pPr>
              <w:spacing w:after="0" w:line="240" w:lineRule="auto"/>
              <w:jc w:val="right"/>
              <w:rPr>
                <w:rFonts w:cs="Arial"/>
                <w:sz w:val="16"/>
                <w:szCs w:val="16"/>
              </w:rPr>
            </w:pPr>
            <w:r w:rsidRPr="00EE5D67">
              <w:rPr>
                <w:rFonts w:cs="Arial"/>
                <w:sz w:val="16"/>
                <w:szCs w:val="16"/>
              </w:rPr>
              <w:t>122</w:t>
            </w:r>
          </w:p>
        </w:tc>
        <w:tc>
          <w:tcPr>
            <w:tcW w:w="830" w:type="dxa"/>
            <w:tcBorders>
              <w:top w:val="nil"/>
              <w:left w:val="nil"/>
              <w:bottom w:val="nil"/>
              <w:right w:val="nil"/>
            </w:tcBorders>
            <w:shd w:val="clear" w:color="000000" w:fill="FFFFFF"/>
            <w:noWrap/>
            <w:vAlign w:val="center"/>
            <w:hideMark/>
          </w:tcPr>
          <w:p w14:paraId="5805A87A" w14:textId="77777777" w:rsidR="00EE5D67" w:rsidRPr="00EE5D67" w:rsidRDefault="00EE5D67" w:rsidP="00EE5D67">
            <w:pPr>
              <w:spacing w:after="0" w:line="240" w:lineRule="auto"/>
              <w:jc w:val="right"/>
              <w:rPr>
                <w:rFonts w:cs="Arial"/>
                <w:sz w:val="16"/>
                <w:szCs w:val="16"/>
              </w:rPr>
            </w:pPr>
            <w:r w:rsidRPr="00EE5D67">
              <w:rPr>
                <w:rFonts w:cs="Arial"/>
                <w:sz w:val="16"/>
                <w:szCs w:val="16"/>
              </w:rPr>
              <w:t>132</w:t>
            </w:r>
          </w:p>
        </w:tc>
      </w:tr>
      <w:tr w:rsidR="00EE5D67" w:rsidRPr="00EE5D67" w14:paraId="375B35A6"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378525F2" w14:textId="77777777" w:rsidR="00EE5D67" w:rsidRPr="00EE5D67" w:rsidRDefault="00EE5D67" w:rsidP="00EE5D67">
            <w:pPr>
              <w:spacing w:after="0" w:line="240" w:lineRule="auto"/>
              <w:rPr>
                <w:rFonts w:cs="Arial"/>
                <w:sz w:val="16"/>
                <w:szCs w:val="16"/>
              </w:rPr>
            </w:pPr>
            <w:r w:rsidRPr="00EE5D67">
              <w:rPr>
                <w:rFonts w:cs="Arial"/>
                <w:sz w:val="16"/>
                <w:szCs w:val="16"/>
              </w:rPr>
              <w:t>Jihomoravský</w:t>
            </w:r>
          </w:p>
        </w:tc>
        <w:tc>
          <w:tcPr>
            <w:tcW w:w="750" w:type="dxa"/>
            <w:tcBorders>
              <w:top w:val="nil"/>
              <w:left w:val="nil"/>
              <w:bottom w:val="nil"/>
              <w:right w:val="nil"/>
            </w:tcBorders>
            <w:shd w:val="clear" w:color="000000" w:fill="FFFFFF"/>
            <w:vAlign w:val="center"/>
            <w:hideMark/>
          </w:tcPr>
          <w:p w14:paraId="0A0D7C79"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8 776</w:t>
            </w:r>
          </w:p>
        </w:tc>
        <w:tc>
          <w:tcPr>
            <w:tcW w:w="830" w:type="dxa"/>
            <w:tcBorders>
              <w:top w:val="nil"/>
              <w:left w:val="nil"/>
              <w:bottom w:val="nil"/>
              <w:right w:val="nil"/>
            </w:tcBorders>
            <w:shd w:val="clear" w:color="000000" w:fill="FFFFFF"/>
            <w:noWrap/>
            <w:vAlign w:val="center"/>
            <w:hideMark/>
          </w:tcPr>
          <w:p w14:paraId="426CF357" w14:textId="77777777" w:rsidR="00EE5D67" w:rsidRPr="00EE5D67" w:rsidRDefault="00EE5D67" w:rsidP="00EE5D67">
            <w:pPr>
              <w:spacing w:after="0" w:line="240" w:lineRule="auto"/>
              <w:jc w:val="right"/>
              <w:rPr>
                <w:rFonts w:cs="Arial"/>
                <w:sz w:val="16"/>
                <w:szCs w:val="16"/>
              </w:rPr>
            </w:pPr>
            <w:r w:rsidRPr="00EE5D67">
              <w:rPr>
                <w:rFonts w:cs="Arial"/>
                <w:sz w:val="16"/>
                <w:szCs w:val="16"/>
              </w:rPr>
              <w:t>3 944</w:t>
            </w:r>
          </w:p>
        </w:tc>
        <w:tc>
          <w:tcPr>
            <w:tcW w:w="830" w:type="dxa"/>
            <w:tcBorders>
              <w:top w:val="nil"/>
              <w:left w:val="nil"/>
              <w:bottom w:val="nil"/>
              <w:right w:val="nil"/>
            </w:tcBorders>
            <w:shd w:val="clear" w:color="000000" w:fill="FFFFFF"/>
            <w:noWrap/>
            <w:vAlign w:val="center"/>
            <w:hideMark/>
          </w:tcPr>
          <w:p w14:paraId="68C03216" w14:textId="77777777" w:rsidR="00EE5D67" w:rsidRPr="00EE5D67" w:rsidRDefault="00EE5D67" w:rsidP="00EE5D67">
            <w:pPr>
              <w:spacing w:after="0" w:line="240" w:lineRule="auto"/>
              <w:jc w:val="right"/>
              <w:rPr>
                <w:rFonts w:cs="Arial"/>
                <w:sz w:val="16"/>
                <w:szCs w:val="16"/>
              </w:rPr>
            </w:pPr>
            <w:r w:rsidRPr="00EE5D67">
              <w:rPr>
                <w:rFonts w:cs="Arial"/>
                <w:sz w:val="16"/>
                <w:szCs w:val="16"/>
              </w:rPr>
              <w:t>1 240</w:t>
            </w:r>
          </w:p>
        </w:tc>
        <w:tc>
          <w:tcPr>
            <w:tcW w:w="830" w:type="dxa"/>
            <w:tcBorders>
              <w:top w:val="nil"/>
              <w:left w:val="nil"/>
              <w:bottom w:val="nil"/>
              <w:right w:val="nil"/>
            </w:tcBorders>
            <w:shd w:val="clear" w:color="000000" w:fill="FFFFFF"/>
            <w:noWrap/>
            <w:vAlign w:val="center"/>
            <w:hideMark/>
          </w:tcPr>
          <w:p w14:paraId="304E5BE5" w14:textId="77777777" w:rsidR="00EE5D67" w:rsidRPr="00EE5D67" w:rsidRDefault="00EE5D67" w:rsidP="00EE5D67">
            <w:pPr>
              <w:spacing w:after="0" w:line="240" w:lineRule="auto"/>
              <w:jc w:val="right"/>
              <w:rPr>
                <w:rFonts w:cs="Arial"/>
                <w:sz w:val="16"/>
                <w:szCs w:val="16"/>
              </w:rPr>
            </w:pPr>
            <w:r w:rsidRPr="00EE5D67">
              <w:rPr>
                <w:rFonts w:cs="Arial"/>
                <w:sz w:val="16"/>
                <w:szCs w:val="16"/>
              </w:rPr>
              <w:t>793</w:t>
            </w:r>
          </w:p>
        </w:tc>
        <w:tc>
          <w:tcPr>
            <w:tcW w:w="830" w:type="dxa"/>
            <w:tcBorders>
              <w:top w:val="nil"/>
              <w:left w:val="nil"/>
              <w:bottom w:val="nil"/>
              <w:right w:val="nil"/>
            </w:tcBorders>
            <w:shd w:val="clear" w:color="000000" w:fill="FFFFFF"/>
            <w:noWrap/>
            <w:vAlign w:val="center"/>
            <w:hideMark/>
          </w:tcPr>
          <w:p w14:paraId="49283B3B" w14:textId="77777777" w:rsidR="00EE5D67" w:rsidRPr="00EE5D67" w:rsidRDefault="00EE5D67" w:rsidP="00EE5D67">
            <w:pPr>
              <w:spacing w:after="0" w:line="240" w:lineRule="auto"/>
              <w:jc w:val="right"/>
              <w:rPr>
                <w:rFonts w:cs="Arial"/>
                <w:sz w:val="16"/>
                <w:szCs w:val="16"/>
              </w:rPr>
            </w:pPr>
            <w:r w:rsidRPr="00EE5D67">
              <w:rPr>
                <w:rFonts w:cs="Arial"/>
                <w:sz w:val="16"/>
                <w:szCs w:val="16"/>
              </w:rPr>
              <w:t>1 164</w:t>
            </w:r>
          </w:p>
        </w:tc>
        <w:tc>
          <w:tcPr>
            <w:tcW w:w="830" w:type="dxa"/>
            <w:tcBorders>
              <w:top w:val="nil"/>
              <w:left w:val="nil"/>
              <w:bottom w:val="nil"/>
              <w:right w:val="nil"/>
            </w:tcBorders>
            <w:shd w:val="clear" w:color="000000" w:fill="FFFFFF"/>
            <w:noWrap/>
            <w:vAlign w:val="center"/>
            <w:hideMark/>
          </w:tcPr>
          <w:p w14:paraId="27751483" w14:textId="77777777" w:rsidR="00EE5D67" w:rsidRPr="00EE5D67" w:rsidRDefault="00EE5D67" w:rsidP="00EE5D67">
            <w:pPr>
              <w:spacing w:after="0" w:line="240" w:lineRule="auto"/>
              <w:jc w:val="right"/>
              <w:rPr>
                <w:rFonts w:cs="Arial"/>
                <w:sz w:val="16"/>
                <w:szCs w:val="16"/>
              </w:rPr>
            </w:pPr>
            <w:r w:rsidRPr="00EE5D67">
              <w:rPr>
                <w:rFonts w:cs="Arial"/>
                <w:sz w:val="16"/>
                <w:szCs w:val="16"/>
              </w:rPr>
              <w:t>555</w:t>
            </w:r>
          </w:p>
        </w:tc>
        <w:tc>
          <w:tcPr>
            <w:tcW w:w="830" w:type="dxa"/>
            <w:tcBorders>
              <w:top w:val="nil"/>
              <w:left w:val="nil"/>
              <w:bottom w:val="nil"/>
              <w:right w:val="nil"/>
            </w:tcBorders>
            <w:shd w:val="clear" w:color="000000" w:fill="FFFFFF"/>
            <w:noWrap/>
            <w:vAlign w:val="center"/>
            <w:hideMark/>
          </w:tcPr>
          <w:p w14:paraId="51A0A368" w14:textId="77777777" w:rsidR="00EE5D67" w:rsidRPr="00EE5D67" w:rsidRDefault="00EE5D67" w:rsidP="00EE5D67">
            <w:pPr>
              <w:spacing w:after="0" w:line="240" w:lineRule="auto"/>
              <w:jc w:val="right"/>
              <w:rPr>
                <w:rFonts w:cs="Arial"/>
                <w:sz w:val="16"/>
                <w:szCs w:val="16"/>
              </w:rPr>
            </w:pPr>
            <w:r w:rsidRPr="00EE5D67">
              <w:rPr>
                <w:rFonts w:cs="Arial"/>
                <w:sz w:val="16"/>
                <w:szCs w:val="16"/>
              </w:rPr>
              <w:t>640</w:t>
            </w:r>
          </w:p>
        </w:tc>
        <w:tc>
          <w:tcPr>
            <w:tcW w:w="830" w:type="dxa"/>
            <w:tcBorders>
              <w:top w:val="nil"/>
              <w:left w:val="nil"/>
              <w:bottom w:val="nil"/>
              <w:right w:val="nil"/>
            </w:tcBorders>
            <w:shd w:val="clear" w:color="000000" w:fill="FFFFFF"/>
            <w:noWrap/>
            <w:vAlign w:val="center"/>
            <w:hideMark/>
          </w:tcPr>
          <w:p w14:paraId="1AA9A101" w14:textId="77777777" w:rsidR="00EE5D67" w:rsidRPr="00EE5D67" w:rsidRDefault="00EE5D67" w:rsidP="00EE5D67">
            <w:pPr>
              <w:spacing w:after="0" w:line="240" w:lineRule="auto"/>
              <w:jc w:val="right"/>
              <w:rPr>
                <w:rFonts w:cs="Arial"/>
                <w:sz w:val="16"/>
                <w:szCs w:val="16"/>
              </w:rPr>
            </w:pPr>
            <w:r w:rsidRPr="00EE5D67">
              <w:rPr>
                <w:rFonts w:cs="Arial"/>
                <w:sz w:val="16"/>
                <w:szCs w:val="16"/>
              </w:rPr>
              <w:t>200</w:t>
            </w:r>
          </w:p>
        </w:tc>
        <w:tc>
          <w:tcPr>
            <w:tcW w:w="830" w:type="dxa"/>
            <w:tcBorders>
              <w:top w:val="nil"/>
              <w:left w:val="nil"/>
              <w:bottom w:val="nil"/>
              <w:right w:val="nil"/>
            </w:tcBorders>
            <w:shd w:val="clear" w:color="000000" w:fill="FFFFFF"/>
            <w:noWrap/>
            <w:vAlign w:val="center"/>
            <w:hideMark/>
          </w:tcPr>
          <w:p w14:paraId="78925D21" w14:textId="77777777" w:rsidR="00EE5D67" w:rsidRPr="00EE5D67" w:rsidRDefault="00EE5D67" w:rsidP="00EE5D67">
            <w:pPr>
              <w:spacing w:after="0" w:line="240" w:lineRule="auto"/>
              <w:jc w:val="right"/>
              <w:rPr>
                <w:rFonts w:cs="Arial"/>
                <w:sz w:val="16"/>
                <w:szCs w:val="16"/>
              </w:rPr>
            </w:pPr>
            <w:r w:rsidRPr="00EE5D67">
              <w:rPr>
                <w:rFonts w:cs="Arial"/>
                <w:sz w:val="16"/>
                <w:szCs w:val="16"/>
              </w:rPr>
              <w:t>111</w:t>
            </w:r>
          </w:p>
        </w:tc>
        <w:tc>
          <w:tcPr>
            <w:tcW w:w="830" w:type="dxa"/>
            <w:tcBorders>
              <w:top w:val="nil"/>
              <w:left w:val="nil"/>
              <w:bottom w:val="nil"/>
              <w:right w:val="nil"/>
            </w:tcBorders>
            <w:shd w:val="clear" w:color="000000" w:fill="FFFFFF"/>
            <w:noWrap/>
            <w:vAlign w:val="center"/>
            <w:hideMark/>
          </w:tcPr>
          <w:p w14:paraId="220BBCEB" w14:textId="77777777" w:rsidR="00EE5D67" w:rsidRPr="00EE5D67" w:rsidRDefault="00EE5D67" w:rsidP="00EE5D67">
            <w:pPr>
              <w:spacing w:after="0" w:line="240" w:lineRule="auto"/>
              <w:jc w:val="right"/>
              <w:rPr>
                <w:rFonts w:cs="Arial"/>
                <w:sz w:val="16"/>
                <w:szCs w:val="16"/>
              </w:rPr>
            </w:pPr>
            <w:r w:rsidRPr="00EE5D67">
              <w:rPr>
                <w:rFonts w:cs="Arial"/>
                <w:sz w:val="16"/>
                <w:szCs w:val="16"/>
              </w:rPr>
              <w:t>129</w:t>
            </w:r>
          </w:p>
        </w:tc>
      </w:tr>
      <w:tr w:rsidR="00EE5D67" w:rsidRPr="00EE5D67" w14:paraId="613E3140"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4125F693" w14:textId="77777777" w:rsidR="00EE5D67" w:rsidRPr="00EE5D67" w:rsidRDefault="00EE5D67" w:rsidP="00EE5D67">
            <w:pPr>
              <w:spacing w:after="0" w:line="240" w:lineRule="auto"/>
              <w:rPr>
                <w:rFonts w:cs="Arial"/>
                <w:sz w:val="16"/>
                <w:szCs w:val="16"/>
              </w:rPr>
            </w:pPr>
            <w:r w:rsidRPr="00EE5D67">
              <w:rPr>
                <w:rFonts w:cs="Arial"/>
                <w:sz w:val="16"/>
                <w:szCs w:val="16"/>
              </w:rPr>
              <w:t>Olomoucký</w:t>
            </w:r>
          </w:p>
        </w:tc>
        <w:tc>
          <w:tcPr>
            <w:tcW w:w="750" w:type="dxa"/>
            <w:tcBorders>
              <w:top w:val="nil"/>
              <w:left w:val="nil"/>
              <w:bottom w:val="nil"/>
              <w:right w:val="nil"/>
            </w:tcBorders>
            <w:shd w:val="clear" w:color="000000" w:fill="FFFFFF"/>
            <w:vAlign w:val="center"/>
            <w:hideMark/>
          </w:tcPr>
          <w:p w14:paraId="68713400"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9 372</w:t>
            </w:r>
          </w:p>
        </w:tc>
        <w:tc>
          <w:tcPr>
            <w:tcW w:w="830" w:type="dxa"/>
            <w:tcBorders>
              <w:top w:val="nil"/>
              <w:left w:val="nil"/>
              <w:bottom w:val="nil"/>
              <w:right w:val="nil"/>
            </w:tcBorders>
            <w:shd w:val="clear" w:color="000000" w:fill="FFFFFF"/>
            <w:noWrap/>
            <w:vAlign w:val="center"/>
            <w:hideMark/>
          </w:tcPr>
          <w:p w14:paraId="59E4D298" w14:textId="77777777" w:rsidR="00EE5D67" w:rsidRPr="00EE5D67" w:rsidRDefault="00EE5D67" w:rsidP="00EE5D67">
            <w:pPr>
              <w:spacing w:after="0" w:line="240" w:lineRule="auto"/>
              <w:jc w:val="right"/>
              <w:rPr>
                <w:rFonts w:cs="Arial"/>
                <w:sz w:val="16"/>
                <w:szCs w:val="16"/>
              </w:rPr>
            </w:pPr>
            <w:r w:rsidRPr="00EE5D67">
              <w:rPr>
                <w:rFonts w:cs="Arial"/>
                <w:sz w:val="16"/>
                <w:szCs w:val="16"/>
              </w:rPr>
              <w:t>3 815</w:t>
            </w:r>
          </w:p>
        </w:tc>
        <w:tc>
          <w:tcPr>
            <w:tcW w:w="830" w:type="dxa"/>
            <w:tcBorders>
              <w:top w:val="nil"/>
              <w:left w:val="nil"/>
              <w:bottom w:val="nil"/>
              <w:right w:val="nil"/>
            </w:tcBorders>
            <w:shd w:val="clear" w:color="000000" w:fill="FFFFFF"/>
            <w:noWrap/>
            <w:vAlign w:val="center"/>
            <w:hideMark/>
          </w:tcPr>
          <w:p w14:paraId="3A6FEEF4" w14:textId="77777777" w:rsidR="00EE5D67" w:rsidRPr="00EE5D67" w:rsidRDefault="00EE5D67" w:rsidP="00EE5D67">
            <w:pPr>
              <w:spacing w:after="0" w:line="240" w:lineRule="auto"/>
              <w:jc w:val="right"/>
              <w:rPr>
                <w:rFonts w:cs="Arial"/>
                <w:sz w:val="16"/>
                <w:szCs w:val="16"/>
              </w:rPr>
            </w:pPr>
            <w:r w:rsidRPr="00EE5D67">
              <w:rPr>
                <w:rFonts w:cs="Arial"/>
                <w:sz w:val="16"/>
                <w:szCs w:val="16"/>
              </w:rPr>
              <w:t>1 386</w:t>
            </w:r>
          </w:p>
        </w:tc>
        <w:tc>
          <w:tcPr>
            <w:tcW w:w="830" w:type="dxa"/>
            <w:tcBorders>
              <w:top w:val="nil"/>
              <w:left w:val="nil"/>
              <w:bottom w:val="nil"/>
              <w:right w:val="nil"/>
            </w:tcBorders>
            <w:shd w:val="clear" w:color="000000" w:fill="FFFFFF"/>
            <w:noWrap/>
            <w:vAlign w:val="center"/>
            <w:hideMark/>
          </w:tcPr>
          <w:p w14:paraId="732EE965" w14:textId="77777777" w:rsidR="00EE5D67" w:rsidRPr="00EE5D67" w:rsidRDefault="00EE5D67" w:rsidP="00EE5D67">
            <w:pPr>
              <w:spacing w:after="0" w:line="240" w:lineRule="auto"/>
              <w:jc w:val="right"/>
              <w:rPr>
                <w:rFonts w:cs="Arial"/>
                <w:sz w:val="16"/>
                <w:szCs w:val="16"/>
              </w:rPr>
            </w:pPr>
            <w:r w:rsidRPr="00EE5D67">
              <w:rPr>
                <w:rFonts w:cs="Arial"/>
                <w:sz w:val="16"/>
                <w:szCs w:val="16"/>
              </w:rPr>
              <w:t>1 010</w:t>
            </w:r>
          </w:p>
        </w:tc>
        <w:tc>
          <w:tcPr>
            <w:tcW w:w="830" w:type="dxa"/>
            <w:tcBorders>
              <w:top w:val="nil"/>
              <w:left w:val="nil"/>
              <w:bottom w:val="nil"/>
              <w:right w:val="nil"/>
            </w:tcBorders>
            <w:shd w:val="clear" w:color="000000" w:fill="FFFFFF"/>
            <w:noWrap/>
            <w:vAlign w:val="center"/>
            <w:hideMark/>
          </w:tcPr>
          <w:p w14:paraId="69BCB0F7" w14:textId="77777777" w:rsidR="00EE5D67" w:rsidRPr="00EE5D67" w:rsidRDefault="00EE5D67" w:rsidP="00EE5D67">
            <w:pPr>
              <w:spacing w:after="0" w:line="240" w:lineRule="auto"/>
              <w:jc w:val="right"/>
              <w:rPr>
                <w:rFonts w:cs="Arial"/>
                <w:sz w:val="16"/>
                <w:szCs w:val="16"/>
              </w:rPr>
            </w:pPr>
            <w:r w:rsidRPr="00EE5D67">
              <w:rPr>
                <w:rFonts w:cs="Arial"/>
                <w:sz w:val="16"/>
                <w:szCs w:val="16"/>
              </w:rPr>
              <w:t>1 320</w:t>
            </w:r>
          </w:p>
        </w:tc>
        <w:tc>
          <w:tcPr>
            <w:tcW w:w="830" w:type="dxa"/>
            <w:tcBorders>
              <w:top w:val="nil"/>
              <w:left w:val="nil"/>
              <w:bottom w:val="nil"/>
              <w:right w:val="nil"/>
            </w:tcBorders>
            <w:shd w:val="clear" w:color="000000" w:fill="FFFFFF"/>
            <w:noWrap/>
            <w:vAlign w:val="center"/>
            <w:hideMark/>
          </w:tcPr>
          <w:p w14:paraId="06DDD584" w14:textId="77777777" w:rsidR="00EE5D67" w:rsidRPr="00EE5D67" w:rsidRDefault="00EE5D67" w:rsidP="00EE5D67">
            <w:pPr>
              <w:spacing w:after="0" w:line="240" w:lineRule="auto"/>
              <w:jc w:val="right"/>
              <w:rPr>
                <w:rFonts w:cs="Arial"/>
                <w:sz w:val="16"/>
                <w:szCs w:val="16"/>
              </w:rPr>
            </w:pPr>
            <w:r w:rsidRPr="00EE5D67">
              <w:rPr>
                <w:rFonts w:cs="Arial"/>
                <w:sz w:val="16"/>
                <w:szCs w:val="16"/>
              </w:rPr>
              <w:t>626</w:t>
            </w:r>
          </w:p>
        </w:tc>
        <w:tc>
          <w:tcPr>
            <w:tcW w:w="830" w:type="dxa"/>
            <w:tcBorders>
              <w:top w:val="nil"/>
              <w:left w:val="nil"/>
              <w:bottom w:val="nil"/>
              <w:right w:val="nil"/>
            </w:tcBorders>
            <w:shd w:val="clear" w:color="000000" w:fill="FFFFFF"/>
            <w:noWrap/>
            <w:vAlign w:val="center"/>
            <w:hideMark/>
          </w:tcPr>
          <w:p w14:paraId="0754DE02" w14:textId="77777777" w:rsidR="00EE5D67" w:rsidRPr="00EE5D67" w:rsidRDefault="00EE5D67" w:rsidP="00EE5D67">
            <w:pPr>
              <w:spacing w:after="0" w:line="240" w:lineRule="auto"/>
              <w:jc w:val="right"/>
              <w:rPr>
                <w:rFonts w:cs="Arial"/>
                <w:sz w:val="16"/>
                <w:szCs w:val="16"/>
              </w:rPr>
            </w:pPr>
            <w:r w:rsidRPr="00EE5D67">
              <w:rPr>
                <w:rFonts w:cs="Arial"/>
                <w:sz w:val="16"/>
                <w:szCs w:val="16"/>
              </w:rPr>
              <w:t>728</w:t>
            </w:r>
          </w:p>
        </w:tc>
        <w:tc>
          <w:tcPr>
            <w:tcW w:w="830" w:type="dxa"/>
            <w:tcBorders>
              <w:top w:val="nil"/>
              <w:left w:val="nil"/>
              <w:bottom w:val="nil"/>
              <w:right w:val="nil"/>
            </w:tcBorders>
            <w:shd w:val="clear" w:color="000000" w:fill="FFFFFF"/>
            <w:noWrap/>
            <w:vAlign w:val="center"/>
            <w:hideMark/>
          </w:tcPr>
          <w:p w14:paraId="5DD596EA" w14:textId="77777777" w:rsidR="00EE5D67" w:rsidRPr="00EE5D67" w:rsidRDefault="00EE5D67" w:rsidP="00EE5D67">
            <w:pPr>
              <w:spacing w:after="0" w:line="240" w:lineRule="auto"/>
              <w:jc w:val="right"/>
              <w:rPr>
                <w:rFonts w:cs="Arial"/>
                <w:sz w:val="16"/>
                <w:szCs w:val="16"/>
              </w:rPr>
            </w:pPr>
            <w:r w:rsidRPr="00EE5D67">
              <w:rPr>
                <w:rFonts w:cs="Arial"/>
                <w:sz w:val="16"/>
                <w:szCs w:val="16"/>
              </w:rPr>
              <w:t>245</w:t>
            </w:r>
          </w:p>
        </w:tc>
        <w:tc>
          <w:tcPr>
            <w:tcW w:w="830" w:type="dxa"/>
            <w:tcBorders>
              <w:top w:val="nil"/>
              <w:left w:val="nil"/>
              <w:bottom w:val="nil"/>
              <w:right w:val="nil"/>
            </w:tcBorders>
            <w:shd w:val="clear" w:color="000000" w:fill="FFFFFF"/>
            <w:noWrap/>
            <w:vAlign w:val="center"/>
            <w:hideMark/>
          </w:tcPr>
          <w:p w14:paraId="660B84F1" w14:textId="77777777" w:rsidR="00EE5D67" w:rsidRPr="00EE5D67" w:rsidRDefault="00EE5D67" w:rsidP="00EE5D67">
            <w:pPr>
              <w:spacing w:after="0" w:line="240" w:lineRule="auto"/>
              <w:jc w:val="right"/>
              <w:rPr>
                <w:rFonts w:cs="Arial"/>
                <w:sz w:val="16"/>
                <w:szCs w:val="16"/>
              </w:rPr>
            </w:pPr>
            <w:r w:rsidRPr="00EE5D67">
              <w:rPr>
                <w:rFonts w:cs="Arial"/>
                <w:sz w:val="16"/>
                <w:szCs w:val="16"/>
              </w:rPr>
              <w:t>121</w:t>
            </w:r>
          </w:p>
        </w:tc>
        <w:tc>
          <w:tcPr>
            <w:tcW w:w="830" w:type="dxa"/>
            <w:tcBorders>
              <w:top w:val="nil"/>
              <w:left w:val="nil"/>
              <w:bottom w:val="nil"/>
              <w:right w:val="nil"/>
            </w:tcBorders>
            <w:shd w:val="clear" w:color="000000" w:fill="FFFFFF"/>
            <w:noWrap/>
            <w:vAlign w:val="center"/>
            <w:hideMark/>
          </w:tcPr>
          <w:p w14:paraId="62F80E01" w14:textId="77777777" w:rsidR="00EE5D67" w:rsidRPr="00EE5D67" w:rsidRDefault="00EE5D67" w:rsidP="00EE5D67">
            <w:pPr>
              <w:spacing w:after="0" w:line="240" w:lineRule="auto"/>
              <w:jc w:val="right"/>
              <w:rPr>
                <w:rFonts w:cs="Arial"/>
                <w:sz w:val="16"/>
                <w:szCs w:val="16"/>
              </w:rPr>
            </w:pPr>
            <w:r w:rsidRPr="00EE5D67">
              <w:rPr>
                <w:rFonts w:cs="Arial"/>
                <w:sz w:val="16"/>
                <w:szCs w:val="16"/>
              </w:rPr>
              <w:t>123</w:t>
            </w:r>
          </w:p>
        </w:tc>
      </w:tr>
      <w:tr w:rsidR="00EE5D67" w:rsidRPr="00EE5D67" w14:paraId="01C0840E"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29F44BE1" w14:textId="77777777" w:rsidR="00EE5D67" w:rsidRPr="00EE5D67" w:rsidRDefault="00EE5D67" w:rsidP="00EE5D67">
            <w:pPr>
              <w:spacing w:after="0" w:line="240" w:lineRule="auto"/>
              <w:rPr>
                <w:rFonts w:cs="Arial"/>
                <w:sz w:val="16"/>
                <w:szCs w:val="16"/>
              </w:rPr>
            </w:pPr>
            <w:r w:rsidRPr="00EE5D67">
              <w:rPr>
                <w:rFonts w:cs="Arial"/>
                <w:sz w:val="16"/>
                <w:szCs w:val="16"/>
              </w:rPr>
              <w:t xml:space="preserve">Zlínský      </w:t>
            </w:r>
          </w:p>
        </w:tc>
        <w:tc>
          <w:tcPr>
            <w:tcW w:w="750" w:type="dxa"/>
            <w:tcBorders>
              <w:top w:val="nil"/>
              <w:left w:val="nil"/>
              <w:bottom w:val="nil"/>
              <w:right w:val="nil"/>
            </w:tcBorders>
            <w:shd w:val="clear" w:color="000000" w:fill="FFFFFF"/>
            <w:vAlign w:val="center"/>
            <w:hideMark/>
          </w:tcPr>
          <w:p w14:paraId="1C0FB23C"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9 126</w:t>
            </w:r>
          </w:p>
        </w:tc>
        <w:tc>
          <w:tcPr>
            <w:tcW w:w="830" w:type="dxa"/>
            <w:tcBorders>
              <w:top w:val="nil"/>
              <w:left w:val="nil"/>
              <w:bottom w:val="nil"/>
              <w:right w:val="nil"/>
            </w:tcBorders>
            <w:shd w:val="clear" w:color="000000" w:fill="FFFFFF"/>
            <w:noWrap/>
            <w:vAlign w:val="center"/>
            <w:hideMark/>
          </w:tcPr>
          <w:p w14:paraId="213563D1" w14:textId="77777777" w:rsidR="00EE5D67" w:rsidRPr="00EE5D67" w:rsidRDefault="00EE5D67" w:rsidP="00EE5D67">
            <w:pPr>
              <w:spacing w:after="0" w:line="240" w:lineRule="auto"/>
              <w:jc w:val="right"/>
              <w:rPr>
                <w:rFonts w:cs="Arial"/>
                <w:sz w:val="16"/>
                <w:szCs w:val="16"/>
              </w:rPr>
            </w:pPr>
            <w:r w:rsidRPr="00EE5D67">
              <w:rPr>
                <w:rFonts w:cs="Arial"/>
                <w:sz w:val="16"/>
                <w:szCs w:val="16"/>
              </w:rPr>
              <w:t>3 196</w:t>
            </w:r>
          </w:p>
        </w:tc>
        <w:tc>
          <w:tcPr>
            <w:tcW w:w="830" w:type="dxa"/>
            <w:tcBorders>
              <w:top w:val="nil"/>
              <w:left w:val="nil"/>
              <w:bottom w:val="nil"/>
              <w:right w:val="nil"/>
            </w:tcBorders>
            <w:shd w:val="clear" w:color="000000" w:fill="FFFFFF"/>
            <w:noWrap/>
            <w:vAlign w:val="center"/>
            <w:hideMark/>
          </w:tcPr>
          <w:p w14:paraId="18430F5C" w14:textId="77777777" w:rsidR="00EE5D67" w:rsidRPr="00EE5D67" w:rsidRDefault="00EE5D67" w:rsidP="00EE5D67">
            <w:pPr>
              <w:spacing w:after="0" w:line="240" w:lineRule="auto"/>
              <w:jc w:val="right"/>
              <w:rPr>
                <w:rFonts w:cs="Arial"/>
                <w:sz w:val="16"/>
                <w:szCs w:val="16"/>
              </w:rPr>
            </w:pPr>
            <w:r w:rsidRPr="00EE5D67">
              <w:rPr>
                <w:rFonts w:cs="Arial"/>
                <w:sz w:val="16"/>
                <w:szCs w:val="16"/>
              </w:rPr>
              <w:t>1 368</w:t>
            </w:r>
          </w:p>
        </w:tc>
        <w:tc>
          <w:tcPr>
            <w:tcW w:w="830" w:type="dxa"/>
            <w:tcBorders>
              <w:top w:val="nil"/>
              <w:left w:val="nil"/>
              <w:bottom w:val="nil"/>
              <w:right w:val="nil"/>
            </w:tcBorders>
            <w:shd w:val="clear" w:color="000000" w:fill="FFFFFF"/>
            <w:noWrap/>
            <w:vAlign w:val="center"/>
            <w:hideMark/>
          </w:tcPr>
          <w:p w14:paraId="5FB10C5E" w14:textId="77777777" w:rsidR="00EE5D67" w:rsidRPr="00EE5D67" w:rsidRDefault="00EE5D67" w:rsidP="00EE5D67">
            <w:pPr>
              <w:spacing w:after="0" w:line="240" w:lineRule="auto"/>
              <w:jc w:val="right"/>
              <w:rPr>
                <w:rFonts w:cs="Arial"/>
                <w:sz w:val="16"/>
                <w:szCs w:val="16"/>
              </w:rPr>
            </w:pPr>
            <w:r w:rsidRPr="00EE5D67">
              <w:rPr>
                <w:rFonts w:cs="Arial"/>
                <w:sz w:val="16"/>
                <w:szCs w:val="16"/>
              </w:rPr>
              <w:t>1 028</w:t>
            </w:r>
          </w:p>
        </w:tc>
        <w:tc>
          <w:tcPr>
            <w:tcW w:w="830" w:type="dxa"/>
            <w:tcBorders>
              <w:top w:val="nil"/>
              <w:left w:val="nil"/>
              <w:bottom w:val="nil"/>
              <w:right w:val="nil"/>
            </w:tcBorders>
            <w:shd w:val="clear" w:color="000000" w:fill="FFFFFF"/>
            <w:noWrap/>
            <w:vAlign w:val="center"/>
            <w:hideMark/>
          </w:tcPr>
          <w:p w14:paraId="26346B16" w14:textId="77777777" w:rsidR="00EE5D67" w:rsidRPr="00EE5D67" w:rsidRDefault="00EE5D67" w:rsidP="00EE5D67">
            <w:pPr>
              <w:spacing w:after="0" w:line="240" w:lineRule="auto"/>
              <w:jc w:val="right"/>
              <w:rPr>
                <w:rFonts w:cs="Arial"/>
                <w:sz w:val="16"/>
                <w:szCs w:val="16"/>
              </w:rPr>
            </w:pPr>
            <w:r w:rsidRPr="00EE5D67">
              <w:rPr>
                <w:rFonts w:cs="Arial"/>
                <w:sz w:val="16"/>
                <w:szCs w:val="16"/>
              </w:rPr>
              <w:t>1 484</w:t>
            </w:r>
          </w:p>
        </w:tc>
        <w:tc>
          <w:tcPr>
            <w:tcW w:w="830" w:type="dxa"/>
            <w:tcBorders>
              <w:top w:val="nil"/>
              <w:left w:val="nil"/>
              <w:bottom w:val="nil"/>
              <w:right w:val="nil"/>
            </w:tcBorders>
            <w:shd w:val="clear" w:color="000000" w:fill="FFFFFF"/>
            <w:noWrap/>
            <w:vAlign w:val="center"/>
            <w:hideMark/>
          </w:tcPr>
          <w:p w14:paraId="43FCE4E9" w14:textId="77777777" w:rsidR="00EE5D67" w:rsidRPr="00EE5D67" w:rsidRDefault="00EE5D67" w:rsidP="00EE5D67">
            <w:pPr>
              <w:spacing w:after="0" w:line="240" w:lineRule="auto"/>
              <w:jc w:val="right"/>
              <w:rPr>
                <w:rFonts w:cs="Arial"/>
                <w:sz w:val="16"/>
                <w:szCs w:val="16"/>
              </w:rPr>
            </w:pPr>
            <w:r w:rsidRPr="00EE5D67">
              <w:rPr>
                <w:rFonts w:cs="Arial"/>
                <w:sz w:val="16"/>
                <w:szCs w:val="16"/>
              </w:rPr>
              <w:t>722</w:t>
            </w:r>
          </w:p>
        </w:tc>
        <w:tc>
          <w:tcPr>
            <w:tcW w:w="830" w:type="dxa"/>
            <w:tcBorders>
              <w:top w:val="nil"/>
              <w:left w:val="nil"/>
              <w:bottom w:val="nil"/>
              <w:right w:val="nil"/>
            </w:tcBorders>
            <w:shd w:val="clear" w:color="000000" w:fill="FFFFFF"/>
            <w:noWrap/>
            <w:vAlign w:val="center"/>
            <w:hideMark/>
          </w:tcPr>
          <w:p w14:paraId="57E6A824" w14:textId="77777777" w:rsidR="00EE5D67" w:rsidRPr="00EE5D67" w:rsidRDefault="00EE5D67" w:rsidP="00EE5D67">
            <w:pPr>
              <w:spacing w:after="0" w:line="240" w:lineRule="auto"/>
              <w:jc w:val="right"/>
              <w:rPr>
                <w:rFonts w:cs="Arial"/>
                <w:sz w:val="16"/>
                <w:szCs w:val="16"/>
              </w:rPr>
            </w:pPr>
            <w:r w:rsidRPr="00EE5D67">
              <w:rPr>
                <w:rFonts w:cs="Arial"/>
                <w:sz w:val="16"/>
                <w:szCs w:val="16"/>
              </w:rPr>
              <w:t>816</w:t>
            </w:r>
          </w:p>
        </w:tc>
        <w:tc>
          <w:tcPr>
            <w:tcW w:w="830" w:type="dxa"/>
            <w:tcBorders>
              <w:top w:val="nil"/>
              <w:left w:val="nil"/>
              <w:bottom w:val="nil"/>
              <w:right w:val="nil"/>
            </w:tcBorders>
            <w:shd w:val="clear" w:color="000000" w:fill="FFFFFF"/>
            <w:noWrap/>
            <w:vAlign w:val="center"/>
            <w:hideMark/>
          </w:tcPr>
          <w:p w14:paraId="46CD63B1" w14:textId="77777777" w:rsidR="00EE5D67" w:rsidRPr="00EE5D67" w:rsidRDefault="00EE5D67" w:rsidP="00EE5D67">
            <w:pPr>
              <w:spacing w:after="0" w:line="240" w:lineRule="auto"/>
              <w:jc w:val="right"/>
              <w:rPr>
                <w:rFonts w:cs="Arial"/>
                <w:sz w:val="16"/>
                <w:szCs w:val="16"/>
              </w:rPr>
            </w:pPr>
            <w:r w:rsidRPr="00EE5D67">
              <w:rPr>
                <w:rFonts w:cs="Arial"/>
                <w:sz w:val="16"/>
                <w:szCs w:val="16"/>
              </w:rPr>
              <w:t>241</w:t>
            </w:r>
          </w:p>
        </w:tc>
        <w:tc>
          <w:tcPr>
            <w:tcW w:w="830" w:type="dxa"/>
            <w:tcBorders>
              <w:top w:val="nil"/>
              <w:left w:val="nil"/>
              <w:bottom w:val="nil"/>
              <w:right w:val="nil"/>
            </w:tcBorders>
            <w:shd w:val="clear" w:color="000000" w:fill="FFFFFF"/>
            <w:noWrap/>
            <w:vAlign w:val="center"/>
            <w:hideMark/>
          </w:tcPr>
          <w:p w14:paraId="50764562" w14:textId="77777777" w:rsidR="00EE5D67" w:rsidRPr="00EE5D67" w:rsidRDefault="00EE5D67" w:rsidP="00EE5D67">
            <w:pPr>
              <w:spacing w:after="0" w:line="240" w:lineRule="auto"/>
              <w:jc w:val="right"/>
              <w:rPr>
                <w:rFonts w:cs="Arial"/>
                <w:sz w:val="16"/>
                <w:szCs w:val="16"/>
              </w:rPr>
            </w:pPr>
            <w:r w:rsidRPr="00EE5D67">
              <w:rPr>
                <w:rFonts w:cs="Arial"/>
                <w:sz w:val="16"/>
                <w:szCs w:val="16"/>
              </w:rPr>
              <w:t>126</w:t>
            </w:r>
          </w:p>
        </w:tc>
        <w:tc>
          <w:tcPr>
            <w:tcW w:w="830" w:type="dxa"/>
            <w:tcBorders>
              <w:top w:val="nil"/>
              <w:left w:val="nil"/>
              <w:bottom w:val="nil"/>
              <w:right w:val="nil"/>
            </w:tcBorders>
            <w:shd w:val="clear" w:color="000000" w:fill="FFFFFF"/>
            <w:noWrap/>
            <w:vAlign w:val="center"/>
            <w:hideMark/>
          </w:tcPr>
          <w:p w14:paraId="64509066" w14:textId="77777777" w:rsidR="00EE5D67" w:rsidRPr="00EE5D67" w:rsidRDefault="00EE5D67" w:rsidP="00EE5D67">
            <w:pPr>
              <w:spacing w:after="0" w:line="240" w:lineRule="auto"/>
              <w:jc w:val="right"/>
              <w:rPr>
                <w:rFonts w:cs="Arial"/>
                <w:sz w:val="16"/>
                <w:szCs w:val="16"/>
              </w:rPr>
            </w:pPr>
            <w:r w:rsidRPr="00EE5D67">
              <w:rPr>
                <w:rFonts w:cs="Arial"/>
                <w:sz w:val="16"/>
                <w:szCs w:val="16"/>
              </w:rPr>
              <w:t>145</w:t>
            </w:r>
          </w:p>
        </w:tc>
      </w:tr>
      <w:tr w:rsidR="00FA3B19" w:rsidRPr="00EE5D67" w14:paraId="7CBB1CC3"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tcPr>
          <w:p w14:paraId="64A9B718" w14:textId="5BE0962E" w:rsidR="00FA3B19" w:rsidRPr="00EE5D67" w:rsidRDefault="00FA3B19" w:rsidP="00EE5D67">
            <w:pPr>
              <w:spacing w:after="0" w:line="240" w:lineRule="auto"/>
              <w:rPr>
                <w:rFonts w:cs="Arial"/>
                <w:sz w:val="16"/>
                <w:szCs w:val="16"/>
              </w:rPr>
            </w:pPr>
            <w:r>
              <w:rPr>
                <w:rFonts w:cs="Arial"/>
                <w:sz w:val="16"/>
                <w:szCs w:val="16"/>
              </w:rPr>
              <w:t>Moravskoslezský</w:t>
            </w:r>
          </w:p>
        </w:tc>
        <w:tc>
          <w:tcPr>
            <w:tcW w:w="750" w:type="dxa"/>
            <w:tcBorders>
              <w:top w:val="nil"/>
              <w:left w:val="nil"/>
              <w:bottom w:val="nil"/>
              <w:right w:val="nil"/>
            </w:tcBorders>
            <w:shd w:val="clear" w:color="000000" w:fill="FFFFFF"/>
            <w:vAlign w:val="center"/>
          </w:tcPr>
          <w:p w14:paraId="5DE1F0EE" w14:textId="7E49D4CD" w:rsidR="00FA3B19" w:rsidRPr="00EE5D67" w:rsidRDefault="00FA3B19" w:rsidP="00EE5D67">
            <w:pPr>
              <w:spacing w:after="0" w:line="240" w:lineRule="auto"/>
              <w:jc w:val="right"/>
              <w:rPr>
                <w:rFonts w:cs="Arial"/>
                <w:b/>
                <w:bCs/>
                <w:color w:val="000000"/>
                <w:sz w:val="16"/>
                <w:szCs w:val="16"/>
              </w:rPr>
            </w:pPr>
            <w:r>
              <w:rPr>
                <w:rFonts w:cs="Arial"/>
                <w:b/>
                <w:bCs/>
                <w:color w:val="000000"/>
                <w:sz w:val="16"/>
                <w:szCs w:val="16"/>
              </w:rPr>
              <w:t>8 975</w:t>
            </w:r>
          </w:p>
        </w:tc>
        <w:tc>
          <w:tcPr>
            <w:tcW w:w="830" w:type="dxa"/>
            <w:tcBorders>
              <w:top w:val="nil"/>
              <w:left w:val="nil"/>
              <w:bottom w:val="nil"/>
              <w:right w:val="nil"/>
            </w:tcBorders>
            <w:shd w:val="clear" w:color="000000" w:fill="FFFFFF"/>
            <w:noWrap/>
            <w:vAlign w:val="center"/>
          </w:tcPr>
          <w:p w14:paraId="3FE4B2CD" w14:textId="12C0D3EB" w:rsidR="00FA3B19" w:rsidRPr="00EE5D67" w:rsidRDefault="00FA3B19" w:rsidP="00EE5D67">
            <w:pPr>
              <w:spacing w:after="0" w:line="240" w:lineRule="auto"/>
              <w:jc w:val="right"/>
              <w:rPr>
                <w:rFonts w:cs="Arial"/>
                <w:sz w:val="16"/>
                <w:szCs w:val="16"/>
              </w:rPr>
            </w:pPr>
            <w:r>
              <w:rPr>
                <w:rFonts w:cs="Arial"/>
                <w:sz w:val="16"/>
                <w:szCs w:val="16"/>
              </w:rPr>
              <w:t>3 260</w:t>
            </w:r>
          </w:p>
        </w:tc>
        <w:tc>
          <w:tcPr>
            <w:tcW w:w="830" w:type="dxa"/>
            <w:tcBorders>
              <w:top w:val="nil"/>
              <w:left w:val="nil"/>
              <w:bottom w:val="nil"/>
              <w:right w:val="nil"/>
            </w:tcBorders>
            <w:shd w:val="clear" w:color="000000" w:fill="FFFFFF"/>
            <w:noWrap/>
            <w:vAlign w:val="center"/>
          </w:tcPr>
          <w:p w14:paraId="43AC423B" w14:textId="7FCDA9BE" w:rsidR="00FA3B19" w:rsidRPr="00EE5D67" w:rsidRDefault="00FA3B19" w:rsidP="00EE5D67">
            <w:pPr>
              <w:spacing w:after="0" w:line="240" w:lineRule="auto"/>
              <w:jc w:val="right"/>
              <w:rPr>
                <w:rFonts w:cs="Arial"/>
                <w:sz w:val="16"/>
                <w:szCs w:val="16"/>
              </w:rPr>
            </w:pPr>
            <w:r>
              <w:rPr>
                <w:rFonts w:cs="Arial"/>
                <w:sz w:val="16"/>
                <w:szCs w:val="16"/>
              </w:rPr>
              <w:t>1 326</w:t>
            </w:r>
          </w:p>
        </w:tc>
        <w:tc>
          <w:tcPr>
            <w:tcW w:w="830" w:type="dxa"/>
            <w:tcBorders>
              <w:top w:val="nil"/>
              <w:left w:val="nil"/>
              <w:bottom w:val="nil"/>
              <w:right w:val="nil"/>
            </w:tcBorders>
            <w:shd w:val="clear" w:color="000000" w:fill="FFFFFF"/>
            <w:noWrap/>
            <w:vAlign w:val="center"/>
          </w:tcPr>
          <w:p w14:paraId="4275B085" w14:textId="33C587DD" w:rsidR="00FA3B19" w:rsidRPr="00EE5D67" w:rsidRDefault="00FA3B19" w:rsidP="00EE5D67">
            <w:pPr>
              <w:spacing w:after="0" w:line="240" w:lineRule="auto"/>
              <w:jc w:val="right"/>
              <w:rPr>
                <w:rFonts w:cs="Arial"/>
                <w:sz w:val="16"/>
                <w:szCs w:val="16"/>
              </w:rPr>
            </w:pPr>
            <w:r>
              <w:rPr>
                <w:rFonts w:cs="Arial"/>
                <w:sz w:val="16"/>
                <w:szCs w:val="16"/>
              </w:rPr>
              <w:t>923</w:t>
            </w:r>
          </w:p>
        </w:tc>
        <w:tc>
          <w:tcPr>
            <w:tcW w:w="830" w:type="dxa"/>
            <w:tcBorders>
              <w:top w:val="nil"/>
              <w:left w:val="nil"/>
              <w:bottom w:val="nil"/>
              <w:right w:val="nil"/>
            </w:tcBorders>
            <w:shd w:val="clear" w:color="000000" w:fill="FFFFFF"/>
            <w:noWrap/>
            <w:vAlign w:val="center"/>
          </w:tcPr>
          <w:p w14:paraId="3801A50D" w14:textId="7F8FFBA5" w:rsidR="00FA3B19" w:rsidRPr="00EE5D67" w:rsidRDefault="00FA3B19" w:rsidP="00EE5D67">
            <w:pPr>
              <w:spacing w:after="0" w:line="240" w:lineRule="auto"/>
              <w:jc w:val="right"/>
              <w:rPr>
                <w:rFonts w:cs="Arial"/>
                <w:sz w:val="16"/>
                <w:szCs w:val="16"/>
              </w:rPr>
            </w:pPr>
            <w:r>
              <w:rPr>
                <w:rFonts w:cs="Arial"/>
                <w:sz w:val="16"/>
                <w:szCs w:val="16"/>
              </w:rPr>
              <w:t>1 383</w:t>
            </w:r>
          </w:p>
        </w:tc>
        <w:tc>
          <w:tcPr>
            <w:tcW w:w="830" w:type="dxa"/>
            <w:tcBorders>
              <w:top w:val="nil"/>
              <w:left w:val="nil"/>
              <w:bottom w:val="nil"/>
              <w:right w:val="nil"/>
            </w:tcBorders>
            <w:shd w:val="clear" w:color="000000" w:fill="FFFFFF"/>
            <w:noWrap/>
            <w:vAlign w:val="center"/>
          </w:tcPr>
          <w:p w14:paraId="3225A92F" w14:textId="64D1C9E5" w:rsidR="00FA3B19" w:rsidRPr="00EE5D67" w:rsidRDefault="00FA3B19" w:rsidP="00EE5D67">
            <w:pPr>
              <w:spacing w:after="0" w:line="240" w:lineRule="auto"/>
              <w:jc w:val="right"/>
              <w:rPr>
                <w:rFonts w:cs="Arial"/>
                <w:sz w:val="16"/>
                <w:szCs w:val="16"/>
              </w:rPr>
            </w:pPr>
            <w:r>
              <w:rPr>
                <w:rFonts w:cs="Arial"/>
                <w:sz w:val="16"/>
                <w:szCs w:val="16"/>
              </w:rPr>
              <w:t>700</w:t>
            </w:r>
          </w:p>
        </w:tc>
        <w:tc>
          <w:tcPr>
            <w:tcW w:w="830" w:type="dxa"/>
            <w:tcBorders>
              <w:top w:val="nil"/>
              <w:left w:val="nil"/>
              <w:bottom w:val="nil"/>
              <w:right w:val="nil"/>
            </w:tcBorders>
            <w:shd w:val="clear" w:color="000000" w:fill="FFFFFF"/>
            <w:noWrap/>
            <w:vAlign w:val="center"/>
          </w:tcPr>
          <w:p w14:paraId="69D83229" w14:textId="4964D82A" w:rsidR="00FA3B19" w:rsidRPr="00EE5D67" w:rsidRDefault="00FA3B19" w:rsidP="00EE5D67">
            <w:pPr>
              <w:spacing w:after="0" w:line="240" w:lineRule="auto"/>
              <w:jc w:val="right"/>
              <w:rPr>
                <w:rFonts w:cs="Arial"/>
                <w:sz w:val="16"/>
                <w:szCs w:val="16"/>
              </w:rPr>
            </w:pPr>
            <w:r>
              <w:rPr>
                <w:rFonts w:cs="Arial"/>
                <w:sz w:val="16"/>
                <w:szCs w:val="16"/>
              </w:rPr>
              <w:t>844</w:t>
            </w:r>
          </w:p>
        </w:tc>
        <w:tc>
          <w:tcPr>
            <w:tcW w:w="830" w:type="dxa"/>
            <w:tcBorders>
              <w:top w:val="nil"/>
              <w:left w:val="nil"/>
              <w:bottom w:val="nil"/>
              <w:right w:val="nil"/>
            </w:tcBorders>
            <w:shd w:val="clear" w:color="000000" w:fill="FFFFFF"/>
            <w:noWrap/>
            <w:vAlign w:val="center"/>
          </w:tcPr>
          <w:p w14:paraId="260930AE" w14:textId="1E907F49" w:rsidR="00FA3B19" w:rsidRPr="00EE5D67" w:rsidRDefault="00FA3B19" w:rsidP="00EE5D67">
            <w:pPr>
              <w:spacing w:after="0" w:line="240" w:lineRule="auto"/>
              <w:jc w:val="right"/>
              <w:rPr>
                <w:rFonts w:cs="Arial"/>
                <w:sz w:val="16"/>
                <w:szCs w:val="16"/>
              </w:rPr>
            </w:pPr>
            <w:r>
              <w:rPr>
                <w:rFonts w:cs="Arial"/>
                <w:sz w:val="16"/>
                <w:szCs w:val="16"/>
              </w:rPr>
              <w:t>267</w:t>
            </w:r>
          </w:p>
        </w:tc>
        <w:tc>
          <w:tcPr>
            <w:tcW w:w="830" w:type="dxa"/>
            <w:tcBorders>
              <w:top w:val="nil"/>
              <w:left w:val="nil"/>
              <w:bottom w:val="nil"/>
              <w:right w:val="nil"/>
            </w:tcBorders>
            <w:shd w:val="clear" w:color="000000" w:fill="FFFFFF"/>
            <w:noWrap/>
            <w:vAlign w:val="center"/>
          </w:tcPr>
          <w:p w14:paraId="499D3843" w14:textId="5A9081B3" w:rsidR="00FA3B19" w:rsidRPr="00EE5D67" w:rsidRDefault="00FA3B19" w:rsidP="00EE5D67">
            <w:pPr>
              <w:spacing w:after="0" w:line="240" w:lineRule="auto"/>
              <w:jc w:val="right"/>
              <w:rPr>
                <w:rFonts w:cs="Arial"/>
                <w:sz w:val="16"/>
                <w:szCs w:val="16"/>
              </w:rPr>
            </w:pPr>
            <w:r>
              <w:rPr>
                <w:rFonts w:cs="Arial"/>
                <w:sz w:val="16"/>
                <w:szCs w:val="16"/>
              </w:rPr>
              <w:t>147</w:t>
            </w:r>
          </w:p>
        </w:tc>
        <w:tc>
          <w:tcPr>
            <w:tcW w:w="830" w:type="dxa"/>
            <w:tcBorders>
              <w:top w:val="nil"/>
              <w:left w:val="nil"/>
              <w:bottom w:val="nil"/>
              <w:right w:val="nil"/>
            </w:tcBorders>
            <w:shd w:val="clear" w:color="000000" w:fill="FFFFFF"/>
            <w:noWrap/>
            <w:vAlign w:val="center"/>
          </w:tcPr>
          <w:p w14:paraId="2F842CE5" w14:textId="32F2A085" w:rsidR="00FA3B19" w:rsidRPr="00EE5D67" w:rsidRDefault="00FA3B19" w:rsidP="00EE5D67">
            <w:pPr>
              <w:spacing w:after="0" w:line="240" w:lineRule="auto"/>
              <w:jc w:val="right"/>
              <w:rPr>
                <w:rFonts w:cs="Arial"/>
                <w:sz w:val="16"/>
                <w:szCs w:val="16"/>
              </w:rPr>
            </w:pPr>
            <w:r>
              <w:rPr>
                <w:rFonts w:cs="Arial"/>
                <w:sz w:val="16"/>
                <w:szCs w:val="16"/>
              </w:rPr>
              <w:t>124</w:t>
            </w:r>
          </w:p>
        </w:tc>
      </w:tr>
    </w:tbl>
    <w:p w14:paraId="754F2DC5" w14:textId="2893ABDF" w:rsidR="00C904CE" w:rsidRDefault="00183E6E" w:rsidP="00FA3B19">
      <w:pPr>
        <w:spacing w:before="120"/>
        <w:rPr>
          <w:rFonts w:cs="Arial"/>
          <w:sz w:val="16"/>
          <w:szCs w:val="16"/>
        </w:rPr>
      </w:pPr>
      <w:r>
        <w:rPr>
          <w:b/>
        </w:rPr>
        <w:fldChar w:fldCharType="end"/>
      </w:r>
      <w:r w:rsidR="00C904CE" w:rsidRPr="00D82821">
        <w:rPr>
          <w:rFonts w:cs="Arial"/>
          <w:sz w:val="16"/>
          <w:szCs w:val="16"/>
        </w:rPr>
        <w:t>Zdroj: ČSSZ</w:t>
      </w:r>
    </w:p>
    <w:p w14:paraId="3F850557" w14:textId="6B24E1CF" w:rsidR="00CD3EEE" w:rsidRDefault="007476C8" w:rsidP="00A34C92">
      <w:pPr>
        <w:jc w:val="both"/>
      </w:pPr>
      <w:r>
        <w:t>Druhou nejčastější příčin</w:t>
      </w:r>
      <w:r w:rsidR="00BC2D19" w:rsidRPr="00EB4A1C">
        <w:t xml:space="preserve">u pracovní neschopnosti </w:t>
      </w:r>
      <w:r w:rsidR="00DB5B58">
        <w:t>představovaly</w:t>
      </w:r>
      <w:r w:rsidR="00BC2D19" w:rsidRPr="00EB4A1C">
        <w:t xml:space="preserve"> nemoci </w:t>
      </w:r>
      <w:r w:rsidR="000138D2" w:rsidRPr="00EB4A1C">
        <w:t>pohybové soustavy</w:t>
      </w:r>
      <w:r w:rsidR="007441F5" w:rsidRPr="00EB4A1C">
        <w:t>, které v</w:t>
      </w:r>
      <w:r w:rsidR="000138D2" w:rsidRPr="00EB4A1C">
        <w:t> 1.</w:t>
      </w:r>
      <w:r w:rsidR="005A0510">
        <w:t> </w:t>
      </w:r>
      <w:r w:rsidR="000138D2" w:rsidRPr="00EB4A1C">
        <w:t>pol.</w:t>
      </w:r>
      <w:r w:rsidR="005A0510">
        <w:t> </w:t>
      </w:r>
      <w:r w:rsidR="000138D2" w:rsidRPr="00EB4A1C">
        <w:t>201</w:t>
      </w:r>
      <w:r w:rsidR="00DB5B58">
        <w:t>9</w:t>
      </w:r>
      <w:r w:rsidR="000138D2" w:rsidRPr="00EB4A1C">
        <w:t xml:space="preserve"> </w:t>
      </w:r>
      <w:r w:rsidR="007441F5" w:rsidRPr="00EB4A1C">
        <w:t xml:space="preserve">tvořily </w:t>
      </w:r>
      <w:r>
        <w:t xml:space="preserve">téměř </w:t>
      </w:r>
      <w:r w:rsidR="00DB5B58">
        <w:t>pětinu (18,6</w:t>
      </w:r>
      <w:r w:rsidR="000138D2" w:rsidRPr="00EB4A1C">
        <w:t xml:space="preserve"> %</w:t>
      </w:r>
      <w:r w:rsidR="00DB5B58">
        <w:t>)</w:t>
      </w:r>
      <w:r w:rsidR="000138D2" w:rsidRPr="00EB4A1C">
        <w:t xml:space="preserve"> ze všech případ</w:t>
      </w:r>
      <w:r w:rsidR="00F20F72">
        <w:t>ů</w:t>
      </w:r>
      <w:r w:rsidR="000138D2" w:rsidRPr="00EB4A1C">
        <w:t xml:space="preserve"> dočasné pracovní neschopnosti.</w:t>
      </w:r>
      <w:r w:rsidR="007441F5" w:rsidRPr="00EB4A1C">
        <w:t xml:space="preserve"> Tyto </w:t>
      </w:r>
      <w:r w:rsidR="005129CB" w:rsidRPr="00EB4A1C">
        <w:t xml:space="preserve">nemoci se vyznačují poměrně dlouhou průměrnou délkou trvání jednoho případu – </w:t>
      </w:r>
      <w:r w:rsidR="00DB5B58">
        <w:t xml:space="preserve">v průměru </w:t>
      </w:r>
      <w:r w:rsidR="005129CB" w:rsidRPr="00EB4A1C">
        <w:t>více než 2 kalendářní měsíce (</w:t>
      </w:r>
      <w:r w:rsidR="00DB5B58">
        <w:t>70</w:t>
      </w:r>
      <w:r w:rsidR="00704BE9" w:rsidRPr="00EB4A1C">
        <w:t xml:space="preserve"> </w:t>
      </w:r>
      <w:r w:rsidR="00DB5B58">
        <w:t>dnů</w:t>
      </w:r>
      <w:r w:rsidR="005129CB" w:rsidRPr="00EB4A1C">
        <w:t>)</w:t>
      </w:r>
      <w:r w:rsidR="00DB5B58">
        <w:t xml:space="preserve"> na 1 případ</w:t>
      </w:r>
      <w:r w:rsidR="005129CB" w:rsidRPr="00EB4A1C">
        <w:t>. Na celkovém počtu prostonaných dnů se tato kategorie podílí téměř třetinou (</w:t>
      </w:r>
      <w:r w:rsidR="00DB5B58">
        <w:t xml:space="preserve">12,4 mil. </w:t>
      </w:r>
      <w:r w:rsidR="001030DF" w:rsidRPr="00EB4A1C">
        <w:t>dnů</w:t>
      </w:r>
      <w:r w:rsidR="0076173C" w:rsidRPr="00EB4A1C">
        <w:t>.</w:t>
      </w:r>
      <w:r w:rsidR="00DB5B58">
        <w:t>,</w:t>
      </w:r>
      <w:r w:rsidR="00A26F00" w:rsidRPr="00EB4A1C">
        <w:t xml:space="preserve"> tj. </w:t>
      </w:r>
      <w:r w:rsidR="00DB5B58">
        <w:t>31</w:t>
      </w:r>
      <w:r w:rsidR="005129CB" w:rsidRPr="00EB4A1C">
        <w:t xml:space="preserve"> %), což je dlouhodobě nejvyšší podíl</w:t>
      </w:r>
      <w:r>
        <w:t xml:space="preserve"> ze všech druhů onemocnění</w:t>
      </w:r>
      <w:r w:rsidR="005129CB" w:rsidRPr="00EB4A1C">
        <w:t>.</w:t>
      </w:r>
      <w:r w:rsidR="005129CB" w:rsidRPr="00A34C92">
        <w:t xml:space="preserve"> </w:t>
      </w:r>
      <w:r w:rsidR="00DB5B58">
        <w:t>Z nemo</w:t>
      </w:r>
      <w:r w:rsidR="007C73B7">
        <w:t>cí pohybové soustavy zapříčiňuje</w:t>
      </w:r>
      <w:r w:rsidR="00DB5B58">
        <w:t xml:space="preserve"> pracovní neschopnost nejčastěji onemocnění páteře.</w:t>
      </w:r>
    </w:p>
    <w:p w14:paraId="130B2716" w14:textId="7DE519FC" w:rsidR="00182D5F" w:rsidRPr="00A34C92" w:rsidRDefault="00182D5F" w:rsidP="00A34C92">
      <w:pPr>
        <w:jc w:val="both"/>
      </w:pPr>
      <w:r>
        <w:t>Desetinu všech ukončených případů tvořily úrazy a otravy. Průměrná délka trvání pracovní neschopnosti byla v případě této skupiny nemocí 55,6 dne, počet prostonaných dnů 5,5 mil., tj. 13,6 % z úhrnu doby trvání všech ukončenýc</w:t>
      </w:r>
      <w:r w:rsidR="007C73B7">
        <w:t>h případů pracovní neschopnosti</w:t>
      </w:r>
      <w:r>
        <w:t>.</w:t>
      </w:r>
    </w:p>
    <w:p w14:paraId="384C34EC" w14:textId="4214D6CF" w:rsidR="00003180" w:rsidRDefault="00003180" w:rsidP="0019246C">
      <w:pPr>
        <w:spacing w:after="120"/>
        <w:jc w:val="both"/>
        <w:rPr>
          <w:b/>
        </w:rPr>
      </w:pPr>
      <w:r w:rsidRPr="00003180">
        <w:rPr>
          <w:b/>
        </w:rPr>
        <w:lastRenderedPageBreak/>
        <w:t>Graf 3.2</w:t>
      </w:r>
      <w:r>
        <w:rPr>
          <w:b/>
        </w:rPr>
        <w:t>:</w:t>
      </w:r>
      <w:r w:rsidRPr="00003180">
        <w:rPr>
          <w:b/>
        </w:rPr>
        <w:t xml:space="preserve"> Struktura ukončených případů dočasné pracovní neschopnosti podle skupin diagnóz</w:t>
      </w:r>
      <w:r>
        <w:rPr>
          <w:b/>
        </w:rPr>
        <w:t xml:space="preserve"> </w:t>
      </w:r>
      <w:r w:rsidRPr="00003180">
        <w:rPr>
          <w:b/>
        </w:rPr>
        <w:t>(kapitol MKN-10) v 1. pol. 2019</w:t>
      </w:r>
    </w:p>
    <w:p w14:paraId="3B9CBFF2" w14:textId="270DA72F" w:rsidR="006743FC" w:rsidRPr="007C73B7" w:rsidRDefault="00003180" w:rsidP="007B7979">
      <w:pPr>
        <w:jc w:val="both"/>
        <w:rPr>
          <w:b/>
        </w:rPr>
      </w:pPr>
      <w:r>
        <w:rPr>
          <w:noProof/>
        </w:rPr>
        <w:drawing>
          <wp:inline distT="0" distB="0" distL="0" distR="0" wp14:anchorId="038ACD02" wp14:editId="38839C14">
            <wp:extent cx="6124575" cy="4733925"/>
            <wp:effectExtent l="0" t="0" r="0" b="0"/>
            <wp:docPr id="63" name="Graf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007B7979">
        <w:rPr>
          <w:rFonts w:cs="Arial"/>
          <w:sz w:val="16"/>
          <w:szCs w:val="16"/>
        </w:rPr>
        <w:t xml:space="preserve">Zdroj: </w:t>
      </w:r>
      <w:r w:rsidR="006743FC">
        <w:rPr>
          <w:rFonts w:cs="Arial"/>
          <w:sz w:val="16"/>
          <w:szCs w:val="16"/>
        </w:rPr>
        <w:t>ČSSZ</w:t>
      </w:r>
    </w:p>
    <w:p w14:paraId="077C8926" w14:textId="23A7A8C6" w:rsidR="001670A7" w:rsidRPr="00BA5248" w:rsidRDefault="001670A7" w:rsidP="001670A7">
      <w:pPr>
        <w:jc w:val="both"/>
      </w:pPr>
      <w:r w:rsidRPr="00BA5248">
        <w:t xml:space="preserve">Nejdelší průměrná délka trvání jednoho případu pracovní neschopnosti byla </w:t>
      </w:r>
      <w:r w:rsidR="00861778">
        <w:t xml:space="preserve">v </w:t>
      </w:r>
      <w:r w:rsidR="00F8293A" w:rsidRPr="00BA5248">
        <w:t>1. pol. 201</w:t>
      </w:r>
      <w:r w:rsidR="00861778">
        <w:t>9</w:t>
      </w:r>
      <w:r w:rsidRPr="00BA5248">
        <w:t xml:space="preserve"> u </w:t>
      </w:r>
      <w:r w:rsidR="00861778">
        <w:t xml:space="preserve">již zmíněné tuberkulózy. </w:t>
      </w:r>
      <w:r w:rsidR="000073B0" w:rsidRPr="00BA5248">
        <w:t xml:space="preserve">Další diagnózou, </w:t>
      </w:r>
      <w:r w:rsidR="00F20F72">
        <w:t>která je doprovázena dlouhou pracovní neschopností,</w:t>
      </w:r>
      <w:r w:rsidR="00861778">
        <w:t xml:space="preserve"> jsou zhoubné novotvary způsobující neschopnost v průměru 179 dní. U mužů 173 dní, zatímco u žen 184 dní.</w:t>
      </w:r>
      <w:r w:rsidR="00F515CB" w:rsidRPr="00BA5248">
        <w:t xml:space="preserve"> </w:t>
      </w:r>
      <w:r w:rsidR="00296AB1">
        <w:t>C</w:t>
      </w:r>
      <w:r w:rsidR="00F515CB" w:rsidRPr="00BA5248">
        <w:t>évní nemoci mozku</w:t>
      </w:r>
      <w:r w:rsidR="00296AB1">
        <w:t xml:space="preserve"> si vyžádaly v průměru 167 dní</w:t>
      </w:r>
      <w:r w:rsidR="00097DA1">
        <w:t xml:space="preserve"> pracovní neschopnosti</w:t>
      </w:r>
      <w:r w:rsidR="00296AB1">
        <w:t>,</w:t>
      </w:r>
      <w:r w:rsidR="00F515CB" w:rsidRPr="00BA5248">
        <w:t xml:space="preserve"> </w:t>
      </w:r>
      <w:r w:rsidR="000073B0" w:rsidRPr="00BA5248">
        <w:t>ischemická choroba srdeční</w:t>
      </w:r>
      <w:r w:rsidR="00296AB1">
        <w:t xml:space="preserve"> 130 dní a nemoci spojené s těhotenstvím, porodem a šestinedělím trvaly v průměru 103 dní. </w:t>
      </w:r>
    </w:p>
    <w:p w14:paraId="4FA62F4D" w14:textId="658F76DD" w:rsidR="001670A7" w:rsidRDefault="00D32481" w:rsidP="001670A7">
      <w:pPr>
        <w:jc w:val="both"/>
        <w:rPr>
          <w:color w:val="000000" w:themeColor="text1"/>
        </w:rPr>
      </w:pPr>
      <w:r>
        <w:rPr>
          <w:color w:val="000000" w:themeColor="text1"/>
        </w:rPr>
        <w:t>I ze zdroje o ukončených případech pracovní neschopnosti vychází, že z</w:t>
      </w:r>
      <w:r w:rsidR="001670A7" w:rsidRPr="006743FC">
        <w:rPr>
          <w:color w:val="000000" w:themeColor="text1"/>
        </w:rPr>
        <w:t> </w:t>
      </w:r>
      <w:r w:rsidR="00296AB1">
        <w:rPr>
          <w:color w:val="000000" w:themeColor="text1"/>
        </w:rPr>
        <w:t>hlediska</w:t>
      </w:r>
      <w:r w:rsidR="001670A7" w:rsidRPr="006743FC">
        <w:rPr>
          <w:color w:val="000000" w:themeColor="text1"/>
        </w:rPr>
        <w:t xml:space="preserve"> </w:t>
      </w:r>
      <w:r w:rsidR="001670A7" w:rsidRPr="00296AB1">
        <w:rPr>
          <w:b/>
          <w:color w:val="000000" w:themeColor="text1"/>
        </w:rPr>
        <w:t>pohlaví</w:t>
      </w:r>
      <w:r w:rsidR="001670A7" w:rsidRPr="006743FC">
        <w:rPr>
          <w:color w:val="000000" w:themeColor="text1"/>
        </w:rPr>
        <w:t xml:space="preserve"> bývají v pracovní neschopnosti častěji ženy</w:t>
      </w:r>
      <w:r>
        <w:rPr>
          <w:color w:val="000000" w:themeColor="text1"/>
        </w:rPr>
        <w:t>.</w:t>
      </w:r>
      <w:r w:rsidR="001670A7" w:rsidRPr="006743FC">
        <w:rPr>
          <w:color w:val="000000" w:themeColor="text1"/>
        </w:rPr>
        <w:t xml:space="preserve"> </w:t>
      </w:r>
      <w:r>
        <w:rPr>
          <w:color w:val="000000" w:themeColor="text1"/>
        </w:rPr>
        <w:t>V</w:t>
      </w:r>
      <w:r w:rsidR="00B3274A" w:rsidRPr="006743FC">
        <w:rPr>
          <w:color w:val="000000" w:themeColor="text1"/>
        </w:rPr>
        <w:t> 1.</w:t>
      </w:r>
      <w:r w:rsidR="00C62BF2">
        <w:rPr>
          <w:color w:val="000000" w:themeColor="text1"/>
        </w:rPr>
        <w:t xml:space="preserve"> </w:t>
      </w:r>
      <w:r w:rsidR="00296AB1">
        <w:rPr>
          <w:color w:val="000000" w:themeColor="text1"/>
        </w:rPr>
        <w:t>pol. 2019</w:t>
      </w:r>
      <w:r w:rsidR="001670A7" w:rsidRPr="006743FC">
        <w:rPr>
          <w:color w:val="000000" w:themeColor="text1"/>
        </w:rPr>
        <w:t xml:space="preserve"> připadalo </w:t>
      </w:r>
      <w:r w:rsidR="00544095" w:rsidRPr="006743FC">
        <w:rPr>
          <w:color w:val="000000" w:themeColor="text1"/>
        </w:rPr>
        <w:t>5</w:t>
      </w:r>
      <w:r w:rsidR="00296AB1">
        <w:rPr>
          <w:color w:val="000000" w:themeColor="text1"/>
        </w:rPr>
        <w:t>15,6</w:t>
      </w:r>
      <w:r w:rsidR="00D20CD3" w:rsidRPr="006743FC">
        <w:rPr>
          <w:color w:val="000000" w:themeColor="text1"/>
        </w:rPr>
        <w:t xml:space="preserve"> tis.</w:t>
      </w:r>
      <w:r w:rsidR="00544095" w:rsidRPr="006743FC">
        <w:rPr>
          <w:color w:val="000000" w:themeColor="text1"/>
        </w:rPr>
        <w:t xml:space="preserve"> </w:t>
      </w:r>
      <w:r w:rsidR="005B52C1" w:rsidRPr="006743FC">
        <w:rPr>
          <w:color w:val="000000" w:themeColor="text1"/>
        </w:rPr>
        <w:t xml:space="preserve">ukončených případů </w:t>
      </w:r>
      <w:r w:rsidR="00D20CD3" w:rsidRPr="006743FC">
        <w:rPr>
          <w:color w:val="000000" w:themeColor="text1"/>
        </w:rPr>
        <w:t xml:space="preserve">na ženy a </w:t>
      </w:r>
      <w:r w:rsidR="00296AB1">
        <w:rPr>
          <w:color w:val="000000" w:themeColor="text1"/>
        </w:rPr>
        <w:t>448,3</w:t>
      </w:r>
      <w:r w:rsidR="00D20CD3" w:rsidRPr="006743FC">
        <w:rPr>
          <w:color w:val="000000" w:themeColor="text1"/>
        </w:rPr>
        <w:t xml:space="preserve"> tis. na muže.</w:t>
      </w:r>
      <w:r w:rsidR="00A34C92">
        <w:rPr>
          <w:color w:val="000000" w:themeColor="text1"/>
        </w:rPr>
        <w:t xml:space="preserve"> </w:t>
      </w:r>
      <w:r w:rsidR="00CC4392" w:rsidRPr="006743FC">
        <w:rPr>
          <w:color w:val="000000" w:themeColor="text1"/>
        </w:rPr>
        <w:t>Dočasná p</w:t>
      </w:r>
      <w:r w:rsidR="001670A7" w:rsidRPr="006743FC">
        <w:rPr>
          <w:color w:val="000000" w:themeColor="text1"/>
        </w:rPr>
        <w:t xml:space="preserve">racovní neschopnost u žen také trvala v průměru o </w:t>
      </w:r>
      <w:r w:rsidR="00C31081" w:rsidRPr="006743FC">
        <w:rPr>
          <w:color w:val="000000" w:themeColor="text1"/>
        </w:rPr>
        <w:t>2,</w:t>
      </w:r>
      <w:r w:rsidR="00296AB1">
        <w:rPr>
          <w:color w:val="000000" w:themeColor="text1"/>
        </w:rPr>
        <w:t>6 dne</w:t>
      </w:r>
      <w:r w:rsidR="001670A7" w:rsidRPr="006743FC">
        <w:rPr>
          <w:color w:val="000000" w:themeColor="text1"/>
        </w:rPr>
        <w:t xml:space="preserve"> déle než u mužů. Tento rozdíl mezi pohlavími trvá dlouhodobě a </w:t>
      </w:r>
      <w:r w:rsidR="00296AB1">
        <w:rPr>
          <w:color w:val="000000" w:themeColor="text1"/>
        </w:rPr>
        <w:t>je dán zejména indispozicemi spojenými</w:t>
      </w:r>
      <w:r w:rsidR="001670A7" w:rsidRPr="006743FC">
        <w:rPr>
          <w:color w:val="000000" w:themeColor="text1"/>
        </w:rPr>
        <w:t xml:space="preserve"> s těhotenstvím. </w:t>
      </w:r>
      <w:r>
        <w:rPr>
          <w:color w:val="000000" w:themeColor="text1"/>
        </w:rPr>
        <w:t>R</w:t>
      </w:r>
      <w:r w:rsidR="001670A7" w:rsidRPr="006743FC">
        <w:rPr>
          <w:color w:val="000000" w:themeColor="text1"/>
        </w:rPr>
        <w:t xml:space="preserve">ozdíl </w:t>
      </w:r>
      <w:r w:rsidR="00296AB1">
        <w:rPr>
          <w:color w:val="000000" w:themeColor="text1"/>
        </w:rPr>
        <w:t xml:space="preserve">v trvání pracovní neschopnosti podle pohlaví </w:t>
      </w:r>
      <w:r w:rsidR="001670A7" w:rsidRPr="006743FC">
        <w:rPr>
          <w:color w:val="000000" w:themeColor="text1"/>
        </w:rPr>
        <w:t>se objevuje i u dalších diagnóz</w:t>
      </w:r>
      <w:r w:rsidR="000E66A6">
        <w:rPr>
          <w:color w:val="000000" w:themeColor="text1"/>
        </w:rPr>
        <w:t>. V</w:t>
      </w:r>
      <w:r w:rsidR="001670A7" w:rsidRPr="006743FC">
        <w:rPr>
          <w:color w:val="000000" w:themeColor="text1"/>
        </w:rPr>
        <w:t>ýraznější počet případů u žen než u</w:t>
      </w:r>
      <w:r w:rsidR="005A0510">
        <w:rPr>
          <w:color w:val="000000" w:themeColor="text1"/>
        </w:rPr>
        <w:t> </w:t>
      </w:r>
      <w:r w:rsidR="001670A7" w:rsidRPr="006743FC">
        <w:rPr>
          <w:color w:val="000000" w:themeColor="text1"/>
        </w:rPr>
        <w:t xml:space="preserve">mužů je patrný </w:t>
      </w:r>
      <w:r>
        <w:rPr>
          <w:color w:val="000000" w:themeColor="text1"/>
        </w:rPr>
        <w:t xml:space="preserve">zejména </w:t>
      </w:r>
      <w:r w:rsidR="001670A7" w:rsidRPr="006743FC">
        <w:rPr>
          <w:color w:val="000000" w:themeColor="text1"/>
        </w:rPr>
        <w:t xml:space="preserve">u </w:t>
      </w:r>
      <w:r w:rsidR="000E66A6">
        <w:rPr>
          <w:color w:val="000000" w:themeColor="text1"/>
        </w:rPr>
        <w:t xml:space="preserve">nemocí dýchací soustavy, </w:t>
      </w:r>
      <w:r w:rsidR="001670A7" w:rsidRPr="006743FC">
        <w:rPr>
          <w:color w:val="000000" w:themeColor="text1"/>
        </w:rPr>
        <w:t xml:space="preserve">duševních poruch a u nemocí močové a pohlavní soustavy. Muži jsou naopak náchylnější na nemoci oběhové </w:t>
      </w:r>
      <w:r w:rsidR="000E66A6">
        <w:rPr>
          <w:color w:val="000000" w:themeColor="text1"/>
        </w:rPr>
        <w:t xml:space="preserve">a trávicí </w:t>
      </w:r>
      <w:r w:rsidR="001670A7" w:rsidRPr="006743FC">
        <w:rPr>
          <w:color w:val="000000" w:themeColor="text1"/>
        </w:rPr>
        <w:t xml:space="preserve">soustavy a mnohem častěji než ženy jsou práce neschopní </w:t>
      </w:r>
      <w:r w:rsidR="000E66A6">
        <w:rPr>
          <w:color w:val="000000" w:themeColor="text1"/>
        </w:rPr>
        <w:t>z důvodu</w:t>
      </w:r>
      <w:r w:rsidR="001670A7" w:rsidRPr="006743FC">
        <w:rPr>
          <w:color w:val="000000" w:themeColor="text1"/>
        </w:rPr>
        <w:t xml:space="preserve"> </w:t>
      </w:r>
      <w:r w:rsidR="000E66A6">
        <w:rPr>
          <w:color w:val="000000" w:themeColor="text1"/>
        </w:rPr>
        <w:t>úrazu či otravy.</w:t>
      </w:r>
      <w:r w:rsidR="00A34C92">
        <w:rPr>
          <w:color w:val="000000" w:themeColor="text1"/>
        </w:rPr>
        <w:t xml:space="preserve"> </w:t>
      </w:r>
    </w:p>
    <w:p w14:paraId="51C4E985" w14:textId="77777777" w:rsidR="00816CA3" w:rsidRDefault="00816CA3">
      <w:pPr>
        <w:spacing w:after="0" w:line="240" w:lineRule="auto"/>
        <w:rPr>
          <w:b/>
        </w:rPr>
      </w:pPr>
      <w:r>
        <w:rPr>
          <w:b/>
        </w:rPr>
        <w:br w:type="page"/>
      </w:r>
    </w:p>
    <w:p w14:paraId="58749402" w14:textId="3B27AB1F" w:rsidR="00EE5D67" w:rsidRDefault="00D74C16" w:rsidP="00F20F72">
      <w:pPr>
        <w:spacing w:after="120" w:line="240" w:lineRule="auto"/>
        <w:jc w:val="both"/>
        <w:rPr>
          <w:rFonts w:ascii="Calibri" w:eastAsia="Calibri" w:hAnsi="Calibri"/>
          <w:szCs w:val="20"/>
          <w:lang w:eastAsia="en-US"/>
        </w:rPr>
      </w:pPr>
      <w:r>
        <w:rPr>
          <w:b/>
        </w:rPr>
        <w:lastRenderedPageBreak/>
        <w:t>Tab. 3.</w:t>
      </w:r>
      <w:r w:rsidR="00042338">
        <w:rPr>
          <w:b/>
        </w:rPr>
        <w:t>4</w:t>
      </w:r>
      <w:r w:rsidR="000E66A6">
        <w:rPr>
          <w:b/>
        </w:rPr>
        <w:t xml:space="preserve">: </w:t>
      </w:r>
      <w:r>
        <w:rPr>
          <w:b/>
        </w:rPr>
        <w:t xml:space="preserve">Ukončené případy pracovní neschopnosti podle </w:t>
      </w:r>
      <w:r w:rsidR="00D47982">
        <w:rPr>
          <w:b/>
        </w:rPr>
        <w:t>skupin diagnóz</w:t>
      </w:r>
      <w:r w:rsidR="00640270">
        <w:rPr>
          <w:b/>
        </w:rPr>
        <w:t xml:space="preserve"> a pohlaví </w:t>
      </w:r>
      <w:r w:rsidR="000E66A6">
        <w:rPr>
          <w:b/>
        </w:rPr>
        <w:t>(1. pol. 2018, 2019)</w:t>
      </w:r>
      <w:r w:rsidR="00003180">
        <w:fldChar w:fldCharType="begin"/>
      </w:r>
      <w:r w:rsidR="00003180">
        <w:instrText xml:space="preserve"> LINK </w:instrText>
      </w:r>
      <w:r w:rsidR="00EE5D67">
        <w:instrText xml:space="preserve">Excel.Sheet.12 "E:\\PN_1.pol.2019\\1. pol\\TABULKY V TEXTU.xlsx" 3.4.!R4C1:R56C10 </w:instrText>
      </w:r>
      <w:r w:rsidR="00003180">
        <w:instrText xml:space="preserve">\a \f 4 \h  \* MERGEFORMAT </w:instrText>
      </w:r>
      <w:r w:rsidR="00003180">
        <w:fldChar w:fldCharType="separate"/>
      </w:r>
    </w:p>
    <w:tbl>
      <w:tblPr>
        <w:tblW w:w="9815" w:type="dxa"/>
        <w:tblCellMar>
          <w:left w:w="70" w:type="dxa"/>
          <w:right w:w="70" w:type="dxa"/>
        </w:tblCellMar>
        <w:tblLook w:val="04A0" w:firstRow="1" w:lastRow="0" w:firstColumn="1" w:lastColumn="0" w:noHBand="0" w:noVBand="1"/>
      </w:tblPr>
      <w:tblGrid>
        <w:gridCol w:w="2148"/>
        <w:gridCol w:w="972"/>
        <w:gridCol w:w="857"/>
        <w:gridCol w:w="859"/>
        <w:gridCol w:w="972"/>
        <w:gridCol w:w="972"/>
        <w:gridCol w:w="973"/>
        <w:gridCol w:w="683"/>
        <w:gridCol w:w="709"/>
        <w:gridCol w:w="692"/>
      </w:tblGrid>
      <w:tr w:rsidR="00EE5D67" w:rsidRPr="00EE5D67" w14:paraId="042C47FB" w14:textId="77777777" w:rsidTr="001239A7">
        <w:trPr>
          <w:divId w:val="1836259990"/>
          <w:trHeight w:val="633"/>
        </w:trPr>
        <w:tc>
          <w:tcPr>
            <w:tcW w:w="2148" w:type="dxa"/>
            <w:vMerge w:val="restart"/>
            <w:tcBorders>
              <w:top w:val="single" w:sz="4" w:space="0" w:color="auto"/>
              <w:left w:val="nil"/>
              <w:bottom w:val="single" w:sz="4" w:space="0" w:color="000000"/>
              <w:right w:val="single" w:sz="4" w:space="0" w:color="auto"/>
            </w:tcBorders>
            <w:shd w:val="clear" w:color="000000" w:fill="F5DADD"/>
            <w:vAlign w:val="center"/>
            <w:hideMark/>
          </w:tcPr>
          <w:p w14:paraId="07BF7C0C" w14:textId="76EC0B25" w:rsidR="00EE5D67" w:rsidRPr="00EE5D67" w:rsidRDefault="00EE5D67" w:rsidP="00EE5D67">
            <w:pPr>
              <w:spacing w:after="0" w:line="240" w:lineRule="auto"/>
              <w:jc w:val="center"/>
              <w:rPr>
                <w:rFonts w:cs="Arial"/>
                <w:sz w:val="16"/>
                <w:szCs w:val="16"/>
              </w:rPr>
            </w:pPr>
            <w:r w:rsidRPr="00EE5D67">
              <w:rPr>
                <w:rFonts w:cs="Arial"/>
                <w:sz w:val="16"/>
                <w:szCs w:val="16"/>
              </w:rPr>
              <w:t>Skupiny diagnóz</w:t>
            </w:r>
            <w:r w:rsidRPr="00EE5D67">
              <w:rPr>
                <w:rFonts w:cs="Arial"/>
                <w:sz w:val="16"/>
                <w:szCs w:val="16"/>
              </w:rPr>
              <w:br/>
              <w:t>(kapitoly podle MKN-10)</w:t>
            </w:r>
          </w:p>
        </w:tc>
        <w:tc>
          <w:tcPr>
            <w:tcW w:w="2688" w:type="dxa"/>
            <w:gridSpan w:val="3"/>
            <w:tcBorders>
              <w:top w:val="single" w:sz="4" w:space="0" w:color="auto"/>
              <w:left w:val="nil"/>
              <w:bottom w:val="single" w:sz="4" w:space="0" w:color="auto"/>
              <w:right w:val="nil"/>
            </w:tcBorders>
            <w:shd w:val="clear" w:color="000000" w:fill="F2DBDB"/>
            <w:vAlign w:val="center"/>
            <w:hideMark/>
          </w:tcPr>
          <w:p w14:paraId="5806865D" w14:textId="77777777" w:rsidR="00EE5D67" w:rsidRPr="00EE5D67" w:rsidRDefault="00EE5D67" w:rsidP="00EE5D67">
            <w:pPr>
              <w:spacing w:after="0" w:line="240" w:lineRule="auto"/>
              <w:jc w:val="center"/>
              <w:rPr>
                <w:rFonts w:cs="Arial"/>
                <w:sz w:val="16"/>
                <w:szCs w:val="16"/>
              </w:rPr>
            </w:pPr>
            <w:r w:rsidRPr="00EE5D67">
              <w:rPr>
                <w:rFonts w:cs="Arial"/>
                <w:sz w:val="16"/>
                <w:szCs w:val="16"/>
              </w:rPr>
              <w:t>Počet ukončených případů DPN</w:t>
            </w:r>
          </w:p>
        </w:tc>
        <w:tc>
          <w:tcPr>
            <w:tcW w:w="2917" w:type="dxa"/>
            <w:gridSpan w:val="3"/>
            <w:tcBorders>
              <w:top w:val="single" w:sz="4" w:space="0" w:color="auto"/>
              <w:left w:val="single" w:sz="4" w:space="0" w:color="auto"/>
              <w:bottom w:val="single" w:sz="4" w:space="0" w:color="auto"/>
              <w:right w:val="single" w:sz="4" w:space="0" w:color="auto"/>
            </w:tcBorders>
            <w:shd w:val="clear" w:color="000000" w:fill="F2DBDB"/>
            <w:vAlign w:val="center"/>
            <w:hideMark/>
          </w:tcPr>
          <w:p w14:paraId="0D5D8BDC" w14:textId="77777777" w:rsidR="00EE5D67" w:rsidRPr="00EE5D67" w:rsidRDefault="00EE5D67" w:rsidP="00EE5D67">
            <w:pPr>
              <w:spacing w:after="0" w:line="240" w:lineRule="auto"/>
              <w:jc w:val="center"/>
              <w:rPr>
                <w:rFonts w:cs="Arial"/>
                <w:sz w:val="16"/>
                <w:szCs w:val="16"/>
              </w:rPr>
            </w:pPr>
            <w:r w:rsidRPr="00EE5D67">
              <w:rPr>
                <w:rFonts w:cs="Arial"/>
                <w:sz w:val="16"/>
                <w:szCs w:val="16"/>
              </w:rPr>
              <w:t>Počet kalendářních dnů DPN</w:t>
            </w:r>
          </w:p>
        </w:tc>
        <w:tc>
          <w:tcPr>
            <w:tcW w:w="2062" w:type="dxa"/>
            <w:gridSpan w:val="3"/>
            <w:tcBorders>
              <w:top w:val="single" w:sz="4" w:space="0" w:color="auto"/>
              <w:left w:val="single" w:sz="4" w:space="0" w:color="auto"/>
              <w:bottom w:val="single" w:sz="4" w:space="0" w:color="auto"/>
            </w:tcBorders>
            <w:shd w:val="clear" w:color="000000" w:fill="F2DBDB"/>
            <w:vAlign w:val="center"/>
            <w:hideMark/>
          </w:tcPr>
          <w:p w14:paraId="379DEE06" w14:textId="77777777" w:rsidR="00816CA3" w:rsidRDefault="00EE5D67" w:rsidP="00EE5D67">
            <w:pPr>
              <w:spacing w:after="0" w:line="240" w:lineRule="auto"/>
              <w:jc w:val="center"/>
              <w:rPr>
                <w:rFonts w:cs="Arial"/>
                <w:sz w:val="16"/>
                <w:szCs w:val="16"/>
              </w:rPr>
            </w:pPr>
            <w:r w:rsidRPr="00EE5D67">
              <w:rPr>
                <w:rFonts w:cs="Arial"/>
                <w:sz w:val="16"/>
                <w:szCs w:val="16"/>
              </w:rPr>
              <w:t xml:space="preserve">Průměrná délka trvání </w:t>
            </w:r>
          </w:p>
          <w:p w14:paraId="58CB23E1" w14:textId="0766F2F5" w:rsidR="00EE5D67" w:rsidRPr="00EE5D67" w:rsidRDefault="00EE5D67" w:rsidP="00EE5D67">
            <w:pPr>
              <w:spacing w:after="0" w:line="240" w:lineRule="auto"/>
              <w:jc w:val="center"/>
              <w:rPr>
                <w:rFonts w:cs="Arial"/>
                <w:sz w:val="16"/>
                <w:szCs w:val="16"/>
              </w:rPr>
            </w:pPr>
            <w:r w:rsidRPr="00EE5D67">
              <w:rPr>
                <w:rFonts w:cs="Arial"/>
                <w:sz w:val="16"/>
                <w:szCs w:val="16"/>
              </w:rPr>
              <w:t>ukončeného případu DPN ve dnech</w:t>
            </w:r>
          </w:p>
        </w:tc>
      </w:tr>
      <w:tr w:rsidR="00EE5D67" w:rsidRPr="00EE5D67" w14:paraId="4FAE1B1F" w14:textId="77777777" w:rsidTr="001239A7">
        <w:trPr>
          <w:divId w:val="1836259990"/>
          <w:trHeight w:val="248"/>
        </w:trPr>
        <w:tc>
          <w:tcPr>
            <w:tcW w:w="2148" w:type="dxa"/>
            <w:vMerge/>
            <w:tcBorders>
              <w:top w:val="single" w:sz="4" w:space="0" w:color="auto"/>
              <w:left w:val="nil"/>
              <w:bottom w:val="single" w:sz="4" w:space="0" w:color="000000"/>
              <w:right w:val="single" w:sz="4" w:space="0" w:color="auto"/>
            </w:tcBorders>
            <w:vAlign w:val="center"/>
            <w:hideMark/>
          </w:tcPr>
          <w:p w14:paraId="31D22879" w14:textId="77777777" w:rsidR="00EE5D67" w:rsidRPr="00EE5D67" w:rsidRDefault="00EE5D67" w:rsidP="00EE5D67">
            <w:pPr>
              <w:spacing w:after="0" w:line="240" w:lineRule="auto"/>
              <w:rPr>
                <w:rFonts w:cs="Arial"/>
                <w:sz w:val="16"/>
                <w:szCs w:val="16"/>
              </w:rPr>
            </w:pPr>
          </w:p>
        </w:tc>
        <w:tc>
          <w:tcPr>
            <w:tcW w:w="972" w:type="dxa"/>
            <w:vMerge w:val="restart"/>
            <w:tcBorders>
              <w:top w:val="nil"/>
              <w:left w:val="nil"/>
              <w:right w:val="single" w:sz="4" w:space="0" w:color="auto"/>
            </w:tcBorders>
            <w:shd w:val="clear" w:color="000000" w:fill="F2DBDB"/>
            <w:vAlign w:val="center"/>
            <w:hideMark/>
          </w:tcPr>
          <w:p w14:paraId="66677DF3" w14:textId="5A213E9E" w:rsidR="00EE5D67" w:rsidRPr="00EE5D67" w:rsidRDefault="00097DA1" w:rsidP="00EE5D67">
            <w:pPr>
              <w:spacing w:after="0" w:line="240" w:lineRule="auto"/>
              <w:jc w:val="center"/>
              <w:rPr>
                <w:rFonts w:cs="Arial"/>
                <w:sz w:val="16"/>
                <w:szCs w:val="16"/>
              </w:rPr>
            </w:pPr>
            <w:r>
              <w:rPr>
                <w:rFonts w:cs="Arial"/>
                <w:sz w:val="16"/>
                <w:szCs w:val="16"/>
              </w:rPr>
              <w:t>C</w:t>
            </w:r>
            <w:r w:rsidR="00EE5D67" w:rsidRPr="00EE5D67">
              <w:rPr>
                <w:rFonts w:cs="Arial"/>
                <w:sz w:val="16"/>
                <w:szCs w:val="16"/>
              </w:rPr>
              <w:t>elkem</w:t>
            </w:r>
          </w:p>
        </w:tc>
        <w:tc>
          <w:tcPr>
            <w:tcW w:w="1716" w:type="dxa"/>
            <w:gridSpan w:val="2"/>
            <w:tcBorders>
              <w:top w:val="single" w:sz="4" w:space="0" w:color="auto"/>
              <w:left w:val="nil"/>
              <w:bottom w:val="single" w:sz="4" w:space="0" w:color="auto"/>
              <w:right w:val="single" w:sz="4" w:space="0" w:color="auto"/>
            </w:tcBorders>
            <w:shd w:val="clear" w:color="000000" w:fill="F2DBDB"/>
            <w:vAlign w:val="center"/>
            <w:hideMark/>
          </w:tcPr>
          <w:p w14:paraId="2B57C4DF" w14:textId="77777777" w:rsidR="00EE5D67" w:rsidRPr="00EE5D67" w:rsidRDefault="00EE5D67" w:rsidP="00EE5D67">
            <w:pPr>
              <w:spacing w:after="0" w:line="240" w:lineRule="auto"/>
              <w:jc w:val="center"/>
              <w:rPr>
                <w:rFonts w:cs="Arial"/>
                <w:sz w:val="16"/>
                <w:szCs w:val="16"/>
              </w:rPr>
            </w:pPr>
            <w:r w:rsidRPr="00EE5D67">
              <w:rPr>
                <w:rFonts w:cs="Arial"/>
                <w:sz w:val="16"/>
                <w:szCs w:val="16"/>
              </w:rPr>
              <w:t>podle pohlaví</w:t>
            </w:r>
          </w:p>
        </w:tc>
        <w:tc>
          <w:tcPr>
            <w:tcW w:w="972" w:type="dxa"/>
            <w:vMerge w:val="restart"/>
            <w:tcBorders>
              <w:top w:val="nil"/>
              <w:left w:val="single" w:sz="4" w:space="0" w:color="auto"/>
              <w:right w:val="single" w:sz="4" w:space="0" w:color="auto"/>
            </w:tcBorders>
            <w:shd w:val="clear" w:color="000000" w:fill="F2DBDB"/>
            <w:vAlign w:val="center"/>
            <w:hideMark/>
          </w:tcPr>
          <w:p w14:paraId="61286093" w14:textId="6661D7C1" w:rsidR="00EE5D67" w:rsidRPr="00EE5D67" w:rsidRDefault="00097DA1" w:rsidP="00EE5D67">
            <w:pPr>
              <w:spacing w:after="0" w:line="240" w:lineRule="auto"/>
              <w:jc w:val="center"/>
              <w:rPr>
                <w:rFonts w:cs="Arial"/>
                <w:sz w:val="16"/>
                <w:szCs w:val="16"/>
              </w:rPr>
            </w:pPr>
            <w:r>
              <w:rPr>
                <w:rFonts w:cs="Arial"/>
                <w:sz w:val="16"/>
                <w:szCs w:val="16"/>
              </w:rPr>
              <w:t>C</w:t>
            </w:r>
            <w:r w:rsidR="00EE5D67" w:rsidRPr="00EE5D67">
              <w:rPr>
                <w:rFonts w:cs="Arial"/>
                <w:sz w:val="16"/>
                <w:szCs w:val="16"/>
              </w:rPr>
              <w:t>elkem</w:t>
            </w:r>
          </w:p>
        </w:tc>
        <w:tc>
          <w:tcPr>
            <w:tcW w:w="1945" w:type="dxa"/>
            <w:gridSpan w:val="2"/>
            <w:tcBorders>
              <w:top w:val="single" w:sz="4" w:space="0" w:color="auto"/>
              <w:left w:val="nil"/>
              <w:bottom w:val="single" w:sz="4" w:space="0" w:color="auto"/>
              <w:right w:val="single" w:sz="4" w:space="0" w:color="auto"/>
            </w:tcBorders>
            <w:shd w:val="clear" w:color="000000" w:fill="F2DBDB"/>
            <w:vAlign w:val="center"/>
            <w:hideMark/>
          </w:tcPr>
          <w:p w14:paraId="650DBEC4" w14:textId="77777777" w:rsidR="00EE5D67" w:rsidRPr="00EE5D67" w:rsidRDefault="00EE5D67" w:rsidP="00EE5D67">
            <w:pPr>
              <w:spacing w:after="0" w:line="240" w:lineRule="auto"/>
              <w:jc w:val="center"/>
              <w:rPr>
                <w:rFonts w:cs="Arial"/>
                <w:sz w:val="16"/>
                <w:szCs w:val="16"/>
              </w:rPr>
            </w:pPr>
            <w:r w:rsidRPr="00EE5D67">
              <w:rPr>
                <w:rFonts w:cs="Arial"/>
                <w:sz w:val="16"/>
                <w:szCs w:val="16"/>
              </w:rPr>
              <w:t>podle pohlaví</w:t>
            </w:r>
          </w:p>
        </w:tc>
        <w:tc>
          <w:tcPr>
            <w:tcW w:w="652" w:type="dxa"/>
            <w:vMerge w:val="restart"/>
            <w:tcBorders>
              <w:top w:val="nil"/>
              <w:left w:val="single" w:sz="4" w:space="0" w:color="auto"/>
              <w:right w:val="single" w:sz="4" w:space="0" w:color="auto"/>
            </w:tcBorders>
            <w:shd w:val="clear" w:color="000000" w:fill="F2DBDB"/>
            <w:vAlign w:val="center"/>
            <w:hideMark/>
          </w:tcPr>
          <w:p w14:paraId="5B5C5D76" w14:textId="514735D5" w:rsidR="00EE5D67" w:rsidRPr="00EE5D67" w:rsidRDefault="00097DA1" w:rsidP="00EE5D67">
            <w:pPr>
              <w:spacing w:after="0" w:line="240" w:lineRule="auto"/>
              <w:jc w:val="center"/>
              <w:rPr>
                <w:rFonts w:cs="Arial"/>
                <w:sz w:val="16"/>
                <w:szCs w:val="16"/>
              </w:rPr>
            </w:pPr>
            <w:r>
              <w:rPr>
                <w:rFonts w:cs="Arial"/>
                <w:sz w:val="16"/>
                <w:szCs w:val="16"/>
              </w:rPr>
              <w:t>C</w:t>
            </w:r>
            <w:r w:rsidR="00EE5D67" w:rsidRPr="00EE5D67">
              <w:rPr>
                <w:rFonts w:cs="Arial"/>
                <w:sz w:val="16"/>
                <w:szCs w:val="16"/>
              </w:rPr>
              <w:t>elkem</w:t>
            </w:r>
          </w:p>
        </w:tc>
        <w:tc>
          <w:tcPr>
            <w:tcW w:w="1401" w:type="dxa"/>
            <w:gridSpan w:val="2"/>
            <w:tcBorders>
              <w:top w:val="single" w:sz="4" w:space="0" w:color="auto"/>
              <w:left w:val="nil"/>
              <w:bottom w:val="single" w:sz="4" w:space="0" w:color="auto"/>
            </w:tcBorders>
            <w:shd w:val="clear" w:color="000000" w:fill="F2DBDB"/>
            <w:vAlign w:val="center"/>
            <w:hideMark/>
          </w:tcPr>
          <w:p w14:paraId="017A662A" w14:textId="77777777" w:rsidR="00EE5D67" w:rsidRPr="00EE5D67" w:rsidRDefault="00EE5D67" w:rsidP="00EE5D67">
            <w:pPr>
              <w:spacing w:after="0" w:line="240" w:lineRule="auto"/>
              <w:jc w:val="center"/>
              <w:rPr>
                <w:rFonts w:cs="Arial"/>
                <w:sz w:val="16"/>
                <w:szCs w:val="16"/>
              </w:rPr>
            </w:pPr>
            <w:r w:rsidRPr="00EE5D67">
              <w:rPr>
                <w:rFonts w:cs="Arial"/>
                <w:sz w:val="16"/>
                <w:szCs w:val="16"/>
              </w:rPr>
              <w:t>podle pohlaví</w:t>
            </w:r>
          </w:p>
        </w:tc>
      </w:tr>
      <w:tr w:rsidR="00EE5D67" w:rsidRPr="00EE5D67" w14:paraId="650DF00B" w14:textId="77777777" w:rsidTr="001239A7">
        <w:trPr>
          <w:divId w:val="1836259990"/>
          <w:trHeight w:val="248"/>
        </w:trPr>
        <w:tc>
          <w:tcPr>
            <w:tcW w:w="2148" w:type="dxa"/>
            <w:vMerge/>
            <w:tcBorders>
              <w:top w:val="single" w:sz="4" w:space="0" w:color="auto"/>
              <w:left w:val="nil"/>
              <w:bottom w:val="single" w:sz="4" w:space="0" w:color="000000"/>
              <w:right w:val="single" w:sz="4" w:space="0" w:color="auto"/>
            </w:tcBorders>
            <w:vAlign w:val="center"/>
            <w:hideMark/>
          </w:tcPr>
          <w:p w14:paraId="65534123" w14:textId="77777777" w:rsidR="00EE5D67" w:rsidRPr="00EE5D67" w:rsidRDefault="00EE5D67" w:rsidP="00EE5D67">
            <w:pPr>
              <w:spacing w:after="0" w:line="240" w:lineRule="auto"/>
              <w:rPr>
                <w:rFonts w:cs="Arial"/>
                <w:sz w:val="16"/>
                <w:szCs w:val="16"/>
              </w:rPr>
            </w:pPr>
          </w:p>
        </w:tc>
        <w:tc>
          <w:tcPr>
            <w:tcW w:w="972" w:type="dxa"/>
            <w:vMerge/>
            <w:tcBorders>
              <w:left w:val="nil"/>
              <w:bottom w:val="single" w:sz="4" w:space="0" w:color="auto"/>
              <w:right w:val="single" w:sz="4" w:space="0" w:color="auto"/>
            </w:tcBorders>
            <w:vAlign w:val="center"/>
            <w:hideMark/>
          </w:tcPr>
          <w:p w14:paraId="45F6CEF4" w14:textId="77777777" w:rsidR="00EE5D67" w:rsidRPr="00EE5D67" w:rsidRDefault="00EE5D67" w:rsidP="00EE5D67">
            <w:pPr>
              <w:spacing w:after="0" w:line="240" w:lineRule="auto"/>
              <w:rPr>
                <w:rFonts w:cs="Arial"/>
                <w:sz w:val="16"/>
                <w:szCs w:val="16"/>
              </w:rPr>
            </w:pPr>
          </w:p>
        </w:tc>
        <w:tc>
          <w:tcPr>
            <w:tcW w:w="857" w:type="dxa"/>
            <w:tcBorders>
              <w:top w:val="nil"/>
              <w:left w:val="nil"/>
              <w:bottom w:val="single" w:sz="4" w:space="0" w:color="auto"/>
              <w:right w:val="single" w:sz="4" w:space="0" w:color="auto"/>
            </w:tcBorders>
            <w:shd w:val="clear" w:color="000000" w:fill="F2DBDB"/>
            <w:vAlign w:val="center"/>
            <w:hideMark/>
          </w:tcPr>
          <w:p w14:paraId="286E4E6B" w14:textId="77777777" w:rsidR="00EE5D67" w:rsidRPr="00EE5D67" w:rsidRDefault="00EE5D67" w:rsidP="00EE5D67">
            <w:pPr>
              <w:spacing w:after="0" w:line="240" w:lineRule="auto"/>
              <w:jc w:val="center"/>
              <w:rPr>
                <w:rFonts w:cs="Arial"/>
                <w:sz w:val="16"/>
                <w:szCs w:val="16"/>
              </w:rPr>
            </w:pPr>
            <w:r w:rsidRPr="00EE5D67">
              <w:rPr>
                <w:rFonts w:cs="Arial"/>
                <w:sz w:val="16"/>
                <w:szCs w:val="16"/>
              </w:rPr>
              <w:t>muži</w:t>
            </w:r>
          </w:p>
        </w:tc>
        <w:tc>
          <w:tcPr>
            <w:tcW w:w="859" w:type="dxa"/>
            <w:tcBorders>
              <w:top w:val="nil"/>
              <w:left w:val="nil"/>
              <w:bottom w:val="single" w:sz="4" w:space="0" w:color="auto"/>
              <w:right w:val="nil"/>
            </w:tcBorders>
            <w:shd w:val="clear" w:color="000000" w:fill="F2DBDB"/>
            <w:vAlign w:val="center"/>
            <w:hideMark/>
          </w:tcPr>
          <w:p w14:paraId="2AC3284D" w14:textId="77777777" w:rsidR="00EE5D67" w:rsidRPr="00EE5D67" w:rsidRDefault="00EE5D67" w:rsidP="00EE5D67">
            <w:pPr>
              <w:spacing w:after="0" w:line="240" w:lineRule="auto"/>
              <w:jc w:val="center"/>
              <w:rPr>
                <w:rFonts w:cs="Arial"/>
                <w:sz w:val="16"/>
                <w:szCs w:val="16"/>
              </w:rPr>
            </w:pPr>
            <w:r w:rsidRPr="00EE5D67">
              <w:rPr>
                <w:rFonts w:cs="Arial"/>
                <w:sz w:val="16"/>
                <w:szCs w:val="16"/>
              </w:rPr>
              <w:t>ženy</w:t>
            </w:r>
          </w:p>
        </w:tc>
        <w:tc>
          <w:tcPr>
            <w:tcW w:w="972" w:type="dxa"/>
            <w:vMerge/>
            <w:tcBorders>
              <w:left w:val="single" w:sz="4" w:space="0" w:color="auto"/>
              <w:bottom w:val="single" w:sz="4" w:space="0" w:color="auto"/>
              <w:right w:val="single" w:sz="4" w:space="0" w:color="auto"/>
            </w:tcBorders>
            <w:vAlign w:val="center"/>
            <w:hideMark/>
          </w:tcPr>
          <w:p w14:paraId="1BEDEC1D" w14:textId="77777777" w:rsidR="00EE5D67" w:rsidRPr="00EE5D67" w:rsidRDefault="00EE5D67" w:rsidP="00EE5D67">
            <w:pPr>
              <w:spacing w:after="0" w:line="240" w:lineRule="auto"/>
              <w:rPr>
                <w:rFonts w:cs="Arial"/>
                <w:sz w:val="16"/>
                <w:szCs w:val="16"/>
              </w:rPr>
            </w:pPr>
          </w:p>
        </w:tc>
        <w:tc>
          <w:tcPr>
            <w:tcW w:w="972" w:type="dxa"/>
            <w:tcBorders>
              <w:top w:val="nil"/>
              <w:left w:val="nil"/>
              <w:bottom w:val="single" w:sz="4" w:space="0" w:color="auto"/>
              <w:right w:val="single" w:sz="4" w:space="0" w:color="auto"/>
            </w:tcBorders>
            <w:shd w:val="clear" w:color="000000" w:fill="F2DBDB"/>
            <w:vAlign w:val="center"/>
            <w:hideMark/>
          </w:tcPr>
          <w:p w14:paraId="1187DBB8" w14:textId="77777777" w:rsidR="00EE5D67" w:rsidRPr="00EE5D67" w:rsidRDefault="00EE5D67" w:rsidP="00EE5D67">
            <w:pPr>
              <w:spacing w:after="0" w:line="240" w:lineRule="auto"/>
              <w:jc w:val="center"/>
              <w:rPr>
                <w:rFonts w:cs="Arial"/>
                <w:sz w:val="16"/>
                <w:szCs w:val="16"/>
              </w:rPr>
            </w:pPr>
            <w:r w:rsidRPr="00EE5D67">
              <w:rPr>
                <w:rFonts w:cs="Arial"/>
                <w:sz w:val="16"/>
                <w:szCs w:val="16"/>
              </w:rPr>
              <w:t>muži</w:t>
            </w:r>
          </w:p>
        </w:tc>
        <w:tc>
          <w:tcPr>
            <w:tcW w:w="973" w:type="dxa"/>
            <w:tcBorders>
              <w:top w:val="nil"/>
              <w:left w:val="nil"/>
              <w:bottom w:val="single" w:sz="4" w:space="0" w:color="auto"/>
              <w:right w:val="nil"/>
            </w:tcBorders>
            <w:shd w:val="clear" w:color="000000" w:fill="F2DBDB"/>
            <w:vAlign w:val="center"/>
            <w:hideMark/>
          </w:tcPr>
          <w:p w14:paraId="2404EAC0" w14:textId="77777777" w:rsidR="00EE5D67" w:rsidRPr="00EE5D67" w:rsidRDefault="00EE5D67" w:rsidP="00EE5D67">
            <w:pPr>
              <w:spacing w:after="0" w:line="240" w:lineRule="auto"/>
              <w:jc w:val="center"/>
              <w:rPr>
                <w:rFonts w:cs="Arial"/>
                <w:sz w:val="16"/>
                <w:szCs w:val="16"/>
              </w:rPr>
            </w:pPr>
            <w:r w:rsidRPr="00EE5D67">
              <w:rPr>
                <w:rFonts w:cs="Arial"/>
                <w:sz w:val="16"/>
                <w:szCs w:val="16"/>
              </w:rPr>
              <w:t>ženy</w:t>
            </w:r>
          </w:p>
        </w:tc>
        <w:tc>
          <w:tcPr>
            <w:tcW w:w="652" w:type="dxa"/>
            <w:vMerge/>
            <w:tcBorders>
              <w:left w:val="single" w:sz="4" w:space="0" w:color="auto"/>
              <w:bottom w:val="single" w:sz="4" w:space="0" w:color="auto"/>
              <w:right w:val="single" w:sz="4" w:space="0" w:color="auto"/>
            </w:tcBorders>
            <w:vAlign w:val="center"/>
            <w:hideMark/>
          </w:tcPr>
          <w:p w14:paraId="6BAE9779" w14:textId="77777777" w:rsidR="00EE5D67" w:rsidRPr="00EE5D67" w:rsidRDefault="00EE5D67" w:rsidP="00EE5D67">
            <w:pPr>
              <w:spacing w:after="0" w:line="240" w:lineRule="auto"/>
              <w:rPr>
                <w:rFonts w:cs="Arial"/>
                <w:sz w:val="16"/>
                <w:szCs w:val="16"/>
              </w:rPr>
            </w:pPr>
          </w:p>
        </w:tc>
        <w:tc>
          <w:tcPr>
            <w:tcW w:w="709" w:type="dxa"/>
            <w:tcBorders>
              <w:top w:val="nil"/>
              <w:left w:val="nil"/>
              <w:bottom w:val="single" w:sz="4" w:space="0" w:color="auto"/>
              <w:right w:val="single" w:sz="4" w:space="0" w:color="auto"/>
            </w:tcBorders>
            <w:shd w:val="clear" w:color="000000" w:fill="F2DBDB"/>
            <w:vAlign w:val="center"/>
            <w:hideMark/>
          </w:tcPr>
          <w:p w14:paraId="23F5E0FD" w14:textId="77777777" w:rsidR="00EE5D67" w:rsidRPr="00EE5D67" w:rsidRDefault="00EE5D67" w:rsidP="00EE5D67">
            <w:pPr>
              <w:spacing w:after="0" w:line="240" w:lineRule="auto"/>
              <w:jc w:val="center"/>
              <w:rPr>
                <w:rFonts w:cs="Arial"/>
                <w:sz w:val="16"/>
                <w:szCs w:val="16"/>
              </w:rPr>
            </w:pPr>
            <w:r w:rsidRPr="00EE5D67">
              <w:rPr>
                <w:rFonts w:cs="Arial"/>
                <w:sz w:val="16"/>
                <w:szCs w:val="16"/>
              </w:rPr>
              <w:t>muži</w:t>
            </w:r>
          </w:p>
        </w:tc>
        <w:tc>
          <w:tcPr>
            <w:tcW w:w="692" w:type="dxa"/>
            <w:tcBorders>
              <w:top w:val="nil"/>
              <w:left w:val="nil"/>
              <w:bottom w:val="single" w:sz="4" w:space="0" w:color="auto"/>
              <w:right w:val="nil"/>
            </w:tcBorders>
            <w:shd w:val="clear" w:color="000000" w:fill="F2DBDB"/>
            <w:vAlign w:val="center"/>
            <w:hideMark/>
          </w:tcPr>
          <w:p w14:paraId="2AC51045" w14:textId="77777777" w:rsidR="00EE5D67" w:rsidRPr="00EE5D67" w:rsidRDefault="00EE5D67" w:rsidP="00EE5D67">
            <w:pPr>
              <w:spacing w:after="0" w:line="240" w:lineRule="auto"/>
              <w:jc w:val="center"/>
              <w:rPr>
                <w:rFonts w:cs="Arial"/>
                <w:sz w:val="16"/>
                <w:szCs w:val="16"/>
              </w:rPr>
            </w:pPr>
            <w:r w:rsidRPr="00EE5D67">
              <w:rPr>
                <w:rFonts w:cs="Arial"/>
                <w:sz w:val="16"/>
                <w:szCs w:val="16"/>
              </w:rPr>
              <w:t>ženy</w:t>
            </w:r>
          </w:p>
        </w:tc>
      </w:tr>
      <w:tr w:rsidR="00EE5D67" w:rsidRPr="00EE5D67" w14:paraId="794E0281"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62BED30D" w14:textId="77777777" w:rsidR="00EE5D67" w:rsidRPr="00EE5D67" w:rsidRDefault="00EE5D67" w:rsidP="00EE5D67">
            <w:pPr>
              <w:spacing w:after="0" w:line="240" w:lineRule="auto"/>
              <w:jc w:val="center"/>
              <w:rPr>
                <w:rFonts w:cs="Arial"/>
                <w:sz w:val="16"/>
                <w:szCs w:val="16"/>
              </w:rPr>
            </w:pPr>
          </w:p>
        </w:tc>
        <w:tc>
          <w:tcPr>
            <w:tcW w:w="7667" w:type="dxa"/>
            <w:gridSpan w:val="9"/>
            <w:tcBorders>
              <w:top w:val="single" w:sz="4" w:space="0" w:color="auto"/>
              <w:left w:val="single" w:sz="4" w:space="0" w:color="auto"/>
              <w:bottom w:val="single" w:sz="4" w:space="0" w:color="auto"/>
              <w:right w:val="nil"/>
            </w:tcBorders>
            <w:shd w:val="clear" w:color="auto" w:fill="auto"/>
            <w:vAlign w:val="center"/>
            <w:hideMark/>
          </w:tcPr>
          <w:p w14:paraId="4DB379A1" w14:textId="77777777" w:rsidR="00EE5D67" w:rsidRPr="00EE5D67" w:rsidRDefault="00EE5D67" w:rsidP="001729E0">
            <w:pPr>
              <w:spacing w:after="0" w:line="240" w:lineRule="auto"/>
              <w:jc w:val="center"/>
              <w:rPr>
                <w:rFonts w:ascii="Arial CE" w:hAnsi="Arial CE" w:cs="Arial CE"/>
                <w:sz w:val="16"/>
                <w:szCs w:val="16"/>
              </w:rPr>
            </w:pPr>
            <w:r w:rsidRPr="00EE5D67">
              <w:rPr>
                <w:rFonts w:ascii="Arial CE" w:hAnsi="Arial CE" w:cs="Arial CE"/>
                <w:sz w:val="16"/>
                <w:szCs w:val="16"/>
              </w:rPr>
              <w:t>1. pololetí 2019</w:t>
            </w:r>
          </w:p>
        </w:tc>
      </w:tr>
      <w:tr w:rsidR="00EE5D67" w:rsidRPr="00EE5D67" w14:paraId="773D50A9" w14:textId="77777777" w:rsidTr="001239A7">
        <w:trPr>
          <w:divId w:val="1836259990"/>
          <w:trHeight w:val="223"/>
        </w:trPr>
        <w:tc>
          <w:tcPr>
            <w:tcW w:w="2148" w:type="dxa"/>
            <w:tcBorders>
              <w:top w:val="nil"/>
              <w:left w:val="nil"/>
              <w:bottom w:val="nil"/>
              <w:right w:val="nil"/>
            </w:tcBorders>
            <w:shd w:val="clear" w:color="auto" w:fill="auto"/>
            <w:vAlign w:val="center"/>
            <w:hideMark/>
          </w:tcPr>
          <w:p w14:paraId="40C31A15" w14:textId="575F232B" w:rsidR="00EE5D67" w:rsidRPr="00EE5D67" w:rsidRDefault="00244622" w:rsidP="00EE5D67">
            <w:pPr>
              <w:spacing w:after="0" w:line="240" w:lineRule="auto"/>
              <w:rPr>
                <w:rFonts w:cs="Arial"/>
                <w:b/>
                <w:bCs/>
                <w:sz w:val="16"/>
                <w:szCs w:val="16"/>
              </w:rPr>
            </w:pPr>
            <w:r>
              <w:rPr>
                <w:rFonts w:cs="Arial"/>
                <w:b/>
                <w:bCs/>
                <w:sz w:val="16"/>
                <w:szCs w:val="16"/>
              </w:rPr>
              <w:t>C</w:t>
            </w:r>
            <w:r w:rsidR="00EE5D67" w:rsidRPr="00EE5D67">
              <w:rPr>
                <w:rFonts w:cs="Arial"/>
                <w:b/>
                <w:bCs/>
                <w:sz w:val="16"/>
                <w:szCs w:val="16"/>
              </w:rPr>
              <w:t>elkem</w:t>
            </w:r>
          </w:p>
        </w:tc>
        <w:tc>
          <w:tcPr>
            <w:tcW w:w="972" w:type="dxa"/>
            <w:tcBorders>
              <w:top w:val="nil"/>
              <w:left w:val="single" w:sz="4" w:space="0" w:color="auto"/>
              <w:bottom w:val="nil"/>
              <w:right w:val="nil"/>
            </w:tcBorders>
            <w:shd w:val="clear" w:color="auto" w:fill="auto"/>
            <w:noWrap/>
            <w:vAlign w:val="center"/>
            <w:hideMark/>
          </w:tcPr>
          <w:p w14:paraId="17CC5DFD"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963 888</w:t>
            </w:r>
          </w:p>
        </w:tc>
        <w:tc>
          <w:tcPr>
            <w:tcW w:w="857" w:type="dxa"/>
            <w:tcBorders>
              <w:top w:val="nil"/>
              <w:left w:val="nil"/>
              <w:bottom w:val="nil"/>
              <w:right w:val="nil"/>
            </w:tcBorders>
            <w:shd w:val="clear" w:color="auto" w:fill="auto"/>
            <w:noWrap/>
            <w:vAlign w:val="center"/>
            <w:hideMark/>
          </w:tcPr>
          <w:p w14:paraId="163E7BE5"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448 294</w:t>
            </w:r>
          </w:p>
        </w:tc>
        <w:tc>
          <w:tcPr>
            <w:tcW w:w="859" w:type="dxa"/>
            <w:tcBorders>
              <w:top w:val="nil"/>
              <w:left w:val="nil"/>
              <w:bottom w:val="nil"/>
              <w:right w:val="single" w:sz="4" w:space="0" w:color="auto"/>
            </w:tcBorders>
            <w:shd w:val="clear" w:color="auto" w:fill="auto"/>
            <w:noWrap/>
            <w:vAlign w:val="center"/>
            <w:hideMark/>
          </w:tcPr>
          <w:p w14:paraId="7623B084"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515 594</w:t>
            </w:r>
          </w:p>
        </w:tc>
        <w:tc>
          <w:tcPr>
            <w:tcW w:w="972" w:type="dxa"/>
            <w:tcBorders>
              <w:top w:val="nil"/>
              <w:left w:val="nil"/>
              <w:bottom w:val="nil"/>
              <w:right w:val="nil"/>
            </w:tcBorders>
            <w:shd w:val="clear" w:color="auto" w:fill="auto"/>
            <w:noWrap/>
            <w:vAlign w:val="center"/>
            <w:hideMark/>
          </w:tcPr>
          <w:p w14:paraId="5237BE39"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40 240 981</w:t>
            </w:r>
          </w:p>
        </w:tc>
        <w:tc>
          <w:tcPr>
            <w:tcW w:w="972" w:type="dxa"/>
            <w:tcBorders>
              <w:top w:val="nil"/>
              <w:left w:val="nil"/>
              <w:bottom w:val="nil"/>
              <w:right w:val="nil"/>
            </w:tcBorders>
            <w:shd w:val="clear" w:color="auto" w:fill="auto"/>
            <w:noWrap/>
            <w:vAlign w:val="center"/>
            <w:hideMark/>
          </w:tcPr>
          <w:p w14:paraId="3F897DBA"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18 101 001</w:t>
            </w:r>
          </w:p>
        </w:tc>
        <w:tc>
          <w:tcPr>
            <w:tcW w:w="973" w:type="dxa"/>
            <w:tcBorders>
              <w:top w:val="nil"/>
              <w:left w:val="nil"/>
              <w:bottom w:val="nil"/>
              <w:right w:val="single" w:sz="4" w:space="0" w:color="auto"/>
            </w:tcBorders>
            <w:shd w:val="clear" w:color="auto" w:fill="auto"/>
            <w:noWrap/>
            <w:vAlign w:val="center"/>
            <w:hideMark/>
          </w:tcPr>
          <w:p w14:paraId="18A92D6D"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22 139 980</w:t>
            </w:r>
          </w:p>
        </w:tc>
        <w:tc>
          <w:tcPr>
            <w:tcW w:w="652" w:type="dxa"/>
            <w:tcBorders>
              <w:top w:val="nil"/>
              <w:left w:val="nil"/>
              <w:bottom w:val="nil"/>
              <w:right w:val="nil"/>
            </w:tcBorders>
            <w:shd w:val="clear" w:color="auto" w:fill="auto"/>
            <w:noWrap/>
            <w:vAlign w:val="center"/>
            <w:hideMark/>
          </w:tcPr>
          <w:p w14:paraId="2D4074CF"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41,75</w:t>
            </w:r>
          </w:p>
        </w:tc>
        <w:tc>
          <w:tcPr>
            <w:tcW w:w="709" w:type="dxa"/>
            <w:tcBorders>
              <w:top w:val="nil"/>
              <w:left w:val="nil"/>
              <w:bottom w:val="nil"/>
              <w:right w:val="nil"/>
            </w:tcBorders>
            <w:shd w:val="clear" w:color="auto" w:fill="auto"/>
            <w:noWrap/>
            <w:vAlign w:val="center"/>
            <w:hideMark/>
          </w:tcPr>
          <w:p w14:paraId="1CCDE43F"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40,38</w:t>
            </w:r>
          </w:p>
        </w:tc>
        <w:tc>
          <w:tcPr>
            <w:tcW w:w="692" w:type="dxa"/>
            <w:tcBorders>
              <w:top w:val="nil"/>
              <w:left w:val="nil"/>
              <w:bottom w:val="nil"/>
              <w:right w:val="nil"/>
            </w:tcBorders>
            <w:shd w:val="clear" w:color="auto" w:fill="auto"/>
            <w:noWrap/>
            <w:vAlign w:val="center"/>
            <w:hideMark/>
          </w:tcPr>
          <w:p w14:paraId="21B9FD76"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42,94</w:t>
            </w:r>
          </w:p>
        </w:tc>
      </w:tr>
      <w:tr w:rsidR="00EE5D67" w:rsidRPr="00EE5D67" w14:paraId="4BB7D912"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064C5776" w14:textId="7B224D38" w:rsidR="00EE5D67" w:rsidRPr="00EE5D67" w:rsidRDefault="00EE5D67" w:rsidP="00EE5D67">
            <w:pPr>
              <w:spacing w:after="0" w:line="240" w:lineRule="auto"/>
              <w:rPr>
                <w:rFonts w:cs="Arial"/>
                <w:sz w:val="16"/>
                <w:szCs w:val="16"/>
              </w:rPr>
            </w:pPr>
            <w:r w:rsidRPr="00EE5D67">
              <w:rPr>
                <w:rFonts w:cs="Arial"/>
                <w:sz w:val="16"/>
                <w:szCs w:val="16"/>
              </w:rPr>
              <w:t>Tuberkulóza</w:t>
            </w:r>
          </w:p>
        </w:tc>
        <w:tc>
          <w:tcPr>
            <w:tcW w:w="972" w:type="dxa"/>
            <w:tcBorders>
              <w:top w:val="nil"/>
              <w:left w:val="single" w:sz="4" w:space="0" w:color="auto"/>
              <w:bottom w:val="nil"/>
              <w:right w:val="nil"/>
            </w:tcBorders>
            <w:shd w:val="clear" w:color="auto" w:fill="auto"/>
            <w:noWrap/>
            <w:vAlign w:val="center"/>
            <w:hideMark/>
          </w:tcPr>
          <w:p w14:paraId="39C40B48"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50</w:t>
            </w:r>
          </w:p>
        </w:tc>
        <w:tc>
          <w:tcPr>
            <w:tcW w:w="857" w:type="dxa"/>
            <w:tcBorders>
              <w:top w:val="nil"/>
              <w:left w:val="nil"/>
              <w:bottom w:val="nil"/>
              <w:right w:val="nil"/>
            </w:tcBorders>
            <w:shd w:val="clear" w:color="auto" w:fill="auto"/>
            <w:noWrap/>
            <w:vAlign w:val="center"/>
            <w:hideMark/>
          </w:tcPr>
          <w:p w14:paraId="30F19296"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32</w:t>
            </w:r>
          </w:p>
        </w:tc>
        <w:tc>
          <w:tcPr>
            <w:tcW w:w="859" w:type="dxa"/>
            <w:tcBorders>
              <w:top w:val="nil"/>
              <w:left w:val="nil"/>
              <w:bottom w:val="nil"/>
              <w:right w:val="single" w:sz="4" w:space="0" w:color="auto"/>
            </w:tcBorders>
            <w:shd w:val="clear" w:color="auto" w:fill="auto"/>
            <w:noWrap/>
            <w:vAlign w:val="center"/>
            <w:hideMark/>
          </w:tcPr>
          <w:p w14:paraId="3E915EA2"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18</w:t>
            </w:r>
          </w:p>
        </w:tc>
        <w:tc>
          <w:tcPr>
            <w:tcW w:w="972" w:type="dxa"/>
            <w:tcBorders>
              <w:top w:val="nil"/>
              <w:left w:val="nil"/>
              <w:bottom w:val="nil"/>
              <w:right w:val="nil"/>
            </w:tcBorders>
            <w:shd w:val="clear" w:color="auto" w:fill="auto"/>
            <w:noWrap/>
            <w:vAlign w:val="center"/>
            <w:hideMark/>
          </w:tcPr>
          <w:p w14:paraId="69E83408"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9 270</w:t>
            </w:r>
          </w:p>
        </w:tc>
        <w:tc>
          <w:tcPr>
            <w:tcW w:w="972" w:type="dxa"/>
            <w:tcBorders>
              <w:top w:val="nil"/>
              <w:left w:val="nil"/>
              <w:bottom w:val="nil"/>
              <w:right w:val="nil"/>
            </w:tcBorders>
            <w:shd w:val="clear" w:color="auto" w:fill="auto"/>
            <w:noWrap/>
            <w:vAlign w:val="center"/>
            <w:hideMark/>
          </w:tcPr>
          <w:p w14:paraId="0C21062E"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6 107</w:t>
            </w:r>
          </w:p>
        </w:tc>
        <w:tc>
          <w:tcPr>
            <w:tcW w:w="973" w:type="dxa"/>
            <w:tcBorders>
              <w:top w:val="nil"/>
              <w:left w:val="nil"/>
              <w:bottom w:val="nil"/>
              <w:right w:val="single" w:sz="4" w:space="0" w:color="auto"/>
            </w:tcBorders>
            <w:shd w:val="clear" w:color="auto" w:fill="auto"/>
            <w:noWrap/>
            <w:vAlign w:val="center"/>
            <w:hideMark/>
          </w:tcPr>
          <w:p w14:paraId="69F6BC12"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3 163</w:t>
            </w:r>
          </w:p>
        </w:tc>
        <w:tc>
          <w:tcPr>
            <w:tcW w:w="652" w:type="dxa"/>
            <w:tcBorders>
              <w:top w:val="nil"/>
              <w:left w:val="nil"/>
              <w:bottom w:val="nil"/>
              <w:right w:val="nil"/>
            </w:tcBorders>
            <w:shd w:val="clear" w:color="auto" w:fill="auto"/>
            <w:noWrap/>
            <w:vAlign w:val="center"/>
            <w:hideMark/>
          </w:tcPr>
          <w:p w14:paraId="3999E292"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185,40</w:t>
            </w:r>
          </w:p>
        </w:tc>
        <w:tc>
          <w:tcPr>
            <w:tcW w:w="709" w:type="dxa"/>
            <w:tcBorders>
              <w:top w:val="nil"/>
              <w:left w:val="nil"/>
              <w:bottom w:val="nil"/>
              <w:right w:val="nil"/>
            </w:tcBorders>
            <w:shd w:val="clear" w:color="auto" w:fill="auto"/>
            <w:noWrap/>
            <w:vAlign w:val="center"/>
            <w:hideMark/>
          </w:tcPr>
          <w:p w14:paraId="5F95C152"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190,84</w:t>
            </w:r>
          </w:p>
        </w:tc>
        <w:tc>
          <w:tcPr>
            <w:tcW w:w="692" w:type="dxa"/>
            <w:tcBorders>
              <w:top w:val="nil"/>
              <w:left w:val="nil"/>
              <w:bottom w:val="nil"/>
              <w:right w:val="nil"/>
            </w:tcBorders>
            <w:shd w:val="clear" w:color="auto" w:fill="auto"/>
            <w:noWrap/>
            <w:vAlign w:val="center"/>
            <w:hideMark/>
          </w:tcPr>
          <w:p w14:paraId="0F264F2B"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175,72</w:t>
            </w:r>
          </w:p>
        </w:tc>
      </w:tr>
      <w:tr w:rsidR="00EE5D67" w:rsidRPr="00EE5D67" w14:paraId="0737BB18"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670F6712" w14:textId="2CCED173" w:rsidR="00EE5D67" w:rsidRPr="00EE5D67" w:rsidRDefault="00EE5D67" w:rsidP="00EE5D67">
            <w:pPr>
              <w:spacing w:after="0" w:line="240" w:lineRule="auto"/>
              <w:rPr>
                <w:rFonts w:cs="Arial"/>
                <w:sz w:val="16"/>
                <w:szCs w:val="16"/>
              </w:rPr>
            </w:pPr>
            <w:r w:rsidRPr="00EE5D67">
              <w:rPr>
                <w:rFonts w:cs="Arial"/>
                <w:sz w:val="16"/>
                <w:szCs w:val="16"/>
              </w:rPr>
              <w:t>Zhoubné novotvary</w:t>
            </w:r>
          </w:p>
        </w:tc>
        <w:tc>
          <w:tcPr>
            <w:tcW w:w="972" w:type="dxa"/>
            <w:tcBorders>
              <w:top w:val="nil"/>
              <w:left w:val="single" w:sz="4" w:space="0" w:color="auto"/>
              <w:bottom w:val="nil"/>
              <w:right w:val="nil"/>
            </w:tcBorders>
            <w:shd w:val="clear" w:color="auto" w:fill="auto"/>
            <w:noWrap/>
            <w:vAlign w:val="center"/>
            <w:hideMark/>
          </w:tcPr>
          <w:p w14:paraId="54F20E15" w14:textId="4CBE248F"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7</w:t>
            </w:r>
            <w:r w:rsidR="001239A7">
              <w:rPr>
                <w:rFonts w:cs="Arial"/>
                <w:color w:val="000000"/>
                <w:sz w:val="16"/>
                <w:szCs w:val="16"/>
              </w:rPr>
              <w:t xml:space="preserve"> </w:t>
            </w:r>
            <w:r w:rsidRPr="00EE5D67">
              <w:rPr>
                <w:rFonts w:cs="Arial"/>
                <w:color w:val="000000"/>
                <w:sz w:val="16"/>
                <w:szCs w:val="16"/>
              </w:rPr>
              <w:t>369</w:t>
            </w:r>
          </w:p>
        </w:tc>
        <w:tc>
          <w:tcPr>
            <w:tcW w:w="857" w:type="dxa"/>
            <w:tcBorders>
              <w:top w:val="nil"/>
              <w:left w:val="nil"/>
              <w:bottom w:val="nil"/>
              <w:right w:val="nil"/>
            </w:tcBorders>
            <w:shd w:val="clear" w:color="auto" w:fill="auto"/>
            <w:noWrap/>
            <w:vAlign w:val="center"/>
            <w:hideMark/>
          </w:tcPr>
          <w:p w14:paraId="65130EB9" w14:textId="67424055"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w:t>
            </w:r>
            <w:r w:rsidR="001239A7">
              <w:rPr>
                <w:rFonts w:cs="Arial"/>
                <w:color w:val="000000"/>
                <w:sz w:val="16"/>
                <w:szCs w:val="16"/>
              </w:rPr>
              <w:t xml:space="preserve"> </w:t>
            </w:r>
            <w:r w:rsidRPr="00EE5D67">
              <w:rPr>
                <w:rFonts w:cs="Arial"/>
                <w:color w:val="000000"/>
                <w:sz w:val="16"/>
                <w:szCs w:val="16"/>
              </w:rPr>
              <w:t>460</w:t>
            </w:r>
          </w:p>
        </w:tc>
        <w:tc>
          <w:tcPr>
            <w:tcW w:w="859" w:type="dxa"/>
            <w:tcBorders>
              <w:top w:val="nil"/>
              <w:left w:val="nil"/>
              <w:bottom w:val="nil"/>
              <w:right w:val="single" w:sz="4" w:space="0" w:color="auto"/>
            </w:tcBorders>
            <w:shd w:val="clear" w:color="auto" w:fill="auto"/>
            <w:noWrap/>
            <w:vAlign w:val="center"/>
            <w:hideMark/>
          </w:tcPr>
          <w:p w14:paraId="2728B9E8" w14:textId="267120B0"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w:t>
            </w:r>
            <w:r w:rsidR="001239A7">
              <w:rPr>
                <w:rFonts w:cs="Arial"/>
                <w:color w:val="000000"/>
                <w:sz w:val="16"/>
                <w:szCs w:val="16"/>
              </w:rPr>
              <w:t xml:space="preserve"> </w:t>
            </w:r>
            <w:r w:rsidRPr="00EE5D67">
              <w:rPr>
                <w:rFonts w:cs="Arial"/>
                <w:color w:val="000000"/>
                <w:sz w:val="16"/>
                <w:szCs w:val="16"/>
              </w:rPr>
              <w:t>909</w:t>
            </w:r>
          </w:p>
        </w:tc>
        <w:tc>
          <w:tcPr>
            <w:tcW w:w="972" w:type="dxa"/>
            <w:tcBorders>
              <w:top w:val="nil"/>
              <w:left w:val="nil"/>
              <w:bottom w:val="nil"/>
              <w:right w:val="nil"/>
            </w:tcBorders>
            <w:shd w:val="clear" w:color="auto" w:fill="auto"/>
            <w:noWrap/>
            <w:vAlign w:val="center"/>
            <w:hideMark/>
          </w:tcPr>
          <w:p w14:paraId="6070C5EE"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1 317 708</w:t>
            </w:r>
          </w:p>
        </w:tc>
        <w:tc>
          <w:tcPr>
            <w:tcW w:w="972" w:type="dxa"/>
            <w:tcBorders>
              <w:top w:val="nil"/>
              <w:left w:val="nil"/>
              <w:bottom w:val="nil"/>
              <w:right w:val="nil"/>
            </w:tcBorders>
            <w:shd w:val="clear" w:color="auto" w:fill="auto"/>
            <w:noWrap/>
            <w:vAlign w:val="center"/>
            <w:hideMark/>
          </w:tcPr>
          <w:p w14:paraId="616634B1"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596 947</w:t>
            </w:r>
          </w:p>
        </w:tc>
        <w:tc>
          <w:tcPr>
            <w:tcW w:w="973" w:type="dxa"/>
            <w:tcBorders>
              <w:top w:val="nil"/>
              <w:left w:val="nil"/>
              <w:bottom w:val="nil"/>
              <w:right w:val="single" w:sz="4" w:space="0" w:color="auto"/>
            </w:tcBorders>
            <w:shd w:val="clear" w:color="auto" w:fill="auto"/>
            <w:noWrap/>
            <w:vAlign w:val="center"/>
            <w:hideMark/>
          </w:tcPr>
          <w:p w14:paraId="29006675"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720 761</w:t>
            </w:r>
          </w:p>
        </w:tc>
        <w:tc>
          <w:tcPr>
            <w:tcW w:w="652" w:type="dxa"/>
            <w:tcBorders>
              <w:top w:val="nil"/>
              <w:left w:val="nil"/>
              <w:bottom w:val="nil"/>
              <w:right w:val="nil"/>
            </w:tcBorders>
            <w:shd w:val="clear" w:color="auto" w:fill="auto"/>
            <w:noWrap/>
            <w:vAlign w:val="center"/>
            <w:hideMark/>
          </w:tcPr>
          <w:p w14:paraId="0F676F86"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178,82</w:t>
            </w:r>
          </w:p>
        </w:tc>
        <w:tc>
          <w:tcPr>
            <w:tcW w:w="709" w:type="dxa"/>
            <w:tcBorders>
              <w:top w:val="nil"/>
              <w:left w:val="nil"/>
              <w:bottom w:val="nil"/>
              <w:right w:val="nil"/>
            </w:tcBorders>
            <w:shd w:val="clear" w:color="auto" w:fill="auto"/>
            <w:noWrap/>
            <w:vAlign w:val="center"/>
            <w:hideMark/>
          </w:tcPr>
          <w:p w14:paraId="0E2E1311"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172,53</w:t>
            </w:r>
          </w:p>
        </w:tc>
        <w:tc>
          <w:tcPr>
            <w:tcW w:w="692" w:type="dxa"/>
            <w:tcBorders>
              <w:top w:val="nil"/>
              <w:left w:val="nil"/>
              <w:bottom w:val="nil"/>
              <w:right w:val="nil"/>
            </w:tcBorders>
            <w:shd w:val="clear" w:color="auto" w:fill="auto"/>
            <w:noWrap/>
            <w:vAlign w:val="center"/>
            <w:hideMark/>
          </w:tcPr>
          <w:p w14:paraId="189E2D2C"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184,39</w:t>
            </w:r>
          </w:p>
        </w:tc>
      </w:tr>
      <w:tr w:rsidR="00EE5D67" w:rsidRPr="00EE5D67" w14:paraId="751A1860"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00112D7D" w14:textId="744E1937" w:rsidR="00EE5D67" w:rsidRPr="00EE5D67" w:rsidRDefault="00EE5D67" w:rsidP="00EE5D67">
            <w:pPr>
              <w:spacing w:after="0" w:line="240" w:lineRule="auto"/>
              <w:rPr>
                <w:rFonts w:cs="Arial"/>
                <w:sz w:val="16"/>
                <w:szCs w:val="16"/>
              </w:rPr>
            </w:pPr>
            <w:r w:rsidRPr="00EE5D67">
              <w:rPr>
                <w:rFonts w:cs="Arial"/>
                <w:sz w:val="16"/>
                <w:szCs w:val="16"/>
              </w:rPr>
              <w:t>Nemoci duševní</w:t>
            </w:r>
          </w:p>
        </w:tc>
        <w:tc>
          <w:tcPr>
            <w:tcW w:w="972" w:type="dxa"/>
            <w:tcBorders>
              <w:top w:val="nil"/>
              <w:left w:val="single" w:sz="4" w:space="0" w:color="auto"/>
              <w:bottom w:val="nil"/>
              <w:right w:val="nil"/>
            </w:tcBorders>
            <w:shd w:val="clear" w:color="auto" w:fill="auto"/>
            <w:noWrap/>
            <w:vAlign w:val="center"/>
            <w:hideMark/>
          </w:tcPr>
          <w:p w14:paraId="2E0AB681" w14:textId="7948CFBA"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25</w:t>
            </w:r>
            <w:r w:rsidR="001239A7">
              <w:rPr>
                <w:rFonts w:cs="Arial"/>
                <w:color w:val="000000"/>
                <w:sz w:val="16"/>
                <w:szCs w:val="16"/>
              </w:rPr>
              <w:t xml:space="preserve"> </w:t>
            </w:r>
            <w:r w:rsidRPr="00EE5D67">
              <w:rPr>
                <w:rFonts w:cs="Arial"/>
                <w:color w:val="000000"/>
                <w:sz w:val="16"/>
                <w:szCs w:val="16"/>
              </w:rPr>
              <w:t>147</w:t>
            </w:r>
          </w:p>
        </w:tc>
        <w:tc>
          <w:tcPr>
            <w:tcW w:w="857" w:type="dxa"/>
            <w:tcBorders>
              <w:top w:val="nil"/>
              <w:left w:val="nil"/>
              <w:bottom w:val="nil"/>
              <w:right w:val="nil"/>
            </w:tcBorders>
            <w:shd w:val="clear" w:color="auto" w:fill="auto"/>
            <w:noWrap/>
            <w:vAlign w:val="center"/>
            <w:hideMark/>
          </w:tcPr>
          <w:p w14:paraId="6C083F24" w14:textId="6FF588F8"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w:t>
            </w:r>
            <w:r w:rsidR="001239A7">
              <w:rPr>
                <w:rFonts w:cs="Arial"/>
                <w:color w:val="000000"/>
                <w:sz w:val="16"/>
                <w:szCs w:val="16"/>
              </w:rPr>
              <w:t xml:space="preserve"> </w:t>
            </w:r>
            <w:r w:rsidRPr="00EE5D67">
              <w:rPr>
                <w:rFonts w:cs="Arial"/>
                <w:color w:val="000000"/>
                <w:sz w:val="16"/>
                <w:szCs w:val="16"/>
              </w:rPr>
              <w:t>943</w:t>
            </w:r>
          </w:p>
        </w:tc>
        <w:tc>
          <w:tcPr>
            <w:tcW w:w="859" w:type="dxa"/>
            <w:tcBorders>
              <w:top w:val="nil"/>
              <w:left w:val="nil"/>
              <w:bottom w:val="nil"/>
              <w:right w:val="single" w:sz="4" w:space="0" w:color="auto"/>
            </w:tcBorders>
            <w:shd w:val="clear" w:color="auto" w:fill="auto"/>
            <w:noWrap/>
            <w:vAlign w:val="center"/>
            <w:hideMark/>
          </w:tcPr>
          <w:p w14:paraId="136B2C1C" w14:textId="138F908C"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16</w:t>
            </w:r>
            <w:r w:rsidR="001239A7">
              <w:rPr>
                <w:rFonts w:cs="Arial"/>
                <w:color w:val="000000"/>
                <w:sz w:val="16"/>
                <w:szCs w:val="16"/>
              </w:rPr>
              <w:t xml:space="preserve"> </w:t>
            </w:r>
            <w:r w:rsidRPr="00EE5D67">
              <w:rPr>
                <w:rFonts w:cs="Arial"/>
                <w:color w:val="000000"/>
                <w:sz w:val="16"/>
                <w:szCs w:val="16"/>
              </w:rPr>
              <w:t>204</w:t>
            </w:r>
          </w:p>
        </w:tc>
        <w:tc>
          <w:tcPr>
            <w:tcW w:w="972" w:type="dxa"/>
            <w:tcBorders>
              <w:top w:val="nil"/>
              <w:left w:val="nil"/>
              <w:bottom w:val="nil"/>
              <w:right w:val="nil"/>
            </w:tcBorders>
            <w:shd w:val="clear" w:color="auto" w:fill="auto"/>
            <w:noWrap/>
            <w:vAlign w:val="center"/>
            <w:hideMark/>
          </w:tcPr>
          <w:p w14:paraId="1187F488"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2 182 690</w:t>
            </w:r>
          </w:p>
        </w:tc>
        <w:tc>
          <w:tcPr>
            <w:tcW w:w="972" w:type="dxa"/>
            <w:tcBorders>
              <w:top w:val="nil"/>
              <w:left w:val="nil"/>
              <w:bottom w:val="nil"/>
              <w:right w:val="nil"/>
            </w:tcBorders>
            <w:shd w:val="clear" w:color="auto" w:fill="auto"/>
            <w:noWrap/>
            <w:vAlign w:val="center"/>
            <w:hideMark/>
          </w:tcPr>
          <w:p w14:paraId="27BCCE63"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756 845</w:t>
            </w:r>
          </w:p>
        </w:tc>
        <w:tc>
          <w:tcPr>
            <w:tcW w:w="973" w:type="dxa"/>
            <w:tcBorders>
              <w:top w:val="nil"/>
              <w:left w:val="nil"/>
              <w:bottom w:val="nil"/>
              <w:right w:val="single" w:sz="4" w:space="0" w:color="auto"/>
            </w:tcBorders>
            <w:shd w:val="clear" w:color="auto" w:fill="auto"/>
            <w:noWrap/>
            <w:vAlign w:val="center"/>
            <w:hideMark/>
          </w:tcPr>
          <w:p w14:paraId="114682A9"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1 425 845</w:t>
            </w:r>
          </w:p>
        </w:tc>
        <w:tc>
          <w:tcPr>
            <w:tcW w:w="652" w:type="dxa"/>
            <w:tcBorders>
              <w:top w:val="nil"/>
              <w:left w:val="nil"/>
              <w:bottom w:val="nil"/>
              <w:right w:val="nil"/>
            </w:tcBorders>
            <w:shd w:val="clear" w:color="auto" w:fill="auto"/>
            <w:noWrap/>
            <w:vAlign w:val="center"/>
            <w:hideMark/>
          </w:tcPr>
          <w:p w14:paraId="590F46F0"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86,80</w:t>
            </w:r>
          </w:p>
        </w:tc>
        <w:tc>
          <w:tcPr>
            <w:tcW w:w="709" w:type="dxa"/>
            <w:tcBorders>
              <w:top w:val="nil"/>
              <w:left w:val="nil"/>
              <w:bottom w:val="nil"/>
              <w:right w:val="nil"/>
            </w:tcBorders>
            <w:shd w:val="clear" w:color="auto" w:fill="auto"/>
            <w:noWrap/>
            <w:vAlign w:val="center"/>
            <w:hideMark/>
          </w:tcPr>
          <w:p w14:paraId="3A215235"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84,63</w:t>
            </w:r>
          </w:p>
        </w:tc>
        <w:tc>
          <w:tcPr>
            <w:tcW w:w="692" w:type="dxa"/>
            <w:tcBorders>
              <w:top w:val="nil"/>
              <w:left w:val="nil"/>
              <w:bottom w:val="nil"/>
              <w:right w:val="nil"/>
            </w:tcBorders>
            <w:shd w:val="clear" w:color="auto" w:fill="auto"/>
            <w:noWrap/>
            <w:vAlign w:val="center"/>
            <w:hideMark/>
          </w:tcPr>
          <w:p w14:paraId="2B5BA01C"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87,99</w:t>
            </w:r>
          </w:p>
        </w:tc>
      </w:tr>
      <w:tr w:rsidR="00EE5D67" w:rsidRPr="00EE5D67" w14:paraId="7C1A7FA8"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052622A6" w14:textId="4A9AF5AD" w:rsidR="00EE5D67" w:rsidRPr="00EE5D67" w:rsidRDefault="00EE5D67" w:rsidP="00EE5D67">
            <w:pPr>
              <w:spacing w:after="0" w:line="240" w:lineRule="auto"/>
              <w:rPr>
                <w:rFonts w:cs="Arial"/>
                <w:sz w:val="16"/>
                <w:szCs w:val="16"/>
              </w:rPr>
            </w:pPr>
            <w:r w:rsidRPr="00EE5D67">
              <w:rPr>
                <w:rFonts w:cs="Arial"/>
                <w:sz w:val="16"/>
                <w:szCs w:val="16"/>
              </w:rPr>
              <w:t>Nemoci nervové soustavy</w:t>
            </w:r>
          </w:p>
        </w:tc>
        <w:tc>
          <w:tcPr>
            <w:tcW w:w="972" w:type="dxa"/>
            <w:tcBorders>
              <w:top w:val="nil"/>
              <w:left w:val="single" w:sz="4" w:space="0" w:color="auto"/>
              <w:bottom w:val="nil"/>
              <w:right w:val="nil"/>
            </w:tcBorders>
            <w:shd w:val="clear" w:color="auto" w:fill="auto"/>
            <w:noWrap/>
            <w:vAlign w:val="center"/>
            <w:hideMark/>
          </w:tcPr>
          <w:p w14:paraId="230BF2E1" w14:textId="2983464B"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14</w:t>
            </w:r>
            <w:r w:rsidR="001239A7">
              <w:rPr>
                <w:rFonts w:cs="Arial"/>
                <w:color w:val="000000"/>
                <w:sz w:val="16"/>
                <w:szCs w:val="16"/>
              </w:rPr>
              <w:t xml:space="preserve"> </w:t>
            </w:r>
            <w:r w:rsidRPr="00EE5D67">
              <w:rPr>
                <w:rFonts w:cs="Arial"/>
                <w:color w:val="000000"/>
                <w:sz w:val="16"/>
                <w:szCs w:val="16"/>
              </w:rPr>
              <w:t>608</w:t>
            </w:r>
          </w:p>
        </w:tc>
        <w:tc>
          <w:tcPr>
            <w:tcW w:w="857" w:type="dxa"/>
            <w:tcBorders>
              <w:top w:val="nil"/>
              <w:left w:val="nil"/>
              <w:bottom w:val="nil"/>
              <w:right w:val="nil"/>
            </w:tcBorders>
            <w:shd w:val="clear" w:color="auto" w:fill="auto"/>
            <w:noWrap/>
            <w:vAlign w:val="center"/>
            <w:hideMark/>
          </w:tcPr>
          <w:p w14:paraId="1C715A89" w14:textId="1F24708E"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6</w:t>
            </w:r>
            <w:r w:rsidR="001239A7">
              <w:rPr>
                <w:rFonts w:cs="Arial"/>
                <w:color w:val="000000"/>
                <w:sz w:val="16"/>
                <w:szCs w:val="16"/>
              </w:rPr>
              <w:t xml:space="preserve"> </w:t>
            </w:r>
            <w:r w:rsidRPr="00EE5D67">
              <w:rPr>
                <w:rFonts w:cs="Arial"/>
                <w:color w:val="000000"/>
                <w:sz w:val="16"/>
                <w:szCs w:val="16"/>
              </w:rPr>
              <w:t>153</w:t>
            </w:r>
          </w:p>
        </w:tc>
        <w:tc>
          <w:tcPr>
            <w:tcW w:w="859" w:type="dxa"/>
            <w:tcBorders>
              <w:top w:val="nil"/>
              <w:left w:val="nil"/>
              <w:bottom w:val="nil"/>
              <w:right w:val="single" w:sz="4" w:space="0" w:color="auto"/>
            </w:tcBorders>
            <w:shd w:val="clear" w:color="auto" w:fill="auto"/>
            <w:noWrap/>
            <w:vAlign w:val="center"/>
            <w:hideMark/>
          </w:tcPr>
          <w:p w14:paraId="43AB0778" w14:textId="08A03185"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w:t>
            </w:r>
            <w:r w:rsidR="001239A7">
              <w:rPr>
                <w:rFonts w:cs="Arial"/>
                <w:color w:val="000000"/>
                <w:sz w:val="16"/>
                <w:szCs w:val="16"/>
              </w:rPr>
              <w:t xml:space="preserve"> </w:t>
            </w:r>
            <w:r w:rsidRPr="00EE5D67">
              <w:rPr>
                <w:rFonts w:cs="Arial"/>
                <w:color w:val="000000"/>
                <w:sz w:val="16"/>
                <w:szCs w:val="16"/>
              </w:rPr>
              <w:t>455</w:t>
            </w:r>
          </w:p>
        </w:tc>
        <w:tc>
          <w:tcPr>
            <w:tcW w:w="972" w:type="dxa"/>
            <w:tcBorders>
              <w:top w:val="nil"/>
              <w:left w:val="nil"/>
              <w:bottom w:val="nil"/>
              <w:right w:val="nil"/>
            </w:tcBorders>
            <w:shd w:val="clear" w:color="auto" w:fill="auto"/>
            <w:noWrap/>
            <w:vAlign w:val="center"/>
            <w:hideMark/>
          </w:tcPr>
          <w:p w14:paraId="134A6E4C"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1 234 567</w:t>
            </w:r>
          </w:p>
        </w:tc>
        <w:tc>
          <w:tcPr>
            <w:tcW w:w="972" w:type="dxa"/>
            <w:tcBorders>
              <w:top w:val="nil"/>
              <w:left w:val="nil"/>
              <w:bottom w:val="nil"/>
              <w:right w:val="nil"/>
            </w:tcBorders>
            <w:shd w:val="clear" w:color="auto" w:fill="auto"/>
            <w:noWrap/>
            <w:vAlign w:val="center"/>
            <w:hideMark/>
          </w:tcPr>
          <w:p w14:paraId="29761C13"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529 649</w:t>
            </w:r>
          </w:p>
        </w:tc>
        <w:tc>
          <w:tcPr>
            <w:tcW w:w="973" w:type="dxa"/>
            <w:tcBorders>
              <w:top w:val="nil"/>
              <w:left w:val="nil"/>
              <w:bottom w:val="nil"/>
              <w:right w:val="single" w:sz="4" w:space="0" w:color="auto"/>
            </w:tcBorders>
            <w:shd w:val="clear" w:color="auto" w:fill="auto"/>
            <w:noWrap/>
            <w:vAlign w:val="center"/>
            <w:hideMark/>
          </w:tcPr>
          <w:p w14:paraId="331FBCCD"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704 918</w:t>
            </w:r>
          </w:p>
        </w:tc>
        <w:tc>
          <w:tcPr>
            <w:tcW w:w="652" w:type="dxa"/>
            <w:tcBorders>
              <w:top w:val="nil"/>
              <w:left w:val="nil"/>
              <w:bottom w:val="nil"/>
              <w:right w:val="nil"/>
            </w:tcBorders>
            <w:shd w:val="clear" w:color="auto" w:fill="auto"/>
            <w:noWrap/>
            <w:vAlign w:val="center"/>
            <w:hideMark/>
          </w:tcPr>
          <w:p w14:paraId="639ACB47"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84,51</w:t>
            </w:r>
          </w:p>
        </w:tc>
        <w:tc>
          <w:tcPr>
            <w:tcW w:w="709" w:type="dxa"/>
            <w:tcBorders>
              <w:top w:val="nil"/>
              <w:left w:val="nil"/>
              <w:bottom w:val="nil"/>
              <w:right w:val="nil"/>
            </w:tcBorders>
            <w:shd w:val="clear" w:color="auto" w:fill="auto"/>
            <w:noWrap/>
            <w:vAlign w:val="center"/>
            <w:hideMark/>
          </w:tcPr>
          <w:p w14:paraId="44755595"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86,08</w:t>
            </w:r>
          </w:p>
        </w:tc>
        <w:tc>
          <w:tcPr>
            <w:tcW w:w="692" w:type="dxa"/>
            <w:tcBorders>
              <w:top w:val="nil"/>
              <w:left w:val="nil"/>
              <w:bottom w:val="nil"/>
              <w:right w:val="nil"/>
            </w:tcBorders>
            <w:shd w:val="clear" w:color="auto" w:fill="auto"/>
            <w:noWrap/>
            <w:vAlign w:val="center"/>
            <w:hideMark/>
          </w:tcPr>
          <w:p w14:paraId="64611975"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83,37</w:t>
            </w:r>
          </w:p>
        </w:tc>
      </w:tr>
      <w:tr w:rsidR="00EE5D67" w:rsidRPr="00EE5D67" w14:paraId="31D1F821"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1FA04E4A" w14:textId="12C69322" w:rsidR="00EE5D67" w:rsidRPr="00EE5D67" w:rsidRDefault="00816CA3" w:rsidP="00EE5D67">
            <w:pPr>
              <w:spacing w:after="0" w:line="240" w:lineRule="auto"/>
              <w:rPr>
                <w:rFonts w:cs="Arial"/>
                <w:sz w:val="16"/>
                <w:szCs w:val="16"/>
              </w:rPr>
            </w:pPr>
            <w:r>
              <w:rPr>
                <w:rFonts w:cs="Arial"/>
                <w:sz w:val="16"/>
                <w:szCs w:val="16"/>
              </w:rPr>
              <w:t>N</w:t>
            </w:r>
            <w:r w:rsidR="00EE5D67" w:rsidRPr="00EE5D67">
              <w:rPr>
                <w:rFonts w:cs="Arial"/>
                <w:sz w:val="16"/>
                <w:szCs w:val="16"/>
              </w:rPr>
              <w:t>emoci oběhové soustavy</w:t>
            </w:r>
          </w:p>
        </w:tc>
        <w:tc>
          <w:tcPr>
            <w:tcW w:w="972" w:type="dxa"/>
            <w:tcBorders>
              <w:top w:val="nil"/>
              <w:left w:val="single" w:sz="4" w:space="0" w:color="auto"/>
              <w:bottom w:val="nil"/>
              <w:right w:val="nil"/>
            </w:tcBorders>
            <w:shd w:val="clear" w:color="auto" w:fill="auto"/>
            <w:noWrap/>
            <w:vAlign w:val="center"/>
            <w:hideMark/>
          </w:tcPr>
          <w:p w14:paraId="63E822E7" w14:textId="5B98B5AB"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27</w:t>
            </w:r>
            <w:r w:rsidR="001239A7">
              <w:rPr>
                <w:rFonts w:cs="Arial"/>
                <w:color w:val="000000"/>
                <w:sz w:val="16"/>
                <w:szCs w:val="16"/>
              </w:rPr>
              <w:t xml:space="preserve"> </w:t>
            </w:r>
            <w:r w:rsidRPr="00EE5D67">
              <w:rPr>
                <w:rFonts w:cs="Arial"/>
                <w:color w:val="000000"/>
                <w:sz w:val="16"/>
                <w:szCs w:val="16"/>
              </w:rPr>
              <w:t>256</w:t>
            </w:r>
          </w:p>
        </w:tc>
        <w:tc>
          <w:tcPr>
            <w:tcW w:w="857" w:type="dxa"/>
            <w:tcBorders>
              <w:top w:val="nil"/>
              <w:left w:val="nil"/>
              <w:bottom w:val="nil"/>
              <w:right w:val="nil"/>
            </w:tcBorders>
            <w:shd w:val="clear" w:color="auto" w:fill="auto"/>
            <w:noWrap/>
            <w:vAlign w:val="center"/>
            <w:hideMark/>
          </w:tcPr>
          <w:p w14:paraId="5B8FF6B2" w14:textId="571421C4"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15</w:t>
            </w:r>
            <w:r w:rsidR="001239A7">
              <w:rPr>
                <w:rFonts w:cs="Arial"/>
                <w:color w:val="000000"/>
                <w:sz w:val="16"/>
                <w:szCs w:val="16"/>
              </w:rPr>
              <w:t xml:space="preserve"> </w:t>
            </w:r>
            <w:r w:rsidRPr="00EE5D67">
              <w:rPr>
                <w:rFonts w:cs="Arial"/>
                <w:color w:val="000000"/>
                <w:sz w:val="16"/>
                <w:szCs w:val="16"/>
              </w:rPr>
              <w:t>145</w:t>
            </w:r>
          </w:p>
        </w:tc>
        <w:tc>
          <w:tcPr>
            <w:tcW w:w="859" w:type="dxa"/>
            <w:tcBorders>
              <w:top w:val="nil"/>
              <w:left w:val="nil"/>
              <w:bottom w:val="nil"/>
              <w:right w:val="single" w:sz="4" w:space="0" w:color="auto"/>
            </w:tcBorders>
            <w:shd w:val="clear" w:color="auto" w:fill="auto"/>
            <w:noWrap/>
            <w:vAlign w:val="center"/>
            <w:hideMark/>
          </w:tcPr>
          <w:p w14:paraId="3CF7F164" w14:textId="703B6B2D"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12</w:t>
            </w:r>
            <w:r w:rsidR="001239A7">
              <w:rPr>
                <w:rFonts w:cs="Arial"/>
                <w:color w:val="000000"/>
                <w:sz w:val="16"/>
                <w:szCs w:val="16"/>
              </w:rPr>
              <w:t xml:space="preserve"> </w:t>
            </w:r>
            <w:r w:rsidRPr="00EE5D67">
              <w:rPr>
                <w:rFonts w:cs="Arial"/>
                <w:color w:val="000000"/>
                <w:sz w:val="16"/>
                <w:szCs w:val="16"/>
              </w:rPr>
              <w:t>111</w:t>
            </w:r>
          </w:p>
        </w:tc>
        <w:tc>
          <w:tcPr>
            <w:tcW w:w="972" w:type="dxa"/>
            <w:tcBorders>
              <w:top w:val="nil"/>
              <w:left w:val="nil"/>
              <w:bottom w:val="nil"/>
              <w:right w:val="nil"/>
            </w:tcBorders>
            <w:shd w:val="clear" w:color="auto" w:fill="auto"/>
            <w:noWrap/>
            <w:vAlign w:val="center"/>
            <w:hideMark/>
          </w:tcPr>
          <w:p w14:paraId="0EF4644B"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2 196 722</w:t>
            </w:r>
          </w:p>
        </w:tc>
        <w:tc>
          <w:tcPr>
            <w:tcW w:w="972" w:type="dxa"/>
            <w:tcBorders>
              <w:top w:val="nil"/>
              <w:left w:val="nil"/>
              <w:bottom w:val="nil"/>
              <w:right w:val="nil"/>
            </w:tcBorders>
            <w:shd w:val="clear" w:color="auto" w:fill="auto"/>
            <w:noWrap/>
            <w:vAlign w:val="center"/>
            <w:hideMark/>
          </w:tcPr>
          <w:p w14:paraId="50B8585A"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1 374 377</w:t>
            </w:r>
          </w:p>
        </w:tc>
        <w:tc>
          <w:tcPr>
            <w:tcW w:w="973" w:type="dxa"/>
            <w:tcBorders>
              <w:top w:val="nil"/>
              <w:left w:val="nil"/>
              <w:bottom w:val="nil"/>
              <w:right w:val="single" w:sz="4" w:space="0" w:color="auto"/>
            </w:tcBorders>
            <w:shd w:val="clear" w:color="auto" w:fill="auto"/>
            <w:noWrap/>
            <w:vAlign w:val="center"/>
            <w:hideMark/>
          </w:tcPr>
          <w:p w14:paraId="4B225CFF"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822 345</w:t>
            </w:r>
          </w:p>
        </w:tc>
        <w:tc>
          <w:tcPr>
            <w:tcW w:w="652" w:type="dxa"/>
            <w:tcBorders>
              <w:top w:val="nil"/>
              <w:left w:val="nil"/>
              <w:bottom w:val="nil"/>
              <w:right w:val="nil"/>
            </w:tcBorders>
            <w:shd w:val="clear" w:color="auto" w:fill="auto"/>
            <w:noWrap/>
            <w:vAlign w:val="center"/>
            <w:hideMark/>
          </w:tcPr>
          <w:p w14:paraId="0056767C"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80,60</w:t>
            </w:r>
          </w:p>
        </w:tc>
        <w:tc>
          <w:tcPr>
            <w:tcW w:w="709" w:type="dxa"/>
            <w:tcBorders>
              <w:top w:val="nil"/>
              <w:left w:val="nil"/>
              <w:bottom w:val="nil"/>
              <w:right w:val="nil"/>
            </w:tcBorders>
            <w:shd w:val="clear" w:color="auto" w:fill="auto"/>
            <w:noWrap/>
            <w:vAlign w:val="center"/>
            <w:hideMark/>
          </w:tcPr>
          <w:p w14:paraId="100C3057"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90,75</w:t>
            </w:r>
          </w:p>
        </w:tc>
        <w:tc>
          <w:tcPr>
            <w:tcW w:w="692" w:type="dxa"/>
            <w:tcBorders>
              <w:top w:val="nil"/>
              <w:left w:val="nil"/>
              <w:bottom w:val="nil"/>
              <w:right w:val="nil"/>
            </w:tcBorders>
            <w:shd w:val="clear" w:color="auto" w:fill="auto"/>
            <w:noWrap/>
            <w:vAlign w:val="center"/>
            <w:hideMark/>
          </w:tcPr>
          <w:p w14:paraId="3EA74369"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67,90</w:t>
            </w:r>
          </w:p>
        </w:tc>
      </w:tr>
      <w:tr w:rsidR="00EE5D67" w:rsidRPr="00EE5D67" w14:paraId="65A277DB"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5F28E600" w14:textId="1BD43AFB" w:rsidR="00EE5D67" w:rsidRPr="00EE5D67" w:rsidRDefault="00EE5D67" w:rsidP="00EE5D67">
            <w:pPr>
              <w:spacing w:after="0" w:line="240" w:lineRule="auto"/>
              <w:rPr>
                <w:rFonts w:cs="Arial"/>
                <w:sz w:val="16"/>
                <w:szCs w:val="16"/>
              </w:rPr>
            </w:pPr>
            <w:r w:rsidRPr="00EE5D67">
              <w:rPr>
                <w:rFonts w:cs="Arial"/>
                <w:sz w:val="16"/>
                <w:szCs w:val="16"/>
              </w:rPr>
              <w:t>– hypertenze</w:t>
            </w:r>
          </w:p>
        </w:tc>
        <w:tc>
          <w:tcPr>
            <w:tcW w:w="972" w:type="dxa"/>
            <w:tcBorders>
              <w:top w:val="nil"/>
              <w:left w:val="single" w:sz="4" w:space="0" w:color="auto"/>
              <w:bottom w:val="nil"/>
              <w:right w:val="nil"/>
            </w:tcBorders>
            <w:shd w:val="clear" w:color="auto" w:fill="auto"/>
            <w:noWrap/>
            <w:vAlign w:val="center"/>
            <w:hideMark/>
          </w:tcPr>
          <w:p w14:paraId="3F0C69F0"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7 633</w:t>
            </w:r>
          </w:p>
        </w:tc>
        <w:tc>
          <w:tcPr>
            <w:tcW w:w="857" w:type="dxa"/>
            <w:tcBorders>
              <w:top w:val="nil"/>
              <w:left w:val="nil"/>
              <w:bottom w:val="nil"/>
              <w:right w:val="nil"/>
            </w:tcBorders>
            <w:shd w:val="clear" w:color="auto" w:fill="auto"/>
            <w:noWrap/>
            <w:vAlign w:val="center"/>
            <w:hideMark/>
          </w:tcPr>
          <w:p w14:paraId="5A48F128"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4 294</w:t>
            </w:r>
          </w:p>
        </w:tc>
        <w:tc>
          <w:tcPr>
            <w:tcW w:w="859" w:type="dxa"/>
            <w:tcBorders>
              <w:top w:val="nil"/>
              <w:left w:val="nil"/>
              <w:bottom w:val="nil"/>
              <w:right w:val="single" w:sz="4" w:space="0" w:color="auto"/>
            </w:tcBorders>
            <w:shd w:val="clear" w:color="auto" w:fill="auto"/>
            <w:noWrap/>
            <w:vAlign w:val="center"/>
            <w:hideMark/>
          </w:tcPr>
          <w:p w14:paraId="3B58649F"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3 339</w:t>
            </w:r>
          </w:p>
        </w:tc>
        <w:tc>
          <w:tcPr>
            <w:tcW w:w="972" w:type="dxa"/>
            <w:tcBorders>
              <w:top w:val="nil"/>
              <w:left w:val="nil"/>
              <w:bottom w:val="nil"/>
              <w:right w:val="nil"/>
            </w:tcBorders>
            <w:shd w:val="clear" w:color="auto" w:fill="auto"/>
            <w:noWrap/>
            <w:vAlign w:val="center"/>
            <w:hideMark/>
          </w:tcPr>
          <w:p w14:paraId="4919007A"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415 199</w:t>
            </w:r>
          </w:p>
        </w:tc>
        <w:tc>
          <w:tcPr>
            <w:tcW w:w="972" w:type="dxa"/>
            <w:tcBorders>
              <w:top w:val="nil"/>
              <w:left w:val="nil"/>
              <w:bottom w:val="nil"/>
              <w:right w:val="nil"/>
            </w:tcBorders>
            <w:shd w:val="clear" w:color="auto" w:fill="auto"/>
            <w:noWrap/>
            <w:vAlign w:val="center"/>
            <w:hideMark/>
          </w:tcPr>
          <w:p w14:paraId="5F34248E"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238 140</w:t>
            </w:r>
          </w:p>
        </w:tc>
        <w:tc>
          <w:tcPr>
            <w:tcW w:w="973" w:type="dxa"/>
            <w:tcBorders>
              <w:top w:val="nil"/>
              <w:left w:val="nil"/>
              <w:bottom w:val="nil"/>
              <w:right w:val="single" w:sz="4" w:space="0" w:color="auto"/>
            </w:tcBorders>
            <w:shd w:val="clear" w:color="auto" w:fill="auto"/>
            <w:noWrap/>
            <w:vAlign w:val="center"/>
            <w:hideMark/>
          </w:tcPr>
          <w:p w14:paraId="6E6B4C6D"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177 059</w:t>
            </w:r>
          </w:p>
        </w:tc>
        <w:tc>
          <w:tcPr>
            <w:tcW w:w="652" w:type="dxa"/>
            <w:tcBorders>
              <w:top w:val="nil"/>
              <w:left w:val="nil"/>
              <w:bottom w:val="nil"/>
              <w:right w:val="nil"/>
            </w:tcBorders>
            <w:shd w:val="clear" w:color="auto" w:fill="auto"/>
            <w:noWrap/>
            <w:vAlign w:val="center"/>
            <w:hideMark/>
          </w:tcPr>
          <w:p w14:paraId="255FE092"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54,40</w:t>
            </w:r>
          </w:p>
        </w:tc>
        <w:tc>
          <w:tcPr>
            <w:tcW w:w="709" w:type="dxa"/>
            <w:tcBorders>
              <w:top w:val="nil"/>
              <w:left w:val="nil"/>
              <w:bottom w:val="nil"/>
              <w:right w:val="nil"/>
            </w:tcBorders>
            <w:shd w:val="clear" w:color="auto" w:fill="auto"/>
            <w:noWrap/>
            <w:vAlign w:val="center"/>
            <w:hideMark/>
          </w:tcPr>
          <w:p w14:paraId="6A36F4F6"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55,46</w:t>
            </w:r>
          </w:p>
        </w:tc>
        <w:tc>
          <w:tcPr>
            <w:tcW w:w="692" w:type="dxa"/>
            <w:tcBorders>
              <w:top w:val="nil"/>
              <w:left w:val="nil"/>
              <w:bottom w:val="nil"/>
              <w:right w:val="nil"/>
            </w:tcBorders>
            <w:shd w:val="clear" w:color="auto" w:fill="auto"/>
            <w:noWrap/>
            <w:vAlign w:val="center"/>
            <w:hideMark/>
          </w:tcPr>
          <w:p w14:paraId="59607CD9"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53,03</w:t>
            </w:r>
          </w:p>
        </w:tc>
      </w:tr>
      <w:tr w:rsidR="00EE5D67" w:rsidRPr="00EE5D67" w14:paraId="1E34EA35"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24DD0366" w14:textId="619C8109" w:rsidR="00EE5D67" w:rsidRPr="00EE5D67" w:rsidRDefault="00EE5D67" w:rsidP="00816CA3">
            <w:pPr>
              <w:spacing w:after="0" w:line="240" w:lineRule="auto"/>
              <w:rPr>
                <w:rFonts w:cs="Arial"/>
                <w:sz w:val="16"/>
                <w:szCs w:val="16"/>
              </w:rPr>
            </w:pPr>
            <w:r w:rsidRPr="00EE5D67">
              <w:rPr>
                <w:rFonts w:cs="Arial"/>
                <w:sz w:val="16"/>
                <w:szCs w:val="16"/>
              </w:rPr>
              <w:t>– ischem</w:t>
            </w:r>
            <w:r w:rsidR="00816CA3">
              <w:rPr>
                <w:rFonts w:cs="Arial"/>
                <w:sz w:val="16"/>
                <w:szCs w:val="16"/>
              </w:rPr>
              <w:t>.</w:t>
            </w:r>
            <w:r w:rsidRPr="00EE5D67">
              <w:rPr>
                <w:rFonts w:cs="Arial"/>
                <w:sz w:val="16"/>
                <w:szCs w:val="16"/>
              </w:rPr>
              <w:t xml:space="preserve"> choroba srdeční</w:t>
            </w:r>
          </w:p>
        </w:tc>
        <w:tc>
          <w:tcPr>
            <w:tcW w:w="972" w:type="dxa"/>
            <w:tcBorders>
              <w:top w:val="nil"/>
              <w:left w:val="single" w:sz="4" w:space="0" w:color="auto"/>
              <w:bottom w:val="nil"/>
              <w:right w:val="nil"/>
            </w:tcBorders>
            <w:shd w:val="clear" w:color="auto" w:fill="auto"/>
            <w:noWrap/>
            <w:vAlign w:val="center"/>
            <w:hideMark/>
          </w:tcPr>
          <w:p w14:paraId="4DD816AD"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3 452</w:t>
            </w:r>
          </w:p>
        </w:tc>
        <w:tc>
          <w:tcPr>
            <w:tcW w:w="857" w:type="dxa"/>
            <w:tcBorders>
              <w:top w:val="nil"/>
              <w:left w:val="nil"/>
              <w:bottom w:val="nil"/>
              <w:right w:val="nil"/>
            </w:tcBorders>
            <w:shd w:val="clear" w:color="auto" w:fill="auto"/>
            <w:noWrap/>
            <w:vAlign w:val="center"/>
            <w:hideMark/>
          </w:tcPr>
          <w:p w14:paraId="75EAD4A5"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2 745</w:t>
            </w:r>
          </w:p>
        </w:tc>
        <w:tc>
          <w:tcPr>
            <w:tcW w:w="859" w:type="dxa"/>
            <w:tcBorders>
              <w:top w:val="nil"/>
              <w:left w:val="nil"/>
              <w:bottom w:val="nil"/>
              <w:right w:val="single" w:sz="4" w:space="0" w:color="auto"/>
            </w:tcBorders>
            <w:shd w:val="clear" w:color="auto" w:fill="auto"/>
            <w:noWrap/>
            <w:vAlign w:val="center"/>
            <w:hideMark/>
          </w:tcPr>
          <w:p w14:paraId="4CECAA10"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707</w:t>
            </w:r>
          </w:p>
        </w:tc>
        <w:tc>
          <w:tcPr>
            <w:tcW w:w="972" w:type="dxa"/>
            <w:tcBorders>
              <w:top w:val="nil"/>
              <w:left w:val="nil"/>
              <w:bottom w:val="nil"/>
              <w:right w:val="nil"/>
            </w:tcBorders>
            <w:shd w:val="clear" w:color="auto" w:fill="auto"/>
            <w:noWrap/>
            <w:vAlign w:val="center"/>
            <w:hideMark/>
          </w:tcPr>
          <w:p w14:paraId="2E4505D9"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448 379</w:t>
            </w:r>
          </w:p>
        </w:tc>
        <w:tc>
          <w:tcPr>
            <w:tcW w:w="972" w:type="dxa"/>
            <w:tcBorders>
              <w:top w:val="nil"/>
              <w:left w:val="nil"/>
              <w:bottom w:val="nil"/>
              <w:right w:val="nil"/>
            </w:tcBorders>
            <w:shd w:val="clear" w:color="auto" w:fill="auto"/>
            <w:noWrap/>
            <w:vAlign w:val="center"/>
            <w:hideMark/>
          </w:tcPr>
          <w:p w14:paraId="28FE2E19"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367 401</w:t>
            </w:r>
          </w:p>
        </w:tc>
        <w:tc>
          <w:tcPr>
            <w:tcW w:w="973" w:type="dxa"/>
            <w:tcBorders>
              <w:top w:val="nil"/>
              <w:left w:val="nil"/>
              <w:bottom w:val="nil"/>
              <w:right w:val="single" w:sz="4" w:space="0" w:color="auto"/>
            </w:tcBorders>
            <w:shd w:val="clear" w:color="auto" w:fill="auto"/>
            <w:noWrap/>
            <w:vAlign w:val="center"/>
            <w:hideMark/>
          </w:tcPr>
          <w:p w14:paraId="3A3B4DDF"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80 978</w:t>
            </w:r>
          </w:p>
        </w:tc>
        <w:tc>
          <w:tcPr>
            <w:tcW w:w="652" w:type="dxa"/>
            <w:tcBorders>
              <w:top w:val="nil"/>
              <w:left w:val="nil"/>
              <w:bottom w:val="nil"/>
              <w:right w:val="nil"/>
            </w:tcBorders>
            <w:shd w:val="clear" w:color="auto" w:fill="auto"/>
            <w:noWrap/>
            <w:vAlign w:val="center"/>
            <w:hideMark/>
          </w:tcPr>
          <w:p w14:paraId="10274738"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129,89</w:t>
            </w:r>
          </w:p>
        </w:tc>
        <w:tc>
          <w:tcPr>
            <w:tcW w:w="709" w:type="dxa"/>
            <w:tcBorders>
              <w:top w:val="nil"/>
              <w:left w:val="nil"/>
              <w:bottom w:val="nil"/>
              <w:right w:val="nil"/>
            </w:tcBorders>
            <w:shd w:val="clear" w:color="auto" w:fill="auto"/>
            <w:noWrap/>
            <w:vAlign w:val="center"/>
            <w:hideMark/>
          </w:tcPr>
          <w:p w14:paraId="4DE3F5B3"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133,84</w:t>
            </w:r>
          </w:p>
        </w:tc>
        <w:tc>
          <w:tcPr>
            <w:tcW w:w="692" w:type="dxa"/>
            <w:tcBorders>
              <w:top w:val="nil"/>
              <w:left w:val="nil"/>
              <w:bottom w:val="nil"/>
              <w:right w:val="nil"/>
            </w:tcBorders>
            <w:shd w:val="clear" w:color="auto" w:fill="auto"/>
            <w:noWrap/>
            <w:vAlign w:val="center"/>
            <w:hideMark/>
          </w:tcPr>
          <w:p w14:paraId="3D55C35F"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114,54</w:t>
            </w:r>
          </w:p>
        </w:tc>
      </w:tr>
      <w:tr w:rsidR="00EE5D67" w:rsidRPr="00EE5D67" w14:paraId="2E12F7ED"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6F09ACCC" w14:textId="0718B248" w:rsidR="00EE5D67" w:rsidRPr="00EE5D67" w:rsidRDefault="00EE5D67" w:rsidP="00EE5D67">
            <w:pPr>
              <w:spacing w:after="0" w:line="240" w:lineRule="auto"/>
              <w:rPr>
                <w:rFonts w:cs="Arial"/>
                <w:sz w:val="16"/>
                <w:szCs w:val="16"/>
              </w:rPr>
            </w:pPr>
            <w:r w:rsidRPr="00EE5D67">
              <w:rPr>
                <w:rFonts w:cs="Arial"/>
                <w:sz w:val="16"/>
                <w:szCs w:val="16"/>
              </w:rPr>
              <w:t>– cévní nemoci mozku</w:t>
            </w:r>
          </w:p>
        </w:tc>
        <w:tc>
          <w:tcPr>
            <w:tcW w:w="972" w:type="dxa"/>
            <w:tcBorders>
              <w:top w:val="nil"/>
              <w:left w:val="single" w:sz="4" w:space="0" w:color="auto"/>
              <w:bottom w:val="nil"/>
              <w:right w:val="nil"/>
            </w:tcBorders>
            <w:shd w:val="clear" w:color="auto" w:fill="auto"/>
            <w:noWrap/>
            <w:vAlign w:val="center"/>
            <w:hideMark/>
          </w:tcPr>
          <w:p w14:paraId="6136FB21"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1 614</w:t>
            </w:r>
          </w:p>
        </w:tc>
        <w:tc>
          <w:tcPr>
            <w:tcW w:w="857" w:type="dxa"/>
            <w:tcBorders>
              <w:top w:val="nil"/>
              <w:left w:val="nil"/>
              <w:bottom w:val="nil"/>
              <w:right w:val="nil"/>
            </w:tcBorders>
            <w:shd w:val="clear" w:color="auto" w:fill="auto"/>
            <w:noWrap/>
            <w:vAlign w:val="center"/>
            <w:hideMark/>
          </w:tcPr>
          <w:p w14:paraId="154D05EB"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1 038</w:t>
            </w:r>
          </w:p>
        </w:tc>
        <w:tc>
          <w:tcPr>
            <w:tcW w:w="859" w:type="dxa"/>
            <w:tcBorders>
              <w:top w:val="nil"/>
              <w:left w:val="nil"/>
              <w:bottom w:val="nil"/>
              <w:right w:val="single" w:sz="4" w:space="0" w:color="auto"/>
            </w:tcBorders>
            <w:shd w:val="clear" w:color="auto" w:fill="auto"/>
            <w:noWrap/>
            <w:vAlign w:val="center"/>
            <w:hideMark/>
          </w:tcPr>
          <w:p w14:paraId="46E8D58C"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576</w:t>
            </w:r>
          </w:p>
        </w:tc>
        <w:tc>
          <w:tcPr>
            <w:tcW w:w="972" w:type="dxa"/>
            <w:tcBorders>
              <w:top w:val="nil"/>
              <w:left w:val="nil"/>
              <w:bottom w:val="nil"/>
              <w:right w:val="nil"/>
            </w:tcBorders>
            <w:shd w:val="clear" w:color="auto" w:fill="auto"/>
            <w:noWrap/>
            <w:vAlign w:val="center"/>
            <w:hideMark/>
          </w:tcPr>
          <w:p w14:paraId="6D553925"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269 675</w:t>
            </w:r>
          </w:p>
        </w:tc>
        <w:tc>
          <w:tcPr>
            <w:tcW w:w="972" w:type="dxa"/>
            <w:tcBorders>
              <w:top w:val="nil"/>
              <w:left w:val="nil"/>
              <w:bottom w:val="nil"/>
              <w:right w:val="nil"/>
            </w:tcBorders>
            <w:shd w:val="clear" w:color="auto" w:fill="auto"/>
            <w:noWrap/>
            <w:vAlign w:val="center"/>
            <w:hideMark/>
          </w:tcPr>
          <w:p w14:paraId="797E1FBF"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178 804</w:t>
            </w:r>
          </w:p>
        </w:tc>
        <w:tc>
          <w:tcPr>
            <w:tcW w:w="973" w:type="dxa"/>
            <w:tcBorders>
              <w:top w:val="nil"/>
              <w:left w:val="nil"/>
              <w:bottom w:val="nil"/>
              <w:right w:val="single" w:sz="4" w:space="0" w:color="auto"/>
            </w:tcBorders>
            <w:shd w:val="clear" w:color="auto" w:fill="auto"/>
            <w:noWrap/>
            <w:vAlign w:val="center"/>
            <w:hideMark/>
          </w:tcPr>
          <w:p w14:paraId="7694E462"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90 871</w:t>
            </w:r>
          </w:p>
        </w:tc>
        <w:tc>
          <w:tcPr>
            <w:tcW w:w="652" w:type="dxa"/>
            <w:tcBorders>
              <w:top w:val="nil"/>
              <w:left w:val="nil"/>
              <w:bottom w:val="nil"/>
              <w:right w:val="nil"/>
            </w:tcBorders>
            <w:shd w:val="clear" w:color="auto" w:fill="auto"/>
            <w:noWrap/>
            <w:vAlign w:val="center"/>
            <w:hideMark/>
          </w:tcPr>
          <w:p w14:paraId="490A8980"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167,08</w:t>
            </w:r>
          </w:p>
        </w:tc>
        <w:tc>
          <w:tcPr>
            <w:tcW w:w="709" w:type="dxa"/>
            <w:tcBorders>
              <w:top w:val="nil"/>
              <w:left w:val="nil"/>
              <w:bottom w:val="nil"/>
              <w:right w:val="nil"/>
            </w:tcBorders>
            <w:shd w:val="clear" w:color="auto" w:fill="auto"/>
            <w:noWrap/>
            <w:vAlign w:val="center"/>
            <w:hideMark/>
          </w:tcPr>
          <w:p w14:paraId="3449BDC1"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172,26</w:t>
            </w:r>
          </w:p>
        </w:tc>
        <w:tc>
          <w:tcPr>
            <w:tcW w:w="692" w:type="dxa"/>
            <w:tcBorders>
              <w:top w:val="nil"/>
              <w:left w:val="nil"/>
              <w:bottom w:val="nil"/>
              <w:right w:val="nil"/>
            </w:tcBorders>
            <w:shd w:val="clear" w:color="auto" w:fill="auto"/>
            <w:noWrap/>
            <w:vAlign w:val="center"/>
            <w:hideMark/>
          </w:tcPr>
          <w:p w14:paraId="0C016F2E"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157,76</w:t>
            </w:r>
          </w:p>
        </w:tc>
      </w:tr>
      <w:tr w:rsidR="00EE5D67" w:rsidRPr="00EE5D67" w14:paraId="337AE13A"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28BE0C20" w14:textId="7C4410F0" w:rsidR="00EE5D67" w:rsidRPr="00EE5D67" w:rsidRDefault="00EE5D67" w:rsidP="00816CA3">
            <w:pPr>
              <w:spacing w:after="0" w:line="240" w:lineRule="auto"/>
              <w:rPr>
                <w:rFonts w:cs="Arial"/>
                <w:sz w:val="16"/>
                <w:szCs w:val="16"/>
              </w:rPr>
            </w:pPr>
            <w:r w:rsidRPr="00EE5D67">
              <w:rPr>
                <w:rFonts w:cs="Arial"/>
                <w:sz w:val="16"/>
                <w:szCs w:val="16"/>
              </w:rPr>
              <w:t>– jiné nemoci oběh</w:t>
            </w:r>
            <w:r w:rsidR="00816CA3">
              <w:rPr>
                <w:rFonts w:cs="Arial"/>
                <w:sz w:val="16"/>
                <w:szCs w:val="16"/>
              </w:rPr>
              <w:t>. soust.</w:t>
            </w:r>
            <w:r w:rsidRPr="00EE5D67">
              <w:rPr>
                <w:rFonts w:cs="Arial"/>
                <w:sz w:val="16"/>
                <w:szCs w:val="16"/>
              </w:rPr>
              <w:t xml:space="preserve"> </w:t>
            </w:r>
          </w:p>
        </w:tc>
        <w:tc>
          <w:tcPr>
            <w:tcW w:w="972" w:type="dxa"/>
            <w:tcBorders>
              <w:top w:val="nil"/>
              <w:left w:val="single" w:sz="4" w:space="0" w:color="auto"/>
              <w:bottom w:val="nil"/>
              <w:right w:val="nil"/>
            </w:tcBorders>
            <w:shd w:val="clear" w:color="auto" w:fill="auto"/>
            <w:noWrap/>
            <w:vAlign w:val="center"/>
            <w:hideMark/>
          </w:tcPr>
          <w:p w14:paraId="1DE3F6FA"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14 557</w:t>
            </w:r>
          </w:p>
        </w:tc>
        <w:tc>
          <w:tcPr>
            <w:tcW w:w="857" w:type="dxa"/>
            <w:tcBorders>
              <w:top w:val="nil"/>
              <w:left w:val="nil"/>
              <w:bottom w:val="nil"/>
              <w:right w:val="nil"/>
            </w:tcBorders>
            <w:shd w:val="clear" w:color="auto" w:fill="auto"/>
            <w:noWrap/>
            <w:vAlign w:val="center"/>
            <w:hideMark/>
          </w:tcPr>
          <w:p w14:paraId="4D869602"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7 068</w:t>
            </w:r>
          </w:p>
        </w:tc>
        <w:tc>
          <w:tcPr>
            <w:tcW w:w="859" w:type="dxa"/>
            <w:tcBorders>
              <w:top w:val="nil"/>
              <w:left w:val="nil"/>
              <w:bottom w:val="nil"/>
              <w:right w:val="single" w:sz="4" w:space="0" w:color="auto"/>
            </w:tcBorders>
            <w:shd w:val="clear" w:color="auto" w:fill="auto"/>
            <w:noWrap/>
            <w:vAlign w:val="center"/>
            <w:hideMark/>
          </w:tcPr>
          <w:p w14:paraId="3F35A59D"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7 489</w:t>
            </w:r>
          </w:p>
        </w:tc>
        <w:tc>
          <w:tcPr>
            <w:tcW w:w="972" w:type="dxa"/>
            <w:tcBorders>
              <w:top w:val="nil"/>
              <w:left w:val="nil"/>
              <w:bottom w:val="nil"/>
              <w:right w:val="nil"/>
            </w:tcBorders>
            <w:shd w:val="clear" w:color="auto" w:fill="auto"/>
            <w:noWrap/>
            <w:vAlign w:val="center"/>
            <w:hideMark/>
          </w:tcPr>
          <w:p w14:paraId="081F5E8A"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1 063 469</w:t>
            </w:r>
          </w:p>
        </w:tc>
        <w:tc>
          <w:tcPr>
            <w:tcW w:w="972" w:type="dxa"/>
            <w:tcBorders>
              <w:top w:val="nil"/>
              <w:left w:val="nil"/>
              <w:bottom w:val="nil"/>
              <w:right w:val="nil"/>
            </w:tcBorders>
            <w:shd w:val="clear" w:color="auto" w:fill="auto"/>
            <w:noWrap/>
            <w:vAlign w:val="center"/>
            <w:hideMark/>
          </w:tcPr>
          <w:p w14:paraId="367A9A31"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590 032</w:t>
            </w:r>
          </w:p>
        </w:tc>
        <w:tc>
          <w:tcPr>
            <w:tcW w:w="973" w:type="dxa"/>
            <w:tcBorders>
              <w:top w:val="nil"/>
              <w:left w:val="nil"/>
              <w:bottom w:val="nil"/>
              <w:right w:val="single" w:sz="4" w:space="0" w:color="auto"/>
            </w:tcBorders>
            <w:shd w:val="clear" w:color="auto" w:fill="auto"/>
            <w:noWrap/>
            <w:vAlign w:val="center"/>
            <w:hideMark/>
          </w:tcPr>
          <w:p w14:paraId="187A1D46"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473 437</w:t>
            </w:r>
          </w:p>
        </w:tc>
        <w:tc>
          <w:tcPr>
            <w:tcW w:w="652" w:type="dxa"/>
            <w:tcBorders>
              <w:top w:val="nil"/>
              <w:left w:val="nil"/>
              <w:bottom w:val="nil"/>
              <w:right w:val="nil"/>
            </w:tcBorders>
            <w:shd w:val="clear" w:color="auto" w:fill="auto"/>
            <w:noWrap/>
            <w:vAlign w:val="center"/>
            <w:hideMark/>
          </w:tcPr>
          <w:p w14:paraId="1FC1C73F"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73,06</w:t>
            </w:r>
          </w:p>
        </w:tc>
        <w:tc>
          <w:tcPr>
            <w:tcW w:w="709" w:type="dxa"/>
            <w:tcBorders>
              <w:top w:val="nil"/>
              <w:left w:val="nil"/>
              <w:bottom w:val="nil"/>
              <w:right w:val="nil"/>
            </w:tcBorders>
            <w:shd w:val="clear" w:color="auto" w:fill="auto"/>
            <w:noWrap/>
            <w:vAlign w:val="center"/>
            <w:hideMark/>
          </w:tcPr>
          <w:p w14:paraId="680573EE"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83,48</w:t>
            </w:r>
          </w:p>
        </w:tc>
        <w:tc>
          <w:tcPr>
            <w:tcW w:w="692" w:type="dxa"/>
            <w:tcBorders>
              <w:top w:val="nil"/>
              <w:left w:val="nil"/>
              <w:bottom w:val="nil"/>
              <w:right w:val="nil"/>
            </w:tcBorders>
            <w:shd w:val="clear" w:color="auto" w:fill="auto"/>
            <w:noWrap/>
            <w:vAlign w:val="center"/>
            <w:hideMark/>
          </w:tcPr>
          <w:p w14:paraId="343D6C92"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63,22</w:t>
            </w:r>
          </w:p>
        </w:tc>
      </w:tr>
      <w:tr w:rsidR="00EE5D67" w:rsidRPr="00EE5D67" w14:paraId="5976182E"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0C1F2CCA" w14:textId="5B670092" w:rsidR="00EE5D67" w:rsidRPr="00EE5D67" w:rsidRDefault="00EE5D67" w:rsidP="00EE5D67">
            <w:pPr>
              <w:spacing w:after="0" w:line="240" w:lineRule="auto"/>
              <w:rPr>
                <w:rFonts w:cs="Arial"/>
                <w:sz w:val="16"/>
                <w:szCs w:val="16"/>
              </w:rPr>
            </w:pPr>
            <w:r w:rsidRPr="00EE5D67">
              <w:rPr>
                <w:rFonts w:cs="Arial"/>
                <w:sz w:val="16"/>
                <w:szCs w:val="16"/>
              </w:rPr>
              <w:t>Nemoci dýchací soustavy</w:t>
            </w:r>
          </w:p>
        </w:tc>
        <w:tc>
          <w:tcPr>
            <w:tcW w:w="972" w:type="dxa"/>
            <w:tcBorders>
              <w:top w:val="nil"/>
              <w:left w:val="single" w:sz="4" w:space="0" w:color="auto"/>
              <w:bottom w:val="nil"/>
              <w:right w:val="nil"/>
            </w:tcBorders>
            <w:shd w:val="clear" w:color="auto" w:fill="auto"/>
            <w:noWrap/>
            <w:vAlign w:val="center"/>
            <w:hideMark/>
          </w:tcPr>
          <w:p w14:paraId="2305F622" w14:textId="66E67596"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389</w:t>
            </w:r>
            <w:r w:rsidR="001239A7">
              <w:rPr>
                <w:rFonts w:cs="Arial"/>
                <w:color w:val="000000"/>
                <w:sz w:val="16"/>
                <w:szCs w:val="16"/>
              </w:rPr>
              <w:t xml:space="preserve"> </w:t>
            </w:r>
            <w:r w:rsidRPr="00EE5D67">
              <w:rPr>
                <w:rFonts w:cs="Arial"/>
                <w:color w:val="000000"/>
                <w:sz w:val="16"/>
                <w:szCs w:val="16"/>
              </w:rPr>
              <w:t>646</w:t>
            </w:r>
          </w:p>
        </w:tc>
        <w:tc>
          <w:tcPr>
            <w:tcW w:w="857" w:type="dxa"/>
            <w:tcBorders>
              <w:top w:val="nil"/>
              <w:left w:val="nil"/>
              <w:bottom w:val="nil"/>
              <w:right w:val="nil"/>
            </w:tcBorders>
            <w:shd w:val="clear" w:color="auto" w:fill="auto"/>
            <w:noWrap/>
            <w:vAlign w:val="center"/>
            <w:hideMark/>
          </w:tcPr>
          <w:p w14:paraId="36C04B65" w14:textId="16CBC063"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176</w:t>
            </w:r>
            <w:r w:rsidR="001239A7">
              <w:rPr>
                <w:rFonts w:cs="Arial"/>
                <w:color w:val="000000"/>
                <w:sz w:val="16"/>
                <w:szCs w:val="16"/>
              </w:rPr>
              <w:t xml:space="preserve"> </w:t>
            </w:r>
            <w:r w:rsidRPr="00EE5D67">
              <w:rPr>
                <w:rFonts w:cs="Arial"/>
                <w:color w:val="000000"/>
                <w:sz w:val="16"/>
                <w:szCs w:val="16"/>
              </w:rPr>
              <w:t>174</w:t>
            </w:r>
          </w:p>
        </w:tc>
        <w:tc>
          <w:tcPr>
            <w:tcW w:w="859" w:type="dxa"/>
            <w:tcBorders>
              <w:top w:val="nil"/>
              <w:left w:val="nil"/>
              <w:bottom w:val="nil"/>
              <w:right w:val="single" w:sz="4" w:space="0" w:color="auto"/>
            </w:tcBorders>
            <w:shd w:val="clear" w:color="auto" w:fill="auto"/>
            <w:noWrap/>
            <w:vAlign w:val="center"/>
            <w:hideMark/>
          </w:tcPr>
          <w:p w14:paraId="0A1941C1" w14:textId="65E98991"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213</w:t>
            </w:r>
            <w:r w:rsidR="001239A7">
              <w:rPr>
                <w:rFonts w:cs="Arial"/>
                <w:color w:val="000000"/>
                <w:sz w:val="16"/>
                <w:szCs w:val="16"/>
              </w:rPr>
              <w:t xml:space="preserve"> </w:t>
            </w:r>
            <w:r w:rsidRPr="00EE5D67">
              <w:rPr>
                <w:rFonts w:cs="Arial"/>
                <w:color w:val="000000"/>
                <w:sz w:val="16"/>
                <w:szCs w:val="16"/>
              </w:rPr>
              <w:t>472</w:t>
            </w:r>
          </w:p>
        </w:tc>
        <w:tc>
          <w:tcPr>
            <w:tcW w:w="972" w:type="dxa"/>
            <w:tcBorders>
              <w:top w:val="nil"/>
              <w:left w:val="nil"/>
              <w:bottom w:val="nil"/>
              <w:right w:val="nil"/>
            </w:tcBorders>
            <w:shd w:val="clear" w:color="auto" w:fill="auto"/>
            <w:noWrap/>
            <w:vAlign w:val="center"/>
            <w:hideMark/>
          </w:tcPr>
          <w:p w14:paraId="05FC3759"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6 297 945</w:t>
            </w:r>
          </w:p>
        </w:tc>
        <w:tc>
          <w:tcPr>
            <w:tcW w:w="972" w:type="dxa"/>
            <w:tcBorders>
              <w:top w:val="nil"/>
              <w:left w:val="nil"/>
              <w:bottom w:val="nil"/>
              <w:right w:val="nil"/>
            </w:tcBorders>
            <w:shd w:val="clear" w:color="auto" w:fill="auto"/>
            <w:noWrap/>
            <w:vAlign w:val="center"/>
            <w:hideMark/>
          </w:tcPr>
          <w:p w14:paraId="37E40795"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2 773 954</w:t>
            </w:r>
          </w:p>
        </w:tc>
        <w:tc>
          <w:tcPr>
            <w:tcW w:w="973" w:type="dxa"/>
            <w:tcBorders>
              <w:top w:val="nil"/>
              <w:left w:val="nil"/>
              <w:bottom w:val="nil"/>
              <w:right w:val="single" w:sz="4" w:space="0" w:color="auto"/>
            </w:tcBorders>
            <w:shd w:val="clear" w:color="auto" w:fill="auto"/>
            <w:noWrap/>
            <w:vAlign w:val="center"/>
            <w:hideMark/>
          </w:tcPr>
          <w:p w14:paraId="4203A616"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3 523 991</w:t>
            </w:r>
          </w:p>
        </w:tc>
        <w:tc>
          <w:tcPr>
            <w:tcW w:w="652" w:type="dxa"/>
            <w:tcBorders>
              <w:top w:val="nil"/>
              <w:left w:val="nil"/>
              <w:bottom w:val="nil"/>
              <w:right w:val="nil"/>
            </w:tcBorders>
            <w:shd w:val="clear" w:color="auto" w:fill="auto"/>
            <w:noWrap/>
            <w:vAlign w:val="center"/>
            <w:hideMark/>
          </w:tcPr>
          <w:p w14:paraId="2107745C"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16,16</w:t>
            </w:r>
          </w:p>
        </w:tc>
        <w:tc>
          <w:tcPr>
            <w:tcW w:w="709" w:type="dxa"/>
            <w:tcBorders>
              <w:top w:val="nil"/>
              <w:left w:val="nil"/>
              <w:bottom w:val="nil"/>
              <w:right w:val="nil"/>
            </w:tcBorders>
            <w:shd w:val="clear" w:color="auto" w:fill="auto"/>
            <w:noWrap/>
            <w:vAlign w:val="center"/>
            <w:hideMark/>
          </w:tcPr>
          <w:p w14:paraId="3607A325"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15,75</w:t>
            </w:r>
          </w:p>
        </w:tc>
        <w:tc>
          <w:tcPr>
            <w:tcW w:w="692" w:type="dxa"/>
            <w:tcBorders>
              <w:top w:val="nil"/>
              <w:left w:val="nil"/>
              <w:bottom w:val="nil"/>
              <w:right w:val="nil"/>
            </w:tcBorders>
            <w:shd w:val="clear" w:color="auto" w:fill="auto"/>
            <w:noWrap/>
            <w:vAlign w:val="center"/>
            <w:hideMark/>
          </w:tcPr>
          <w:p w14:paraId="5E0AA558"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16,51</w:t>
            </w:r>
          </w:p>
        </w:tc>
      </w:tr>
      <w:tr w:rsidR="00EE5D67" w:rsidRPr="00EE5D67" w14:paraId="78122ADA"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228A762D" w14:textId="040C7D53" w:rsidR="00EE5D67" w:rsidRPr="00EE5D67" w:rsidRDefault="00EE5D67" w:rsidP="00816CA3">
            <w:pPr>
              <w:spacing w:after="0" w:line="240" w:lineRule="auto"/>
              <w:rPr>
                <w:rFonts w:cs="Arial"/>
                <w:sz w:val="16"/>
                <w:szCs w:val="16"/>
              </w:rPr>
            </w:pPr>
            <w:r w:rsidRPr="00EE5D67">
              <w:rPr>
                <w:rFonts w:cs="Arial"/>
                <w:sz w:val="16"/>
                <w:szCs w:val="16"/>
              </w:rPr>
              <w:t>– akutní infekce dých</w:t>
            </w:r>
            <w:r w:rsidR="00816CA3">
              <w:rPr>
                <w:rFonts w:cs="Arial"/>
                <w:sz w:val="16"/>
                <w:szCs w:val="16"/>
              </w:rPr>
              <w:t xml:space="preserve">. </w:t>
            </w:r>
            <w:r w:rsidRPr="00EE5D67">
              <w:rPr>
                <w:rFonts w:cs="Arial"/>
                <w:sz w:val="16"/>
                <w:szCs w:val="16"/>
              </w:rPr>
              <w:t>cest</w:t>
            </w:r>
          </w:p>
        </w:tc>
        <w:tc>
          <w:tcPr>
            <w:tcW w:w="972" w:type="dxa"/>
            <w:tcBorders>
              <w:top w:val="nil"/>
              <w:left w:val="single" w:sz="4" w:space="0" w:color="auto"/>
              <w:bottom w:val="nil"/>
              <w:right w:val="nil"/>
            </w:tcBorders>
            <w:shd w:val="clear" w:color="auto" w:fill="auto"/>
            <w:noWrap/>
            <w:vAlign w:val="center"/>
            <w:hideMark/>
          </w:tcPr>
          <w:p w14:paraId="34E4718B"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323 119</w:t>
            </w:r>
          </w:p>
        </w:tc>
        <w:tc>
          <w:tcPr>
            <w:tcW w:w="857" w:type="dxa"/>
            <w:tcBorders>
              <w:top w:val="nil"/>
              <w:left w:val="nil"/>
              <w:bottom w:val="nil"/>
              <w:right w:val="nil"/>
            </w:tcBorders>
            <w:shd w:val="clear" w:color="auto" w:fill="auto"/>
            <w:noWrap/>
            <w:vAlign w:val="center"/>
            <w:hideMark/>
          </w:tcPr>
          <w:p w14:paraId="3AE4A921"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143 778</w:t>
            </w:r>
          </w:p>
        </w:tc>
        <w:tc>
          <w:tcPr>
            <w:tcW w:w="859" w:type="dxa"/>
            <w:tcBorders>
              <w:top w:val="nil"/>
              <w:left w:val="nil"/>
              <w:bottom w:val="nil"/>
              <w:right w:val="single" w:sz="4" w:space="0" w:color="auto"/>
            </w:tcBorders>
            <w:shd w:val="clear" w:color="auto" w:fill="auto"/>
            <w:noWrap/>
            <w:vAlign w:val="center"/>
            <w:hideMark/>
          </w:tcPr>
          <w:p w14:paraId="71392356"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179 341</w:t>
            </w:r>
          </w:p>
        </w:tc>
        <w:tc>
          <w:tcPr>
            <w:tcW w:w="972" w:type="dxa"/>
            <w:tcBorders>
              <w:top w:val="nil"/>
              <w:left w:val="nil"/>
              <w:bottom w:val="nil"/>
              <w:right w:val="nil"/>
            </w:tcBorders>
            <w:shd w:val="clear" w:color="auto" w:fill="auto"/>
            <w:noWrap/>
            <w:vAlign w:val="center"/>
            <w:hideMark/>
          </w:tcPr>
          <w:p w14:paraId="380D9DF8"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4 934 729</w:t>
            </w:r>
          </w:p>
        </w:tc>
        <w:tc>
          <w:tcPr>
            <w:tcW w:w="972" w:type="dxa"/>
            <w:tcBorders>
              <w:top w:val="nil"/>
              <w:left w:val="nil"/>
              <w:bottom w:val="nil"/>
              <w:right w:val="nil"/>
            </w:tcBorders>
            <w:shd w:val="clear" w:color="auto" w:fill="auto"/>
            <w:noWrap/>
            <w:vAlign w:val="center"/>
            <w:hideMark/>
          </w:tcPr>
          <w:p w14:paraId="7D71F327"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2 109 472</w:t>
            </w:r>
          </w:p>
        </w:tc>
        <w:tc>
          <w:tcPr>
            <w:tcW w:w="973" w:type="dxa"/>
            <w:tcBorders>
              <w:top w:val="nil"/>
              <w:left w:val="nil"/>
              <w:bottom w:val="nil"/>
              <w:right w:val="single" w:sz="4" w:space="0" w:color="auto"/>
            </w:tcBorders>
            <w:shd w:val="clear" w:color="auto" w:fill="auto"/>
            <w:noWrap/>
            <w:vAlign w:val="center"/>
            <w:hideMark/>
          </w:tcPr>
          <w:p w14:paraId="178A2AFD"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2 825 257</w:t>
            </w:r>
          </w:p>
        </w:tc>
        <w:tc>
          <w:tcPr>
            <w:tcW w:w="652" w:type="dxa"/>
            <w:tcBorders>
              <w:top w:val="nil"/>
              <w:left w:val="nil"/>
              <w:bottom w:val="nil"/>
              <w:right w:val="nil"/>
            </w:tcBorders>
            <w:shd w:val="clear" w:color="auto" w:fill="auto"/>
            <w:noWrap/>
            <w:vAlign w:val="center"/>
            <w:hideMark/>
          </w:tcPr>
          <w:p w14:paraId="2A9FDD4A"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15,27</w:t>
            </w:r>
          </w:p>
        </w:tc>
        <w:tc>
          <w:tcPr>
            <w:tcW w:w="709" w:type="dxa"/>
            <w:tcBorders>
              <w:top w:val="nil"/>
              <w:left w:val="nil"/>
              <w:bottom w:val="nil"/>
              <w:right w:val="nil"/>
            </w:tcBorders>
            <w:shd w:val="clear" w:color="auto" w:fill="auto"/>
            <w:noWrap/>
            <w:vAlign w:val="center"/>
            <w:hideMark/>
          </w:tcPr>
          <w:p w14:paraId="51F92E42"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14,67</w:t>
            </w:r>
          </w:p>
        </w:tc>
        <w:tc>
          <w:tcPr>
            <w:tcW w:w="692" w:type="dxa"/>
            <w:tcBorders>
              <w:top w:val="nil"/>
              <w:left w:val="nil"/>
              <w:bottom w:val="nil"/>
              <w:right w:val="nil"/>
            </w:tcBorders>
            <w:shd w:val="clear" w:color="auto" w:fill="auto"/>
            <w:noWrap/>
            <w:vAlign w:val="center"/>
            <w:hideMark/>
          </w:tcPr>
          <w:p w14:paraId="5F7073AA"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15,75</w:t>
            </w:r>
          </w:p>
        </w:tc>
      </w:tr>
      <w:tr w:rsidR="00EE5D67" w:rsidRPr="00EE5D67" w14:paraId="4139997E"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6C02F530" w14:textId="658D5ADB" w:rsidR="00EE5D67" w:rsidRPr="00EE5D67" w:rsidRDefault="00EE5D67" w:rsidP="00EE5D67">
            <w:pPr>
              <w:spacing w:after="0" w:line="240" w:lineRule="auto"/>
              <w:rPr>
                <w:rFonts w:cs="Arial"/>
                <w:sz w:val="16"/>
                <w:szCs w:val="16"/>
              </w:rPr>
            </w:pPr>
            <w:r w:rsidRPr="00EE5D67">
              <w:rPr>
                <w:rFonts w:cs="Arial"/>
                <w:sz w:val="16"/>
                <w:szCs w:val="16"/>
              </w:rPr>
              <w:t>– chřipka a pneumonie</w:t>
            </w:r>
          </w:p>
        </w:tc>
        <w:tc>
          <w:tcPr>
            <w:tcW w:w="972" w:type="dxa"/>
            <w:tcBorders>
              <w:top w:val="nil"/>
              <w:left w:val="single" w:sz="4" w:space="0" w:color="auto"/>
              <w:bottom w:val="nil"/>
              <w:right w:val="nil"/>
            </w:tcBorders>
            <w:shd w:val="clear" w:color="auto" w:fill="auto"/>
            <w:noWrap/>
            <w:vAlign w:val="center"/>
            <w:hideMark/>
          </w:tcPr>
          <w:p w14:paraId="4885265A"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54 125</w:t>
            </w:r>
          </w:p>
        </w:tc>
        <w:tc>
          <w:tcPr>
            <w:tcW w:w="857" w:type="dxa"/>
            <w:tcBorders>
              <w:top w:val="nil"/>
              <w:left w:val="nil"/>
              <w:bottom w:val="nil"/>
              <w:right w:val="nil"/>
            </w:tcBorders>
            <w:shd w:val="clear" w:color="auto" w:fill="auto"/>
            <w:noWrap/>
            <w:vAlign w:val="center"/>
            <w:hideMark/>
          </w:tcPr>
          <w:p w14:paraId="371D2489"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26 437</w:t>
            </w:r>
          </w:p>
        </w:tc>
        <w:tc>
          <w:tcPr>
            <w:tcW w:w="859" w:type="dxa"/>
            <w:tcBorders>
              <w:top w:val="nil"/>
              <w:left w:val="nil"/>
              <w:bottom w:val="nil"/>
              <w:right w:val="single" w:sz="4" w:space="0" w:color="auto"/>
            </w:tcBorders>
            <w:shd w:val="clear" w:color="auto" w:fill="auto"/>
            <w:noWrap/>
            <w:vAlign w:val="center"/>
            <w:hideMark/>
          </w:tcPr>
          <w:p w14:paraId="740F6D70"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27 688</w:t>
            </w:r>
          </w:p>
        </w:tc>
        <w:tc>
          <w:tcPr>
            <w:tcW w:w="972" w:type="dxa"/>
            <w:tcBorders>
              <w:top w:val="nil"/>
              <w:left w:val="nil"/>
              <w:bottom w:val="nil"/>
              <w:right w:val="nil"/>
            </w:tcBorders>
            <w:shd w:val="clear" w:color="auto" w:fill="auto"/>
            <w:noWrap/>
            <w:vAlign w:val="center"/>
            <w:hideMark/>
          </w:tcPr>
          <w:p w14:paraId="0EE66172"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885 053</w:t>
            </w:r>
          </w:p>
        </w:tc>
        <w:tc>
          <w:tcPr>
            <w:tcW w:w="972" w:type="dxa"/>
            <w:tcBorders>
              <w:top w:val="nil"/>
              <w:left w:val="nil"/>
              <w:bottom w:val="nil"/>
              <w:right w:val="nil"/>
            </w:tcBorders>
            <w:shd w:val="clear" w:color="auto" w:fill="auto"/>
            <w:noWrap/>
            <w:vAlign w:val="center"/>
            <w:hideMark/>
          </w:tcPr>
          <w:p w14:paraId="3734FA5A"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427 012</w:t>
            </w:r>
          </w:p>
        </w:tc>
        <w:tc>
          <w:tcPr>
            <w:tcW w:w="973" w:type="dxa"/>
            <w:tcBorders>
              <w:top w:val="nil"/>
              <w:left w:val="nil"/>
              <w:bottom w:val="nil"/>
              <w:right w:val="single" w:sz="4" w:space="0" w:color="auto"/>
            </w:tcBorders>
            <w:shd w:val="clear" w:color="auto" w:fill="auto"/>
            <w:noWrap/>
            <w:vAlign w:val="center"/>
            <w:hideMark/>
          </w:tcPr>
          <w:p w14:paraId="0675216C"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458 041</w:t>
            </w:r>
          </w:p>
        </w:tc>
        <w:tc>
          <w:tcPr>
            <w:tcW w:w="652" w:type="dxa"/>
            <w:tcBorders>
              <w:top w:val="nil"/>
              <w:left w:val="nil"/>
              <w:bottom w:val="nil"/>
              <w:right w:val="nil"/>
            </w:tcBorders>
            <w:shd w:val="clear" w:color="auto" w:fill="auto"/>
            <w:noWrap/>
            <w:vAlign w:val="center"/>
            <w:hideMark/>
          </w:tcPr>
          <w:p w14:paraId="568FCDBA"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16,35</w:t>
            </w:r>
          </w:p>
        </w:tc>
        <w:tc>
          <w:tcPr>
            <w:tcW w:w="709" w:type="dxa"/>
            <w:tcBorders>
              <w:top w:val="nil"/>
              <w:left w:val="nil"/>
              <w:bottom w:val="nil"/>
              <w:right w:val="nil"/>
            </w:tcBorders>
            <w:shd w:val="clear" w:color="auto" w:fill="auto"/>
            <w:noWrap/>
            <w:vAlign w:val="center"/>
            <w:hideMark/>
          </w:tcPr>
          <w:p w14:paraId="65D439D3"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16,15</w:t>
            </w:r>
          </w:p>
        </w:tc>
        <w:tc>
          <w:tcPr>
            <w:tcW w:w="692" w:type="dxa"/>
            <w:tcBorders>
              <w:top w:val="nil"/>
              <w:left w:val="nil"/>
              <w:bottom w:val="nil"/>
              <w:right w:val="nil"/>
            </w:tcBorders>
            <w:shd w:val="clear" w:color="auto" w:fill="auto"/>
            <w:noWrap/>
            <w:vAlign w:val="center"/>
            <w:hideMark/>
          </w:tcPr>
          <w:p w14:paraId="19BB4B04"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16,54</w:t>
            </w:r>
          </w:p>
        </w:tc>
      </w:tr>
      <w:tr w:rsidR="00EE5D67" w:rsidRPr="00EE5D67" w14:paraId="29F9D815" w14:textId="77777777" w:rsidTr="001239A7">
        <w:trPr>
          <w:divId w:val="1836259990"/>
          <w:trHeight w:val="397"/>
        </w:trPr>
        <w:tc>
          <w:tcPr>
            <w:tcW w:w="2148" w:type="dxa"/>
            <w:tcBorders>
              <w:top w:val="nil"/>
              <w:left w:val="nil"/>
              <w:bottom w:val="nil"/>
              <w:right w:val="nil"/>
            </w:tcBorders>
            <w:shd w:val="clear" w:color="auto" w:fill="auto"/>
            <w:vAlign w:val="bottom"/>
            <w:hideMark/>
          </w:tcPr>
          <w:p w14:paraId="59C243B9" w14:textId="01B10EA7" w:rsidR="00EE5D67" w:rsidRPr="00EE5D67" w:rsidRDefault="00EE5D67" w:rsidP="00816CA3">
            <w:pPr>
              <w:spacing w:after="0" w:line="240" w:lineRule="auto"/>
              <w:rPr>
                <w:rFonts w:cs="Arial"/>
                <w:sz w:val="16"/>
                <w:szCs w:val="16"/>
              </w:rPr>
            </w:pPr>
            <w:r w:rsidRPr="00EE5D67">
              <w:rPr>
                <w:rFonts w:cs="Arial"/>
                <w:sz w:val="16"/>
                <w:szCs w:val="16"/>
              </w:rPr>
              <w:t xml:space="preserve">– chron. nemoci dolních </w:t>
            </w:r>
            <w:r w:rsidRPr="00EE5D67">
              <w:rPr>
                <w:rFonts w:cs="Arial"/>
                <w:sz w:val="16"/>
                <w:szCs w:val="16"/>
              </w:rPr>
              <w:br/>
            </w:r>
            <w:r w:rsidR="00097DA1">
              <w:rPr>
                <w:rFonts w:cs="Arial"/>
                <w:sz w:val="16"/>
                <w:szCs w:val="16"/>
              </w:rPr>
              <w:t xml:space="preserve">   </w:t>
            </w:r>
            <w:r w:rsidRPr="00EE5D67">
              <w:rPr>
                <w:rFonts w:cs="Arial"/>
                <w:sz w:val="16"/>
                <w:szCs w:val="16"/>
              </w:rPr>
              <w:t>dýchacích cest</w:t>
            </w:r>
          </w:p>
        </w:tc>
        <w:tc>
          <w:tcPr>
            <w:tcW w:w="972" w:type="dxa"/>
            <w:tcBorders>
              <w:top w:val="nil"/>
              <w:left w:val="single" w:sz="4" w:space="0" w:color="auto"/>
              <w:bottom w:val="nil"/>
              <w:right w:val="nil"/>
            </w:tcBorders>
            <w:shd w:val="clear" w:color="auto" w:fill="auto"/>
            <w:noWrap/>
            <w:vAlign w:val="center"/>
            <w:hideMark/>
          </w:tcPr>
          <w:p w14:paraId="0CACFEF4"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6 435</w:t>
            </w:r>
          </w:p>
        </w:tc>
        <w:tc>
          <w:tcPr>
            <w:tcW w:w="857" w:type="dxa"/>
            <w:tcBorders>
              <w:top w:val="nil"/>
              <w:left w:val="nil"/>
              <w:bottom w:val="nil"/>
              <w:right w:val="nil"/>
            </w:tcBorders>
            <w:shd w:val="clear" w:color="auto" w:fill="auto"/>
            <w:noWrap/>
            <w:vAlign w:val="center"/>
            <w:hideMark/>
          </w:tcPr>
          <w:p w14:paraId="63BD9BF3"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2 862</w:t>
            </w:r>
          </w:p>
        </w:tc>
        <w:tc>
          <w:tcPr>
            <w:tcW w:w="859" w:type="dxa"/>
            <w:tcBorders>
              <w:top w:val="nil"/>
              <w:left w:val="nil"/>
              <w:bottom w:val="nil"/>
              <w:right w:val="single" w:sz="4" w:space="0" w:color="auto"/>
            </w:tcBorders>
            <w:shd w:val="clear" w:color="auto" w:fill="auto"/>
            <w:noWrap/>
            <w:vAlign w:val="center"/>
            <w:hideMark/>
          </w:tcPr>
          <w:p w14:paraId="7C1493CA"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3 573</w:t>
            </w:r>
          </w:p>
        </w:tc>
        <w:tc>
          <w:tcPr>
            <w:tcW w:w="972" w:type="dxa"/>
            <w:tcBorders>
              <w:top w:val="nil"/>
              <w:left w:val="nil"/>
              <w:bottom w:val="nil"/>
              <w:right w:val="nil"/>
            </w:tcBorders>
            <w:shd w:val="clear" w:color="auto" w:fill="auto"/>
            <w:noWrap/>
            <w:vAlign w:val="center"/>
            <w:hideMark/>
          </w:tcPr>
          <w:p w14:paraId="3C769668"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308 194</w:t>
            </w:r>
          </w:p>
        </w:tc>
        <w:tc>
          <w:tcPr>
            <w:tcW w:w="972" w:type="dxa"/>
            <w:tcBorders>
              <w:top w:val="nil"/>
              <w:left w:val="nil"/>
              <w:bottom w:val="nil"/>
              <w:right w:val="nil"/>
            </w:tcBorders>
            <w:shd w:val="clear" w:color="auto" w:fill="auto"/>
            <w:noWrap/>
            <w:vAlign w:val="center"/>
            <w:hideMark/>
          </w:tcPr>
          <w:p w14:paraId="2C74EE85"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142 915</w:t>
            </w:r>
          </w:p>
        </w:tc>
        <w:tc>
          <w:tcPr>
            <w:tcW w:w="973" w:type="dxa"/>
            <w:tcBorders>
              <w:top w:val="nil"/>
              <w:left w:val="nil"/>
              <w:bottom w:val="nil"/>
              <w:right w:val="single" w:sz="4" w:space="0" w:color="auto"/>
            </w:tcBorders>
            <w:shd w:val="clear" w:color="auto" w:fill="auto"/>
            <w:noWrap/>
            <w:vAlign w:val="center"/>
            <w:hideMark/>
          </w:tcPr>
          <w:p w14:paraId="1CEF3CE2"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165 279</w:t>
            </w:r>
          </w:p>
        </w:tc>
        <w:tc>
          <w:tcPr>
            <w:tcW w:w="652" w:type="dxa"/>
            <w:tcBorders>
              <w:top w:val="nil"/>
              <w:left w:val="nil"/>
              <w:bottom w:val="nil"/>
              <w:right w:val="nil"/>
            </w:tcBorders>
            <w:shd w:val="clear" w:color="auto" w:fill="auto"/>
            <w:noWrap/>
            <w:vAlign w:val="center"/>
            <w:hideMark/>
          </w:tcPr>
          <w:p w14:paraId="20FF7867"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47,89</w:t>
            </w:r>
          </w:p>
        </w:tc>
        <w:tc>
          <w:tcPr>
            <w:tcW w:w="709" w:type="dxa"/>
            <w:tcBorders>
              <w:top w:val="nil"/>
              <w:left w:val="nil"/>
              <w:bottom w:val="nil"/>
              <w:right w:val="nil"/>
            </w:tcBorders>
            <w:shd w:val="clear" w:color="auto" w:fill="auto"/>
            <w:noWrap/>
            <w:vAlign w:val="center"/>
            <w:hideMark/>
          </w:tcPr>
          <w:p w14:paraId="03BADA25"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49,94</w:t>
            </w:r>
          </w:p>
        </w:tc>
        <w:tc>
          <w:tcPr>
            <w:tcW w:w="692" w:type="dxa"/>
            <w:tcBorders>
              <w:top w:val="nil"/>
              <w:left w:val="nil"/>
              <w:bottom w:val="nil"/>
              <w:right w:val="nil"/>
            </w:tcBorders>
            <w:shd w:val="clear" w:color="auto" w:fill="auto"/>
            <w:noWrap/>
            <w:vAlign w:val="center"/>
            <w:hideMark/>
          </w:tcPr>
          <w:p w14:paraId="324F5EEF"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46,26</w:t>
            </w:r>
          </w:p>
        </w:tc>
      </w:tr>
      <w:tr w:rsidR="00EE5D67" w:rsidRPr="00EE5D67" w14:paraId="1678001D"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70E36EA0" w14:textId="5986102E" w:rsidR="00EE5D67" w:rsidRPr="00EE5D67" w:rsidRDefault="00EE5D67" w:rsidP="00816CA3">
            <w:pPr>
              <w:spacing w:after="0" w:line="240" w:lineRule="auto"/>
              <w:rPr>
                <w:rFonts w:cs="Arial"/>
                <w:sz w:val="16"/>
                <w:szCs w:val="16"/>
              </w:rPr>
            </w:pPr>
            <w:r w:rsidRPr="00EE5D67">
              <w:rPr>
                <w:rFonts w:cs="Arial"/>
                <w:sz w:val="16"/>
                <w:szCs w:val="16"/>
              </w:rPr>
              <w:t>– jiné nemoci dých</w:t>
            </w:r>
            <w:r w:rsidR="00816CA3">
              <w:rPr>
                <w:rFonts w:cs="Arial"/>
                <w:sz w:val="16"/>
                <w:szCs w:val="16"/>
              </w:rPr>
              <w:t xml:space="preserve">. </w:t>
            </w:r>
            <w:r w:rsidRPr="00EE5D67">
              <w:rPr>
                <w:rFonts w:cs="Arial"/>
                <w:sz w:val="16"/>
                <w:szCs w:val="16"/>
              </w:rPr>
              <w:t>cest</w:t>
            </w:r>
          </w:p>
        </w:tc>
        <w:tc>
          <w:tcPr>
            <w:tcW w:w="972" w:type="dxa"/>
            <w:tcBorders>
              <w:top w:val="nil"/>
              <w:left w:val="single" w:sz="4" w:space="0" w:color="auto"/>
              <w:bottom w:val="nil"/>
              <w:right w:val="nil"/>
            </w:tcBorders>
            <w:shd w:val="clear" w:color="auto" w:fill="auto"/>
            <w:noWrap/>
            <w:vAlign w:val="center"/>
            <w:hideMark/>
          </w:tcPr>
          <w:p w14:paraId="6017D786"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5 967</w:t>
            </w:r>
          </w:p>
        </w:tc>
        <w:tc>
          <w:tcPr>
            <w:tcW w:w="857" w:type="dxa"/>
            <w:tcBorders>
              <w:top w:val="nil"/>
              <w:left w:val="nil"/>
              <w:bottom w:val="nil"/>
              <w:right w:val="nil"/>
            </w:tcBorders>
            <w:shd w:val="clear" w:color="auto" w:fill="auto"/>
            <w:noWrap/>
            <w:vAlign w:val="center"/>
            <w:hideMark/>
          </w:tcPr>
          <w:p w14:paraId="0DB422FF"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3 097</w:t>
            </w:r>
          </w:p>
        </w:tc>
        <w:tc>
          <w:tcPr>
            <w:tcW w:w="859" w:type="dxa"/>
            <w:tcBorders>
              <w:top w:val="nil"/>
              <w:left w:val="nil"/>
              <w:bottom w:val="nil"/>
              <w:right w:val="single" w:sz="4" w:space="0" w:color="auto"/>
            </w:tcBorders>
            <w:shd w:val="clear" w:color="auto" w:fill="auto"/>
            <w:noWrap/>
            <w:vAlign w:val="center"/>
            <w:hideMark/>
          </w:tcPr>
          <w:p w14:paraId="52AF5904"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2 870</w:t>
            </w:r>
          </w:p>
        </w:tc>
        <w:tc>
          <w:tcPr>
            <w:tcW w:w="972" w:type="dxa"/>
            <w:tcBorders>
              <w:top w:val="nil"/>
              <w:left w:val="nil"/>
              <w:bottom w:val="nil"/>
              <w:right w:val="nil"/>
            </w:tcBorders>
            <w:shd w:val="clear" w:color="auto" w:fill="auto"/>
            <w:noWrap/>
            <w:vAlign w:val="center"/>
            <w:hideMark/>
          </w:tcPr>
          <w:p w14:paraId="2BF6DA20"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169 969</w:t>
            </w:r>
          </w:p>
        </w:tc>
        <w:tc>
          <w:tcPr>
            <w:tcW w:w="972" w:type="dxa"/>
            <w:tcBorders>
              <w:top w:val="nil"/>
              <w:left w:val="nil"/>
              <w:bottom w:val="nil"/>
              <w:right w:val="nil"/>
            </w:tcBorders>
            <w:shd w:val="clear" w:color="auto" w:fill="auto"/>
            <w:noWrap/>
            <w:vAlign w:val="center"/>
            <w:hideMark/>
          </w:tcPr>
          <w:p w14:paraId="381AD824"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94 555</w:t>
            </w:r>
          </w:p>
        </w:tc>
        <w:tc>
          <w:tcPr>
            <w:tcW w:w="973" w:type="dxa"/>
            <w:tcBorders>
              <w:top w:val="nil"/>
              <w:left w:val="nil"/>
              <w:bottom w:val="nil"/>
              <w:right w:val="single" w:sz="4" w:space="0" w:color="auto"/>
            </w:tcBorders>
            <w:shd w:val="clear" w:color="auto" w:fill="auto"/>
            <w:noWrap/>
            <w:vAlign w:val="center"/>
            <w:hideMark/>
          </w:tcPr>
          <w:p w14:paraId="78E2A0BC"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75 414</w:t>
            </w:r>
          </w:p>
        </w:tc>
        <w:tc>
          <w:tcPr>
            <w:tcW w:w="652" w:type="dxa"/>
            <w:tcBorders>
              <w:top w:val="nil"/>
              <w:left w:val="nil"/>
              <w:bottom w:val="nil"/>
              <w:right w:val="nil"/>
            </w:tcBorders>
            <w:shd w:val="clear" w:color="auto" w:fill="auto"/>
            <w:noWrap/>
            <w:vAlign w:val="center"/>
            <w:hideMark/>
          </w:tcPr>
          <w:p w14:paraId="293D4D53"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28,48</w:t>
            </w:r>
          </w:p>
        </w:tc>
        <w:tc>
          <w:tcPr>
            <w:tcW w:w="709" w:type="dxa"/>
            <w:tcBorders>
              <w:top w:val="nil"/>
              <w:left w:val="nil"/>
              <w:bottom w:val="nil"/>
              <w:right w:val="nil"/>
            </w:tcBorders>
            <w:shd w:val="clear" w:color="auto" w:fill="auto"/>
            <w:noWrap/>
            <w:vAlign w:val="center"/>
            <w:hideMark/>
          </w:tcPr>
          <w:p w14:paraId="2FCC3AE7"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30,53</w:t>
            </w:r>
          </w:p>
        </w:tc>
        <w:tc>
          <w:tcPr>
            <w:tcW w:w="692" w:type="dxa"/>
            <w:tcBorders>
              <w:top w:val="nil"/>
              <w:left w:val="nil"/>
              <w:bottom w:val="nil"/>
              <w:right w:val="nil"/>
            </w:tcBorders>
            <w:shd w:val="clear" w:color="auto" w:fill="auto"/>
            <w:noWrap/>
            <w:vAlign w:val="center"/>
            <w:hideMark/>
          </w:tcPr>
          <w:p w14:paraId="48FC69EA"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26,28</w:t>
            </w:r>
          </w:p>
        </w:tc>
      </w:tr>
      <w:tr w:rsidR="00EE5D67" w:rsidRPr="00EE5D67" w14:paraId="74257416"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14A924AA" w14:textId="07930F46" w:rsidR="00EE5D67" w:rsidRPr="00EE5D67" w:rsidRDefault="00EE5D67" w:rsidP="00EE5D67">
            <w:pPr>
              <w:spacing w:after="0" w:line="240" w:lineRule="auto"/>
              <w:rPr>
                <w:rFonts w:cs="Arial"/>
                <w:sz w:val="16"/>
                <w:szCs w:val="16"/>
              </w:rPr>
            </w:pPr>
            <w:r w:rsidRPr="00EE5D67">
              <w:rPr>
                <w:rFonts w:cs="Arial"/>
                <w:sz w:val="16"/>
                <w:szCs w:val="16"/>
              </w:rPr>
              <w:t>Nemoci trávicí soustavy</w:t>
            </w:r>
          </w:p>
        </w:tc>
        <w:tc>
          <w:tcPr>
            <w:tcW w:w="972" w:type="dxa"/>
            <w:tcBorders>
              <w:top w:val="nil"/>
              <w:left w:val="single" w:sz="4" w:space="0" w:color="auto"/>
              <w:bottom w:val="nil"/>
              <w:right w:val="nil"/>
            </w:tcBorders>
            <w:shd w:val="clear" w:color="auto" w:fill="auto"/>
            <w:noWrap/>
            <w:vAlign w:val="center"/>
            <w:hideMark/>
          </w:tcPr>
          <w:p w14:paraId="37F05637" w14:textId="41E6C1F4"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64</w:t>
            </w:r>
            <w:r w:rsidR="001239A7">
              <w:rPr>
                <w:rFonts w:cs="Arial"/>
                <w:color w:val="000000"/>
                <w:sz w:val="16"/>
                <w:szCs w:val="16"/>
              </w:rPr>
              <w:t xml:space="preserve"> </w:t>
            </w:r>
            <w:r w:rsidRPr="00EE5D67">
              <w:rPr>
                <w:rFonts w:cs="Arial"/>
                <w:color w:val="000000"/>
                <w:sz w:val="16"/>
                <w:szCs w:val="16"/>
              </w:rPr>
              <w:t>438</w:t>
            </w:r>
          </w:p>
        </w:tc>
        <w:tc>
          <w:tcPr>
            <w:tcW w:w="857" w:type="dxa"/>
            <w:tcBorders>
              <w:top w:val="nil"/>
              <w:left w:val="nil"/>
              <w:bottom w:val="nil"/>
              <w:right w:val="nil"/>
            </w:tcBorders>
            <w:shd w:val="clear" w:color="auto" w:fill="auto"/>
            <w:noWrap/>
            <w:vAlign w:val="center"/>
            <w:hideMark/>
          </w:tcPr>
          <w:p w14:paraId="1A284843" w14:textId="2292AF1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34</w:t>
            </w:r>
            <w:r w:rsidR="001239A7">
              <w:rPr>
                <w:rFonts w:cs="Arial"/>
                <w:color w:val="000000"/>
                <w:sz w:val="16"/>
                <w:szCs w:val="16"/>
              </w:rPr>
              <w:t xml:space="preserve"> </w:t>
            </w:r>
            <w:r w:rsidRPr="00EE5D67">
              <w:rPr>
                <w:rFonts w:cs="Arial"/>
                <w:color w:val="000000"/>
                <w:sz w:val="16"/>
                <w:szCs w:val="16"/>
              </w:rPr>
              <w:t>649</w:t>
            </w:r>
          </w:p>
        </w:tc>
        <w:tc>
          <w:tcPr>
            <w:tcW w:w="859" w:type="dxa"/>
            <w:tcBorders>
              <w:top w:val="nil"/>
              <w:left w:val="nil"/>
              <w:bottom w:val="nil"/>
              <w:right w:val="single" w:sz="4" w:space="0" w:color="auto"/>
            </w:tcBorders>
            <w:shd w:val="clear" w:color="auto" w:fill="auto"/>
            <w:noWrap/>
            <w:vAlign w:val="center"/>
            <w:hideMark/>
          </w:tcPr>
          <w:p w14:paraId="1668E25F" w14:textId="35F1558E"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29</w:t>
            </w:r>
            <w:r w:rsidR="001239A7">
              <w:rPr>
                <w:rFonts w:cs="Arial"/>
                <w:color w:val="000000"/>
                <w:sz w:val="16"/>
                <w:szCs w:val="16"/>
              </w:rPr>
              <w:t xml:space="preserve"> </w:t>
            </w:r>
            <w:r w:rsidRPr="00EE5D67">
              <w:rPr>
                <w:rFonts w:cs="Arial"/>
                <w:color w:val="000000"/>
                <w:sz w:val="16"/>
                <w:szCs w:val="16"/>
              </w:rPr>
              <w:t>789</w:t>
            </w:r>
          </w:p>
        </w:tc>
        <w:tc>
          <w:tcPr>
            <w:tcW w:w="972" w:type="dxa"/>
            <w:tcBorders>
              <w:top w:val="nil"/>
              <w:left w:val="nil"/>
              <w:bottom w:val="nil"/>
              <w:right w:val="nil"/>
            </w:tcBorders>
            <w:shd w:val="clear" w:color="auto" w:fill="auto"/>
            <w:noWrap/>
            <w:vAlign w:val="center"/>
            <w:hideMark/>
          </w:tcPr>
          <w:p w14:paraId="50C11A8C"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2 036 428</w:t>
            </w:r>
          </w:p>
        </w:tc>
        <w:tc>
          <w:tcPr>
            <w:tcW w:w="972" w:type="dxa"/>
            <w:tcBorders>
              <w:top w:val="nil"/>
              <w:left w:val="nil"/>
              <w:bottom w:val="nil"/>
              <w:right w:val="nil"/>
            </w:tcBorders>
            <w:shd w:val="clear" w:color="auto" w:fill="auto"/>
            <w:noWrap/>
            <w:vAlign w:val="center"/>
            <w:hideMark/>
          </w:tcPr>
          <w:p w14:paraId="1B244401"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1 121 761</w:t>
            </w:r>
          </w:p>
        </w:tc>
        <w:tc>
          <w:tcPr>
            <w:tcW w:w="973" w:type="dxa"/>
            <w:tcBorders>
              <w:top w:val="nil"/>
              <w:left w:val="nil"/>
              <w:bottom w:val="nil"/>
              <w:right w:val="single" w:sz="4" w:space="0" w:color="auto"/>
            </w:tcBorders>
            <w:shd w:val="clear" w:color="auto" w:fill="auto"/>
            <w:noWrap/>
            <w:vAlign w:val="center"/>
            <w:hideMark/>
          </w:tcPr>
          <w:p w14:paraId="5951975B"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914 667</w:t>
            </w:r>
          </w:p>
        </w:tc>
        <w:tc>
          <w:tcPr>
            <w:tcW w:w="652" w:type="dxa"/>
            <w:tcBorders>
              <w:top w:val="nil"/>
              <w:left w:val="nil"/>
              <w:bottom w:val="nil"/>
              <w:right w:val="nil"/>
            </w:tcBorders>
            <w:shd w:val="clear" w:color="auto" w:fill="auto"/>
            <w:noWrap/>
            <w:vAlign w:val="center"/>
            <w:hideMark/>
          </w:tcPr>
          <w:p w14:paraId="2A28525B"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31,60</w:t>
            </w:r>
          </w:p>
        </w:tc>
        <w:tc>
          <w:tcPr>
            <w:tcW w:w="709" w:type="dxa"/>
            <w:tcBorders>
              <w:top w:val="nil"/>
              <w:left w:val="nil"/>
              <w:bottom w:val="nil"/>
              <w:right w:val="nil"/>
            </w:tcBorders>
            <w:shd w:val="clear" w:color="auto" w:fill="auto"/>
            <w:noWrap/>
            <w:vAlign w:val="center"/>
            <w:hideMark/>
          </w:tcPr>
          <w:p w14:paraId="67EC2DCB"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32,37</w:t>
            </w:r>
          </w:p>
        </w:tc>
        <w:tc>
          <w:tcPr>
            <w:tcW w:w="692" w:type="dxa"/>
            <w:tcBorders>
              <w:top w:val="nil"/>
              <w:left w:val="nil"/>
              <w:bottom w:val="nil"/>
              <w:right w:val="nil"/>
            </w:tcBorders>
            <w:shd w:val="clear" w:color="auto" w:fill="auto"/>
            <w:noWrap/>
            <w:vAlign w:val="center"/>
            <w:hideMark/>
          </w:tcPr>
          <w:p w14:paraId="6AA5C28C"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30,70</w:t>
            </w:r>
          </w:p>
        </w:tc>
      </w:tr>
      <w:tr w:rsidR="00EE5D67" w:rsidRPr="00EE5D67" w14:paraId="6616FA0A"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5BE35A2A" w14:textId="1B569C8D" w:rsidR="00EE5D67" w:rsidRPr="00EE5D67" w:rsidRDefault="00EE5D67" w:rsidP="00EE5D67">
            <w:pPr>
              <w:spacing w:after="0" w:line="240" w:lineRule="auto"/>
              <w:rPr>
                <w:rFonts w:cs="Arial"/>
                <w:sz w:val="16"/>
                <w:szCs w:val="16"/>
              </w:rPr>
            </w:pPr>
            <w:r w:rsidRPr="00EE5D67">
              <w:rPr>
                <w:rFonts w:cs="Arial"/>
                <w:sz w:val="16"/>
                <w:szCs w:val="16"/>
              </w:rPr>
              <w:t>Nemoci kůže</w:t>
            </w:r>
          </w:p>
        </w:tc>
        <w:tc>
          <w:tcPr>
            <w:tcW w:w="972" w:type="dxa"/>
            <w:tcBorders>
              <w:top w:val="nil"/>
              <w:left w:val="single" w:sz="4" w:space="0" w:color="auto"/>
              <w:bottom w:val="nil"/>
              <w:right w:val="nil"/>
            </w:tcBorders>
            <w:shd w:val="clear" w:color="auto" w:fill="auto"/>
            <w:noWrap/>
            <w:vAlign w:val="center"/>
            <w:hideMark/>
          </w:tcPr>
          <w:p w14:paraId="3C06E5EF" w14:textId="12349608"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14</w:t>
            </w:r>
            <w:r w:rsidR="001239A7">
              <w:rPr>
                <w:rFonts w:cs="Arial"/>
                <w:color w:val="000000"/>
                <w:sz w:val="16"/>
                <w:szCs w:val="16"/>
              </w:rPr>
              <w:t xml:space="preserve"> </w:t>
            </w:r>
            <w:r w:rsidRPr="00EE5D67">
              <w:rPr>
                <w:rFonts w:cs="Arial"/>
                <w:color w:val="000000"/>
                <w:sz w:val="16"/>
                <w:szCs w:val="16"/>
              </w:rPr>
              <w:t>785</w:t>
            </w:r>
          </w:p>
        </w:tc>
        <w:tc>
          <w:tcPr>
            <w:tcW w:w="857" w:type="dxa"/>
            <w:tcBorders>
              <w:top w:val="nil"/>
              <w:left w:val="nil"/>
              <w:bottom w:val="nil"/>
              <w:right w:val="nil"/>
            </w:tcBorders>
            <w:shd w:val="clear" w:color="auto" w:fill="auto"/>
            <w:noWrap/>
            <w:vAlign w:val="center"/>
            <w:hideMark/>
          </w:tcPr>
          <w:p w14:paraId="6FAFD225" w14:textId="018DE5BF"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w:t>
            </w:r>
            <w:r w:rsidR="001239A7">
              <w:rPr>
                <w:rFonts w:cs="Arial"/>
                <w:color w:val="000000"/>
                <w:sz w:val="16"/>
                <w:szCs w:val="16"/>
              </w:rPr>
              <w:t xml:space="preserve"> </w:t>
            </w:r>
            <w:r w:rsidRPr="00EE5D67">
              <w:rPr>
                <w:rFonts w:cs="Arial"/>
                <w:color w:val="000000"/>
                <w:sz w:val="16"/>
                <w:szCs w:val="16"/>
              </w:rPr>
              <w:t>282</w:t>
            </w:r>
          </w:p>
        </w:tc>
        <w:tc>
          <w:tcPr>
            <w:tcW w:w="859" w:type="dxa"/>
            <w:tcBorders>
              <w:top w:val="nil"/>
              <w:left w:val="nil"/>
              <w:bottom w:val="nil"/>
              <w:right w:val="single" w:sz="4" w:space="0" w:color="auto"/>
            </w:tcBorders>
            <w:shd w:val="clear" w:color="auto" w:fill="auto"/>
            <w:noWrap/>
            <w:vAlign w:val="center"/>
            <w:hideMark/>
          </w:tcPr>
          <w:p w14:paraId="471DCADB" w14:textId="6D99938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6</w:t>
            </w:r>
            <w:r w:rsidR="001239A7">
              <w:rPr>
                <w:rFonts w:cs="Arial"/>
                <w:color w:val="000000"/>
                <w:sz w:val="16"/>
                <w:szCs w:val="16"/>
              </w:rPr>
              <w:t xml:space="preserve"> </w:t>
            </w:r>
            <w:r w:rsidRPr="00EE5D67">
              <w:rPr>
                <w:rFonts w:cs="Arial"/>
                <w:color w:val="000000"/>
                <w:sz w:val="16"/>
                <w:szCs w:val="16"/>
              </w:rPr>
              <w:t>503</w:t>
            </w:r>
          </w:p>
        </w:tc>
        <w:tc>
          <w:tcPr>
            <w:tcW w:w="972" w:type="dxa"/>
            <w:tcBorders>
              <w:top w:val="nil"/>
              <w:left w:val="nil"/>
              <w:bottom w:val="nil"/>
              <w:right w:val="nil"/>
            </w:tcBorders>
            <w:shd w:val="clear" w:color="auto" w:fill="auto"/>
            <w:noWrap/>
            <w:vAlign w:val="center"/>
            <w:hideMark/>
          </w:tcPr>
          <w:p w14:paraId="5CFBFF4F"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518 962</w:t>
            </w:r>
          </w:p>
        </w:tc>
        <w:tc>
          <w:tcPr>
            <w:tcW w:w="972" w:type="dxa"/>
            <w:tcBorders>
              <w:top w:val="nil"/>
              <w:left w:val="nil"/>
              <w:bottom w:val="nil"/>
              <w:right w:val="nil"/>
            </w:tcBorders>
            <w:shd w:val="clear" w:color="auto" w:fill="auto"/>
            <w:noWrap/>
            <w:vAlign w:val="center"/>
            <w:hideMark/>
          </w:tcPr>
          <w:p w14:paraId="4A7E6C0A"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288 226</w:t>
            </w:r>
          </w:p>
        </w:tc>
        <w:tc>
          <w:tcPr>
            <w:tcW w:w="973" w:type="dxa"/>
            <w:tcBorders>
              <w:top w:val="nil"/>
              <w:left w:val="nil"/>
              <w:bottom w:val="nil"/>
              <w:right w:val="single" w:sz="4" w:space="0" w:color="auto"/>
            </w:tcBorders>
            <w:shd w:val="clear" w:color="auto" w:fill="auto"/>
            <w:noWrap/>
            <w:vAlign w:val="center"/>
            <w:hideMark/>
          </w:tcPr>
          <w:p w14:paraId="6F039C83"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230 736</w:t>
            </w:r>
          </w:p>
        </w:tc>
        <w:tc>
          <w:tcPr>
            <w:tcW w:w="652" w:type="dxa"/>
            <w:tcBorders>
              <w:top w:val="nil"/>
              <w:left w:val="nil"/>
              <w:bottom w:val="nil"/>
              <w:right w:val="nil"/>
            </w:tcBorders>
            <w:shd w:val="clear" w:color="auto" w:fill="auto"/>
            <w:noWrap/>
            <w:vAlign w:val="center"/>
            <w:hideMark/>
          </w:tcPr>
          <w:p w14:paraId="78984878"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35,10</w:t>
            </w:r>
          </w:p>
        </w:tc>
        <w:tc>
          <w:tcPr>
            <w:tcW w:w="709" w:type="dxa"/>
            <w:tcBorders>
              <w:top w:val="nil"/>
              <w:left w:val="nil"/>
              <w:bottom w:val="nil"/>
              <w:right w:val="nil"/>
            </w:tcBorders>
            <w:shd w:val="clear" w:color="auto" w:fill="auto"/>
            <w:noWrap/>
            <w:vAlign w:val="center"/>
            <w:hideMark/>
          </w:tcPr>
          <w:p w14:paraId="05211F9B"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34,80</w:t>
            </w:r>
          </w:p>
        </w:tc>
        <w:tc>
          <w:tcPr>
            <w:tcW w:w="692" w:type="dxa"/>
            <w:tcBorders>
              <w:top w:val="nil"/>
              <w:left w:val="nil"/>
              <w:bottom w:val="nil"/>
              <w:right w:val="nil"/>
            </w:tcBorders>
            <w:shd w:val="clear" w:color="auto" w:fill="auto"/>
            <w:noWrap/>
            <w:vAlign w:val="center"/>
            <w:hideMark/>
          </w:tcPr>
          <w:p w14:paraId="62C62219"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35,48</w:t>
            </w:r>
          </w:p>
        </w:tc>
      </w:tr>
      <w:tr w:rsidR="00EE5D67" w:rsidRPr="00EE5D67" w14:paraId="48827462"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1A832D1F" w14:textId="6573C522" w:rsidR="00EE5D67" w:rsidRPr="00EE5D67" w:rsidRDefault="00EE5D67" w:rsidP="00EE5D67">
            <w:pPr>
              <w:spacing w:after="0" w:line="240" w:lineRule="auto"/>
              <w:rPr>
                <w:rFonts w:cs="Arial"/>
                <w:sz w:val="16"/>
                <w:szCs w:val="16"/>
              </w:rPr>
            </w:pPr>
            <w:r w:rsidRPr="00EE5D67">
              <w:rPr>
                <w:rFonts w:cs="Arial"/>
                <w:sz w:val="16"/>
                <w:szCs w:val="16"/>
              </w:rPr>
              <w:t>Nemoci pohybové soustavy</w:t>
            </w:r>
          </w:p>
        </w:tc>
        <w:tc>
          <w:tcPr>
            <w:tcW w:w="972" w:type="dxa"/>
            <w:tcBorders>
              <w:top w:val="nil"/>
              <w:left w:val="single" w:sz="4" w:space="0" w:color="auto"/>
              <w:bottom w:val="nil"/>
              <w:right w:val="nil"/>
            </w:tcBorders>
            <w:shd w:val="clear" w:color="auto" w:fill="auto"/>
            <w:noWrap/>
            <w:vAlign w:val="center"/>
            <w:hideMark/>
          </w:tcPr>
          <w:p w14:paraId="3566CFC9" w14:textId="6C5CA31D"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179</w:t>
            </w:r>
            <w:r w:rsidR="001239A7">
              <w:rPr>
                <w:rFonts w:cs="Arial"/>
                <w:color w:val="000000"/>
                <w:sz w:val="16"/>
                <w:szCs w:val="16"/>
              </w:rPr>
              <w:t xml:space="preserve"> </w:t>
            </w:r>
            <w:r w:rsidRPr="00EE5D67">
              <w:rPr>
                <w:rFonts w:cs="Arial"/>
                <w:color w:val="000000"/>
                <w:sz w:val="16"/>
                <w:szCs w:val="16"/>
              </w:rPr>
              <w:t>523</w:t>
            </w:r>
          </w:p>
        </w:tc>
        <w:tc>
          <w:tcPr>
            <w:tcW w:w="857" w:type="dxa"/>
            <w:tcBorders>
              <w:top w:val="nil"/>
              <w:left w:val="nil"/>
              <w:bottom w:val="nil"/>
              <w:right w:val="nil"/>
            </w:tcBorders>
            <w:shd w:val="clear" w:color="auto" w:fill="auto"/>
            <w:noWrap/>
            <w:vAlign w:val="center"/>
            <w:hideMark/>
          </w:tcPr>
          <w:p w14:paraId="443E1D79" w14:textId="06BE38DF"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90</w:t>
            </w:r>
            <w:r w:rsidR="001239A7">
              <w:rPr>
                <w:rFonts w:cs="Arial"/>
                <w:color w:val="000000"/>
                <w:sz w:val="16"/>
                <w:szCs w:val="16"/>
              </w:rPr>
              <w:t xml:space="preserve"> </w:t>
            </w:r>
            <w:r w:rsidRPr="00EE5D67">
              <w:rPr>
                <w:rFonts w:cs="Arial"/>
                <w:color w:val="000000"/>
                <w:sz w:val="16"/>
                <w:szCs w:val="16"/>
              </w:rPr>
              <w:t>069</w:t>
            </w:r>
          </w:p>
        </w:tc>
        <w:tc>
          <w:tcPr>
            <w:tcW w:w="859" w:type="dxa"/>
            <w:tcBorders>
              <w:top w:val="nil"/>
              <w:left w:val="nil"/>
              <w:bottom w:val="nil"/>
              <w:right w:val="single" w:sz="4" w:space="0" w:color="auto"/>
            </w:tcBorders>
            <w:shd w:val="clear" w:color="auto" w:fill="auto"/>
            <w:noWrap/>
            <w:vAlign w:val="center"/>
            <w:hideMark/>
          </w:tcPr>
          <w:p w14:paraId="1DFD816D" w14:textId="2E2AEB1E"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89</w:t>
            </w:r>
            <w:r w:rsidR="001239A7">
              <w:rPr>
                <w:rFonts w:cs="Arial"/>
                <w:color w:val="000000"/>
                <w:sz w:val="16"/>
                <w:szCs w:val="16"/>
              </w:rPr>
              <w:t xml:space="preserve"> </w:t>
            </w:r>
            <w:r w:rsidRPr="00EE5D67">
              <w:rPr>
                <w:rFonts w:cs="Arial"/>
                <w:color w:val="000000"/>
                <w:sz w:val="16"/>
                <w:szCs w:val="16"/>
              </w:rPr>
              <w:t>454</w:t>
            </w:r>
          </w:p>
        </w:tc>
        <w:tc>
          <w:tcPr>
            <w:tcW w:w="972" w:type="dxa"/>
            <w:tcBorders>
              <w:top w:val="nil"/>
              <w:left w:val="nil"/>
              <w:bottom w:val="nil"/>
              <w:right w:val="nil"/>
            </w:tcBorders>
            <w:shd w:val="clear" w:color="auto" w:fill="auto"/>
            <w:noWrap/>
            <w:vAlign w:val="center"/>
            <w:hideMark/>
          </w:tcPr>
          <w:p w14:paraId="215AFD9A"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12 494 521</w:t>
            </w:r>
          </w:p>
        </w:tc>
        <w:tc>
          <w:tcPr>
            <w:tcW w:w="972" w:type="dxa"/>
            <w:tcBorders>
              <w:top w:val="nil"/>
              <w:left w:val="nil"/>
              <w:bottom w:val="nil"/>
              <w:right w:val="nil"/>
            </w:tcBorders>
            <w:shd w:val="clear" w:color="auto" w:fill="auto"/>
            <w:noWrap/>
            <w:vAlign w:val="center"/>
            <w:hideMark/>
          </w:tcPr>
          <w:p w14:paraId="3ABFCFF7"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5 846 036</w:t>
            </w:r>
          </w:p>
        </w:tc>
        <w:tc>
          <w:tcPr>
            <w:tcW w:w="973" w:type="dxa"/>
            <w:tcBorders>
              <w:top w:val="nil"/>
              <w:left w:val="nil"/>
              <w:bottom w:val="nil"/>
              <w:right w:val="single" w:sz="4" w:space="0" w:color="auto"/>
            </w:tcBorders>
            <w:shd w:val="clear" w:color="auto" w:fill="auto"/>
            <w:noWrap/>
            <w:vAlign w:val="center"/>
            <w:hideMark/>
          </w:tcPr>
          <w:p w14:paraId="6B9A1A75"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6 648 485</w:t>
            </w:r>
          </w:p>
        </w:tc>
        <w:tc>
          <w:tcPr>
            <w:tcW w:w="652" w:type="dxa"/>
            <w:tcBorders>
              <w:top w:val="nil"/>
              <w:left w:val="nil"/>
              <w:bottom w:val="nil"/>
              <w:right w:val="nil"/>
            </w:tcBorders>
            <w:shd w:val="clear" w:color="auto" w:fill="auto"/>
            <w:noWrap/>
            <w:vAlign w:val="center"/>
            <w:hideMark/>
          </w:tcPr>
          <w:p w14:paraId="11F5F1A5"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69,60</w:t>
            </w:r>
          </w:p>
        </w:tc>
        <w:tc>
          <w:tcPr>
            <w:tcW w:w="709" w:type="dxa"/>
            <w:tcBorders>
              <w:top w:val="nil"/>
              <w:left w:val="nil"/>
              <w:bottom w:val="nil"/>
              <w:right w:val="nil"/>
            </w:tcBorders>
            <w:shd w:val="clear" w:color="auto" w:fill="auto"/>
            <w:noWrap/>
            <w:vAlign w:val="center"/>
            <w:hideMark/>
          </w:tcPr>
          <w:p w14:paraId="2343F33A"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64,91</w:t>
            </w:r>
          </w:p>
        </w:tc>
        <w:tc>
          <w:tcPr>
            <w:tcW w:w="692" w:type="dxa"/>
            <w:tcBorders>
              <w:top w:val="nil"/>
              <w:left w:val="nil"/>
              <w:bottom w:val="nil"/>
              <w:right w:val="nil"/>
            </w:tcBorders>
            <w:shd w:val="clear" w:color="auto" w:fill="auto"/>
            <w:noWrap/>
            <w:vAlign w:val="center"/>
            <w:hideMark/>
          </w:tcPr>
          <w:p w14:paraId="00D6B8F6"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74,32</w:t>
            </w:r>
          </w:p>
        </w:tc>
      </w:tr>
      <w:tr w:rsidR="00EE5D67" w:rsidRPr="00EE5D67" w14:paraId="7A11CEF6"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4FB7A43A" w14:textId="69C8AA84" w:rsidR="00EE5D67" w:rsidRPr="00EE5D67" w:rsidRDefault="00EE5D67" w:rsidP="00EE5D67">
            <w:pPr>
              <w:spacing w:after="0" w:line="240" w:lineRule="auto"/>
              <w:rPr>
                <w:rFonts w:cs="Arial"/>
                <w:sz w:val="16"/>
                <w:szCs w:val="16"/>
              </w:rPr>
            </w:pPr>
            <w:r w:rsidRPr="00EE5D67">
              <w:rPr>
                <w:rFonts w:cs="Arial"/>
                <w:sz w:val="16"/>
                <w:szCs w:val="16"/>
              </w:rPr>
              <w:t>– nemoci páteře</w:t>
            </w:r>
          </w:p>
        </w:tc>
        <w:tc>
          <w:tcPr>
            <w:tcW w:w="972" w:type="dxa"/>
            <w:tcBorders>
              <w:top w:val="nil"/>
              <w:left w:val="single" w:sz="4" w:space="0" w:color="auto"/>
              <w:bottom w:val="nil"/>
              <w:right w:val="nil"/>
            </w:tcBorders>
            <w:shd w:val="clear" w:color="auto" w:fill="auto"/>
            <w:noWrap/>
            <w:vAlign w:val="center"/>
            <w:hideMark/>
          </w:tcPr>
          <w:p w14:paraId="53241518"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116 483</w:t>
            </w:r>
          </w:p>
        </w:tc>
        <w:tc>
          <w:tcPr>
            <w:tcW w:w="857" w:type="dxa"/>
            <w:tcBorders>
              <w:top w:val="nil"/>
              <w:left w:val="nil"/>
              <w:bottom w:val="nil"/>
              <w:right w:val="nil"/>
            </w:tcBorders>
            <w:shd w:val="clear" w:color="auto" w:fill="auto"/>
            <w:noWrap/>
            <w:vAlign w:val="center"/>
            <w:hideMark/>
          </w:tcPr>
          <w:p w14:paraId="2A4A1342"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58 195</w:t>
            </w:r>
          </w:p>
        </w:tc>
        <w:tc>
          <w:tcPr>
            <w:tcW w:w="859" w:type="dxa"/>
            <w:tcBorders>
              <w:top w:val="nil"/>
              <w:left w:val="nil"/>
              <w:bottom w:val="nil"/>
              <w:right w:val="single" w:sz="4" w:space="0" w:color="auto"/>
            </w:tcBorders>
            <w:shd w:val="clear" w:color="auto" w:fill="auto"/>
            <w:noWrap/>
            <w:vAlign w:val="center"/>
            <w:hideMark/>
          </w:tcPr>
          <w:p w14:paraId="76D1A723"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58 288</w:t>
            </w:r>
          </w:p>
        </w:tc>
        <w:tc>
          <w:tcPr>
            <w:tcW w:w="972" w:type="dxa"/>
            <w:tcBorders>
              <w:top w:val="nil"/>
              <w:left w:val="nil"/>
              <w:bottom w:val="nil"/>
              <w:right w:val="nil"/>
            </w:tcBorders>
            <w:shd w:val="clear" w:color="auto" w:fill="auto"/>
            <w:noWrap/>
            <w:vAlign w:val="center"/>
            <w:hideMark/>
          </w:tcPr>
          <w:p w14:paraId="6405D396"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7 588 877</w:t>
            </w:r>
          </w:p>
        </w:tc>
        <w:tc>
          <w:tcPr>
            <w:tcW w:w="972" w:type="dxa"/>
            <w:tcBorders>
              <w:top w:val="nil"/>
              <w:left w:val="nil"/>
              <w:bottom w:val="nil"/>
              <w:right w:val="nil"/>
            </w:tcBorders>
            <w:shd w:val="clear" w:color="auto" w:fill="auto"/>
            <w:noWrap/>
            <w:vAlign w:val="center"/>
            <w:hideMark/>
          </w:tcPr>
          <w:p w14:paraId="4E9314A8"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3 491 599</w:t>
            </w:r>
          </w:p>
        </w:tc>
        <w:tc>
          <w:tcPr>
            <w:tcW w:w="973" w:type="dxa"/>
            <w:tcBorders>
              <w:top w:val="nil"/>
              <w:left w:val="nil"/>
              <w:bottom w:val="nil"/>
              <w:right w:val="single" w:sz="4" w:space="0" w:color="auto"/>
            </w:tcBorders>
            <w:shd w:val="clear" w:color="auto" w:fill="auto"/>
            <w:noWrap/>
            <w:vAlign w:val="center"/>
            <w:hideMark/>
          </w:tcPr>
          <w:p w14:paraId="7B8C51D6"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4 097 278</w:t>
            </w:r>
          </w:p>
        </w:tc>
        <w:tc>
          <w:tcPr>
            <w:tcW w:w="652" w:type="dxa"/>
            <w:tcBorders>
              <w:top w:val="nil"/>
              <w:left w:val="nil"/>
              <w:bottom w:val="nil"/>
              <w:right w:val="nil"/>
            </w:tcBorders>
            <w:shd w:val="clear" w:color="auto" w:fill="auto"/>
            <w:noWrap/>
            <w:vAlign w:val="center"/>
            <w:hideMark/>
          </w:tcPr>
          <w:p w14:paraId="512C72A8"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65,15</w:t>
            </w:r>
          </w:p>
        </w:tc>
        <w:tc>
          <w:tcPr>
            <w:tcW w:w="709" w:type="dxa"/>
            <w:tcBorders>
              <w:top w:val="nil"/>
              <w:left w:val="nil"/>
              <w:bottom w:val="nil"/>
              <w:right w:val="nil"/>
            </w:tcBorders>
            <w:shd w:val="clear" w:color="auto" w:fill="auto"/>
            <w:noWrap/>
            <w:vAlign w:val="center"/>
            <w:hideMark/>
          </w:tcPr>
          <w:p w14:paraId="313770DF"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60,00</w:t>
            </w:r>
          </w:p>
        </w:tc>
        <w:tc>
          <w:tcPr>
            <w:tcW w:w="692" w:type="dxa"/>
            <w:tcBorders>
              <w:top w:val="nil"/>
              <w:left w:val="nil"/>
              <w:bottom w:val="nil"/>
              <w:right w:val="nil"/>
            </w:tcBorders>
            <w:shd w:val="clear" w:color="auto" w:fill="auto"/>
            <w:noWrap/>
            <w:vAlign w:val="center"/>
            <w:hideMark/>
          </w:tcPr>
          <w:p w14:paraId="36F1ECAF"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70,29</w:t>
            </w:r>
          </w:p>
        </w:tc>
      </w:tr>
      <w:tr w:rsidR="00EE5D67" w:rsidRPr="00EE5D67" w14:paraId="1B1363ED"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183DA7F5" w14:textId="184A66C8" w:rsidR="00EE5D67" w:rsidRPr="00EE5D67" w:rsidRDefault="00EE5D67" w:rsidP="00816CA3">
            <w:pPr>
              <w:spacing w:after="0" w:line="240" w:lineRule="auto"/>
              <w:rPr>
                <w:rFonts w:cs="Arial"/>
                <w:sz w:val="16"/>
                <w:szCs w:val="16"/>
              </w:rPr>
            </w:pPr>
            <w:r w:rsidRPr="00EE5D67">
              <w:rPr>
                <w:rFonts w:cs="Arial"/>
                <w:sz w:val="16"/>
                <w:szCs w:val="16"/>
              </w:rPr>
              <w:t>– jiné nemoci pohyb</w:t>
            </w:r>
            <w:r w:rsidR="00816CA3">
              <w:rPr>
                <w:rFonts w:cs="Arial"/>
                <w:sz w:val="16"/>
                <w:szCs w:val="16"/>
              </w:rPr>
              <w:t>. soust.</w:t>
            </w:r>
          </w:p>
        </w:tc>
        <w:tc>
          <w:tcPr>
            <w:tcW w:w="972" w:type="dxa"/>
            <w:tcBorders>
              <w:top w:val="nil"/>
              <w:left w:val="single" w:sz="4" w:space="0" w:color="auto"/>
              <w:bottom w:val="nil"/>
              <w:right w:val="nil"/>
            </w:tcBorders>
            <w:shd w:val="clear" w:color="auto" w:fill="auto"/>
            <w:noWrap/>
            <w:vAlign w:val="center"/>
            <w:hideMark/>
          </w:tcPr>
          <w:p w14:paraId="10612DC2"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63 040</w:t>
            </w:r>
          </w:p>
        </w:tc>
        <w:tc>
          <w:tcPr>
            <w:tcW w:w="857" w:type="dxa"/>
            <w:tcBorders>
              <w:top w:val="nil"/>
              <w:left w:val="nil"/>
              <w:bottom w:val="nil"/>
              <w:right w:val="nil"/>
            </w:tcBorders>
            <w:shd w:val="clear" w:color="auto" w:fill="auto"/>
            <w:noWrap/>
            <w:vAlign w:val="center"/>
            <w:hideMark/>
          </w:tcPr>
          <w:p w14:paraId="7B253773"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31 874</w:t>
            </w:r>
          </w:p>
        </w:tc>
        <w:tc>
          <w:tcPr>
            <w:tcW w:w="859" w:type="dxa"/>
            <w:tcBorders>
              <w:top w:val="nil"/>
              <w:left w:val="nil"/>
              <w:bottom w:val="nil"/>
              <w:right w:val="single" w:sz="4" w:space="0" w:color="auto"/>
            </w:tcBorders>
            <w:shd w:val="clear" w:color="auto" w:fill="auto"/>
            <w:noWrap/>
            <w:vAlign w:val="center"/>
            <w:hideMark/>
          </w:tcPr>
          <w:p w14:paraId="5DCD3E05"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31 166</w:t>
            </w:r>
          </w:p>
        </w:tc>
        <w:tc>
          <w:tcPr>
            <w:tcW w:w="972" w:type="dxa"/>
            <w:tcBorders>
              <w:top w:val="nil"/>
              <w:left w:val="nil"/>
              <w:bottom w:val="nil"/>
              <w:right w:val="nil"/>
            </w:tcBorders>
            <w:shd w:val="clear" w:color="auto" w:fill="auto"/>
            <w:noWrap/>
            <w:vAlign w:val="center"/>
            <w:hideMark/>
          </w:tcPr>
          <w:p w14:paraId="25D140C7"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4 905 644</w:t>
            </w:r>
          </w:p>
        </w:tc>
        <w:tc>
          <w:tcPr>
            <w:tcW w:w="972" w:type="dxa"/>
            <w:tcBorders>
              <w:top w:val="nil"/>
              <w:left w:val="nil"/>
              <w:bottom w:val="nil"/>
              <w:right w:val="nil"/>
            </w:tcBorders>
            <w:shd w:val="clear" w:color="auto" w:fill="auto"/>
            <w:noWrap/>
            <w:vAlign w:val="center"/>
            <w:hideMark/>
          </w:tcPr>
          <w:p w14:paraId="67AEC88A"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2 354 437</w:t>
            </w:r>
          </w:p>
        </w:tc>
        <w:tc>
          <w:tcPr>
            <w:tcW w:w="973" w:type="dxa"/>
            <w:tcBorders>
              <w:top w:val="nil"/>
              <w:left w:val="nil"/>
              <w:bottom w:val="nil"/>
              <w:right w:val="single" w:sz="4" w:space="0" w:color="auto"/>
            </w:tcBorders>
            <w:shd w:val="clear" w:color="auto" w:fill="auto"/>
            <w:noWrap/>
            <w:vAlign w:val="center"/>
            <w:hideMark/>
          </w:tcPr>
          <w:p w14:paraId="37504374"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2 551 207</w:t>
            </w:r>
          </w:p>
        </w:tc>
        <w:tc>
          <w:tcPr>
            <w:tcW w:w="652" w:type="dxa"/>
            <w:tcBorders>
              <w:top w:val="nil"/>
              <w:left w:val="nil"/>
              <w:bottom w:val="nil"/>
              <w:right w:val="nil"/>
            </w:tcBorders>
            <w:shd w:val="clear" w:color="auto" w:fill="auto"/>
            <w:noWrap/>
            <w:vAlign w:val="center"/>
            <w:hideMark/>
          </w:tcPr>
          <w:p w14:paraId="1D389382"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77,82</w:t>
            </w:r>
          </w:p>
        </w:tc>
        <w:tc>
          <w:tcPr>
            <w:tcW w:w="709" w:type="dxa"/>
            <w:tcBorders>
              <w:top w:val="nil"/>
              <w:left w:val="nil"/>
              <w:bottom w:val="nil"/>
              <w:right w:val="nil"/>
            </w:tcBorders>
            <w:shd w:val="clear" w:color="auto" w:fill="auto"/>
            <w:noWrap/>
            <w:vAlign w:val="center"/>
            <w:hideMark/>
          </w:tcPr>
          <w:p w14:paraId="1E7F97F4"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73,87</w:t>
            </w:r>
          </w:p>
        </w:tc>
        <w:tc>
          <w:tcPr>
            <w:tcW w:w="692" w:type="dxa"/>
            <w:tcBorders>
              <w:top w:val="nil"/>
              <w:left w:val="nil"/>
              <w:bottom w:val="nil"/>
              <w:right w:val="nil"/>
            </w:tcBorders>
            <w:shd w:val="clear" w:color="auto" w:fill="auto"/>
            <w:noWrap/>
            <w:vAlign w:val="center"/>
            <w:hideMark/>
          </w:tcPr>
          <w:p w14:paraId="1FF5282F"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81,86</w:t>
            </w:r>
          </w:p>
        </w:tc>
      </w:tr>
      <w:tr w:rsidR="00EE5D67" w:rsidRPr="00EE5D67" w14:paraId="29D3170F"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51ED2E33" w14:textId="3573FCC5" w:rsidR="00EE5D67" w:rsidRPr="00EE5D67" w:rsidRDefault="00EE5D67" w:rsidP="00816CA3">
            <w:pPr>
              <w:spacing w:after="0" w:line="240" w:lineRule="auto"/>
              <w:rPr>
                <w:rFonts w:cs="Arial"/>
                <w:sz w:val="16"/>
                <w:szCs w:val="16"/>
              </w:rPr>
            </w:pPr>
            <w:r w:rsidRPr="00EE5D67">
              <w:rPr>
                <w:rFonts w:cs="Arial"/>
                <w:sz w:val="16"/>
                <w:szCs w:val="16"/>
              </w:rPr>
              <w:t xml:space="preserve">Nemoci moč. a pohl. </w:t>
            </w:r>
            <w:r w:rsidR="00816CA3">
              <w:rPr>
                <w:rFonts w:cs="Arial"/>
                <w:sz w:val="16"/>
                <w:szCs w:val="16"/>
              </w:rPr>
              <w:t>soust.</w:t>
            </w:r>
          </w:p>
        </w:tc>
        <w:tc>
          <w:tcPr>
            <w:tcW w:w="972" w:type="dxa"/>
            <w:tcBorders>
              <w:top w:val="nil"/>
              <w:left w:val="single" w:sz="4" w:space="0" w:color="auto"/>
              <w:bottom w:val="nil"/>
              <w:right w:val="nil"/>
            </w:tcBorders>
            <w:shd w:val="clear" w:color="auto" w:fill="auto"/>
            <w:noWrap/>
            <w:vAlign w:val="center"/>
            <w:hideMark/>
          </w:tcPr>
          <w:p w14:paraId="13122FB9" w14:textId="38C26779"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36</w:t>
            </w:r>
            <w:r w:rsidR="001239A7">
              <w:rPr>
                <w:rFonts w:cs="Arial"/>
                <w:color w:val="000000"/>
                <w:sz w:val="16"/>
                <w:szCs w:val="16"/>
              </w:rPr>
              <w:t xml:space="preserve"> </w:t>
            </w:r>
            <w:r w:rsidRPr="00EE5D67">
              <w:rPr>
                <w:rFonts w:cs="Arial"/>
                <w:color w:val="000000"/>
                <w:sz w:val="16"/>
                <w:szCs w:val="16"/>
              </w:rPr>
              <w:t>909</w:t>
            </w:r>
          </w:p>
        </w:tc>
        <w:tc>
          <w:tcPr>
            <w:tcW w:w="857" w:type="dxa"/>
            <w:tcBorders>
              <w:top w:val="nil"/>
              <w:left w:val="nil"/>
              <w:bottom w:val="nil"/>
              <w:right w:val="nil"/>
            </w:tcBorders>
            <w:shd w:val="clear" w:color="auto" w:fill="auto"/>
            <w:noWrap/>
            <w:vAlign w:val="center"/>
            <w:hideMark/>
          </w:tcPr>
          <w:p w14:paraId="3BBD93D7" w14:textId="0FBC93C5"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w:t>
            </w:r>
            <w:r w:rsidR="00097DA1">
              <w:rPr>
                <w:rFonts w:cs="Arial"/>
                <w:color w:val="000000"/>
                <w:sz w:val="16"/>
                <w:szCs w:val="16"/>
              </w:rPr>
              <w:t xml:space="preserve"> </w:t>
            </w:r>
            <w:r w:rsidRPr="00EE5D67">
              <w:rPr>
                <w:rFonts w:cs="Arial"/>
                <w:color w:val="000000"/>
                <w:sz w:val="16"/>
                <w:szCs w:val="16"/>
              </w:rPr>
              <w:t>112</w:t>
            </w:r>
          </w:p>
        </w:tc>
        <w:tc>
          <w:tcPr>
            <w:tcW w:w="859" w:type="dxa"/>
            <w:tcBorders>
              <w:top w:val="nil"/>
              <w:left w:val="nil"/>
              <w:bottom w:val="nil"/>
              <w:right w:val="single" w:sz="4" w:space="0" w:color="auto"/>
            </w:tcBorders>
            <w:shd w:val="clear" w:color="auto" w:fill="auto"/>
            <w:noWrap/>
            <w:vAlign w:val="center"/>
            <w:hideMark/>
          </w:tcPr>
          <w:p w14:paraId="72DD6B74" w14:textId="066396CE"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28</w:t>
            </w:r>
            <w:r w:rsidR="001239A7">
              <w:rPr>
                <w:rFonts w:cs="Arial"/>
                <w:color w:val="000000"/>
                <w:sz w:val="16"/>
                <w:szCs w:val="16"/>
              </w:rPr>
              <w:t xml:space="preserve"> </w:t>
            </w:r>
            <w:r w:rsidRPr="00EE5D67">
              <w:rPr>
                <w:rFonts w:cs="Arial"/>
                <w:color w:val="000000"/>
                <w:sz w:val="16"/>
                <w:szCs w:val="16"/>
              </w:rPr>
              <w:t>797</w:t>
            </w:r>
          </w:p>
        </w:tc>
        <w:tc>
          <w:tcPr>
            <w:tcW w:w="972" w:type="dxa"/>
            <w:tcBorders>
              <w:top w:val="nil"/>
              <w:left w:val="nil"/>
              <w:bottom w:val="nil"/>
              <w:right w:val="nil"/>
            </w:tcBorders>
            <w:shd w:val="clear" w:color="auto" w:fill="auto"/>
            <w:noWrap/>
            <w:vAlign w:val="center"/>
            <w:hideMark/>
          </w:tcPr>
          <w:p w14:paraId="337044DE"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1 302 951</w:t>
            </w:r>
          </w:p>
        </w:tc>
        <w:tc>
          <w:tcPr>
            <w:tcW w:w="972" w:type="dxa"/>
            <w:tcBorders>
              <w:top w:val="nil"/>
              <w:left w:val="nil"/>
              <w:bottom w:val="nil"/>
              <w:right w:val="nil"/>
            </w:tcBorders>
            <w:shd w:val="clear" w:color="auto" w:fill="auto"/>
            <w:noWrap/>
            <w:vAlign w:val="center"/>
            <w:hideMark/>
          </w:tcPr>
          <w:p w14:paraId="750EB8B6"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315 429</w:t>
            </w:r>
          </w:p>
        </w:tc>
        <w:tc>
          <w:tcPr>
            <w:tcW w:w="973" w:type="dxa"/>
            <w:tcBorders>
              <w:top w:val="nil"/>
              <w:left w:val="nil"/>
              <w:bottom w:val="nil"/>
              <w:right w:val="single" w:sz="4" w:space="0" w:color="auto"/>
            </w:tcBorders>
            <w:shd w:val="clear" w:color="auto" w:fill="auto"/>
            <w:noWrap/>
            <w:vAlign w:val="center"/>
            <w:hideMark/>
          </w:tcPr>
          <w:p w14:paraId="50D10392"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987 522</w:t>
            </w:r>
          </w:p>
        </w:tc>
        <w:tc>
          <w:tcPr>
            <w:tcW w:w="652" w:type="dxa"/>
            <w:tcBorders>
              <w:top w:val="nil"/>
              <w:left w:val="nil"/>
              <w:bottom w:val="nil"/>
              <w:right w:val="nil"/>
            </w:tcBorders>
            <w:shd w:val="clear" w:color="auto" w:fill="auto"/>
            <w:noWrap/>
            <w:vAlign w:val="center"/>
            <w:hideMark/>
          </w:tcPr>
          <w:p w14:paraId="7D82CFC7"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35,30</w:t>
            </w:r>
          </w:p>
        </w:tc>
        <w:tc>
          <w:tcPr>
            <w:tcW w:w="709" w:type="dxa"/>
            <w:tcBorders>
              <w:top w:val="nil"/>
              <w:left w:val="nil"/>
              <w:bottom w:val="nil"/>
              <w:right w:val="nil"/>
            </w:tcBorders>
            <w:shd w:val="clear" w:color="auto" w:fill="auto"/>
            <w:noWrap/>
            <w:vAlign w:val="center"/>
            <w:hideMark/>
          </w:tcPr>
          <w:p w14:paraId="1E69FA09"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38,88</w:t>
            </w:r>
          </w:p>
        </w:tc>
        <w:tc>
          <w:tcPr>
            <w:tcW w:w="692" w:type="dxa"/>
            <w:tcBorders>
              <w:top w:val="nil"/>
              <w:left w:val="nil"/>
              <w:bottom w:val="nil"/>
              <w:right w:val="nil"/>
            </w:tcBorders>
            <w:shd w:val="clear" w:color="auto" w:fill="auto"/>
            <w:noWrap/>
            <w:vAlign w:val="center"/>
            <w:hideMark/>
          </w:tcPr>
          <w:p w14:paraId="62A9DEBE"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34,29</w:t>
            </w:r>
          </w:p>
        </w:tc>
      </w:tr>
      <w:tr w:rsidR="00EE5D67" w:rsidRPr="00EE5D67" w14:paraId="4C592527"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222873D7" w14:textId="1B5A9EBB" w:rsidR="00EE5D67" w:rsidRPr="00EE5D67" w:rsidRDefault="00EE5D67" w:rsidP="00EE5D67">
            <w:pPr>
              <w:spacing w:after="0" w:line="240" w:lineRule="auto"/>
              <w:rPr>
                <w:rFonts w:cs="Arial"/>
                <w:sz w:val="16"/>
                <w:szCs w:val="16"/>
              </w:rPr>
            </w:pPr>
            <w:r w:rsidRPr="00EE5D67">
              <w:rPr>
                <w:rFonts w:cs="Arial"/>
                <w:sz w:val="16"/>
                <w:szCs w:val="16"/>
              </w:rPr>
              <w:t>Těhotenství, porod, šestinedělí</w:t>
            </w:r>
          </w:p>
        </w:tc>
        <w:tc>
          <w:tcPr>
            <w:tcW w:w="972" w:type="dxa"/>
            <w:tcBorders>
              <w:top w:val="nil"/>
              <w:left w:val="single" w:sz="4" w:space="0" w:color="auto"/>
              <w:bottom w:val="nil"/>
              <w:right w:val="nil"/>
            </w:tcBorders>
            <w:shd w:val="clear" w:color="auto" w:fill="auto"/>
            <w:noWrap/>
            <w:vAlign w:val="center"/>
            <w:hideMark/>
          </w:tcPr>
          <w:p w14:paraId="04F0CD56" w14:textId="5ED62FB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17</w:t>
            </w:r>
            <w:r w:rsidR="001239A7">
              <w:rPr>
                <w:rFonts w:cs="Arial"/>
                <w:color w:val="000000"/>
                <w:sz w:val="16"/>
                <w:szCs w:val="16"/>
              </w:rPr>
              <w:t xml:space="preserve"> </w:t>
            </w:r>
            <w:r w:rsidRPr="00EE5D67">
              <w:rPr>
                <w:rFonts w:cs="Arial"/>
                <w:color w:val="000000"/>
                <w:sz w:val="16"/>
                <w:szCs w:val="16"/>
              </w:rPr>
              <w:t>563</w:t>
            </w:r>
          </w:p>
        </w:tc>
        <w:tc>
          <w:tcPr>
            <w:tcW w:w="857" w:type="dxa"/>
            <w:tcBorders>
              <w:top w:val="nil"/>
              <w:left w:val="nil"/>
              <w:bottom w:val="nil"/>
              <w:right w:val="nil"/>
            </w:tcBorders>
            <w:shd w:val="clear" w:color="auto" w:fill="auto"/>
            <w:vAlign w:val="center"/>
            <w:hideMark/>
          </w:tcPr>
          <w:p w14:paraId="250201A2" w14:textId="77777777" w:rsidR="00EE5D67" w:rsidRPr="00EE5D67" w:rsidRDefault="00EE5D67" w:rsidP="00EE5D67">
            <w:pPr>
              <w:spacing w:after="0" w:line="240" w:lineRule="auto"/>
              <w:jc w:val="right"/>
              <w:rPr>
                <w:rFonts w:cs="Arial"/>
                <w:sz w:val="16"/>
                <w:szCs w:val="16"/>
              </w:rPr>
            </w:pPr>
            <w:r w:rsidRPr="00EE5D67">
              <w:rPr>
                <w:rFonts w:cs="Arial"/>
                <w:sz w:val="16"/>
                <w:szCs w:val="16"/>
              </w:rPr>
              <w:t>x</w:t>
            </w:r>
          </w:p>
        </w:tc>
        <w:tc>
          <w:tcPr>
            <w:tcW w:w="859" w:type="dxa"/>
            <w:tcBorders>
              <w:top w:val="nil"/>
              <w:left w:val="nil"/>
              <w:bottom w:val="nil"/>
              <w:right w:val="single" w:sz="4" w:space="0" w:color="auto"/>
            </w:tcBorders>
            <w:shd w:val="clear" w:color="auto" w:fill="auto"/>
            <w:noWrap/>
            <w:vAlign w:val="center"/>
            <w:hideMark/>
          </w:tcPr>
          <w:p w14:paraId="59056FD4" w14:textId="5E2FFBAE"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17</w:t>
            </w:r>
            <w:r w:rsidR="001239A7">
              <w:rPr>
                <w:rFonts w:cs="Arial"/>
                <w:color w:val="000000"/>
                <w:sz w:val="16"/>
                <w:szCs w:val="16"/>
              </w:rPr>
              <w:t xml:space="preserve"> </w:t>
            </w:r>
            <w:r w:rsidRPr="00EE5D67">
              <w:rPr>
                <w:rFonts w:cs="Arial"/>
                <w:color w:val="000000"/>
                <w:sz w:val="16"/>
                <w:szCs w:val="16"/>
              </w:rPr>
              <w:t>563</w:t>
            </w:r>
          </w:p>
        </w:tc>
        <w:tc>
          <w:tcPr>
            <w:tcW w:w="972" w:type="dxa"/>
            <w:tcBorders>
              <w:top w:val="nil"/>
              <w:left w:val="nil"/>
              <w:bottom w:val="nil"/>
              <w:right w:val="nil"/>
            </w:tcBorders>
            <w:shd w:val="clear" w:color="auto" w:fill="auto"/>
            <w:noWrap/>
            <w:vAlign w:val="center"/>
            <w:hideMark/>
          </w:tcPr>
          <w:p w14:paraId="409FF8E6"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1 802 844</w:t>
            </w:r>
          </w:p>
        </w:tc>
        <w:tc>
          <w:tcPr>
            <w:tcW w:w="972" w:type="dxa"/>
            <w:tcBorders>
              <w:top w:val="nil"/>
              <w:left w:val="nil"/>
              <w:bottom w:val="nil"/>
              <w:right w:val="nil"/>
            </w:tcBorders>
            <w:shd w:val="clear" w:color="auto" w:fill="auto"/>
            <w:vAlign w:val="center"/>
            <w:hideMark/>
          </w:tcPr>
          <w:p w14:paraId="541C6413" w14:textId="77777777" w:rsidR="00EE5D67" w:rsidRPr="00EE5D67" w:rsidRDefault="00EE5D67" w:rsidP="00EE5D67">
            <w:pPr>
              <w:spacing w:after="0" w:line="240" w:lineRule="auto"/>
              <w:jc w:val="right"/>
              <w:rPr>
                <w:rFonts w:cs="Arial"/>
                <w:sz w:val="16"/>
                <w:szCs w:val="16"/>
              </w:rPr>
            </w:pPr>
            <w:r w:rsidRPr="00EE5D67">
              <w:rPr>
                <w:rFonts w:cs="Arial"/>
                <w:sz w:val="16"/>
                <w:szCs w:val="16"/>
              </w:rPr>
              <w:t>x</w:t>
            </w:r>
          </w:p>
        </w:tc>
        <w:tc>
          <w:tcPr>
            <w:tcW w:w="973" w:type="dxa"/>
            <w:tcBorders>
              <w:top w:val="nil"/>
              <w:left w:val="nil"/>
              <w:bottom w:val="nil"/>
              <w:right w:val="single" w:sz="4" w:space="0" w:color="auto"/>
            </w:tcBorders>
            <w:shd w:val="clear" w:color="auto" w:fill="auto"/>
            <w:noWrap/>
            <w:vAlign w:val="center"/>
            <w:hideMark/>
          </w:tcPr>
          <w:p w14:paraId="6038028B"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1 802 844</w:t>
            </w:r>
          </w:p>
        </w:tc>
        <w:tc>
          <w:tcPr>
            <w:tcW w:w="652" w:type="dxa"/>
            <w:tcBorders>
              <w:top w:val="nil"/>
              <w:left w:val="nil"/>
              <w:bottom w:val="nil"/>
              <w:right w:val="nil"/>
            </w:tcBorders>
            <w:shd w:val="clear" w:color="auto" w:fill="auto"/>
            <w:noWrap/>
            <w:vAlign w:val="center"/>
            <w:hideMark/>
          </w:tcPr>
          <w:p w14:paraId="5FC67FF0"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102,65</w:t>
            </w:r>
          </w:p>
        </w:tc>
        <w:tc>
          <w:tcPr>
            <w:tcW w:w="709" w:type="dxa"/>
            <w:tcBorders>
              <w:top w:val="nil"/>
              <w:left w:val="nil"/>
              <w:bottom w:val="nil"/>
              <w:right w:val="nil"/>
            </w:tcBorders>
            <w:shd w:val="clear" w:color="auto" w:fill="auto"/>
            <w:vAlign w:val="center"/>
            <w:hideMark/>
          </w:tcPr>
          <w:p w14:paraId="5D26F42D" w14:textId="77777777" w:rsidR="00EE5D67" w:rsidRPr="00EE5D67" w:rsidRDefault="00EE5D67" w:rsidP="00EE5D67">
            <w:pPr>
              <w:spacing w:after="0" w:line="240" w:lineRule="auto"/>
              <w:jc w:val="right"/>
              <w:rPr>
                <w:rFonts w:cs="Arial"/>
                <w:sz w:val="16"/>
                <w:szCs w:val="16"/>
              </w:rPr>
            </w:pPr>
            <w:r w:rsidRPr="00EE5D67">
              <w:rPr>
                <w:rFonts w:cs="Arial"/>
                <w:sz w:val="16"/>
                <w:szCs w:val="16"/>
              </w:rPr>
              <w:t>x</w:t>
            </w:r>
          </w:p>
        </w:tc>
        <w:tc>
          <w:tcPr>
            <w:tcW w:w="692" w:type="dxa"/>
            <w:tcBorders>
              <w:top w:val="nil"/>
              <w:left w:val="nil"/>
              <w:bottom w:val="nil"/>
              <w:right w:val="nil"/>
            </w:tcBorders>
            <w:shd w:val="clear" w:color="auto" w:fill="auto"/>
            <w:noWrap/>
            <w:vAlign w:val="center"/>
            <w:hideMark/>
          </w:tcPr>
          <w:p w14:paraId="3A7241F5"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102,65</w:t>
            </w:r>
          </w:p>
        </w:tc>
      </w:tr>
      <w:tr w:rsidR="00EE5D67" w:rsidRPr="00EE5D67" w14:paraId="6FB222C4"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12F31825" w14:textId="6ACC2D7F" w:rsidR="00EE5D67" w:rsidRPr="00EE5D67" w:rsidRDefault="00EE5D67" w:rsidP="00EE5D67">
            <w:pPr>
              <w:spacing w:after="0" w:line="240" w:lineRule="auto"/>
              <w:rPr>
                <w:rFonts w:cs="Arial"/>
                <w:sz w:val="16"/>
                <w:szCs w:val="16"/>
              </w:rPr>
            </w:pPr>
            <w:r w:rsidRPr="00EE5D67">
              <w:rPr>
                <w:rFonts w:cs="Arial"/>
                <w:sz w:val="16"/>
                <w:szCs w:val="16"/>
              </w:rPr>
              <w:t>Úrazy, otravy</w:t>
            </w:r>
          </w:p>
        </w:tc>
        <w:tc>
          <w:tcPr>
            <w:tcW w:w="972" w:type="dxa"/>
            <w:tcBorders>
              <w:top w:val="nil"/>
              <w:left w:val="single" w:sz="4" w:space="0" w:color="auto"/>
              <w:bottom w:val="nil"/>
              <w:right w:val="nil"/>
            </w:tcBorders>
            <w:shd w:val="clear" w:color="auto" w:fill="auto"/>
            <w:noWrap/>
            <w:vAlign w:val="center"/>
            <w:hideMark/>
          </w:tcPr>
          <w:p w14:paraId="12F20827" w14:textId="428BD6D6"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98</w:t>
            </w:r>
            <w:r w:rsidR="001239A7">
              <w:rPr>
                <w:rFonts w:cs="Arial"/>
                <w:color w:val="000000"/>
                <w:sz w:val="16"/>
                <w:szCs w:val="16"/>
              </w:rPr>
              <w:t xml:space="preserve"> </w:t>
            </w:r>
            <w:r w:rsidRPr="00EE5D67">
              <w:rPr>
                <w:rFonts w:cs="Arial"/>
                <w:color w:val="000000"/>
                <w:sz w:val="16"/>
                <w:szCs w:val="16"/>
              </w:rPr>
              <w:t>703</w:t>
            </w:r>
          </w:p>
        </w:tc>
        <w:tc>
          <w:tcPr>
            <w:tcW w:w="857" w:type="dxa"/>
            <w:tcBorders>
              <w:top w:val="nil"/>
              <w:left w:val="nil"/>
              <w:bottom w:val="nil"/>
              <w:right w:val="nil"/>
            </w:tcBorders>
            <w:shd w:val="clear" w:color="auto" w:fill="auto"/>
            <w:noWrap/>
            <w:vAlign w:val="center"/>
            <w:hideMark/>
          </w:tcPr>
          <w:p w14:paraId="6A2F894C" w14:textId="6B9E3E99"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61</w:t>
            </w:r>
            <w:r w:rsidR="001239A7">
              <w:rPr>
                <w:rFonts w:cs="Arial"/>
                <w:color w:val="000000"/>
                <w:sz w:val="16"/>
                <w:szCs w:val="16"/>
              </w:rPr>
              <w:t xml:space="preserve"> </w:t>
            </w:r>
            <w:r w:rsidRPr="00EE5D67">
              <w:rPr>
                <w:rFonts w:cs="Arial"/>
                <w:color w:val="000000"/>
                <w:sz w:val="16"/>
                <w:szCs w:val="16"/>
              </w:rPr>
              <w:t>870</w:t>
            </w:r>
          </w:p>
        </w:tc>
        <w:tc>
          <w:tcPr>
            <w:tcW w:w="859" w:type="dxa"/>
            <w:tcBorders>
              <w:top w:val="nil"/>
              <w:left w:val="nil"/>
              <w:bottom w:val="nil"/>
              <w:right w:val="single" w:sz="4" w:space="0" w:color="auto"/>
            </w:tcBorders>
            <w:shd w:val="clear" w:color="auto" w:fill="auto"/>
            <w:noWrap/>
            <w:vAlign w:val="center"/>
            <w:hideMark/>
          </w:tcPr>
          <w:p w14:paraId="3CB30D3D" w14:textId="207FCFCA"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36</w:t>
            </w:r>
            <w:r w:rsidR="001239A7">
              <w:rPr>
                <w:rFonts w:cs="Arial"/>
                <w:color w:val="000000"/>
                <w:sz w:val="16"/>
                <w:szCs w:val="16"/>
              </w:rPr>
              <w:t xml:space="preserve"> </w:t>
            </w:r>
            <w:r w:rsidRPr="00EE5D67">
              <w:rPr>
                <w:rFonts w:cs="Arial"/>
                <w:color w:val="000000"/>
                <w:sz w:val="16"/>
                <w:szCs w:val="16"/>
              </w:rPr>
              <w:t>833</w:t>
            </w:r>
          </w:p>
        </w:tc>
        <w:tc>
          <w:tcPr>
            <w:tcW w:w="972" w:type="dxa"/>
            <w:tcBorders>
              <w:top w:val="nil"/>
              <w:left w:val="nil"/>
              <w:bottom w:val="nil"/>
              <w:right w:val="nil"/>
            </w:tcBorders>
            <w:shd w:val="clear" w:color="auto" w:fill="auto"/>
            <w:noWrap/>
            <w:vAlign w:val="center"/>
            <w:hideMark/>
          </w:tcPr>
          <w:p w14:paraId="3C0FB4D4"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5 483 093</w:t>
            </w:r>
          </w:p>
        </w:tc>
        <w:tc>
          <w:tcPr>
            <w:tcW w:w="972" w:type="dxa"/>
            <w:tcBorders>
              <w:top w:val="nil"/>
              <w:left w:val="nil"/>
              <w:bottom w:val="nil"/>
              <w:right w:val="nil"/>
            </w:tcBorders>
            <w:shd w:val="clear" w:color="auto" w:fill="auto"/>
            <w:noWrap/>
            <w:vAlign w:val="center"/>
            <w:hideMark/>
          </w:tcPr>
          <w:p w14:paraId="4198F06C"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3 383 430</w:t>
            </w:r>
          </w:p>
        </w:tc>
        <w:tc>
          <w:tcPr>
            <w:tcW w:w="973" w:type="dxa"/>
            <w:tcBorders>
              <w:top w:val="nil"/>
              <w:left w:val="nil"/>
              <w:bottom w:val="nil"/>
              <w:right w:val="single" w:sz="4" w:space="0" w:color="auto"/>
            </w:tcBorders>
            <w:shd w:val="clear" w:color="auto" w:fill="auto"/>
            <w:noWrap/>
            <w:vAlign w:val="center"/>
            <w:hideMark/>
          </w:tcPr>
          <w:p w14:paraId="234C3D0C"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2 099 663</w:t>
            </w:r>
          </w:p>
        </w:tc>
        <w:tc>
          <w:tcPr>
            <w:tcW w:w="652" w:type="dxa"/>
            <w:tcBorders>
              <w:top w:val="nil"/>
              <w:left w:val="nil"/>
              <w:bottom w:val="nil"/>
              <w:right w:val="nil"/>
            </w:tcBorders>
            <w:shd w:val="clear" w:color="auto" w:fill="auto"/>
            <w:noWrap/>
            <w:vAlign w:val="center"/>
            <w:hideMark/>
          </w:tcPr>
          <w:p w14:paraId="3ECEB8B8"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55,55</w:t>
            </w:r>
          </w:p>
        </w:tc>
        <w:tc>
          <w:tcPr>
            <w:tcW w:w="709" w:type="dxa"/>
            <w:tcBorders>
              <w:top w:val="nil"/>
              <w:left w:val="nil"/>
              <w:bottom w:val="nil"/>
              <w:right w:val="nil"/>
            </w:tcBorders>
            <w:shd w:val="clear" w:color="auto" w:fill="auto"/>
            <w:noWrap/>
            <w:vAlign w:val="center"/>
            <w:hideMark/>
          </w:tcPr>
          <w:p w14:paraId="1B915000"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54,69</w:t>
            </w:r>
          </w:p>
        </w:tc>
        <w:tc>
          <w:tcPr>
            <w:tcW w:w="692" w:type="dxa"/>
            <w:tcBorders>
              <w:top w:val="nil"/>
              <w:left w:val="nil"/>
              <w:bottom w:val="nil"/>
              <w:right w:val="nil"/>
            </w:tcBorders>
            <w:shd w:val="clear" w:color="auto" w:fill="auto"/>
            <w:noWrap/>
            <w:vAlign w:val="center"/>
            <w:hideMark/>
          </w:tcPr>
          <w:p w14:paraId="30B6CBB8"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57,00</w:t>
            </w:r>
          </w:p>
        </w:tc>
      </w:tr>
      <w:tr w:rsidR="00EE5D67" w:rsidRPr="00EE5D67" w14:paraId="4D49705D"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1FEC99A3" w14:textId="4E727A65" w:rsidR="00EE5D67" w:rsidRPr="00EE5D67" w:rsidRDefault="00EE5D67" w:rsidP="00EE5D67">
            <w:pPr>
              <w:spacing w:after="0" w:line="240" w:lineRule="auto"/>
              <w:rPr>
                <w:rFonts w:cs="Arial"/>
                <w:sz w:val="16"/>
                <w:szCs w:val="16"/>
              </w:rPr>
            </w:pPr>
            <w:r w:rsidRPr="00EE5D67">
              <w:rPr>
                <w:rFonts w:cs="Arial"/>
                <w:sz w:val="16"/>
                <w:szCs w:val="16"/>
              </w:rPr>
              <w:t>Nemoci ostatní (výše neuvedené)</w:t>
            </w:r>
          </w:p>
        </w:tc>
        <w:tc>
          <w:tcPr>
            <w:tcW w:w="972" w:type="dxa"/>
            <w:tcBorders>
              <w:top w:val="nil"/>
              <w:left w:val="single" w:sz="4" w:space="0" w:color="auto"/>
              <w:bottom w:val="single" w:sz="4" w:space="0" w:color="auto"/>
              <w:right w:val="nil"/>
            </w:tcBorders>
            <w:shd w:val="clear" w:color="auto" w:fill="auto"/>
            <w:noWrap/>
            <w:vAlign w:val="center"/>
            <w:hideMark/>
          </w:tcPr>
          <w:p w14:paraId="52CED35D" w14:textId="4ECCF0BC"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87</w:t>
            </w:r>
            <w:r w:rsidR="001239A7">
              <w:rPr>
                <w:rFonts w:cs="Arial"/>
                <w:color w:val="000000"/>
                <w:sz w:val="16"/>
                <w:szCs w:val="16"/>
              </w:rPr>
              <w:t xml:space="preserve"> </w:t>
            </w:r>
            <w:r w:rsidRPr="00EE5D67">
              <w:rPr>
                <w:rFonts w:cs="Arial"/>
                <w:color w:val="000000"/>
                <w:sz w:val="16"/>
                <w:szCs w:val="16"/>
              </w:rPr>
              <w:t>891</w:t>
            </w:r>
          </w:p>
        </w:tc>
        <w:tc>
          <w:tcPr>
            <w:tcW w:w="857" w:type="dxa"/>
            <w:tcBorders>
              <w:top w:val="nil"/>
              <w:left w:val="nil"/>
              <w:bottom w:val="nil"/>
              <w:right w:val="nil"/>
            </w:tcBorders>
            <w:shd w:val="clear" w:color="auto" w:fill="auto"/>
            <w:noWrap/>
            <w:vAlign w:val="center"/>
            <w:hideMark/>
          </w:tcPr>
          <w:p w14:paraId="638F65C2" w14:textId="0594CAAE"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35</w:t>
            </w:r>
            <w:r w:rsidR="001239A7">
              <w:rPr>
                <w:rFonts w:cs="Arial"/>
                <w:color w:val="000000"/>
                <w:sz w:val="16"/>
                <w:szCs w:val="16"/>
              </w:rPr>
              <w:t xml:space="preserve"> </w:t>
            </w:r>
            <w:r w:rsidRPr="00EE5D67">
              <w:rPr>
                <w:rFonts w:cs="Arial"/>
                <w:color w:val="000000"/>
                <w:sz w:val="16"/>
                <w:szCs w:val="16"/>
              </w:rPr>
              <w:t>405</w:t>
            </w:r>
          </w:p>
        </w:tc>
        <w:tc>
          <w:tcPr>
            <w:tcW w:w="859" w:type="dxa"/>
            <w:tcBorders>
              <w:top w:val="nil"/>
              <w:left w:val="nil"/>
              <w:bottom w:val="single" w:sz="4" w:space="0" w:color="auto"/>
              <w:right w:val="single" w:sz="4" w:space="0" w:color="auto"/>
            </w:tcBorders>
            <w:shd w:val="clear" w:color="auto" w:fill="auto"/>
            <w:noWrap/>
            <w:vAlign w:val="center"/>
            <w:hideMark/>
          </w:tcPr>
          <w:p w14:paraId="0F3FAE8D" w14:textId="72AB76D2"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52</w:t>
            </w:r>
            <w:r w:rsidR="001239A7">
              <w:rPr>
                <w:rFonts w:cs="Arial"/>
                <w:color w:val="000000"/>
                <w:sz w:val="16"/>
                <w:szCs w:val="16"/>
              </w:rPr>
              <w:t xml:space="preserve"> </w:t>
            </w:r>
            <w:r w:rsidRPr="00EE5D67">
              <w:rPr>
                <w:rFonts w:cs="Arial"/>
                <w:color w:val="000000"/>
                <w:sz w:val="16"/>
                <w:szCs w:val="16"/>
              </w:rPr>
              <w:t>486</w:t>
            </w:r>
          </w:p>
        </w:tc>
        <w:tc>
          <w:tcPr>
            <w:tcW w:w="972" w:type="dxa"/>
            <w:tcBorders>
              <w:top w:val="nil"/>
              <w:left w:val="nil"/>
              <w:bottom w:val="nil"/>
              <w:right w:val="nil"/>
            </w:tcBorders>
            <w:shd w:val="clear" w:color="auto" w:fill="auto"/>
            <w:noWrap/>
            <w:vAlign w:val="center"/>
            <w:hideMark/>
          </w:tcPr>
          <w:p w14:paraId="1918205B"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3 363 280</w:t>
            </w:r>
          </w:p>
        </w:tc>
        <w:tc>
          <w:tcPr>
            <w:tcW w:w="972" w:type="dxa"/>
            <w:tcBorders>
              <w:top w:val="nil"/>
              <w:left w:val="nil"/>
              <w:bottom w:val="nil"/>
              <w:right w:val="nil"/>
            </w:tcBorders>
            <w:shd w:val="clear" w:color="auto" w:fill="auto"/>
            <w:noWrap/>
            <w:vAlign w:val="center"/>
            <w:hideMark/>
          </w:tcPr>
          <w:p w14:paraId="4D9E0153"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1 108 240</w:t>
            </w:r>
          </w:p>
        </w:tc>
        <w:tc>
          <w:tcPr>
            <w:tcW w:w="973" w:type="dxa"/>
            <w:tcBorders>
              <w:top w:val="nil"/>
              <w:left w:val="nil"/>
              <w:bottom w:val="single" w:sz="4" w:space="0" w:color="auto"/>
              <w:right w:val="single" w:sz="4" w:space="0" w:color="auto"/>
            </w:tcBorders>
            <w:shd w:val="clear" w:color="auto" w:fill="auto"/>
            <w:noWrap/>
            <w:vAlign w:val="center"/>
            <w:hideMark/>
          </w:tcPr>
          <w:p w14:paraId="41A5A4D2"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2 255 040</w:t>
            </w:r>
          </w:p>
        </w:tc>
        <w:tc>
          <w:tcPr>
            <w:tcW w:w="652" w:type="dxa"/>
            <w:tcBorders>
              <w:top w:val="nil"/>
              <w:left w:val="nil"/>
              <w:bottom w:val="nil"/>
              <w:right w:val="nil"/>
            </w:tcBorders>
            <w:shd w:val="clear" w:color="auto" w:fill="auto"/>
            <w:noWrap/>
            <w:vAlign w:val="center"/>
            <w:hideMark/>
          </w:tcPr>
          <w:p w14:paraId="0AB0D3B3"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38,27</w:t>
            </w:r>
          </w:p>
        </w:tc>
        <w:tc>
          <w:tcPr>
            <w:tcW w:w="709" w:type="dxa"/>
            <w:tcBorders>
              <w:top w:val="nil"/>
              <w:left w:val="nil"/>
              <w:bottom w:val="nil"/>
              <w:right w:val="nil"/>
            </w:tcBorders>
            <w:shd w:val="clear" w:color="auto" w:fill="auto"/>
            <w:noWrap/>
            <w:vAlign w:val="center"/>
            <w:hideMark/>
          </w:tcPr>
          <w:p w14:paraId="3CB6317A"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31,30</w:t>
            </w:r>
          </w:p>
        </w:tc>
        <w:tc>
          <w:tcPr>
            <w:tcW w:w="692" w:type="dxa"/>
            <w:tcBorders>
              <w:top w:val="nil"/>
              <w:left w:val="nil"/>
              <w:bottom w:val="nil"/>
              <w:right w:val="nil"/>
            </w:tcBorders>
            <w:shd w:val="clear" w:color="auto" w:fill="auto"/>
            <w:noWrap/>
            <w:vAlign w:val="center"/>
            <w:hideMark/>
          </w:tcPr>
          <w:p w14:paraId="3494D8AF"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42,96</w:t>
            </w:r>
          </w:p>
        </w:tc>
      </w:tr>
      <w:tr w:rsidR="00EE5D67" w:rsidRPr="00EE5D67" w14:paraId="0748AB7A"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156881DF" w14:textId="77777777" w:rsidR="00EE5D67" w:rsidRPr="00EE5D67" w:rsidRDefault="00EE5D67" w:rsidP="00EE5D67">
            <w:pPr>
              <w:spacing w:after="0" w:line="240" w:lineRule="auto"/>
              <w:jc w:val="right"/>
              <w:rPr>
                <w:rFonts w:cs="Arial"/>
                <w:color w:val="000000"/>
                <w:sz w:val="16"/>
                <w:szCs w:val="16"/>
              </w:rPr>
            </w:pPr>
          </w:p>
        </w:tc>
        <w:tc>
          <w:tcPr>
            <w:tcW w:w="7667" w:type="dxa"/>
            <w:gridSpan w:val="9"/>
            <w:tcBorders>
              <w:top w:val="single" w:sz="4" w:space="0" w:color="auto"/>
              <w:left w:val="single" w:sz="4" w:space="0" w:color="auto"/>
              <w:bottom w:val="single" w:sz="4" w:space="0" w:color="auto"/>
              <w:right w:val="nil"/>
            </w:tcBorders>
            <w:shd w:val="clear" w:color="auto" w:fill="auto"/>
            <w:vAlign w:val="center"/>
            <w:hideMark/>
          </w:tcPr>
          <w:p w14:paraId="654AF292" w14:textId="77777777" w:rsidR="00EE5D67" w:rsidRPr="00EE5D67" w:rsidRDefault="00EE5D67" w:rsidP="001729E0">
            <w:pPr>
              <w:spacing w:after="0" w:line="240" w:lineRule="auto"/>
              <w:jc w:val="center"/>
              <w:rPr>
                <w:rFonts w:ascii="Arial CE" w:hAnsi="Arial CE" w:cs="Arial CE"/>
                <w:sz w:val="16"/>
                <w:szCs w:val="16"/>
              </w:rPr>
            </w:pPr>
            <w:r w:rsidRPr="00EE5D67">
              <w:rPr>
                <w:rFonts w:ascii="Arial CE" w:hAnsi="Arial CE" w:cs="Arial CE"/>
                <w:sz w:val="16"/>
                <w:szCs w:val="16"/>
              </w:rPr>
              <w:t>1. pololetí 2018</w:t>
            </w:r>
          </w:p>
        </w:tc>
      </w:tr>
      <w:tr w:rsidR="00EE5D67" w:rsidRPr="00EE5D67" w14:paraId="2CEC1693" w14:textId="77777777" w:rsidTr="001239A7">
        <w:trPr>
          <w:divId w:val="1836259990"/>
          <w:trHeight w:val="223"/>
        </w:trPr>
        <w:tc>
          <w:tcPr>
            <w:tcW w:w="2148" w:type="dxa"/>
            <w:tcBorders>
              <w:top w:val="nil"/>
              <w:left w:val="nil"/>
              <w:bottom w:val="nil"/>
              <w:right w:val="nil"/>
            </w:tcBorders>
            <w:shd w:val="clear" w:color="auto" w:fill="auto"/>
            <w:vAlign w:val="center"/>
            <w:hideMark/>
          </w:tcPr>
          <w:p w14:paraId="09E71208" w14:textId="432E86CC" w:rsidR="00EE5D67" w:rsidRPr="00EE5D67" w:rsidRDefault="00244622" w:rsidP="00EE5D67">
            <w:pPr>
              <w:spacing w:after="0" w:line="240" w:lineRule="auto"/>
              <w:rPr>
                <w:rFonts w:cs="Arial"/>
                <w:b/>
                <w:bCs/>
                <w:sz w:val="16"/>
                <w:szCs w:val="16"/>
              </w:rPr>
            </w:pPr>
            <w:r>
              <w:rPr>
                <w:rFonts w:cs="Arial"/>
                <w:b/>
                <w:bCs/>
                <w:sz w:val="16"/>
                <w:szCs w:val="16"/>
              </w:rPr>
              <w:t>C</w:t>
            </w:r>
            <w:r w:rsidR="00EE5D67" w:rsidRPr="00EE5D67">
              <w:rPr>
                <w:rFonts w:cs="Arial"/>
                <w:b/>
                <w:bCs/>
                <w:sz w:val="16"/>
                <w:szCs w:val="16"/>
              </w:rPr>
              <w:t>elkem</w:t>
            </w:r>
          </w:p>
        </w:tc>
        <w:tc>
          <w:tcPr>
            <w:tcW w:w="972" w:type="dxa"/>
            <w:tcBorders>
              <w:top w:val="nil"/>
              <w:left w:val="single" w:sz="4" w:space="0" w:color="auto"/>
              <w:bottom w:val="nil"/>
              <w:right w:val="nil"/>
            </w:tcBorders>
            <w:shd w:val="clear" w:color="auto" w:fill="auto"/>
            <w:noWrap/>
            <w:vAlign w:val="center"/>
            <w:hideMark/>
          </w:tcPr>
          <w:p w14:paraId="00AB84EB" w14:textId="77777777" w:rsidR="00EE5D67" w:rsidRPr="00EE5D67" w:rsidRDefault="00EE5D67" w:rsidP="00EE5D67">
            <w:pPr>
              <w:spacing w:after="0" w:line="240" w:lineRule="auto"/>
              <w:jc w:val="right"/>
              <w:rPr>
                <w:rFonts w:cs="Arial"/>
                <w:b/>
                <w:bCs/>
                <w:sz w:val="16"/>
                <w:szCs w:val="16"/>
              </w:rPr>
            </w:pPr>
            <w:r w:rsidRPr="00EE5D67">
              <w:rPr>
                <w:rFonts w:cs="Arial"/>
                <w:b/>
                <w:bCs/>
                <w:sz w:val="16"/>
                <w:szCs w:val="16"/>
              </w:rPr>
              <w:t>1 013 791</w:t>
            </w:r>
          </w:p>
        </w:tc>
        <w:tc>
          <w:tcPr>
            <w:tcW w:w="857" w:type="dxa"/>
            <w:tcBorders>
              <w:top w:val="nil"/>
              <w:left w:val="nil"/>
              <w:bottom w:val="nil"/>
              <w:right w:val="nil"/>
            </w:tcBorders>
            <w:shd w:val="clear" w:color="auto" w:fill="auto"/>
            <w:noWrap/>
            <w:vAlign w:val="center"/>
            <w:hideMark/>
          </w:tcPr>
          <w:p w14:paraId="4F16CDD6" w14:textId="77777777" w:rsidR="00EE5D67" w:rsidRPr="00EE5D67" w:rsidRDefault="00EE5D67" w:rsidP="00EE5D67">
            <w:pPr>
              <w:spacing w:after="0" w:line="240" w:lineRule="auto"/>
              <w:jc w:val="right"/>
              <w:rPr>
                <w:rFonts w:cs="Arial"/>
                <w:b/>
                <w:bCs/>
                <w:sz w:val="16"/>
                <w:szCs w:val="16"/>
              </w:rPr>
            </w:pPr>
            <w:r w:rsidRPr="00EE5D67">
              <w:rPr>
                <w:rFonts w:cs="Arial"/>
                <w:b/>
                <w:bCs/>
                <w:sz w:val="16"/>
                <w:szCs w:val="16"/>
              </w:rPr>
              <w:t>471 646</w:t>
            </w:r>
          </w:p>
        </w:tc>
        <w:tc>
          <w:tcPr>
            <w:tcW w:w="859" w:type="dxa"/>
            <w:tcBorders>
              <w:top w:val="nil"/>
              <w:left w:val="nil"/>
              <w:bottom w:val="nil"/>
              <w:right w:val="single" w:sz="4" w:space="0" w:color="auto"/>
            </w:tcBorders>
            <w:shd w:val="clear" w:color="auto" w:fill="auto"/>
            <w:noWrap/>
            <w:vAlign w:val="center"/>
            <w:hideMark/>
          </w:tcPr>
          <w:p w14:paraId="38E379DD" w14:textId="77777777" w:rsidR="00EE5D67" w:rsidRPr="00EE5D67" w:rsidRDefault="00EE5D67" w:rsidP="00EE5D67">
            <w:pPr>
              <w:spacing w:after="0" w:line="240" w:lineRule="auto"/>
              <w:jc w:val="right"/>
              <w:rPr>
                <w:rFonts w:cs="Arial"/>
                <w:b/>
                <w:bCs/>
                <w:sz w:val="16"/>
                <w:szCs w:val="16"/>
              </w:rPr>
            </w:pPr>
            <w:r w:rsidRPr="00EE5D67">
              <w:rPr>
                <w:rFonts w:cs="Arial"/>
                <w:b/>
                <w:bCs/>
                <w:sz w:val="16"/>
                <w:szCs w:val="16"/>
              </w:rPr>
              <w:t>542 145</w:t>
            </w:r>
          </w:p>
        </w:tc>
        <w:tc>
          <w:tcPr>
            <w:tcW w:w="972" w:type="dxa"/>
            <w:tcBorders>
              <w:top w:val="nil"/>
              <w:left w:val="nil"/>
              <w:bottom w:val="nil"/>
              <w:right w:val="nil"/>
            </w:tcBorders>
            <w:shd w:val="clear" w:color="auto" w:fill="auto"/>
            <w:noWrap/>
            <w:vAlign w:val="center"/>
            <w:hideMark/>
          </w:tcPr>
          <w:p w14:paraId="09C6E08A" w14:textId="77777777" w:rsidR="00EE5D67" w:rsidRPr="00EE5D67" w:rsidRDefault="00EE5D67" w:rsidP="00EE5D67">
            <w:pPr>
              <w:spacing w:after="0" w:line="240" w:lineRule="auto"/>
              <w:jc w:val="right"/>
              <w:rPr>
                <w:rFonts w:cs="Arial"/>
                <w:b/>
                <w:bCs/>
                <w:sz w:val="16"/>
                <w:szCs w:val="16"/>
              </w:rPr>
            </w:pPr>
            <w:r w:rsidRPr="00EE5D67">
              <w:rPr>
                <w:rFonts w:cs="Arial"/>
                <w:b/>
                <w:bCs/>
                <w:sz w:val="16"/>
                <w:szCs w:val="16"/>
              </w:rPr>
              <w:t>38 286 512</w:t>
            </w:r>
          </w:p>
        </w:tc>
        <w:tc>
          <w:tcPr>
            <w:tcW w:w="972" w:type="dxa"/>
            <w:tcBorders>
              <w:top w:val="nil"/>
              <w:left w:val="nil"/>
              <w:bottom w:val="nil"/>
              <w:right w:val="nil"/>
            </w:tcBorders>
            <w:shd w:val="clear" w:color="auto" w:fill="auto"/>
            <w:noWrap/>
            <w:vAlign w:val="center"/>
            <w:hideMark/>
          </w:tcPr>
          <w:p w14:paraId="2DA0CC06" w14:textId="77777777" w:rsidR="00EE5D67" w:rsidRPr="00EE5D67" w:rsidRDefault="00EE5D67" w:rsidP="00EE5D67">
            <w:pPr>
              <w:spacing w:after="0" w:line="240" w:lineRule="auto"/>
              <w:jc w:val="right"/>
              <w:rPr>
                <w:rFonts w:cs="Arial"/>
                <w:b/>
                <w:bCs/>
                <w:sz w:val="16"/>
                <w:szCs w:val="16"/>
              </w:rPr>
            </w:pPr>
            <w:r w:rsidRPr="00EE5D67">
              <w:rPr>
                <w:rFonts w:cs="Arial"/>
                <w:b/>
                <w:bCs/>
                <w:sz w:val="16"/>
                <w:szCs w:val="16"/>
              </w:rPr>
              <w:t>17 174 798</w:t>
            </w:r>
          </w:p>
        </w:tc>
        <w:tc>
          <w:tcPr>
            <w:tcW w:w="973" w:type="dxa"/>
            <w:tcBorders>
              <w:top w:val="nil"/>
              <w:left w:val="nil"/>
              <w:bottom w:val="nil"/>
              <w:right w:val="single" w:sz="4" w:space="0" w:color="auto"/>
            </w:tcBorders>
            <w:shd w:val="clear" w:color="auto" w:fill="auto"/>
            <w:noWrap/>
            <w:vAlign w:val="center"/>
            <w:hideMark/>
          </w:tcPr>
          <w:p w14:paraId="0CBFDD5F" w14:textId="77777777" w:rsidR="00EE5D67" w:rsidRPr="00EE5D67" w:rsidRDefault="00EE5D67" w:rsidP="00EE5D67">
            <w:pPr>
              <w:spacing w:after="0" w:line="240" w:lineRule="auto"/>
              <w:jc w:val="right"/>
              <w:rPr>
                <w:rFonts w:cs="Arial"/>
                <w:b/>
                <w:bCs/>
                <w:sz w:val="16"/>
                <w:szCs w:val="16"/>
              </w:rPr>
            </w:pPr>
            <w:r w:rsidRPr="00EE5D67">
              <w:rPr>
                <w:rFonts w:cs="Arial"/>
                <w:b/>
                <w:bCs/>
                <w:sz w:val="16"/>
                <w:szCs w:val="16"/>
              </w:rPr>
              <w:t>21 111 714</w:t>
            </w:r>
          </w:p>
        </w:tc>
        <w:tc>
          <w:tcPr>
            <w:tcW w:w="652" w:type="dxa"/>
            <w:tcBorders>
              <w:top w:val="nil"/>
              <w:left w:val="nil"/>
              <w:bottom w:val="nil"/>
              <w:right w:val="nil"/>
            </w:tcBorders>
            <w:shd w:val="clear" w:color="auto" w:fill="auto"/>
            <w:noWrap/>
            <w:vAlign w:val="center"/>
            <w:hideMark/>
          </w:tcPr>
          <w:p w14:paraId="379C3B29" w14:textId="77777777" w:rsidR="00EE5D67" w:rsidRPr="00EE5D67" w:rsidRDefault="00EE5D67" w:rsidP="001239A7">
            <w:pPr>
              <w:spacing w:after="0" w:line="240" w:lineRule="auto"/>
              <w:jc w:val="right"/>
              <w:rPr>
                <w:rFonts w:ascii="Arial CE" w:hAnsi="Arial CE" w:cs="Arial CE"/>
                <w:b/>
                <w:bCs/>
                <w:sz w:val="16"/>
                <w:szCs w:val="16"/>
              </w:rPr>
            </w:pPr>
            <w:r w:rsidRPr="00EE5D67">
              <w:rPr>
                <w:rFonts w:ascii="Arial CE" w:hAnsi="Arial CE" w:cs="Arial CE"/>
                <w:b/>
                <w:bCs/>
                <w:sz w:val="16"/>
                <w:szCs w:val="16"/>
              </w:rPr>
              <w:t>37,77</w:t>
            </w:r>
          </w:p>
        </w:tc>
        <w:tc>
          <w:tcPr>
            <w:tcW w:w="709" w:type="dxa"/>
            <w:tcBorders>
              <w:top w:val="nil"/>
              <w:left w:val="nil"/>
              <w:bottom w:val="nil"/>
              <w:right w:val="nil"/>
            </w:tcBorders>
            <w:shd w:val="clear" w:color="auto" w:fill="auto"/>
            <w:noWrap/>
            <w:vAlign w:val="center"/>
            <w:hideMark/>
          </w:tcPr>
          <w:p w14:paraId="7F966FD4" w14:textId="77777777" w:rsidR="00EE5D67" w:rsidRPr="00EE5D67" w:rsidRDefault="00EE5D67" w:rsidP="001239A7">
            <w:pPr>
              <w:spacing w:after="0" w:line="240" w:lineRule="auto"/>
              <w:jc w:val="right"/>
              <w:rPr>
                <w:rFonts w:ascii="Arial CE" w:hAnsi="Arial CE" w:cs="Arial CE"/>
                <w:b/>
                <w:bCs/>
                <w:sz w:val="16"/>
                <w:szCs w:val="16"/>
              </w:rPr>
            </w:pPr>
            <w:r w:rsidRPr="00EE5D67">
              <w:rPr>
                <w:rFonts w:ascii="Arial CE" w:hAnsi="Arial CE" w:cs="Arial CE"/>
                <w:b/>
                <w:bCs/>
                <w:sz w:val="16"/>
                <w:szCs w:val="16"/>
              </w:rPr>
              <w:t>36,41</w:t>
            </w:r>
          </w:p>
        </w:tc>
        <w:tc>
          <w:tcPr>
            <w:tcW w:w="692" w:type="dxa"/>
            <w:tcBorders>
              <w:top w:val="nil"/>
              <w:left w:val="nil"/>
              <w:bottom w:val="nil"/>
              <w:right w:val="nil"/>
            </w:tcBorders>
            <w:shd w:val="clear" w:color="auto" w:fill="auto"/>
            <w:noWrap/>
            <w:vAlign w:val="center"/>
            <w:hideMark/>
          </w:tcPr>
          <w:p w14:paraId="494D1359" w14:textId="77777777" w:rsidR="00EE5D67" w:rsidRPr="00EE5D67" w:rsidRDefault="00EE5D67" w:rsidP="001239A7">
            <w:pPr>
              <w:spacing w:after="0" w:line="240" w:lineRule="auto"/>
              <w:jc w:val="right"/>
              <w:rPr>
                <w:rFonts w:ascii="Arial CE" w:hAnsi="Arial CE" w:cs="Arial CE"/>
                <w:b/>
                <w:bCs/>
                <w:sz w:val="16"/>
                <w:szCs w:val="16"/>
              </w:rPr>
            </w:pPr>
            <w:r w:rsidRPr="00EE5D67">
              <w:rPr>
                <w:rFonts w:ascii="Arial CE" w:hAnsi="Arial CE" w:cs="Arial CE"/>
                <w:b/>
                <w:bCs/>
                <w:sz w:val="16"/>
                <w:szCs w:val="16"/>
              </w:rPr>
              <w:t>38,94</w:t>
            </w:r>
          </w:p>
        </w:tc>
      </w:tr>
      <w:tr w:rsidR="00EE5D67" w:rsidRPr="00EE5D67" w14:paraId="2529BAB6"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782AC5B0" w14:textId="16AF14E7" w:rsidR="00EE5D67" w:rsidRPr="00EE5D67" w:rsidRDefault="00EE5D67" w:rsidP="00EE5D67">
            <w:pPr>
              <w:spacing w:after="0" w:line="240" w:lineRule="auto"/>
              <w:rPr>
                <w:rFonts w:cs="Arial"/>
                <w:sz w:val="16"/>
                <w:szCs w:val="16"/>
              </w:rPr>
            </w:pPr>
            <w:r w:rsidRPr="00EE5D67">
              <w:rPr>
                <w:rFonts w:cs="Arial"/>
                <w:sz w:val="16"/>
                <w:szCs w:val="16"/>
              </w:rPr>
              <w:t>Tuberkulóza</w:t>
            </w:r>
          </w:p>
        </w:tc>
        <w:tc>
          <w:tcPr>
            <w:tcW w:w="972" w:type="dxa"/>
            <w:tcBorders>
              <w:top w:val="nil"/>
              <w:left w:val="single" w:sz="4" w:space="0" w:color="auto"/>
              <w:bottom w:val="nil"/>
              <w:right w:val="nil"/>
            </w:tcBorders>
            <w:shd w:val="clear" w:color="auto" w:fill="auto"/>
            <w:vAlign w:val="center"/>
            <w:hideMark/>
          </w:tcPr>
          <w:p w14:paraId="1BEEEB4C" w14:textId="77777777" w:rsidR="00EE5D67" w:rsidRPr="00EE5D67" w:rsidRDefault="00EE5D67" w:rsidP="00EE5D67">
            <w:pPr>
              <w:spacing w:after="0" w:line="240" w:lineRule="auto"/>
              <w:jc w:val="right"/>
              <w:rPr>
                <w:rFonts w:cs="Arial"/>
                <w:sz w:val="16"/>
                <w:szCs w:val="16"/>
              </w:rPr>
            </w:pPr>
            <w:r w:rsidRPr="00EE5D67">
              <w:rPr>
                <w:rFonts w:cs="Arial"/>
                <w:sz w:val="16"/>
                <w:szCs w:val="16"/>
              </w:rPr>
              <w:t>43</w:t>
            </w:r>
          </w:p>
        </w:tc>
        <w:tc>
          <w:tcPr>
            <w:tcW w:w="857" w:type="dxa"/>
            <w:tcBorders>
              <w:top w:val="nil"/>
              <w:left w:val="nil"/>
              <w:bottom w:val="nil"/>
              <w:right w:val="nil"/>
            </w:tcBorders>
            <w:shd w:val="clear" w:color="auto" w:fill="auto"/>
            <w:vAlign w:val="center"/>
            <w:hideMark/>
          </w:tcPr>
          <w:p w14:paraId="37C58DEA" w14:textId="77777777" w:rsidR="00EE5D67" w:rsidRPr="00EE5D67" w:rsidRDefault="00EE5D67" w:rsidP="00EE5D67">
            <w:pPr>
              <w:spacing w:after="0" w:line="240" w:lineRule="auto"/>
              <w:jc w:val="right"/>
              <w:rPr>
                <w:rFonts w:cs="Arial"/>
                <w:sz w:val="16"/>
                <w:szCs w:val="16"/>
              </w:rPr>
            </w:pPr>
            <w:r w:rsidRPr="00EE5D67">
              <w:rPr>
                <w:rFonts w:cs="Arial"/>
                <w:sz w:val="16"/>
                <w:szCs w:val="16"/>
              </w:rPr>
              <w:t>31</w:t>
            </w:r>
          </w:p>
        </w:tc>
        <w:tc>
          <w:tcPr>
            <w:tcW w:w="859" w:type="dxa"/>
            <w:tcBorders>
              <w:top w:val="nil"/>
              <w:left w:val="nil"/>
              <w:bottom w:val="nil"/>
              <w:right w:val="single" w:sz="4" w:space="0" w:color="auto"/>
            </w:tcBorders>
            <w:shd w:val="clear" w:color="auto" w:fill="auto"/>
            <w:vAlign w:val="center"/>
            <w:hideMark/>
          </w:tcPr>
          <w:p w14:paraId="30E2128A" w14:textId="77777777" w:rsidR="00EE5D67" w:rsidRPr="00EE5D67" w:rsidRDefault="00EE5D67" w:rsidP="00EE5D67">
            <w:pPr>
              <w:spacing w:after="0" w:line="240" w:lineRule="auto"/>
              <w:jc w:val="right"/>
              <w:rPr>
                <w:rFonts w:cs="Arial"/>
                <w:sz w:val="16"/>
                <w:szCs w:val="16"/>
              </w:rPr>
            </w:pPr>
            <w:r w:rsidRPr="00EE5D67">
              <w:rPr>
                <w:rFonts w:cs="Arial"/>
                <w:sz w:val="16"/>
                <w:szCs w:val="16"/>
              </w:rPr>
              <w:t>12</w:t>
            </w:r>
          </w:p>
        </w:tc>
        <w:tc>
          <w:tcPr>
            <w:tcW w:w="972" w:type="dxa"/>
            <w:tcBorders>
              <w:top w:val="nil"/>
              <w:left w:val="nil"/>
              <w:bottom w:val="nil"/>
              <w:right w:val="nil"/>
            </w:tcBorders>
            <w:shd w:val="clear" w:color="auto" w:fill="auto"/>
            <w:vAlign w:val="center"/>
            <w:hideMark/>
          </w:tcPr>
          <w:p w14:paraId="6BEE0B60" w14:textId="77777777" w:rsidR="00EE5D67" w:rsidRPr="00EE5D67" w:rsidRDefault="00EE5D67" w:rsidP="00EE5D67">
            <w:pPr>
              <w:spacing w:after="0" w:line="240" w:lineRule="auto"/>
              <w:jc w:val="right"/>
              <w:rPr>
                <w:rFonts w:cs="Arial"/>
                <w:sz w:val="16"/>
                <w:szCs w:val="16"/>
              </w:rPr>
            </w:pPr>
            <w:r w:rsidRPr="00EE5D67">
              <w:rPr>
                <w:rFonts w:cs="Arial"/>
                <w:sz w:val="16"/>
                <w:szCs w:val="16"/>
              </w:rPr>
              <w:t>8 904</w:t>
            </w:r>
          </w:p>
        </w:tc>
        <w:tc>
          <w:tcPr>
            <w:tcW w:w="972" w:type="dxa"/>
            <w:tcBorders>
              <w:top w:val="nil"/>
              <w:left w:val="nil"/>
              <w:bottom w:val="nil"/>
              <w:right w:val="nil"/>
            </w:tcBorders>
            <w:shd w:val="clear" w:color="auto" w:fill="auto"/>
            <w:vAlign w:val="center"/>
            <w:hideMark/>
          </w:tcPr>
          <w:p w14:paraId="26375A83" w14:textId="77777777" w:rsidR="00EE5D67" w:rsidRPr="00EE5D67" w:rsidRDefault="00EE5D67" w:rsidP="00EE5D67">
            <w:pPr>
              <w:spacing w:after="0" w:line="240" w:lineRule="auto"/>
              <w:jc w:val="right"/>
              <w:rPr>
                <w:rFonts w:cs="Arial"/>
                <w:sz w:val="16"/>
                <w:szCs w:val="16"/>
              </w:rPr>
            </w:pPr>
            <w:r w:rsidRPr="00EE5D67">
              <w:rPr>
                <w:rFonts w:cs="Arial"/>
                <w:sz w:val="16"/>
                <w:szCs w:val="16"/>
              </w:rPr>
              <w:t>7 312</w:t>
            </w:r>
          </w:p>
        </w:tc>
        <w:tc>
          <w:tcPr>
            <w:tcW w:w="973" w:type="dxa"/>
            <w:tcBorders>
              <w:top w:val="nil"/>
              <w:left w:val="nil"/>
              <w:bottom w:val="nil"/>
              <w:right w:val="single" w:sz="4" w:space="0" w:color="auto"/>
            </w:tcBorders>
            <w:shd w:val="clear" w:color="auto" w:fill="auto"/>
            <w:vAlign w:val="center"/>
            <w:hideMark/>
          </w:tcPr>
          <w:p w14:paraId="34981826" w14:textId="77777777" w:rsidR="00EE5D67" w:rsidRPr="00EE5D67" w:rsidRDefault="00EE5D67" w:rsidP="00EE5D67">
            <w:pPr>
              <w:spacing w:after="0" w:line="240" w:lineRule="auto"/>
              <w:jc w:val="right"/>
              <w:rPr>
                <w:rFonts w:cs="Arial"/>
                <w:sz w:val="16"/>
                <w:szCs w:val="16"/>
              </w:rPr>
            </w:pPr>
            <w:r w:rsidRPr="00EE5D67">
              <w:rPr>
                <w:rFonts w:cs="Arial"/>
                <w:sz w:val="16"/>
                <w:szCs w:val="16"/>
              </w:rPr>
              <w:t>1 592</w:t>
            </w:r>
          </w:p>
        </w:tc>
        <w:tc>
          <w:tcPr>
            <w:tcW w:w="652" w:type="dxa"/>
            <w:tcBorders>
              <w:top w:val="nil"/>
              <w:left w:val="nil"/>
              <w:bottom w:val="nil"/>
              <w:right w:val="nil"/>
            </w:tcBorders>
            <w:shd w:val="clear" w:color="auto" w:fill="auto"/>
            <w:noWrap/>
            <w:vAlign w:val="center"/>
            <w:hideMark/>
          </w:tcPr>
          <w:p w14:paraId="49E34B5C" w14:textId="77777777" w:rsidR="00EE5D67" w:rsidRPr="00EE5D67" w:rsidRDefault="00EE5D67" w:rsidP="001239A7">
            <w:pPr>
              <w:spacing w:after="0" w:line="240" w:lineRule="auto"/>
              <w:jc w:val="right"/>
              <w:rPr>
                <w:rFonts w:cs="Arial"/>
                <w:sz w:val="16"/>
                <w:szCs w:val="16"/>
              </w:rPr>
            </w:pPr>
            <w:r w:rsidRPr="00EE5D67">
              <w:rPr>
                <w:rFonts w:cs="Arial"/>
                <w:sz w:val="16"/>
                <w:szCs w:val="16"/>
              </w:rPr>
              <w:t>207,07</w:t>
            </w:r>
          </w:p>
        </w:tc>
        <w:tc>
          <w:tcPr>
            <w:tcW w:w="709" w:type="dxa"/>
            <w:tcBorders>
              <w:top w:val="nil"/>
              <w:left w:val="nil"/>
              <w:bottom w:val="nil"/>
              <w:right w:val="nil"/>
            </w:tcBorders>
            <w:shd w:val="clear" w:color="auto" w:fill="auto"/>
            <w:noWrap/>
            <w:vAlign w:val="center"/>
            <w:hideMark/>
          </w:tcPr>
          <w:p w14:paraId="2FCEF54B" w14:textId="77777777" w:rsidR="00EE5D67" w:rsidRPr="00EE5D67" w:rsidRDefault="00EE5D67" w:rsidP="001239A7">
            <w:pPr>
              <w:spacing w:after="0" w:line="240" w:lineRule="auto"/>
              <w:jc w:val="right"/>
              <w:rPr>
                <w:rFonts w:cs="Arial"/>
                <w:sz w:val="16"/>
                <w:szCs w:val="16"/>
              </w:rPr>
            </w:pPr>
            <w:r w:rsidRPr="00EE5D67">
              <w:rPr>
                <w:rFonts w:cs="Arial"/>
                <w:sz w:val="16"/>
                <w:szCs w:val="16"/>
              </w:rPr>
              <w:t>235,87</w:t>
            </w:r>
          </w:p>
        </w:tc>
        <w:tc>
          <w:tcPr>
            <w:tcW w:w="692" w:type="dxa"/>
            <w:tcBorders>
              <w:top w:val="nil"/>
              <w:left w:val="nil"/>
              <w:bottom w:val="nil"/>
              <w:right w:val="nil"/>
            </w:tcBorders>
            <w:shd w:val="clear" w:color="auto" w:fill="auto"/>
            <w:noWrap/>
            <w:vAlign w:val="center"/>
            <w:hideMark/>
          </w:tcPr>
          <w:p w14:paraId="31A5152A" w14:textId="77777777" w:rsidR="00EE5D67" w:rsidRPr="00EE5D67" w:rsidRDefault="00EE5D67" w:rsidP="001239A7">
            <w:pPr>
              <w:spacing w:after="0" w:line="240" w:lineRule="auto"/>
              <w:jc w:val="right"/>
              <w:rPr>
                <w:rFonts w:cs="Arial"/>
                <w:sz w:val="16"/>
                <w:szCs w:val="16"/>
              </w:rPr>
            </w:pPr>
            <w:r w:rsidRPr="00EE5D67">
              <w:rPr>
                <w:rFonts w:cs="Arial"/>
                <w:sz w:val="16"/>
                <w:szCs w:val="16"/>
              </w:rPr>
              <w:t>132,67</w:t>
            </w:r>
          </w:p>
        </w:tc>
      </w:tr>
      <w:tr w:rsidR="00EE5D67" w:rsidRPr="00EE5D67" w14:paraId="6B2D1E44"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4CEC9269" w14:textId="06262D1E" w:rsidR="00EE5D67" w:rsidRPr="00EE5D67" w:rsidRDefault="00EE5D67" w:rsidP="00EE5D67">
            <w:pPr>
              <w:spacing w:after="0" w:line="240" w:lineRule="auto"/>
              <w:rPr>
                <w:rFonts w:cs="Arial"/>
                <w:sz w:val="16"/>
                <w:szCs w:val="16"/>
              </w:rPr>
            </w:pPr>
            <w:r w:rsidRPr="00EE5D67">
              <w:rPr>
                <w:rFonts w:cs="Arial"/>
                <w:sz w:val="16"/>
                <w:szCs w:val="16"/>
              </w:rPr>
              <w:t>Zhoubné novotvary</w:t>
            </w:r>
          </w:p>
        </w:tc>
        <w:tc>
          <w:tcPr>
            <w:tcW w:w="972" w:type="dxa"/>
            <w:tcBorders>
              <w:top w:val="nil"/>
              <w:left w:val="single" w:sz="4" w:space="0" w:color="auto"/>
              <w:bottom w:val="nil"/>
              <w:right w:val="nil"/>
            </w:tcBorders>
            <w:shd w:val="clear" w:color="auto" w:fill="auto"/>
            <w:vAlign w:val="center"/>
            <w:hideMark/>
          </w:tcPr>
          <w:p w14:paraId="2AB9AC20" w14:textId="77777777" w:rsidR="00EE5D67" w:rsidRPr="00EE5D67" w:rsidRDefault="00EE5D67" w:rsidP="00EE5D67">
            <w:pPr>
              <w:spacing w:after="0" w:line="240" w:lineRule="auto"/>
              <w:jc w:val="right"/>
              <w:rPr>
                <w:rFonts w:cs="Arial"/>
                <w:sz w:val="16"/>
                <w:szCs w:val="16"/>
              </w:rPr>
            </w:pPr>
            <w:r w:rsidRPr="00EE5D67">
              <w:rPr>
                <w:rFonts w:cs="Arial"/>
                <w:sz w:val="16"/>
                <w:szCs w:val="16"/>
              </w:rPr>
              <w:t>7 050</w:t>
            </w:r>
          </w:p>
        </w:tc>
        <w:tc>
          <w:tcPr>
            <w:tcW w:w="857" w:type="dxa"/>
            <w:tcBorders>
              <w:top w:val="nil"/>
              <w:left w:val="nil"/>
              <w:bottom w:val="nil"/>
              <w:right w:val="nil"/>
            </w:tcBorders>
            <w:shd w:val="clear" w:color="auto" w:fill="auto"/>
            <w:vAlign w:val="center"/>
            <w:hideMark/>
          </w:tcPr>
          <w:p w14:paraId="300D0345" w14:textId="77777777" w:rsidR="00EE5D67" w:rsidRPr="00EE5D67" w:rsidRDefault="00EE5D67" w:rsidP="00EE5D67">
            <w:pPr>
              <w:spacing w:after="0" w:line="240" w:lineRule="auto"/>
              <w:jc w:val="right"/>
              <w:rPr>
                <w:rFonts w:cs="Arial"/>
                <w:sz w:val="16"/>
                <w:szCs w:val="16"/>
              </w:rPr>
            </w:pPr>
            <w:r w:rsidRPr="00EE5D67">
              <w:rPr>
                <w:rFonts w:cs="Arial"/>
                <w:sz w:val="16"/>
                <w:szCs w:val="16"/>
              </w:rPr>
              <w:t>3 361</w:t>
            </w:r>
          </w:p>
        </w:tc>
        <w:tc>
          <w:tcPr>
            <w:tcW w:w="859" w:type="dxa"/>
            <w:tcBorders>
              <w:top w:val="nil"/>
              <w:left w:val="nil"/>
              <w:bottom w:val="nil"/>
              <w:right w:val="single" w:sz="4" w:space="0" w:color="auto"/>
            </w:tcBorders>
            <w:shd w:val="clear" w:color="auto" w:fill="auto"/>
            <w:vAlign w:val="center"/>
            <w:hideMark/>
          </w:tcPr>
          <w:p w14:paraId="7E433804" w14:textId="77777777" w:rsidR="00EE5D67" w:rsidRPr="00EE5D67" w:rsidRDefault="00EE5D67" w:rsidP="00EE5D67">
            <w:pPr>
              <w:spacing w:after="0" w:line="240" w:lineRule="auto"/>
              <w:jc w:val="right"/>
              <w:rPr>
                <w:rFonts w:cs="Arial"/>
                <w:sz w:val="16"/>
                <w:szCs w:val="16"/>
              </w:rPr>
            </w:pPr>
            <w:r w:rsidRPr="00EE5D67">
              <w:rPr>
                <w:rFonts w:cs="Arial"/>
                <w:sz w:val="16"/>
                <w:szCs w:val="16"/>
              </w:rPr>
              <w:t>3 689</w:t>
            </w:r>
          </w:p>
        </w:tc>
        <w:tc>
          <w:tcPr>
            <w:tcW w:w="972" w:type="dxa"/>
            <w:tcBorders>
              <w:top w:val="nil"/>
              <w:left w:val="nil"/>
              <w:bottom w:val="nil"/>
              <w:right w:val="nil"/>
            </w:tcBorders>
            <w:shd w:val="clear" w:color="auto" w:fill="auto"/>
            <w:vAlign w:val="center"/>
            <w:hideMark/>
          </w:tcPr>
          <w:p w14:paraId="73C8FC5E" w14:textId="77777777" w:rsidR="00EE5D67" w:rsidRPr="00EE5D67" w:rsidRDefault="00EE5D67" w:rsidP="00EE5D67">
            <w:pPr>
              <w:spacing w:after="0" w:line="240" w:lineRule="auto"/>
              <w:jc w:val="right"/>
              <w:rPr>
                <w:rFonts w:cs="Arial"/>
                <w:sz w:val="16"/>
                <w:szCs w:val="16"/>
              </w:rPr>
            </w:pPr>
            <w:r w:rsidRPr="00EE5D67">
              <w:rPr>
                <w:rFonts w:cs="Arial"/>
                <w:sz w:val="16"/>
                <w:szCs w:val="16"/>
              </w:rPr>
              <w:t>1 252 354</w:t>
            </w:r>
          </w:p>
        </w:tc>
        <w:tc>
          <w:tcPr>
            <w:tcW w:w="972" w:type="dxa"/>
            <w:tcBorders>
              <w:top w:val="nil"/>
              <w:left w:val="nil"/>
              <w:bottom w:val="nil"/>
              <w:right w:val="nil"/>
            </w:tcBorders>
            <w:shd w:val="clear" w:color="auto" w:fill="auto"/>
            <w:vAlign w:val="center"/>
            <w:hideMark/>
          </w:tcPr>
          <w:p w14:paraId="0086995D" w14:textId="77777777" w:rsidR="00EE5D67" w:rsidRPr="00EE5D67" w:rsidRDefault="00EE5D67" w:rsidP="00EE5D67">
            <w:pPr>
              <w:spacing w:after="0" w:line="240" w:lineRule="auto"/>
              <w:jc w:val="right"/>
              <w:rPr>
                <w:rFonts w:cs="Arial"/>
                <w:sz w:val="16"/>
                <w:szCs w:val="16"/>
              </w:rPr>
            </w:pPr>
            <w:r w:rsidRPr="00EE5D67">
              <w:rPr>
                <w:rFonts w:cs="Arial"/>
                <w:sz w:val="16"/>
                <w:szCs w:val="16"/>
              </w:rPr>
              <w:t>571 679</w:t>
            </w:r>
          </w:p>
        </w:tc>
        <w:tc>
          <w:tcPr>
            <w:tcW w:w="973" w:type="dxa"/>
            <w:tcBorders>
              <w:top w:val="nil"/>
              <w:left w:val="nil"/>
              <w:bottom w:val="nil"/>
              <w:right w:val="single" w:sz="4" w:space="0" w:color="auto"/>
            </w:tcBorders>
            <w:shd w:val="clear" w:color="auto" w:fill="auto"/>
            <w:vAlign w:val="center"/>
            <w:hideMark/>
          </w:tcPr>
          <w:p w14:paraId="46B637F6" w14:textId="77777777" w:rsidR="00EE5D67" w:rsidRPr="00EE5D67" w:rsidRDefault="00EE5D67" w:rsidP="00EE5D67">
            <w:pPr>
              <w:spacing w:after="0" w:line="240" w:lineRule="auto"/>
              <w:jc w:val="right"/>
              <w:rPr>
                <w:rFonts w:cs="Arial"/>
                <w:sz w:val="16"/>
                <w:szCs w:val="16"/>
              </w:rPr>
            </w:pPr>
            <w:r w:rsidRPr="00EE5D67">
              <w:rPr>
                <w:rFonts w:cs="Arial"/>
                <w:sz w:val="16"/>
                <w:szCs w:val="16"/>
              </w:rPr>
              <w:t>680 675</w:t>
            </w:r>
          </w:p>
        </w:tc>
        <w:tc>
          <w:tcPr>
            <w:tcW w:w="652" w:type="dxa"/>
            <w:tcBorders>
              <w:top w:val="nil"/>
              <w:left w:val="nil"/>
              <w:bottom w:val="nil"/>
              <w:right w:val="nil"/>
            </w:tcBorders>
            <w:shd w:val="clear" w:color="auto" w:fill="auto"/>
            <w:noWrap/>
            <w:vAlign w:val="center"/>
            <w:hideMark/>
          </w:tcPr>
          <w:p w14:paraId="578DB487" w14:textId="77777777" w:rsidR="00EE5D67" w:rsidRPr="00EE5D67" w:rsidRDefault="00EE5D67" w:rsidP="001239A7">
            <w:pPr>
              <w:spacing w:after="0" w:line="240" w:lineRule="auto"/>
              <w:jc w:val="right"/>
              <w:rPr>
                <w:rFonts w:cs="Arial"/>
                <w:sz w:val="16"/>
                <w:szCs w:val="16"/>
              </w:rPr>
            </w:pPr>
            <w:r w:rsidRPr="00EE5D67">
              <w:rPr>
                <w:rFonts w:cs="Arial"/>
                <w:sz w:val="16"/>
                <w:szCs w:val="16"/>
              </w:rPr>
              <w:t>177,64</w:t>
            </w:r>
          </w:p>
        </w:tc>
        <w:tc>
          <w:tcPr>
            <w:tcW w:w="709" w:type="dxa"/>
            <w:tcBorders>
              <w:top w:val="nil"/>
              <w:left w:val="nil"/>
              <w:bottom w:val="nil"/>
              <w:right w:val="nil"/>
            </w:tcBorders>
            <w:shd w:val="clear" w:color="auto" w:fill="auto"/>
            <w:noWrap/>
            <w:vAlign w:val="center"/>
            <w:hideMark/>
          </w:tcPr>
          <w:p w14:paraId="72539461" w14:textId="77777777" w:rsidR="00EE5D67" w:rsidRPr="00EE5D67" w:rsidRDefault="00EE5D67" w:rsidP="001239A7">
            <w:pPr>
              <w:spacing w:after="0" w:line="240" w:lineRule="auto"/>
              <w:jc w:val="right"/>
              <w:rPr>
                <w:rFonts w:cs="Arial"/>
                <w:sz w:val="16"/>
                <w:szCs w:val="16"/>
              </w:rPr>
            </w:pPr>
            <w:r w:rsidRPr="00EE5D67">
              <w:rPr>
                <w:rFonts w:cs="Arial"/>
                <w:sz w:val="16"/>
                <w:szCs w:val="16"/>
              </w:rPr>
              <w:t>170,09</w:t>
            </w:r>
          </w:p>
        </w:tc>
        <w:tc>
          <w:tcPr>
            <w:tcW w:w="692" w:type="dxa"/>
            <w:tcBorders>
              <w:top w:val="nil"/>
              <w:left w:val="nil"/>
              <w:bottom w:val="nil"/>
              <w:right w:val="nil"/>
            </w:tcBorders>
            <w:shd w:val="clear" w:color="auto" w:fill="auto"/>
            <w:noWrap/>
            <w:vAlign w:val="center"/>
            <w:hideMark/>
          </w:tcPr>
          <w:p w14:paraId="0B703850" w14:textId="77777777" w:rsidR="00EE5D67" w:rsidRPr="00EE5D67" w:rsidRDefault="00EE5D67" w:rsidP="001239A7">
            <w:pPr>
              <w:spacing w:after="0" w:line="240" w:lineRule="auto"/>
              <w:jc w:val="right"/>
              <w:rPr>
                <w:rFonts w:cs="Arial"/>
                <w:sz w:val="16"/>
                <w:szCs w:val="16"/>
              </w:rPr>
            </w:pPr>
            <w:r w:rsidRPr="00EE5D67">
              <w:rPr>
                <w:rFonts w:cs="Arial"/>
                <w:sz w:val="16"/>
                <w:szCs w:val="16"/>
              </w:rPr>
              <w:t>184,51</w:t>
            </w:r>
          </w:p>
        </w:tc>
      </w:tr>
      <w:tr w:rsidR="00EE5D67" w:rsidRPr="00EE5D67" w14:paraId="114FB533"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3CEF024D" w14:textId="1D0EC98D" w:rsidR="00EE5D67" w:rsidRPr="00EE5D67" w:rsidRDefault="00EE5D67" w:rsidP="00EE5D67">
            <w:pPr>
              <w:spacing w:after="0" w:line="240" w:lineRule="auto"/>
              <w:rPr>
                <w:rFonts w:cs="Arial"/>
                <w:sz w:val="16"/>
                <w:szCs w:val="16"/>
              </w:rPr>
            </w:pPr>
            <w:r w:rsidRPr="00EE5D67">
              <w:rPr>
                <w:rFonts w:cs="Arial"/>
                <w:sz w:val="16"/>
                <w:szCs w:val="16"/>
              </w:rPr>
              <w:t>Nemoci duševní</w:t>
            </w:r>
          </w:p>
        </w:tc>
        <w:tc>
          <w:tcPr>
            <w:tcW w:w="972" w:type="dxa"/>
            <w:tcBorders>
              <w:top w:val="nil"/>
              <w:left w:val="single" w:sz="4" w:space="0" w:color="auto"/>
              <w:bottom w:val="nil"/>
              <w:right w:val="nil"/>
            </w:tcBorders>
            <w:shd w:val="clear" w:color="auto" w:fill="auto"/>
            <w:vAlign w:val="center"/>
            <w:hideMark/>
          </w:tcPr>
          <w:p w14:paraId="38381785" w14:textId="77777777" w:rsidR="00EE5D67" w:rsidRPr="00EE5D67" w:rsidRDefault="00EE5D67" w:rsidP="00EE5D67">
            <w:pPr>
              <w:spacing w:after="0" w:line="240" w:lineRule="auto"/>
              <w:jc w:val="right"/>
              <w:rPr>
                <w:rFonts w:cs="Arial"/>
                <w:sz w:val="16"/>
                <w:szCs w:val="16"/>
              </w:rPr>
            </w:pPr>
            <w:r w:rsidRPr="00EE5D67">
              <w:rPr>
                <w:rFonts w:cs="Arial"/>
                <w:sz w:val="16"/>
                <w:szCs w:val="16"/>
              </w:rPr>
              <w:t>22 828</w:t>
            </w:r>
          </w:p>
        </w:tc>
        <w:tc>
          <w:tcPr>
            <w:tcW w:w="857" w:type="dxa"/>
            <w:tcBorders>
              <w:top w:val="nil"/>
              <w:left w:val="nil"/>
              <w:bottom w:val="nil"/>
              <w:right w:val="nil"/>
            </w:tcBorders>
            <w:shd w:val="clear" w:color="auto" w:fill="auto"/>
            <w:vAlign w:val="center"/>
            <w:hideMark/>
          </w:tcPr>
          <w:p w14:paraId="5AEB1119" w14:textId="77777777" w:rsidR="00EE5D67" w:rsidRPr="00EE5D67" w:rsidRDefault="00EE5D67" w:rsidP="00EE5D67">
            <w:pPr>
              <w:spacing w:after="0" w:line="240" w:lineRule="auto"/>
              <w:jc w:val="right"/>
              <w:rPr>
                <w:rFonts w:cs="Arial"/>
                <w:sz w:val="16"/>
                <w:szCs w:val="16"/>
              </w:rPr>
            </w:pPr>
            <w:r w:rsidRPr="00EE5D67">
              <w:rPr>
                <w:rFonts w:cs="Arial"/>
                <w:sz w:val="16"/>
                <w:szCs w:val="16"/>
              </w:rPr>
              <w:t>8 248</w:t>
            </w:r>
          </w:p>
        </w:tc>
        <w:tc>
          <w:tcPr>
            <w:tcW w:w="859" w:type="dxa"/>
            <w:tcBorders>
              <w:top w:val="nil"/>
              <w:left w:val="nil"/>
              <w:bottom w:val="nil"/>
              <w:right w:val="single" w:sz="4" w:space="0" w:color="auto"/>
            </w:tcBorders>
            <w:shd w:val="clear" w:color="auto" w:fill="auto"/>
            <w:vAlign w:val="center"/>
            <w:hideMark/>
          </w:tcPr>
          <w:p w14:paraId="06FBC660" w14:textId="77777777" w:rsidR="00EE5D67" w:rsidRPr="00EE5D67" w:rsidRDefault="00EE5D67" w:rsidP="00EE5D67">
            <w:pPr>
              <w:spacing w:after="0" w:line="240" w:lineRule="auto"/>
              <w:jc w:val="right"/>
              <w:rPr>
                <w:rFonts w:cs="Arial"/>
                <w:sz w:val="16"/>
                <w:szCs w:val="16"/>
              </w:rPr>
            </w:pPr>
            <w:r w:rsidRPr="00EE5D67">
              <w:rPr>
                <w:rFonts w:cs="Arial"/>
                <w:sz w:val="16"/>
                <w:szCs w:val="16"/>
              </w:rPr>
              <w:t>14 580</w:t>
            </w:r>
          </w:p>
        </w:tc>
        <w:tc>
          <w:tcPr>
            <w:tcW w:w="972" w:type="dxa"/>
            <w:tcBorders>
              <w:top w:val="nil"/>
              <w:left w:val="nil"/>
              <w:bottom w:val="nil"/>
              <w:right w:val="nil"/>
            </w:tcBorders>
            <w:shd w:val="clear" w:color="auto" w:fill="auto"/>
            <w:vAlign w:val="center"/>
            <w:hideMark/>
          </w:tcPr>
          <w:p w14:paraId="03F5FFA2" w14:textId="77777777" w:rsidR="00EE5D67" w:rsidRPr="00EE5D67" w:rsidRDefault="00EE5D67" w:rsidP="00EE5D67">
            <w:pPr>
              <w:spacing w:after="0" w:line="240" w:lineRule="auto"/>
              <w:jc w:val="right"/>
              <w:rPr>
                <w:rFonts w:cs="Arial"/>
                <w:sz w:val="16"/>
                <w:szCs w:val="16"/>
              </w:rPr>
            </w:pPr>
            <w:r w:rsidRPr="00EE5D67">
              <w:rPr>
                <w:rFonts w:cs="Arial"/>
                <w:sz w:val="16"/>
                <w:szCs w:val="16"/>
              </w:rPr>
              <w:t>1 991 290</w:t>
            </w:r>
          </w:p>
        </w:tc>
        <w:tc>
          <w:tcPr>
            <w:tcW w:w="972" w:type="dxa"/>
            <w:tcBorders>
              <w:top w:val="nil"/>
              <w:left w:val="nil"/>
              <w:bottom w:val="nil"/>
              <w:right w:val="nil"/>
            </w:tcBorders>
            <w:shd w:val="clear" w:color="auto" w:fill="auto"/>
            <w:vAlign w:val="center"/>
            <w:hideMark/>
          </w:tcPr>
          <w:p w14:paraId="0F5CAA85" w14:textId="77777777" w:rsidR="00EE5D67" w:rsidRPr="00EE5D67" w:rsidRDefault="00EE5D67" w:rsidP="00EE5D67">
            <w:pPr>
              <w:spacing w:after="0" w:line="240" w:lineRule="auto"/>
              <w:jc w:val="right"/>
              <w:rPr>
                <w:rFonts w:cs="Arial"/>
                <w:sz w:val="16"/>
                <w:szCs w:val="16"/>
              </w:rPr>
            </w:pPr>
            <w:r w:rsidRPr="00EE5D67">
              <w:rPr>
                <w:rFonts w:cs="Arial"/>
                <w:sz w:val="16"/>
                <w:szCs w:val="16"/>
              </w:rPr>
              <w:t>686 278</w:t>
            </w:r>
          </w:p>
        </w:tc>
        <w:tc>
          <w:tcPr>
            <w:tcW w:w="973" w:type="dxa"/>
            <w:tcBorders>
              <w:top w:val="nil"/>
              <w:left w:val="nil"/>
              <w:bottom w:val="nil"/>
              <w:right w:val="single" w:sz="4" w:space="0" w:color="auto"/>
            </w:tcBorders>
            <w:shd w:val="clear" w:color="auto" w:fill="auto"/>
            <w:vAlign w:val="center"/>
            <w:hideMark/>
          </w:tcPr>
          <w:p w14:paraId="71065A6C" w14:textId="77777777" w:rsidR="00EE5D67" w:rsidRPr="00EE5D67" w:rsidRDefault="00EE5D67" w:rsidP="00EE5D67">
            <w:pPr>
              <w:spacing w:after="0" w:line="240" w:lineRule="auto"/>
              <w:jc w:val="right"/>
              <w:rPr>
                <w:rFonts w:cs="Arial"/>
                <w:sz w:val="16"/>
                <w:szCs w:val="16"/>
              </w:rPr>
            </w:pPr>
            <w:r w:rsidRPr="00EE5D67">
              <w:rPr>
                <w:rFonts w:cs="Arial"/>
                <w:sz w:val="16"/>
                <w:szCs w:val="16"/>
              </w:rPr>
              <w:t>1 305 012</w:t>
            </w:r>
          </w:p>
        </w:tc>
        <w:tc>
          <w:tcPr>
            <w:tcW w:w="652" w:type="dxa"/>
            <w:tcBorders>
              <w:top w:val="nil"/>
              <w:left w:val="nil"/>
              <w:bottom w:val="nil"/>
              <w:right w:val="nil"/>
            </w:tcBorders>
            <w:shd w:val="clear" w:color="auto" w:fill="auto"/>
            <w:noWrap/>
            <w:vAlign w:val="center"/>
            <w:hideMark/>
          </w:tcPr>
          <w:p w14:paraId="1BC7E496" w14:textId="77777777" w:rsidR="00EE5D67" w:rsidRPr="00EE5D67" w:rsidRDefault="00EE5D67" w:rsidP="001239A7">
            <w:pPr>
              <w:spacing w:after="0" w:line="240" w:lineRule="auto"/>
              <w:jc w:val="right"/>
              <w:rPr>
                <w:rFonts w:cs="Arial"/>
                <w:sz w:val="16"/>
                <w:szCs w:val="16"/>
              </w:rPr>
            </w:pPr>
            <w:r w:rsidRPr="00EE5D67">
              <w:rPr>
                <w:rFonts w:cs="Arial"/>
                <w:sz w:val="16"/>
                <w:szCs w:val="16"/>
              </w:rPr>
              <w:t>87,23</w:t>
            </w:r>
          </w:p>
        </w:tc>
        <w:tc>
          <w:tcPr>
            <w:tcW w:w="709" w:type="dxa"/>
            <w:tcBorders>
              <w:top w:val="nil"/>
              <w:left w:val="nil"/>
              <w:bottom w:val="nil"/>
              <w:right w:val="nil"/>
            </w:tcBorders>
            <w:shd w:val="clear" w:color="auto" w:fill="auto"/>
            <w:noWrap/>
            <w:vAlign w:val="center"/>
            <w:hideMark/>
          </w:tcPr>
          <w:p w14:paraId="5E991200" w14:textId="77777777" w:rsidR="00EE5D67" w:rsidRPr="00EE5D67" w:rsidRDefault="00EE5D67" w:rsidP="001239A7">
            <w:pPr>
              <w:spacing w:after="0" w:line="240" w:lineRule="auto"/>
              <w:jc w:val="right"/>
              <w:rPr>
                <w:rFonts w:cs="Arial"/>
                <w:sz w:val="16"/>
                <w:szCs w:val="16"/>
              </w:rPr>
            </w:pPr>
            <w:r w:rsidRPr="00EE5D67">
              <w:rPr>
                <w:rFonts w:cs="Arial"/>
                <w:sz w:val="16"/>
                <w:szCs w:val="16"/>
              </w:rPr>
              <w:t>83,21</w:t>
            </w:r>
          </w:p>
        </w:tc>
        <w:tc>
          <w:tcPr>
            <w:tcW w:w="692" w:type="dxa"/>
            <w:tcBorders>
              <w:top w:val="nil"/>
              <w:left w:val="nil"/>
              <w:bottom w:val="nil"/>
              <w:right w:val="nil"/>
            </w:tcBorders>
            <w:shd w:val="clear" w:color="auto" w:fill="auto"/>
            <w:noWrap/>
            <w:vAlign w:val="center"/>
            <w:hideMark/>
          </w:tcPr>
          <w:p w14:paraId="31547D17" w14:textId="77777777" w:rsidR="00EE5D67" w:rsidRPr="00EE5D67" w:rsidRDefault="00EE5D67" w:rsidP="001239A7">
            <w:pPr>
              <w:spacing w:after="0" w:line="240" w:lineRule="auto"/>
              <w:jc w:val="right"/>
              <w:rPr>
                <w:rFonts w:cs="Arial"/>
                <w:sz w:val="16"/>
                <w:szCs w:val="16"/>
              </w:rPr>
            </w:pPr>
            <w:r w:rsidRPr="00EE5D67">
              <w:rPr>
                <w:rFonts w:cs="Arial"/>
                <w:sz w:val="16"/>
                <w:szCs w:val="16"/>
              </w:rPr>
              <w:t>89,51</w:t>
            </w:r>
          </w:p>
        </w:tc>
      </w:tr>
      <w:tr w:rsidR="00EE5D67" w:rsidRPr="00EE5D67" w14:paraId="462A0378"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39E710D6" w14:textId="595C450C" w:rsidR="00EE5D67" w:rsidRPr="00EE5D67" w:rsidRDefault="00EE5D67" w:rsidP="00EE5D67">
            <w:pPr>
              <w:spacing w:after="0" w:line="240" w:lineRule="auto"/>
              <w:rPr>
                <w:rFonts w:cs="Arial"/>
                <w:sz w:val="16"/>
                <w:szCs w:val="16"/>
              </w:rPr>
            </w:pPr>
            <w:r w:rsidRPr="00EE5D67">
              <w:rPr>
                <w:rFonts w:cs="Arial"/>
                <w:sz w:val="16"/>
                <w:szCs w:val="16"/>
              </w:rPr>
              <w:t>Nemoci nervové soustavy</w:t>
            </w:r>
          </w:p>
        </w:tc>
        <w:tc>
          <w:tcPr>
            <w:tcW w:w="972" w:type="dxa"/>
            <w:tcBorders>
              <w:top w:val="nil"/>
              <w:left w:val="single" w:sz="4" w:space="0" w:color="auto"/>
              <w:bottom w:val="nil"/>
              <w:right w:val="nil"/>
            </w:tcBorders>
            <w:shd w:val="clear" w:color="auto" w:fill="auto"/>
            <w:vAlign w:val="center"/>
            <w:hideMark/>
          </w:tcPr>
          <w:p w14:paraId="707DBB21" w14:textId="77777777" w:rsidR="00EE5D67" w:rsidRPr="00EE5D67" w:rsidRDefault="00EE5D67" w:rsidP="00EE5D67">
            <w:pPr>
              <w:spacing w:after="0" w:line="240" w:lineRule="auto"/>
              <w:jc w:val="right"/>
              <w:rPr>
                <w:rFonts w:cs="Arial"/>
                <w:sz w:val="16"/>
                <w:szCs w:val="16"/>
              </w:rPr>
            </w:pPr>
            <w:r w:rsidRPr="00EE5D67">
              <w:rPr>
                <w:rFonts w:cs="Arial"/>
                <w:sz w:val="16"/>
                <w:szCs w:val="16"/>
              </w:rPr>
              <w:t>13 987</w:t>
            </w:r>
          </w:p>
        </w:tc>
        <w:tc>
          <w:tcPr>
            <w:tcW w:w="857" w:type="dxa"/>
            <w:tcBorders>
              <w:top w:val="nil"/>
              <w:left w:val="nil"/>
              <w:bottom w:val="nil"/>
              <w:right w:val="nil"/>
            </w:tcBorders>
            <w:shd w:val="clear" w:color="auto" w:fill="auto"/>
            <w:vAlign w:val="center"/>
            <w:hideMark/>
          </w:tcPr>
          <w:p w14:paraId="2280D594" w14:textId="77777777" w:rsidR="00EE5D67" w:rsidRPr="00EE5D67" w:rsidRDefault="00EE5D67" w:rsidP="00EE5D67">
            <w:pPr>
              <w:spacing w:after="0" w:line="240" w:lineRule="auto"/>
              <w:jc w:val="right"/>
              <w:rPr>
                <w:rFonts w:cs="Arial"/>
                <w:sz w:val="16"/>
                <w:szCs w:val="16"/>
              </w:rPr>
            </w:pPr>
            <w:r w:rsidRPr="00EE5D67">
              <w:rPr>
                <w:rFonts w:cs="Arial"/>
                <w:sz w:val="16"/>
                <w:szCs w:val="16"/>
              </w:rPr>
              <w:t>5 743</w:t>
            </w:r>
          </w:p>
        </w:tc>
        <w:tc>
          <w:tcPr>
            <w:tcW w:w="859" w:type="dxa"/>
            <w:tcBorders>
              <w:top w:val="nil"/>
              <w:left w:val="nil"/>
              <w:bottom w:val="nil"/>
              <w:right w:val="single" w:sz="4" w:space="0" w:color="auto"/>
            </w:tcBorders>
            <w:shd w:val="clear" w:color="auto" w:fill="auto"/>
            <w:vAlign w:val="center"/>
            <w:hideMark/>
          </w:tcPr>
          <w:p w14:paraId="438E5A85" w14:textId="77777777" w:rsidR="00EE5D67" w:rsidRPr="00EE5D67" w:rsidRDefault="00EE5D67" w:rsidP="00EE5D67">
            <w:pPr>
              <w:spacing w:after="0" w:line="240" w:lineRule="auto"/>
              <w:jc w:val="right"/>
              <w:rPr>
                <w:rFonts w:cs="Arial"/>
                <w:sz w:val="16"/>
                <w:szCs w:val="16"/>
              </w:rPr>
            </w:pPr>
            <w:r w:rsidRPr="00EE5D67">
              <w:rPr>
                <w:rFonts w:cs="Arial"/>
                <w:sz w:val="16"/>
                <w:szCs w:val="16"/>
              </w:rPr>
              <w:t>8 244</w:t>
            </w:r>
          </w:p>
        </w:tc>
        <w:tc>
          <w:tcPr>
            <w:tcW w:w="972" w:type="dxa"/>
            <w:tcBorders>
              <w:top w:val="nil"/>
              <w:left w:val="nil"/>
              <w:bottom w:val="nil"/>
              <w:right w:val="nil"/>
            </w:tcBorders>
            <w:shd w:val="clear" w:color="auto" w:fill="auto"/>
            <w:vAlign w:val="center"/>
            <w:hideMark/>
          </w:tcPr>
          <w:p w14:paraId="47336C4B" w14:textId="77777777" w:rsidR="00EE5D67" w:rsidRPr="00EE5D67" w:rsidRDefault="00EE5D67" w:rsidP="00EE5D67">
            <w:pPr>
              <w:spacing w:after="0" w:line="240" w:lineRule="auto"/>
              <w:jc w:val="right"/>
              <w:rPr>
                <w:rFonts w:cs="Arial"/>
                <w:sz w:val="16"/>
                <w:szCs w:val="16"/>
              </w:rPr>
            </w:pPr>
            <w:r w:rsidRPr="00EE5D67">
              <w:rPr>
                <w:rFonts w:cs="Arial"/>
                <w:sz w:val="16"/>
                <w:szCs w:val="16"/>
              </w:rPr>
              <w:t>1 161 059</w:t>
            </w:r>
          </w:p>
        </w:tc>
        <w:tc>
          <w:tcPr>
            <w:tcW w:w="972" w:type="dxa"/>
            <w:tcBorders>
              <w:top w:val="nil"/>
              <w:left w:val="nil"/>
              <w:bottom w:val="nil"/>
              <w:right w:val="nil"/>
            </w:tcBorders>
            <w:shd w:val="clear" w:color="auto" w:fill="auto"/>
            <w:vAlign w:val="center"/>
            <w:hideMark/>
          </w:tcPr>
          <w:p w14:paraId="1ACE5A22" w14:textId="77777777" w:rsidR="00EE5D67" w:rsidRPr="00EE5D67" w:rsidRDefault="00EE5D67" w:rsidP="00EE5D67">
            <w:pPr>
              <w:spacing w:after="0" w:line="240" w:lineRule="auto"/>
              <w:jc w:val="right"/>
              <w:rPr>
                <w:rFonts w:cs="Arial"/>
                <w:sz w:val="16"/>
                <w:szCs w:val="16"/>
              </w:rPr>
            </w:pPr>
            <w:r w:rsidRPr="00EE5D67">
              <w:rPr>
                <w:rFonts w:cs="Arial"/>
                <w:sz w:val="16"/>
                <w:szCs w:val="16"/>
              </w:rPr>
              <w:t>475 809</w:t>
            </w:r>
          </w:p>
        </w:tc>
        <w:tc>
          <w:tcPr>
            <w:tcW w:w="973" w:type="dxa"/>
            <w:tcBorders>
              <w:top w:val="nil"/>
              <w:left w:val="nil"/>
              <w:bottom w:val="nil"/>
              <w:right w:val="single" w:sz="4" w:space="0" w:color="auto"/>
            </w:tcBorders>
            <w:shd w:val="clear" w:color="auto" w:fill="auto"/>
            <w:vAlign w:val="center"/>
            <w:hideMark/>
          </w:tcPr>
          <w:p w14:paraId="79647881" w14:textId="77777777" w:rsidR="00EE5D67" w:rsidRPr="00EE5D67" w:rsidRDefault="00EE5D67" w:rsidP="00EE5D67">
            <w:pPr>
              <w:spacing w:after="0" w:line="240" w:lineRule="auto"/>
              <w:jc w:val="right"/>
              <w:rPr>
                <w:rFonts w:cs="Arial"/>
                <w:sz w:val="16"/>
                <w:szCs w:val="16"/>
              </w:rPr>
            </w:pPr>
            <w:r w:rsidRPr="00EE5D67">
              <w:rPr>
                <w:rFonts w:cs="Arial"/>
                <w:sz w:val="16"/>
                <w:szCs w:val="16"/>
              </w:rPr>
              <w:t>685 250</w:t>
            </w:r>
          </w:p>
        </w:tc>
        <w:tc>
          <w:tcPr>
            <w:tcW w:w="652" w:type="dxa"/>
            <w:tcBorders>
              <w:top w:val="nil"/>
              <w:left w:val="nil"/>
              <w:bottom w:val="nil"/>
              <w:right w:val="nil"/>
            </w:tcBorders>
            <w:shd w:val="clear" w:color="auto" w:fill="auto"/>
            <w:noWrap/>
            <w:vAlign w:val="center"/>
            <w:hideMark/>
          </w:tcPr>
          <w:p w14:paraId="1E6FE8DF" w14:textId="77777777" w:rsidR="00EE5D67" w:rsidRPr="00EE5D67" w:rsidRDefault="00EE5D67" w:rsidP="001239A7">
            <w:pPr>
              <w:spacing w:after="0" w:line="240" w:lineRule="auto"/>
              <w:jc w:val="right"/>
              <w:rPr>
                <w:rFonts w:cs="Arial"/>
                <w:sz w:val="16"/>
                <w:szCs w:val="16"/>
              </w:rPr>
            </w:pPr>
            <w:r w:rsidRPr="00EE5D67">
              <w:rPr>
                <w:rFonts w:cs="Arial"/>
                <w:sz w:val="16"/>
                <w:szCs w:val="16"/>
              </w:rPr>
              <w:t>83,01</w:t>
            </w:r>
          </w:p>
        </w:tc>
        <w:tc>
          <w:tcPr>
            <w:tcW w:w="709" w:type="dxa"/>
            <w:tcBorders>
              <w:top w:val="nil"/>
              <w:left w:val="nil"/>
              <w:bottom w:val="nil"/>
              <w:right w:val="nil"/>
            </w:tcBorders>
            <w:shd w:val="clear" w:color="auto" w:fill="auto"/>
            <w:noWrap/>
            <w:vAlign w:val="center"/>
            <w:hideMark/>
          </w:tcPr>
          <w:p w14:paraId="46457E2A" w14:textId="77777777" w:rsidR="00EE5D67" w:rsidRPr="00EE5D67" w:rsidRDefault="00EE5D67" w:rsidP="001239A7">
            <w:pPr>
              <w:spacing w:after="0" w:line="240" w:lineRule="auto"/>
              <w:jc w:val="right"/>
              <w:rPr>
                <w:rFonts w:cs="Arial"/>
                <w:sz w:val="16"/>
                <w:szCs w:val="16"/>
              </w:rPr>
            </w:pPr>
            <w:r w:rsidRPr="00EE5D67">
              <w:rPr>
                <w:rFonts w:cs="Arial"/>
                <w:sz w:val="16"/>
                <w:szCs w:val="16"/>
              </w:rPr>
              <w:t>82,85</w:t>
            </w:r>
          </w:p>
        </w:tc>
        <w:tc>
          <w:tcPr>
            <w:tcW w:w="692" w:type="dxa"/>
            <w:tcBorders>
              <w:top w:val="nil"/>
              <w:left w:val="nil"/>
              <w:bottom w:val="nil"/>
              <w:right w:val="nil"/>
            </w:tcBorders>
            <w:shd w:val="clear" w:color="auto" w:fill="auto"/>
            <w:noWrap/>
            <w:vAlign w:val="center"/>
            <w:hideMark/>
          </w:tcPr>
          <w:p w14:paraId="7305F236" w14:textId="77777777" w:rsidR="00EE5D67" w:rsidRPr="00EE5D67" w:rsidRDefault="00EE5D67" w:rsidP="001239A7">
            <w:pPr>
              <w:spacing w:after="0" w:line="240" w:lineRule="auto"/>
              <w:jc w:val="right"/>
              <w:rPr>
                <w:rFonts w:cs="Arial"/>
                <w:sz w:val="16"/>
                <w:szCs w:val="16"/>
              </w:rPr>
            </w:pPr>
            <w:r w:rsidRPr="00EE5D67">
              <w:rPr>
                <w:rFonts w:cs="Arial"/>
                <w:sz w:val="16"/>
                <w:szCs w:val="16"/>
              </w:rPr>
              <w:t>83,12</w:t>
            </w:r>
          </w:p>
        </w:tc>
      </w:tr>
      <w:tr w:rsidR="00EE5D67" w:rsidRPr="00EE5D67" w14:paraId="33D7428F"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54D3E431" w14:textId="795DD8A9" w:rsidR="00EE5D67" w:rsidRPr="00EE5D67" w:rsidRDefault="00EE5D67" w:rsidP="00EE5D67">
            <w:pPr>
              <w:spacing w:after="0" w:line="240" w:lineRule="auto"/>
              <w:rPr>
                <w:rFonts w:cs="Arial"/>
                <w:sz w:val="16"/>
                <w:szCs w:val="16"/>
              </w:rPr>
            </w:pPr>
            <w:r w:rsidRPr="00EE5D67">
              <w:rPr>
                <w:rFonts w:cs="Arial"/>
                <w:sz w:val="16"/>
                <w:szCs w:val="16"/>
              </w:rPr>
              <w:t>Nemoci oběhové soustavy</w:t>
            </w:r>
          </w:p>
        </w:tc>
        <w:tc>
          <w:tcPr>
            <w:tcW w:w="972" w:type="dxa"/>
            <w:tcBorders>
              <w:top w:val="nil"/>
              <w:left w:val="single" w:sz="4" w:space="0" w:color="auto"/>
              <w:bottom w:val="nil"/>
              <w:right w:val="nil"/>
            </w:tcBorders>
            <w:shd w:val="clear" w:color="auto" w:fill="auto"/>
            <w:vAlign w:val="center"/>
            <w:hideMark/>
          </w:tcPr>
          <w:p w14:paraId="5FE5FE38" w14:textId="77777777" w:rsidR="00EE5D67" w:rsidRPr="00EE5D67" w:rsidRDefault="00EE5D67" w:rsidP="00EE5D67">
            <w:pPr>
              <w:spacing w:after="0" w:line="240" w:lineRule="auto"/>
              <w:jc w:val="right"/>
              <w:rPr>
                <w:rFonts w:cs="Arial"/>
                <w:sz w:val="16"/>
                <w:szCs w:val="16"/>
              </w:rPr>
            </w:pPr>
            <w:r w:rsidRPr="00EE5D67">
              <w:rPr>
                <w:rFonts w:cs="Arial"/>
                <w:sz w:val="16"/>
                <w:szCs w:val="16"/>
              </w:rPr>
              <w:t>25 675</w:t>
            </w:r>
          </w:p>
        </w:tc>
        <w:tc>
          <w:tcPr>
            <w:tcW w:w="857" w:type="dxa"/>
            <w:tcBorders>
              <w:top w:val="nil"/>
              <w:left w:val="nil"/>
              <w:bottom w:val="nil"/>
              <w:right w:val="nil"/>
            </w:tcBorders>
            <w:shd w:val="clear" w:color="auto" w:fill="auto"/>
            <w:vAlign w:val="center"/>
            <w:hideMark/>
          </w:tcPr>
          <w:p w14:paraId="1556A30E" w14:textId="77777777" w:rsidR="00EE5D67" w:rsidRPr="00EE5D67" w:rsidRDefault="00EE5D67" w:rsidP="00EE5D67">
            <w:pPr>
              <w:spacing w:after="0" w:line="240" w:lineRule="auto"/>
              <w:jc w:val="right"/>
              <w:rPr>
                <w:rFonts w:cs="Arial"/>
                <w:sz w:val="16"/>
                <w:szCs w:val="16"/>
              </w:rPr>
            </w:pPr>
            <w:r w:rsidRPr="00EE5D67">
              <w:rPr>
                <w:rFonts w:cs="Arial"/>
                <w:sz w:val="16"/>
                <w:szCs w:val="16"/>
              </w:rPr>
              <w:t>14 463</w:t>
            </w:r>
          </w:p>
        </w:tc>
        <w:tc>
          <w:tcPr>
            <w:tcW w:w="859" w:type="dxa"/>
            <w:tcBorders>
              <w:top w:val="nil"/>
              <w:left w:val="nil"/>
              <w:bottom w:val="nil"/>
              <w:right w:val="single" w:sz="4" w:space="0" w:color="auto"/>
            </w:tcBorders>
            <w:shd w:val="clear" w:color="auto" w:fill="auto"/>
            <w:vAlign w:val="center"/>
            <w:hideMark/>
          </w:tcPr>
          <w:p w14:paraId="37BA1B77" w14:textId="77777777" w:rsidR="00EE5D67" w:rsidRPr="00EE5D67" w:rsidRDefault="00EE5D67" w:rsidP="00EE5D67">
            <w:pPr>
              <w:spacing w:after="0" w:line="240" w:lineRule="auto"/>
              <w:jc w:val="right"/>
              <w:rPr>
                <w:rFonts w:cs="Arial"/>
                <w:sz w:val="16"/>
                <w:szCs w:val="16"/>
              </w:rPr>
            </w:pPr>
            <w:r w:rsidRPr="00EE5D67">
              <w:rPr>
                <w:rFonts w:cs="Arial"/>
                <w:sz w:val="16"/>
                <w:szCs w:val="16"/>
              </w:rPr>
              <w:t>11 212</w:t>
            </w:r>
          </w:p>
        </w:tc>
        <w:tc>
          <w:tcPr>
            <w:tcW w:w="972" w:type="dxa"/>
            <w:tcBorders>
              <w:top w:val="nil"/>
              <w:left w:val="nil"/>
              <w:bottom w:val="nil"/>
              <w:right w:val="nil"/>
            </w:tcBorders>
            <w:shd w:val="clear" w:color="auto" w:fill="auto"/>
            <w:vAlign w:val="center"/>
            <w:hideMark/>
          </w:tcPr>
          <w:p w14:paraId="79BC73BA" w14:textId="77777777" w:rsidR="00EE5D67" w:rsidRPr="00EE5D67" w:rsidRDefault="00EE5D67" w:rsidP="00EE5D67">
            <w:pPr>
              <w:spacing w:after="0" w:line="240" w:lineRule="auto"/>
              <w:jc w:val="right"/>
              <w:rPr>
                <w:rFonts w:cs="Arial"/>
                <w:sz w:val="16"/>
                <w:szCs w:val="16"/>
              </w:rPr>
            </w:pPr>
            <w:r w:rsidRPr="00EE5D67">
              <w:rPr>
                <w:rFonts w:cs="Arial"/>
                <w:sz w:val="16"/>
                <w:szCs w:val="16"/>
              </w:rPr>
              <w:t>2 023 468</w:t>
            </w:r>
          </w:p>
        </w:tc>
        <w:tc>
          <w:tcPr>
            <w:tcW w:w="972" w:type="dxa"/>
            <w:tcBorders>
              <w:top w:val="nil"/>
              <w:left w:val="nil"/>
              <w:bottom w:val="nil"/>
              <w:right w:val="nil"/>
            </w:tcBorders>
            <w:shd w:val="clear" w:color="auto" w:fill="auto"/>
            <w:vAlign w:val="center"/>
            <w:hideMark/>
          </w:tcPr>
          <w:p w14:paraId="4DB09C0F" w14:textId="77777777" w:rsidR="00EE5D67" w:rsidRPr="00EE5D67" w:rsidRDefault="00EE5D67" w:rsidP="00EE5D67">
            <w:pPr>
              <w:spacing w:after="0" w:line="240" w:lineRule="auto"/>
              <w:jc w:val="right"/>
              <w:rPr>
                <w:rFonts w:cs="Arial"/>
                <w:sz w:val="16"/>
                <w:szCs w:val="16"/>
              </w:rPr>
            </w:pPr>
            <w:r w:rsidRPr="00EE5D67">
              <w:rPr>
                <w:rFonts w:cs="Arial"/>
                <w:sz w:val="16"/>
                <w:szCs w:val="16"/>
              </w:rPr>
              <w:t>1 270 928</w:t>
            </w:r>
          </w:p>
        </w:tc>
        <w:tc>
          <w:tcPr>
            <w:tcW w:w="973" w:type="dxa"/>
            <w:tcBorders>
              <w:top w:val="nil"/>
              <w:left w:val="nil"/>
              <w:bottom w:val="nil"/>
              <w:right w:val="single" w:sz="4" w:space="0" w:color="auto"/>
            </w:tcBorders>
            <w:shd w:val="clear" w:color="auto" w:fill="auto"/>
            <w:vAlign w:val="center"/>
            <w:hideMark/>
          </w:tcPr>
          <w:p w14:paraId="0B5FBE19" w14:textId="77777777" w:rsidR="00EE5D67" w:rsidRPr="00EE5D67" w:rsidRDefault="00EE5D67" w:rsidP="00EE5D67">
            <w:pPr>
              <w:spacing w:after="0" w:line="240" w:lineRule="auto"/>
              <w:jc w:val="right"/>
              <w:rPr>
                <w:rFonts w:cs="Arial"/>
                <w:sz w:val="16"/>
                <w:szCs w:val="16"/>
              </w:rPr>
            </w:pPr>
            <w:r w:rsidRPr="00EE5D67">
              <w:rPr>
                <w:rFonts w:cs="Arial"/>
                <w:sz w:val="16"/>
                <w:szCs w:val="16"/>
              </w:rPr>
              <w:t>752 540</w:t>
            </w:r>
          </w:p>
        </w:tc>
        <w:tc>
          <w:tcPr>
            <w:tcW w:w="652" w:type="dxa"/>
            <w:tcBorders>
              <w:top w:val="nil"/>
              <w:left w:val="nil"/>
              <w:bottom w:val="nil"/>
              <w:right w:val="nil"/>
            </w:tcBorders>
            <w:shd w:val="clear" w:color="auto" w:fill="auto"/>
            <w:noWrap/>
            <w:vAlign w:val="center"/>
            <w:hideMark/>
          </w:tcPr>
          <w:p w14:paraId="730C85F8" w14:textId="77777777" w:rsidR="00EE5D67" w:rsidRPr="00EE5D67" w:rsidRDefault="00EE5D67" w:rsidP="001239A7">
            <w:pPr>
              <w:spacing w:after="0" w:line="240" w:lineRule="auto"/>
              <w:jc w:val="right"/>
              <w:rPr>
                <w:rFonts w:cs="Arial"/>
                <w:sz w:val="16"/>
                <w:szCs w:val="16"/>
              </w:rPr>
            </w:pPr>
            <w:r w:rsidRPr="00EE5D67">
              <w:rPr>
                <w:rFonts w:cs="Arial"/>
                <w:sz w:val="16"/>
                <w:szCs w:val="16"/>
              </w:rPr>
              <w:t>78,81</w:t>
            </w:r>
          </w:p>
        </w:tc>
        <w:tc>
          <w:tcPr>
            <w:tcW w:w="709" w:type="dxa"/>
            <w:tcBorders>
              <w:top w:val="nil"/>
              <w:left w:val="nil"/>
              <w:bottom w:val="nil"/>
              <w:right w:val="nil"/>
            </w:tcBorders>
            <w:shd w:val="clear" w:color="auto" w:fill="auto"/>
            <w:noWrap/>
            <w:vAlign w:val="center"/>
            <w:hideMark/>
          </w:tcPr>
          <w:p w14:paraId="427C6079" w14:textId="77777777" w:rsidR="00EE5D67" w:rsidRPr="00EE5D67" w:rsidRDefault="00EE5D67" w:rsidP="001239A7">
            <w:pPr>
              <w:spacing w:after="0" w:line="240" w:lineRule="auto"/>
              <w:jc w:val="right"/>
              <w:rPr>
                <w:rFonts w:cs="Arial"/>
                <w:sz w:val="16"/>
                <w:szCs w:val="16"/>
              </w:rPr>
            </w:pPr>
            <w:r w:rsidRPr="00EE5D67">
              <w:rPr>
                <w:rFonts w:cs="Arial"/>
                <w:sz w:val="16"/>
                <w:szCs w:val="16"/>
              </w:rPr>
              <w:t>87,87</w:t>
            </w:r>
          </w:p>
        </w:tc>
        <w:tc>
          <w:tcPr>
            <w:tcW w:w="692" w:type="dxa"/>
            <w:tcBorders>
              <w:top w:val="nil"/>
              <w:left w:val="nil"/>
              <w:bottom w:val="nil"/>
              <w:right w:val="nil"/>
            </w:tcBorders>
            <w:shd w:val="clear" w:color="auto" w:fill="auto"/>
            <w:noWrap/>
            <w:vAlign w:val="center"/>
            <w:hideMark/>
          </w:tcPr>
          <w:p w14:paraId="388DD2A8" w14:textId="77777777" w:rsidR="00EE5D67" w:rsidRPr="00EE5D67" w:rsidRDefault="00EE5D67" w:rsidP="001239A7">
            <w:pPr>
              <w:spacing w:after="0" w:line="240" w:lineRule="auto"/>
              <w:jc w:val="right"/>
              <w:rPr>
                <w:rFonts w:cs="Arial"/>
                <w:sz w:val="16"/>
                <w:szCs w:val="16"/>
              </w:rPr>
            </w:pPr>
            <w:r w:rsidRPr="00EE5D67">
              <w:rPr>
                <w:rFonts w:cs="Arial"/>
                <w:sz w:val="16"/>
                <w:szCs w:val="16"/>
              </w:rPr>
              <w:t>67,12</w:t>
            </w:r>
          </w:p>
        </w:tc>
      </w:tr>
      <w:tr w:rsidR="00EE5D67" w:rsidRPr="00EE5D67" w14:paraId="20F30250"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64214562" w14:textId="1D2D46E9" w:rsidR="00EE5D67" w:rsidRPr="00EE5D67" w:rsidRDefault="00EE5D67" w:rsidP="00EE5D67">
            <w:pPr>
              <w:spacing w:after="0" w:line="240" w:lineRule="auto"/>
              <w:rPr>
                <w:rFonts w:cs="Arial"/>
                <w:sz w:val="16"/>
                <w:szCs w:val="16"/>
              </w:rPr>
            </w:pPr>
            <w:r w:rsidRPr="00EE5D67">
              <w:rPr>
                <w:rFonts w:cs="Arial"/>
                <w:sz w:val="16"/>
                <w:szCs w:val="16"/>
              </w:rPr>
              <w:t>– hypertenze</w:t>
            </w:r>
          </w:p>
        </w:tc>
        <w:tc>
          <w:tcPr>
            <w:tcW w:w="972" w:type="dxa"/>
            <w:tcBorders>
              <w:top w:val="nil"/>
              <w:left w:val="single" w:sz="4" w:space="0" w:color="auto"/>
              <w:bottom w:val="nil"/>
              <w:right w:val="nil"/>
            </w:tcBorders>
            <w:shd w:val="clear" w:color="auto" w:fill="auto"/>
            <w:vAlign w:val="center"/>
            <w:hideMark/>
          </w:tcPr>
          <w:p w14:paraId="6B6FADD8" w14:textId="77777777" w:rsidR="00EE5D67" w:rsidRPr="00EE5D67" w:rsidRDefault="00EE5D67" w:rsidP="00EE5D67">
            <w:pPr>
              <w:spacing w:after="0" w:line="240" w:lineRule="auto"/>
              <w:jc w:val="right"/>
              <w:rPr>
                <w:rFonts w:cs="Arial"/>
                <w:sz w:val="16"/>
                <w:szCs w:val="16"/>
              </w:rPr>
            </w:pPr>
            <w:r w:rsidRPr="00EE5D67">
              <w:rPr>
                <w:rFonts w:cs="Arial"/>
                <w:sz w:val="16"/>
                <w:szCs w:val="16"/>
              </w:rPr>
              <w:t>7 237</w:t>
            </w:r>
          </w:p>
        </w:tc>
        <w:tc>
          <w:tcPr>
            <w:tcW w:w="857" w:type="dxa"/>
            <w:tcBorders>
              <w:top w:val="nil"/>
              <w:left w:val="nil"/>
              <w:bottom w:val="nil"/>
              <w:right w:val="nil"/>
            </w:tcBorders>
            <w:shd w:val="clear" w:color="auto" w:fill="auto"/>
            <w:vAlign w:val="center"/>
            <w:hideMark/>
          </w:tcPr>
          <w:p w14:paraId="366D313A" w14:textId="77777777" w:rsidR="00EE5D67" w:rsidRPr="00EE5D67" w:rsidRDefault="00EE5D67" w:rsidP="00EE5D67">
            <w:pPr>
              <w:spacing w:after="0" w:line="240" w:lineRule="auto"/>
              <w:jc w:val="right"/>
              <w:rPr>
                <w:rFonts w:cs="Arial"/>
                <w:sz w:val="16"/>
                <w:szCs w:val="16"/>
              </w:rPr>
            </w:pPr>
            <w:r w:rsidRPr="00EE5D67">
              <w:rPr>
                <w:rFonts w:cs="Arial"/>
                <w:sz w:val="16"/>
                <w:szCs w:val="16"/>
              </w:rPr>
              <w:t>4 089</w:t>
            </w:r>
          </w:p>
        </w:tc>
        <w:tc>
          <w:tcPr>
            <w:tcW w:w="859" w:type="dxa"/>
            <w:tcBorders>
              <w:top w:val="nil"/>
              <w:left w:val="nil"/>
              <w:bottom w:val="nil"/>
              <w:right w:val="single" w:sz="4" w:space="0" w:color="auto"/>
            </w:tcBorders>
            <w:shd w:val="clear" w:color="auto" w:fill="auto"/>
            <w:vAlign w:val="center"/>
            <w:hideMark/>
          </w:tcPr>
          <w:p w14:paraId="16065E5B" w14:textId="77777777" w:rsidR="00EE5D67" w:rsidRPr="00EE5D67" w:rsidRDefault="00EE5D67" w:rsidP="00EE5D67">
            <w:pPr>
              <w:spacing w:after="0" w:line="240" w:lineRule="auto"/>
              <w:jc w:val="right"/>
              <w:rPr>
                <w:rFonts w:cs="Arial"/>
                <w:sz w:val="16"/>
                <w:szCs w:val="16"/>
              </w:rPr>
            </w:pPr>
            <w:r w:rsidRPr="00EE5D67">
              <w:rPr>
                <w:rFonts w:cs="Arial"/>
                <w:sz w:val="16"/>
                <w:szCs w:val="16"/>
              </w:rPr>
              <w:t>3 148</w:t>
            </w:r>
          </w:p>
        </w:tc>
        <w:tc>
          <w:tcPr>
            <w:tcW w:w="972" w:type="dxa"/>
            <w:tcBorders>
              <w:top w:val="nil"/>
              <w:left w:val="nil"/>
              <w:bottom w:val="nil"/>
              <w:right w:val="nil"/>
            </w:tcBorders>
            <w:shd w:val="clear" w:color="auto" w:fill="auto"/>
            <w:vAlign w:val="center"/>
            <w:hideMark/>
          </w:tcPr>
          <w:p w14:paraId="0D5E8C33" w14:textId="77777777" w:rsidR="00EE5D67" w:rsidRPr="00EE5D67" w:rsidRDefault="00EE5D67" w:rsidP="00EE5D67">
            <w:pPr>
              <w:spacing w:after="0" w:line="240" w:lineRule="auto"/>
              <w:jc w:val="right"/>
              <w:rPr>
                <w:rFonts w:cs="Arial"/>
                <w:sz w:val="16"/>
                <w:szCs w:val="16"/>
              </w:rPr>
            </w:pPr>
            <w:r w:rsidRPr="00EE5D67">
              <w:rPr>
                <w:rFonts w:cs="Arial"/>
                <w:sz w:val="16"/>
                <w:szCs w:val="16"/>
              </w:rPr>
              <w:t>409 892</w:t>
            </w:r>
          </w:p>
        </w:tc>
        <w:tc>
          <w:tcPr>
            <w:tcW w:w="972" w:type="dxa"/>
            <w:tcBorders>
              <w:top w:val="nil"/>
              <w:left w:val="nil"/>
              <w:bottom w:val="nil"/>
              <w:right w:val="nil"/>
            </w:tcBorders>
            <w:shd w:val="clear" w:color="auto" w:fill="auto"/>
            <w:vAlign w:val="center"/>
            <w:hideMark/>
          </w:tcPr>
          <w:p w14:paraId="7F352A69" w14:textId="77777777" w:rsidR="00EE5D67" w:rsidRPr="00EE5D67" w:rsidRDefault="00EE5D67" w:rsidP="00EE5D67">
            <w:pPr>
              <w:spacing w:after="0" w:line="240" w:lineRule="auto"/>
              <w:jc w:val="right"/>
              <w:rPr>
                <w:rFonts w:cs="Arial"/>
                <w:sz w:val="16"/>
                <w:szCs w:val="16"/>
              </w:rPr>
            </w:pPr>
            <w:r w:rsidRPr="00EE5D67">
              <w:rPr>
                <w:rFonts w:cs="Arial"/>
                <w:sz w:val="16"/>
                <w:szCs w:val="16"/>
              </w:rPr>
              <w:t>229 235</w:t>
            </w:r>
          </w:p>
        </w:tc>
        <w:tc>
          <w:tcPr>
            <w:tcW w:w="973" w:type="dxa"/>
            <w:tcBorders>
              <w:top w:val="nil"/>
              <w:left w:val="nil"/>
              <w:bottom w:val="nil"/>
              <w:right w:val="single" w:sz="4" w:space="0" w:color="auto"/>
            </w:tcBorders>
            <w:shd w:val="clear" w:color="auto" w:fill="auto"/>
            <w:vAlign w:val="center"/>
            <w:hideMark/>
          </w:tcPr>
          <w:p w14:paraId="35A8EC97" w14:textId="77777777" w:rsidR="00EE5D67" w:rsidRPr="00EE5D67" w:rsidRDefault="00EE5D67" w:rsidP="00EE5D67">
            <w:pPr>
              <w:spacing w:after="0" w:line="240" w:lineRule="auto"/>
              <w:jc w:val="right"/>
              <w:rPr>
                <w:rFonts w:cs="Arial"/>
                <w:sz w:val="16"/>
                <w:szCs w:val="16"/>
              </w:rPr>
            </w:pPr>
            <w:r w:rsidRPr="00EE5D67">
              <w:rPr>
                <w:rFonts w:cs="Arial"/>
                <w:sz w:val="16"/>
                <w:szCs w:val="16"/>
              </w:rPr>
              <w:t>180 657</w:t>
            </w:r>
          </w:p>
        </w:tc>
        <w:tc>
          <w:tcPr>
            <w:tcW w:w="652" w:type="dxa"/>
            <w:tcBorders>
              <w:top w:val="nil"/>
              <w:left w:val="nil"/>
              <w:bottom w:val="nil"/>
              <w:right w:val="nil"/>
            </w:tcBorders>
            <w:shd w:val="clear" w:color="auto" w:fill="auto"/>
            <w:noWrap/>
            <w:vAlign w:val="center"/>
            <w:hideMark/>
          </w:tcPr>
          <w:p w14:paraId="2C892CCE" w14:textId="77777777" w:rsidR="00EE5D67" w:rsidRPr="00EE5D67" w:rsidRDefault="00EE5D67" w:rsidP="001239A7">
            <w:pPr>
              <w:spacing w:after="0" w:line="240" w:lineRule="auto"/>
              <w:jc w:val="right"/>
              <w:rPr>
                <w:rFonts w:cs="Arial"/>
                <w:sz w:val="16"/>
                <w:szCs w:val="16"/>
              </w:rPr>
            </w:pPr>
            <w:r w:rsidRPr="00EE5D67">
              <w:rPr>
                <w:rFonts w:cs="Arial"/>
                <w:sz w:val="16"/>
                <w:szCs w:val="16"/>
              </w:rPr>
              <w:t>56,64</w:t>
            </w:r>
          </w:p>
        </w:tc>
        <w:tc>
          <w:tcPr>
            <w:tcW w:w="709" w:type="dxa"/>
            <w:tcBorders>
              <w:top w:val="nil"/>
              <w:left w:val="nil"/>
              <w:bottom w:val="nil"/>
              <w:right w:val="nil"/>
            </w:tcBorders>
            <w:shd w:val="clear" w:color="auto" w:fill="auto"/>
            <w:noWrap/>
            <w:vAlign w:val="center"/>
            <w:hideMark/>
          </w:tcPr>
          <w:p w14:paraId="2588AD69" w14:textId="77777777" w:rsidR="00EE5D67" w:rsidRPr="00EE5D67" w:rsidRDefault="00EE5D67" w:rsidP="001239A7">
            <w:pPr>
              <w:spacing w:after="0" w:line="240" w:lineRule="auto"/>
              <w:jc w:val="right"/>
              <w:rPr>
                <w:rFonts w:cs="Arial"/>
                <w:sz w:val="16"/>
                <w:szCs w:val="16"/>
              </w:rPr>
            </w:pPr>
            <w:r w:rsidRPr="00EE5D67">
              <w:rPr>
                <w:rFonts w:cs="Arial"/>
                <w:sz w:val="16"/>
                <w:szCs w:val="16"/>
              </w:rPr>
              <w:t>56,06</w:t>
            </w:r>
          </w:p>
        </w:tc>
        <w:tc>
          <w:tcPr>
            <w:tcW w:w="692" w:type="dxa"/>
            <w:tcBorders>
              <w:top w:val="nil"/>
              <w:left w:val="nil"/>
              <w:bottom w:val="nil"/>
              <w:right w:val="nil"/>
            </w:tcBorders>
            <w:shd w:val="clear" w:color="auto" w:fill="auto"/>
            <w:noWrap/>
            <w:vAlign w:val="center"/>
            <w:hideMark/>
          </w:tcPr>
          <w:p w14:paraId="07714F11" w14:textId="77777777" w:rsidR="00EE5D67" w:rsidRPr="00EE5D67" w:rsidRDefault="00EE5D67" w:rsidP="001239A7">
            <w:pPr>
              <w:spacing w:after="0" w:line="240" w:lineRule="auto"/>
              <w:jc w:val="right"/>
              <w:rPr>
                <w:rFonts w:cs="Arial"/>
                <w:sz w:val="16"/>
                <w:szCs w:val="16"/>
              </w:rPr>
            </w:pPr>
            <w:r w:rsidRPr="00EE5D67">
              <w:rPr>
                <w:rFonts w:cs="Arial"/>
                <w:sz w:val="16"/>
                <w:szCs w:val="16"/>
              </w:rPr>
              <w:t>57,39</w:t>
            </w:r>
          </w:p>
        </w:tc>
      </w:tr>
      <w:tr w:rsidR="00EE5D67" w:rsidRPr="00EE5D67" w14:paraId="76D7C0B3"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25AC8750" w14:textId="4FB48DE0" w:rsidR="00EE5D67" w:rsidRPr="00EE5D67" w:rsidRDefault="00EE5D67" w:rsidP="00816CA3">
            <w:pPr>
              <w:spacing w:after="0" w:line="240" w:lineRule="auto"/>
              <w:rPr>
                <w:rFonts w:cs="Arial"/>
                <w:sz w:val="16"/>
                <w:szCs w:val="16"/>
              </w:rPr>
            </w:pPr>
            <w:r w:rsidRPr="00EE5D67">
              <w:rPr>
                <w:rFonts w:cs="Arial"/>
                <w:sz w:val="16"/>
                <w:szCs w:val="16"/>
              </w:rPr>
              <w:t>– ischem</w:t>
            </w:r>
            <w:r w:rsidR="00816CA3">
              <w:rPr>
                <w:rFonts w:cs="Arial"/>
                <w:sz w:val="16"/>
                <w:szCs w:val="16"/>
              </w:rPr>
              <w:t>.</w:t>
            </w:r>
            <w:r w:rsidRPr="00EE5D67">
              <w:rPr>
                <w:rFonts w:cs="Arial"/>
                <w:sz w:val="16"/>
                <w:szCs w:val="16"/>
              </w:rPr>
              <w:t xml:space="preserve"> choroba srdeční</w:t>
            </w:r>
          </w:p>
        </w:tc>
        <w:tc>
          <w:tcPr>
            <w:tcW w:w="972" w:type="dxa"/>
            <w:tcBorders>
              <w:top w:val="nil"/>
              <w:left w:val="single" w:sz="4" w:space="0" w:color="auto"/>
              <w:bottom w:val="nil"/>
              <w:right w:val="nil"/>
            </w:tcBorders>
            <w:shd w:val="clear" w:color="auto" w:fill="auto"/>
            <w:vAlign w:val="center"/>
            <w:hideMark/>
          </w:tcPr>
          <w:p w14:paraId="66CFD024" w14:textId="77777777" w:rsidR="00EE5D67" w:rsidRPr="00EE5D67" w:rsidRDefault="00EE5D67" w:rsidP="00EE5D67">
            <w:pPr>
              <w:spacing w:after="0" w:line="240" w:lineRule="auto"/>
              <w:jc w:val="right"/>
              <w:rPr>
                <w:rFonts w:cs="Arial"/>
                <w:sz w:val="16"/>
                <w:szCs w:val="16"/>
              </w:rPr>
            </w:pPr>
            <w:r w:rsidRPr="00EE5D67">
              <w:rPr>
                <w:rFonts w:cs="Arial"/>
                <w:sz w:val="16"/>
                <w:szCs w:val="16"/>
              </w:rPr>
              <w:t>3 293</w:t>
            </w:r>
          </w:p>
        </w:tc>
        <w:tc>
          <w:tcPr>
            <w:tcW w:w="857" w:type="dxa"/>
            <w:tcBorders>
              <w:top w:val="nil"/>
              <w:left w:val="nil"/>
              <w:bottom w:val="nil"/>
              <w:right w:val="nil"/>
            </w:tcBorders>
            <w:shd w:val="clear" w:color="auto" w:fill="auto"/>
            <w:vAlign w:val="center"/>
            <w:hideMark/>
          </w:tcPr>
          <w:p w14:paraId="4D70EB3D" w14:textId="77777777" w:rsidR="00EE5D67" w:rsidRPr="00EE5D67" w:rsidRDefault="00EE5D67" w:rsidP="00EE5D67">
            <w:pPr>
              <w:spacing w:after="0" w:line="240" w:lineRule="auto"/>
              <w:jc w:val="right"/>
              <w:rPr>
                <w:rFonts w:cs="Arial"/>
                <w:sz w:val="16"/>
                <w:szCs w:val="16"/>
              </w:rPr>
            </w:pPr>
            <w:r w:rsidRPr="00EE5D67">
              <w:rPr>
                <w:rFonts w:cs="Arial"/>
                <w:sz w:val="16"/>
                <w:szCs w:val="16"/>
              </w:rPr>
              <w:t>2 628</w:t>
            </w:r>
          </w:p>
        </w:tc>
        <w:tc>
          <w:tcPr>
            <w:tcW w:w="859" w:type="dxa"/>
            <w:tcBorders>
              <w:top w:val="nil"/>
              <w:left w:val="nil"/>
              <w:bottom w:val="nil"/>
              <w:right w:val="single" w:sz="4" w:space="0" w:color="auto"/>
            </w:tcBorders>
            <w:shd w:val="clear" w:color="auto" w:fill="auto"/>
            <w:vAlign w:val="center"/>
            <w:hideMark/>
          </w:tcPr>
          <w:p w14:paraId="7FFD6E27" w14:textId="77777777" w:rsidR="00EE5D67" w:rsidRPr="00EE5D67" w:rsidRDefault="00EE5D67" w:rsidP="00EE5D67">
            <w:pPr>
              <w:spacing w:after="0" w:line="240" w:lineRule="auto"/>
              <w:jc w:val="right"/>
              <w:rPr>
                <w:rFonts w:cs="Arial"/>
                <w:sz w:val="16"/>
                <w:szCs w:val="16"/>
              </w:rPr>
            </w:pPr>
            <w:r w:rsidRPr="00EE5D67">
              <w:rPr>
                <w:rFonts w:cs="Arial"/>
                <w:sz w:val="16"/>
                <w:szCs w:val="16"/>
              </w:rPr>
              <w:t>665</w:t>
            </w:r>
          </w:p>
        </w:tc>
        <w:tc>
          <w:tcPr>
            <w:tcW w:w="972" w:type="dxa"/>
            <w:tcBorders>
              <w:top w:val="nil"/>
              <w:left w:val="nil"/>
              <w:bottom w:val="nil"/>
              <w:right w:val="nil"/>
            </w:tcBorders>
            <w:shd w:val="clear" w:color="auto" w:fill="auto"/>
            <w:vAlign w:val="center"/>
            <w:hideMark/>
          </w:tcPr>
          <w:p w14:paraId="3877DD0F" w14:textId="77777777" w:rsidR="00EE5D67" w:rsidRPr="00EE5D67" w:rsidRDefault="00EE5D67" w:rsidP="00EE5D67">
            <w:pPr>
              <w:spacing w:after="0" w:line="240" w:lineRule="auto"/>
              <w:jc w:val="right"/>
              <w:rPr>
                <w:rFonts w:cs="Arial"/>
                <w:sz w:val="16"/>
                <w:szCs w:val="16"/>
              </w:rPr>
            </w:pPr>
            <w:r w:rsidRPr="00EE5D67">
              <w:rPr>
                <w:rFonts w:cs="Arial"/>
                <w:sz w:val="16"/>
                <w:szCs w:val="16"/>
              </w:rPr>
              <w:t>422 285</w:t>
            </w:r>
          </w:p>
        </w:tc>
        <w:tc>
          <w:tcPr>
            <w:tcW w:w="972" w:type="dxa"/>
            <w:tcBorders>
              <w:top w:val="nil"/>
              <w:left w:val="nil"/>
              <w:bottom w:val="nil"/>
              <w:right w:val="nil"/>
            </w:tcBorders>
            <w:shd w:val="clear" w:color="auto" w:fill="auto"/>
            <w:vAlign w:val="center"/>
            <w:hideMark/>
          </w:tcPr>
          <w:p w14:paraId="69684AE9" w14:textId="77777777" w:rsidR="00EE5D67" w:rsidRPr="00EE5D67" w:rsidRDefault="00EE5D67" w:rsidP="00EE5D67">
            <w:pPr>
              <w:spacing w:after="0" w:line="240" w:lineRule="auto"/>
              <w:jc w:val="right"/>
              <w:rPr>
                <w:rFonts w:cs="Arial"/>
                <w:sz w:val="16"/>
                <w:szCs w:val="16"/>
              </w:rPr>
            </w:pPr>
            <w:r w:rsidRPr="00EE5D67">
              <w:rPr>
                <w:rFonts w:cs="Arial"/>
                <w:sz w:val="16"/>
                <w:szCs w:val="16"/>
              </w:rPr>
              <w:t>342 486</w:t>
            </w:r>
          </w:p>
        </w:tc>
        <w:tc>
          <w:tcPr>
            <w:tcW w:w="973" w:type="dxa"/>
            <w:tcBorders>
              <w:top w:val="nil"/>
              <w:left w:val="nil"/>
              <w:bottom w:val="nil"/>
              <w:right w:val="single" w:sz="4" w:space="0" w:color="auto"/>
            </w:tcBorders>
            <w:shd w:val="clear" w:color="auto" w:fill="auto"/>
            <w:vAlign w:val="center"/>
            <w:hideMark/>
          </w:tcPr>
          <w:p w14:paraId="610EAAE7" w14:textId="77777777" w:rsidR="00EE5D67" w:rsidRPr="00EE5D67" w:rsidRDefault="00EE5D67" w:rsidP="00EE5D67">
            <w:pPr>
              <w:spacing w:after="0" w:line="240" w:lineRule="auto"/>
              <w:jc w:val="right"/>
              <w:rPr>
                <w:rFonts w:cs="Arial"/>
                <w:sz w:val="16"/>
                <w:szCs w:val="16"/>
              </w:rPr>
            </w:pPr>
            <w:r w:rsidRPr="00EE5D67">
              <w:rPr>
                <w:rFonts w:cs="Arial"/>
                <w:sz w:val="16"/>
                <w:szCs w:val="16"/>
              </w:rPr>
              <w:t>79 799</w:t>
            </w:r>
          </w:p>
        </w:tc>
        <w:tc>
          <w:tcPr>
            <w:tcW w:w="652" w:type="dxa"/>
            <w:tcBorders>
              <w:top w:val="nil"/>
              <w:left w:val="nil"/>
              <w:bottom w:val="nil"/>
              <w:right w:val="nil"/>
            </w:tcBorders>
            <w:shd w:val="clear" w:color="auto" w:fill="auto"/>
            <w:noWrap/>
            <w:vAlign w:val="center"/>
            <w:hideMark/>
          </w:tcPr>
          <w:p w14:paraId="0ABF4D18" w14:textId="77777777" w:rsidR="00EE5D67" w:rsidRPr="00EE5D67" w:rsidRDefault="00EE5D67" w:rsidP="001239A7">
            <w:pPr>
              <w:spacing w:after="0" w:line="240" w:lineRule="auto"/>
              <w:jc w:val="right"/>
              <w:rPr>
                <w:rFonts w:cs="Arial"/>
                <w:sz w:val="16"/>
                <w:szCs w:val="16"/>
              </w:rPr>
            </w:pPr>
            <w:r w:rsidRPr="00EE5D67">
              <w:rPr>
                <w:rFonts w:cs="Arial"/>
                <w:sz w:val="16"/>
                <w:szCs w:val="16"/>
              </w:rPr>
              <w:t>128,24</w:t>
            </w:r>
          </w:p>
        </w:tc>
        <w:tc>
          <w:tcPr>
            <w:tcW w:w="709" w:type="dxa"/>
            <w:tcBorders>
              <w:top w:val="nil"/>
              <w:left w:val="nil"/>
              <w:bottom w:val="nil"/>
              <w:right w:val="nil"/>
            </w:tcBorders>
            <w:shd w:val="clear" w:color="auto" w:fill="auto"/>
            <w:noWrap/>
            <w:vAlign w:val="center"/>
            <w:hideMark/>
          </w:tcPr>
          <w:p w14:paraId="67FD37C8" w14:textId="77777777" w:rsidR="00EE5D67" w:rsidRPr="00EE5D67" w:rsidRDefault="00EE5D67" w:rsidP="001239A7">
            <w:pPr>
              <w:spacing w:after="0" w:line="240" w:lineRule="auto"/>
              <w:jc w:val="right"/>
              <w:rPr>
                <w:rFonts w:cs="Arial"/>
                <w:sz w:val="16"/>
                <w:szCs w:val="16"/>
              </w:rPr>
            </w:pPr>
            <w:r w:rsidRPr="00EE5D67">
              <w:rPr>
                <w:rFonts w:cs="Arial"/>
                <w:sz w:val="16"/>
                <w:szCs w:val="16"/>
              </w:rPr>
              <w:t>130,32</w:t>
            </w:r>
          </w:p>
        </w:tc>
        <w:tc>
          <w:tcPr>
            <w:tcW w:w="692" w:type="dxa"/>
            <w:tcBorders>
              <w:top w:val="nil"/>
              <w:left w:val="nil"/>
              <w:bottom w:val="nil"/>
              <w:right w:val="nil"/>
            </w:tcBorders>
            <w:shd w:val="clear" w:color="auto" w:fill="auto"/>
            <w:noWrap/>
            <w:vAlign w:val="center"/>
            <w:hideMark/>
          </w:tcPr>
          <w:p w14:paraId="7851D7FB" w14:textId="77777777" w:rsidR="00EE5D67" w:rsidRPr="00EE5D67" w:rsidRDefault="00EE5D67" w:rsidP="001239A7">
            <w:pPr>
              <w:spacing w:after="0" w:line="240" w:lineRule="auto"/>
              <w:jc w:val="right"/>
              <w:rPr>
                <w:rFonts w:cs="Arial"/>
                <w:sz w:val="16"/>
                <w:szCs w:val="16"/>
              </w:rPr>
            </w:pPr>
            <w:r w:rsidRPr="00EE5D67">
              <w:rPr>
                <w:rFonts w:cs="Arial"/>
                <w:sz w:val="16"/>
                <w:szCs w:val="16"/>
              </w:rPr>
              <w:t>120,00</w:t>
            </w:r>
          </w:p>
        </w:tc>
      </w:tr>
      <w:tr w:rsidR="00EE5D67" w:rsidRPr="00EE5D67" w14:paraId="146E9BAA"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4E08916E" w14:textId="1B9B64F1" w:rsidR="00EE5D67" w:rsidRPr="00EE5D67" w:rsidRDefault="00EE5D67" w:rsidP="00EE5D67">
            <w:pPr>
              <w:spacing w:after="0" w:line="240" w:lineRule="auto"/>
              <w:rPr>
                <w:rFonts w:cs="Arial"/>
                <w:sz w:val="16"/>
                <w:szCs w:val="16"/>
              </w:rPr>
            </w:pPr>
            <w:r w:rsidRPr="00EE5D67">
              <w:rPr>
                <w:rFonts w:cs="Arial"/>
                <w:sz w:val="16"/>
                <w:szCs w:val="16"/>
              </w:rPr>
              <w:t>– cévní nemoci mozku</w:t>
            </w:r>
          </w:p>
        </w:tc>
        <w:tc>
          <w:tcPr>
            <w:tcW w:w="972" w:type="dxa"/>
            <w:tcBorders>
              <w:top w:val="nil"/>
              <w:left w:val="single" w:sz="4" w:space="0" w:color="auto"/>
              <w:bottom w:val="nil"/>
              <w:right w:val="nil"/>
            </w:tcBorders>
            <w:shd w:val="clear" w:color="auto" w:fill="auto"/>
            <w:vAlign w:val="center"/>
            <w:hideMark/>
          </w:tcPr>
          <w:p w14:paraId="39C01349" w14:textId="77777777" w:rsidR="00EE5D67" w:rsidRPr="00EE5D67" w:rsidRDefault="00EE5D67" w:rsidP="00EE5D67">
            <w:pPr>
              <w:spacing w:after="0" w:line="240" w:lineRule="auto"/>
              <w:jc w:val="right"/>
              <w:rPr>
                <w:rFonts w:cs="Arial"/>
                <w:sz w:val="16"/>
                <w:szCs w:val="16"/>
              </w:rPr>
            </w:pPr>
            <w:r w:rsidRPr="00EE5D67">
              <w:rPr>
                <w:rFonts w:cs="Arial"/>
                <w:sz w:val="16"/>
                <w:szCs w:val="16"/>
              </w:rPr>
              <w:t>1 481</w:t>
            </w:r>
          </w:p>
        </w:tc>
        <w:tc>
          <w:tcPr>
            <w:tcW w:w="857" w:type="dxa"/>
            <w:tcBorders>
              <w:top w:val="nil"/>
              <w:left w:val="nil"/>
              <w:bottom w:val="nil"/>
              <w:right w:val="nil"/>
            </w:tcBorders>
            <w:shd w:val="clear" w:color="auto" w:fill="auto"/>
            <w:vAlign w:val="center"/>
            <w:hideMark/>
          </w:tcPr>
          <w:p w14:paraId="18B0A7B2" w14:textId="77777777" w:rsidR="00EE5D67" w:rsidRPr="00EE5D67" w:rsidRDefault="00EE5D67" w:rsidP="00EE5D67">
            <w:pPr>
              <w:spacing w:after="0" w:line="240" w:lineRule="auto"/>
              <w:jc w:val="right"/>
              <w:rPr>
                <w:rFonts w:cs="Arial"/>
                <w:sz w:val="16"/>
                <w:szCs w:val="16"/>
              </w:rPr>
            </w:pPr>
            <w:r w:rsidRPr="00EE5D67">
              <w:rPr>
                <w:rFonts w:cs="Arial"/>
                <w:sz w:val="16"/>
                <w:szCs w:val="16"/>
              </w:rPr>
              <w:t>937</w:t>
            </w:r>
          </w:p>
        </w:tc>
        <w:tc>
          <w:tcPr>
            <w:tcW w:w="859" w:type="dxa"/>
            <w:tcBorders>
              <w:top w:val="nil"/>
              <w:left w:val="nil"/>
              <w:bottom w:val="nil"/>
              <w:right w:val="single" w:sz="4" w:space="0" w:color="auto"/>
            </w:tcBorders>
            <w:shd w:val="clear" w:color="auto" w:fill="auto"/>
            <w:vAlign w:val="center"/>
            <w:hideMark/>
          </w:tcPr>
          <w:p w14:paraId="4C1E18C7" w14:textId="77777777" w:rsidR="00EE5D67" w:rsidRPr="00EE5D67" w:rsidRDefault="00EE5D67" w:rsidP="00EE5D67">
            <w:pPr>
              <w:spacing w:after="0" w:line="240" w:lineRule="auto"/>
              <w:jc w:val="right"/>
              <w:rPr>
                <w:rFonts w:cs="Arial"/>
                <w:sz w:val="16"/>
                <w:szCs w:val="16"/>
              </w:rPr>
            </w:pPr>
            <w:r w:rsidRPr="00EE5D67">
              <w:rPr>
                <w:rFonts w:cs="Arial"/>
                <w:sz w:val="16"/>
                <w:szCs w:val="16"/>
              </w:rPr>
              <w:t>544</w:t>
            </w:r>
          </w:p>
        </w:tc>
        <w:tc>
          <w:tcPr>
            <w:tcW w:w="972" w:type="dxa"/>
            <w:tcBorders>
              <w:top w:val="nil"/>
              <w:left w:val="nil"/>
              <w:bottom w:val="nil"/>
              <w:right w:val="nil"/>
            </w:tcBorders>
            <w:shd w:val="clear" w:color="auto" w:fill="auto"/>
            <w:vAlign w:val="center"/>
            <w:hideMark/>
          </w:tcPr>
          <w:p w14:paraId="39A95E37" w14:textId="77777777" w:rsidR="00EE5D67" w:rsidRPr="00EE5D67" w:rsidRDefault="00EE5D67" w:rsidP="00EE5D67">
            <w:pPr>
              <w:spacing w:after="0" w:line="240" w:lineRule="auto"/>
              <w:jc w:val="right"/>
              <w:rPr>
                <w:rFonts w:cs="Arial"/>
                <w:sz w:val="16"/>
                <w:szCs w:val="16"/>
              </w:rPr>
            </w:pPr>
            <w:r w:rsidRPr="00EE5D67">
              <w:rPr>
                <w:rFonts w:cs="Arial"/>
                <w:sz w:val="16"/>
                <w:szCs w:val="16"/>
              </w:rPr>
              <w:t>237 941</w:t>
            </w:r>
          </w:p>
        </w:tc>
        <w:tc>
          <w:tcPr>
            <w:tcW w:w="972" w:type="dxa"/>
            <w:tcBorders>
              <w:top w:val="nil"/>
              <w:left w:val="nil"/>
              <w:bottom w:val="nil"/>
              <w:right w:val="nil"/>
            </w:tcBorders>
            <w:shd w:val="clear" w:color="auto" w:fill="auto"/>
            <w:vAlign w:val="center"/>
            <w:hideMark/>
          </w:tcPr>
          <w:p w14:paraId="3190283E" w14:textId="77777777" w:rsidR="00EE5D67" w:rsidRPr="00EE5D67" w:rsidRDefault="00EE5D67" w:rsidP="00EE5D67">
            <w:pPr>
              <w:spacing w:after="0" w:line="240" w:lineRule="auto"/>
              <w:jc w:val="right"/>
              <w:rPr>
                <w:rFonts w:cs="Arial"/>
                <w:sz w:val="16"/>
                <w:szCs w:val="16"/>
              </w:rPr>
            </w:pPr>
            <w:r w:rsidRPr="00EE5D67">
              <w:rPr>
                <w:rFonts w:cs="Arial"/>
                <w:sz w:val="16"/>
                <w:szCs w:val="16"/>
              </w:rPr>
              <w:t>151 029</w:t>
            </w:r>
          </w:p>
        </w:tc>
        <w:tc>
          <w:tcPr>
            <w:tcW w:w="973" w:type="dxa"/>
            <w:tcBorders>
              <w:top w:val="nil"/>
              <w:left w:val="nil"/>
              <w:bottom w:val="nil"/>
              <w:right w:val="single" w:sz="4" w:space="0" w:color="auto"/>
            </w:tcBorders>
            <w:shd w:val="clear" w:color="auto" w:fill="auto"/>
            <w:vAlign w:val="center"/>
            <w:hideMark/>
          </w:tcPr>
          <w:p w14:paraId="02649836" w14:textId="77777777" w:rsidR="00EE5D67" w:rsidRPr="00EE5D67" w:rsidRDefault="00EE5D67" w:rsidP="00EE5D67">
            <w:pPr>
              <w:spacing w:after="0" w:line="240" w:lineRule="auto"/>
              <w:jc w:val="right"/>
              <w:rPr>
                <w:rFonts w:cs="Arial"/>
                <w:sz w:val="16"/>
                <w:szCs w:val="16"/>
              </w:rPr>
            </w:pPr>
            <w:r w:rsidRPr="00EE5D67">
              <w:rPr>
                <w:rFonts w:cs="Arial"/>
                <w:sz w:val="16"/>
                <w:szCs w:val="16"/>
              </w:rPr>
              <w:t>86 912</w:t>
            </w:r>
          </w:p>
        </w:tc>
        <w:tc>
          <w:tcPr>
            <w:tcW w:w="652" w:type="dxa"/>
            <w:tcBorders>
              <w:top w:val="nil"/>
              <w:left w:val="nil"/>
              <w:bottom w:val="nil"/>
              <w:right w:val="nil"/>
            </w:tcBorders>
            <w:shd w:val="clear" w:color="auto" w:fill="auto"/>
            <w:noWrap/>
            <w:vAlign w:val="center"/>
            <w:hideMark/>
          </w:tcPr>
          <w:p w14:paraId="6830003E" w14:textId="77777777" w:rsidR="00EE5D67" w:rsidRPr="00EE5D67" w:rsidRDefault="00EE5D67" w:rsidP="001239A7">
            <w:pPr>
              <w:spacing w:after="0" w:line="240" w:lineRule="auto"/>
              <w:jc w:val="right"/>
              <w:rPr>
                <w:rFonts w:cs="Arial"/>
                <w:sz w:val="16"/>
                <w:szCs w:val="16"/>
              </w:rPr>
            </w:pPr>
            <w:r w:rsidRPr="00EE5D67">
              <w:rPr>
                <w:rFonts w:cs="Arial"/>
                <w:sz w:val="16"/>
                <w:szCs w:val="16"/>
              </w:rPr>
              <w:t>160,66</w:t>
            </w:r>
          </w:p>
        </w:tc>
        <w:tc>
          <w:tcPr>
            <w:tcW w:w="709" w:type="dxa"/>
            <w:tcBorders>
              <w:top w:val="nil"/>
              <w:left w:val="nil"/>
              <w:bottom w:val="nil"/>
              <w:right w:val="nil"/>
            </w:tcBorders>
            <w:shd w:val="clear" w:color="auto" w:fill="auto"/>
            <w:noWrap/>
            <w:vAlign w:val="center"/>
            <w:hideMark/>
          </w:tcPr>
          <w:p w14:paraId="1486464F" w14:textId="77777777" w:rsidR="00EE5D67" w:rsidRPr="00EE5D67" w:rsidRDefault="00EE5D67" w:rsidP="001239A7">
            <w:pPr>
              <w:spacing w:after="0" w:line="240" w:lineRule="auto"/>
              <w:jc w:val="right"/>
              <w:rPr>
                <w:rFonts w:cs="Arial"/>
                <w:sz w:val="16"/>
                <w:szCs w:val="16"/>
              </w:rPr>
            </w:pPr>
            <w:r w:rsidRPr="00EE5D67">
              <w:rPr>
                <w:rFonts w:cs="Arial"/>
                <w:sz w:val="16"/>
                <w:szCs w:val="16"/>
              </w:rPr>
              <w:t>161,18</w:t>
            </w:r>
          </w:p>
        </w:tc>
        <w:tc>
          <w:tcPr>
            <w:tcW w:w="692" w:type="dxa"/>
            <w:tcBorders>
              <w:top w:val="nil"/>
              <w:left w:val="nil"/>
              <w:bottom w:val="nil"/>
              <w:right w:val="nil"/>
            </w:tcBorders>
            <w:shd w:val="clear" w:color="auto" w:fill="auto"/>
            <w:noWrap/>
            <w:vAlign w:val="center"/>
            <w:hideMark/>
          </w:tcPr>
          <w:p w14:paraId="7E4411DF" w14:textId="77777777" w:rsidR="00EE5D67" w:rsidRPr="00EE5D67" w:rsidRDefault="00EE5D67" w:rsidP="001239A7">
            <w:pPr>
              <w:spacing w:after="0" w:line="240" w:lineRule="auto"/>
              <w:jc w:val="right"/>
              <w:rPr>
                <w:rFonts w:cs="Arial"/>
                <w:sz w:val="16"/>
                <w:szCs w:val="16"/>
              </w:rPr>
            </w:pPr>
            <w:r w:rsidRPr="00EE5D67">
              <w:rPr>
                <w:rFonts w:cs="Arial"/>
                <w:sz w:val="16"/>
                <w:szCs w:val="16"/>
              </w:rPr>
              <w:t>159,76</w:t>
            </w:r>
          </w:p>
        </w:tc>
      </w:tr>
      <w:tr w:rsidR="00EE5D67" w:rsidRPr="00EE5D67" w14:paraId="28317232"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725681C7" w14:textId="6272743B" w:rsidR="00EE5D67" w:rsidRPr="00EE5D67" w:rsidRDefault="00EE5D67" w:rsidP="00816CA3">
            <w:pPr>
              <w:spacing w:after="0" w:line="240" w:lineRule="auto"/>
              <w:rPr>
                <w:rFonts w:cs="Arial"/>
                <w:sz w:val="16"/>
                <w:szCs w:val="16"/>
              </w:rPr>
            </w:pPr>
            <w:r w:rsidRPr="00EE5D67">
              <w:rPr>
                <w:rFonts w:cs="Arial"/>
                <w:sz w:val="16"/>
                <w:szCs w:val="16"/>
              </w:rPr>
              <w:t>– jiné nemoci oběh</w:t>
            </w:r>
            <w:r w:rsidR="00816CA3">
              <w:rPr>
                <w:rFonts w:cs="Arial"/>
                <w:sz w:val="16"/>
                <w:szCs w:val="16"/>
              </w:rPr>
              <w:t>. soust.</w:t>
            </w:r>
          </w:p>
        </w:tc>
        <w:tc>
          <w:tcPr>
            <w:tcW w:w="972" w:type="dxa"/>
            <w:tcBorders>
              <w:top w:val="nil"/>
              <w:left w:val="single" w:sz="4" w:space="0" w:color="auto"/>
              <w:bottom w:val="nil"/>
              <w:right w:val="nil"/>
            </w:tcBorders>
            <w:shd w:val="clear" w:color="auto" w:fill="auto"/>
            <w:vAlign w:val="center"/>
            <w:hideMark/>
          </w:tcPr>
          <w:p w14:paraId="7BBD91E5" w14:textId="77777777" w:rsidR="00EE5D67" w:rsidRPr="00EE5D67" w:rsidRDefault="00EE5D67" w:rsidP="00EE5D67">
            <w:pPr>
              <w:spacing w:after="0" w:line="240" w:lineRule="auto"/>
              <w:jc w:val="right"/>
              <w:rPr>
                <w:rFonts w:cs="Arial"/>
                <w:sz w:val="16"/>
                <w:szCs w:val="16"/>
              </w:rPr>
            </w:pPr>
            <w:r w:rsidRPr="00EE5D67">
              <w:rPr>
                <w:rFonts w:cs="Arial"/>
                <w:sz w:val="16"/>
                <w:szCs w:val="16"/>
              </w:rPr>
              <w:t>13 662</w:t>
            </w:r>
          </w:p>
        </w:tc>
        <w:tc>
          <w:tcPr>
            <w:tcW w:w="857" w:type="dxa"/>
            <w:tcBorders>
              <w:top w:val="nil"/>
              <w:left w:val="nil"/>
              <w:bottom w:val="nil"/>
              <w:right w:val="nil"/>
            </w:tcBorders>
            <w:shd w:val="clear" w:color="auto" w:fill="auto"/>
            <w:vAlign w:val="center"/>
            <w:hideMark/>
          </w:tcPr>
          <w:p w14:paraId="3292FFE5" w14:textId="77777777" w:rsidR="00EE5D67" w:rsidRPr="00EE5D67" w:rsidRDefault="00EE5D67" w:rsidP="00EE5D67">
            <w:pPr>
              <w:spacing w:after="0" w:line="240" w:lineRule="auto"/>
              <w:jc w:val="right"/>
              <w:rPr>
                <w:rFonts w:cs="Arial"/>
                <w:sz w:val="16"/>
                <w:szCs w:val="16"/>
              </w:rPr>
            </w:pPr>
            <w:r w:rsidRPr="00EE5D67">
              <w:rPr>
                <w:rFonts w:cs="Arial"/>
                <w:sz w:val="16"/>
                <w:szCs w:val="16"/>
              </w:rPr>
              <w:t>6 808</w:t>
            </w:r>
          </w:p>
        </w:tc>
        <w:tc>
          <w:tcPr>
            <w:tcW w:w="859" w:type="dxa"/>
            <w:tcBorders>
              <w:top w:val="nil"/>
              <w:left w:val="nil"/>
              <w:bottom w:val="nil"/>
              <w:right w:val="single" w:sz="4" w:space="0" w:color="auto"/>
            </w:tcBorders>
            <w:shd w:val="clear" w:color="auto" w:fill="auto"/>
            <w:vAlign w:val="center"/>
            <w:hideMark/>
          </w:tcPr>
          <w:p w14:paraId="4C6FB7DA" w14:textId="77777777" w:rsidR="00EE5D67" w:rsidRPr="00EE5D67" w:rsidRDefault="00EE5D67" w:rsidP="00EE5D67">
            <w:pPr>
              <w:spacing w:after="0" w:line="240" w:lineRule="auto"/>
              <w:jc w:val="right"/>
              <w:rPr>
                <w:rFonts w:cs="Arial"/>
                <w:sz w:val="16"/>
                <w:szCs w:val="16"/>
              </w:rPr>
            </w:pPr>
            <w:r w:rsidRPr="00EE5D67">
              <w:rPr>
                <w:rFonts w:cs="Arial"/>
                <w:sz w:val="16"/>
                <w:szCs w:val="16"/>
              </w:rPr>
              <w:t>6 854</w:t>
            </w:r>
          </w:p>
        </w:tc>
        <w:tc>
          <w:tcPr>
            <w:tcW w:w="972" w:type="dxa"/>
            <w:tcBorders>
              <w:top w:val="nil"/>
              <w:left w:val="nil"/>
              <w:bottom w:val="nil"/>
              <w:right w:val="nil"/>
            </w:tcBorders>
            <w:shd w:val="clear" w:color="auto" w:fill="auto"/>
            <w:vAlign w:val="center"/>
            <w:hideMark/>
          </w:tcPr>
          <w:p w14:paraId="74ED00DB" w14:textId="77777777" w:rsidR="00EE5D67" w:rsidRPr="00EE5D67" w:rsidRDefault="00EE5D67" w:rsidP="00EE5D67">
            <w:pPr>
              <w:spacing w:after="0" w:line="240" w:lineRule="auto"/>
              <w:jc w:val="right"/>
              <w:rPr>
                <w:rFonts w:cs="Arial"/>
                <w:sz w:val="16"/>
                <w:szCs w:val="16"/>
              </w:rPr>
            </w:pPr>
            <w:r w:rsidRPr="00EE5D67">
              <w:rPr>
                <w:rFonts w:cs="Arial"/>
                <w:sz w:val="16"/>
                <w:szCs w:val="16"/>
              </w:rPr>
              <w:t>953 218</w:t>
            </w:r>
          </w:p>
        </w:tc>
        <w:tc>
          <w:tcPr>
            <w:tcW w:w="972" w:type="dxa"/>
            <w:tcBorders>
              <w:top w:val="nil"/>
              <w:left w:val="nil"/>
              <w:bottom w:val="nil"/>
              <w:right w:val="nil"/>
            </w:tcBorders>
            <w:shd w:val="clear" w:color="auto" w:fill="auto"/>
            <w:vAlign w:val="center"/>
            <w:hideMark/>
          </w:tcPr>
          <w:p w14:paraId="4346C985" w14:textId="77777777" w:rsidR="00EE5D67" w:rsidRPr="00EE5D67" w:rsidRDefault="00EE5D67" w:rsidP="00EE5D67">
            <w:pPr>
              <w:spacing w:after="0" w:line="240" w:lineRule="auto"/>
              <w:jc w:val="right"/>
              <w:rPr>
                <w:rFonts w:cs="Arial"/>
                <w:sz w:val="16"/>
                <w:szCs w:val="16"/>
              </w:rPr>
            </w:pPr>
            <w:r w:rsidRPr="00EE5D67">
              <w:rPr>
                <w:rFonts w:cs="Arial"/>
                <w:sz w:val="16"/>
                <w:szCs w:val="16"/>
              </w:rPr>
              <w:t>548 091</w:t>
            </w:r>
          </w:p>
        </w:tc>
        <w:tc>
          <w:tcPr>
            <w:tcW w:w="973" w:type="dxa"/>
            <w:tcBorders>
              <w:top w:val="nil"/>
              <w:left w:val="nil"/>
              <w:bottom w:val="nil"/>
              <w:right w:val="single" w:sz="4" w:space="0" w:color="auto"/>
            </w:tcBorders>
            <w:shd w:val="clear" w:color="auto" w:fill="auto"/>
            <w:vAlign w:val="center"/>
            <w:hideMark/>
          </w:tcPr>
          <w:p w14:paraId="0DADC5D1" w14:textId="77777777" w:rsidR="00EE5D67" w:rsidRPr="00EE5D67" w:rsidRDefault="00EE5D67" w:rsidP="00EE5D67">
            <w:pPr>
              <w:spacing w:after="0" w:line="240" w:lineRule="auto"/>
              <w:jc w:val="right"/>
              <w:rPr>
                <w:rFonts w:cs="Arial"/>
                <w:sz w:val="16"/>
                <w:szCs w:val="16"/>
              </w:rPr>
            </w:pPr>
            <w:r w:rsidRPr="00EE5D67">
              <w:rPr>
                <w:rFonts w:cs="Arial"/>
                <w:sz w:val="16"/>
                <w:szCs w:val="16"/>
              </w:rPr>
              <w:t>405 127</w:t>
            </w:r>
          </w:p>
        </w:tc>
        <w:tc>
          <w:tcPr>
            <w:tcW w:w="652" w:type="dxa"/>
            <w:tcBorders>
              <w:top w:val="nil"/>
              <w:left w:val="nil"/>
              <w:bottom w:val="nil"/>
              <w:right w:val="nil"/>
            </w:tcBorders>
            <w:shd w:val="clear" w:color="auto" w:fill="auto"/>
            <w:noWrap/>
            <w:vAlign w:val="center"/>
            <w:hideMark/>
          </w:tcPr>
          <w:p w14:paraId="5E8A95E0" w14:textId="77777777" w:rsidR="00EE5D67" w:rsidRPr="00EE5D67" w:rsidRDefault="00EE5D67" w:rsidP="001239A7">
            <w:pPr>
              <w:spacing w:after="0" w:line="240" w:lineRule="auto"/>
              <w:jc w:val="right"/>
              <w:rPr>
                <w:rFonts w:cs="Arial"/>
                <w:sz w:val="16"/>
                <w:szCs w:val="16"/>
              </w:rPr>
            </w:pPr>
            <w:r w:rsidRPr="00EE5D67">
              <w:rPr>
                <w:rFonts w:cs="Arial"/>
                <w:sz w:val="16"/>
                <w:szCs w:val="16"/>
              </w:rPr>
              <w:t>69,77</w:t>
            </w:r>
          </w:p>
        </w:tc>
        <w:tc>
          <w:tcPr>
            <w:tcW w:w="709" w:type="dxa"/>
            <w:tcBorders>
              <w:top w:val="nil"/>
              <w:left w:val="nil"/>
              <w:bottom w:val="nil"/>
              <w:right w:val="nil"/>
            </w:tcBorders>
            <w:shd w:val="clear" w:color="auto" w:fill="auto"/>
            <w:noWrap/>
            <w:vAlign w:val="center"/>
            <w:hideMark/>
          </w:tcPr>
          <w:p w14:paraId="05A4A000" w14:textId="77777777" w:rsidR="00EE5D67" w:rsidRPr="00EE5D67" w:rsidRDefault="00EE5D67" w:rsidP="001239A7">
            <w:pPr>
              <w:spacing w:after="0" w:line="240" w:lineRule="auto"/>
              <w:jc w:val="right"/>
              <w:rPr>
                <w:rFonts w:cs="Arial"/>
                <w:sz w:val="16"/>
                <w:szCs w:val="16"/>
              </w:rPr>
            </w:pPr>
            <w:r w:rsidRPr="00EE5D67">
              <w:rPr>
                <w:rFonts w:cs="Arial"/>
                <w:sz w:val="16"/>
                <w:szCs w:val="16"/>
              </w:rPr>
              <w:t>80,51</w:t>
            </w:r>
          </w:p>
        </w:tc>
        <w:tc>
          <w:tcPr>
            <w:tcW w:w="692" w:type="dxa"/>
            <w:tcBorders>
              <w:top w:val="nil"/>
              <w:left w:val="nil"/>
              <w:bottom w:val="nil"/>
              <w:right w:val="nil"/>
            </w:tcBorders>
            <w:shd w:val="clear" w:color="auto" w:fill="auto"/>
            <w:noWrap/>
            <w:vAlign w:val="center"/>
            <w:hideMark/>
          </w:tcPr>
          <w:p w14:paraId="179AC983" w14:textId="77777777" w:rsidR="00EE5D67" w:rsidRPr="00EE5D67" w:rsidRDefault="00EE5D67" w:rsidP="001239A7">
            <w:pPr>
              <w:spacing w:after="0" w:line="240" w:lineRule="auto"/>
              <w:jc w:val="right"/>
              <w:rPr>
                <w:rFonts w:cs="Arial"/>
                <w:sz w:val="16"/>
                <w:szCs w:val="16"/>
              </w:rPr>
            </w:pPr>
            <w:r w:rsidRPr="00EE5D67">
              <w:rPr>
                <w:rFonts w:cs="Arial"/>
                <w:sz w:val="16"/>
                <w:szCs w:val="16"/>
              </w:rPr>
              <w:t>59,11</w:t>
            </w:r>
          </w:p>
        </w:tc>
      </w:tr>
      <w:tr w:rsidR="00EE5D67" w:rsidRPr="00EE5D67" w14:paraId="172DD2F9"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0BF6A635" w14:textId="262BA07A" w:rsidR="00EE5D67" w:rsidRPr="00EE5D67" w:rsidRDefault="00EE5D67" w:rsidP="00EE5D67">
            <w:pPr>
              <w:spacing w:after="0" w:line="240" w:lineRule="auto"/>
              <w:rPr>
                <w:rFonts w:cs="Arial"/>
                <w:sz w:val="16"/>
                <w:szCs w:val="16"/>
              </w:rPr>
            </w:pPr>
            <w:r w:rsidRPr="00EE5D67">
              <w:rPr>
                <w:rFonts w:cs="Arial"/>
                <w:sz w:val="16"/>
                <w:szCs w:val="16"/>
              </w:rPr>
              <w:t>Nemoci dýchací soustavy</w:t>
            </w:r>
          </w:p>
        </w:tc>
        <w:tc>
          <w:tcPr>
            <w:tcW w:w="972" w:type="dxa"/>
            <w:tcBorders>
              <w:top w:val="nil"/>
              <w:left w:val="single" w:sz="4" w:space="0" w:color="auto"/>
              <w:bottom w:val="nil"/>
              <w:right w:val="nil"/>
            </w:tcBorders>
            <w:shd w:val="clear" w:color="auto" w:fill="auto"/>
            <w:vAlign w:val="center"/>
            <w:hideMark/>
          </w:tcPr>
          <w:p w14:paraId="10530205" w14:textId="77777777" w:rsidR="00EE5D67" w:rsidRPr="00EE5D67" w:rsidRDefault="00EE5D67" w:rsidP="00EE5D67">
            <w:pPr>
              <w:spacing w:after="0" w:line="240" w:lineRule="auto"/>
              <w:jc w:val="right"/>
              <w:rPr>
                <w:rFonts w:cs="Arial"/>
                <w:sz w:val="16"/>
                <w:szCs w:val="16"/>
              </w:rPr>
            </w:pPr>
            <w:r w:rsidRPr="00EE5D67">
              <w:rPr>
                <w:rFonts w:cs="Arial"/>
                <w:sz w:val="16"/>
                <w:szCs w:val="16"/>
              </w:rPr>
              <w:t>470 080</w:t>
            </w:r>
          </w:p>
        </w:tc>
        <w:tc>
          <w:tcPr>
            <w:tcW w:w="857" w:type="dxa"/>
            <w:tcBorders>
              <w:top w:val="nil"/>
              <w:left w:val="nil"/>
              <w:bottom w:val="nil"/>
              <w:right w:val="nil"/>
            </w:tcBorders>
            <w:shd w:val="clear" w:color="auto" w:fill="auto"/>
            <w:vAlign w:val="center"/>
            <w:hideMark/>
          </w:tcPr>
          <w:p w14:paraId="5B812739" w14:textId="77777777" w:rsidR="00EE5D67" w:rsidRPr="00EE5D67" w:rsidRDefault="00EE5D67" w:rsidP="00EE5D67">
            <w:pPr>
              <w:spacing w:after="0" w:line="240" w:lineRule="auto"/>
              <w:jc w:val="right"/>
              <w:rPr>
                <w:rFonts w:cs="Arial"/>
                <w:sz w:val="16"/>
                <w:szCs w:val="16"/>
              </w:rPr>
            </w:pPr>
            <w:r w:rsidRPr="00EE5D67">
              <w:rPr>
                <w:rFonts w:cs="Arial"/>
                <w:sz w:val="16"/>
                <w:szCs w:val="16"/>
              </w:rPr>
              <w:t>212 770</w:t>
            </w:r>
          </w:p>
        </w:tc>
        <w:tc>
          <w:tcPr>
            <w:tcW w:w="859" w:type="dxa"/>
            <w:tcBorders>
              <w:top w:val="nil"/>
              <w:left w:val="nil"/>
              <w:bottom w:val="nil"/>
              <w:right w:val="single" w:sz="4" w:space="0" w:color="auto"/>
            </w:tcBorders>
            <w:shd w:val="clear" w:color="auto" w:fill="auto"/>
            <w:vAlign w:val="center"/>
            <w:hideMark/>
          </w:tcPr>
          <w:p w14:paraId="04CA9266" w14:textId="77777777" w:rsidR="00EE5D67" w:rsidRPr="00EE5D67" w:rsidRDefault="00EE5D67" w:rsidP="00EE5D67">
            <w:pPr>
              <w:spacing w:after="0" w:line="240" w:lineRule="auto"/>
              <w:jc w:val="right"/>
              <w:rPr>
                <w:rFonts w:cs="Arial"/>
                <w:sz w:val="16"/>
                <w:szCs w:val="16"/>
              </w:rPr>
            </w:pPr>
            <w:r w:rsidRPr="00EE5D67">
              <w:rPr>
                <w:rFonts w:cs="Arial"/>
                <w:sz w:val="16"/>
                <w:szCs w:val="16"/>
              </w:rPr>
              <w:t>257 310</w:t>
            </w:r>
          </w:p>
        </w:tc>
        <w:tc>
          <w:tcPr>
            <w:tcW w:w="972" w:type="dxa"/>
            <w:tcBorders>
              <w:top w:val="nil"/>
              <w:left w:val="nil"/>
              <w:bottom w:val="nil"/>
              <w:right w:val="nil"/>
            </w:tcBorders>
            <w:shd w:val="clear" w:color="auto" w:fill="auto"/>
            <w:vAlign w:val="center"/>
            <w:hideMark/>
          </w:tcPr>
          <w:p w14:paraId="6A5EFA9D" w14:textId="77777777" w:rsidR="00EE5D67" w:rsidRPr="00EE5D67" w:rsidRDefault="00EE5D67" w:rsidP="00EE5D67">
            <w:pPr>
              <w:spacing w:after="0" w:line="240" w:lineRule="auto"/>
              <w:jc w:val="right"/>
              <w:rPr>
                <w:rFonts w:cs="Arial"/>
                <w:sz w:val="16"/>
                <w:szCs w:val="16"/>
              </w:rPr>
            </w:pPr>
            <w:r w:rsidRPr="00EE5D67">
              <w:rPr>
                <w:rFonts w:cs="Arial"/>
                <w:sz w:val="16"/>
                <w:szCs w:val="16"/>
              </w:rPr>
              <w:t>7 209 432</w:t>
            </w:r>
          </w:p>
        </w:tc>
        <w:tc>
          <w:tcPr>
            <w:tcW w:w="972" w:type="dxa"/>
            <w:tcBorders>
              <w:top w:val="nil"/>
              <w:left w:val="nil"/>
              <w:bottom w:val="nil"/>
              <w:right w:val="nil"/>
            </w:tcBorders>
            <w:shd w:val="clear" w:color="auto" w:fill="auto"/>
            <w:vAlign w:val="center"/>
            <w:hideMark/>
          </w:tcPr>
          <w:p w14:paraId="58C155A4" w14:textId="77777777" w:rsidR="00EE5D67" w:rsidRPr="00EE5D67" w:rsidRDefault="00EE5D67" w:rsidP="00EE5D67">
            <w:pPr>
              <w:spacing w:after="0" w:line="240" w:lineRule="auto"/>
              <w:jc w:val="right"/>
              <w:rPr>
                <w:rFonts w:cs="Arial"/>
                <w:sz w:val="16"/>
                <w:szCs w:val="16"/>
              </w:rPr>
            </w:pPr>
            <w:r w:rsidRPr="00EE5D67">
              <w:rPr>
                <w:rFonts w:cs="Arial"/>
                <w:sz w:val="16"/>
                <w:szCs w:val="16"/>
              </w:rPr>
              <w:t>3 187 532</w:t>
            </w:r>
          </w:p>
        </w:tc>
        <w:tc>
          <w:tcPr>
            <w:tcW w:w="973" w:type="dxa"/>
            <w:tcBorders>
              <w:top w:val="nil"/>
              <w:left w:val="nil"/>
              <w:bottom w:val="nil"/>
              <w:right w:val="single" w:sz="4" w:space="0" w:color="auto"/>
            </w:tcBorders>
            <w:shd w:val="clear" w:color="auto" w:fill="auto"/>
            <w:vAlign w:val="center"/>
            <w:hideMark/>
          </w:tcPr>
          <w:p w14:paraId="0BFF510B" w14:textId="77777777" w:rsidR="00EE5D67" w:rsidRPr="00EE5D67" w:rsidRDefault="00EE5D67" w:rsidP="00EE5D67">
            <w:pPr>
              <w:spacing w:after="0" w:line="240" w:lineRule="auto"/>
              <w:jc w:val="right"/>
              <w:rPr>
                <w:rFonts w:cs="Arial"/>
                <w:sz w:val="16"/>
                <w:szCs w:val="16"/>
              </w:rPr>
            </w:pPr>
            <w:r w:rsidRPr="00EE5D67">
              <w:rPr>
                <w:rFonts w:cs="Arial"/>
                <w:sz w:val="16"/>
                <w:szCs w:val="16"/>
              </w:rPr>
              <w:t>4 021 900</w:t>
            </w:r>
          </w:p>
        </w:tc>
        <w:tc>
          <w:tcPr>
            <w:tcW w:w="652" w:type="dxa"/>
            <w:tcBorders>
              <w:top w:val="nil"/>
              <w:left w:val="nil"/>
              <w:bottom w:val="nil"/>
              <w:right w:val="nil"/>
            </w:tcBorders>
            <w:shd w:val="clear" w:color="auto" w:fill="auto"/>
            <w:noWrap/>
            <w:vAlign w:val="center"/>
            <w:hideMark/>
          </w:tcPr>
          <w:p w14:paraId="5CD4CC04" w14:textId="77777777" w:rsidR="00EE5D67" w:rsidRPr="00EE5D67" w:rsidRDefault="00EE5D67" w:rsidP="001239A7">
            <w:pPr>
              <w:spacing w:after="0" w:line="240" w:lineRule="auto"/>
              <w:jc w:val="right"/>
              <w:rPr>
                <w:rFonts w:cs="Arial"/>
                <w:sz w:val="16"/>
                <w:szCs w:val="16"/>
              </w:rPr>
            </w:pPr>
            <w:r w:rsidRPr="00EE5D67">
              <w:rPr>
                <w:rFonts w:cs="Arial"/>
                <w:sz w:val="16"/>
                <w:szCs w:val="16"/>
              </w:rPr>
              <w:t>15,34</w:t>
            </w:r>
          </w:p>
        </w:tc>
        <w:tc>
          <w:tcPr>
            <w:tcW w:w="709" w:type="dxa"/>
            <w:tcBorders>
              <w:top w:val="nil"/>
              <w:left w:val="nil"/>
              <w:bottom w:val="nil"/>
              <w:right w:val="nil"/>
            </w:tcBorders>
            <w:shd w:val="clear" w:color="auto" w:fill="auto"/>
            <w:noWrap/>
            <w:vAlign w:val="center"/>
            <w:hideMark/>
          </w:tcPr>
          <w:p w14:paraId="6AA3980E" w14:textId="77777777" w:rsidR="00EE5D67" w:rsidRPr="00EE5D67" w:rsidRDefault="00EE5D67" w:rsidP="001239A7">
            <w:pPr>
              <w:spacing w:after="0" w:line="240" w:lineRule="auto"/>
              <w:jc w:val="right"/>
              <w:rPr>
                <w:rFonts w:cs="Arial"/>
                <w:sz w:val="16"/>
                <w:szCs w:val="16"/>
              </w:rPr>
            </w:pPr>
            <w:r w:rsidRPr="00EE5D67">
              <w:rPr>
                <w:rFonts w:cs="Arial"/>
                <w:sz w:val="16"/>
                <w:szCs w:val="16"/>
              </w:rPr>
              <w:t>14,98</w:t>
            </w:r>
          </w:p>
        </w:tc>
        <w:tc>
          <w:tcPr>
            <w:tcW w:w="692" w:type="dxa"/>
            <w:tcBorders>
              <w:top w:val="nil"/>
              <w:left w:val="nil"/>
              <w:bottom w:val="nil"/>
              <w:right w:val="nil"/>
            </w:tcBorders>
            <w:shd w:val="clear" w:color="auto" w:fill="auto"/>
            <w:noWrap/>
            <w:vAlign w:val="center"/>
            <w:hideMark/>
          </w:tcPr>
          <w:p w14:paraId="210D52CA" w14:textId="77777777" w:rsidR="00EE5D67" w:rsidRPr="00EE5D67" w:rsidRDefault="00EE5D67" w:rsidP="001239A7">
            <w:pPr>
              <w:spacing w:after="0" w:line="240" w:lineRule="auto"/>
              <w:jc w:val="right"/>
              <w:rPr>
                <w:rFonts w:cs="Arial"/>
                <w:sz w:val="16"/>
                <w:szCs w:val="16"/>
              </w:rPr>
            </w:pPr>
            <w:r w:rsidRPr="00EE5D67">
              <w:rPr>
                <w:rFonts w:cs="Arial"/>
                <w:sz w:val="16"/>
                <w:szCs w:val="16"/>
              </w:rPr>
              <w:t>15,63</w:t>
            </w:r>
          </w:p>
        </w:tc>
      </w:tr>
      <w:tr w:rsidR="00EE5D67" w:rsidRPr="00EE5D67" w14:paraId="4DD3DF44"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540347CA" w14:textId="4718BCF8" w:rsidR="00EE5D67" w:rsidRPr="00EE5D67" w:rsidRDefault="00EE5D67" w:rsidP="00816CA3">
            <w:pPr>
              <w:spacing w:after="0" w:line="240" w:lineRule="auto"/>
              <w:rPr>
                <w:rFonts w:cs="Arial"/>
                <w:sz w:val="16"/>
                <w:szCs w:val="16"/>
              </w:rPr>
            </w:pPr>
            <w:r w:rsidRPr="00EE5D67">
              <w:rPr>
                <w:rFonts w:cs="Arial"/>
                <w:sz w:val="16"/>
                <w:szCs w:val="16"/>
              </w:rPr>
              <w:t>– akutní infekce dých</w:t>
            </w:r>
            <w:r w:rsidR="00816CA3">
              <w:rPr>
                <w:rFonts w:cs="Arial"/>
                <w:sz w:val="16"/>
                <w:szCs w:val="16"/>
              </w:rPr>
              <w:t>. c</w:t>
            </w:r>
            <w:r w:rsidRPr="00EE5D67">
              <w:rPr>
                <w:rFonts w:cs="Arial"/>
                <w:sz w:val="16"/>
                <w:szCs w:val="16"/>
              </w:rPr>
              <w:t>est</w:t>
            </w:r>
          </w:p>
        </w:tc>
        <w:tc>
          <w:tcPr>
            <w:tcW w:w="972" w:type="dxa"/>
            <w:tcBorders>
              <w:top w:val="nil"/>
              <w:left w:val="single" w:sz="4" w:space="0" w:color="auto"/>
              <w:bottom w:val="nil"/>
              <w:right w:val="nil"/>
            </w:tcBorders>
            <w:shd w:val="clear" w:color="auto" w:fill="auto"/>
            <w:vAlign w:val="center"/>
            <w:hideMark/>
          </w:tcPr>
          <w:p w14:paraId="1CE5E61A" w14:textId="77777777" w:rsidR="00EE5D67" w:rsidRPr="00EE5D67" w:rsidRDefault="00EE5D67" w:rsidP="00EE5D67">
            <w:pPr>
              <w:spacing w:after="0" w:line="240" w:lineRule="auto"/>
              <w:jc w:val="right"/>
              <w:rPr>
                <w:rFonts w:cs="Arial"/>
                <w:sz w:val="16"/>
                <w:szCs w:val="16"/>
              </w:rPr>
            </w:pPr>
            <w:r w:rsidRPr="00EE5D67">
              <w:rPr>
                <w:rFonts w:cs="Arial"/>
                <w:sz w:val="16"/>
                <w:szCs w:val="16"/>
              </w:rPr>
              <w:t>364 438</w:t>
            </w:r>
          </w:p>
        </w:tc>
        <w:tc>
          <w:tcPr>
            <w:tcW w:w="857" w:type="dxa"/>
            <w:tcBorders>
              <w:top w:val="nil"/>
              <w:left w:val="nil"/>
              <w:bottom w:val="nil"/>
              <w:right w:val="nil"/>
            </w:tcBorders>
            <w:shd w:val="clear" w:color="auto" w:fill="auto"/>
            <w:vAlign w:val="center"/>
            <w:hideMark/>
          </w:tcPr>
          <w:p w14:paraId="3AB9457E" w14:textId="77777777" w:rsidR="00EE5D67" w:rsidRPr="00EE5D67" w:rsidRDefault="00EE5D67" w:rsidP="00EE5D67">
            <w:pPr>
              <w:spacing w:after="0" w:line="240" w:lineRule="auto"/>
              <w:jc w:val="right"/>
              <w:rPr>
                <w:rFonts w:cs="Arial"/>
                <w:sz w:val="16"/>
                <w:szCs w:val="16"/>
              </w:rPr>
            </w:pPr>
            <w:r w:rsidRPr="00EE5D67">
              <w:rPr>
                <w:rFonts w:cs="Arial"/>
                <w:sz w:val="16"/>
                <w:szCs w:val="16"/>
              </w:rPr>
              <w:t>162 198</w:t>
            </w:r>
          </w:p>
        </w:tc>
        <w:tc>
          <w:tcPr>
            <w:tcW w:w="859" w:type="dxa"/>
            <w:tcBorders>
              <w:top w:val="nil"/>
              <w:left w:val="nil"/>
              <w:bottom w:val="nil"/>
              <w:right w:val="single" w:sz="4" w:space="0" w:color="auto"/>
            </w:tcBorders>
            <w:shd w:val="clear" w:color="auto" w:fill="auto"/>
            <w:vAlign w:val="center"/>
            <w:hideMark/>
          </w:tcPr>
          <w:p w14:paraId="70ABC8A3" w14:textId="77777777" w:rsidR="00EE5D67" w:rsidRPr="00EE5D67" w:rsidRDefault="00EE5D67" w:rsidP="00EE5D67">
            <w:pPr>
              <w:spacing w:after="0" w:line="240" w:lineRule="auto"/>
              <w:jc w:val="right"/>
              <w:rPr>
                <w:rFonts w:cs="Arial"/>
                <w:sz w:val="16"/>
                <w:szCs w:val="16"/>
              </w:rPr>
            </w:pPr>
            <w:r w:rsidRPr="00EE5D67">
              <w:rPr>
                <w:rFonts w:cs="Arial"/>
                <w:sz w:val="16"/>
                <w:szCs w:val="16"/>
              </w:rPr>
              <w:t>202 240</w:t>
            </w:r>
          </w:p>
        </w:tc>
        <w:tc>
          <w:tcPr>
            <w:tcW w:w="972" w:type="dxa"/>
            <w:tcBorders>
              <w:top w:val="nil"/>
              <w:left w:val="nil"/>
              <w:bottom w:val="nil"/>
              <w:right w:val="nil"/>
            </w:tcBorders>
            <w:shd w:val="clear" w:color="auto" w:fill="auto"/>
            <w:vAlign w:val="center"/>
            <w:hideMark/>
          </w:tcPr>
          <w:p w14:paraId="093D1B91" w14:textId="77777777" w:rsidR="00EE5D67" w:rsidRPr="00EE5D67" w:rsidRDefault="00EE5D67" w:rsidP="00EE5D67">
            <w:pPr>
              <w:spacing w:after="0" w:line="240" w:lineRule="auto"/>
              <w:jc w:val="right"/>
              <w:rPr>
                <w:rFonts w:cs="Arial"/>
                <w:sz w:val="16"/>
                <w:szCs w:val="16"/>
              </w:rPr>
            </w:pPr>
            <w:r w:rsidRPr="00EE5D67">
              <w:rPr>
                <w:rFonts w:cs="Arial"/>
                <w:sz w:val="16"/>
                <w:szCs w:val="16"/>
              </w:rPr>
              <w:t>5 372 479</w:t>
            </w:r>
          </w:p>
        </w:tc>
        <w:tc>
          <w:tcPr>
            <w:tcW w:w="972" w:type="dxa"/>
            <w:tcBorders>
              <w:top w:val="nil"/>
              <w:left w:val="nil"/>
              <w:bottom w:val="nil"/>
              <w:right w:val="nil"/>
            </w:tcBorders>
            <w:shd w:val="clear" w:color="auto" w:fill="auto"/>
            <w:vAlign w:val="center"/>
            <w:hideMark/>
          </w:tcPr>
          <w:p w14:paraId="08573104" w14:textId="77777777" w:rsidR="00EE5D67" w:rsidRPr="00EE5D67" w:rsidRDefault="00EE5D67" w:rsidP="00EE5D67">
            <w:pPr>
              <w:spacing w:after="0" w:line="240" w:lineRule="auto"/>
              <w:jc w:val="right"/>
              <w:rPr>
                <w:rFonts w:cs="Arial"/>
                <w:sz w:val="16"/>
                <w:szCs w:val="16"/>
              </w:rPr>
            </w:pPr>
            <w:r w:rsidRPr="00EE5D67">
              <w:rPr>
                <w:rFonts w:cs="Arial"/>
                <w:sz w:val="16"/>
                <w:szCs w:val="16"/>
              </w:rPr>
              <w:t>2 317 153</w:t>
            </w:r>
          </w:p>
        </w:tc>
        <w:tc>
          <w:tcPr>
            <w:tcW w:w="973" w:type="dxa"/>
            <w:tcBorders>
              <w:top w:val="nil"/>
              <w:left w:val="nil"/>
              <w:bottom w:val="nil"/>
              <w:right w:val="single" w:sz="4" w:space="0" w:color="auto"/>
            </w:tcBorders>
            <w:shd w:val="clear" w:color="auto" w:fill="auto"/>
            <w:vAlign w:val="center"/>
            <w:hideMark/>
          </w:tcPr>
          <w:p w14:paraId="140027CB" w14:textId="77777777" w:rsidR="00EE5D67" w:rsidRPr="00EE5D67" w:rsidRDefault="00EE5D67" w:rsidP="00EE5D67">
            <w:pPr>
              <w:spacing w:after="0" w:line="240" w:lineRule="auto"/>
              <w:jc w:val="right"/>
              <w:rPr>
                <w:rFonts w:cs="Arial"/>
                <w:sz w:val="16"/>
                <w:szCs w:val="16"/>
              </w:rPr>
            </w:pPr>
            <w:r w:rsidRPr="00EE5D67">
              <w:rPr>
                <w:rFonts w:cs="Arial"/>
                <w:sz w:val="16"/>
                <w:szCs w:val="16"/>
              </w:rPr>
              <w:t>3 055 326</w:t>
            </w:r>
          </w:p>
        </w:tc>
        <w:tc>
          <w:tcPr>
            <w:tcW w:w="652" w:type="dxa"/>
            <w:tcBorders>
              <w:top w:val="nil"/>
              <w:left w:val="nil"/>
              <w:bottom w:val="nil"/>
              <w:right w:val="nil"/>
            </w:tcBorders>
            <w:shd w:val="clear" w:color="auto" w:fill="auto"/>
            <w:noWrap/>
            <w:vAlign w:val="center"/>
            <w:hideMark/>
          </w:tcPr>
          <w:p w14:paraId="65035935" w14:textId="77777777" w:rsidR="00EE5D67" w:rsidRPr="00EE5D67" w:rsidRDefault="00EE5D67" w:rsidP="001239A7">
            <w:pPr>
              <w:spacing w:after="0" w:line="240" w:lineRule="auto"/>
              <w:jc w:val="right"/>
              <w:rPr>
                <w:rFonts w:cs="Arial"/>
                <w:sz w:val="16"/>
                <w:szCs w:val="16"/>
              </w:rPr>
            </w:pPr>
            <w:r w:rsidRPr="00EE5D67">
              <w:rPr>
                <w:rFonts w:cs="Arial"/>
                <w:sz w:val="16"/>
                <w:szCs w:val="16"/>
              </w:rPr>
              <w:t>14,74</w:t>
            </w:r>
          </w:p>
        </w:tc>
        <w:tc>
          <w:tcPr>
            <w:tcW w:w="709" w:type="dxa"/>
            <w:tcBorders>
              <w:top w:val="nil"/>
              <w:left w:val="nil"/>
              <w:bottom w:val="nil"/>
              <w:right w:val="nil"/>
            </w:tcBorders>
            <w:shd w:val="clear" w:color="auto" w:fill="auto"/>
            <w:noWrap/>
            <w:vAlign w:val="center"/>
            <w:hideMark/>
          </w:tcPr>
          <w:p w14:paraId="4C822483" w14:textId="77777777" w:rsidR="00EE5D67" w:rsidRPr="00EE5D67" w:rsidRDefault="00EE5D67" w:rsidP="001239A7">
            <w:pPr>
              <w:spacing w:after="0" w:line="240" w:lineRule="auto"/>
              <w:jc w:val="right"/>
              <w:rPr>
                <w:rFonts w:cs="Arial"/>
                <w:sz w:val="16"/>
                <w:szCs w:val="16"/>
              </w:rPr>
            </w:pPr>
            <w:r w:rsidRPr="00EE5D67">
              <w:rPr>
                <w:rFonts w:cs="Arial"/>
                <w:sz w:val="16"/>
                <w:szCs w:val="16"/>
              </w:rPr>
              <w:t>14,29</w:t>
            </w:r>
          </w:p>
        </w:tc>
        <w:tc>
          <w:tcPr>
            <w:tcW w:w="692" w:type="dxa"/>
            <w:tcBorders>
              <w:top w:val="nil"/>
              <w:left w:val="nil"/>
              <w:bottom w:val="nil"/>
              <w:right w:val="nil"/>
            </w:tcBorders>
            <w:shd w:val="clear" w:color="auto" w:fill="auto"/>
            <w:noWrap/>
            <w:vAlign w:val="center"/>
            <w:hideMark/>
          </w:tcPr>
          <w:p w14:paraId="37BFA2C3" w14:textId="77777777" w:rsidR="00EE5D67" w:rsidRPr="00EE5D67" w:rsidRDefault="00EE5D67" w:rsidP="001239A7">
            <w:pPr>
              <w:spacing w:after="0" w:line="240" w:lineRule="auto"/>
              <w:jc w:val="right"/>
              <w:rPr>
                <w:rFonts w:cs="Arial"/>
                <w:sz w:val="16"/>
                <w:szCs w:val="16"/>
              </w:rPr>
            </w:pPr>
            <w:r w:rsidRPr="00EE5D67">
              <w:rPr>
                <w:rFonts w:cs="Arial"/>
                <w:sz w:val="16"/>
                <w:szCs w:val="16"/>
              </w:rPr>
              <w:t>15,11</w:t>
            </w:r>
          </w:p>
        </w:tc>
      </w:tr>
      <w:tr w:rsidR="00EE5D67" w:rsidRPr="00EE5D67" w14:paraId="3E3330E9"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54291808" w14:textId="75A9699A" w:rsidR="00EE5D67" w:rsidRPr="00EE5D67" w:rsidRDefault="00EE5D67" w:rsidP="00EE5D67">
            <w:pPr>
              <w:spacing w:after="0" w:line="240" w:lineRule="auto"/>
              <w:rPr>
                <w:rFonts w:cs="Arial"/>
                <w:sz w:val="16"/>
                <w:szCs w:val="16"/>
              </w:rPr>
            </w:pPr>
            <w:r w:rsidRPr="00EE5D67">
              <w:rPr>
                <w:rFonts w:cs="Arial"/>
                <w:sz w:val="16"/>
                <w:szCs w:val="16"/>
              </w:rPr>
              <w:t>– chřipka</w:t>
            </w:r>
          </w:p>
        </w:tc>
        <w:tc>
          <w:tcPr>
            <w:tcW w:w="972" w:type="dxa"/>
            <w:tcBorders>
              <w:top w:val="nil"/>
              <w:left w:val="single" w:sz="4" w:space="0" w:color="auto"/>
              <w:bottom w:val="nil"/>
              <w:right w:val="nil"/>
            </w:tcBorders>
            <w:shd w:val="clear" w:color="auto" w:fill="auto"/>
            <w:vAlign w:val="center"/>
            <w:hideMark/>
          </w:tcPr>
          <w:p w14:paraId="478BCD10" w14:textId="77777777" w:rsidR="00EE5D67" w:rsidRPr="00EE5D67" w:rsidRDefault="00EE5D67" w:rsidP="00EE5D67">
            <w:pPr>
              <w:spacing w:after="0" w:line="240" w:lineRule="auto"/>
              <w:jc w:val="right"/>
              <w:rPr>
                <w:rFonts w:cs="Arial"/>
                <w:sz w:val="16"/>
                <w:szCs w:val="16"/>
              </w:rPr>
            </w:pPr>
            <w:r w:rsidRPr="00EE5D67">
              <w:rPr>
                <w:rFonts w:cs="Arial"/>
                <w:sz w:val="16"/>
                <w:szCs w:val="16"/>
              </w:rPr>
              <w:t>92 886</w:t>
            </w:r>
          </w:p>
        </w:tc>
        <w:tc>
          <w:tcPr>
            <w:tcW w:w="857" w:type="dxa"/>
            <w:tcBorders>
              <w:top w:val="nil"/>
              <w:left w:val="nil"/>
              <w:bottom w:val="nil"/>
              <w:right w:val="nil"/>
            </w:tcBorders>
            <w:shd w:val="clear" w:color="auto" w:fill="auto"/>
            <w:vAlign w:val="center"/>
            <w:hideMark/>
          </w:tcPr>
          <w:p w14:paraId="5946B6B4" w14:textId="77777777" w:rsidR="00EE5D67" w:rsidRPr="00EE5D67" w:rsidRDefault="00EE5D67" w:rsidP="00EE5D67">
            <w:pPr>
              <w:spacing w:after="0" w:line="240" w:lineRule="auto"/>
              <w:jc w:val="right"/>
              <w:rPr>
                <w:rFonts w:cs="Arial"/>
                <w:sz w:val="16"/>
                <w:szCs w:val="16"/>
              </w:rPr>
            </w:pPr>
            <w:r w:rsidRPr="00EE5D67">
              <w:rPr>
                <w:rFonts w:cs="Arial"/>
                <w:sz w:val="16"/>
                <w:szCs w:val="16"/>
              </w:rPr>
              <w:t>44 337</w:t>
            </w:r>
          </w:p>
        </w:tc>
        <w:tc>
          <w:tcPr>
            <w:tcW w:w="859" w:type="dxa"/>
            <w:tcBorders>
              <w:top w:val="nil"/>
              <w:left w:val="nil"/>
              <w:bottom w:val="nil"/>
              <w:right w:val="single" w:sz="4" w:space="0" w:color="auto"/>
            </w:tcBorders>
            <w:shd w:val="clear" w:color="auto" w:fill="auto"/>
            <w:vAlign w:val="center"/>
            <w:hideMark/>
          </w:tcPr>
          <w:p w14:paraId="08DBF3B5" w14:textId="77777777" w:rsidR="00EE5D67" w:rsidRPr="00EE5D67" w:rsidRDefault="00EE5D67" w:rsidP="00EE5D67">
            <w:pPr>
              <w:spacing w:after="0" w:line="240" w:lineRule="auto"/>
              <w:jc w:val="right"/>
              <w:rPr>
                <w:rFonts w:cs="Arial"/>
                <w:sz w:val="16"/>
                <w:szCs w:val="16"/>
              </w:rPr>
            </w:pPr>
            <w:r w:rsidRPr="00EE5D67">
              <w:rPr>
                <w:rFonts w:cs="Arial"/>
                <w:sz w:val="16"/>
                <w:szCs w:val="16"/>
              </w:rPr>
              <w:t>48 549</w:t>
            </w:r>
          </w:p>
        </w:tc>
        <w:tc>
          <w:tcPr>
            <w:tcW w:w="972" w:type="dxa"/>
            <w:tcBorders>
              <w:top w:val="nil"/>
              <w:left w:val="nil"/>
              <w:bottom w:val="nil"/>
              <w:right w:val="nil"/>
            </w:tcBorders>
            <w:shd w:val="clear" w:color="auto" w:fill="auto"/>
            <w:vAlign w:val="center"/>
            <w:hideMark/>
          </w:tcPr>
          <w:p w14:paraId="792111D6" w14:textId="77777777" w:rsidR="00EE5D67" w:rsidRPr="00EE5D67" w:rsidRDefault="00EE5D67" w:rsidP="00EE5D67">
            <w:pPr>
              <w:spacing w:after="0" w:line="240" w:lineRule="auto"/>
              <w:jc w:val="right"/>
              <w:rPr>
                <w:rFonts w:cs="Arial"/>
                <w:sz w:val="16"/>
                <w:szCs w:val="16"/>
              </w:rPr>
            </w:pPr>
            <w:r w:rsidRPr="00EE5D67">
              <w:rPr>
                <w:rFonts w:cs="Arial"/>
                <w:sz w:val="16"/>
                <w:szCs w:val="16"/>
              </w:rPr>
              <w:t>1 376 596</w:t>
            </w:r>
          </w:p>
        </w:tc>
        <w:tc>
          <w:tcPr>
            <w:tcW w:w="972" w:type="dxa"/>
            <w:tcBorders>
              <w:top w:val="nil"/>
              <w:left w:val="nil"/>
              <w:bottom w:val="nil"/>
              <w:right w:val="nil"/>
            </w:tcBorders>
            <w:shd w:val="clear" w:color="auto" w:fill="auto"/>
            <w:vAlign w:val="center"/>
            <w:hideMark/>
          </w:tcPr>
          <w:p w14:paraId="04B62998" w14:textId="77777777" w:rsidR="00EE5D67" w:rsidRPr="00EE5D67" w:rsidRDefault="00EE5D67" w:rsidP="00EE5D67">
            <w:pPr>
              <w:spacing w:after="0" w:line="240" w:lineRule="auto"/>
              <w:jc w:val="right"/>
              <w:rPr>
                <w:rFonts w:cs="Arial"/>
                <w:sz w:val="16"/>
                <w:szCs w:val="16"/>
              </w:rPr>
            </w:pPr>
            <w:r w:rsidRPr="00EE5D67">
              <w:rPr>
                <w:rFonts w:cs="Arial"/>
                <w:sz w:val="16"/>
                <w:szCs w:val="16"/>
              </w:rPr>
              <w:t>644 582</w:t>
            </w:r>
          </w:p>
        </w:tc>
        <w:tc>
          <w:tcPr>
            <w:tcW w:w="973" w:type="dxa"/>
            <w:tcBorders>
              <w:top w:val="nil"/>
              <w:left w:val="nil"/>
              <w:bottom w:val="nil"/>
              <w:right w:val="single" w:sz="4" w:space="0" w:color="auto"/>
            </w:tcBorders>
            <w:shd w:val="clear" w:color="auto" w:fill="auto"/>
            <w:vAlign w:val="center"/>
            <w:hideMark/>
          </w:tcPr>
          <w:p w14:paraId="5B666098" w14:textId="77777777" w:rsidR="00EE5D67" w:rsidRPr="00EE5D67" w:rsidRDefault="00EE5D67" w:rsidP="00EE5D67">
            <w:pPr>
              <w:spacing w:after="0" w:line="240" w:lineRule="auto"/>
              <w:jc w:val="right"/>
              <w:rPr>
                <w:rFonts w:cs="Arial"/>
                <w:sz w:val="16"/>
                <w:szCs w:val="16"/>
              </w:rPr>
            </w:pPr>
            <w:r w:rsidRPr="00EE5D67">
              <w:rPr>
                <w:rFonts w:cs="Arial"/>
                <w:sz w:val="16"/>
                <w:szCs w:val="16"/>
              </w:rPr>
              <w:t>732 014</w:t>
            </w:r>
          </w:p>
        </w:tc>
        <w:tc>
          <w:tcPr>
            <w:tcW w:w="652" w:type="dxa"/>
            <w:tcBorders>
              <w:top w:val="nil"/>
              <w:left w:val="nil"/>
              <w:bottom w:val="nil"/>
              <w:right w:val="nil"/>
            </w:tcBorders>
            <w:shd w:val="clear" w:color="auto" w:fill="auto"/>
            <w:noWrap/>
            <w:vAlign w:val="center"/>
            <w:hideMark/>
          </w:tcPr>
          <w:p w14:paraId="01947FCA" w14:textId="77777777" w:rsidR="00EE5D67" w:rsidRPr="00EE5D67" w:rsidRDefault="00EE5D67" w:rsidP="001239A7">
            <w:pPr>
              <w:spacing w:after="0" w:line="240" w:lineRule="auto"/>
              <w:jc w:val="right"/>
              <w:rPr>
                <w:rFonts w:cs="Arial"/>
                <w:sz w:val="16"/>
                <w:szCs w:val="16"/>
              </w:rPr>
            </w:pPr>
            <w:r w:rsidRPr="00EE5D67">
              <w:rPr>
                <w:rFonts w:cs="Arial"/>
                <w:sz w:val="16"/>
                <w:szCs w:val="16"/>
              </w:rPr>
              <w:t>14,82</w:t>
            </w:r>
          </w:p>
        </w:tc>
        <w:tc>
          <w:tcPr>
            <w:tcW w:w="709" w:type="dxa"/>
            <w:tcBorders>
              <w:top w:val="nil"/>
              <w:left w:val="nil"/>
              <w:bottom w:val="nil"/>
              <w:right w:val="nil"/>
            </w:tcBorders>
            <w:shd w:val="clear" w:color="auto" w:fill="auto"/>
            <w:noWrap/>
            <w:vAlign w:val="center"/>
            <w:hideMark/>
          </w:tcPr>
          <w:p w14:paraId="38F71052" w14:textId="77777777" w:rsidR="00EE5D67" w:rsidRPr="00EE5D67" w:rsidRDefault="00EE5D67" w:rsidP="001239A7">
            <w:pPr>
              <w:spacing w:after="0" w:line="240" w:lineRule="auto"/>
              <w:jc w:val="right"/>
              <w:rPr>
                <w:rFonts w:cs="Arial"/>
                <w:sz w:val="16"/>
                <w:szCs w:val="16"/>
              </w:rPr>
            </w:pPr>
            <w:r w:rsidRPr="00EE5D67">
              <w:rPr>
                <w:rFonts w:cs="Arial"/>
                <w:sz w:val="16"/>
                <w:szCs w:val="16"/>
              </w:rPr>
              <w:t>14,54</w:t>
            </w:r>
          </w:p>
        </w:tc>
        <w:tc>
          <w:tcPr>
            <w:tcW w:w="692" w:type="dxa"/>
            <w:tcBorders>
              <w:top w:val="nil"/>
              <w:left w:val="nil"/>
              <w:bottom w:val="nil"/>
              <w:right w:val="nil"/>
            </w:tcBorders>
            <w:shd w:val="clear" w:color="auto" w:fill="auto"/>
            <w:noWrap/>
            <w:vAlign w:val="center"/>
            <w:hideMark/>
          </w:tcPr>
          <w:p w14:paraId="7939EC82" w14:textId="77777777" w:rsidR="00EE5D67" w:rsidRPr="00EE5D67" w:rsidRDefault="00EE5D67" w:rsidP="001239A7">
            <w:pPr>
              <w:spacing w:after="0" w:line="240" w:lineRule="auto"/>
              <w:jc w:val="right"/>
              <w:rPr>
                <w:rFonts w:cs="Arial"/>
                <w:sz w:val="16"/>
                <w:szCs w:val="16"/>
              </w:rPr>
            </w:pPr>
            <w:r w:rsidRPr="00EE5D67">
              <w:rPr>
                <w:rFonts w:cs="Arial"/>
                <w:sz w:val="16"/>
                <w:szCs w:val="16"/>
              </w:rPr>
              <w:t>15,08</w:t>
            </w:r>
          </w:p>
        </w:tc>
      </w:tr>
      <w:tr w:rsidR="00EE5D67" w:rsidRPr="00EE5D67" w14:paraId="7F9A2D10" w14:textId="77777777" w:rsidTr="001239A7">
        <w:trPr>
          <w:divId w:val="1836259990"/>
          <w:trHeight w:val="397"/>
        </w:trPr>
        <w:tc>
          <w:tcPr>
            <w:tcW w:w="2148" w:type="dxa"/>
            <w:tcBorders>
              <w:top w:val="nil"/>
              <w:left w:val="nil"/>
              <w:bottom w:val="nil"/>
              <w:right w:val="nil"/>
            </w:tcBorders>
            <w:shd w:val="clear" w:color="auto" w:fill="auto"/>
            <w:vAlign w:val="bottom"/>
            <w:hideMark/>
          </w:tcPr>
          <w:p w14:paraId="4CE833E2" w14:textId="00907154" w:rsidR="00EE5D67" w:rsidRPr="00EE5D67" w:rsidRDefault="00EE5D67" w:rsidP="00816CA3">
            <w:pPr>
              <w:spacing w:after="0" w:line="240" w:lineRule="auto"/>
              <w:rPr>
                <w:rFonts w:cs="Arial"/>
                <w:sz w:val="16"/>
                <w:szCs w:val="16"/>
              </w:rPr>
            </w:pPr>
            <w:r w:rsidRPr="00EE5D67">
              <w:rPr>
                <w:rFonts w:cs="Arial"/>
                <w:sz w:val="16"/>
                <w:szCs w:val="16"/>
              </w:rPr>
              <w:t xml:space="preserve">– chron. nemoci dolních </w:t>
            </w:r>
            <w:r w:rsidRPr="00EE5D67">
              <w:rPr>
                <w:rFonts w:cs="Arial"/>
                <w:sz w:val="16"/>
                <w:szCs w:val="16"/>
              </w:rPr>
              <w:br/>
            </w:r>
            <w:r w:rsidR="00097DA1">
              <w:rPr>
                <w:rFonts w:cs="Arial"/>
                <w:sz w:val="16"/>
                <w:szCs w:val="16"/>
              </w:rPr>
              <w:t xml:space="preserve">   </w:t>
            </w:r>
            <w:r w:rsidRPr="00EE5D67">
              <w:rPr>
                <w:rFonts w:cs="Arial"/>
                <w:sz w:val="16"/>
                <w:szCs w:val="16"/>
              </w:rPr>
              <w:t>dýchacích cest</w:t>
            </w:r>
          </w:p>
        </w:tc>
        <w:tc>
          <w:tcPr>
            <w:tcW w:w="972" w:type="dxa"/>
            <w:tcBorders>
              <w:top w:val="nil"/>
              <w:left w:val="single" w:sz="4" w:space="0" w:color="auto"/>
              <w:bottom w:val="nil"/>
              <w:right w:val="nil"/>
            </w:tcBorders>
            <w:shd w:val="clear" w:color="auto" w:fill="auto"/>
            <w:vAlign w:val="center"/>
            <w:hideMark/>
          </w:tcPr>
          <w:p w14:paraId="031B4BC2" w14:textId="77777777" w:rsidR="00EE5D67" w:rsidRPr="00EE5D67" w:rsidRDefault="00EE5D67" w:rsidP="00EE5D67">
            <w:pPr>
              <w:spacing w:after="0" w:line="240" w:lineRule="auto"/>
              <w:jc w:val="right"/>
              <w:rPr>
                <w:rFonts w:cs="Arial"/>
                <w:sz w:val="16"/>
                <w:szCs w:val="16"/>
              </w:rPr>
            </w:pPr>
            <w:r w:rsidRPr="00EE5D67">
              <w:rPr>
                <w:rFonts w:cs="Arial"/>
                <w:sz w:val="16"/>
                <w:szCs w:val="16"/>
              </w:rPr>
              <w:t>6 536</w:t>
            </w:r>
          </w:p>
        </w:tc>
        <w:tc>
          <w:tcPr>
            <w:tcW w:w="857" w:type="dxa"/>
            <w:tcBorders>
              <w:top w:val="nil"/>
              <w:left w:val="nil"/>
              <w:bottom w:val="nil"/>
              <w:right w:val="nil"/>
            </w:tcBorders>
            <w:shd w:val="clear" w:color="auto" w:fill="auto"/>
            <w:vAlign w:val="center"/>
            <w:hideMark/>
          </w:tcPr>
          <w:p w14:paraId="4935FF1C" w14:textId="77777777" w:rsidR="00EE5D67" w:rsidRPr="00EE5D67" w:rsidRDefault="00EE5D67" w:rsidP="00EE5D67">
            <w:pPr>
              <w:spacing w:after="0" w:line="240" w:lineRule="auto"/>
              <w:jc w:val="right"/>
              <w:rPr>
                <w:rFonts w:cs="Arial"/>
                <w:sz w:val="16"/>
                <w:szCs w:val="16"/>
              </w:rPr>
            </w:pPr>
            <w:r w:rsidRPr="00EE5D67">
              <w:rPr>
                <w:rFonts w:cs="Arial"/>
                <w:sz w:val="16"/>
                <w:szCs w:val="16"/>
              </w:rPr>
              <w:t>2 962</w:t>
            </w:r>
          </w:p>
        </w:tc>
        <w:tc>
          <w:tcPr>
            <w:tcW w:w="859" w:type="dxa"/>
            <w:tcBorders>
              <w:top w:val="nil"/>
              <w:left w:val="nil"/>
              <w:bottom w:val="nil"/>
              <w:right w:val="single" w:sz="4" w:space="0" w:color="auto"/>
            </w:tcBorders>
            <w:shd w:val="clear" w:color="auto" w:fill="auto"/>
            <w:vAlign w:val="center"/>
            <w:hideMark/>
          </w:tcPr>
          <w:p w14:paraId="3788A067" w14:textId="77777777" w:rsidR="00EE5D67" w:rsidRPr="00EE5D67" w:rsidRDefault="00EE5D67" w:rsidP="00EE5D67">
            <w:pPr>
              <w:spacing w:after="0" w:line="240" w:lineRule="auto"/>
              <w:jc w:val="right"/>
              <w:rPr>
                <w:rFonts w:cs="Arial"/>
                <w:sz w:val="16"/>
                <w:szCs w:val="16"/>
              </w:rPr>
            </w:pPr>
            <w:r w:rsidRPr="00EE5D67">
              <w:rPr>
                <w:rFonts w:cs="Arial"/>
                <w:sz w:val="16"/>
                <w:szCs w:val="16"/>
              </w:rPr>
              <w:t>3 574</w:t>
            </w:r>
          </w:p>
        </w:tc>
        <w:tc>
          <w:tcPr>
            <w:tcW w:w="972" w:type="dxa"/>
            <w:tcBorders>
              <w:top w:val="nil"/>
              <w:left w:val="nil"/>
              <w:bottom w:val="nil"/>
              <w:right w:val="nil"/>
            </w:tcBorders>
            <w:shd w:val="clear" w:color="auto" w:fill="auto"/>
            <w:vAlign w:val="center"/>
            <w:hideMark/>
          </w:tcPr>
          <w:p w14:paraId="0F7E67FD" w14:textId="77777777" w:rsidR="00EE5D67" w:rsidRPr="00EE5D67" w:rsidRDefault="00EE5D67" w:rsidP="00EE5D67">
            <w:pPr>
              <w:spacing w:after="0" w:line="240" w:lineRule="auto"/>
              <w:jc w:val="right"/>
              <w:rPr>
                <w:rFonts w:cs="Arial"/>
                <w:sz w:val="16"/>
                <w:szCs w:val="16"/>
              </w:rPr>
            </w:pPr>
            <w:r w:rsidRPr="00EE5D67">
              <w:rPr>
                <w:rFonts w:cs="Arial"/>
                <w:sz w:val="16"/>
                <w:szCs w:val="16"/>
              </w:rPr>
              <w:t>295 457</w:t>
            </w:r>
          </w:p>
        </w:tc>
        <w:tc>
          <w:tcPr>
            <w:tcW w:w="972" w:type="dxa"/>
            <w:tcBorders>
              <w:top w:val="nil"/>
              <w:left w:val="nil"/>
              <w:bottom w:val="nil"/>
              <w:right w:val="nil"/>
            </w:tcBorders>
            <w:shd w:val="clear" w:color="auto" w:fill="auto"/>
            <w:vAlign w:val="center"/>
            <w:hideMark/>
          </w:tcPr>
          <w:p w14:paraId="7F67FCD8" w14:textId="77777777" w:rsidR="00EE5D67" w:rsidRPr="00EE5D67" w:rsidRDefault="00EE5D67" w:rsidP="00EE5D67">
            <w:pPr>
              <w:spacing w:after="0" w:line="240" w:lineRule="auto"/>
              <w:jc w:val="right"/>
              <w:rPr>
                <w:rFonts w:cs="Arial"/>
                <w:sz w:val="16"/>
                <w:szCs w:val="16"/>
              </w:rPr>
            </w:pPr>
            <w:r w:rsidRPr="00EE5D67">
              <w:rPr>
                <w:rFonts w:cs="Arial"/>
                <w:sz w:val="16"/>
                <w:szCs w:val="16"/>
              </w:rPr>
              <w:t>134 712</w:t>
            </w:r>
          </w:p>
        </w:tc>
        <w:tc>
          <w:tcPr>
            <w:tcW w:w="973" w:type="dxa"/>
            <w:tcBorders>
              <w:top w:val="nil"/>
              <w:left w:val="nil"/>
              <w:bottom w:val="nil"/>
              <w:right w:val="single" w:sz="4" w:space="0" w:color="auto"/>
            </w:tcBorders>
            <w:shd w:val="clear" w:color="auto" w:fill="auto"/>
            <w:vAlign w:val="center"/>
            <w:hideMark/>
          </w:tcPr>
          <w:p w14:paraId="535BE38D" w14:textId="77777777" w:rsidR="00EE5D67" w:rsidRPr="00EE5D67" w:rsidRDefault="00EE5D67" w:rsidP="00EE5D67">
            <w:pPr>
              <w:spacing w:after="0" w:line="240" w:lineRule="auto"/>
              <w:jc w:val="right"/>
              <w:rPr>
                <w:rFonts w:cs="Arial"/>
                <w:sz w:val="16"/>
                <w:szCs w:val="16"/>
              </w:rPr>
            </w:pPr>
            <w:r w:rsidRPr="00EE5D67">
              <w:rPr>
                <w:rFonts w:cs="Arial"/>
                <w:sz w:val="16"/>
                <w:szCs w:val="16"/>
              </w:rPr>
              <w:t>160 745</w:t>
            </w:r>
          </w:p>
        </w:tc>
        <w:tc>
          <w:tcPr>
            <w:tcW w:w="652" w:type="dxa"/>
            <w:tcBorders>
              <w:top w:val="nil"/>
              <w:left w:val="nil"/>
              <w:bottom w:val="nil"/>
              <w:right w:val="nil"/>
            </w:tcBorders>
            <w:shd w:val="clear" w:color="auto" w:fill="auto"/>
            <w:noWrap/>
            <w:vAlign w:val="center"/>
            <w:hideMark/>
          </w:tcPr>
          <w:p w14:paraId="07358672" w14:textId="77777777" w:rsidR="00EE5D67" w:rsidRPr="00EE5D67" w:rsidRDefault="00EE5D67" w:rsidP="001239A7">
            <w:pPr>
              <w:spacing w:after="0" w:line="240" w:lineRule="auto"/>
              <w:jc w:val="right"/>
              <w:rPr>
                <w:rFonts w:cs="Arial"/>
                <w:sz w:val="16"/>
                <w:szCs w:val="16"/>
              </w:rPr>
            </w:pPr>
            <w:r w:rsidRPr="00EE5D67">
              <w:rPr>
                <w:rFonts w:cs="Arial"/>
                <w:sz w:val="16"/>
                <w:szCs w:val="16"/>
              </w:rPr>
              <w:t>45,20</w:t>
            </w:r>
          </w:p>
        </w:tc>
        <w:tc>
          <w:tcPr>
            <w:tcW w:w="709" w:type="dxa"/>
            <w:tcBorders>
              <w:top w:val="nil"/>
              <w:left w:val="nil"/>
              <w:bottom w:val="nil"/>
              <w:right w:val="nil"/>
            </w:tcBorders>
            <w:shd w:val="clear" w:color="auto" w:fill="auto"/>
            <w:noWrap/>
            <w:vAlign w:val="center"/>
            <w:hideMark/>
          </w:tcPr>
          <w:p w14:paraId="2B737E4F" w14:textId="77777777" w:rsidR="00EE5D67" w:rsidRPr="00EE5D67" w:rsidRDefault="00EE5D67" w:rsidP="001239A7">
            <w:pPr>
              <w:spacing w:after="0" w:line="240" w:lineRule="auto"/>
              <w:jc w:val="right"/>
              <w:rPr>
                <w:rFonts w:cs="Arial"/>
                <w:sz w:val="16"/>
                <w:szCs w:val="16"/>
              </w:rPr>
            </w:pPr>
            <w:r w:rsidRPr="00EE5D67">
              <w:rPr>
                <w:rFonts w:cs="Arial"/>
                <w:sz w:val="16"/>
                <w:szCs w:val="16"/>
              </w:rPr>
              <w:t>45,48</w:t>
            </w:r>
          </w:p>
        </w:tc>
        <w:tc>
          <w:tcPr>
            <w:tcW w:w="692" w:type="dxa"/>
            <w:tcBorders>
              <w:top w:val="nil"/>
              <w:left w:val="nil"/>
              <w:bottom w:val="nil"/>
              <w:right w:val="nil"/>
            </w:tcBorders>
            <w:shd w:val="clear" w:color="auto" w:fill="auto"/>
            <w:noWrap/>
            <w:vAlign w:val="center"/>
            <w:hideMark/>
          </w:tcPr>
          <w:p w14:paraId="08C16DB3" w14:textId="77777777" w:rsidR="00EE5D67" w:rsidRPr="00EE5D67" w:rsidRDefault="00EE5D67" w:rsidP="001239A7">
            <w:pPr>
              <w:spacing w:after="0" w:line="240" w:lineRule="auto"/>
              <w:jc w:val="right"/>
              <w:rPr>
                <w:rFonts w:cs="Arial"/>
                <w:sz w:val="16"/>
                <w:szCs w:val="16"/>
              </w:rPr>
            </w:pPr>
            <w:r w:rsidRPr="00EE5D67">
              <w:rPr>
                <w:rFonts w:cs="Arial"/>
                <w:sz w:val="16"/>
                <w:szCs w:val="16"/>
              </w:rPr>
              <w:t>44,98</w:t>
            </w:r>
          </w:p>
        </w:tc>
      </w:tr>
      <w:tr w:rsidR="00EE5D67" w:rsidRPr="00EE5D67" w14:paraId="59557D48"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58BFB220" w14:textId="45963A5D" w:rsidR="00EE5D67" w:rsidRPr="00EE5D67" w:rsidRDefault="00EE5D67" w:rsidP="00816CA3">
            <w:pPr>
              <w:spacing w:after="0" w:line="240" w:lineRule="auto"/>
              <w:rPr>
                <w:rFonts w:cs="Arial"/>
                <w:sz w:val="16"/>
                <w:szCs w:val="16"/>
              </w:rPr>
            </w:pPr>
            <w:r w:rsidRPr="00EE5D67">
              <w:rPr>
                <w:rFonts w:cs="Arial"/>
                <w:sz w:val="16"/>
                <w:szCs w:val="16"/>
              </w:rPr>
              <w:t>– jiné nemoci dých</w:t>
            </w:r>
            <w:r w:rsidR="00816CA3">
              <w:rPr>
                <w:rFonts w:cs="Arial"/>
                <w:sz w:val="16"/>
                <w:szCs w:val="16"/>
              </w:rPr>
              <w:t xml:space="preserve">. </w:t>
            </w:r>
            <w:r w:rsidRPr="00EE5D67">
              <w:rPr>
                <w:rFonts w:cs="Arial"/>
                <w:sz w:val="16"/>
                <w:szCs w:val="16"/>
              </w:rPr>
              <w:t>cest</w:t>
            </w:r>
          </w:p>
        </w:tc>
        <w:tc>
          <w:tcPr>
            <w:tcW w:w="972" w:type="dxa"/>
            <w:tcBorders>
              <w:top w:val="nil"/>
              <w:left w:val="single" w:sz="4" w:space="0" w:color="auto"/>
              <w:bottom w:val="nil"/>
              <w:right w:val="nil"/>
            </w:tcBorders>
            <w:shd w:val="clear" w:color="auto" w:fill="auto"/>
            <w:vAlign w:val="center"/>
            <w:hideMark/>
          </w:tcPr>
          <w:p w14:paraId="4D216472" w14:textId="77777777" w:rsidR="00EE5D67" w:rsidRPr="00EE5D67" w:rsidRDefault="00EE5D67" w:rsidP="00EE5D67">
            <w:pPr>
              <w:spacing w:after="0" w:line="240" w:lineRule="auto"/>
              <w:jc w:val="right"/>
              <w:rPr>
                <w:rFonts w:cs="Arial"/>
                <w:sz w:val="16"/>
                <w:szCs w:val="16"/>
              </w:rPr>
            </w:pPr>
            <w:r w:rsidRPr="00EE5D67">
              <w:rPr>
                <w:rFonts w:cs="Arial"/>
                <w:sz w:val="16"/>
                <w:szCs w:val="16"/>
              </w:rPr>
              <w:t>6 217</w:t>
            </w:r>
          </w:p>
        </w:tc>
        <w:tc>
          <w:tcPr>
            <w:tcW w:w="857" w:type="dxa"/>
            <w:tcBorders>
              <w:top w:val="nil"/>
              <w:left w:val="nil"/>
              <w:bottom w:val="nil"/>
              <w:right w:val="nil"/>
            </w:tcBorders>
            <w:shd w:val="clear" w:color="auto" w:fill="auto"/>
            <w:vAlign w:val="center"/>
            <w:hideMark/>
          </w:tcPr>
          <w:p w14:paraId="151735B2" w14:textId="77777777" w:rsidR="00EE5D67" w:rsidRPr="00EE5D67" w:rsidRDefault="00EE5D67" w:rsidP="00EE5D67">
            <w:pPr>
              <w:spacing w:after="0" w:line="240" w:lineRule="auto"/>
              <w:jc w:val="right"/>
              <w:rPr>
                <w:rFonts w:cs="Arial"/>
                <w:sz w:val="16"/>
                <w:szCs w:val="16"/>
              </w:rPr>
            </w:pPr>
            <w:r w:rsidRPr="00EE5D67">
              <w:rPr>
                <w:rFonts w:cs="Arial"/>
                <w:sz w:val="16"/>
                <w:szCs w:val="16"/>
              </w:rPr>
              <w:t>3 271</w:t>
            </w:r>
          </w:p>
        </w:tc>
        <w:tc>
          <w:tcPr>
            <w:tcW w:w="859" w:type="dxa"/>
            <w:tcBorders>
              <w:top w:val="nil"/>
              <w:left w:val="nil"/>
              <w:bottom w:val="nil"/>
              <w:right w:val="single" w:sz="4" w:space="0" w:color="auto"/>
            </w:tcBorders>
            <w:shd w:val="clear" w:color="auto" w:fill="auto"/>
            <w:vAlign w:val="center"/>
            <w:hideMark/>
          </w:tcPr>
          <w:p w14:paraId="36739DB2" w14:textId="77777777" w:rsidR="00EE5D67" w:rsidRPr="00EE5D67" w:rsidRDefault="00EE5D67" w:rsidP="00EE5D67">
            <w:pPr>
              <w:spacing w:after="0" w:line="240" w:lineRule="auto"/>
              <w:jc w:val="right"/>
              <w:rPr>
                <w:rFonts w:cs="Arial"/>
                <w:sz w:val="16"/>
                <w:szCs w:val="16"/>
              </w:rPr>
            </w:pPr>
            <w:r w:rsidRPr="00EE5D67">
              <w:rPr>
                <w:rFonts w:cs="Arial"/>
                <w:sz w:val="16"/>
                <w:szCs w:val="16"/>
              </w:rPr>
              <w:t>2 946</w:t>
            </w:r>
          </w:p>
        </w:tc>
        <w:tc>
          <w:tcPr>
            <w:tcW w:w="972" w:type="dxa"/>
            <w:tcBorders>
              <w:top w:val="nil"/>
              <w:left w:val="nil"/>
              <w:bottom w:val="nil"/>
              <w:right w:val="nil"/>
            </w:tcBorders>
            <w:shd w:val="clear" w:color="auto" w:fill="auto"/>
            <w:vAlign w:val="center"/>
            <w:hideMark/>
          </w:tcPr>
          <w:p w14:paraId="0C7579B4" w14:textId="77777777" w:rsidR="00EE5D67" w:rsidRPr="00EE5D67" w:rsidRDefault="00EE5D67" w:rsidP="00EE5D67">
            <w:pPr>
              <w:spacing w:after="0" w:line="240" w:lineRule="auto"/>
              <w:jc w:val="right"/>
              <w:rPr>
                <w:rFonts w:cs="Arial"/>
                <w:sz w:val="16"/>
                <w:szCs w:val="16"/>
              </w:rPr>
            </w:pPr>
            <w:r w:rsidRPr="00EE5D67">
              <w:rPr>
                <w:rFonts w:cs="Arial"/>
                <w:sz w:val="16"/>
                <w:szCs w:val="16"/>
              </w:rPr>
              <w:t>164 860</w:t>
            </w:r>
          </w:p>
        </w:tc>
        <w:tc>
          <w:tcPr>
            <w:tcW w:w="972" w:type="dxa"/>
            <w:tcBorders>
              <w:top w:val="nil"/>
              <w:left w:val="nil"/>
              <w:bottom w:val="nil"/>
              <w:right w:val="nil"/>
            </w:tcBorders>
            <w:shd w:val="clear" w:color="auto" w:fill="auto"/>
            <w:vAlign w:val="center"/>
            <w:hideMark/>
          </w:tcPr>
          <w:p w14:paraId="11CA9F2C" w14:textId="77777777" w:rsidR="00EE5D67" w:rsidRPr="00EE5D67" w:rsidRDefault="00EE5D67" w:rsidP="00EE5D67">
            <w:pPr>
              <w:spacing w:after="0" w:line="240" w:lineRule="auto"/>
              <w:jc w:val="right"/>
              <w:rPr>
                <w:rFonts w:cs="Arial"/>
                <w:sz w:val="16"/>
                <w:szCs w:val="16"/>
              </w:rPr>
            </w:pPr>
            <w:r w:rsidRPr="00EE5D67">
              <w:rPr>
                <w:rFonts w:cs="Arial"/>
                <w:sz w:val="16"/>
                <w:szCs w:val="16"/>
              </w:rPr>
              <w:t>91 054</w:t>
            </w:r>
          </w:p>
        </w:tc>
        <w:tc>
          <w:tcPr>
            <w:tcW w:w="973" w:type="dxa"/>
            <w:tcBorders>
              <w:top w:val="nil"/>
              <w:left w:val="nil"/>
              <w:bottom w:val="nil"/>
              <w:right w:val="single" w:sz="4" w:space="0" w:color="auto"/>
            </w:tcBorders>
            <w:shd w:val="clear" w:color="auto" w:fill="auto"/>
            <w:vAlign w:val="center"/>
            <w:hideMark/>
          </w:tcPr>
          <w:p w14:paraId="254917FA" w14:textId="77777777" w:rsidR="00EE5D67" w:rsidRPr="00EE5D67" w:rsidRDefault="00EE5D67" w:rsidP="00EE5D67">
            <w:pPr>
              <w:spacing w:after="0" w:line="240" w:lineRule="auto"/>
              <w:jc w:val="right"/>
              <w:rPr>
                <w:rFonts w:cs="Arial"/>
                <w:sz w:val="16"/>
                <w:szCs w:val="16"/>
              </w:rPr>
            </w:pPr>
            <w:r w:rsidRPr="00EE5D67">
              <w:rPr>
                <w:rFonts w:cs="Arial"/>
                <w:sz w:val="16"/>
                <w:szCs w:val="16"/>
              </w:rPr>
              <w:t>73 806</w:t>
            </w:r>
          </w:p>
        </w:tc>
        <w:tc>
          <w:tcPr>
            <w:tcW w:w="652" w:type="dxa"/>
            <w:tcBorders>
              <w:top w:val="nil"/>
              <w:left w:val="nil"/>
              <w:bottom w:val="nil"/>
              <w:right w:val="nil"/>
            </w:tcBorders>
            <w:shd w:val="clear" w:color="auto" w:fill="auto"/>
            <w:noWrap/>
            <w:vAlign w:val="center"/>
            <w:hideMark/>
          </w:tcPr>
          <w:p w14:paraId="0029A61E" w14:textId="77777777" w:rsidR="00EE5D67" w:rsidRPr="00EE5D67" w:rsidRDefault="00EE5D67" w:rsidP="001239A7">
            <w:pPr>
              <w:spacing w:after="0" w:line="240" w:lineRule="auto"/>
              <w:jc w:val="right"/>
              <w:rPr>
                <w:rFonts w:cs="Arial"/>
                <w:sz w:val="16"/>
                <w:szCs w:val="16"/>
              </w:rPr>
            </w:pPr>
            <w:r w:rsidRPr="00EE5D67">
              <w:rPr>
                <w:rFonts w:cs="Arial"/>
                <w:sz w:val="16"/>
                <w:szCs w:val="16"/>
              </w:rPr>
              <w:t>26,52</w:t>
            </w:r>
          </w:p>
        </w:tc>
        <w:tc>
          <w:tcPr>
            <w:tcW w:w="709" w:type="dxa"/>
            <w:tcBorders>
              <w:top w:val="nil"/>
              <w:left w:val="nil"/>
              <w:bottom w:val="nil"/>
              <w:right w:val="nil"/>
            </w:tcBorders>
            <w:shd w:val="clear" w:color="auto" w:fill="auto"/>
            <w:noWrap/>
            <w:vAlign w:val="center"/>
            <w:hideMark/>
          </w:tcPr>
          <w:p w14:paraId="58D68DA3" w14:textId="77777777" w:rsidR="00EE5D67" w:rsidRPr="00EE5D67" w:rsidRDefault="00EE5D67" w:rsidP="001239A7">
            <w:pPr>
              <w:spacing w:after="0" w:line="240" w:lineRule="auto"/>
              <w:jc w:val="right"/>
              <w:rPr>
                <w:rFonts w:cs="Arial"/>
                <w:sz w:val="16"/>
                <w:szCs w:val="16"/>
              </w:rPr>
            </w:pPr>
            <w:r w:rsidRPr="00EE5D67">
              <w:rPr>
                <w:rFonts w:cs="Arial"/>
                <w:sz w:val="16"/>
                <w:szCs w:val="16"/>
              </w:rPr>
              <w:t>27,84</w:t>
            </w:r>
          </w:p>
        </w:tc>
        <w:tc>
          <w:tcPr>
            <w:tcW w:w="692" w:type="dxa"/>
            <w:tcBorders>
              <w:top w:val="nil"/>
              <w:left w:val="nil"/>
              <w:bottom w:val="nil"/>
              <w:right w:val="nil"/>
            </w:tcBorders>
            <w:shd w:val="clear" w:color="auto" w:fill="auto"/>
            <w:noWrap/>
            <w:vAlign w:val="center"/>
            <w:hideMark/>
          </w:tcPr>
          <w:p w14:paraId="3A047DA9" w14:textId="77777777" w:rsidR="00EE5D67" w:rsidRPr="00EE5D67" w:rsidRDefault="00EE5D67" w:rsidP="001239A7">
            <w:pPr>
              <w:spacing w:after="0" w:line="240" w:lineRule="auto"/>
              <w:jc w:val="right"/>
              <w:rPr>
                <w:rFonts w:cs="Arial"/>
                <w:sz w:val="16"/>
                <w:szCs w:val="16"/>
              </w:rPr>
            </w:pPr>
            <w:r w:rsidRPr="00EE5D67">
              <w:rPr>
                <w:rFonts w:cs="Arial"/>
                <w:sz w:val="16"/>
                <w:szCs w:val="16"/>
              </w:rPr>
              <w:t>25,05</w:t>
            </w:r>
          </w:p>
        </w:tc>
      </w:tr>
      <w:tr w:rsidR="00EE5D67" w:rsidRPr="00EE5D67" w14:paraId="462DE44C"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3FB41889" w14:textId="7FC0B1F2" w:rsidR="00EE5D67" w:rsidRPr="00EE5D67" w:rsidRDefault="00EE5D67" w:rsidP="00EE5D67">
            <w:pPr>
              <w:spacing w:after="0" w:line="240" w:lineRule="auto"/>
              <w:rPr>
                <w:rFonts w:cs="Arial"/>
                <w:sz w:val="16"/>
                <w:szCs w:val="16"/>
              </w:rPr>
            </w:pPr>
            <w:r w:rsidRPr="00EE5D67">
              <w:rPr>
                <w:rFonts w:cs="Arial"/>
                <w:sz w:val="16"/>
                <w:szCs w:val="16"/>
              </w:rPr>
              <w:t>Nemoci trávicí soustavy</w:t>
            </w:r>
          </w:p>
        </w:tc>
        <w:tc>
          <w:tcPr>
            <w:tcW w:w="972" w:type="dxa"/>
            <w:tcBorders>
              <w:top w:val="nil"/>
              <w:left w:val="single" w:sz="4" w:space="0" w:color="auto"/>
              <w:bottom w:val="nil"/>
              <w:right w:val="nil"/>
            </w:tcBorders>
            <w:shd w:val="clear" w:color="auto" w:fill="auto"/>
            <w:vAlign w:val="center"/>
            <w:hideMark/>
          </w:tcPr>
          <w:p w14:paraId="7B1E1064" w14:textId="77777777" w:rsidR="00EE5D67" w:rsidRPr="00EE5D67" w:rsidRDefault="00EE5D67" w:rsidP="00EE5D67">
            <w:pPr>
              <w:spacing w:after="0" w:line="240" w:lineRule="auto"/>
              <w:jc w:val="right"/>
              <w:rPr>
                <w:rFonts w:cs="Arial"/>
                <w:sz w:val="16"/>
                <w:szCs w:val="16"/>
              </w:rPr>
            </w:pPr>
            <w:r w:rsidRPr="00EE5D67">
              <w:rPr>
                <w:rFonts w:cs="Arial"/>
                <w:sz w:val="16"/>
                <w:szCs w:val="16"/>
              </w:rPr>
              <w:t>59 863</w:t>
            </w:r>
          </w:p>
        </w:tc>
        <w:tc>
          <w:tcPr>
            <w:tcW w:w="857" w:type="dxa"/>
            <w:tcBorders>
              <w:top w:val="nil"/>
              <w:left w:val="nil"/>
              <w:bottom w:val="nil"/>
              <w:right w:val="nil"/>
            </w:tcBorders>
            <w:shd w:val="clear" w:color="auto" w:fill="auto"/>
            <w:vAlign w:val="center"/>
            <w:hideMark/>
          </w:tcPr>
          <w:p w14:paraId="4B67B740" w14:textId="77777777" w:rsidR="00EE5D67" w:rsidRPr="00EE5D67" w:rsidRDefault="00EE5D67" w:rsidP="00EE5D67">
            <w:pPr>
              <w:spacing w:after="0" w:line="240" w:lineRule="auto"/>
              <w:jc w:val="right"/>
              <w:rPr>
                <w:rFonts w:cs="Arial"/>
                <w:sz w:val="16"/>
                <w:szCs w:val="16"/>
              </w:rPr>
            </w:pPr>
            <w:r w:rsidRPr="00EE5D67">
              <w:rPr>
                <w:rFonts w:cs="Arial"/>
                <w:sz w:val="16"/>
                <w:szCs w:val="16"/>
              </w:rPr>
              <w:t>32 520</w:t>
            </w:r>
          </w:p>
        </w:tc>
        <w:tc>
          <w:tcPr>
            <w:tcW w:w="859" w:type="dxa"/>
            <w:tcBorders>
              <w:top w:val="nil"/>
              <w:left w:val="nil"/>
              <w:bottom w:val="nil"/>
              <w:right w:val="single" w:sz="4" w:space="0" w:color="auto"/>
            </w:tcBorders>
            <w:shd w:val="clear" w:color="auto" w:fill="auto"/>
            <w:vAlign w:val="center"/>
            <w:hideMark/>
          </w:tcPr>
          <w:p w14:paraId="64EDF3E1" w14:textId="77777777" w:rsidR="00EE5D67" w:rsidRPr="00EE5D67" w:rsidRDefault="00EE5D67" w:rsidP="00EE5D67">
            <w:pPr>
              <w:spacing w:after="0" w:line="240" w:lineRule="auto"/>
              <w:jc w:val="right"/>
              <w:rPr>
                <w:rFonts w:cs="Arial"/>
                <w:sz w:val="16"/>
                <w:szCs w:val="16"/>
              </w:rPr>
            </w:pPr>
            <w:r w:rsidRPr="00EE5D67">
              <w:rPr>
                <w:rFonts w:cs="Arial"/>
                <w:sz w:val="16"/>
                <w:szCs w:val="16"/>
              </w:rPr>
              <w:t>27 343</w:t>
            </w:r>
          </w:p>
        </w:tc>
        <w:tc>
          <w:tcPr>
            <w:tcW w:w="972" w:type="dxa"/>
            <w:tcBorders>
              <w:top w:val="nil"/>
              <w:left w:val="nil"/>
              <w:bottom w:val="nil"/>
              <w:right w:val="nil"/>
            </w:tcBorders>
            <w:shd w:val="clear" w:color="auto" w:fill="auto"/>
            <w:vAlign w:val="center"/>
            <w:hideMark/>
          </w:tcPr>
          <w:p w14:paraId="17B1F295" w14:textId="77777777" w:rsidR="00EE5D67" w:rsidRPr="00EE5D67" w:rsidRDefault="00EE5D67" w:rsidP="00EE5D67">
            <w:pPr>
              <w:spacing w:after="0" w:line="240" w:lineRule="auto"/>
              <w:jc w:val="right"/>
              <w:rPr>
                <w:rFonts w:cs="Arial"/>
                <w:sz w:val="16"/>
                <w:szCs w:val="16"/>
              </w:rPr>
            </w:pPr>
            <w:r w:rsidRPr="00EE5D67">
              <w:rPr>
                <w:rFonts w:cs="Arial"/>
                <w:sz w:val="16"/>
                <w:szCs w:val="16"/>
              </w:rPr>
              <w:t>1 838 419</w:t>
            </w:r>
          </w:p>
        </w:tc>
        <w:tc>
          <w:tcPr>
            <w:tcW w:w="972" w:type="dxa"/>
            <w:tcBorders>
              <w:top w:val="nil"/>
              <w:left w:val="nil"/>
              <w:bottom w:val="nil"/>
              <w:right w:val="nil"/>
            </w:tcBorders>
            <w:shd w:val="clear" w:color="auto" w:fill="auto"/>
            <w:vAlign w:val="center"/>
            <w:hideMark/>
          </w:tcPr>
          <w:p w14:paraId="20B3EA90" w14:textId="77777777" w:rsidR="00EE5D67" w:rsidRPr="00EE5D67" w:rsidRDefault="00EE5D67" w:rsidP="00EE5D67">
            <w:pPr>
              <w:spacing w:after="0" w:line="240" w:lineRule="auto"/>
              <w:jc w:val="right"/>
              <w:rPr>
                <w:rFonts w:cs="Arial"/>
                <w:sz w:val="16"/>
                <w:szCs w:val="16"/>
              </w:rPr>
            </w:pPr>
            <w:r w:rsidRPr="00EE5D67">
              <w:rPr>
                <w:rFonts w:cs="Arial"/>
                <w:sz w:val="16"/>
                <w:szCs w:val="16"/>
              </w:rPr>
              <w:t>1 016 246</w:t>
            </w:r>
          </w:p>
        </w:tc>
        <w:tc>
          <w:tcPr>
            <w:tcW w:w="973" w:type="dxa"/>
            <w:tcBorders>
              <w:top w:val="nil"/>
              <w:left w:val="nil"/>
              <w:bottom w:val="nil"/>
              <w:right w:val="single" w:sz="4" w:space="0" w:color="auto"/>
            </w:tcBorders>
            <w:shd w:val="clear" w:color="auto" w:fill="auto"/>
            <w:vAlign w:val="center"/>
            <w:hideMark/>
          </w:tcPr>
          <w:p w14:paraId="313A6523" w14:textId="77777777" w:rsidR="00EE5D67" w:rsidRPr="00EE5D67" w:rsidRDefault="00EE5D67" w:rsidP="00EE5D67">
            <w:pPr>
              <w:spacing w:after="0" w:line="240" w:lineRule="auto"/>
              <w:jc w:val="right"/>
              <w:rPr>
                <w:rFonts w:cs="Arial"/>
                <w:sz w:val="16"/>
                <w:szCs w:val="16"/>
              </w:rPr>
            </w:pPr>
            <w:r w:rsidRPr="00EE5D67">
              <w:rPr>
                <w:rFonts w:cs="Arial"/>
                <w:sz w:val="16"/>
                <w:szCs w:val="16"/>
              </w:rPr>
              <w:t>822 173</w:t>
            </w:r>
          </w:p>
        </w:tc>
        <w:tc>
          <w:tcPr>
            <w:tcW w:w="652" w:type="dxa"/>
            <w:tcBorders>
              <w:top w:val="nil"/>
              <w:left w:val="nil"/>
              <w:bottom w:val="nil"/>
              <w:right w:val="nil"/>
            </w:tcBorders>
            <w:shd w:val="clear" w:color="auto" w:fill="auto"/>
            <w:noWrap/>
            <w:vAlign w:val="center"/>
            <w:hideMark/>
          </w:tcPr>
          <w:p w14:paraId="2846CCDA" w14:textId="77777777" w:rsidR="00EE5D67" w:rsidRPr="00EE5D67" w:rsidRDefault="00EE5D67" w:rsidP="001239A7">
            <w:pPr>
              <w:spacing w:after="0" w:line="240" w:lineRule="auto"/>
              <w:jc w:val="right"/>
              <w:rPr>
                <w:rFonts w:cs="Arial"/>
                <w:sz w:val="16"/>
                <w:szCs w:val="16"/>
              </w:rPr>
            </w:pPr>
            <w:r w:rsidRPr="00EE5D67">
              <w:rPr>
                <w:rFonts w:cs="Arial"/>
                <w:sz w:val="16"/>
                <w:szCs w:val="16"/>
              </w:rPr>
              <w:t>30,71</w:t>
            </w:r>
          </w:p>
        </w:tc>
        <w:tc>
          <w:tcPr>
            <w:tcW w:w="709" w:type="dxa"/>
            <w:tcBorders>
              <w:top w:val="nil"/>
              <w:left w:val="nil"/>
              <w:bottom w:val="nil"/>
              <w:right w:val="nil"/>
            </w:tcBorders>
            <w:shd w:val="clear" w:color="auto" w:fill="auto"/>
            <w:noWrap/>
            <w:vAlign w:val="center"/>
            <w:hideMark/>
          </w:tcPr>
          <w:p w14:paraId="3F2D9891" w14:textId="77777777" w:rsidR="00EE5D67" w:rsidRPr="00EE5D67" w:rsidRDefault="00EE5D67" w:rsidP="001239A7">
            <w:pPr>
              <w:spacing w:after="0" w:line="240" w:lineRule="auto"/>
              <w:jc w:val="right"/>
              <w:rPr>
                <w:rFonts w:cs="Arial"/>
                <w:sz w:val="16"/>
                <w:szCs w:val="16"/>
              </w:rPr>
            </w:pPr>
            <w:r w:rsidRPr="00EE5D67">
              <w:rPr>
                <w:rFonts w:cs="Arial"/>
                <w:sz w:val="16"/>
                <w:szCs w:val="16"/>
              </w:rPr>
              <w:t>31,25</w:t>
            </w:r>
          </w:p>
        </w:tc>
        <w:tc>
          <w:tcPr>
            <w:tcW w:w="692" w:type="dxa"/>
            <w:tcBorders>
              <w:top w:val="nil"/>
              <w:left w:val="nil"/>
              <w:bottom w:val="nil"/>
              <w:right w:val="nil"/>
            </w:tcBorders>
            <w:shd w:val="clear" w:color="auto" w:fill="auto"/>
            <w:noWrap/>
            <w:vAlign w:val="center"/>
            <w:hideMark/>
          </w:tcPr>
          <w:p w14:paraId="5342D68E" w14:textId="77777777" w:rsidR="00EE5D67" w:rsidRPr="00EE5D67" w:rsidRDefault="00EE5D67" w:rsidP="001239A7">
            <w:pPr>
              <w:spacing w:after="0" w:line="240" w:lineRule="auto"/>
              <w:jc w:val="right"/>
              <w:rPr>
                <w:rFonts w:cs="Arial"/>
                <w:sz w:val="16"/>
                <w:szCs w:val="16"/>
              </w:rPr>
            </w:pPr>
            <w:r w:rsidRPr="00EE5D67">
              <w:rPr>
                <w:rFonts w:cs="Arial"/>
                <w:sz w:val="16"/>
                <w:szCs w:val="16"/>
              </w:rPr>
              <w:t>30,07</w:t>
            </w:r>
          </w:p>
        </w:tc>
      </w:tr>
      <w:tr w:rsidR="00EE5D67" w:rsidRPr="00EE5D67" w14:paraId="4A601F18"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699C01DC" w14:textId="32EA27D2" w:rsidR="00EE5D67" w:rsidRPr="00EE5D67" w:rsidRDefault="00EE5D67" w:rsidP="00EE5D67">
            <w:pPr>
              <w:spacing w:after="0" w:line="240" w:lineRule="auto"/>
              <w:rPr>
                <w:rFonts w:cs="Arial"/>
                <w:sz w:val="16"/>
                <w:szCs w:val="16"/>
              </w:rPr>
            </w:pPr>
            <w:r w:rsidRPr="00EE5D67">
              <w:rPr>
                <w:rFonts w:cs="Arial"/>
                <w:sz w:val="16"/>
                <w:szCs w:val="16"/>
              </w:rPr>
              <w:t>Nemoci kůže</w:t>
            </w:r>
          </w:p>
        </w:tc>
        <w:tc>
          <w:tcPr>
            <w:tcW w:w="972" w:type="dxa"/>
            <w:tcBorders>
              <w:top w:val="nil"/>
              <w:left w:val="single" w:sz="4" w:space="0" w:color="auto"/>
              <w:bottom w:val="nil"/>
              <w:right w:val="nil"/>
            </w:tcBorders>
            <w:shd w:val="clear" w:color="auto" w:fill="auto"/>
            <w:vAlign w:val="center"/>
            <w:hideMark/>
          </w:tcPr>
          <w:p w14:paraId="2100555A" w14:textId="77777777" w:rsidR="00EE5D67" w:rsidRPr="00EE5D67" w:rsidRDefault="00EE5D67" w:rsidP="00EE5D67">
            <w:pPr>
              <w:spacing w:after="0" w:line="240" w:lineRule="auto"/>
              <w:jc w:val="right"/>
              <w:rPr>
                <w:rFonts w:cs="Arial"/>
                <w:sz w:val="16"/>
                <w:szCs w:val="16"/>
              </w:rPr>
            </w:pPr>
            <w:r w:rsidRPr="00EE5D67">
              <w:rPr>
                <w:rFonts w:cs="Arial"/>
                <w:sz w:val="16"/>
                <w:szCs w:val="16"/>
              </w:rPr>
              <w:t>14 054</w:t>
            </w:r>
          </w:p>
        </w:tc>
        <w:tc>
          <w:tcPr>
            <w:tcW w:w="857" w:type="dxa"/>
            <w:tcBorders>
              <w:top w:val="nil"/>
              <w:left w:val="nil"/>
              <w:bottom w:val="nil"/>
              <w:right w:val="nil"/>
            </w:tcBorders>
            <w:shd w:val="clear" w:color="auto" w:fill="auto"/>
            <w:vAlign w:val="center"/>
            <w:hideMark/>
          </w:tcPr>
          <w:p w14:paraId="24D71DE9" w14:textId="77777777" w:rsidR="00EE5D67" w:rsidRPr="00EE5D67" w:rsidRDefault="00EE5D67" w:rsidP="00EE5D67">
            <w:pPr>
              <w:spacing w:after="0" w:line="240" w:lineRule="auto"/>
              <w:jc w:val="right"/>
              <w:rPr>
                <w:rFonts w:cs="Arial"/>
                <w:sz w:val="16"/>
                <w:szCs w:val="16"/>
              </w:rPr>
            </w:pPr>
            <w:r w:rsidRPr="00EE5D67">
              <w:rPr>
                <w:rFonts w:cs="Arial"/>
                <w:sz w:val="16"/>
                <w:szCs w:val="16"/>
              </w:rPr>
              <w:t>7 911</w:t>
            </w:r>
          </w:p>
        </w:tc>
        <w:tc>
          <w:tcPr>
            <w:tcW w:w="859" w:type="dxa"/>
            <w:tcBorders>
              <w:top w:val="nil"/>
              <w:left w:val="nil"/>
              <w:bottom w:val="nil"/>
              <w:right w:val="single" w:sz="4" w:space="0" w:color="auto"/>
            </w:tcBorders>
            <w:shd w:val="clear" w:color="auto" w:fill="auto"/>
            <w:vAlign w:val="center"/>
            <w:hideMark/>
          </w:tcPr>
          <w:p w14:paraId="6BA340AB" w14:textId="77777777" w:rsidR="00EE5D67" w:rsidRPr="00EE5D67" w:rsidRDefault="00EE5D67" w:rsidP="00EE5D67">
            <w:pPr>
              <w:spacing w:after="0" w:line="240" w:lineRule="auto"/>
              <w:jc w:val="right"/>
              <w:rPr>
                <w:rFonts w:cs="Arial"/>
                <w:sz w:val="16"/>
                <w:szCs w:val="16"/>
              </w:rPr>
            </w:pPr>
            <w:r w:rsidRPr="00EE5D67">
              <w:rPr>
                <w:rFonts w:cs="Arial"/>
                <w:sz w:val="16"/>
                <w:szCs w:val="16"/>
              </w:rPr>
              <w:t>6 143</w:t>
            </w:r>
          </w:p>
        </w:tc>
        <w:tc>
          <w:tcPr>
            <w:tcW w:w="972" w:type="dxa"/>
            <w:tcBorders>
              <w:top w:val="nil"/>
              <w:left w:val="nil"/>
              <w:bottom w:val="nil"/>
              <w:right w:val="nil"/>
            </w:tcBorders>
            <w:shd w:val="clear" w:color="auto" w:fill="auto"/>
            <w:vAlign w:val="center"/>
            <w:hideMark/>
          </w:tcPr>
          <w:p w14:paraId="70F4D5D5" w14:textId="77777777" w:rsidR="00EE5D67" w:rsidRPr="00EE5D67" w:rsidRDefault="00EE5D67" w:rsidP="00EE5D67">
            <w:pPr>
              <w:spacing w:after="0" w:line="240" w:lineRule="auto"/>
              <w:jc w:val="right"/>
              <w:rPr>
                <w:rFonts w:cs="Arial"/>
                <w:sz w:val="16"/>
                <w:szCs w:val="16"/>
              </w:rPr>
            </w:pPr>
            <w:r w:rsidRPr="00EE5D67">
              <w:rPr>
                <w:rFonts w:cs="Arial"/>
                <w:sz w:val="16"/>
                <w:szCs w:val="16"/>
              </w:rPr>
              <w:t>477 840</w:t>
            </w:r>
          </w:p>
        </w:tc>
        <w:tc>
          <w:tcPr>
            <w:tcW w:w="972" w:type="dxa"/>
            <w:tcBorders>
              <w:top w:val="nil"/>
              <w:left w:val="nil"/>
              <w:bottom w:val="nil"/>
              <w:right w:val="nil"/>
            </w:tcBorders>
            <w:shd w:val="clear" w:color="auto" w:fill="auto"/>
            <w:vAlign w:val="center"/>
            <w:hideMark/>
          </w:tcPr>
          <w:p w14:paraId="7BBC3400" w14:textId="77777777" w:rsidR="00EE5D67" w:rsidRPr="00EE5D67" w:rsidRDefault="00EE5D67" w:rsidP="00EE5D67">
            <w:pPr>
              <w:spacing w:after="0" w:line="240" w:lineRule="auto"/>
              <w:jc w:val="right"/>
              <w:rPr>
                <w:rFonts w:cs="Arial"/>
                <w:sz w:val="16"/>
                <w:szCs w:val="16"/>
              </w:rPr>
            </w:pPr>
            <w:r w:rsidRPr="00EE5D67">
              <w:rPr>
                <w:rFonts w:cs="Arial"/>
                <w:sz w:val="16"/>
                <w:szCs w:val="16"/>
              </w:rPr>
              <w:t>265 425</w:t>
            </w:r>
          </w:p>
        </w:tc>
        <w:tc>
          <w:tcPr>
            <w:tcW w:w="973" w:type="dxa"/>
            <w:tcBorders>
              <w:top w:val="nil"/>
              <w:left w:val="nil"/>
              <w:bottom w:val="nil"/>
              <w:right w:val="single" w:sz="4" w:space="0" w:color="auto"/>
            </w:tcBorders>
            <w:shd w:val="clear" w:color="auto" w:fill="auto"/>
            <w:vAlign w:val="center"/>
            <w:hideMark/>
          </w:tcPr>
          <w:p w14:paraId="7E23EC4B" w14:textId="77777777" w:rsidR="00EE5D67" w:rsidRPr="00EE5D67" w:rsidRDefault="00EE5D67" w:rsidP="00EE5D67">
            <w:pPr>
              <w:spacing w:after="0" w:line="240" w:lineRule="auto"/>
              <w:jc w:val="right"/>
              <w:rPr>
                <w:rFonts w:cs="Arial"/>
                <w:sz w:val="16"/>
                <w:szCs w:val="16"/>
              </w:rPr>
            </w:pPr>
            <w:r w:rsidRPr="00EE5D67">
              <w:rPr>
                <w:rFonts w:cs="Arial"/>
                <w:sz w:val="16"/>
                <w:szCs w:val="16"/>
              </w:rPr>
              <w:t>212 415</w:t>
            </w:r>
          </w:p>
        </w:tc>
        <w:tc>
          <w:tcPr>
            <w:tcW w:w="652" w:type="dxa"/>
            <w:tcBorders>
              <w:top w:val="nil"/>
              <w:left w:val="nil"/>
              <w:bottom w:val="nil"/>
              <w:right w:val="nil"/>
            </w:tcBorders>
            <w:shd w:val="clear" w:color="auto" w:fill="auto"/>
            <w:noWrap/>
            <w:vAlign w:val="center"/>
            <w:hideMark/>
          </w:tcPr>
          <w:p w14:paraId="432CE2AC" w14:textId="77777777" w:rsidR="00EE5D67" w:rsidRPr="00EE5D67" w:rsidRDefault="00EE5D67" w:rsidP="001239A7">
            <w:pPr>
              <w:spacing w:after="0" w:line="240" w:lineRule="auto"/>
              <w:jc w:val="right"/>
              <w:rPr>
                <w:rFonts w:cs="Arial"/>
                <w:sz w:val="16"/>
                <w:szCs w:val="16"/>
              </w:rPr>
            </w:pPr>
            <w:r w:rsidRPr="00EE5D67">
              <w:rPr>
                <w:rFonts w:cs="Arial"/>
                <w:sz w:val="16"/>
                <w:szCs w:val="16"/>
              </w:rPr>
              <w:t>34,00</w:t>
            </w:r>
          </w:p>
        </w:tc>
        <w:tc>
          <w:tcPr>
            <w:tcW w:w="709" w:type="dxa"/>
            <w:tcBorders>
              <w:top w:val="nil"/>
              <w:left w:val="nil"/>
              <w:bottom w:val="nil"/>
              <w:right w:val="nil"/>
            </w:tcBorders>
            <w:shd w:val="clear" w:color="auto" w:fill="auto"/>
            <w:noWrap/>
            <w:vAlign w:val="center"/>
            <w:hideMark/>
          </w:tcPr>
          <w:p w14:paraId="2C00A9D7" w14:textId="77777777" w:rsidR="00EE5D67" w:rsidRPr="00EE5D67" w:rsidRDefault="00EE5D67" w:rsidP="001239A7">
            <w:pPr>
              <w:spacing w:after="0" w:line="240" w:lineRule="auto"/>
              <w:jc w:val="right"/>
              <w:rPr>
                <w:rFonts w:cs="Arial"/>
                <w:sz w:val="16"/>
                <w:szCs w:val="16"/>
              </w:rPr>
            </w:pPr>
            <w:r w:rsidRPr="00EE5D67">
              <w:rPr>
                <w:rFonts w:cs="Arial"/>
                <w:sz w:val="16"/>
                <w:szCs w:val="16"/>
              </w:rPr>
              <w:t>33,55</w:t>
            </w:r>
          </w:p>
        </w:tc>
        <w:tc>
          <w:tcPr>
            <w:tcW w:w="692" w:type="dxa"/>
            <w:tcBorders>
              <w:top w:val="nil"/>
              <w:left w:val="nil"/>
              <w:bottom w:val="nil"/>
              <w:right w:val="nil"/>
            </w:tcBorders>
            <w:shd w:val="clear" w:color="auto" w:fill="auto"/>
            <w:noWrap/>
            <w:vAlign w:val="center"/>
            <w:hideMark/>
          </w:tcPr>
          <w:p w14:paraId="30807047" w14:textId="77777777" w:rsidR="00EE5D67" w:rsidRPr="00EE5D67" w:rsidRDefault="00EE5D67" w:rsidP="001239A7">
            <w:pPr>
              <w:spacing w:after="0" w:line="240" w:lineRule="auto"/>
              <w:jc w:val="right"/>
              <w:rPr>
                <w:rFonts w:cs="Arial"/>
                <w:sz w:val="16"/>
                <w:szCs w:val="16"/>
              </w:rPr>
            </w:pPr>
            <w:r w:rsidRPr="00EE5D67">
              <w:rPr>
                <w:rFonts w:cs="Arial"/>
                <w:sz w:val="16"/>
                <w:szCs w:val="16"/>
              </w:rPr>
              <w:t>34,58</w:t>
            </w:r>
          </w:p>
        </w:tc>
      </w:tr>
      <w:tr w:rsidR="00EE5D67" w:rsidRPr="00EE5D67" w14:paraId="4A18AA83"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6495CA9C" w14:textId="0748B34F" w:rsidR="00EE5D67" w:rsidRPr="00EE5D67" w:rsidRDefault="00EE5D67" w:rsidP="00EE5D67">
            <w:pPr>
              <w:spacing w:after="0" w:line="240" w:lineRule="auto"/>
              <w:rPr>
                <w:rFonts w:cs="Arial"/>
                <w:sz w:val="16"/>
                <w:szCs w:val="16"/>
              </w:rPr>
            </w:pPr>
            <w:r w:rsidRPr="00EE5D67">
              <w:rPr>
                <w:rFonts w:cs="Arial"/>
                <w:sz w:val="16"/>
                <w:szCs w:val="16"/>
              </w:rPr>
              <w:t>Nemoci pohybové soustavy</w:t>
            </w:r>
          </w:p>
        </w:tc>
        <w:tc>
          <w:tcPr>
            <w:tcW w:w="972" w:type="dxa"/>
            <w:tcBorders>
              <w:top w:val="nil"/>
              <w:left w:val="single" w:sz="4" w:space="0" w:color="auto"/>
              <w:bottom w:val="nil"/>
              <w:right w:val="nil"/>
            </w:tcBorders>
            <w:shd w:val="clear" w:color="auto" w:fill="auto"/>
            <w:vAlign w:val="center"/>
            <w:hideMark/>
          </w:tcPr>
          <w:p w14:paraId="618ABC47" w14:textId="77777777" w:rsidR="00EE5D67" w:rsidRPr="00EE5D67" w:rsidRDefault="00EE5D67" w:rsidP="00EE5D67">
            <w:pPr>
              <w:spacing w:after="0" w:line="240" w:lineRule="auto"/>
              <w:jc w:val="right"/>
              <w:rPr>
                <w:rFonts w:cs="Arial"/>
                <w:sz w:val="16"/>
                <w:szCs w:val="16"/>
              </w:rPr>
            </w:pPr>
            <w:r w:rsidRPr="00EE5D67">
              <w:rPr>
                <w:rFonts w:cs="Arial"/>
                <w:sz w:val="16"/>
                <w:szCs w:val="16"/>
              </w:rPr>
              <w:t>168 123</w:t>
            </w:r>
          </w:p>
        </w:tc>
        <w:tc>
          <w:tcPr>
            <w:tcW w:w="857" w:type="dxa"/>
            <w:tcBorders>
              <w:top w:val="nil"/>
              <w:left w:val="nil"/>
              <w:bottom w:val="nil"/>
              <w:right w:val="nil"/>
            </w:tcBorders>
            <w:shd w:val="clear" w:color="auto" w:fill="auto"/>
            <w:vAlign w:val="center"/>
            <w:hideMark/>
          </w:tcPr>
          <w:p w14:paraId="2265E86E" w14:textId="77777777" w:rsidR="00EE5D67" w:rsidRPr="00EE5D67" w:rsidRDefault="00EE5D67" w:rsidP="00EE5D67">
            <w:pPr>
              <w:spacing w:after="0" w:line="240" w:lineRule="auto"/>
              <w:jc w:val="right"/>
              <w:rPr>
                <w:rFonts w:cs="Arial"/>
                <w:sz w:val="16"/>
                <w:szCs w:val="16"/>
              </w:rPr>
            </w:pPr>
            <w:r w:rsidRPr="00EE5D67">
              <w:rPr>
                <w:rFonts w:cs="Arial"/>
                <w:sz w:val="16"/>
                <w:szCs w:val="16"/>
              </w:rPr>
              <w:t>85 182</w:t>
            </w:r>
          </w:p>
        </w:tc>
        <w:tc>
          <w:tcPr>
            <w:tcW w:w="859" w:type="dxa"/>
            <w:tcBorders>
              <w:top w:val="nil"/>
              <w:left w:val="nil"/>
              <w:bottom w:val="nil"/>
              <w:right w:val="single" w:sz="4" w:space="0" w:color="auto"/>
            </w:tcBorders>
            <w:shd w:val="clear" w:color="auto" w:fill="auto"/>
            <w:vAlign w:val="center"/>
            <w:hideMark/>
          </w:tcPr>
          <w:p w14:paraId="3A92885F" w14:textId="77777777" w:rsidR="00EE5D67" w:rsidRPr="00EE5D67" w:rsidRDefault="00EE5D67" w:rsidP="00EE5D67">
            <w:pPr>
              <w:spacing w:after="0" w:line="240" w:lineRule="auto"/>
              <w:jc w:val="right"/>
              <w:rPr>
                <w:rFonts w:cs="Arial"/>
                <w:sz w:val="16"/>
                <w:szCs w:val="16"/>
              </w:rPr>
            </w:pPr>
            <w:r w:rsidRPr="00EE5D67">
              <w:rPr>
                <w:rFonts w:cs="Arial"/>
                <w:sz w:val="16"/>
                <w:szCs w:val="16"/>
              </w:rPr>
              <w:t>82 941</w:t>
            </w:r>
          </w:p>
        </w:tc>
        <w:tc>
          <w:tcPr>
            <w:tcW w:w="972" w:type="dxa"/>
            <w:tcBorders>
              <w:top w:val="nil"/>
              <w:left w:val="nil"/>
              <w:bottom w:val="nil"/>
              <w:right w:val="nil"/>
            </w:tcBorders>
            <w:shd w:val="clear" w:color="auto" w:fill="auto"/>
            <w:vAlign w:val="center"/>
            <w:hideMark/>
          </w:tcPr>
          <w:p w14:paraId="22867822" w14:textId="77777777" w:rsidR="00EE5D67" w:rsidRPr="00EE5D67" w:rsidRDefault="00EE5D67" w:rsidP="00EE5D67">
            <w:pPr>
              <w:spacing w:after="0" w:line="240" w:lineRule="auto"/>
              <w:jc w:val="right"/>
              <w:rPr>
                <w:rFonts w:cs="Arial"/>
                <w:sz w:val="16"/>
                <w:szCs w:val="16"/>
              </w:rPr>
            </w:pPr>
            <w:r w:rsidRPr="00EE5D67">
              <w:rPr>
                <w:rFonts w:cs="Arial"/>
                <w:sz w:val="16"/>
                <w:szCs w:val="16"/>
              </w:rPr>
              <w:t>11 093 351</w:t>
            </w:r>
          </w:p>
        </w:tc>
        <w:tc>
          <w:tcPr>
            <w:tcW w:w="972" w:type="dxa"/>
            <w:tcBorders>
              <w:top w:val="nil"/>
              <w:left w:val="nil"/>
              <w:bottom w:val="nil"/>
              <w:right w:val="nil"/>
            </w:tcBorders>
            <w:shd w:val="clear" w:color="auto" w:fill="auto"/>
            <w:vAlign w:val="center"/>
            <w:hideMark/>
          </w:tcPr>
          <w:p w14:paraId="1BBB7F1B" w14:textId="77777777" w:rsidR="00EE5D67" w:rsidRPr="00EE5D67" w:rsidRDefault="00EE5D67" w:rsidP="00EE5D67">
            <w:pPr>
              <w:spacing w:after="0" w:line="240" w:lineRule="auto"/>
              <w:jc w:val="right"/>
              <w:rPr>
                <w:rFonts w:cs="Arial"/>
                <w:sz w:val="16"/>
                <w:szCs w:val="16"/>
              </w:rPr>
            </w:pPr>
            <w:r w:rsidRPr="00EE5D67">
              <w:rPr>
                <w:rFonts w:cs="Arial"/>
                <w:sz w:val="16"/>
                <w:szCs w:val="16"/>
              </w:rPr>
              <w:t>5 280 513</w:t>
            </w:r>
          </w:p>
        </w:tc>
        <w:tc>
          <w:tcPr>
            <w:tcW w:w="973" w:type="dxa"/>
            <w:tcBorders>
              <w:top w:val="nil"/>
              <w:left w:val="nil"/>
              <w:bottom w:val="nil"/>
              <w:right w:val="single" w:sz="4" w:space="0" w:color="auto"/>
            </w:tcBorders>
            <w:shd w:val="clear" w:color="auto" w:fill="auto"/>
            <w:vAlign w:val="center"/>
            <w:hideMark/>
          </w:tcPr>
          <w:p w14:paraId="0307DE9E" w14:textId="77777777" w:rsidR="00EE5D67" w:rsidRPr="00EE5D67" w:rsidRDefault="00EE5D67" w:rsidP="00EE5D67">
            <w:pPr>
              <w:spacing w:after="0" w:line="240" w:lineRule="auto"/>
              <w:jc w:val="right"/>
              <w:rPr>
                <w:rFonts w:cs="Arial"/>
                <w:sz w:val="16"/>
                <w:szCs w:val="16"/>
              </w:rPr>
            </w:pPr>
            <w:r w:rsidRPr="00EE5D67">
              <w:rPr>
                <w:rFonts w:cs="Arial"/>
                <w:sz w:val="16"/>
                <w:szCs w:val="16"/>
              </w:rPr>
              <w:t>5 812 838</w:t>
            </w:r>
          </w:p>
        </w:tc>
        <w:tc>
          <w:tcPr>
            <w:tcW w:w="652" w:type="dxa"/>
            <w:tcBorders>
              <w:top w:val="nil"/>
              <w:left w:val="nil"/>
              <w:bottom w:val="nil"/>
              <w:right w:val="nil"/>
            </w:tcBorders>
            <w:shd w:val="clear" w:color="auto" w:fill="auto"/>
            <w:noWrap/>
            <w:vAlign w:val="center"/>
            <w:hideMark/>
          </w:tcPr>
          <w:p w14:paraId="5FF40287" w14:textId="77777777" w:rsidR="00EE5D67" w:rsidRPr="00EE5D67" w:rsidRDefault="00EE5D67" w:rsidP="001239A7">
            <w:pPr>
              <w:spacing w:after="0" w:line="240" w:lineRule="auto"/>
              <w:jc w:val="right"/>
              <w:rPr>
                <w:rFonts w:cs="Arial"/>
                <w:sz w:val="16"/>
                <w:szCs w:val="16"/>
              </w:rPr>
            </w:pPr>
            <w:r w:rsidRPr="00EE5D67">
              <w:rPr>
                <w:rFonts w:cs="Arial"/>
                <w:sz w:val="16"/>
                <w:szCs w:val="16"/>
              </w:rPr>
              <w:t>65,98</w:t>
            </w:r>
          </w:p>
        </w:tc>
        <w:tc>
          <w:tcPr>
            <w:tcW w:w="709" w:type="dxa"/>
            <w:tcBorders>
              <w:top w:val="nil"/>
              <w:left w:val="nil"/>
              <w:bottom w:val="nil"/>
              <w:right w:val="nil"/>
            </w:tcBorders>
            <w:shd w:val="clear" w:color="auto" w:fill="auto"/>
            <w:noWrap/>
            <w:vAlign w:val="center"/>
            <w:hideMark/>
          </w:tcPr>
          <w:p w14:paraId="2F11D88D" w14:textId="77777777" w:rsidR="00EE5D67" w:rsidRPr="00EE5D67" w:rsidRDefault="00EE5D67" w:rsidP="001239A7">
            <w:pPr>
              <w:spacing w:after="0" w:line="240" w:lineRule="auto"/>
              <w:jc w:val="right"/>
              <w:rPr>
                <w:rFonts w:cs="Arial"/>
                <w:sz w:val="16"/>
                <w:szCs w:val="16"/>
              </w:rPr>
            </w:pPr>
            <w:r w:rsidRPr="00EE5D67">
              <w:rPr>
                <w:rFonts w:cs="Arial"/>
                <w:sz w:val="16"/>
                <w:szCs w:val="16"/>
              </w:rPr>
              <w:t>61,99</w:t>
            </w:r>
          </w:p>
        </w:tc>
        <w:tc>
          <w:tcPr>
            <w:tcW w:w="692" w:type="dxa"/>
            <w:tcBorders>
              <w:top w:val="nil"/>
              <w:left w:val="nil"/>
              <w:bottom w:val="nil"/>
              <w:right w:val="nil"/>
            </w:tcBorders>
            <w:shd w:val="clear" w:color="auto" w:fill="auto"/>
            <w:noWrap/>
            <w:vAlign w:val="center"/>
            <w:hideMark/>
          </w:tcPr>
          <w:p w14:paraId="5AAD6C18" w14:textId="77777777" w:rsidR="00EE5D67" w:rsidRPr="00EE5D67" w:rsidRDefault="00EE5D67" w:rsidP="001239A7">
            <w:pPr>
              <w:spacing w:after="0" w:line="240" w:lineRule="auto"/>
              <w:jc w:val="right"/>
              <w:rPr>
                <w:rFonts w:cs="Arial"/>
                <w:sz w:val="16"/>
                <w:szCs w:val="16"/>
              </w:rPr>
            </w:pPr>
            <w:r w:rsidRPr="00EE5D67">
              <w:rPr>
                <w:rFonts w:cs="Arial"/>
                <w:sz w:val="16"/>
                <w:szCs w:val="16"/>
              </w:rPr>
              <w:t>70,08</w:t>
            </w:r>
          </w:p>
        </w:tc>
      </w:tr>
      <w:tr w:rsidR="00EE5D67" w:rsidRPr="00EE5D67" w14:paraId="47596BD4"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2F523C9B" w14:textId="0DDB7A92" w:rsidR="00EE5D67" w:rsidRPr="00EE5D67" w:rsidRDefault="00EE5D67" w:rsidP="00EE5D67">
            <w:pPr>
              <w:spacing w:after="0" w:line="240" w:lineRule="auto"/>
              <w:rPr>
                <w:rFonts w:cs="Arial"/>
                <w:sz w:val="16"/>
                <w:szCs w:val="16"/>
              </w:rPr>
            </w:pPr>
            <w:r w:rsidRPr="00EE5D67">
              <w:rPr>
                <w:rFonts w:cs="Arial"/>
                <w:sz w:val="16"/>
                <w:szCs w:val="16"/>
              </w:rPr>
              <w:t>– nemoci páteře</w:t>
            </w:r>
          </w:p>
        </w:tc>
        <w:tc>
          <w:tcPr>
            <w:tcW w:w="972" w:type="dxa"/>
            <w:tcBorders>
              <w:top w:val="nil"/>
              <w:left w:val="single" w:sz="4" w:space="0" w:color="auto"/>
              <w:bottom w:val="nil"/>
              <w:right w:val="nil"/>
            </w:tcBorders>
            <w:shd w:val="clear" w:color="auto" w:fill="auto"/>
            <w:vAlign w:val="center"/>
            <w:hideMark/>
          </w:tcPr>
          <w:p w14:paraId="00EBD80F" w14:textId="77777777" w:rsidR="00EE5D67" w:rsidRPr="00EE5D67" w:rsidRDefault="00EE5D67" w:rsidP="00EE5D67">
            <w:pPr>
              <w:spacing w:after="0" w:line="240" w:lineRule="auto"/>
              <w:jc w:val="right"/>
              <w:rPr>
                <w:rFonts w:cs="Arial"/>
                <w:sz w:val="16"/>
                <w:szCs w:val="16"/>
              </w:rPr>
            </w:pPr>
            <w:r w:rsidRPr="00EE5D67">
              <w:rPr>
                <w:rFonts w:cs="Arial"/>
                <w:sz w:val="16"/>
                <w:szCs w:val="16"/>
              </w:rPr>
              <w:t>109 377</w:t>
            </w:r>
          </w:p>
        </w:tc>
        <w:tc>
          <w:tcPr>
            <w:tcW w:w="857" w:type="dxa"/>
            <w:tcBorders>
              <w:top w:val="nil"/>
              <w:left w:val="nil"/>
              <w:bottom w:val="nil"/>
              <w:right w:val="nil"/>
            </w:tcBorders>
            <w:shd w:val="clear" w:color="auto" w:fill="auto"/>
            <w:vAlign w:val="center"/>
            <w:hideMark/>
          </w:tcPr>
          <w:p w14:paraId="72CC7171" w14:textId="77777777" w:rsidR="00EE5D67" w:rsidRPr="00EE5D67" w:rsidRDefault="00EE5D67" w:rsidP="00EE5D67">
            <w:pPr>
              <w:spacing w:after="0" w:line="240" w:lineRule="auto"/>
              <w:jc w:val="right"/>
              <w:rPr>
                <w:rFonts w:cs="Arial"/>
                <w:sz w:val="16"/>
                <w:szCs w:val="16"/>
              </w:rPr>
            </w:pPr>
            <w:r w:rsidRPr="00EE5D67">
              <w:rPr>
                <w:rFonts w:cs="Arial"/>
                <w:sz w:val="16"/>
                <w:szCs w:val="16"/>
              </w:rPr>
              <w:t>55 079</w:t>
            </w:r>
          </w:p>
        </w:tc>
        <w:tc>
          <w:tcPr>
            <w:tcW w:w="859" w:type="dxa"/>
            <w:tcBorders>
              <w:top w:val="nil"/>
              <w:left w:val="nil"/>
              <w:bottom w:val="nil"/>
              <w:right w:val="single" w:sz="4" w:space="0" w:color="auto"/>
            </w:tcBorders>
            <w:shd w:val="clear" w:color="auto" w:fill="auto"/>
            <w:vAlign w:val="center"/>
            <w:hideMark/>
          </w:tcPr>
          <w:p w14:paraId="2828EC85" w14:textId="77777777" w:rsidR="00EE5D67" w:rsidRPr="00EE5D67" w:rsidRDefault="00EE5D67" w:rsidP="00EE5D67">
            <w:pPr>
              <w:spacing w:after="0" w:line="240" w:lineRule="auto"/>
              <w:jc w:val="right"/>
              <w:rPr>
                <w:rFonts w:cs="Arial"/>
                <w:sz w:val="16"/>
                <w:szCs w:val="16"/>
              </w:rPr>
            </w:pPr>
            <w:r w:rsidRPr="00EE5D67">
              <w:rPr>
                <w:rFonts w:cs="Arial"/>
                <w:sz w:val="16"/>
                <w:szCs w:val="16"/>
              </w:rPr>
              <w:t>54 298</w:t>
            </w:r>
          </w:p>
        </w:tc>
        <w:tc>
          <w:tcPr>
            <w:tcW w:w="972" w:type="dxa"/>
            <w:tcBorders>
              <w:top w:val="nil"/>
              <w:left w:val="nil"/>
              <w:bottom w:val="nil"/>
              <w:right w:val="nil"/>
            </w:tcBorders>
            <w:shd w:val="clear" w:color="auto" w:fill="auto"/>
            <w:vAlign w:val="center"/>
            <w:hideMark/>
          </w:tcPr>
          <w:p w14:paraId="4506820F" w14:textId="77777777" w:rsidR="00EE5D67" w:rsidRPr="00EE5D67" w:rsidRDefault="00EE5D67" w:rsidP="00EE5D67">
            <w:pPr>
              <w:spacing w:after="0" w:line="240" w:lineRule="auto"/>
              <w:jc w:val="right"/>
              <w:rPr>
                <w:rFonts w:cs="Arial"/>
                <w:sz w:val="16"/>
                <w:szCs w:val="16"/>
              </w:rPr>
            </w:pPr>
            <w:r w:rsidRPr="00EE5D67">
              <w:rPr>
                <w:rFonts w:cs="Arial"/>
                <w:sz w:val="16"/>
                <w:szCs w:val="16"/>
              </w:rPr>
              <w:t>6 756 842</w:t>
            </w:r>
          </w:p>
        </w:tc>
        <w:tc>
          <w:tcPr>
            <w:tcW w:w="972" w:type="dxa"/>
            <w:tcBorders>
              <w:top w:val="nil"/>
              <w:left w:val="nil"/>
              <w:bottom w:val="nil"/>
              <w:right w:val="nil"/>
            </w:tcBorders>
            <w:shd w:val="clear" w:color="auto" w:fill="auto"/>
            <w:vAlign w:val="center"/>
            <w:hideMark/>
          </w:tcPr>
          <w:p w14:paraId="25B847D3" w14:textId="77777777" w:rsidR="00EE5D67" w:rsidRPr="00EE5D67" w:rsidRDefault="00EE5D67" w:rsidP="00EE5D67">
            <w:pPr>
              <w:spacing w:after="0" w:line="240" w:lineRule="auto"/>
              <w:jc w:val="right"/>
              <w:rPr>
                <w:rFonts w:cs="Arial"/>
                <w:sz w:val="16"/>
                <w:szCs w:val="16"/>
              </w:rPr>
            </w:pPr>
            <w:r w:rsidRPr="00EE5D67">
              <w:rPr>
                <w:rFonts w:cs="Arial"/>
                <w:sz w:val="16"/>
                <w:szCs w:val="16"/>
              </w:rPr>
              <w:t>3 169 665</w:t>
            </w:r>
          </w:p>
        </w:tc>
        <w:tc>
          <w:tcPr>
            <w:tcW w:w="973" w:type="dxa"/>
            <w:tcBorders>
              <w:top w:val="nil"/>
              <w:left w:val="nil"/>
              <w:bottom w:val="nil"/>
              <w:right w:val="single" w:sz="4" w:space="0" w:color="auto"/>
            </w:tcBorders>
            <w:shd w:val="clear" w:color="auto" w:fill="auto"/>
            <w:vAlign w:val="center"/>
            <w:hideMark/>
          </w:tcPr>
          <w:p w14:paraId="29A84358" w14:textId="77777777" w:rsidR="00EE5D67" w:rsidRPr="00EE5D67" w:rsidRDefault="00EE5D67" w:rsidP="00EE5D67">
            <w:pPr>
              <w:spacing w:after="0" w:line="240" w:lineRule="auto"/>
              <w:jc w:val="right"/>
              <w:rPr>
                <w:rFonts w:cs="Arial"/>
                <w:sz w:val="16"/>
                <w:szCs w:val="16"/>
              </w:rPr>
            </w:pPr>
            <w:r w:rsidRPr="00EE5D67">
              <w:rPr>
                <w:rFonts w:cs="Arial"/>
                <w:sz w:val="16"/>
                <w:szCs w:val="16"/>
              </w:rPr>
              <w:t>3 587 177</w:t>
            </w:r>
          </w:p>
        </w:tc>
        <w:tc>
          <w:tcPr>
            <w:tcW w:w="652" w:type="dxa"/>
            <w:tcBorders>
              <w:top w:val="nil"/>
              <w:left w:val="nil"/>
              <w:bottom w:val="nil"/>
              <w:right w:val="nil"/>
            </w:tcBorders>
            <w:shd w:val="clear" w:color="auto" w:fill="auto"/>
            <w:noWrap/>
            <w:vAlign w:val="center"/>
            <w:hideMark/>
          </w:tcPr>
          <w:p w14:paraId="372C4AB4" w14:textId="77777777" w:rsidR="00EE5D67" w:rsidRPr="00EE5D67" w:rsidRDefault="00EE5D67" w:rsidP="001239A7">
            <w:pPr>
              <w:spacing w:after="0" w:line="240" w:lineRule="auto"/>
              <w:jc w:val="right"/>
              <w:rPr>
                <w:rFonts w:cs="Arial"/>
                <w:sz w:val="16"/>
                <w:szCs w:val="16"/>
              </w:rPr>
            </w:pPr>
            <w:r w:rsidRPr="00EE5D67">
              <w:rPr>
                <w:rFonts w:cs="Arial"/>
                <w:sz w:val="16"/>
                <w:szCs w:val="16"/>
              </w:rPr>
              <w:t>61,78</w:t>
            </w:r>
          </w:p>
        </w:tc>
        <w:tc>
          <w:tcPr>
            <w:tcW w:w="709" w:type="dxa"/>
            <w:tcBorders>
              <w:top w:val="nil"/>
              <w:left w:val="nil"/>
              <w:bottom w:val="nil"/>
              <w:right w:val="nil"/>
            </w:tcBorders>
            <w:shd w:val="clear" w:color="auto" w:fill="auto"/>
            <w:noWrap/>
            <w:vAlign w:val="center"/>
            <w:hideMark/>
          </w:tcPr>
          <w:p w14:paraId="393ABD06" w14:textId="77777777" w:rsidR="00EE5D67" w:rsidRPr="00EE5D67" w:rsidRDefault="00EE5D67" w:rsidP="001239A7">
            <w:pPr>
              <w:spacing w:after="0" w:line="240" w:lineRule="auto"/>
              <w:jc w:val="right"/>
              <w:rPr>
                <w:rFonts w:cs="Arial"/>
                <w:sz w:val="16"/>
                <w:szCs w:val="16"/>
              </w:rPr>
            </w:pPr>
            <w:r w:rsidRPr="00EE5D67">
              <w:rPr>
                <w:rFonts w:cs="Arial"/>
                <w:sz w:val="16"/>
                <w:szCs w:val="16"/>
              </w:rPr>
              <w:t>57,55</w:t>
            </w:r>
          </w:p>
        </w:tc>
        <w:tc>
          <w:tcPr>
            <w:tcW w:w="692" w:type="dxa"/>
            <w:tcBorders>
              <w:top w:val="nil"/>
              <w:left w:val="nil"/>
              <w:bottom w:val="nil"/>
              <w:right w:val="nil"/>
            </w:tcBorders>
            <w:shd w:val="clear" w:color="auto" w:fill="auto"/>
            <w:noWrap/>
            <w:vAlign w:val="center"/>
            <w:hideMark/>
          </w:tcPr>
          <w:p w14:paraId="1D725CA8" w14:textId="77777777" w:rsidR="00EE5D67" w:rsidRPr="00EE5D67" w:rsidRDefault="00EE5D67" w:rsidP="001239A7">
            <w:pPr>
              <w:spacing w:after="0" w:line="240" w:lineRule="auto"/>
              <w:jc w:val="right"/>
              <w:rPr>
                <w:rFonts w:cs="Arial"/>
                <w:sz w:val="16"/>
                <w:szCs w:val="16"/>
              </w:rPr>
            </w:pPr>
            <w:r w:rsidRPr="00EE5D67">
              <w:rPr>
                <w:rFonts w:cs="Arial"/>
                <w:sz w:val="16"/>
                <w:szCs w:val="16"/>
              </w:rPr>
              <w:t>66,06</w:t>
            </w:r>
          </w:p>
        </w:tc>
      </w:tr>
      <w:tr w:rsidR="00EE5D67" w:rsidRPr="00EE5D67" w14:paraId="7FD9727E"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4C8A72D7" w14:textId="5A9F3519" w:rsidR="00EE5D67" w:rsidRPr="00EE5D67" w:rsidRDefault="00EE5D67" w:rsidP="00816CA3">
            <w:pPr>
              <w:spacing w:after="0" w:line="240" w:lineRule="auto"/>
              <w:rPr>
                <w:rFonts w:cs="Arial"/>
                <w:sz w:val="16"/>
                <w:szCs w:val="16"/>
              </w:rPr>
            </w:pPr>
            <w:r w:rsidRPr="00EE5D67">
              <w:rPr>
                <w:rFonts w:cs="Arial"/>
                <w:sz w:val="16"/>
                <w:szCs w:val="16"/>
              </w:rPr>
              <w:t>– jiné nemoci pohyb</w:t>
            </w:r>
            <w:r w:rsidR="00816CA3">
              <w:rPr>
                <w:rFonts w:cs="Arial"/>
                <w:sz w:val="16"/>
                <w:szCs w:val="16"/>
              </w:rPr>
              <w:t>. soust.</w:t>
            </w:r>
          </w:p>
        </w:tc>
        <w:tc>
          <w:tcPr>
            <w:tcW w:w="972" w:type="dxa"/>
            <w:tcBorders>
              <w:top w:val="nil"/>
              <w:left w:val="single" w:sz="4" w:space="0" w:color="auto"/>
              <w:bottom w:val="nil"/>
              <w:right w:val="nil"/>
            </w:tcBorders>
            <w:shd w:val="clear" w:color="auto" w:fill="auto"/>
            <w:vAlign w:val="center"/>
            <w:hideMark/>
          </w:tcPr>
          <w:p w14:paraId="76647F3D" w14:textId="77777777" w:rsidR="00EE5D67" w:rsidRPr="00EE5D67" w:rsidRDefault="00EE5D67" w:rsidP="00EE5D67">
            <w:pPr>
              <w:spacing w:after="0" w:line="240" w:lineRule="auto"/>
              <w:jc w:val="right"/>
              <w:rPr>
                <w:rFonts w:cs="Arial"/>
                <w:sz w:val="16"/>
                <w:szCs w:val="16"/>
              </w:rPr>
            </w:pPr>
            <w:r w:rsidRPr="00EE5D67">
              <w:rPr>
                <w:rFonts w:cs="Arial"/>
                <w:sz w:val="16"/>
                <w:szCs w:val="16"/>
              </w:rPr>
              <w:t>58 735</w:t>
            </w:r>
          </w:p>
        </w:tc>
        <w:tc>
          <w:tcPr>
            <w:tcW w:w="857" w:type="dxa"/>
            <w:tcBorders>
              <w:top w:val="nil"/>
              <w:left w:val="nil"/>
              <w:bottom w:val="nil"/>
              <w:right w:val="nil"/>
            </w:tcBorders>
            <w:shd w:val="clear" w:color="auto" w:fill="auto"/>
            <w:vAlign w:val="center"/>
            <w:hideMark/>
          </w:tcPr>
          <w:p w14:paraId="08723EE6" w14:textId="77777777" w:rsidR="00EE5D67" w:rsidRPr="00EE5D67" w:rsidRDefault="00EE5D67" w:rsidP="00EE5D67">
            <w:pPr>
              <w:spacing w:after="0" w:line="240" w:lineRule="auto"/>
              <w:jc w:val="right"/>
              <w:rPr>
                <w:rFonts w:cs="Arial"/>
                <w:sz w:val="16"/>
                <w:szCs w:val="16"/>
              </w:rPr>
            </w:pPr>
            <w:r w:rsidRPr="00EE5D67">
              <w:rPr>
                <w:rFonts w:cs="Arial"/>
                <w:sz w:val="16"/>
                <w:szCs w:val="16"/>
              </w:rPr>
              <w:t>30 098</w:t>
            </w:r>
          </w:p>
        </w:tc>
        <w:tc>
          <w:tcPr>
            <w:tcW w:w="859" w:type="dxa"/>
            <w:tcBorders>
              <w:top w:val="nil"/>
              <w:left w:val="nil"/>
              <w:bottom w:val="nil"/>
              <w:right w:val="single" w:sz="4" w:space="0" w:color="auto"/>
            </w:tcBorders>
            <w:shd w:val="clear" w:color="auto" w:fill="auto"/>
            <w:vAlign w:val="center"/>
            <w:hideMark/>
          </w:tcPr>
          <w:p w14:paraId="21E3BB39" w14:textId="77777777" w:rsidR="00EE5D67" w:rsidRPr="00EE5D67" w:rsidRDefault="00EE5D67" w:rsidP="00EE5D67">
            <w:pPr>
              <w:spacing w:after="0" w:line="240" w:lineRule="auto"/>
              <w:jc w:val="right"/>
              <w:rPr>
                <w:rFonts w:cs="Arial"/>
                <w:sz w:val="16"/>
                <w:szCs w:val="16"/>
              </w:rPr>
            </w:pPr>
            <w:r w:rsidRPr="00EE5D67">
              <w:rPr>
                <w:rFonts w:cs="Arial"/>
                <w:sz w:val="16"/>
                <w:szCs w:val="16"/>
              </w:rPr>
              <w:t>28 637</w:t>
            </w:r>
          </w:p>
        </w:tc>
        <w:tc>
          <w:tcPr>
            <w:tcW w:w="972" w:type="dxa"/>
            <w:tcBorders>
              <w:top w:val="nil"/>
              <w:left w:val="nil"/>
              <w:bottom w:val="nil"/>
              <w:right w:val="nil"/>
            </w:tcBorders>
            <w:shd w:val="clear" w:color="auto" w:fill="auto"/>
            <w:vAlign w:val="center"/>
            <w:hideMark/>
          </w:tcPr>
          <w:p w14:paraId="38923FFE" w14:textId="77777777" w:rsidR="00EE5D67" w:rsidRPr="00EE5D67" w:rsidRDefault="00EE5D67" w:rsidP="00EE5D67">
            <w:pPr>
              <w:spacing w:after="0" w:line="240" w:lineRule="auto"/>
              <w:jc w:val="right"/>
              <w:rPr>
                <w:rFonts w:cs="Arial"/>
                <w:sz w:val="16"/>
                <w:szCs w:val="16"/>
              </w:rPr>
            </w:pPr>
            <w:r w:rsidRPr="00EE5D67">
              <w:rPr>
                <w:rFonts w:cs="Arial"/>
                <w:sz w:val="16"/>
                <w:szCs w:val="16"/>
              </w:rPr>
              <w:t>4 335 471</w:t>
            </w:r>
          </w:p>
        </w:tc>
        <w:tc>
          <w:tcPr>
            <w:tcW w:w="972" w:type="dxa"/>
            <w:tcBorders>
              <w:top w:val="nil"/>
              <w:left w:val="nil"/>
              <w:bottom w:val="nil"/>
              <w:right w:val="nil"/>
            </w:tcBorders>
            <w:shd w:val="clear" w:color="auto" w:fill="auto"/>
            <w:vAlign w:val="center"/>
            <w:hideMark/>
          </w:tcPr>
          <w:p w14:paraId="5DADB549" w14:textId="77777777" w:rsidR="00EE5D67" w:rsidRPr="00EE5D67" w:rsidRDefault="00EE5D67" w:rsidP="00EE5D67">
            <w:pPr>
              <w:spacing w:after="0" w:line="240" w:lineRule="auto"/>
              <w:jc w:val="right"/>
              <w:rPr>
                <w:rFonts w:cs="Arial"/>
                <w:sz w:val="16"/>
                <w:szCs w:val="16"/>
              </w:rPr>
            </w:pPr>
            <w:r w:rsidRPr="00EE5D67">
              <w:rPr>
                <w:rFonts w:cs="Arial"/>
                <w:sz w:val="16"/>
                <w:szCs w:val="16"/>
              </w:rPr>
              <w:t>2 110 404</w:t>
            </w:r>
          </w:p>
        </w:tc>
        <w:tc>
          <w:tcPr>
            <w:tcW w:w="973" w:type="dxa"/>
            <w:tcBorders>
              <w:top w:val="nil"/>
              <w:left w:val="nil"/>
              <w:bottom w:val="nil"/>
              <w:right w:val="single" w:sz="4" w:space="0" w:color="auto"/>
            </w:tcBorders>
            <w:shd w:val="clear" w:color="auto" w:fill="auto"/>
            <w:vAlign w:val="center"/>
            <w:hideMark/>
          </w:tcPr>
          <w:p w14:paraId="6C108C55" w14:textId="77777777" w:rsidR="00EE5D67" w:rsidRPr="00EE5D67" w:rsidRDefault="00EE5D67" w:rsidP="00EE5D67">
            <w:pPr>
              <w:spacing w:after="0" w:line="240" w:lineRule="auto"/>
              <w:jc w:val="right"/>
              <w:rPr>
                <w:rFonts w:cs="Arial"/>
                <w:sz w:val="16"/>
                <w:szCs w:val="16"/>
              </w:rPr>
            </w:pPr>
            <w:r w:rsidRPr="00EE5D67">
              <w:rPr>
                <w:rFonts w:cs="Arial"/>
                <w:sz w:val="16"/>
                <w:szCs w:val="16"/>
              </w:rPr>
              <w:t>2 225 067</w:t>
            </w:r>
          </w:p>
        </w:tc>
        <w:tc>
          <w:tcPr>
            <w:tcW w:w="652" w:type="dxa"/>
            <w:tcBorders>
              <w:top w:val="nil"/>
              <w:left w:val="nil"/>
              <w:bottom w:val="nil"/>
              <w:right w:val="nil"/>
            </w:tcBorders>
            <w:shd w:val="clear" w:color="auto" w:fill="auto"/>
            <w:noWrap/>
            <w:vAlign w:val="center"/>
            <w:hideMark/>
          </w:tcPr>
          <w:p w14:paraId="51E47869" w14:textId="77777777" w:rsidR="00EE5D67" w:rsidRPr="00EE5D67" w:rsidRDefault="00EE5D67" w:rsidP="001239A7">
            <w:pPr>
              <w:spacing w:after="0" w:line="240" w:lineRule="auto"/>
              <w:jc w:val="right"/>
              <w:rPr>
                <w:rFonts w:cs="Arial"/>
                <w:sz w:val="16"/>
                <w:szCs w:val="16"/>
              </w:rPr>
            </w:pPr>
            <w:r w:rsidRPr="00EE5D67">
              <w:rPr>
                <w:rFonts w:cs="Arial"/>
                <w:sz w:val="16"/>
                <w:szCs w:val="16"/>
              </w:rPr>
              <w:t>73,81</w:t>
            </w:r>
          </w:p>
        </w:tc>
        <w:tc>
          <w:tcPr>
            <w:tcW w:w="709" w:type="dxa"/>
            <w:tcBorders>
              <w:top w:val="nil"/>
              <w:left w:val="nil"/>
              <w:bottom w:val="nil"/>
              <w:right w:val="nil"/>
            </w:tcBorders>
            <w:shd w:val="clear" w:color="auto" w:fill="auto"/>
            <w:noWrap/>
            <w:vAlign w:val="center"/>
            <w:hideMark/>
          </w:tcPr>
          <w:p w14:paraId="44EC44C3" w14:textId="77777777" w:rsidR="00EE5D67" w:rsidRPr="00EE5D67" w:rsidRDefault="00EE5D67" w:rsidP="001239A7">
            <w:pPr>
              <w:spacing w:after="0" w:line="240" w:lineRule="auto"/>
              <w:jc w:val="right"/>
              <w:rPr>
                <w:rFonts w:cs="Arial"/>
                <w:sz w:val="16"/>
                <w:szCs w:val="16"/>
              </w:rPr>
            </w:pPr>
            <w:r w:rsidRPr="00EE5D67">
              <w:rPr>
                <w:rFonts w:cs="Arial"/>
                <w:sz w:val="16"/>
                <w:szCs w:val="16"/>
              </w:rPr>
              <w:t>70,12</w:t>
            </w:r>
          </w:p>
        </w:tc>
        <w:tc>
          <w:tcPr>
            <w:tcW w:w="692" w:type="dxa"/>
            <w:tcBorders>
              <w:top w:val="nil"/>
              <w:left w:val="nil"/>
              <w:bottom w:val="nil"/>
              <w:right w:val="nil"/>
            </w:tcBorders>
            <w:shd w:val="clear" w:color="auto" w:fill="auto"/>
            <w:noWrap/>
            <w:vAlign w:val="center"/>
            <w:hideMark/>
          </w:tcPr>
          <w:p w14:paraId="3716C6E8" w14:textId="77777777" w:rsidR="00EE5D67" w:rsidRPr="00EE5D67" w:rsidRDefault="00EE5D67" w:rsidP="001239A7">
            <w:pPr>
              <w:spacing w:after="0" w:line="240" w:lineRule="auto"/>
              <w:jc w:val="right"/>
              <w:rPr>
                <w:rFonts w:cs="Arial"/>
                <w:sz w:val="16"/>
                <w:szCs w:val="16"/>
              </w:rPr>
            </w:pPr>
            <w:r w:rsidRPr="00EE5D67">
              <w:rPr>
                <w:rFonts w:cs="Arial"/>
                <w:sz w:val="16"/>
                <w:szCs w:val="16"/>
              </w:rPr>
              <w:t>77,70</w:t>
            </w:r>
          </w:p>
        </w:tc>
      </w:tr>
      <w:tr w:rsidR="00EE5D67" w:rsidRPr="00EE5D67" w14:paraId="44B6EEBB"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540A3F29" w14:textId="4939FAE8" w:rsidR="00EE5D67" w:rsidRPr="00EE5D67" w:rsidRDefault="00EE5D67" w:rsidP="00816CA3">
            <w:pPr>
              <w:spacing w:after="0" w:line="240" w:lineRule="auto"/>
              <w:rPr>
                <w:rFonts w:cs="Arial"/>
                <w:sz w:val="16"/>
                <w:szCs w:val="16"/>
              </w:rPr>
            </w:pPr>
            <w:r w:rsidRPr="00EE5D67">
              <w:rPr>
                <w:rFonts w:cs="Arial"/>
                <w:sz w:val="16"/>
                <w:szCs w:val="16"/>
              </w:rPr>
              <w:t xml:space="preserve">Nemoci moč. a pohl. </w:t>
            </w:r>
            <w:r w:rsidR="00816CA3">
              <w:rPr>
                <w:rFonts w:cs="Arial"/>
                <w:sz w:val="16"/>
                <w:szCs w:val="16"/>
              </w:rPr>
              <w:t>soust.</w:t>
            </w:r>
          </w:p>
        </w:tc>
        <w:tc>
          <w:tcPr>
            <w:tcW w:w="972" w:type="dxa"/>
            <w:tcBorders>
              <w:top w:val="nil"/>
              <w:left w:val="single" w:sz="4" w:space="0" w:color="auto"/>
              <w:bottom w:val="nil"/>
              <w:right w:val="nil"/>
            </w:tcBorders>
            <w:shd w:val="clear" w:color="auto" w:fill="auto"/>
            <w:vAlign w:val="center"/>
            <w:hideMark/>
          </w:tcPr>
          <w:p w14:paraId="2825FD9C" w14:textId="77777777" w:rsidR="00EE5D67" w:rsidRPr="00EE5D67" w:rsidRDefault="00EE5D67" w:rsidP="00EE5D67">
            <w:pPr>
              <w:spacing w:after="0" w:line="240" w:lineRule="auto"/>
              <w:jc w:val="right"/>
              <w:rPr>
                <w:rFonts w:cs="Arial"/>
                <w:sz w:val="16"/>
                <w:szCs w:val="16"/>
              </w:rPr>
            </w:pPr>
            <w:r w:rsidRPr="00EE5D67">
              <w:rPr>
                <w:rFonts w:cs="Arial"/>
                <w:sz w:val="16"/>
                <w:szCs w:val="16"/>
              </w:rPr>
              <w:t>35 739</w:t>
            </w:r>
          </w:p>
        </w:tc>
        <w:tc>
          <w:tcPr>
            <w:tcW w:w="857" w:type="dxa"/>
            <w:tcBorders>
              <w:top w:val="nil"/>
              <w:left w:val="nil"/>
              <w:bottom w:val="nil"/>
              <w:right w:val="nil"/>
            </w:tcBorders>
            <w:shd w:val="clear" w:color="auto" w:fill="auto"/>
            <w:vAlign w:val="center"/>
            <w:hideMark/>
          </w:tcPr>
          <w:p w14:paraId="547F0ADC" w14:textId="77777777" w:rsidR="00EE5D67" w:rsidRPr="00EE5D67" w:rsidRDefault="00EE5D67" w:rsidP="00EE5D67">
            <w:pPr>
              <w:spacing w:after="0" w:line="240" w:lineRule="auto"/>
              <w:jc w:val="right"/>
              <w:rPr>
                <w:rFonts w:cs="Arial"/>
                <w:sz w:val="16"/>
                <w:szCs w:val="16"/>
              </w:rPr>
            </w:pPr>
            <w:r w:rsidRPr="00EE5D67">
              <w:rPr>
                <w:rFonts w:cs="Arial"/>
                <w:sz w:val="16"/>
                <w:szCs w:val="16"/>
              </w:rPr>
              <w:t>7 942</w:t>
            </w:r>
          </w:p>
        </w:tc>
        <w:tc>
          <w:tcPr>
            <w:tcW w:w="859" w:type="dxa"/>
            <w:tcBorders>
              <w:top w:val="nil"/>
              <w:left w:val="nil"/>
              <w:bottom w:val="nil"/>
              <w:right w:val="single" w:sz="4" w:space="0" w:color="auto"/>
            </w:tcBorders>
            <w:shd w:val="clear" w:color="auto" w:fill="auto"/>
            <w:vAlign w:val="center"/>
            <w:hideMark/>
          </w:tcPr>
          <w:p w14:paraId="28D074D0" w14:textId="77777777" w:rsidR="00EE5D67" w:rsidRPr="00EE5D67" w:rsidRDefault="00EE5D67" w:rsidP="00EE5D67">
            <w:pPr>
              <w:spacing w:after="0" w:line="240" w:lineRule="auto"/>
              <w:jc w:val="right"/>
              <w:rPr>
                <w:rFonts w:cs="Arial"/>
                <w:sz w:val="16"/>
                <w:szCs w:val="16"/>
              </w:rPr>
            </w:pPr>
            <w:r w:rsidRPr="00EE5D67">
              <w:rPr>
                <w:rFonts w:cs="Arial"/>
                <w:sz w:val="16"/>
                <w:szCs w:val="16"/>
              </w:rPr>
              <w:t>27 797</w:t>
            </w:r>
          </w:p>
        </w:tc>
        <w:tc>
          <w:tcPr>
            <w:tcW w:w="972" w:type="dxa"/>
            <w:tcBorders>
              <w:top w:val="nil"/>
              <w:left w:val="nil"/>
              <w:bottom w:val="nil"/>
              <w:right w:val="nil"/>
            </w:tcBorders>
            <w:shd w:val="clear" w:color="auto" w:fill="auto"/>
            <w:vAlign w:val="center"/>
            <w:hideMark/>
          </w:tcPr>
          <w:p w14:paraId="601E0FB3" w14:textId="77777777" w:rsidR="00EE5D67" w:rsidRPr="00EE5D67" w:rsidRDefault="00EE5D67" w:rsidP="00EE5D67">
            <w:pPr>
              <w:spacing w:after="0" w:line="240" w:lineRule="auto"/>
              <w:jc w:val="right"/>
              <w:rPr>
                <w:rFonts w:cs="Arial"/>
                <w:sz w:val="16"/>
                <w:szCs w:val="16"/>
              </w:rPr>
            </w:pPr>
            <w:r w:rsidRPr="00EE5D67">
              <w:rPr>
                <w:rFonts w:cs="Arial"/>
                <w:sz w:val="16"/>
                <w:szCs w:val="16"/>
              </w:rPr>
              <w:t>1 213 957</w:t>
            </w:r>
          </w:p>
        </w:tc>
        <w:tc>
          <w:tcPr>
            <w:tcW w:w="972" w:type="dxa"/>
            <w:tcBorders>
              <w:top w:val="nil"/>
              <w:left w:val="nil"/>
              <w:bottom w:val="nil"/>
              <w:right w:val="nil"/>
            </w:tcBorders>
            <w:shd w:val="clear" w:color="auto" w:fill="auto"/>
            <w:vAlign w:val="center"/>
            <w:hideMark/>
          </w:tcPr>
          <w:p w14:paraId="7C4D3272" w14:textId="77777777" w:rsidR="00EE5D67" w:rsidRPr="00EE5D67" w:rsidRDefault="00EE5D67" w:rsidP="00EE5D67">
            <w:pPr>
              <w:spacing w:after="0" w:line="240" w:lineRule="auto"/>
              <w:jc w:val="right"/>
              <w:rPr>
                <w:rFonts w:cs="Arial"/>
                <w:sz w:val="16"/>
                <w:szCs w:val="16"/>
              </w:rPr>
            </w:pPr>
            <w:r w:rsidRPr="00EE5D67">
              <w:rPr>
                <w:rFonts w:cs="Arial"/>
                <w:sz w:val="16"/>
                <w:szCs w:val="16"/>
              </w:rPr>
              <w:t>302 525</w:t>
            </w:r>
          </w:p>
        </w:tc>
        <w:tc>
          <w:tcPr>
            <w:tcW w:w="973" w:type="dxa"/>
            <w:tcBorders>
              <w:top w:val="nil"/>
              <w:left w:val="nil"/>
              <w:bottom w:val="nil"/>
              <w:right w:val="single" w:sz="4" w:space="0" w:color="auto"/>
            </w:tcBorders>
            <w:shd w:val="clear" w:color="auto" w:fill="auto"/>
            <w:vAlign w:val="center"/>
            <w:hideMark/>
          </w:tcPr>
          <w:p w14:paraId="38953940" w14:textId="77777777" w:rsidR="00EE5D67" w:rsidRPr="00EE5D67" w:rsidRDefault="00EE5D67" w:rsidP="00EE5D67">
            <w:pPr>
              <w:spacing w:after="0" w:line="240" w:lineRule="auto"/>
              <w:jc w:val="right"/>
              <w:rPr>
                <w:rFonts w:cs="Arial"/>
                <w:sz w:val="16"/>
                <w:szCs w:val="16"/>
              </w:rPr>
            </w:pPr>
            <w:r w:rsidRPr="00EE5D67">
              <w:rPr>
                <w:rFonts w:cs="Arial"/>
                <w:sz w:val="16"/>
                <w:szCs w:val="16"/>
              </w:rPr>
              <w:t>911 432</w:t>
            </w:r>
          </w:p>
        </w:tc>
        <w:tc>
          <w:tcPr>
            <w:tcW w:w="652" w:type="dxa"/>
            <w:tcBorders>
              <w:top w:val="nil"/>
              <w:left w:val="nil"/>
              <w:bottom w:val="nil"/>
              <w:right w:val="nil"/>
            </w:tcBorders>
            <w:shd w:val="clear" w:color="auto" w:fill="auto"/>
            <w:noWrap/>
            <w:vAlign w:val="center"/>
            <w:hideMark/>
          </w:tcPr>
          <w:p w14:paraId="4FC20D36" w14:textId="77777777" w:rsidR="00EE5D67" w:rsidRPr="00EE5D67" w:rsidRDefault="00EE5D67" w:rsidP="001239A7">
            <w:pPr>
              <w:spacing w:after="0" w:line="240" w:lineRule="auto"/>
              <w:jc w:val="right"/>
              <w:rPr>
                <w:rFonts w:cs="Arial"/>
                <w:sz w:val="16"/>
                <w:szCs w:val="16"/>
              </w:rPr>
            </w:pPr>
            <w:r w:rsidRPr="00EE5D67">
              <w:rPr>
                <w:rFonts w:cs="Arial"/>
                <w:sz w:val="16"/>
                <w:szCs w:val="16"/>
              </w:rPr>
              <w:t>33,97</w:t>
            </w:r>
          </w:p>
        </w:tc>
        <w:tc>
          <w:tcPr>
            <w:tcW w:w="709" w:type="dxa"/>
            <w:tcBorders>
              <w:top w:val="nil"/>
              <w:left w:val="nil"/>
              <w:bottom w:val="nil"/>
              <w:right w:val="nil"/>
            </w:tcBorders>
            <w:shd w:val="clear" w:color="auto" w:fill="auto"/>
            <w:noWrap/>
            <w:vAlign w:val="center"/>
            <w:hideMark/>
          </w:tcPr>
          <w:p w14:paraId="6281BCF6" w14:textId="77777777" w:rsidR="00EE5D67" w:rsidRPr="00EE5D67" w:rsidRDefault="00EE5D67" w:rsidP="001239A7">
            <w:pPr>
              <w:spacing w:after="0" w:line="240" w:lineRule="auto"/>
              <w:jc w:val="right"/>
              <w:rPr>
                <w:rFonts w:cs="Arial"/>
                <w:sz w:val="16"/>
                <w:szCs w:val="16"/>
              </w:rPr>
            </w:pPr>
            <w:r w:rsidRPr="00EE5D67">
              <w:rPr>
                <w:rFonts w:cs="Arial"/>
                <w:sz w:val="16"/>
                <w:szCs w:val="16"/>
              </w:rPr>
              <w:t>38,09</w:t>
            </w:r>
          </w:p>
        </w:tc>
        <w:tc>
          <w:tcPr>
            <w:tcW w:w="692" w:type="dxa"/>
            <w:tcBorders>
              <w:top w:val="nil"/>
              <w:left w:val="nil"/>
              <w:bottom w:val="nil"/>
              <w:right w:val="nil"/>
            </w:tcBorders>
            <w:shd w:val="clear" w:color="auto" w:fill="auto"/>
            <w:noWrap/>
            <w:vAlign w:val="center"/>
            <w:hideMark/>
          </w:tcPr>
          <w:p w14:paraId="263B1C3C" w14:textId="77777777" w:rsidR="00EE5D67" w:rsidRPr="00EE5D67" w:rsidRDefault="00EE5D67" w:rsidP="001239A7">
            <w:pPr>
              <w:spacing w:after="0" w:line="240" w:lineRule="auto"/>
              <w:jc w:val="right"/>
              <w:rPr>
                <w:rFonts w:cs="Arial"/>
                <w:sz w:val="16"/>
                <w:szCs w:val="16"/>
              </w:rPr>
            </w:pPr>
            <w:r w:rsidRPr="00EE5D67">
              <w:rPr>
                <w:rFonts w:cs="Arial"/>
                <w:sz w:val="16"/>
                <w:szCs w:val="16"/>
              </w:rPr>
              <w:t>32,79</w:t>
            </w:r>
          </w:p>
        </w:tc>
      </w:tr>
      <w:tr w:rsidR="00EE5D67" w:rsidRPr="00EE5D67" w14:paraId="56D5E38A"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38F159F8" w14:textId="420DE986" w:rsidR="00EE5D67" w:rsidRPr="00EE5D67" w:rsidRDefault="00EE5D67" w:rsidP="00EE5D67">
            <w:pPr>
              <w:spacing w:after="0" w:line="240" w:lineRule="auto"/>
              <w:rPr>
                <w:rFonts w:cs="Arial"/>
                <w:sz w:val="16"/>
                <w:szCs w:val="16"/>
              </w:rPr>
            </w:pPr>
            <w:r w:rsidRPr="00EE5D67">
              <w:rPr>
                <w:rFonts w:cs="Arial"/>
                <w:sz w:val="16"/>
                <w:szCs w:val="16"/>
              </w:rPr>
              <w:t>Těhotenství, porod, šestinedělí</w:t>
            </w:r>
          </w:p>
        </w:tc>
        <w:tc>
          <w:tcPr>
            <w:tcW w:w="972" w:type="dxa"/>
            <w:tcBorders>
              <w:top w:val="nil"/>
              <w:left w:val="single" w:sz="4" w:space="0" w:color="auto"/>
              <w:bottom w:val="nil"/>
              <w:right w:val="nil"/>
            </w:tcBorders>
            <w:shd w:val="clear" w:color="auto" w:fill="auto"/>
            <w:vAlign w:val="center"/>
            <w:hideMark/>
          </w:tcPr>
          <w:p w14:paraId="1E15575D" w14:textId="77777777" w:rsidR="00EE5D67" w:rsidRPr="00EE5D67" w:rsidRDefault="00EE5D67" w:rsidP="00EE5D67">
            <w:pPr>
              <w:spacing w:after="0" w:line="240" w:lineRule="auto"/>
              <w:jc w:val="right"/>
              <w:rPr>
                <w:rFonts w:cs="Arial"/>
                <w:sz w:val="16"/>
                <w:szCs w:val="16"/>
              </w:rPr>
            </w:pPr>
            <w:r w:rsidRPr="00EE5D67">
              <w:rPr>
                <w:rFonts w:cs="Arial"/>
                <w:sz w:val="16"/>
                <w:szCs w:val="16"/>
              </w:rPr>
              <w:t>17 989</w:t>
            </w:r>
          </w:p>
        </w:tc>
        <w:tc>
          <w:tcPr>
            <w:tcW w:w="857" w:type="dxa"/>
            <w:tcBorders>
              <w:top w:val="nil"/>
              <w:left w:val="nil"/>
              <w:bottom w:val="nil"/>
              <w:right w:val="nil"/>
            </w:tcBorders>
            <w:shd w:val="clear" w:color="auto" w:fill="auto"/>
            <w:vAlign w:val="center"/>
            <w:hideMark/>
          </w:tcPr>
          <w:p w14:paraId="33C53D37" w14:textId="77777777" w:rsidR="00EE5D67" w:rsidRPr="00EE5D67" w:rsidRDefault="00EE5D67" w:rsidP="00EE5D67">
            <w:pPr>
              <w:spacing w:after="0" w:line="240" w:lineRule="auto"/>
              <w:jc w:val="right"/>
              <w:rPr>
                <w:rFonts w:cs="Arial"/>
                <w:sz w:val="16"/>
                <w:szCs w:val="16"/>
              </w:rPr>
            </w:pPr>
            <w:r w:rsidRPr="00EE5D67">
              <w:rPr>
                <w:rFonts w:cs="Arial"/>
                <w:sz w:val="16"/>
                <w:szCs w:val="16"/>
              </w:rPr>
              <w:t>x</w:t>
            </w:r>
          </w:p>
        </w:tc>
        <w:tc>
          <w:tcPr>
            <w:tcW w:w="859" w:type="dxa"/>
            <w:tcBorders>
              <w:top w:val="nil"/>
              <w:left w:val="nil"/>
              <w:bottom w:val="nil"/>
              <w:right w:val="single" w:sz="4" w:space="0" w:color="auto"/>
            </w:tcBorders>
            <w:shd w:val="clear" w:color="auto" w:fill="auto"/>
            <w:vAlign w:val="center"/>
            <w:hideMark/>
          </w:tcPr>
          <w:p w14:paraId="30CA23D3" w14:textId="77777777" w:rsidR="00EE5D67" w:rsidRPr="00EE5D67" w:rsidRDefault="00EE5D67" w:rsidP="00EE5D67">
            <w:pPr>
              <w:spacing w:after="0" w:line="240" w:lineRule="auto"/>
              <w:jc w:val="right"/>
              <w:rPr>
                <w:rFonts w:cs="Arial"/>
                <w:sz w:val="16"/>
                <w:szCs w:val="16"/>
              </w:rPr>
            </w:pPr>
            <w:r w:rsidRPr="00EE5D67">
              <w:rPr>
                <w:rFonts w:cs="Arial"/>
                <w:sz w:val="16"/>
                <w:szCs w:val="16"/>
              </w:rPr>
              <w:t>17 989</w:t>
            </w:r>
          </w:p>
        </w:tc>
        <w:tc>
          <w:tcPr>
            <w:tcW w:w="972" w:type="dxa"/>
            <w:tcBorders>
              <w:top w:val="nil"/>
              <w:left w:val="nil"/>
              <w:bottom w:val="nil"/>
              <w:right w:val="nil"/>
            </w:tcBorders>
            <w:shd w:val="clear" w:color="auto" w:fill="auto"/>
            <w:vAlign w:val="center"/>
            <w:hideMark/>
          </w:tcPr>
          <w:p w14:paraId="55CD1C02" w14:textId="77777777" w:rsidR="00EE5D67" w:rsidRPr="00EE5D67" w:rsidRDefault="00EE5D67" w:rsidP="00EE5D67">
            <w:pPr>
              <w:spacing w:after="0" w:line="240" w:lineRule="auto"/>
              <w:jc w:val="right"/>
              <w:rPr>
                <w:rFonts w:cs="Arial"/>
                <w:sz w:val="16"/>
                <w:szCs w:val="16"/>
              </w:rPr>
            </w:pPr>
            <w:r w:rsidRPr="00EE5D67">
              <w:rPr>
                <w:rFonts w:cs="Arial"/>
                <w:sz w:val="16"/>
                <w:szCs w:val="16"/>
              </w:rPr>
              <w:t>1 855 945</w:t>
            </w:r>
          </w:p>
        </w:tc>
        <w:tc>
          <w:tcPr>
            <w:tcW w:w="972" w:type="dxa"/>
            <w:tcBorders>
              <w:top w:val="nil"/>
              <w:left w:val="nil"/>
              <w:bottom w:val="nil"/>
              <w:right w:val="nil"/>
            </w:tcBorders>
            <w:shd w:val="clear" w:color="auto" w:fill="auto"/>
            <w:vAlign w:val="center"/>
            <w:hideMark/>
          </w:tcPr>
          <w:p w14:paraId="38B86812" w14:textId="77777777" w:rsidR="00EE5D67" w:rsidRPr="00EE5D67" w:rsidRDefault="00EE5D67" w:rsidP="00EE5D67">
            <w:pPr>
              <w:spacing w:after="0" w:line="240" w:lineRule="auto"/>
              <w:jc w:val="right"/>
              <w:rPr>
                <w:rFonts w:cs="Arial"/>
                <w:sz w:val="16"/>
                <w:szCs w:val="16"/>
              </w:rPr>
            </w:pPr>
            <w:r w:rsidRPr="00EE5D67">
              <w:rPr>
                <w:rFonts w:cs="Arial"/>
                <w:sz w:val="16"/>
                <w:szCs w:val="16"/>
              </w:rPr>
              <w:t>x</w:t>
            </w:r>
          </w:p>
        </w:tc>
        <w:tc>
          <w:tcPr>
            <w:tcW w:w="973" w:type="dxa"/>
            <w:tcBorders>
              <w:top w:val="nil"/>
              <w:left w:val="nil"/>
              <w:bottom w:val="nil"/>
              <w:right w:val="single" w:sz="4" w:space="0" w:color="auto"/>
            </w:tcBorders>
            <w:shd w:val="clear" w:color="auto" w:fill="auto"/>
            <w:vAlign w:val="center"/>
            <w:hideMark/>
          </w:tcPr>
          <w:p w14:paraId="157D513C" w14:textId="77777777" w:rsidR="00EE5D67" w:rsidRPr="00EE5D67" w:rsidRDefault="00EE5D67" w:rsidP="00EE5D67">
            <w:pPr>
              <w:spacing w:after="0" w:line="240" w:lineRule="auto"/>
              <w:jc w:val="right"/>
              <w:rPr>
                <w:rFonts w:cs="Arial"/>
                <w:sz w:val="16"/>
                <w:szCs w:val="16"/>
              </w:rPr>
            </w:pPr>
            <w:r w:rsidRPr="00EE5D67">
              <w:rPr>
                <w:rFonts w:cs="Arial"/>
                <w:sz w:val="16"/>
                <w:szCs w:val="16"/>
              </w:rPr>
              <w:t>1 855 945</w:t>
            </w:r>
          </w:p>
        </w:tc>
        <w:tc>
          <w:tcPr>
            <w:tcW w:w="652" w:type="dxa"/>
            <w:tcBorders>
              <w:top w:val="nil"/>
              <w:left w:val="nil"/>
              <w:bottom w:val="nil"/>
              <w:right w:val="nil"/>
            </w:tcBorders>
            <w:shd w:val="clear" w:color="auto" w:fill="auto"/>
            <w:noWrap/>
            <w:vAlign w:val="center"/>
            <w:hideMark/>
          </w:tcPr>
          <w:p w14:paraId="03A22459" w14:textId="77777777" w:rsidR="00EE5D67" w:rsidRPr="00EE5D67" w:rsidRDefault="00EE5D67" w:rsidP="001239A7">
            <w:pPr>
              <w:spacing w:after="0" w:line="240" w:lineRule="auto"/>
              <w:jc w:val="right"/>
              <w:rPr>
                <w:rFonts w:cs="Arial"/>
                <w:sz w:val="16"/>
                <w:szCs w:val="16"/>
              </w:rPr>
            </w:pPr>
            <w:r w:rsidRPr="00EE5D67">
              <w:rPr>
                <w:rFonts w:cs="Arial"/>
                <w:sz w:val="16"/>
                <w:szCs w:val="16"/>
              </w:rPr>
              <w:t>103,17</w:t>
            </w:r>
          </w:p>
        </w:tc>
        <w:tc>
          <w:tcPr>
            <w:tcW w:w="709" w:type="dxa"/>
            <w:tcBorders>
              <w:top w:val="nil"/>
              <w:left w:val="nil"/>
              <w:bottom w:val="nil"/>
              <w:right w:val="nil"/>
            </w:tcBorders>
            <w:shd w:val="clear" w:color="auto" w:fill="auto"/>
            <w:vAlign w:val="center"/>
            <w:hideMark/>
          </w:tcPr>
          <w:p w14:paraId="7E590A9F" w14:textId="77777777" w:rsidR="00EE5D67" w:rsidRPr="00EE5D67" w:rsidRDefault="00EE5D67" w:rsidP="001239A7">
            <w:pPr>
              <w:spacing w:after="0" w:line="240" w:lineRule="auto"/>
              <w:jc w:val="right"/>
              <w:rPr>
                <w:rFonts w:cs="Arial"/>
                <w:sz w:val="16"/>
                <w:szCs w:val="16"/>
              </w:rPr>
            </w:pPr>
            <w:r w:rsidRPr="00EE5D67">
              <w:rPr>
                <w:rFonts w:cs="Arial"/>
                <w:sz w:val="16"/>
                <w:szCs w:val="16"/>
              </w:rPr>
              <w:t>x</w:t>
            </w:r>
          </w:p>
        </w:tc>
        <w:tc>
          <w:tcPr>
            <w:tcW w:w="692" w:type="dxa"/>
            <w:tcBorders>
              <w:top w:val="nil"/>
              <w:left w:val="nil"/>
              <w:bottom w:val="nil"/>
              <w:right w:val="nil"/>
            </w:tcBorders>
            <w:shd w:val="clear" w:color="auto" w:fill="auto"/>
            <w:noWrap/>
            <w:vAlign w:val="center"/>
            <w:hideMark/>
          </w:tcPr>
          <w:p w14:paraId="38F980FB" w14:textId="77777777" w:rsidR="00EE5D67" w:rsidRPr="00EE5D67" w:rsidRDefault="00EE5D67" w:rsidP="001239A7">
            <w:pPr>
              <w:spacing w:after="0" w:line="240" w:lineRule="auto"/>
              <w:jc w:val="right"/>
              <w:rPr>
                <w:rFonts w:cs="Arial"/>
                <w:sz w:val="16"/>
                <w:szCs w:val="16"/>
              </w:rPr>
            </w:pPr>
            <w:r w:rsidRPr="00EE5D67">
              <w:rPr>
                <w:rFonts w:cs="Arial"/>
                <w:sz w:val="16"/>
                <w:szCs w:val="16"/>
              </w:rPr>
              <w:t>103,17</w:t>
            </w:r>
          </w:p>
        </w:tc>
      </w:tr>
      <w:tr w:rsidR="00EE5D67" w:rsidRPr="00EE5D67" w14:paraId="6376C28B"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66871479" w14:textId="0B3A663B" w:rsidR="00EE5D67" w:rsidRPr="00EE5D67" w:rsidRDefault="00EE5D67" w:rsidP="00EE5D67">
            <w:pPr>
              <w:spacing w:after="0" w:line="240" w:lineRule="auto"/>
              <w:rPr>
                <w:rFonts w:cs="Arial"/>
                <w:sz w:val="16"/>
                <w:szCs w:val="16"/>
              </w:rPr>
            </w:pPr>
            <w:r w:rsidRPr="00EE5D67">
              <w:rPr>
                <w:rFonts w:cs="Arial"/>
                <w:sz w:val="16"/>
                <w:szCs w:val="16"/>
              </w:rPr>
              <w:t>Úrazy, otravy</w:t>
            </w:r>
          </w:p>
        </w:tc>
        <w:tc>
          <w:tcPr>
            <w:tcW w:w="972" w:type="dxa"/>
            <w:tcBorders>
              <w:top w:val="nil"/>
              <w:left w:val="single" w:sz="4" w:space="0" w:color="auto"/>
              <w:bottom w:val="nil"/>
              <w:right w:val="nil"/>
            </w:tcBorders>
            <w:shd w:val="clear" w:color="auto" w:fill="auto"/>
            <w:vAlign w:val="center"/>
            <w:hideMark/>
          </w:tcPr>
          <w:p w14:paraId="67296303" w14:textId="77777777" w:rsidR="00EE5D67" w:rsidRPr="00EE5D67" w:rsidRDefault="00EE5D67" w:rsidP="00EE5D67">
            <w:pPr>
              <w:spacing w:after="0" w:line="240" w:lineRule="auto"/>
              <w:jc w:val="right"/>
              <w:rPr>
                <w:rFonts w:cs="Arial"/>
                <w:sz w:val="16"/>
                <w:szCs w:val="16"/>
              </w:rPr>
            </w:pPr>
            <w:r w:rsidRPr="00EE5D67">
              <w:rPr>
                <w:rFonts w:cs="Arial"/>
                <w:sz w:val="16"/>
                <w:szCs w:val="16"/>
              </w:rPr>
              <w:t>95 990</w:t>
            </w:r>
          </w:p>
        </w:tc>
        <w:tc>
          <w:tcPr>
            <w:tcW w:w="857" w:type="dxa"/>
            <w:tcBorders>
              <w:top w:val="nil"/>
              <w:left w:val="nil"/>
              <w:bottom w:val="nil"/>
              <w:right w:val="nil"/>
            </w:tcBorders>
            <w:shd w:val="clear" w:color="auto" w:fill="auto"/>
            <w:vAlign w:val="center"/>
            <w:hideMark/>
          </w:tcPr>
          <w:p w14:paraId="39C84A00" w14:textId="77777777" w:rsidR="00EE5D67" w:rsidRPr="00EE5D67" w:rsidRDefault="00EE5D67" w:rsidP="00EE5D67">
            <w:pPr>
              <w:spacing w:after="0" w:line="240" w:lineRule="auto"/>
              <w:jc w:val="right"/>
              <w:rPr>
                <w:rFonts w:cs="Arial"/>
                <w:sz w:val="16"/>
                <w:szCs w:val="16"/>
              </w:rPr>
            </w:pPr>
            <w:r w:rsidRPr="00EE5D67">
              <w:rPr>
                <w:rFonts w:cs="Arial"/>
                <w:sz w:val="16"/>
                <w:szCs w:val="16"/>
              </w:rPr>
              <w:t>60 530</w:t>
            </w:r>
          </w:p>
        </w:tc>
        <w:tc>
          <w:tcPr>
            <w:tcW w:w="859" w:type="dxa"/>
            <w:tcBorders>
              <w:top w:val="nil"/>
              <w:left w:val="nil"/>
              <w:bottom w:val="nil"/>
              <w:right w:val="single" w:sz="4" w:space="0" w:color="auto"/>
            </w:tcBorders>
            <w:shd w:val="clear" w:color="auto" w:fill="auto"/>
            <w:vAlign w:val="center"/>
            <w:hideMark/>
          </w:tcPr>
          <w:p w14:paraId="53CBA8A8" w14:textId="77777777" w:rsidR="00EE5D67" w:rsidRPr="00EE5D67" w:rsidRDefault="00EE5D67" w:rsidP="00EE5D67">
            <w:pPr>
              <w:spacing w:after="0" w:line="240" w:lineRule="auto"/>
              <w:jc w:val="right"/>
              <w:rPr>
                <w:rFonts w:cs="Arial"/>
                <w:sz w:val="16"/>
                <w:szCs w:val="16"/>
              </w:rPr>
            </w:pPr>
            <w:r w:rsidRPr="00EE5D67">
              <w:rPr>
                <w:rFonts w:cs="Arial"/>
                <w:sz w:val="16"/>
                <w:szCs w:val="16"/>
              </w:rPr>
              <w:t>35 460</w:t>
            </w:r>
          </w:p>
        </w:tc>
        <w:tc>
          <w:tcPr>
            <w:tcW w:w="972" w:type="dxa"/>
            <w:tcBorders>
              <w:top w:val="nil"/>
              <w:left w:val="nil"/>
              <w:bottom w:val="nil"/>
              <w:right w:val="nil"/>
            </w:tcBorders>
            <w:shd w:val="clear" w:color="auto" w:fill="auto"/>
            <w:vAlign w:val="center"/>
            <w:hideMark/>
          </w:tcPr>
          <w:p w14:paraId="471219E2" w14:textId="77777777" w:rsidR="00EE5D67" w:rsidRPr="00EE5D67" w:rsidRDefault="00EE5D67" w:rsidP="00EE5D67">
            <w:pPr>
              <w:spacing w:after="0" w:line="240" w:lineRule="auto"/>
              <w:jc w:val="right"/>
              <w:rPr>
                <w:rFonts w:cs="Arial"/>
                <w:sz w:val="16"/>
                <w:szCs w:val="16"/>
              </w:rPr>
            </w:pPr>
            <w:r w:rsidRPr="00EE5D67">
              <w:rPr>
                <w:rFonts w:cs="Arial"/>
                <w:sz w:val="16"/>
                <w:szCs w:val="16"/>
              </w:rPr>
              <w:t>5 035 145</w:t>
            </w:r>
          </w:p>
        </w:tc>
        <w:tc>
          <w:tcPr>
            <w:tcW w:w="972" w:type="dxa"/>
            <w:tcBorders>
              <w:top w:val="nil"/>
              <w:left w:val="nil"/>
              <w:bottom w:val="nil"/>
              <w:right w:val="nil"/>
            </w:tcBorders>
            <w:shd w:val="clear" w:color="auto" w:fill="auto"/>
            <w:vAlign w:val="center"/>
            <w:hideMark/>
          </w:tcPr>
          <w:p w14:paraId="1C77DFAD" w14:textId="77777777" w:rsidR="00EE5D67" w:rsidRPr="00EE5D67" w:rsidRDefault="00EE5D67" w:rsidP="00EE5D67">
            <w:pPr>
              <w:spacing w:after="0" w:line="240" w:lineRule="auto"/>
              <w:jc w:val="right"/>
              <w:rPr>
                <w:rFonts w:cs="Arial"/>
                <w:sz w:val="16"/>
                <w:szCs w:val="16"/>
              </w:rPr>
            </w:pPr>
            <w:r w:rsidRPr="00EE5D67">
              <w:rPr>
                <w:rFonts w:cs="Arial"/>
                <w:sz w:val="16"/>
                <w:szCs w:val="16"/>
              </w:rPr>
              <w:t>3 114 944</w:t>
            </w:r>
          </w:p>
        </w:tc>
        <w:tc>
          <w:tcPr>
            <w:tcW w:w="973" w:type="dxa"/>
            <w:tcBorders>
              <w:top w:val="nil"/>
              <w:left w:val="nil"/>
              <w:bottom w:val="nil"/>
              <w:right w:val="single" w:sz="4" w:space="0" w:color="auto"/>
            </w:tcBorders>
            <w:shd w:val="clear" w:color="auto" w:fill="auto"/>
            <w:vAlign w:val="center"/>
            <w:hideMark/>
          </w:tcPr>
          <w:p w14:paraId="3DCCAAE4" w14:textId="77777777" w:rsidR="00EE5D67" w:rsidRPr="00EE5D67" w:rsidRDefault="00EE5D67" w:rsidP="00EE5D67">
            <w:pPr>
              <w:spacing w:after="0" w:line="240" w:lineRule="auto"/>
              <w:jc w:val="right"/>
              <w:rPr>
                <w:rFonts w:cs="Arial"/>
                <w:sz w:val="16"/>
                <w:szCs w:val="16"/>
              </w:rPr>
            </w:pPr>
            <w:r w:rsidRPr="00EE5D67">
              <w:rPr>
                <w:rFonts w:cs="Arial"/>
                <w:sz w:val="16"/>
                <w:szCs w:val="16"/>
              </w:rPr>
              <w:t>1 920 201</w:t>
            </w:r>
          </w:p>
        </w:tc>
        <w:tc>
          <w:tcPr>
            <w:tcW w:w="652" w:type="dxa"/>
            <w:tcBorders>
              <w:top w:val="nil"/>
              <w:left w:val="nil"/>
              <w:bottom w:val="nil"/>
              <w:right w:val="nil"/>
            </w:tcBorders>
            <w:shd w:val="clear" w:color="auto" w:fill="auto"/>
            <w:noWrap/>
            <w:vAlign w:val="center"/>
            <w:hideMark/>
          </w:tcPr>
          <w:p w14:paraId="6FC4CBC2" w14:textId="77777777" w:rsidR="00EE5D67" w:rsidRPr="00EE5D67" w:rsidRDefault="00EE5D67" w:rsidP="001239A7">
            <w:pPr>
              <w:spacing w:after="0" w:line="240" w:lineRule="auto"/>
              <w:jc w:val="right"/>
              <w:rPr>
                <w:rFonts w:cs="Arial"/>
                <w:sz w:val="16"/>
                <w:szCs w:val="16"/>
              </w:rPr>
            </w:pPr>
            <w:r w:rsidRPr="00EE5D67">
              <w:rPr>
                <w:rFonts w:cs="Arial"/>
                <w:sz w:val="16"/>
                <w:szCs w:val="16"/>
              </w:rPr>
              <w:t>52,45</w:t>
            </w:r>
          </w:p>
        </w:tc>
        <w:tc>
          <w:tcPr>
            <w:tcW w:w="709" w:type="dxa"/>
            <w:tcBorders>
              <w:top w:val="nil"/>
              <w:left w:val="nil"/>
              <w:bottom w:val="nil"/>
              <w:right w:val="nil"/>
            </w:tcBorders>
            <w:shd w:val="clear" w:color="auto" w:fill="auto"/>
            <w:noWrap/>
            <w:vAlign w:val="center"/>
            <w:hideMark/>
          </w:tcPr>
          <w:p w14:paraId="6BC9D6FF" w14:textId="77777777" w:rsidR="00EE5D67" w:rsidRPr="00EE5D67" w:rsidRDefault="00EE5D67" w:rsidP="001239A7">
            <w:pPr>
              <w:spacing w:after="0" w:line="240" w:lineRule="auto"/>
              <w:jc w:val="right"/>
              <w:rPr>
                <w:rFonts w:cs="Arial"/>
                <w:sz w:val="16"/>
                <w:szCs w:val="16"/>
              </w:rPr>
            </w:pPr>
            <w:r w:rsidRPr="00EE5D67">
              <w:rPr>
                <w:rFonts w:cs="Arial"/>
                <w:sz w:val="16"/>
                <w:szCs w:val="16"/>
              </w:rPr>
              <w:t>51,46</w:t>
            </w:r>
          </w:p>
        </w:tc>
        <w:tc>
          <w:tcPr>
            <w:tcW w:w="692" w:type="dxa"/>
            <w:tcBorders>
              <w:top w:val="nil"/>
              <w:left w:val="nil"/>
              <w:bottom w:val="nil"/>
              <w:right w:val="nil"/>
            </w:tcBorders>
            <w:shd w:val="clear" w:color="auto" w:fill="auto"/>
            <w:noWrap/>
            <w:vAlign w:val="center"/>
            <w:hideMark/>
          </w:tcPr>
          <w:p w14:paraId="3949E8DA" w14:textId="77777777" w:rsidR="00EE5D67" w:rsidRPr="00EE5D67" w:rsidRDefault="00EE5D67" w:rsidP="001239A7">
            <w:pPr>
              <w:spacing w:after="0" w:line="240" w:lineRule="auto"/>
              <w:jc w:val="right"/>
              <w:rPr>
                <w:rFonts w:cs="Arial"/>
                <w:sz w:val="16"/>
                <w:szCs w:val="16"/>
              </w:rPr>
            </w:pPr>
            <w:r w:rsidRPr="00EE5D67">
              <w:rPr>
                <w:rFonts w:cs="Arial"/>
                <w:sz w:val="16"/>
                <w:szCs w:val="16"/>
              </w:rPr>
              <w:t>54,15</w:t>
            </w:r>
          </w:p>
        </w:tc>
      </w:tr>
      <w:tr w:rsidR="00EE5D67" w:rsidRPr="00EE5D67" w14:paraId="31F09E0C"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5E12360C" w14:textId="144B663A" w:rsidR="00EE5D67" w:rsidRPr="00EE5D67" w:rsidRDefault="00EE5D67" w:rsidP="00EE5D67">
            <w:pPr>
              <w:spacing w:after="0" w:line="240" w:lineRule="auto"/>
              <w:rPr>
                <w:rFonts w:cs="Arial"/>
                <w:sz w:val="16"/>
                <w:szCs w:val="16"/>
              </w:rPr>
            </w:pPr>
            <w:r w:rsidRPr="00EE5D67">
              <w:rPr>
                <w:rFonts w:cs="Arial"/>
                <w:sz w:val="16"/>
                <w:szCs w:val="16"/>
              </w:rPr>
              <w:t>Nemoci ostatní (výše neuvedené)</w:t>
            </w:r>
          </w:p>
        </w:tc>
        <w:tc>
          <w:tcPr>
            <w:tcW w:w="972" w:type="dxa"/>
            <w:tcBorders>
              <w:top w:val="nil"/>
              <w:left w:val="single" w:sz="4" w:space="0" w:color="auto"/>
              <w:bottom w:val="nil"/>
              <w:right w:val="nil"/>
            </w:tcBorders>
            <w:shd w:val="clear" w:color="auto" w:fill="auto"/>
            <w:vAlign w:val="center"/>
            <w:hideMark/>
          </w:tcPr>
          <w:p w14:paraId="7BB0453E" w14:textId="77777777" w:rsidR="00EE5D67" w:rsidRPr="00EE5D67" w:rsidRDefault="00EE5D67" w:rsidP="00EE5D67">
            <w:pPr>
              <w:spacing w:after="0" w:line="240" w:lineRule="auto"/>
              <w:jc w:val="right"/>
              <w:rPr>
                <w:rFonts w:cs="Arial"/>
                <w:sz w:val="16"/>
                <w:szCs w:val="16"/>
              </w:rPr>
            </w:pPr>
            <w:r w:rsidRPr="00EE5D67">
              <w:rPr>
                <w:rFonts w:cs="Arial"/>
                <w:sz w:val="16"/>
                <w:szCs w:val="16"/>
              </w:rPr>
              <w:t>82 370</w:t>
            </w:r>
          </w:p>
        </w:tc>
        <w:tc>
          <w:tcPr>
            <w:tcW w:w="857" w:type="dxa"/>
            <w:tcBorders>
              <w:top w:val="nil"/>
              <w:left w:val="nil"/>
              <w:bottom w:val="nil"/>
              <w:right w:val="nil"/>
            </w:tcBorders>
            <w:shd w:val="clear" w:color="auto" w:fill="auto"/>
            <w:vAlign w:val="center"/>
            <w:hideMark/>
          </w:tcPr>
          <w:p w14:paraId="345D6864" w14:textId="77777777" w:rsidR="00EE5D67" w:rsidRPr="00EE5D67" w:rsidRDefault="00EE5D67" w:rsidP="00EE5D67">
            <w:pPr>
              <w:spacing w:after="0" w:line="240" w:lineRule="auto"/>
              <w:jc w:val="right"/>
              <w:rPr>
                <w:rFonts w:cs="Arial"/>
                <w:sz w:val="16"/>
                <w:szCs w:val="16"/>
              </w:rPr>
            </w:pPr>
            <w:r w:rsidRPr="00EE5D67">
              <w:rPr>
                <w:rFonts w:cs="Arial"/>
                <w:sz w:val="16"/>
                <w:szCs w:val="16"/>
              </w:rPr>
              <w:t>32 945</w:t>
            </w:r>
          </w:p>
        </w:tc>
        <w:tc>
          <w:tcPr>
            <w:tcW w:w="859" w:type="dxa"/>
            <w:tcBorders>
              <w:top w:val="nil"/>
              <w:left w:val="nil"/>
              <w:bottom w:val="nil"/>
              <w:right w:val="single" w:sz="4" w:space="0" w:color="auto"/>
            </w:tcBorders>
            <w:shd w:val="clear" w:color="auto" w:fill="auto"/>
            <w:vAlign w:val="center"/>
            <w:hideMark/>
          </w:tcPr>
          <w:p w14:paraId="7E7A8A62" w14:textId="77777777" w:rsidR="00EE5D67" w:rsidRPr="00EE5D67" w:rsidRDefault="00EE5D67" w:rsidP="00EE5D67">
            <w:pPr>
              <w:spacing w:after="0" w:line="240" w:lineRule="auto"/>
              <w:jc w:val="right"/>
              <w:rPr>
                <w:rFonts w:cs="Arial"/>
                <w:sz w:val="16"/>
                <w:szCs w:val="16"/>
              </w:rPr>
            </w:pPr>
            <w:r w:rsidRPr="00EE5D67">
              <w:rPr>
                <w:rFonts w:cs="Arial"/>
                <w:sz w:val="16"/>
                <w:szCs w:val="16"/>
              </w:rPr>
              <w:t>49 425</w:t>
            </w:r>
          </w:p>
        </w:tc>
        <w:tc>
          <w:tcPr>
            <w:tcW w:w="972" w:type="dxa"/>
            <w:tcBorders>
              <w:top w:val="nil"/>
              <w:left w:val="nil"/>
              <w:bottom w:val="nil"/>
              <w:right w:val="nil"/>
            </w:tcBorders>
            <w:shd w:val="clear" w:color="auto" w:fill="auto"/>
            <w:vAlign w:val="center"/>
            <w:hideMark/>
          </w:tcPr>
          <w:p w14:paraId="3E1BCB6F" w14:textId="77777777" w:rsidR="00EE5D67" w:rsidRPr="00EE5D67" w:rsidRDefault="00EE5D67" w:rsidP="00EE5D67">
            <w:pPr>
              <w:spacing w:after="0" w:line="240" w:lineRule="auto"/>
              <w:jc w:val="right"/>
              <w:rPr>
                <w:rFonts w:cs="Arial"/>
                <w:sz w:val="16"/>
                <w:szCs w:val="16"/>
              </w:rPr>
            </w:pPr>
            <w:r w:rsidRPr="00EE5D67">
              <w:rPr>
                <w:rFonts w:cs="Arial"/>
                <w:sz w:val="16"/>
                <w:szCs w:val="16"/>
              </w:rPr>
              <w:t>3 125 348</w:t>
            </w:r>
          </w:p>
        </w:tc>
        <w:tc>
          <w:tcPr>
            <w:tcW w:w="972" w:type="dxa"/>
            <w:tcBorders>
              <w:top w:val="nil"/>
              <w:left w:val="nil"/>
              <w:bottom w:val="nil"/>
              <w:right w:val="nil"/>
            </w:tcBorders>
            <w:shd w:val="clear" w:color="auto" w:fill="auto"/>
            <w:vAlign w:val="center"/>
            <w:hideMark/>
          </w:tcPr>
          <w:p w14:paraId="4B5848A6" w14:textId="77777777" w:rsidR="00EE5D67" w:rsidRPr="00EE5D67" w:rsidRDefault="00EE5D67" w:rsidP="00EE5D67">
            <w:pPr>
              <w:spacing w:after="0" w:line="240" w:lineRule="auto"/>
              <w:jc w:val="right"/>
              <w:rPr>
                <w:rFonts w:cs="Arial"/>
                <w:sz w:val="16"/>
                <w:szCs w:val="16"/>
              </w:rPr>
            </w:pPr>
            <w:r w:rsidRPr="00EE5D67">
              <w:rPr>
                <w:rFonts w:cs="Arial"/>
                <w:sz w:val="16"/>
                <w:szCs w:val="16"/>
              </w:rPr>
              <w:t>995 607</w:t>
            </w:r>
          </w:p>
        </w:tc>
        <w:tc>
          <w:tcPr>
            <w:tcW w:w="973" w:type="dxa"/>
            <w:tcBorders>
              <w:top w:val="nil"/>
              <w:left w:val="nil"/>
              <w:bottom w:val="nil"/>
              <w:right w:val="single" w:sz="4" w:space="0" w:color="auto"/>
            </w:tcBorders>
            <w:shd w:val="clear" w:color="auto" w:fill="auto"/>
            <w:vAlign w:val="center"/>
            <w:hideMark/>
          </w:tcPr>
          <w:p w14:paraId="14E7F4A7" w14:textId="77777777" w:rsidR="00EE5D67" w:rsidRPr="00EE5D67" w:rsidRDefault="00EE5D67" w:rsidP="00EE5D67">
            <w:pPr>
              <w:spacing w:after="0" w:line="240" w:lineRule="auto"/>
              <w:jc w:val="right"/>
              <w:rPr>
                <w:rFonts w:cs="Arial"/>
                <w:sz w:val="16"/>
                <w:szCs w:val="16"/>
              </w:rPr>
            </w:pPr>
            <w:r w:rsidRPr="00EE5D67">
              <w:rPr>
                <w:rFonts w:cs="Arial"/>
                <w:sz w:val="16"/>
                <w:szCs w:val="16"/>
              </w:rPr>
              <w:t>2 129 741</w:t>
            </w:r>
          </w:p>
        </w:tc>
        <w:tc>
          <w:tcPr>
            <w:tcW w:w="652" w:type="dxa"/>
            <w:tcBorders>
              <w:top w:val="nil"/>
              <w:left w:val="nil"/>
              <w:bottom w:val="nil"/>
              <w:right w:val="nil"/>
            </w:tcBorders>
            <w:shd w:val="clear" w:color="auto" w:fill="auto"/>
            <w:noWrap/>
            <w:vAlign w:val="center"/>
            <w:hideMark/>
          </w:tcPr>
          <w:p w14:paraId="21A1772C" w14:textId="77777777" w:rsidR="00EE5D67" w:rsidRPr="00EE5D67" w:rsidRDefault="00EE5D67" w:rsidP="001239A7">
            <w:pPr>
              <w:spacing w:after="0" w:line="240" w:lineRule="auto"/>
              <w:jc w:val="right"/>
              <w:rPr>
                <w:rFonts w:cs="Arial"/>
                <w:sz w:val="16"/>
                <w:szCs w:val="16"/>
              </w:rPr>
            </w:pPr>
            <w:r w:rsidRPr="00EE5D67">
              <w:rPr>
                <w:rFonts w:cs="Arial"/>
                <w:sz w:val="16"/>
                <w:szCs w:val="16"/>
              </w:rPr>
              <w:t>37,94</w:t>
            </w:r>
          </w:p>
        </w:tc>
        <w:tc>
          <w:tcPr>
            <w:tcW w:w="709" w:type="dxa"/>
            <w:tcBorders>
              <w:top w:val="nil"/>
              <w:left w:val="nil"/>
              <w:bottom w:val="nil"/>
              <w:right w:val="nil"/>
            </w:tcBorders>
            <w:shd w:val="clear" w:color="auto" w:fill="auto"/>
            <w:noWrap/>
            <w:vAlign w:val="center"/>
            <w:hideMark/>
          </w:tcPr>
          <w:p w14:paraId="4A6597EB" w14:textId="77777777" w:rsidR="00EE5D67" w:rsidRPr="00EE5D67" w:rsidRDefault="00EE5D67" w:rsidP="001239A7">
            <w:pPr>
              <w:spacing w:after="0" w:line="240" w:lineRule="auto"/>
              <w:jc w:val="right"/>
              <w:rPr>
                <w:rFonts w:cs="Arial"/>
                <w:sz w:val="16"/>
                <w:szCs w:val="16"/>
              </w:rPr>
            </w:pPr>
            <w:r w:rsidRPr="00EE5D67">
              <w:rPr>
                <w:rFonts w:cs="Arial"/>
                <w:sz w:val="16"/>
                <w:szCs w:val="16"/>
              </w:rPr>
              <w:t>30,22</w:t>
            </w:r>
          </w:p>
        </w:tc>
        <w:tc>
          <w:tcPr>
            <w:tcW w:w="692" w:type="dxa"/>
            <w:tcBorders>
              <w:top w:val="nil"/>
              <w:left w:val="nil"/>
              <w:bottom w:val="nil"/>
              <w:right w:val="nil"/>
            </w:tcBorders>
            <w:shd w:val="clear" w:color="auto" w:fill="auto"/>
            <w:noWrap/>
            <w:vAlign w:val="center"/>
            <w:hideMark/>
          </w:tcPr>
          <w:p w14:paraId="3681F068" w14:textId="77777777" w:rsidR="00EE5D67" w:rsidRPr="00EE5D67" w:rsidRDefault="00EE5D67" w:rsidP="001239A7">
            <w:pPr>
              <w:spacing w:after="0" w:line="240" w:lineRule="auto"/>
              <w:jc w:val="right"/>
              <w:rPr>
                <w:rFonts w:cs="Arial"/>
                <w:sz w:val="16"/>
                <w:szCs w:val="16"/>
              </w:rPr>
            </w:pPr>
            <w:r w:rsidRPr="00EE5D67">
              <w:rPr>
                <w:rFonts w:cs="Arial"/>
                <w:sz w:val="16"/>
                <w:szCs w:val="16"/>
              </w:rPr>
              <w:t>43,09</w:t>
            </w:r>
          </w:p>
        </w:tc>
      </w:tr>
    </w:tbl>
    <w:p w14:paraId="18F17C65" w14:textId="76DEF342" w:rsidR="00A22C2E" w:rsidRPr="001338A0" w:rsidRDefault="00003180" w:rsidP="001239A7">
      <w:pPr>
        <w:spacing w:before="120"/>
        <w:jc w:val="both"/>
        <w:rPr>
          <w:rFonts w:cs="Arial"/>
          <w:sz w:val="16"/>
          <w:szCs w:val="16"/>
        </w:rPr>
      </w:pPr>
      <w:r>
        <w:rPr>
          <w:rFonts w:cs="Arial"/>
          <w:sz w:val="16"/>
          <w:szCs w:val="16"/>
        </w:rPr>
        <w:fldChar w:fldCharType="end"/>
      </w:r>
      <w:r w:rsidR="00A22C2E">
        <w:rPr>
          <w:rFonts w:cs="Arial"/>
          <w:sz w:val="16"/>
          <w:szCs w:val="16"/>
        </w:rPr>
        <w:t>Zdroj: ČSSZ</w:t>
      </w:r>
    </w:p>
    <w:p w14:paraId="25992E3E" w14:textId="14C07CBC" w:rsidR="00E65730" w:rsidRDefault="00E65730" w:rsidP="00010EA9">
      <w:pPr>
        <w:spacing w:after="0"/>
        <w:jc w:val="both"/>
        <w:rPr>
          <w:rFonts w:cs="Arial"/>
          <w:szCs w:val="20"/>
        </w:rPr>
      </w:pPr>
      <w:r w:rsidRPr="00840A4D">
        <w:rPr>
          <w:rFonts w:cs="Arial"/>
          <w:b/>
          <w:szCs w:val="20"/>
        </w:rPr>
        <w:lastRenderedPageBreak/>
        <w:t>S</w:t>
      </w:r>
      <w:r w:rsidRPr="009F4826">
        <w:rPr>
          <w:rFonts w:cs="Arial"/>
          <w:b/>
          <w:szCs w:val="20"/>
        </w:rPr>
        <w:t xml:space="preserve"> </w:t>
      </w:r>
      <w:r w:rsidRPr="00840A4D">
        <w:rPr>
          <w:rFonts w:cs="Arial"/>
          <w:b/>
          <w:szCs w:val="20"/>
        </w:rPr>
        <w:t>účinností od</w:t>
      </w:r>
      <w:r w:rsidRPr="009F4826">
        <w:rPr>
          <w:rFonts w:cs="Arial"/>
          <w:b/>
          <w:szCs w:val="20"/>
        </w:rPr>
        <w:t xml:space="preserve"> </w:t>
      </w:r>
      <w:r w:rsidRPr="00840A4D">
        <w:rPr>
          <w:rFonts w:cs="Arial"/>
          <w:b/>
          <w:szCs w:val="20"/>
        </w:rPr>
        <w:t>1. července 2017</w:t>
      </w:r>
      <w:r w:rsidRPr="00840A4D">
        <w:rPr>
          <w:rFonts w:cs="Arial"/>
          <w:szCs w:val="20"/>
        </w:rPr>
        <w:t xml:space="preserve"> vydala náměstkyně pro řízení sekce sociálně pojistných systémů Ministerstva práce a sociálních věcí instrukci č. 9/2017</w:t>
      </w:r>
      <w:r w:rsidR="00244622">
        <w:rPr>
          <w:rFonts w:cs="Arial"/>
          <w:szCs w:val="20"/>
        </w:rPr>
        <w:t xml:space="preserve"> </w:t>
      </w:r>
      <w:r w:rsidRPr="00840A4D">
        <w:rPr>
          <w:rFonts w:cs="Arial"/>
          <w:b/>
          <w:szCs w:val="20"/>
        </w:rPr>
        <w:t>„Standardy délky trvání dočasné pracovní neschopnosti u vybraných diagnóz dle MKN-10“</w:t>
      </w:r>
      <w:r w:rsidRPr="00744EEE">
        <w:rPr>
          <w:rFonts w:cs="Arial"/>
          <w:szCs w:val="20"/>
        </w:rPr>
        <w:t>.</w:t>
      </w:r>
      <w:r w:rsidR="009D1642">
        <w:rPr>
          <w:rFonts w:cs="Arial"/>
          <w:b/>
          <w:szCs w:val="20"/>
        </w:rPr>
        <w:t xml:space="preserve"> </w:t>
      </w:r>
      <w:r w:rsidRPr="00840A4D">
        <w:rPr>
          <w:rFonts w:cs="Arial"/>
          <w:szCs w:val="20"/>
        </w:rPr>
        <w:t>Tato instrukce upravuje doporučené délky trvání jednoho případu dočasné pracovní neschopnosti u nejčastějších diagnóz (příčin dočasné pracovní neschopnosti) v</w:t>
      </w:r>
      <w:r w:rsidR="005A0510">
        <w:rPr>
          <w:rFonts w:cs="Arial"/>
          <w:szCs w:val="20"/>
        </w:rPr>
        <w:t> </w:t>
      </w:r>
      <w:r w:rsidRPr="00840A4D">
        <w:rPr>
          <w:rFonts w:cs="Arial"/>
          <w:szCs w:val="20"/>
        </w:rPr>
        <w:t>případech obvyklých a v případech komplikovaných a měla by vést ke sjednocení pracovních postupů lékařů okresních správ sociálního zabezpečení při provádění kontroly správnosti posuzování zdravotního stavu a</w:t>
      </w:r>
      <w:r w:rsidR="005A0510">
        <w:rPr>
          <w:rFonts w:cs="Arial"/>
          <w:szCs w:val="20"/>
        </w:rPr>
        <w:t> </w:t>
      </w:r>
      <w:r w:rsidRPr="00840A4D">
        <w:rPr>
          <w:rFonts w:cs="Arial"/>
          <w:szCs w:val="20"/>
        </w:rPr>
        <w:t>dočasné pracovní neschopnosti ošetřujícími lékaři pro účely nemocenského pojištění podle zákona č.</w:t>
      </w:r>
      <w:r w:rsidR="00010EA9">
        <w:rPr>
          <w:rFonts w:cs="Arial"/>
          <w:szCs w:val="20"/>
        </w:rPr>
        <w:t> </w:t>
      </w:r>
      <w:r w:rsidRPr="00840A4D">
        <w:rPr>
          <w:rFonts w:cs="Arial"/>
          <w:szCs w:val="20"/>
        </w:rPr>
        <w:t>187/2006 Sb., o nemocenském pojištění, ve znění pozdějších předpisů.</w:t>
      </w:r>
      <w:r>
        <w:rPr>
          <w:rFonts w:cs="Arial"/>
          <w:szCs w:val="20"/>
        </w:rPr>
        <w:t xml:space="preserve"> </w:t>
      </w:r>
    </w:p>
    <w:p w14:paraId="24E20B33" w14:textId="4332FDBC" w:rsidR="00E65730" w:rsidRDefault="00E65730" w:rsidP="00096D05">
      <w:pPr>
        <w:spacing w:before="100" w:beforeAutospacing="1" w:after="100" w:afterAutospacing="1"/>
        <w:jc w:val="both"/>
        <w:rPr>
          <w:rFonts w:cs="Arial"/>
          <w:szCs w:val="20"/>
        </w:rPr>
      </w:pPr>
      <w:r w:rsidRPr="00840A4D">
        <w:rPr>
          <w:rFonts w:cs="Arial"/>
          <w:b/>
          <w:szCs w:val="20"/>
        </w:rPr>
        <w:t>Instrukce nastavuje jednotící pravidla pro posuzování délky trvání dočasné pracovní neschopnosti</w:t>
      </w:r>
      <w:r w:rsidRPr="00840A4D">
        <w:rPr>
          <w:rFonts w:cs="Arial"/>
          <w:szCs w:val="20"/>
        </w:rPr>
        <w:t xml:space="preserve"> u</w:t>
      </w:r>
      <w:r w:rsidR="005A0510">
        <w:rPr>
          <w:rFonts w:cs="Arial"/>
          <w:szCs w:val="20"/>
        </w:rPr>
        <w:t> </w:t>
      </w:r>
      <w:r w:rsidRPr="00840A4D">
        <w:rPr>
          <w:rFonts w:cs="Arial"/>
          <w:szCs w:val="20"/>
        </w:rPr>
        <w:t xml:space="preserve">vybraných diagnóz nemocí a pro provádění kontrol správnosti posuzování zdravotního stavu a dočasné pracovní neschopnosti lékaři okresních správ sociálního zabezpečení u případů, které se oproti stanoveným standardům budou odchylovat. Měla by </w:t>
      </w:r>
      <w:r w:rsidR="00F20F72">
        <w:rPr>
          <w:rFonts w:cs="Arial"/>
          <w:szCs w:val="20"/>
        </w:rPr>
        <w:t>přispívat</w:t>
      </w:r>
      <w:r w:rsidRPr="00840A4D">
        <w:rPr>
          <w:rFonts w:cs="Arial"/>
          <w:szCs w:val="20"/>
        </w:rPr>
        <w:t xml:space="preserve"> ke zvýšení kvality lékařské posudkové činnosti, dále k</w:t>
      </w:r>
      <w:r w:rsidR="005A0510">
        <w:rPr>
          <w:rFonts w:cs="Arial"/>
          <w:szCs w:val="20"/>
        </w:rPr>
        <w:t> </w:t>
      </w:r>
      <w:r w:rsidRPr="00840A4D">
        <w:rPr>
          <w:rFonts w:cs="Arial"/>
          <w:szCs w:val="20"/>
        </w:rPr>
        <w:t>optimalizaci fungování systému nemocenského pojištění a k objektivizaci potřeb systému z hlediska provádění kontrol správnosti posuzování zdravotního stavu a dočasné pracovní neschopnosti ošetřujícími lékaři.</w:t>
      </w:r>
    </w:p>
    <w:p w14:paraId="04C12B88" w14:textId="0CF560F5" w:rsidR="00E65730" w:rsidRPr="00924FE3" w:rsidRDefault="00E65730" w:rsidP="00010EA9">
      <w:pPr>
        <w:spacing w:after="0"/>
        <w:jc w:val="both"/>
        <w:rPr>
          <w:rFonts w:cs="Arial"/>
          <w:szCs w:val="20"/>
        </w:rPr>
      </w:pPr>
      <w:r w:rsidRPr="00924FE3">
        <w:rPr>
          <w:rFonts w:cs="Arial"/>
          <w:b/>
          <w:szCs w:val="20"/>
        </w:rPr>
        <w:t>K jednotlivým diagnózám byla stanovena</w:t>
      </w:r>
      <w:r w:rsidRPr="00C44C5D">
        <w:rPr>
          <w:rFonts w:cs="Arial"/>
          <w:b/>
          <w:szCs w:val="20"/>
        </w:rPr>
        <w:t xml:space="preserve"> </w:t>
      </w:r>
      <w:r w:rsidRPr="00924FE3">
        <w:rPr>
          <w:rFonts w:cs="Arial"/>
          <w:b/>
          <w:szCs w:val="20"/>
        </w:rPr>
        <w:t>doporučení formou</w:t>
      </w:r>
      <w:r w:rsidRPr="00C44C5D">
        <w:rPr>
          <w:rFonts w:cs="Arial"/>
          <w:b/>
          <w:szCs w:val="20"/>
        </w:rPr>
        <w:t xml:space="preserve"> </w:t>
      </w:r>
      <w:r w:rsidRPr="00924FE3">
        <w:rPr>
          <w:rFonts w:cs="Arial"/>
          <w:b/>
          <w:szCs w:val="20"/>
        </w:rPr>
        <w:t xml:space="preserve">tzv. </w:t>
      </w:r>
      <w:r w:rsidRPr="00C44C5D">
        <w:rPr>
          <w:rFonts w:cs="Arial"/>
          <w:b/>
          <w:szCs w:val="20"/>
        </w:rPr>
        <w:t>o</w:t>
      </w:r>
      <w:r w:rsidRPr="00924FE3">
        <w:rPr>
          <w:rFonts w:cs="Arial"/>
          <w:b/>
          <w:szCs w:val="20"/>
        </w:rPr>
        <w:t>ptimální délky</w:t>
      </w:r>
      <w:r w:rsidRPr="00C44C5D">
        <w:rPr>
          <w:rFonts w:cs="Arial"/>
          <w:b/>
          <w:szCs w:val="20"/>
        </w:rPr>
        <w:t xml:space="preserve"> </w:t>
      </w:r>
      <w:r w:rsidRPr="00924FE3">
        <w:rPr>
          <w:rFonts w:cs="Arial"/>
          <w:b/>
          <w:szCs w:val="20"/>
        </w:rPr>
        <w:t xml:space="preserve">trvání dočasné </w:t>
      </w:r>
      <w:r w:rsidRPr="00C44C5D">
        <w:rPr>
          <w:rFonts w:cs="Arial"/>
          <w:b/>
          <w:szCs w:val="20"/>
        </w:rPr>
        <w:t>pr</w:t>
      </w:r>
      <w:r w:rsidRPr="00924FE3">
        <w:rPr>
          <w:rFonts w:cs="Arial"/>
          <w:b/>
          <w:szCs w:val="20"/>
        </w:rPr>
        <w:t>acovní neschopnost</w:t>
      </w:r>
      <w:r w:rsidRPr="00924FE3">
        <w:rPr>
          <w:rFonts w:cs="Arial"/>
          <w:szCs w:val="20"/>
        </w:rPr>
        <w:t>i při obvyklém klinickém průběhu nemoci a tzv.</w:t>
      </w:r>
      <w:r>
        <w:rPr>
          <w:rFonts w:cs="Arial"/>
          <w:szCs w:val="20"/>
        </w:rPr>
        <w:t xml:space="preserve"> </w:t>
      </w:r>
      <w:r w:rsidRPr="00096D05">
        <w:rPr>
          <w:rFonts w:cs="Arial"/>
          <w:b/>
          <w:szCs w:val="20"/>
        </w:rPr>
        <w:t xml:space="preserve">maximální doporučené délky trvání dočasné pracovní neschopnosti </w:t>
      </w:r>
      <w:r w:rsidRPr="00924FE3">
        <w:rPr>
          <w:rFonts w:cs="Arial"/>
          <w:szCs w:val="20"/>
        </w:rPr>
        <w:t>pro případ možných komplikací. Doporučené standardy délky trvání jednoho případu dočasné pracovní neschopnosti v případech obvyklých a v</w:t>
      </w:r>
      <w:r>
        <w:rPr>
          <w:rFonts w:cs="Arial"/>
          <w:szCs w:val="20"/>
        </w:rPr>
        <w:t xml:space="preserve"> </w:t>
      </w:r>
      <w:r w:rsidRPr="00924FE3">
        <w:rPr>
          <w:rFonts w:cs="Arial"/>
          <w:szCs w:val="20"/>
        </w:rPr>
        <w:t xml:space="preserve">případech </w:t>
      </w:r>
      <w:r>
        <w:rPr>
          <w:rFonts w:cs="Arial"/>
          <w:szCs w:val="20"/>
        </w:rPr>
        <w:t>k</w:t>
      </w:r>
      <w:r w:rsidRPr="00924FE3">
        <w:rPr>
          <w:rFonts w:cs="Arial"/>
          <w:szCs w:val="20"/>
        </w:rPr>
        <w:t xml:space="preserve">omplikovaných jsou definovány ve dvou variantách s ohledem na dosavadní pojištěnou činnost dočasně práce neschopného </w:t>
      </w:r>
      <w:r w:rsidR="00096D05">
        <w:rPr>
          <w:rFonts w:cs="Arial"/>
          <w:szCs w:val="20"/>
        </w:rPr>
        <w:t>–</w:t>
      </w:r>
      <w:r w:rsidRPr="00924FE3">
        <w:rPr>
          <w:rFonts w:cs="Arial"/>
          <w:szCs w:val="20"/>
        </w:rPr>
        <w:t xml:space="preserve"> pro duševně pracující a pro fyzicky pracující. </w:t>
      </w:r>
    </w:p>
    <w:p w14:paraId="4A2942A5" w14:textId="03927AAC" w:rsidR="00E65730" w:rsidRDefault="00E65730" w:rsidP="00614C38">
      <w:pPr>
        <w:spacing w:before="100" w:beforeAutospacing="1" w:after="100" w:afterAutospacing="1"/>
        <w:jc w:val="both"/>
        <w:rPr>
          <w:rFonts w:cs="Arial"/>
          <w:szCs w:val="20"/>
        </w:rPr>
      </w:pPr>
      <w:r w:rsidRPr="00840A4D">
        <w:rPr>
          <w:rFonts w:cs="Arial"/>
          <w:szCs w:val="20"/>
        </w:rPr>
        <w:t>Standardy délky trvání dočasné pracovní neschopnosti u vybraných diagnóz dle MKN-10</w:t>
      </w:r>
      <w:r w:rsidRPr="00924FE3">
        <w:rPr>
          <w:rFonts w:cs="Arial"/>
          <w:szCs w:val="20"/>
        </w:rPr>
        <w:t xml:space="preserve"> </w:t>
      </w:r>
      <w:r>
        <w:rPr>
          <w:rFonts w:cs="Arial"/>
          <w:szCs w:val="20"/>
        </w:rPr>
        <w:t xml:space="preserve">k </w:t>
      </w:r>
      <w:r w:rsidRPr="00924FE3">
        <w:rPr>
          <w:rFonts w:cs="Arial"/>
          <w:szCs w:val="20"/>
        </w:rPr>
        <w:t xml:space="preserve">dispozici </w:t>
      </w:r>
      <w:r>
        <w:rPr>
          <w:rFonts w:cs="Arial"/>
          <w:szCs w:val="20"/>
        </w:rPr>
        <w:t xml:space="preserve">zde </w:t>
      </w:r>
      <w:hyperlink r:id="rId36" w:history="1">
        <w:r w:rsidR="008404E1" w:rsidRPr="008404E1">
          <w:rPr>
            <w:rStyle w:val="Hypertextovodkaz"/>
            <w:rFonts w:cs="Arial"/>
            <w:szCs w:val="20"/>
          </w:rPr>
          <w:t>https://www.mpsv.cz/documents/20142/225490/Instrukce_-9_2017-Standardy_delek_DPN.pdf/d5ae2fe1-fc5e-4817-70d2-1c273f54e5a1</w:t>
        </w:r>
      </w:hyperlink>
      <w:r w:rsidR="005F4DD2">
        <w:rPr>
          <w:rStyle w:val="Hypertextovodkaz"/>
          <w:rFonts w:cs="Arial"/>
          <w:szCs w:val="20"/>
        </w:rPr>
        <w:t>.</w:t>
      </w:r>
    </w:p>
    <w:p w14:paraId="77ACE248" w14:textId="38499A74" w:rsidR="00977F2A" w:rsidRDefault="00977F2A" w:rsidP="006701EE">
      <w:pPr>
        <w:pStyle w:val="Nadpis2"/>
        <w:spacing w:after="100"/>
      </w:pPr>
      <w:bookmarkStart w:id="8" w:name="_Toc23318731"/>
      <w:r>
        <w:t>4.4. Výdaje na nemocenské</w:t>
      </w:r>
      <w:bookmarkEnd w:id="8"/>
    </w:p>
    <w:p w14:paraId="2C5D2C32" w14:textId="77777777" w:rsidR="00D96393" w:rsidRDefault="00BA3CED" w:rsidP="00D96393">
      <w:pPr>
        <w:spacing w:after="120"/>
        <w:jc w:val="both"/>
      </w:pPr>
      <w:r w:rsidRPr="00BF0D77">
        <w:rPr>
          <w:b/>
        </w:rPr>
        <w:t>Systém nemocenského pojištění</w:t>
      </w:r>
      <w:r>
        <w:t xml:space="preserve"> je určen pro výdělečně činné osoby, které při ztrátě příjmu v případech krátkodobých sociálních událostí zabezpečuje peněžitými dávkami nemocenského pojištění.</w:t>
      </w:r>
    </w:p>
    <w:p w14:paraId="3B737E2E" w14:textId="3516450D" w:rsidR="00162967" w:rsidRPr="001C3015" w:rsidRDefault="001C3015" w:rsidP="00096D05">
      <w:pPr>
        <w:spacing w:after="120"/>
        <w:jc w:val="both"/>
        <w:rPr>
          <w:szCs w:val="20"/>
        </w:rPr>
      </w:pPr>
      <w:r w:rsidRPr="001C3015">
        <w:rPr>
          <w:szCs w:val="20"/>
        </w:rPr>
        <w:t>Ze systému nemocenského pojištění jsou poskytovány následující dávky:</w:t>
      </w:r>
    </w:p>
    <w:p w14:paraId="7FF6141D" w14:textId="77777777" w:rsidR="00D96393" w:rsidRPr="00D96393" w:rsidRDefault="001C3015" w:rsidP="00D96393">
      <w:pPr>
        <w:pStyle w:val="Default"/>
        <w:numPr>
          <w:ilvl w:val="0"/>
          <w:numId w:val="34"/>
        </w:numPr>
        <w:spacing w:after="60"/>
        <w:ind w:left="714" w:hanging="357"/>
        <w:rPr>
          <w:sz w:val="20"/>
          <w:szCs w:val="20"/>
        </w:rPr>
      </w:pPr>
      <w:r w:rsidRPr="00D96393">
        <w:rPr>
          <w:bCs/>
          <w:sz w:val="20"/>
          <w:szCs w:val="20"/>
        </w:rPr>
        <w:t>Nemocenské</w:t>
      </w:r>
    </w:p>
    <w:p w14:paraId="511F3EF3" w14:textId="4DB3A60D" w:rsidR="001C3015" w:rsidRPr="00D96393" w:rsidRDefault="00A14163" w:rsidP="00D96393">
      <w:pPr>
        <w:pStyle w:val="Default"/>
        <w:numPr>
          <w:ilvl w:val="0"/>
          <w:numId w:val="34"/>
        </w:numPr>
        <w:spacing w:after="60"/>
        <w:ind w:left="714" w:hanging="357"/>
        <w:rPr>
          <w:sz w:val="20"/>
          <w:szCs w:val="20"/>
        </w:rPr>
      </w:pPr>
      <w:r w:rsidRPr="00D96393">
        <w:rPr>
          <w:bCs/>
          <w:sz w:val="20"/>
          <w:szCs w:val="20"/>
        </w:rPr>
        <w:t>P</w:t>
      </w:r>
      <w:r w:rsidR="001C3015" w:rsidRPr="00D96393">
        <w:rPr>
          <w:bCs/>
          <w:sz w:val="20"/>
          <w:szCs w:val="20"/>
        </w:rPr>
        <w:t>eněžitá pomoc v mateřství</w:t>
      </w:r>
    </w:p>
    <w:p w14:paraId="36BEC8EB" w14:textId="77777777" w:rsidR="001C3015" w:rsidRPr="00FA7982" w:rsidRDefault="00A14163" w:rsidP="00D96393">
      <w:pPr>
        <w:pStyle w:val="Default"/>
        <w:numPr>
          <w:ilvl w:val="0"/>
          <w:numId w:val="34"/>
        </w:numPr>
        <w:spacing w:after="60"/>
        <w:ind w:left="714" w:hanging="357"/>
        <w:rPr>
          <w:sz w:val="20"/>
          <w:szCs w:val="20"/>
        </w:rPr>
      </w:pPr>
      <w:r>
        <w:rPr>
          <w:bCs/>
          <w:sz w:val="20"/>
          <w:szCs w:val="20"/>
        </w:rPr>
        <w:t>O</w:t>
      </w:r>
      <w:r w:rsidR="001C3015" w:rsidRPr="00FA7982">
        <w:rPr>
          <w:bCs/>
          <w:sz w:val="20"/>
          <w:szCs w:val="20"/>
        </w:rPr>
        <w:t>šetřovné</w:t>
      </w:r>
    </w:p>
    <w:p w14:paraId="502EB4A4" w14:textId="77777777" w:rsidR="001C3015" w:rsidRPr="00FA7982" w:rsidRDefault="00A14163" w:rsidP="00D96393">
      <w:pPr>
        <w:pStyle w:val="Default"/>
        <w:numPr>
          <w:ilvl w:val="0"/>
          <w:numId w:val="34"/>
        </w:numPr>
        <w:spacing w:after="60"/>
        <w:ind w:left="714" w:hanging="357"/>
        <w:rPr>
          <w:sz w:val="20"/>
          <w:szCs w:val="20"/>
        </w:rPr>
      </w:pPr>
      <w:r>
        <w:rPr>
          <w:bCs/>
          <w:sz w:val="20"/>
          <w:szCs w:val="20"/>
        </w:rPr>
        <w:t>V</w:t>
      </w:r>
      <w:r w:rsidR="001C3015" w:rsidRPr="00FA7982">
        <w:rPr>
          <w:bCs/>
          <w:sz w:val="20"/>
          <w:szCs w:val="20"/>
        </w:rPr>
        <w:t>yrovnávací příspěvek v těhotenství a v mateřství</w:t>
      </w:r>
    </w:p>
    <w:p w14:paraId="36A7BB4C" w14:textId="44FC585D" w:rsidR="00096D05" w:rsidRPr="00096D05" w:rsidRDefault="00A14163" w:rsidP="009C0AB7">
      <w:pPr>
        <w:pStyle w:val="Default"/>
        <w:numPr>
          <w:ilvl w:val="0"/>
          <w:numId w:val="34"/>
        </w:numPr>
        <w:spacing w:after="60"/>
        <w:ind w:left="714" w:hanging="357"/>
        <w:rPr>
          <w:sz w:val="16"/>
          <w:szCs w:val="16"/>
        </w:rPr>
      </w:pPr>
      <w:r w:rsidRPr="00096D05">
        <w:rPr>
          <w:sz w:val="20"/>
          <w:szCs w:val="20"/>
        </w:rPr>
        <w:t>D</w:t>
      </w:r>
      <w:r w:rsidR="001C3015" w:rsidRPr="00096D05">
        <w:rPr>
          <w:sz w:val="20"/>
          <w:szCs w:val="20"/>
        </w:rPr>
        <w:t>ávka otcovské poporodní péče (otcovská)</w:t>
      </w:r>
    </w:p>
    <w:p w14:paraId="206AEC47" w14:textId="1D78998F" w:rsidR="006B18F1" w:rsidRPr="00096D05" w:rsidRDefault="00A14163" w:rsidP="00B3736B">
      <w:pPr>
        <w:pStyle w:val="Default"/>
        <w:numPr>
          <w:ilvl w:val="0"/>
          <w:numId w:val="34"/>
        </w:numPr>
        <w:spacing w:after="173"/>
        <w:ind w:left="714" w:hanging="357"/>
        <w:rPr>
          <w:sz w:val="16"/>
          <w:szCs w:val="16"/>
        </w:rPr>
      </w:pPr>
      <w:r w:rsidRPr="00096D05">
        <w:rPr>
          <w:sz w:val="20"/>
          <w:szCs w:val="20"/>
        </w:rPr>
        <w:t>D</w:t>
      </w:r>
      <w:r w:rsidR="001C3015" w:rsidRPr="00096D05">
        <w:rPr>
          <w:sz w:val="20"/>
          <w:szCs w:val="20"/>
        </w:rPr>
        <w:t>louhodobé ošetřovné</w:t>
      </w:r>
    </w:p>
    <w:p w14:paraId="3730D487" w14:textId="11447B79" w:rsidR="007445BF" w:rsidRDefault="001C3015" w:rsidP="001C3015">
      <w:pPr>
        <w:spacing w:after="0"/>
        <w:jc w:val="both"/>
      </w:pPr>
      <w:r w:rsidRPr="001C3015">
        <w:t>Výše dávek nemocenského pojištění závisí na dosahovaném výdělku, na redukčních hranicích pro redukci denního vyměřovacího základu, na redukci mezi jednotlivými redukčními hranicemi a na procentní sazbě pro jednotlivé dávky.</w:t>
      </w:r>
      <w:r>
        <w:t xml:space="preserve"> </w:t>
      </w:r>
      <w:r w:rsidR="00536482">
        <w:t>Všechny dávky nemocenského pojištění vyplácí okresní správa sociálního zabezpečení a</w:t>
      </w:r>
      <w:r w:rsidR="005A0510">
        <w:t> </w:t>
      </w:r>
      <w:r w:rsidR="00536482">
        <w:t>hradí se ze státního rozpočtu (z příjmů z pojistného). Dávky nemocenského pojištění se vyplácejí za kalendářní dny.</w:t>
      </w:r>
    </w:p>
    <w:p w14:paraId="67560DB7" w14:textId="5BF26BFA" w:rsidR="00977F2A" w:rsidRPr="00F46EA8" w:rsidRDefault="007445BF" w:rsidP="007445BF">
      <w:pPr>
        <w:pStyle w:val="Box1"/>
        <w:jc w:val="both"/>
        <w:rPr>
          <w:i/>
        </w:rPr>
      </w:pPr>
      <w:r>
        <w:rPr>
          <w:b/>
          <w:i/>
        </w:rPr>
        <w:t>Nemocenské</w:t>
      </w:r>
      <w:r w:rsidR="00977F2A" w:rsidRPr="00F46EA8">
        <w:rPr>
          <w:b/>
          <w:i/>
        </w:rPr>
        <w:t xml:space="preserve"> </w:t>
      </w:r>
      <w:r w:rsidR="00977F2A" w:rsidRPr="007445BF">
        <w:rPr>
          <w:i/>
        </w:rPr>
        <w:t xml:space="preserve">– </w:t>
      </w:r>
      <w:r w:rsidR="00536482">
        <w:rPr>
          <w:i/>
        </w:rPr>
        <w:t>je základní peněžitou dávkou systému nemocenského pojištění. Na nemocenské má nárok pojištěnec, který je uznán ošetřujícím lékařem dočasně práce neschopným, a to od 15.</w:t>
      </w:r>
      <w:r w:rsidR="00F77300">
        <w:rPr>
          <w:i/>
        </w:rPr>
        <w:t> </w:t>
      </w:r>
      <w:r w:rsidR="00536482">
        <w:rPr>
          <w:i/>
        </w:rPr>
        <w:t xml:space="preserve">kalendářního dne trvání jeho dočasné pracovní neschopnosti do konce dočasné pracovní neschopnosti, maximálně však </w:t>
      </w:r>
      <w:r w:rsidR="006355CC">
        <w:rPr>
          <w:i/>
        </w:rPr>
        <w:t>380 kalendářních dnů počítaných od vzniku dočasné pracovní neschopnosti</w:t>
      </w:r>
      <w:r w:rsidR="00977F2A" w:rsidRPr="00F46EA8">
        <w:rPr>
          <w:i/>
        </w:rPr>
        <w:t>.</w:t>
      </w:r>
    </w:p>
    <w:p w14:paraId="28A320BB" w14:textId="5798D477" w:rsidR="004B406C" w:rsidRDefault="00541AE1" w:rsidP="004B406C">
      <w:pPr>
        <w:pStyle w:val="Default"/>
        <w:spacing w:line="288" w:lineRule="auto"/>
        <w:jc w:val="both"/>
        <w:rPr>
          <w:rFonts w:eastAsia="Times New Roman" w:cs="Times New Roman"/>
          <w:color w:val="auto"/>
          <w:sz w:val="20"/>
          <w:lang w:eastAsia="cs-CZ"/>
        </w:rPr>
      </w:pPr>
      <w:r w:rsidRPr="006A184B">
        <w:rPr>
          <w:rFonts w:eastAsia="Times New Roman" w:cs="Times New Roman"/>
          <w:b/>
          <w:color w:val="auto"/>
          <w:sz w:val="20"/>
          <w:lang w:eastAsia="cs-CZ"/>
        </w:rPr>
        <w:lastRenderedPageBreak/>
        <w:t>Výdaje na dávky nemocenského</w:t>
      </w:r>
      <w:r w:rsidRPr="0097661C">
        <w:rPr>
          <w:rFonts w:eastAsia="Times New Roman" w:cs="Times New Roman"/>
          <w:color w:val="auto"/>
          <w:sz w:val="20"/>
          <w:lang w:eastAsia="cs-CZ"/>
        </w:rPr>
        <w:t xml:space="preserve"> </w:t>
      </w:r>
      <w:r w:rsidRPr="008D5933">
        <w:rPr>
          <w:rFonts w:eastAsia="Times New Roman" w:cs="Times New Roman"/>
          <w:b/>
          <w:color w:val="auto"/>
          <w:sz w:val="20"/>
          <w:lang w:eastAsia="cs-CZ"/>
        </w:rPr>
        <w:t>pojištění</w:t>
      </w:r>
      <w:r w:rsidRPr="0097661C">
        <w:rPr>
          <w:rFonts w:eastAsia="Times New Roman" w:cs="Times New Roman"/>
          <w:color w:val="auto"/>
          <w:sz w:val="20"/>
          <w:lang w:eastAsia="cs-CZ"/>
        </w:rPr>
        <w:t xml:space="preserve"> </w:t>
      </w:r>
      <w:r w:rsidR="008D5933">
        <w:rPr>
          <w:rFonts w:eastAsia="Times New Roman" w:cs="Times New Roman"/>
          <w:color w:val="auto"/>
          <w:sz w:val="20"/>
          <w:lang w:eastAsia="cs-CZ"/>
        </w:rPr>
        <w:t xml:space="preserve">za leden až červen 2019 </w:t>
      </w:r>
      <w:r w:rsidR="00F2725D">
        <w:rPr>
          <w:rFonts w:eastAsia="Times New Roman" w:cs="Times New Roman"/>
          <w:color w:val="auto"/>
          <w:sz w:val="20"/>
          <w:lang w:eastAsia="cs-CZ"/>
        </w:rPr>
        <w:t xml:space="preserve">činily </w:t>
      </w:r>
      <w:r w:rsidR="00F77300">
        <w:rPr>
          <w:rFonts w:eastAsia="Times New Roman" w:cs="Times New Roman"/>
          <w:color w:val="auto"/>
          <w:sz w:val="20"/>
          <w:lang w:eastAsia="cs-CZ"/>
        </w:rPr>
        <w:t>19,8</w:t>
      </w:r>
      <w:r w:rsidRPr="0097661C">
        <w:rPr>
          <w:rFonts w:eastAsia="Times New Roman" w:cs="Times New Roman"/>
          <w:color w:val="auto"/>
          <w:sz w:val="20"/>
          <w:lang w:eastAsia="cs-CZ"/>
        </w:rPr>
        <w:t xml:space="preserve"> mld. Kč, (tj. </w:t>
      </w:r>
      <w:r w:rsidR="004B406C">
        <w:rPr>
          <w:rFonts w:eastAsia="Times New Roman" w:cs="Times New Roman"/>
          <w:color w:val="auto"/>
          <w:sz w:val="20"/>
          <w:lang w:eastAsia="cs-CZ"/>
        </w:rPr>
        <w:t>54,7</w:t>
      </w:r>
      <w:r w:rsidRPr="0097661C">
        <w:rPr>
          <w:rFonts w:eastAsia="Times New Roman" w:cs="Times New Roman"/>
          <w:color w:val="auto"/>
          <w:sz w:val="20"/>
          <w:lang w:eastAsia="cs-CZ"/>
        </w:rPr>
        <w:t xml:space="preserve"> % čerpání z částky státního rozpočtu </w:t>
      </w:r>
      <w:r w:rsidR="00F20F72">
        <w:rPr>
          <w:rFonts w:eastAsia="Times New Roman" w:cs="Times New Roman"/>
          <w:color w:val="auto"/>
          <w:sz w:val="20"/>
          <w:lang w:eastAsia="cs-CZ"/>
        </w:rPr>
        <w:t xml:space="preserve">na dávky nemocenského pojištění </w:t>
      </w:r>
      <w:r w:rsidR="008D5933">
        <w:rPr>
          <w:rFonts w:eastAsia="Times New Roman" w:cs="Times New Roman"/>
          <w:color w:val="auto"/>
          <w:sz w:val="20"/>
          <w:lang w:eastAsia="cs-CZ"/>
        </w:rPr>
        <w:t>–</w:t>
      </w:r>
      <w:r w:rsidRPr="0097661C">
        <w:rPr>
          <w:rFonts w:eastAsia="Times New Roman" w:cs="Times New Roman"/>
          <w:color w:val="auto"/>
          <w:sz w:val="20"/>
          <w:lang w:eastAsia="cs-CZ"/>
        </w:rPr>
        <w:t xml:space="preserve"> </w:t>
      </w:r>
      <w:r w:rsidR="00F2725D">
        <w:rPr>
          <w:rFonts w:eastAsia="Times New Roman" w:cs="Times New Roman"/>
          <w:color w:val="auto"/>
          <w:sz w:val="20"/>
          <w:lang w:eastAsia="cs-CZ"/>
        </w:rPr>
        <w:t>36</w:t>
      </w:r>
      <w:r w:rsidR="004B406C">
        <w:rPr>
          <w:rFonts w:eastAsia="Times New Roman" w:cs="Times New Roman"/>
          <w:color w:val="auto"/>
          <w:sz w:val="20"/>
          <w:lang w:eastAsia="cs-CZ"/>
        </w:rPr>
        <w:t> 200,0</w:t>
      </w:r>
      <w:r w:rsidRPr="0097661C">
        <w:rPr>
          <w:rFonts w:eastAsia="Times New Roman" w:cs="Times New Roman"/>
          <w:color w:val="auto"/>
          <w:sz w:val="20"/>
          <w:lang w:eastAsia="cs-CZ"/>
        </w:rPr>
        <w:t xml:space="preserve"> mil. Kč). </w:t>
      </w:r>
      <w:r w:rsidR="004B406C">
        <w:rPr>
          <w:rFonts w:eastAsia="Times New Roman" w:cs="Times New Roman"/>
          <w:color w:val="auto"/>
          <w:sz w:val="20"/>
          <w:lang w:eastAsia="cs-CZ"/>
        </w:rPr>
        <w:t xml:space="preserve"> </w:t>
      </w:r>
      <w:r w:rsidR="004B406C" w:rsidRPr="004B406C">
        <w:rPr>
          <w:rFonts w:eastAsia="Times New Roman" w:cs="Times New Roman"/>
          <w:b/>
          <w:color w:val="auto"/>
          <w:sz w:val="20"/>
          <w:lang w:eastAsia="cs-CZ"/>
        </w:rPr>
        <w:t>Meziroční zvýšení</w:t>
      </w:r>
      <w:r w:rsidR="004B406C" w:rsidRPr="004B406C">
        <w:rPr>
          <w:rFonts w:eastAsia="Times New Roman" w:cs="Times New Roman"/>
          <w:color w:val="auto"/>
          <w:sz w:val="20"/>
          <w:lang w:eastAsia="cs-CZ"/>
        </w:rPr>
        <w:t xml:space="preserve"> </w:t>
      </w:r>
      <w:r w:rsidR="004C4C8F" w:rsidRPr="004C4C8F">
        <w:rPr>
          <w:rFonts w:eastAsia="Times New Roman" w:cs="Times New Roman"/>
          <w:b/>
          <w:color w:val="auto"/>
          <w:sz w:val="20"/>
          <w:lang w:eastAsia="cs-CZ"/>
        </w:rPr>
        <w:t>pololetních</w:t>
      </w:r>
      <w:r w:rsidR="004C4C8F">
        <w:rPr>
          <w:rFonts w:eastAsia="Times New Roman" w:cs="Times New Roman"/>
          <w:color w:val="auto"/>
          <w:sz w:val="20"/>
          <w:lang w:eastAsia="cs-CZ"/>
        </w:rPr>
        <w:t xml:space="preserve"> </w:t>
      </w:r>
      <w:r w:rsidR="004B406C" w:rsidRPr="004B406C">
        <w:rPr>
          <w:rFonts w:eastAsia="Times New Roman" w:cs="Times New Roman"/>
          <w:b/>
          <w:color w:val="auto"/>
          <w:sz w:val="20"/>
          <w:lang w:eastAsia="cs-CZ"/>
        </w:rPr>
        <w:t>výdajů</w:t>
      </w:r>
      <w:r w:rsidR="004B406C" w:rsidRPr="004B406C">
        <w:rPr>
          <w:rFonts w:eastAsia="Times New Roman" w:cs="Times New Roman"/>
          <w:color w:val="auto"/>
          <w:sz w:val="20"/>
          <w:lang w:eastAsia="cs-CZ"/>
        </w:rPr>
        <w:t xml:space="preserve"> objemově nejvýznamnější </w:t>
      </w:r>
      <w:r w:rsidR="004B406C" w:rsidRPr="004B406C">
        <w:rPr>
          <w:rFonts w:eastAsia="Times New Roman" w:cs="Times New Roman"/>
          <w:b/>
          <w:color w:val="auto"/>
          <w:sz w:val="20"/>
          <w:lang w:eastAsia="cs-CZ"/>
        </w:rPr>
        <w:t>dávky</w:t>
      </w:r>
      <w:r w:rsidR="004B406C" w:rsidRPr="004B406C">
        <w:rPr>
          <w:rFonts w:eastAsia="Times New Roman" w:cs="Times New Roman"/>
          <w:color w:val="auto"/>
          <w:sz w:val="20"/>
          <w:lang w:eastAsia="cs-CZ"/>
        </w:rPr>
        <w:t xml:space="preserve"> systému – </w:t>
      </w:r>
      <w:r w:rsidR="004B406C" w:rsidRPr="004B406C">
        <w:rPr>
          <w:rFonts w:eastAsia="Times New Roman" w:cs="Times New Roman"/>
          <w:b/>
          <w:color w:val="auto"/>
          <w:sz w:val="20"/>
          <w:lang w:eastAsia="cs-CZ"/>
        </w:rPr>
        <w:t>nemocenského</w:t>
      </w:r>
      <w:r w:rsidR="004B406C" w:rsidRPr="004B406C">
        <w:rPr>
          <w:rFonts w:eastAsia="Times New Roman" w:cs="Times New Roman"/>
          <w:color w:val="auto"/>
          <w:sz w:val="20"/>
          <w:lang w:eastAsia="cs-CZ"/>
        </w:rPr>
        <w:t xml:space="preserve"> (o </w:t>
      </w:r>
      <w:r w:rsidR="004C4C8F">
        <w:rPr>
          <w:rFonts w:eastAsia="Times New Roman" w:cs="Times New Roman"/>
          <w:color w:val="auto"/>
          <w:sz w:val="20"/>
          <w:lang w:eastAsia="cs-CZ"/>
        </w:rPr>
        <w:t>2,2 mld.</w:t>
      </w:r>
      <w:r w:rsidR="004B406C" w:rsidRPr="004B406C">
        <w:rPr>
          <w:rFonts w:eastAsia="Times New Roman" w:cs="Times New Roman"/>
          <w:color w:val="auto"/>
          <w:sz w:val="20"/>
          <w:lang w:eastAsia="cs-CZ"/>
        </w:rPr>
        <w:t xml:space="preserve"> Kč, tj. o </w:t>
      </w:r>
      <w:r w:rsidR="004C4C8F">
        <w:rPr>
          <w:rFonts w:eastAsia="Times New Roman" w:cs="Times New Roman"/>
          <w:color w:val="auto"/>
          <w:sz w:val="20"/>
          <w:lang w:eastAsia="cs-CZ"/>
        </w:rPr>
        <w:t>15,</w:t>
      </w:r>
      <w:r w:rsidR="005F60A2">
        <w:rPr>
          <w:rFonts w:eastAsia="Times New Roman" w:cs="Times New Roman"/>
          <w:color w:val="auto"/>
          <w:sz w:val="20"/>
          <w:lang w:eastAsia="cs-CZ"/>
        </w:rPr>
        <w:t>8</w:t>
      </w:r>
      <w:r w:rsidR="004B406C" w:rsidRPr="004B406C">
        <w:rPr>
          <w:rFonts w:eastAsia="Times New Roman" w:cs="Times New Roman"/>
          <w:color w:val="auto"/>
          <w:sz w:val="20"/>
          <w:lang w:eastAsia="cs-CZ"/>
        </w:rPr>
        <w:t xml:space="preserve"> %) </w:t>
      </w:r>
      <w:r w:rsidR="004B406C">
        <w:rPr>
          <w:rFonts w:eastAsia="Times New Roman" w:cs="Times New Roman"/>
          <w:color w:val="auto"/>
          <w:sz w:val="20"/>
          <w:lang w:eastAsia="cs-CZ"/>
        </w:rPr>
        <w:t>–</w:t>
      </w:r>
      <w:r w:rsidR="004B406C" w:rsidRPr="004B406C">
        <w:rPr>
          <w:rFonts w:eastAsia="Times New Roman" w:cs="Times New Roman"/>
          <w:color w:val="auto"/>
          <w:sz w:val="20"/>
          <w:lang w:eastAsia="cs-CZ"/>
        </w:rPr>
        <w:t xml:space="preserve"> souviselo zejména s nárůstem počtu proplacených dnů a s nárůstem výše průměrné denní dávky nemocenského. </w:t>
      </w:r>
      <w:r w:rsidR="004C4C8F" w:rsidRPr="004C4C8F">
        <w:rPr>
          <w:rFonts w:eastAsia="Times New Roman" w:cs="Times New Roman"/>
          <w:b/>
          <w:color w:val="auto"/>
          <w:sz w:val="20"/>
          <w:lang w:eastAsia="cs-CZ"/>
        </w:rPr>
        <w:t>P</w:t>
      </w:r>
      <w:r w:rsidR="004B406C" w:rsidRPr="004C4C8F">
        <w:rPr>
          <w:rFonts w:eastAsia="Times New Roman" w:cs="Times New Roman"/>
          <w:b/>
          <w:color w:val="auto"/>
          <w:sz w:val="20"/>
          <w:lang w:eastAsia="cs-CZ"/>
        </w:rPr>
        <w:t>růměrn</w:t>
      </w:r>
      <w:r w:rsidR="004C4C8F" w:rsidRPr="004C4C8F">
        <w:rPr>
          <w:rFonts w:eastAsia="Times New Roman" w:cs="Times New Roman"/>
          <w:b/>
          <w:color w:val="auto"/>
          <w:sz w:val="20"/>
          <w:lang w:eastAsia="cs-CZ"/>
        </w:rPr>
        <w:t>á</w:t>
      </w:r>
      <w:r w:rsidR="004B406C" w:rsidRPr="004B406C">
        <w:rPr>
          <w:rFonts w:eastAsia="Times New Roman" w:cs="Times New Roman"/>
          <w:b/>
          <w:color w:val="auto"/>
          <w:sz w:val="20"/>
          <w:lang w:eastAsia="cs-CZ"/>
        </w:rPr>
        <w:t xml:space="preserve"> denní dávk</w:t>
      </w:r>
      <w:r w:rsidR="004C4C8F">
        <w:rPr>
          <w:rFonts w:eastAsia="Times New Roman" w:cs="Times New Roman"/>
          <w:b/>
          <w:color w:val="auto"/>
          <w:sz w:val="20"/>
          <w:lang w:eastAsia="cs-CZ"/>
        </w:rPr>
        <w:t>a</w:t>
      </w:r>
      <w:r w:rsidR="004B406C" w:rsidRPr="004B406C">
        <w:rPr>
          <w:rFonts w:eastAsia="Times New Roman" w:cs="Times New Roman"/>
          <w:b/>
          <w:color w:val="auto"/>
          <w:sz w:val="20"/>
          <w:lang w:eastAsia="cs-CZ"/>
        </w:rPr>
        <w:t xml:space="preserve"> nemocenského</w:t>
      </w:r>
      <w:r w:rsidR="004B406C" w:rsidRPr="004B406C">
        <w:rPr>
          <w:rFonts w:eastAsia="Times New Roman" w:cs="Times New Roman"/>
          <w:color w:val="auto"/>
          <w:sz w:val="20"/>
          <w:lang w:eastAsia="cs-CZ"/>
        </w:rPr>
        <w:t xml:space="preserve"> </w:t>
      </w:r>
      <w:r w:rsidR="004C4C8F">
        <w:rPr>
          <w:rFonts w:eastAsia="Times New Roman" w:cs="Times New Roman"/>
          <w:color w:val="auto"/>
          <w:sz w:val="20"/>
          <w:lang w:eastAsia="cs-CZ"/>
        </w:rPr>
        <w:t xml:space="preserve">činila </w:t>
      </w:r>
      <w:r w:rsidR="004B406C" w:rsidRPr="004B406C">
        <w:rPr>
          <w:rFonts w:eastAsia="Times New Roman" w:cs="Times New Roman"/>
          <w:color w:val="auto"/>
          <w:sz w:val="20"/>
          <w:lang w:eastAsia="cs-CZ"/>
        </w:rPr>
        <w:t>493 Kč.</w:t>
      </w:r>
    </w:p>
    <w:p w14:paraId="5CD79A2A" w14:textId="77777777" w:rsidR="004B406C" w:rsidRPr="004B406C" w:rsidRDefault="004B406C" w:rsidP="004B406C">
      <w:pPr>
        <w:pStyle w:val="Default"/>
        <w:spacing w:line="288" w:lineRule="auto"/>
        <w:jc w:val="both"/>
        <w:rPr>
          <w:rFonts w:eastAsia="Times New Roman" w:cs="Times New Roman"/>
          <w:color w:val="auto"/>
          <w:sz w:val="20"/>
          <w:lang w:eastAsia="cs-CZ"/>
        </w:rPr>
      </w:pPr>
    </w:p>
    <w:p w14:paraId="19C93F4F" w14:textId="5ACAEEB0" w:rsidR="006A184B" w:rsidRDefault="00063B7E" w:rsidP="008D5933">
      <w:pPr>
        <w:spacing w:after="0"/>
        <w:jc w:val="both"/>
      </w:pPr>
      <w:r w:rsidRPr="003738AC">
        <w:rPr>
          <w:b/>
        </w:rPr>
        <w:t>K</w:t>
      </w:r>
      <w:r w:rsidR="00FA7982" w:rsidRPr="003738AC">
        <w:rPr>
          <w:b/>
        </w:rPr>
        <w:t xml:space="preserve"> nejvýznamnějším </w:t>
      </w:r>
      <w:r w:rsidRPr="003738AC">
        <w:rPr>
          <w:b/>
        </w:rPr>
        <w:t>změnám v úrovni výdajů na nemocenské došlo v roce 2009</w:t>
      </w:r>
      <w:r>
        <w:t xml:space="preserve"> v souvislosti s již zmiňovanou legislativní úpravou nemocenského pojištění. </w:t>
      </w:r>
      <w:r w:rsidR="004E09AC">
        <w:t>Novela zákona</w:t>
      </w:r>
      <w:r>
        <w:t xml:space="preserve"> o nemocenském pojištění znatelně snížil</w:t>
      </w:r>
      <w:r w:rsidR="004E09AC">
        <w:t>a</w:t>
      </w:r>
      <w:r>
        <w:t xml:space="preserve"> výši dávek nemocenského pojištění a zejména stanovil</w:t>
      </w:r>
      <w:r w:rsidR="004E09AC">
        <w:t>a</w:t>
      </w:r>
      <w:r>
        <w:t>, že po dobu prvních 14 dnů pracovní neschopnosti je zaměstnanec zabezpečen náhradou mzdy nebo platu, kterou mu poskytuje zaměstnavatel (s</w:t>
      </w:r>
      <w:r w:rsidR="005A0510">
        <w:t> </w:t>
      </w:r>
      <w:r>
        <w:t>výjimkou prvních 3 pracovních dnů</w:t>
      </w:r>
      <w:r w:rsidR="003A3529">
        <w:rPr>
          <w:rStyle w:val="Znakapoznpodarou"/>
        </w:rPr>
        <w:footnoteReference w:id="4"/>
      </w:r>
      <w:r>
        <w:t xml:space="preserve">). Poskytování náhrady mzdy nebo platu zaměstnavatelem bylo přijetím úsporných opatření v letech 2011 až 2013 dočasně prodlouženo z prvních 14 na 21 dnů pracovní neschopnosti. V důsledku těchto legislativních změn došlo k rapidnímu poklesu nemocnosti, což rovněž mělo vliv </w:t>
      </w:r>
      <w:r w:rsidR="008D5933">
        <w:t>na pokles výdajů na nemocenské.</w:t>
      </w:r>
    </w:p>
    <w:p w14:paraId="1AF5934A" w14:textId="77777777" w:rsidR="008D5933" w:rsidRDefault="008D5933" w:rsidP="008D5933">
      <w:pPr>
        <w:spacing w:after="0"/>
        <w:jc w:val="both"/>
      </w:pPr>
    </w:p>
    <w:p w14:paraId="588E6768" w14:textId="130A1B06" w:rsidR="004247C0" w:rsidRDefault="00E61425" w:rsidP="00BC21EC">
      <w:pPr>
        <w:spacing w:after="0"/>
        <w:jc w:val="both"/>
      </w:pPr>
      <w:r w:rsidRPr="00115F62">
        <w:t>V</w:t>
      </w:r>
      <w:r w:rsidRPr="0005148A">
        <w:t xml:space="preserve"> </w:t>
      </w:r>
      <w:r w:rsidRPr="00115F62">
        <w:t>roce 2017</w:t>
      </w:r>
      <w:r w:rsidRPr="0005148A">
        <w:t xml:space="preserve"> </w:t>
      </w:r>
      <w:r w:rsidRPr="0026772B">
        <w:rPr>
          <w:b/>
        </w:rPr>
        <w:t>bylo přijato několik významných legislativních opatření</w:t>
      </w:r>
      <w:r w:rsidRPr="00115F62">
        <w:t xml:space="preserve"> v</w:t>
      </w:r>
      <w:r w:rsidRPr="0005148A">
        <w:t xml:space="preserve"> </w:t>
      </w:r>
      <w:r w:rsidRPr="00115F62">
        <w:t xml:space="preserve">oblasti nemocenského pojištění, </w:t>
      </w:r>
      <w:r w:rsidR="00602D0B" w:rsidRPr="0026772B">
        <w:rPr>
          <w:b/>
        </w:rPr>
        <w:t>s účinností od roku 2018</w:t>
      </w:r>
      <w:r w:rsidR="00602D0B">
        <w:t xml:space="preserve">, </w:t>
      </w:r>
      <w:r w:rsidR="003A3529">
        <w:t>mající vliv na</w:t>
      </w:r>
      <w:r w:rsidRPr="00115F62">
        <w:t xml:space="preserve"> jeho finanční bilanci.</w:t>
      </w:r>
      <w:r>
        <w:t xml:space="preserve"> </w:t>
      </w:r>
      <w:r w:rsidRPr="00115F62">
        <w:t>Jedná se o</w:t>
      </w:r>
      <w:r w:rsidRPr="0005148A">
        <w:t xml:space="preserve"> </w:t>
      </w:r>
      <w:r w:rsidRPr="0026772B">
        <w:rPr>
          <w:b/>
        </w:rPr>
        <w:t>zvýšení nemocenského od 31.</w:t>
      </w:r>
      <w:r w:rsidR="005A0510">
        <w:rPr>
          <w:b/>
        </w:rPr>
        <w:t> </w:t>
      </w:r>
      <w:r w:rsidRPr="0026772B">
        <w:rPr>
          <w:b/>
        </w:rPr>
        <w:t>kalendářního dne DPN</w:t>
      </w:r>
      <w:r w:rsidRPr="0005148A">
        <w:t xml:space="preserve"> </w:t>
      </w:r>
      <w:r w:rsidRPr="00115F62">
        <w:t>nebo karantény z</w:t>
      </w:r>
      <w:r w:rsidR="004C4C8F">
        <w:t> </w:t>
      </w:r>
      <w:r w:rsidRPr="00115F62">
        <w:t>60</w:t>
      </w:r>
      <w:r w:rsidR="004C4C8F">
        <w:t xml:space="preserve"> </w:t>
      </w:r>
      <w:r w:rsidRPr="00115F62">
        <w:t>% na 66</w:t>
      </w:r>
      <w:r w:rsidR="004C4C8F">
        <w:t xml:space="preserve"> </w:t>
      </w:r>
      <w:r w:rsidRPr="00115F62">
        <w:t>% redukovaného</w:t>
      </w:r>
      <w:r w:rsidRPr="0005148A">
        <w:t xml:space="preserve"> </w:t>
      </w:r>
      <w:r w:rsidRPr="00115F62">
        <w:t>denního vyměřovacího základu</w:t>
      </w:r>
      <w:r w:rsidRPr="0005148A">
        <w:t xml:space="preserve"> </w:t>
      </w:r>
      <w:r w:rsidRPr="00115F62">
        <w:t>a</w:t>
      </w:r>
      <w:r w:rsidR="005A0510">
        <w:t> </w:t>
      </w:r>
      <w:r w:rsidRPr="003A3529">
        <w:rPr>
          <w:b/>
        </w:rPr>
        <w:t>od 61. kalendářního dne DPN</w:t>
      </w:r>
      <w:r>
        <w:t xml:space="preserve"> </w:t>
      </w:r>
      <w:r w:rsidRPr="00115F62">
        <w:t>nebo karantény na 72 % redukovaného denního vyměřovacího základu s</w:t>
      </w:r>
      <w:r w:rsidR="005A0510">
        <w:t> </w:t>
      </w:r>
      <w:r w:rsidRPr="00115F62">
        <w:t>účinností od</w:t>
      </w:r>
      <w:r w:rsidRPr="0005148A">
        <w:t xml:space="preserve"> </w:t>
      </w:r>
      <w:r w:rsidRPr="00115F62">
        <w:t>1. ledna 2018 a dále o</w:t>
      </w:r>
      <w:r w:rsidRPr="0005148A">
        <w:t xml:space="preserve"> </w:t>
      </w:r>
      <w:r w:rsidRPr="00115F62">
        <w:t>rozšíření okruhu dávek poskytovaných z</w:t>
      </w:r>
      <w:r w:rsidRPr="0005148A">
        <w:t xml:space="preserve"> </w:t>
      </w:r>
      <w:r w:rsidRPr="00115F62">
        <w:t>nemocenského pojištění o</w:t>
      </w:r>
      <w:r w:rsidR="005A0510">
        <w:t> </w:t>
      </w:r>
      <w:r w:rsidRPr="00115F62">
        <w:t>nov</w:t>
      </w:r>
      <w:r w:rsidR="00F20F72">
        <w:t>é</w:t>
      </w:r>
      <w:r w:rsidRPr="00115F62">
        <w:t xml:space="preserve"> dávk</w:t>
      </w:r>
      <w:r w:rsidR="00F20F72">
        <w:t>y –</w:t>
      </w:r>
      <w:r w:rsidRPr="00115F62">
        <w:t xml:space="preserve"> otcovsk</w:t>
      </w:r>
      <w:r w:rsidR="00F20F72">
        <w:t>á</w:t>
      </w:r>
      <w:r w:rsidRPr="00115F62">
        <w:t xml:space="preserve"> poporodní péče (dále jen „otcovská“)</w:t>
      </w:r>
      <w:r w:rsidRPr="0005148A">
        <w:t xml:space="preserve"> </w:t>
      </w:r>
      <w:r w:rsidRPr="00115F62">
        <w:t>s</w:t>
      </w:r>
      <w:r>
        <w:t> </w:t>
      </w:r>
      <w:r w:rsidRPr="00115F62">
        <w:t>účinností</w:t>
      </w:r>
      <w:r>
        <w:t xml:space="preserve"> </w:t>
      </w:r>
      <w:r w:rsidRPr="00115F62">
        <w:t>od 1.</w:t>
      </w:r>
      <w:r w:rsidRPr="0005148A">
        <w:t xml:space="preserve"> </w:t>
      </w:r>
      <w:r w:rsidRPr="00115F62">
        <w:t>února 2018 a dlouhodobé</w:t>
      </w:r>
      <w:r w:rsidRPr="0005148A">
        <w:t xml:space="preserve"> </w:t>
      </w:r>
      <w:r w:rsidRPr="00115F62">
        <w:t>ošetřovné s</w:t>
      </w:r>
      <w:r w:rsidRPr="0005148A">
        <w:t xml:space="preserve"> </w:t>
      </w:r>
      <w:r w:rsidRPr="00115F62">
        <w:t>účinností od 1. června 2018</w:t>
      </w:r>
      <w:r>
        <w:t xml:space="preserve">. </w:t>
      </w:r>
    </w:p>
    <w:p w14:paraId="6A21D2FA" w14:textId="77777777" w:rsidR="00BC21EC" w:rsidRDefault="00BC21EC" w:rsidP="00BC21EC">
      <w:pPr>
        <w:spacing w:after="0"/>
        <w:jc w:val="both"/>
      </w:pPr>
    </w:p>
    <w:p w14:paraId="2D8C64AA" w14:textId="6BFEE6B5" w:rsidR="003275BA" w:rsidRDefault="003275BA" w:rsidP="0019246C">
      <w:pPr>
        <w:spacing w:after="120"/>
        <w:jc w:val="both"/>
        <w:rPr>
          <w:b/>
        </w:rPr>
      </w:pPr>
      <w:r w:rsidRPr="003275BA">
        <w:rPr>
          <w:b/>
        </w:rPr>
        <w:t>Tab. 4.1</w:t>
      </w:r>
      <w:r>
        <w:rPr>
          <w:b/>
        </w:rPr>
        <w:t xml:space="preserve">: </w:t>
      </w:r>
      <w:r w:rsidRPr="003275BA">
        <w:rPr>
          <w:b/>
        </w:rPr>
        <w:t>Výdaje na dávky nemocenského pojištěn</w:t>
      </w:r>
      <w:r w:rsidR="004C4C8F">
        <w:rPr>
          <w:b/>
        </w:rPr>
        <w:t>í v 1. pol. 2008 – 1. pol. 2019</w:t>
      </w:r>
    </w:p>
    <w:tbl>
      <w:tblPr>
        <w:tblW w:w="9491" w:type="dxa"/>
        <w:tblCellMar>
          <w:left w:w="70" w:type="dxa"/>
          <w:right w:w="70" w:type="dxa"/>
        </w:tblCellMar>
        <w:tblLook w:val="04A0" w:firstRow="1" w:lastRow="0" w:firstColumn="1" w:lastColumn="0" w:noHBand="0" w:noVBand="1"/>
      </w:tblPr>
      <w:tblGrid>
        <w:gridCol w:w="2529"/>
        <w:gridCol w:w="583"/>
        <w:gridCol w:w="580"/>
        <w:gridCol w:w="581"/>
        <w:gridCol w:w="580"/>
        <w:gridCol w:w="581"/>
        <w:gridCol w:w="579"/>
        <w:gridCol w:w="579"/>
        <w:gridCol w:w="579"/>
        <w:gridCol w:w="579"/>
        <w:gridCol w:w="579"/>
        <w:gridCol w:w="630"/>
        <w:gridCol w:w="583"/>
      </w:tblGrid>
      <w:tr w:rsidR="003275BA" w:rsidRPr="003275BA" w14:paraId="483CB2B3" w14:textId="77777777" w:rsidTr="004C4C8F">
        <w:trPr>
          <w:trHeight w:val="283"/>
        </w:trPr>
        <w:tc>
          <w:tcPr>
            <w:tcW w:w="2529" w:type="dxa"/>
            <w:vMerge w:val="restart"/>
            <w:tcBorders>
              <w:top w:val="single" w:sz="4" w:space="0" w:color="auto"/>
              <w:left w:val="nil"/>
              <w:bottom w:val="single" w:sz="4" w:space="0" w:color="000000"/>
              <w:right w:val="nil"/>
            </w:tcBorders>
            <w:shd w:val="clear" w:color="000000" w:fill="F5DADD"/>
            <w:vAlign w:val="center"/>
            <w:hideMark/>
          </w:tcPr>
          <w:p w14:paraId="065B25CC" w14:textId="77777777" w:rsidR="003275BA" w:rsidRPr="003275BA" w:rsidRDefault="003275BA" w:rsidP="003275BA">
            <w:pPr>
              <w:spacing w:after="0" w:line="240" w:lineRule="auto"/>
              <w:jc w:val="center"/>
              <w:rPr>
                <w:rFonts w:cs="Arial"/>
                <w:sz w:val="16"/>
                <w:szCs w:val="16"/>
              </w:rPr>
            </w:pPr>
            <w:r w:rsidRPr="003275BA">
              <w:rPr>
                <w:rFonts w:cs="Arial"/>
                <w:sz w:val="16"/>
                <w:szCs w:val="16"/>
              </w:rPr>
              <w:t>Druh dávky</w:t>
            </w:r>
          </w:p>
        </w:tc>
        <w:tc>
          <w:tcPr>
            <w:tcW w:w="6962" w:type="dxa"/>
            <w:gridSpan w:val="12"/>
            <w:tcBorders>
              <w:top w:val="single" w:sz="4" w:space="0" w:color="auto"/>
              <w:left w:val="single" w:sz="4" w:space="0" w:color="auto"/>
              <w:bottom w:val="single" w:sz="4" w:space="0" w:color="auto"/>
              <w:right w:val="nil"/>
            </w:tcBorders>
            <w:shd w:val="clear" w:color="000000" w:fill="F5DADD"/>
            <w:vAlign w:val="center"/>
            <w:hideMark/>
          </w:tcPr>
          <w:p w14:paraId="71C5B1A3" w14:textId="77777777" w:rsidR="003275BA" w:rsidRPr="003275BA" w:rsidRDefault="003275BA" w:rsidP="004C4C8F">
            <w:pPr>
              <w:spacing w:after="0" w:line="240" w:lineRule="auto"/>
              <w:jc w:val="center"/>
              <w:rPr>
                <w:rFonts w:cs="Arial"/>
                <w:sz w:val="16"/>
                <w:szCs w:val="16"/>
              </w:rPr>
            </w:pPr>
            <w:r w:rsidRPr="003275BA">
              <w:rPr>
                <w:rFonts w:cs="Arial"/>
                <w:sz w:val="16"/>
                <w:szCs w:val="16"/>
              </w:rPr>
              <w:t>Výdaje na dávky nemocenského pojištění v mld. Kč</w:t>
            </w:r>
          </w:p>
        </w:tc>
      </w:tr>
      <w:tr w:rsidR="003275BA" w:rsidRPr="003275BA" w14:paraId="084B2026" w14:textId="77777777" w:rsidTr="003275BA">
        <w:trPr>
          <w:trHeight w:val="510"/>
        </w:trPr>
        <w:tc>
          <w:tcPr>
            <w:tcW w:w="2529" w:type="dxa"/>
            <w:vMerge/>
            <w:tcBorders>
              <w:top w:val="single" w:sz="4" w:space="0" w:color="auto"/>
              <w:left w:val="nil"/>
              <w:bottom w:val="single" w:sz="4" w:space="0" w:color="000000"/>
              <w:right w:val="nil"/>
            </w:tcBorders>
            <w:vAlign w:val="center"/>
            <w:hideMark/>
          </w:tcPr>
          <w:p w14:paraId="5BA059DD" w14:textId="77777777" w:rsidR="003275BA" w:rsidRPr="003275BA" w:rsidRDefault="003275BA" w:rsidP="003275BA">
            <w:pPr>
              <w:spacing w:after="0" w:line="240" w:lineRule="auto"/>
              <w:rPr>
                <w:rFonts w:cs="Arial"/>
                <w:sz w:val="16"/>
                <w:szCs w:val="16"/>
              </w:rPr>
            </w:pPr>
          </w:p>
        </w:tc>
        <w:tc>
          <w:tcPr>
            <w:tcW w:w="583" w:type="dxa"/>
            <w:tcBorders>
              <w:top w:val="nil"/>
              <w:left w:val="single" w:sz="4" w:space="0" w:color="auto"/>
              <w:bottom w:val="single" w:sz="4" w:space="0" w:color="auto"/>
              <w:right w:val="nil"/>
            </w:tcBorders>
            <w:shd w:val="clear" w:color="000000" w:fill="F5DADD"/>
            <w:vAlign w:val="center"/>
            <w:hideMark/>
          </w:tcPr>
          <w:p w14:paraId="31A44F26" w14:textId="77777777" w:rsidR="003275BA" w:rsidRPr="003275BA" w:rsidRDefault="003275BA" w:rsidP="003275BA">
            <w:pPr>
              <w:spacing w:after="0" w:line="240" w:lineRule="auto"/>
              <w:jc w:val="center"/>
              <w:rPr>
                <w:rFonts w:cs="Arial"/>
                <w:sz w:val="16"/>
                <w:szCs w:val="16"/>
              </w:rPr>
            </w:pPr>
            <w:r w:rsidRPr="003275BA">
              <w:rPr>
                <w:rFonts w:cs="Arial"/>
                <w:sz w:val="16"/>
                <w:szCs w:val="16"/>
              </w:rPr>
              <w:t xml:space="preserve">1. pol. </w:t>
            </w:r>
            <w:r w:rsidRPr="003275BA">
              <w:rPr>
                <w:rFonts w:cs="Arial"/>
                <w:sz w:val="16"/>
                <w:szCs w:val="16"/>
              </w:rPr>
              <w:br/>
              <w:t>2008</w:t>
            </w:r>
          </w:p>
        </w:tc>
        <w:tc>
          <w:tcPr>
            <w:tcW w:w="580" w:type="dxa"/>
            <w:tcBorders>
              <w:top w:val="nil"/>
              <w:left w:val="nil"/>
              <w:bottom w:val="single" w:sz="4" w:space="0" w:color="auto"/>
              <w:right w:val="nil"/>
            </w:tcBorders>
            <w:shd w:val="clear" w:color="000000" w:fill="F5DADD"/>
            <w:vAlign w:val="center"/>
            <w:hideMark/>
          </w:tcPr>
          <w:p w14:paraId="077D32CF" w14:textId="77777777" w:rsidR="003275BA" w:rsidRPr="003275BA" w:rsidRDefault="003275BA" w:rsidP="003275BA">
            <w:pPr>
              <w:spacing w:after="0" w:line="240" w:lineRule="auto"/>
              <w:jc w:val="center"/>
              <w:rPr>
                <w:rFonts w:cs="Arial"/>
                <w:sz w:val="16"/>
                <w:szCs w:val="16"/>
              </w:rPr>
            </w:pPr>
            <w:r w:rsidRPr="003275BA">
              <w:rPr>
                <w:rFonts w:cs="Arial"/>
                <w:sz w:val="16"/>
                <w:szCs w:val="16"/>
              </w:rPr>
              <w:t xml:space="preserve">1. pol. </w:t>
            </w:r>
            <w:r w:rsidRPr="003275BA">
              <w:rPr>
                <w:rFonts w:cs="Arial"/>
                <w:sz w:val="16"/>
                <w:szCs w:val="16"/>
              </w:rPr>
              <w:br/>
              <w:t>2009</w:t>
            </w:r>
          </w:p>
        </w:tc>
        <w:tc>
          <w:tcPr>
            <w:tcW w:w="581" w:type="dxa"/>
            <w:tcBorders>
              <w:top w:val="nil"/>
              <w:left w:val="nil"/>
              <w:bottom w:val="single" w:sz="4" w:space="0" w:color="auto"/>
              <w:right w:val="nil"/>
            </w:tcBorders>
            <w:shd w:val="clear" w:color="000000" w:fill="F5DADD"/>
            <w:vAlign w:val="center"/>
            <w:hideMark/>
          </w:tcPr>
          <w:p w14:paraId="6912E60B" w14:textId="77777777" w:rsidR="003275BA" w:rsidRPr="003275BA" w:rsidRDefault="003275BA" w:rsidP="003275BA">
            <w:pPr>
              <w:spacing w:after="0" w:line="240" w:lineRule="auto"/>
              <w:jc w:val="center"/>
              <w:rPr>
                <w:rFonts w:cs="Arial"/>
                <w:sz w:val="16"/>
                <w:szCs w:val="16"/>
              </w:rPr>
            </w:pPr>
            <w:r w:rsidRPr="003275BA">
              <w:rPr>
                <w:rFonts w:cs="Arial"/>
                <w:sz w:val="16"/>
                <w:szCs w:val="16"/>
              </w:rPr>
              <w:t xml:space="preserve">1. pol. </w:t>
            </w:r>
            <w:r w:rsidRPr="003275BA">
              <w:rPr>
                <w:rFonts w:cs="Arial"/>
                <w:sz w:val="16"/>
                <w:szCs w:val="16"/>
              </w:rPr>
              <w:br/>
              <w:t>2010</w:t>
            </w:r>
          </w:p>
        </w:tc>
        <w:tc>
          <w:tcPr>
            <w:tcW w:w="580" w:type="dxa"/>
            <w:tcBorders>
              <w:top w:val="nil"/>
              <w:left w:val="nil"/>
              <w:bottom w:val="single" w:sz="4" w:space="0" w:color="auto"/>
              <w:right w:val="nil"/>
            </w:tcBorders>
            <w:shd w:val="clear" w:color="000000" w:fill="F5DADD"/>
            <w:vAlign w:val="center"/>
            <w:hideMark/>
          </w:tcPr>
          <w:p w14:paraId="151032B4" w14:textId="77777777" w:rsidR="003275BA" w:rsidRPr="003275BA" w:rsidRDefault="003275BA" w:rsidP="003275BA">
            <w:pPr>
              <w:spacing w:after="0" w:line="240" w:lineRule="auto"/>
              <w:jc w:val="center"/>
              <w:rPr>
                <w:rFonts w:cs="Arial"/>
                <w:sz w:val="16"/>
                <w:szCs w:val="16"/>
              </w:rPr>
            </w:pPr>
            <w:r w:rsidRPr="003275BA">
              <w:rPr>
                <w:rFonts w:cs="Arial"/>
                <w:sz w:val="16"/>
                <w:szCs w:val="16"/>
              </w:rPr>
              <w:t xml:space="preserve">1. pol. </w:t>
            </w:r>
            <w:r w:rsidRPr="003275BA">
              <w:rPr>
                <w:rFonts w:cs="Arial"/>
                <w:sz w:val="16"/>
                <w:szCs w:val="16"/>
              </w:rPr>
              <w:br/>
              <w:t>2011</w:t>
            </w:r>
          </w:p>
        </w:tc>
        <w:tc>
          <w:tcPr>
            <w:tcW w:w="581" w:type="dxa"/>
            <w:tcBorders>
              <w:top w:val="nil"/>
              <w:left w:val="nil"/>
              <w:bottom w:val="single" w:sz="4" w:space="0" w:color="auto"/>
              <w:right w:val="nil"/>
            </w:tcBorders>
            <w:shd w:val="clear" w:color="000000" w:fill="F5DADD"/>
            <w:vAlign w:val="center"/>
            <w:hideMark/>
          </w:tcPr>
          <w:p w14:paraId="2975DCCA" w14:textId="77777777" w:rsidR="003275BA" w:rsidRPr="003275BA" w:rsidRDefault="003275BA" w:rsidP="003275BA">
            <w:pPr>
              <w:spacing w:after="0" w:line="240" w:lineRule="auto"/>
              <w:jc w:val="center"/>
              <w:rPr>
                <w:rFonts w:cs="Arial"/>
                <w:sz w:val="16"/>
                <w:szCs w:val="16"/>
              </w:rPr>
            </w:pPr>
            <w:r w:rsidRPr="003275BA">
              <w:rPr>
                <w:rFonts w:cs="Arial"/>
                <w:sz w:val="16"/>
                <w:szCs w:val="16"/>
              </w:rPr>
              <w:t xml:space="preserve">1. pol. </w:t>
            </w:r>
            <w:r w:rsidRPr="003275BA">
              <w:rPr>
                <w:rFonts w:cs="Arial"/>
                <w:sz w:val="16"/>
                <w:szCs w:val="16"/>
              </w:rPr>
              <w:br/>
              <w:t>2012</w:t>
            </w:r>
          </w:p>
        </w:tc>
        <w:tc>
          <w:tcPr>
            <w:tcW w:w="579" w:type="dxa"/>
            <w:tcBorders>
              <w:top w:val="nil"/>
              <w:left w:val="nil"/>
              <w:bottom w:val="single" w:sz="4" w:space="0" w:color="auto"/>
              <w:right w:val="nil"/>
            </w:tcBorders>
            <w:shd w:val="clear" w:color="000000" w:fill="F5DADD"/>
            <w:vAlign w:val="center"/>
            <w:hideMark/>
          </w:tcPr>
          <w:p w14:paraId="29A3EA1B" w14:textId="77777777" w:rsidR="003275BA" w:rsidRPr="003275BA" w:rsidRDefault="003275BA" w:rsidP="003275BA">
            <w:pPr>
              <w:spacing w:after="0" w:line="240" w:lineRule="auto"/>
              <w:jc w:val="center"/>
              <w:rPr>
                <w:rFonts w:cs="Arial"/>
                <w:sz w:val="16"/>
                <w:szCs w:val="16"/>
              </w:rPr>
            </w:pPr>
            <w:r w:rsidRPr="003275BA">
              <w:rPr>
                <w:rFonts w:cs="Arial"/>
                <w:sz w:val="16"/>
                <w:szCs w:val="16"/>
              </w:rPr>
              <w:t xml:space="preserve">1. pol. </w:t>
            </w:r>
            <w:r w:rsidRPr="003275BA">
              <w:rPr>
                <w:rFonts w:cs="Arial"/>
                <w:sz w:val="16"/>
                <w:szCs w:val="16"/>
              </w:rPr>
              <w:br/>
              <w:t>2013</w:t>
            </w:r>
          </w:p>
        </w:tc>
        <w:tc>
          <w:tcPr>
            <w:tcW w:w="579" w:type="dxa"/>
            <w:tcBorders>
              <w:top w:val="nil"/>
              <w:left w:val="nil"/>
              <w:bottom w:val="single" w:sz="4" w:space="0" w:color="auto"/>
              <w:right w:val="nil"/>
            </w:tcBorders>
            <w:shd w:val="clear" w:color="000000" w:fill="F5DADD"/>
            <w:vAlign w:val="center"/>
            <w:hideMark/>
          </w:tcPr>
          <w:p w14:paraId="1058D48B" w14:textId="77777777" w:rsidR="003275BA" w:rsidRPr="003275BA" w:rsidRDefault="003275BA" w:rsidP="003275BA">
            <w:pPr>
              <w:spacing w:after="0" w:line="240" w:lineRule="auto"/>
              <w:jc w:val="center"/>
              <w:rPr>
                <w:rFonts w:cs="Arial"/>
                <w:sz w:val="16"/>
                <w:szCs w:val="16"/>
              </w:rPr>
            </w:pPr>
            <w:r w:rsidRPr="003275BA">
              <w:rPr>
                <w:rFonts w:cs="Arial"/>
                <w:sz w:val="16"/>
                <w:szCs w:val="16"/>
              </w:rPr>
              <w:t xml:space="preserve">1. pol. </w:t>
            </w:r>
            <w:r w:rsidRPr="003275BA">
              <w:rPr>
                <w:rFonts w:cs="Arial"/>
                <w:sz w:val="16"/>
                <w:szCs w:val="16"/>
              </w:rPr>
              <w:br/>
              <w:t>2014</w:t>
            </w:r>
          </w:p>
        </w:tc>
        <w:tc>
          <w:tcPr>
            <w:tcW w:w="579" w:type="dxa"/>
            <w:tcBorders>
              <w:top w:val="nil"/>
              <w:left w:val="nil"/>
              <w:bottom w:val="single" w:sz="4" w:space="0" w:color="auto"/>
              <w:right w:val="nil"/>
            </w:tcBorders>
            <w:shd w:val="clear" w:color="000000" w:fill="F5DADD"/>
            <w:vAlign w:val="center"/>
            <w:hideMark/>
          </w:tcPr>
          <w:p w14:paraId="3ADE9DF5" w14:textId="77777777" w:rsidR="003275BA" w:rsidRPr="003275BA" w:rsidRDefault="003275BA" w:rsidP="003275BA">
            <w:pPr>
              <w:spacing w:after="0" w:line="240" w:lineRule="auto"/>
              <w:jc w:val="center"/>
              <w:rPr>
                <w:rFonts w:cs="Arial"/>
                <w:sz w:val="16"/>
                <w:szCs w:val="16"/>
              </w:rPr>
            </w:pPr>
            <w:r w:rsidRPr="003275BA">
              <w:rPr>
                <w:rFonts w:cs="Arial"/>
                <w:sz w:val="16"/>
                <w:szCs w:val="16"/>
              </w:rPr>
              <w:t xml:space="preserve">1. pol. </w:t>
            </w:r>
            <w:r w:rsidRPr="003275BA">
              <w:rPr>
                <w:rFonts w:cs="Arial"/>
                <w:sz w:val="16"/>
                <w:szCs w:val="16"/>
              </w:rPr>
              <w:br/>
              <w:t>2015</w:t>
            </w:r>
          </w:p>
        </w:tc>
        <w:tc>
          <w:tcPr>
            <w:tcW w:w="579" w:type="dxa"/>
            <w:tcBorders>
              <w:top w:val="nil"/>
              <w:left w:val="nil"/>
              <w:bottom w:val="single" w:sz="4" w:space="0" w:color="auto"/>
              <w:right w:val="nil"/>
            </w:tcBorders>
            <w:shd w:val="clear" w:color="000000" w:fill="F5DADD"/>
            <w:vAlign w:val="center"/>
            <w:hideMark/>
          </w:tcPr>
          <w:p w14:paraId="095E8218" w14:textId="77777777" w:rsidR="003275BA" w:rsidRPr="003275BA" w:rsidRDefault="003275BA" w:rsidP="003275BA">
            <w:pPr>
              <w:spacing w:after="0" w:line="240" w:lineRule="auto"/>
              <w:jc w:val="center"/>
              <w:rPr>
                <w:rFonts w:cs="Arial"/>
                <w:sz w:val="16"/>
                <w:szCs w:val="16"/>
              </w:rPr>
            </w:pPr>
            <w:r w:rsidRPr="003275BA">
              <w:rPr>
                <w:rFonts w:cs="Arial"/>
                <w:sz w:val="16"/>
                <w:szCs w:val="16"/>
              </w:rPr>
              <w:t xml:space="preserve">1. pol. </w:t>
            </w:r>
            <w:r w:rsidRPr="003275BA">
              <w:rPr>
                <w:rFonts w:cs="Arial"/>
                <w:sz w:val="16"/>
                <w:szCs w:val="16"/>
              </w:rPr>
              <w:br/>
              <w:t>2016</w:t>
            </w:r>
          </w:p>
        </w:tc>
        <w:tc>
          <w:tcPr>
            <w:tcW w:w="579" w:type="dxa"/>
            <w:tcBorders>
              <w:top w:val="nil"/>
              <w:left w:val="nil"/>
              <w:bottom w:val="single" w:sz="4" w:space="0" w:color="auto"/>
              <w:right w:val="nil"/>
            </w:tcBorders>
            <w:shd w:val="clear" w:color="000000" w:fill="F5DADD"/>
            <w:vAlign w:val="center"/>
            <w:hideMark/>
          </w:tcPr>
          <w:p w14:paraId="09B18E24" w14:textId="77777777" w:rsidR="003275BA" w:rsidRPr="003275BA" w:rsidRDefault="003275BA" w:rsidP="003275BA">
            <w:pPr>
              <w:spacing w:after="0" w:line="240" w:lineRule="auto"/>
              <w:jc w:val="center"/>
              <w:rPr>
                <w:rFonts w:cs="Arial"/>
                <w:sz w:val="16"/>
                <w:szCs w:val="16"/>
              </w:rPr>
            </w:pPr>
            <w:r w:rsidRPr="003275BA">
              <w:rPr>
                <w:rFonts w:cs="Arial"/>
                <w:sz w:val="16"/>
                <w:szCs w:val="16"/>
              </w:rPr>
              <w:t xml:space="preserve">1. pol. </w:t>
            </w:r>
            <w:r w:rsidRPr="003275BA">
              <w:rPr>
                <w:rFonts w:cs="Arial"/>
                <w:sz w:val="16"/>
                <w:szCs w:val="16"/>
              </w:rPr>
              <w:br/>
              <w:t>2017</w:t>
            </w:r>
          </w:p>
        </w:tc>
        <w:tc>
          <w:tcPr>
            <w:tcW w:w="579" w:type="dxa"/>
            <w:tcBorders>
              <w:top w:val="nil"/>
              <w:left w:val="nil"/>
              <w:bottom w:val="single" w:sz="4" w:space="0" w:color="auto"/>
              <w:right w:val="nil"/>
            </w:tcBorders>
            <w:shd w:val="clear" w:color="000000" w:fill="F5DADD"/>
            <w:vAlign w:val="center"/>
            <w:hideMark/>
          </w:tcPr>
          <w:p w14:paraId="7BA6B020" w14:textId="77777777" w:rsidR="003275BA" w:rsidRPr="003275BA" w:rsidRDefault="003275BA" w:rsidP="003275BA">
            <w:pPr>
              <w:spacing w:after="0" w:line="240" w:lineRule="auto"/>
              <w:jc w:val="center"/>
              <w:rPr>
                <w:rFonts w:cs="Arial"/>
                <w:sz w:val="16"/>
                <w:szCs w:val="16"/>
              </w:rPr>
            </w:pPr>
            <w:r w:rsidRPr="003275BA">
              <w:rPr>
                <w:rFonts w:cs="Arial"/>
                <w:sz w:val="16"/>
                <w:szCs w:val="16"/>
              </w:rPr>
              <w:t xml:space="preserve">1. pol. </w:t>
            </w:r>
            <w:r w:rsidRPr="003275BA">
              <w:rPr>
                <w:rFonts w:cs="Arial"/>
                <w:sz w:val="16"/>
                <w:szCs w:val="16"/>
              </w:rPr>
              <w:br/>
              <w:t>2018</w:t>
            </w:r>
          </w:p>
        </w:tc>
        <w:tc>
          <w:tcPr>
            <w:tcW w:w="583" w:type="dxa"/>
            <w:tcBorders>
              <w:top w:val="nil"/>
              <w:left w:val="nil"/>
              <w:bottom w:val="single" w:sz="4" w:space="0" w:color="auto"/>
              <w:right w:val="nil"/>
            </w:tcBorders>
            <w:shd w:val="clear" w:color="000000" w:fill="F5DADD"/>
            <w:vAlign w:val="center"/>
            <w:hideMark/>
          </w:tcPr>
          <w:p w14:paraId="44BFAC8B" w14:textId="77777777" w:rsidR="003275BA" w:rsidRPr="003275BA" w:rsidRDefault="003275BA" w:rsidP="003275BA">
            <w:pPr>
              <w:spacing w:after="0" w:line="240" w:lineRule="auto"/>
              <w:jc w:val="center"/>
              <w:rPr>
                <w:rFonts w:cs="Arial"/>
                <w:sz w:val="16"/>
                <w:szCs w:val="16"/>
              </w:rPr>
            </w:pPr>
            <w:r w:rsidRPr="003275BA">
              <w:rPr>
                <w:rFonts w:cs="Arial"/>
                <w:sz w:val="16"/>
                <w:szCs w:val="16"/>
              </w:rPr>
              <w:t>1. pol. 2019</w:t>
            </w:r>
          </w:p>
        </w:tc>
      </w:tr>
      <w:tr w:rsidR="003275BA" w:rsidRPr="003275BA" w14:paraId="35B93A47" w14:textId="77777777" w:rsidTr="003275BA">
        <w:trPr>
          <w:trHeight w:val="397"/>
        </w:trPr>
        <w:tc>
          <w:tcPr>
            <w:tcW w:w="2529" w:type="dxa"/>
            <w:tcBorders>
              <w:top w:val="nil"/>
              <w:left w:val="nil"/>
              <w:bottom w:val="nil"/>
              <w:right w:val="single" w:sz="4" w:space="0" w:color="auto"/>
            </w:tcBorders>
            <w:shd w:val="clear" w:color="auto" w:fill="auto"/>
            <w:vAlign w:val="center"/>
            <w:hideMark/>
          </w:tcPr>
          <w:p w14:paraId="451D0881" w14:textId="77777777" w:rsidR="003275BA" w:rsidRPr="003275BA" w:rsidRDefault="003275BA" w:rsidP="003275BA">
            <w:pPr>
              <w:spacing w:after="0" w:line="240" w:lineRule="auto"/>
              <w:rPr>
                <w:rFonts w:cs="Arial"/>
                <w:b/>
                <w:bCs/>
                <w:sz w:val="16"/>
                <w:szCs w:val="16"/>
              </w:rPr>
            </w:pPr>
            <w:r w:rsidRPr="003275BA">
              <w:rPr>
                <w:rFonts w:cs="Arial"/>
                <w:b/>
                <w:bCs/>
                <w:sz w:val="16"/>
                <w:szCs w:val="16"/>
              </w:rPr>
              <w:t>Celkem</w:t>
            </w:r>
          </w:p>
        </w:tc>
        <w:tc>
          <w:tcPr>
            <w:tcW w:w="583" w:type="dxa"/>
            <w:tcBorders>
              <w:top w:val="nil"/>
              <w:left w:val="nil"/>
              <w:bottom w:val="nil"/>
              <w:right w:val="nil"/>
            </w:tcBorders>
            <w:shd w:val="clear" w:color="auto" w:fill="auto"/>
            <w:noWrap/>
            <w:vAlign w:val="center"/>
            <w:hideMark/>
          </w:tcPr>
          <w:p w14:paraId="05DC0745" w14:textId="77777777" w:rsidR="003275BA" w:rsidRPr="003275BA" w:rsidRDefault="003275BA" w:rsidP="003275BA">
            <w:pPr>
              <w:spacing w:after="0" w:line="240" w:lineRule="auto"/>
              <w:jc w:val="right"/>
              <w:rPr>
                <w:rFonts w:cs="Arial"/>
                <w:b/>
                <w:bCs/>
                <w:sz w:val="16"/>
                <w:szCs w:val="16"/>
              </w:rPr>
            </w:pPr>
            <w:r w:rsidRPr="003275BA">
              <w:rPr>
                <w:rFonts w:cs="Arial"/>
                <w:b/>
                <w:bCs/>
                <w:sz w:val="16"/>
                <w:szCs w:val="16"/>
              </w:rPr>
              <w:t>16,64</w:t>
            </w:r>
          </w:p>
        </w:tc>
        <w:tc>
          <w:tcPr>
            <w:tcW w:w="580" w:type="dxa"/>
            <w:tcBorders>
              <w:top w:val="nil"/>
              <w:left w:val="nil"/>
              <w:bottom w:val="nil"/>
              <w:right w:val="nil"/>
            </w:tcBorders>
            <w:shd w:val="clear" w:color="auto" w:fill="auto"/>
            <w:noWrap/>
            <w:vAlign w:val="center"/>
            <w:hideMark/>
          </w:tcPr>
          <w:p w14:paraId="650FA3B4" w14:textId="77777777" w:rsidR="003275BA" w:rsidRPr="003275BA" w:rsidRDefault="003275BA" w:rsidP="003275BA">
            <w:pPr>
              <w:spacing w:after="0" w:line="240" w:lineRule="auto"/>
              <w:jc w:val="right"/>
              <w:rPr>
                <w:rFonts w:cs="Arial"/>
                <w:b/>
                <w:bCs/>
                <w:sz w:val="16"/>
                <w:szCs w:val="16"/>
              </w:rPr>
            </w:pPr>
            <w:r w:rsidRPr="003275BA">
              <w:rPr>
                <w:rFonts w:cs="Arial"/>
                <w:b/>
                <w:bCs/>
                <w:sz w:val="16"/>
                <w:szCs w:val="16"/>
              </w:rPr>
              <w:t>13,99</w:t>
            </w:r>
          </w:p>
        </w:tc>
        <w:tc>
          <w:tcPr>
            <w:tcW w:w="581" w:type="dxa"/>
            <w:tcBorders>
              <w:top w:val="nil"/>
              <w:left w:val="nil"/>
              <w:bottom w:val="nil"/>
              <w:right w:val="nil"/>
            </w:tcBorders>
            <w:shd w:val="clear" w:color="auto" w:fill="auto"/>
            <w:noWrap/>
            <w:vAlign w:val="center"/>
            <w:hideMark/>
          </w:tcPr>
          <w:p w14:paraId="24080EBA" w14:textId="77777777" w:rsidR="003275BA" w:rsidRPr="003275BA" w:rsidRDefault="003275BA" w:rsidP="003275BA">
            <w:pPr>
              <w:spacing w:after="0" w:line="240" w:lineRule="auto"/>
              <w:jc w:val="right"/>
              <w:rPr>
                <w:rFonts w:cs="Arial"/>
                <w:b/>
                <w:bCs/>
                <w:sz w:val="16"/>
                <w:szCs w:val="16"/>
              </w:rPr>
            </w:pPr>
            <w:r w:rsidRPr="003275BA">
              <w:rPr>
                <w:rFonts w:cs="Arial"/>
                <w:b/>
                <w:bCs/>
                <w:sz w:val="16"/>
                <w:szCs w:val="16"/>
              </w:rPr>
              <w:t>11,46</w:t>
            </w:r>
          </w:p>
        </w:tc>
        <w:tc>
          <w:tcPr>
            <w:tcW w:w="580" w:type="dxa"/>
            <w:tcBorders>
              <w:top w:val="nil"/>
              <w:left w:val="nil"/>
              <w:bottom w:val="nil"/>
              <w:right w:val="nil"/>
            </w:tcBorders>
            <w:shd w:val="clear" w:color="auto" w:fill="auto"/>
            <w:noWrap/>
            <w:vAlign w:val="center"/>
            <w:hideMark/>
          </w:tcPr>
          <w:p w14:paraId="6429C358" w14:textId="77777777" w:rsidR="003275BA" w:rsidRPr="003275BA" w:rsidRDefault="003275BA" w:rsidP="003275BA">
            <w:pPr>
              <w:spacing w:after="0" w:line="240" w:lineRule="auto"/>
              <w:jc w:val="right"/>
              <w:rPr>
                <w:rFonts w:cs="Arial"/>
                <w:b/>
                <w:bCs/>
                <w:sz w:val="16"/>
                <w:szCs w:val="16"/>
              </w:rPr>
            </w:pPr>
            <w:r w:rsidRPr="003275BA">
              <w:rPr>
                <w:rFonts w:cs="Arial"/>
                <w:b/>
                <w:bCs/>
                <w:sz w:val="16"/>
                <w:szCs w:val="16"/>
              </w:rPr>
              <w:t>11,66</w:t>
            </w:r>
          </w:p>
        </w:tc>
        <w:tc>
          <w:tcPr>
            <w:tcW w:w="581" w:type="dxa"/>
            <w:tcBorders>
              <w:top w:val="nil"/>
              <w:left w:val="nil"/>
              <w:bottom w:val="nil"/>
              <w:right w:val="nil"/>
            </w:tcBorders>
            <w:shd w:val="clear" w:color="auto" w:fill="auto"/>
            <w:noWrap/>
            <w:vAlign w:val="center"/>
            <w:hideMark/>
          </w:tcPr>
          <w:p w14:paraId="3137F5A4" w14:textId="77777777" w:rsidR="003275BA" w:rsidRPr="003275BA" w:rsidRDefault="003275BA" w:rsidP="003275BA">
            <w:pPr>
              <w:spacing w:after="0" w:line="240" w:lineRule="auto"/>
              <w:jc w:val="right"/>
              <w:rPr>
                <w:rFonts w:cs="Arial"/>
                <w:b/>
                <w:bCs/>
                <w:sz w:val="16"/>
                <w:szCs w:val="16"/>
              </w:rPr>
            </w:pPr>
            <w:r w:rsidRPr="003275BA">
              <w:rPr>
                <w:rFonts w:cs="Arial"/>
                <w:b/>
                <w:bCs/>
                <w:sz w:val="16"/>
                <w:szCs w:val="16"/>
              </w:rPr>
              <w:t>10,13</w:t>
            </w:r>
          </w:p>
        </w:tc>
        <w:tc>
          <w:tcPr>
            <w:tcW w:w="579" w:type="dxa"/>
            <w:tcBorders>
              <w:top w:val="nil"/>
              <w:left w:val="nil"/>
              <w:bottom w:val="nil"/>
              <w:right w:val="nil"/>
            </w:tcBorders>
            <w:shd w:val="clear" w:color="auto" w:fill="auto"/>
            <w:noWrap/>
            <w:vAlign w:val="center"/>
            <w:hideMark/>
          </w:tcPr>
          <w:p w14:paraId="4AD752EB" w14:textId="77777777" w:rsidR="003275BA" w:rsidRPr="003275BA" w:rsidRDefault="003275BA" w:rsidP="003275BA">
            <w:pPr>
              <w:spacing w:after="0" w:line="240" w:lineRule="auto"/>
              <w:jc w:val="right"/>
              <w:rPr>
                <w:rFonts w:cs="Arial"/>
                <w:b/>
                <w:bCs/>
                <w:sz w:val="16"/>
                <w:szCs w:val="16"/>
              </w:rPr>
            </w:pPr>
            <w:r w:rsidRPr="003275BA">
              <w:rPr>
                <w:rFonts w:cs="Arial"/>
                <w:b/>
                <w:bCs/>
                <w:sz w:val="16"/>
                <w:szCs w:val="16"/>
              </w:rPr>
              <w:t>10,50</w:t>
            </w:r>
          </w:p>
        </w:tc>
        <w:tc>
          <w:tcPr>
            <w:tcW w:w="579" w:type="dxa"/>
            <w:tcBorders>
              <w:top w:val="nil"/>
              <w:left w:val="nil"/>
              <w:bottom w:val="nil"/>
              <w:right w:val="nil"/>
            </w:tcBorders>
            <w:shd w:val="clear" w:color="auto" w:fill="auto"/>
            <w:noWrap/>
            <w:vAlign w:val="center"/>
            <w:hideMark/>
          </w:tcPr>
          <w:p w14:paraId="4194E001" w14:textId="77777777" w:rsidR="003275BA" w:rsidRPr="003275BA" w:rsidRDefault="003275BA" w:rsidP="003275BA">
            <w:pPr>
              <w:spacing w:after="0" w:line="240" w:lineRule="auto"/>
              <w:jc w:val="right"/>
              <w:rPr>
                <w:rFonts w:cs="Arial"/>
                <w:b/>
                <w:bCs/>
                <w:sz w:val="16"/>
                <w:szCs w:val="16"/>
              </w:rPr>
            </w:pPr>
            <w:r w:rsidRPr="003275BA">
              <w:rPr>
                <w:rFonts w:cs="Arial"/>
                <w:b/>
                <w:bCs/>
                <w:sz w:val="16"/>
                <w:szCs w:val="16"/>
              </w:rPr>
              <w:t>11,10</w:t>
            </w:r>
          </w:p>
        </w:tc>
        <w:tc>
          <w:tcPr>
            <w:tcW w:w="579" w:type="dxa"/>
            <w:tcBorders>
              <w:top w:val="nil"/>
              <w:left w:val="nil"/>
              <w:bottom w:val="nil"/>
              <w:right w:val="nil"/>
            </w:tcBorders>
            <w:shd w:val="clear" w:color="auto" w:fill="auto"/>
            <w:noWrap/>
            <w:vAlign w:val="center"/>
            <w:hideMark/>
          </w:tcPr>
          <w:p w14:paraId="07627004" w14:textId="77777777" w:rsidR="003275BA" w:rsidRPr="003275BA" w:rsidRDefault="003275BA" w:rsidP="003275BA">
            <w:pPr>
              <w:spacing w:after="0" w:line="240" w:lineRule="auto"/>
              <w:jc w:val="right"/>
              <w:rPr>
                <w:rFonts w:cs="Arial"/>
                <w:b/>
                <w:bCs/>
                <w:sz w:val="16"/>
                <w:szCs w:val="16"/>
              </w:rPr>
            </w:pPr>
            <w:r w:rsidRPr="003275BA">
              <w:rPr>
                <w:rFonts w:cs="Arial"/>
                <w:b/>
                <w:bCs/>
                <w:sz w:val="16"/>
                <w:szCs w:val="16"/>
              </w:rPr>
              <w:t>12,32</w:t>
            </w:r>
          </w:p>
        </w:tc>
        <w:tc>
          <w:tcPr>
            <w:tcW w:w="579" w:type="dxa"/>
            <w:tcBorders>
              <w:top w:val="nil"/>
              <w:left w:val="nil"/>
              <w:bottom w:val="nil"/>
              <w:right w:val="nil"/>
            </w:tcBorders>
            <w:shd w:val="clear" w:color="auto" w:fill="auto"/>
            <w:noWrap/>
            <w:vAlign w:val="center"/>
            <w:hideMark/>
          </w:tcPr>
          <w:p w14:paraId="66700146" w14:textId="77777777" w:rsidR="003275BA" w:rsidRPr="003275BA" w:rsidRDefault="003275BA" w:rsidP="003275BA">
            <w:pPr>
              <w:spacing w:after="0" w:line="240" w:lineRule="auto"/>
              <w:jc w:val="right"/>
              <w:rPr>
                <w:rFonts w:cs="Arial"/>
                <w:b/>
                <w:bCs/>
                <w:sz w:val="16"/>
                <w:szCs w:val="16"/>
              </w:rPr>
            </w:pPr>
            <w:r w:rsidRPr="003275BA">
              <w:rPr>
                <w:rFonts w:cs="Arial"/>
                <w:b/>
                <w:bCs/>
                <w:sz w:val="16"/>
                <w:szCs w:val="16"/>
              </w:rPr>
              <w:t>13,46</w:t>
            </w:r>
          </w:p>
        </w:tc>
        <w:tc>
          <w:tcPr>
            <w:tcW w:w="579" w:type="dxa"/>
            <w:tcBorders>
              <w:top w:val="nil"/>
              <w:left w:val="nil"/>
              <w:bottom w:val="nil"/>
              <w:right w:val="nil"/>
            </w:tcBorders>
            <w:shd w:val="clear" w:color="auto" w:fill="auto"/>
            <w:noWrap/>
            <w:vAlign w:val="center"/>
            <w:hideMark/>
          </w:tcPr>
          <w:p w14:paraId="71EDC0A1" w14:textId="77777777" w:rsidR="003275BA" w:rsidRPr="003275BA" w:rsidRDefault="003275BA" w:rsidP="003275BA">
            <w:pPr>
              <w:spacing w:after="0" w:line="240" w:lineRule="auto"/>
              <w:jc w:val="right"/>
              <w:rPr>
                <w:rFonts w:cs="Arial"/>
                <w:b/>
                <w:bCs/>
                <w:sz w:val="16"/>
                <w:szCs w:val="16"/>
              </w:rPr>
            </w:pPr>
            <w:r w:rsidRPr="003275BA">
              <w:rPr>
                <w:rFonts w:cs="Arial"/>
                <w:b/>
                <w:bCs/>
                <w:sz w:val="16"/>
                <w:szCs w:val="16"/>
              </w:rPr>
              <w:t>14,63</w:t>
            </w:r>
          </w:p>
        </w:tc>
        <w:tc>
          <w:tcPr>
            <w:tcW w:w="579" w:type="dxa"/>
            <w:tcBorders>
              <w:top w:val="nil"/>
              <w:left w:val="nil"/>
              <w:bottom w:val="nil"/>
              <w:right w:val="nil"/>
            </w:tcBorders>
            <w:shd w:val="clear" w:color="auto" w:fill="auto"/>
            <w:noWrap/>
            <w:vAlign w:val="center"/>
            <w:hideMark/>
          </w:tcPr>
          <w:p w14:paraId="4903D766" w14:textId="77777777" w:rsidR="003275BA" w:rsidRPr="003275BA" w:rsidRDefault="003275BA" w:rsidP="003275BA">
            <w:pPr>
              <w:spacing w:after="0" w:line="240" w:lineRule="auto"/>
              <w:jc w:val="right"/>
              <w:rPr>
                <w:rFonts w:cs="Arial"/>
                <w:b/>
                <w:bCs/>
                <w:sz w:val="16"/>
                <w:szCs w:val="16"/>
              </w:rPr>
            </w:pPr>
            <w:r w:rsidRPr="003275BA">
              <w:rPr>
                <w:rFonts w:cs="Arial"/>
                <w:b/>
                <w:bCs/>
                <w:sz w:val="16"/>
                <w:szCs w:val="16"/>
              </w:rPr>
              <w:t>17,18</w:t>
            </w:r>
          </w:p>
        </w:tc>
        <w:tc>
          <w:tcPr>
            <w:tcW w:w="583" w:type="dxa"/>
            <w:tcBorders>
              <w:top w:val="nil"/>
              <w:left w:val="nil"/>
              <w:bottom w:val="nil"/>
              <w:right w:val="nil"/>
            </w:tcBorders>
            <w:shd w:val="clear" w:color="auto" w:fill="auto"/>
            <w:noWrap/>
            <w:vAlign w:val="center"/>
            <w:hideMark/>
          </w:tcPr>
          <w:p w14:paraId="336B4816" w14:textId="77777777" w:rsidR="003275BA" w:rsidRPr="003275BA" w:rsidRDefault="003275BA" w:rsidP="003275BA">
            <w:pPr>
              <w:spacing w:after="0" w:line="240" w:lineRule="auto"/>
              <w:jc w:val="right"/>
              <w:rPr>
                <w:rFonts w:cs="Arial"/>
                <w:b/>
                <w:bCs/>
                <w:sz w:val="16"/>
                <w:szCs w:val="16"/>
              </w:rPr>
            </w:pPr>
            <w:r w:rsidRPr="003275BA">
              <w:rPr>
                <w:rFonts w:cs="Arial"/>
                <w:b/>
                <w:bCs/>
                <w:sz w:val="16"/>
                <w:szCs w:val="16"/>
              </w:rPr>
              <w:t>19,81</w:t>
            </w:r>
          </w:p>
        </w:tc>
      </w:tr>
      <w:tr w:rsidR="003275BA" w:rsidRPr="003275BA" w14:paraId="6D029AD6" w14:textId="77777777" w:rsidTr="003275BA">
        <w:trPr>
          <w:trHeight w:val="397"/>
        </w:trPr>
        <w:tc>
          <w:tcPr>
            <w:tcW w:w="2529" w:type="dxa"/>
            <w:tcBorders>
              <w:top w:val="nil"/>
              <w:left w:val="nil"/>
              <w:bottom w:val="nil"/>
              <w:right w:val="single" w:sz="4" w:space="0" w:color="auto"/>
            </w:tcBorders>
            <w:shd w:val="clear" w:color="000000" w:fill="F5DADD"/>
            <w:vAlign w:val="center"/>
            <w:hideMark/>
          </w:tcPr>
          <w:p w14:paraId="1DFD77CF" w14:textId="77777777" w:rsidR="003275BA" w:rsidRPr="003275BA" w:rsidRDefault="003275BA" w:rsidP="003275BA">
            <w:pPr>
              <w:spacing w:after="0" w:line="240" w:lineRule="auto"/>
              <w:ind w:firstLineChars="100" w:firstLine="160"/>
              <w:rPr>
                <w:rFonts w:cs="Arial"/>
                <w:sz w:val="16"/>
                <w:szCs w:val="16"/>
              </w:rPr>
            </w:pPr>
            <w:r w:rsidRPr="003275BA">
              <w:rPr>
                <w:rFonts w:cs="Arial"/>
                <w:sz w:val="16"/>
                <w:szCs w:val="16"/>
              </w:rPr>
              <w:t>nemocenské</w:t>
            </w:r>
          </w:p>
        </w:tc>
        <w:tc>
          <w:tcPr>
            <w:tcW w:w="583" w:type="dxa"/>
            <w:tcBorders>
              <w:top w:val="nil"/>
              <w:left w:val="nil"/>
              <w:bottom w:val="nil"/>
              <w:right w:val="nil"/>
            </w:tcBorders>
            <w:shd w:val="clear" w:color="000000" w:fill="F5DADD"/>
            <w:noWrap/>
            <w:vAlign w:val="center"/>
            <w:hideMark/>
          </w:tcPr>
          <w:p w14:paraId="1FE9F4A7" w14:textId="77777777" w:rsidR="003275BA" w:rsidRPr="003275BA" w:rsidRDefault="003275BA" w:rsidP="003275BA">
            <w:pPr>
              <w:spacing w:after="0" w:line="240" w:lineRule="auto"/>
              <w:jc w:val="right"/>
              <w:rPr>
                <w:rFonts w:cs="Arial"/>
                <w:sz w:val="16"/>
                <w:szCs w:val="16"/>
              </w:rPr>
            </w:pPr>
            <w:r w:rsidRPr="003275BA">
              <w:rPr>
                <w:rFonts w:cs="Arial"/>
                <w:sz w:val="16"/>
                <w:szCs w:val="16"/>
              </w:rPr>
              <w:t>13,07</w:t>
            </w:r>
          </w:p>
        </w:tc>
        <w:tc>
          <w:tcPr>
            <w:tcW w:w="580" w:type="dxa"/>
            <w:tcBorders>
              <w:top w:val="nil"/>
              <w:left w:val="nil"/>
              <w:bottom w:val="nil"/>
              <w:right w:val="nil"/>
            </w:tcBorders>
            <w:shd w:val="clear" w:color="000000" w:fill="F5DADD"/>
            <w:noWrap/>
            <w:vAlign w:val="center"/>
            <w:hideMark/>
          </w:tcPr>
          <w:p w14:paraId="6D5B63D6" w14:textId="77777777" w:rsidR="003275BA" w:rsidRPr="003275BA" w:rsidRDefault="003275BA" w:rsidP="003275BA">
            <w:pPr>
              <w:spacing w:after="0" w:line="240" w:lineRule="auto"/>
              <w:jc w:val="right"/>
              <w:rPr>
                <w:rFonts w:cs="Arial"/>
                <w:sz w:val="16"/>
                <w:szCs w:val="16"/>
              </w:rPr>
            </w:pPr>
            <w:r w:rsidRPr="003275BA">
              <w:rPr>
                <w:rFonts w:cs="Arial"/>
                <w:sz w:val="16"/>
                <w:szCs w:val="16"/>
              </w:rPr>
              <w:t>10,28</w:t>
            </w:r>
          </w:p>
        </w:tc>
        <w:tc>
          <w:tcPr>
            <w:tcW w:w="581" w:type="dxa"/>
            <w:tcBorders>
              <w:top w:val="nil"/>
              <w:left w:val="nil"/>
              <w:bottom w:val="nil"/>
              <w:right w:val="nil"/>
            </w:tcBorders>
            <w:shd w:val="clear" w:color="000000" w:fill="F5DADD"/>
            <w:noWrap/>
            <w:vAlign w:val="center"/>
            <w:hideMark/>
          </w:tcPr>
          <w:p w14:paraId="6611F948" w14:textId="77777777" w:rsidR="003275BA" w:rsidRPr="003275BA" w:rsidRDefault="003275BA" w:rsidP="003275BA">
            <w:pPr>
              <w:spacing w:after="0" w:line="240" w:lineRule="auto"/>
              <w:jc w:val="right"/>
              <w:rPr>
                <w:rFonts w:cs="Arial"/>
                <w:sz w:val="16"/>
                <w:szCs w:val="16"/>
              </w:rPr>
            </w:pPr>
            <w:r w:rsidRPr="003275BA">
              <w:rPr>
                <w:rFonts w:cs="Arial"/>
                <w:sz w:val="16"/>
                <w:szCs w:val="16"/>
              </w:rPr>
              <w:t>8,23</w:t>
            </w:r>
          </w:p>
        </w:tc>
        <w:tc>
          <w:tcPr>
            <w:tcW w:w="580" w:type="dxa"/>
            <w:tcBorders>
              <w:top w:val="nil"/>
              <w:left w:val="nil"/>
              <w:bottom w:val="nil"/>
              <w:right w:val="nil"/>
            </w:tcBorders>
            <w:shd w:val="clear" w:color="000000" w:fill="F5DADD"/>
            <w:noWrap/>
            <w:vAlign w:val="center"/>
            <w:hideMark/>
          </w:tcPr>
          <w:p w14:paraId="5A9538C3" w14:textId="77777777" w:rsidR="003275BA" w:rsidRPr="003275BA" w:rsidRDefault="003275BA" w:rsidP="003275BA">
            <w:pPr>
              <w:spacing w:after="0" w:line="240" w:lineRule="auto"/>
              <w:jc w:val="right"/>
              <w:rPr>
                <w:rFonts w:cs="Arial"/>
                <w:sz w:val="16"/>
                <w:szCs w:val="16"/>
              </w:rPr>
            </w:pPr>
            <w:r w:rsidRPr="003275BA">
              <w:rPr>
                <w:rFonts w:cs="Arial"/>
                <w:sz w:val="16"/>
                <w:szCs w:val="16"/>
              </w:rPr>
              <w:t>7,58</w:t>
            </w:r>
          </w:p>
        </w:tc>
        <w:tc>
          <w:tcPr>
            <w:tcW w:w="581" w:type="dxa"/>
            <w:tcBorders>
              <w:top w:val="nil"/>
              <w:left w:val="nil"/>
              <w:bottom w:val="nil"/>
              <w:right w:val="nil"/>
            </w:tcBorders>
            <w:shd w:val="clear" w:color="000000" w:fill="F5DADD"/>
            <w:noWrap/>
            <w:vAlign w:val="center"/>
            <w:hideMark/>
          </w:tcPr>
          <w:p w14:paraId="29AF897A" w14:textId="77777777" w:rsidR="003275BA" w:rsidRPr="003275BA" w:rsidRDefault="003275BA" w:rsidP="003275BA">
            <w:pPr>
              <w:spacing w:after="0" w:line="240" w:lineRule="auto"/>
              <w:jc w:val="right"/>
              <w:rPr>
                <w:rFonts w:cs="Arial"/>
                <w:sz w:val="16"/>
                <w:szCs w:val="16"/>
              </w:rPr>
            </w:pPr>
            <w:r w:rsidRPr="003275BA">
              <w:rPr>
                <w:rFonts w:cs="Arial"/>
                <w:sz w:val="16"/>
                <w:szCs w:val="16"/>
              </w:rPr>
              <w:t>6,21</w:t>
            </w:r>
          </w:p>
        </w:tc>
        <w:tc>
          <w:tcPr>
            <w:tcW w:w="579" w:type="dxa"/>
            <w:tcBorders>
              <w:top w:val="nil"/>
              <w:left w:val="nil"/>
              <w:bottom w:val="nil"/>
              <w:right w:val="nil"/>
            </w:tcBorders>
            <w:shd w:val="clear" w:color="000000" w:fill="F5DADD"/>
            <w:noWrap/>
            <w:vAlign w:val="center"/>
            <w:hideMark/>
          </w:tcPr>
          <w:p w14:paraId="4E39D1BB" w14:textId="77777777" w:rsidR="003275BA" w:rsidRPr="003275BA" w:rsidRDefault="003275BA" w:rsidP="003275BA">
            <w:pPr>
              <w:spacing w:after="0" w:line="240" w:lineRule="auto"/>
              <w:jc w:val="right"/>
              <w:rPr>
                <w:rFonts w:cs="Arial"/>
                <w:sz w:val="16"/>
                <w:szCs w:val="16"/>
              </w:rPr>
            </w:pPr>
            <w:r w:rsidRPr="003275BA">
              <w:rPr>
                <w:rFonts w:cs="Arial"/>
                <w:sz w:val="16"/>
                <w:szCs w:val="16"/>
              </w:rPr>
              <w:t>6,45</w:t>
            </w:r>
          </w:p>
        </w:tc>
        <w:tc>
          <w:tcPr>
            <w:tcW w:w="579" w:type="dxa"/>
            <w:tcBorders>
              <w:top w:val="nil"/>
              <w:left w:val="nil"/>
              <w:bottom w:val="nil"/>
              <w:right w:val="nil"/>
            </w:tcBorders>
            <w:shd w:val="clear" w:color="000000" w:fill="F5DADD"/>
            <w:noWrap/>
            <w:vAlign w:val="center"/>
            <w:hideMark/>
          </w:tcPr>
          <w:p w14:paraId="1B2FC68E" w14:textId="77777777" w:rsidR="003275BA" w:rsidRPr="003275BA" w:rsidRDefault="003275BA" w:rsidP="003275BA">
            <w:pPr>
              <w:spacing w:after="0" w:line="240" w:lineRule="auto"/>
              <w:jc w:val="right"/>
              <w:rPr>
                <w:rFonts w:cs="Arial"/>
                <w:sz w:val="16"/>
                <w:szCs w:val="16"/>
              </w:rPr>
            </w:pPr>
            <w:r w:rsidRPr="003275BA">
              <w:rPr>
                <w:rFonts w:cs="Arial"/>
                <w:sz w:val="16"/>
                <w:szCs w:val="16"/>
              </w:rPr>
              <w:t>7,10</w:t>
            </w:r>
          </w:p>
        </w:tc>
        <w:tc>
          <w:tcPr>
            <w:tcW w:w="579" w:type="dxa"/>
            <w:tcBorders>
              <w:top w:val="nil"/>
              <w:left w:val="nil"/>
              <w:bottom w:val="nil"/>
              <w:right w:val="nil"/>
            </w:tcBorders>
            <w:shd w:val="clear" w:color="000000" w:fill="F5DADD"/>
            <w:noWrap/>
            <w:vAlign w:val="center"/>
            <w:hideMark/>
          </w:tcPr>
          <w:p w14:paraId="12E10457" w14:textId="77777777" w:rsidR="003275BA" w:rsidRPr="003275BA" w:rsidRDefault="003275BA" w:rsidP="003275BA">
            <w:pPr>
              <w:spacing w:after="0" w:line="240" w:lineRule="auto"/>
              <w:jc w:val="right"/>
              <w:rPr>
                <w:rFonts w:cs="Arial"/>
                <w:sz w:val="16"/>
                <w:szCs w:val="16"/>
              </w:rPr>
            </w:pPr>
            <w:r w:rsidRPr="003275BA">
              <w:rPr>
                <w:rFonts w:cs="Arial"/>
                <w:sz w:val="16"/>
                <w:szCs w:val="16"/>
              </w:rPr>
              <w:t>8,02</w:t>
            </w:r>
          </w:p>
        </w:tc>
        <w:tc>
          <w:tcPr>
            <w:tcW w:w="579" w:type="dxa"/>
            <w:tcBorders>
              <w:top w:val="nil"/>
              <w:left w:val="nil"/>
              <w:bottom w:val="nil"/>
              <w:right w:val="nil"/>
            </w:tcBorders>
            <w:shd w:val="clear" w:color="000000" w:fill="F5DADD"/>
            <w:noWrap/>
            <w:vAlign w:val="center"/>
            <w:hideMark/>
          </w:tcPr>
          <w:p w14:paraId="5D702D69" w14:textId="77777777" w:rsidR="003275BA" w:rsidRPr="003275BA" w:rsidRDefault="003275BA" w:rsidP="003275BA">
            <w:pPr>
              <w:spacing w:after="0" w:line="240" w:lineRule="auto"/>
              <w:jc w:val="right"/>
              <w:rPr>
                <w:rFonts w:cs="Arial"/>
                <w:sz w:val="16"/>
                <w:szCs w:val="16"/>
              </w:rPr>
            </w:pPr>
            <w:r w:rsidRPr="003275BA">
              <w:rPr>
                <w:rFonts w:cs="Arial"/>
                <w:sz w:val="16"/>
                <w:szCs w:val="16"/>
              </w:rPr>
              <w:t>8,85</w:t>
            </w:r>
          </w:p>
        </w:tc>
        <w:tc>
          <w:tcPr>
            <w:tcW w:w="579" w:type="dxa"/>
            <w:tcBorders>
              <w:top w:val="nil"/>
              <w:left w:val="nil"/>
              <w:bottom w:val="nil"/>
              <w:right w:val="nil"/>
            </w:tcBorders>
            <w:shd w:val="clear" w:color="000000" w:fill="F5DADD"/>
            <w:noWrap/>
            <w:vAlign w:val="center"/>
            <w:hideMark/>
          </w:tcPr>
          <w:p w14:paraId="338AEAA4" w14:textId="77777777" w:rsidR="003275BA" w:rsidRPr="003275BA" w:rsidRDefault="003275BA" w:rsidP="003275BA">
            <w:pPr>
              <w:spacing w:after="0" w:line="240" w:lineRule="auto"/>
              <w:jc w:val="right"/>
              <w:rPr>
                <w:rFonts w:cs="Arial"/>
                <w:sz w:val="16"/>
                <w:szCs w:val="16"/>
              </w:rPr>
            </w:pPr>
            <w:r w:rsidRPr="003275BA">
              <w:rPr>
                <w:rFonts w:cs="Arial"/>
                <w:sz w:val="16"/>
                <w:szCs w:val="16"/>
              </w:rPr>
              <w:t>9,68</w:t>
            </w:r>
          </w:p>
        </w:tc>
        <w:tc>
          <w:tcPr>
            <w:tcW w:w="579" w:type="dxa"/>
            <w:tcBorders>
              <w:top w:val="nil"/>
              <w:left w:val="nil"/>
              <w:bottom w:val="nil"/>
              <w:right w:val="nil"/>
            </w:tcBorders>
            <w:shd w:val="clear" w:color="000000" w:fill="F5DADD"/>
            <w:noWrap/>
            <w:vAlign w:val="center"/>
            <w:hideMark/>
          </w:tcPr>
          <w:p w14:paraId="735852B8" w14:textId="77777777" w:rsidR="003275BA" w:rsidRPr="003275BA" w:rsidRDefault="003275BA" w:rsidP="003275BA">
            <w:pPr>
              <w:spacing w:after="0" w:line="240" w:lineRule="auto"/>
              <w:jc w:val="right"/>
              <w:rPr>
                <w:rFonts w:cs="Arial"/>
                <w:sz w:val="16"/>
                <w:szCs w:val="16"/>
              </w:rPr>
            </w:pPr>
            <w:r w:rsidRPr="003275BA">
              <w:rPr>
                <w:rFonts w:cs="Arial"/>
                <w:sz w:val="16"/>
                <w:szCs w:val="16"/>
              </w:rPr>
              <w:t>11,60</w:t>
            </w:r>
          </w:p>
        </w:tc>
        <w:tc>
          <w:tcPr>
            <w:tcW w:w="583" w:type="dxa"/>
            <w:tcBorders>
              <w:top w:val="nil"/>
              <w:left w:val="nil"/>
              <w:bottom w:val="nil"/>
              <w:right w:val="nil"/>
            </w:tcBorders>
            <w:shd w:val="clear" w:color="000000" w:fill="F5DADD"/>
            <w:noWrap/>
            <w:vAlign w:val="center"/>
            <w:hideMark/>
          </w:tcPr>
          <w:p w14:paraId="1E6A3F14" w14:textId="77777777" w:rsidR="003275BA" w:rsidRPr="003275BA" w:rsidRDefault="003275BA" w:rsidP="003275BA">
            <w:pPr>
              <w:spacing w:after="0" w:line="240" w:lineRule="auto"/>
              <w:jc w:val="right"/>
              <w:rPr>
                <w:rFonts w:cs="Arial"/>
                <w:sz w:val="16"/>
                <w:szCs w:val="16"/>
              </w:rPr>
            </w:pPr>
            <w:r w:rsidRPr="003275BA">
              <w:rPr>
                <w:rFonts w:cs="Arial"/>
                <w:sz w:val="16"/>
                <w:szCs w:val="16"/>
              </w:rPr>
              <w:t>13,78</w:t>
            </w:r>
          </w:p>
        </w:tc>
      </w:tr>
      <w:tr w:rsidR="003275BA" w:rsidRPr="003275BA" w14:paraId="03E32D93" w14:textId="77777777" w:rsidTr="003275BA">
        <w:trPr>
          <w:trHeight w:val="397"/>
        </w:trPr>
        <w:tc>
          <w:tcPr>
            <w:tcW w:w="2529" w:type="dxa"/>
            <w:tcBorders>
              <w:top w:val="nil"/>
              <w:left w:val="nil"/>
              <w:bottom w:val="nil"/>
              <w:right w:val="single" w:sz="4" w:space="0" w:color="auto"/>
            </w:tcBorders>
            <w:shd w:val="clear" w:color="auto" w:fill="auto"/>
            <w:vAlign w:val="center"/>
            <w:hideMark/>
          </w:tcPr>
          <w:p w14:paraId="17FAE2E7" w14:textId="77777777" w:rsidR="003275BA" w:rsidRPr="003275BA" w:rsidRDefault="003275BA" w:rsidP="003275BA">
            <w:pPr>
              <w:spacing w:after="0" w:line="240" w:lineRule="auto"/>
              <w:ind w:firstLineChars="100" w:firstLine="160"/>
              <w:rPr>
                <w:rFonts w:cs="Arial"/>
                <w:sz w:val="16"/>
                <w:szCs w:val="16"/>
              </w:rPr>
            </w:pPr>
            <w:r w:rsidRPr="003275BA">
              <w:rPr>
                <w:rFonts w:cs="Arial"/>
                <w:sz w:val="16"/>
                <w:szCs w:val="16"/>
              </w:rPr>
              <w:t>ošetřovné</w:t>
            </w:r>
          </w:p>
        </w:tc>
        <w:tc>
          <w:tcPr>
            <w:tcW w:w="583" w:type="dxa"/>
            <w:tcBorders>
              <w:top w:val="nil"/>
              <w:left w:val="nil"/>
              <w:bottom w:val="nil"/>
              <w:right w:val="nil"/>
            </w:tcBorders>
            <w:shd w:val="clear" w:color="auto" w:fill="auto"/>
            <w:noWrap/>
            <w:vAlign w:val="center"/>
            <w:hideMark/>
          </w:tcPr>
          <w:p w14:paraId="0EDF85C6" w14:textId="77777777" w:rsidR="003275BA" w:rsidRPr="003275BA" w:rsidRDefault="003275BA" w:rsidP="003275BA">
            <w:pPr>
              <w:spacing w:after="0" w:line="240" w:lineRule="auto"/>
              <w:jc w:val="right"/>
              <w:rPr>
                <w:rFonts w:cs="Arial"/>
                <w:sz w:val="16"/>
                <w:szCs w:val="16"/>
              </w:rPr>
            </w:pPr>
            <w:r w:rsidRPr="003275BA">
              <w:rPr>
                <w:rFonts w:cs="Arial"/>
                <w:sz w:val="16"/>
                <w:szCs w:val="16"/>
              </w:rPr>
              <w:t>0,48</w:t>
            </w:r>
          </w:p>
        </w:tc>
        <w:tc>
          <w:tcPr>
            <w:tcW w:w="580" w:type="dxa"/>
            <w:tcBorders>
              <w:top w:val="nil"/>
              <w:left w:val="nil"/>
              <w:bottom w:val="nil"/>
              <w:right w:val="nil"/>
            </w:tcBorders>
            <w:shd w:val="clear" w:color="auto" w:fill="auto"/>
            <w:noWrap/>
            <w:vAlign w:val="center"/>
            <w:hideMark/>
          </w:tcPr>
          <w:p w14:paraId="301BA5D8" w14:textId="77777777" w:rsidR="003275BA" w:rsidRPr="003275BA" w:rsidRDefault="003275BA" w:rsidP="003275BA">
            <w:pPr>
              <w:spacing w:after="0" w:line="240" w:lineRule="auto"/>
              <w:jc w:val="right"/>
              <w:rPr>
                <w:rFonts w:cs="Arial"/>
                <w:sz w:val="16"/>
                <w:szCs w:val="16"/>
              </w:rPr>
            </w:pPr>
            <w:r w:rsidRPr="003275BA">
              <w:rPr>
                <w:rFonts w:cs="Arial"/>
                <w:sz w:val="16"/>
                <w:szCs w:val="16"/>
              </w:rPr>
              <w:t>0,44</w:t>
            </w:r>
          </w:p>
        </w:tc>
        <w:tc>
          <w:tcPr>
            <w:tcW w:w="581" w:type="dxa"/>
            <w:tcBorders>
              <w:top w:val="nil"/>
              <w:left w:val="nil"/>
              <w:bottom w:val="nil"/>
              <w:right w:val="nil"/>
            </w:tcBorders>
            <w:shd w:val="clear" w:color="auto" w:fill="auto"/>
            <w:noWrap/>
            <w:vAlign w:val="center"/>
            <w:hideMark/>
          </w:tcPr>
          <w:p w14:paraId="2FB609B0" w14:textId="77777777" w:rsidR="003275BA" w:rsidRPr="003275BA" w:rsidRDefault="003275BA" w:rsidP="003275BA">
            <w:pPr>
              <w:spacing w:after="0" w:line="240" w:lineRule="auto"/>
              <w:jc w:val="right"/>
              <w:rPr>
                <w:rFonts w:cs="Arial"/>
                <w:sz w:val="16"/>
                <w:szCs w:val="16"/>
              </w:rPr>
            </w:pPr>
            <w:r w:rsidRPr="003275BA">
              <w:rPr>
                <w:rFonts w:cs="Arial"/>
                <w:sz w:val="16"/>
                <w:szCs w:val="16"/>
              </w:rPr>
              <w:t>0,22</w:t>
            </w:r>
          </w:p>
        </w:tc>
        <w:tc>
          <w:tcPr>
            <w:tcW w:w="580" w:type="dxa"/>
            <w:tcBorders>
              <w:top w:val="nil"/>
              <w:left w:val="nil"/>
              <w:bottom w:val="nil"/>
              <w:right w:val="nil"/>
            </w:tcBorders>
            <w:shd w:val="clear" w:color="auto" w:fill="auto"/>
            <w:noWrap/>
            <w:vAlign w:val="center"/>
            <w:hideMark/>
          </w:tcPr>
          <w:p w14:paraId="759E83F2" w14:textId="77777777" w:rsidR="003275BA" w:rsidRPr="003275BA" w:rsidRDefault="003275BA" w:rsidP="003275BA">
            <w:pPr>
              <w:spacing w:after="0" w:line="240" w:lineRule="auto"/>
              <w:jc w:val="right"/>
              <w:rPr>
                <w:rFonts w:cs="Arial"/>
                <w:sz w:val="16"/>
                <w:szCs w:val="16"/>
              </w:rPr>
            </w:pPr>
            <w:r w:rsidRPr="003275BA">
              <w:rPr>
                <w:rFonts w:cs="Arial"/>
                <w:sz w:val="16"/>
                <w:szCs w:val="16"/>
              </w:rPr>
              <w:t>0,39</w:t>
            </w:r>
          </w:p>
        </w:tc>
        <w:tc>
          <w:tcPr>
            <w:tcW w:w="581" w:type="dxa"/>
            <w:tcBorders>
              <w:top w:val="nil"/>
              <w:left w:val="nil"/>
              <w:bottom w:val="nil"/>
              <w:right w:val="nil"/>
            </w:tcBorders>
            <w:shd w:val="clear" w:color="auto" w:fill="auto"/>
            <w:noWrap/>
            <w:vAlign w:val="center"/>
            <w:hideMark/>
          </w:tcPr>
          <w:p w14:paraId="5D38C10A" w14:textId="77777777" w:rsidR="003275BA" w:rsidRPr="003275BA" w:rsidRDefault="003275BA" w:rsidP="003275BA">
            <w:pPr>
              <w:spacing w:after="0" w:line="240" w:lineRule="auto"/>
              <w:jc w:val="right"/>
              <w:rPr>
                <w:rFonts w:cs="Arial"/>
                <w:sz w:val="16"/>
                <w:szCs w:val="16"/>
              </w:rPr>
            </w:pPr>
            <w:r w:rsidRPr="003275BA">
              <w:rPr>
                <w:rFonts w:cs="Arial"/>
                <w:sz w:val="16"/>
                <w:szCs w:val="16"/>
              </w:rPr>
              <w:t>0,41</w:t>
            </w:r>
          </w:p>
        </w:tc>
        <w:tc>
          <w:tcPr>
            <w:tcW w:w="579" w:type="dxa"/>
            <w:tcBorders>
              <w:top w:val="nil"/>
              <w:left w:val="nil"/>
              <w:bottom w:val="nil"/>
              <w:right w:val="nil"/>
            </w:tcBorders>
            <w:shd w:val="clear" w:color="auto" w:fill="auto"/>
            <w:noWrap/>
            <w:vAlign w:val="center"/>
            <w:hideMark/>
          </w:tcPr>
          <w:p w14:paraId="65528CA6" w14:textId="77777777" w:rsidR="003275BA" w:rsidRPr="003275BA" w:rsidRDefault="003275BA" w:rsidP="003275BA">
            <w:pPr>
              <w:spacing w:after="0" w:line="240" w:lineRule="auto"/>
              <w:jc w:val="right"/>
              <w:rPr>
                <w:rFonts w:cs="Arial"/>
                <w:sz w:val="16"/>
                <w:szCs w:val="16"/>
              </w:rPr>
            </w:pPr>
            <w:r w:rsidRPr="003275BA">
              <w:rPr>
                <w:rFonts w:cs="Arial"/>
                <w:sz w:val="16"/>
                <w:szCs w:val="16"/>
              </w:rPr>
              <w:t>0,50</w:t>
            </w:r>
          </w:p>
        </w:tc>
        <w:tc>
          <w:tcPr>
            <w:tcW w:w="579" w:type="dxa"/>
            <w:tcBorders>
              <w:top w:val="nil"/>
              <w:left w:val="nil"/>
              <w:bottom w:val="nil"/>
              <w:right w:val="nil"/>
            </w:tcBorders>
            <w:shd w:val="clear" w:color="auto" w:fill="auto"/>
            <w:noWrap/>
            <w:vAlign w:val="center"/>
            <w:hideMark/>
          </w:tcPr>
          <w:p w14:paraId="2AEAAB5A" w14:textId="77777777" w:rsidR="003275BA" w:rsidRPr="003275BA" w:rsidRDefault="003275BA" w:rsidP="003275BA">
            <w:pPr>
              <w:spacing w:after="0" w:line="240" w:lineRule="auto"/>
              <w:jc w:val="right"/>
              <w:rPr>
                <w:rFonts w:cs="Arial"/>
                <w:sz w:val="16"/>
                <w:szCs w:val="16"/>
              </w:rPr>
            </w:pPr>
            <w:r w:rsidRPr="003275BA">
              <w:rPr>
                <w:rFonts w:cs="Arial"/>
                <w:sz w:val="16"/>
                <w:szCs w:val="16"/>
              </w:rPr>
              <w:t>0,46</w:t>
            </w:r>
          </w:p>
        </w:tc>
        <w:tc>
          <w:tcPr>
            <w:tcW w:w="579" w:type="dxa"/>
            <w:tcBorders>
              <w:top w:val="nil"/>
              <w:left w:val="nil"/>
              <w:bottom w:val="nil"/>
              <w:right w:val="nil"/>
            </w:tcBorders>
            <w:shd w:val="clear" w:color="auto" w:fill="auto"/>
            <w:noWrap/>
            <w:vAlign w:val="center"/>
            <w:hideMark/>
          </w:tcPr>
          <w:p w14:paraId="07BC5685" w14:textId="77777777" w:rsidR="003275BA" w:rsidRPr="003275BA" w:rsidRDefault="003275BA" w:rsidP="003275BA">
            <w:pPr>
              <w:spacing w:after="0" w:line="240" w:lineRule="auto"/>
              <w:jc w:val="right"/>
              <w:rPr>
                <w:rFonts w:cs="Arial"/>
                <w:sz w:val="16"/>
                <w:szCs w:val="16"/>
              </w:rPr>
            </w:pPr>
            <w:r w:rsidRPr="003275BA">
              <w:rPr>
                <w:rFonts w:cs="Arial"/>
                <w:sz w:val="16"/>
                <w:szCs w:val="16"/>
              </w:rPr>
              <w:t>0,63</w:t>
            </w:r>
          </w:p>
        </w:tc>
        <w:tc>
          <w:tcPr>
            <w:tcW w:w="579" w:type="dxa"/>
            <w:tcBorders>
              <w:top w:val="nil"/>
              <w:left w:val="nil"/>
              <w:bottom w:val="nil"/>
              <w:right w:val="nil"/>
            </w:tcBorders>
            <w:shd w:val="clear" w:color="auto" w:fill="auto"/>
            <w:noWrap/>
            <w:vAlign w:val="center"/>
            <w:hideMark/>
          </w:tcPr>
          <w:p w14:paraId="5F4FCFFB" w14:textId="77777777" w:rsidR="003275BA" w:rsidRPr="003275BA" w:rsidRDefault="003275BA" w:rsidP="003275BA">
            <w:pPr>
              <w:spacing w:after="0" w:line="240" w:lineRule="auto"/>
              <w:jc w:val="right"/>
              <w:rPr>
                <w:rFonts w:cs="Arial"/>
                <w:sz w:val="16"/>
                <w:szCs w:val="16"/>
              </w:rPr>
            </w:pPr>
            <w:r w:rsidRPr="003275BA">
              <w:rPr>
                <w:rFonts w:cs="Arial"/>
                <w:sz w:val="16"/>
                <w:szCs w:val="16"/>
              </w:rPr>
              <w:t>0,71</w:t>
            </w:r>
          </w:p>
        </w:tc>
        <w:tc>
          <w:tcPr>
            <w:tcW w:w="579" w:type="dxa"/>
            <w:tcBorders>
              <w:top w:val="nil"/>
              <w:left w:val="nil"/>
              <w:bottom w:val="nil"/>
              <w:right w:val="nil"/>
            </w:tcBorders>
            <w:shd w:val="clear" w:color="auto" w:fill="auto"/>
            <w:noWrap/>
            <w:vAlign w:val="center"/>
            <w:hideMark/>
          </w:tcPr>
          <w:p w14:paraId="13EABBB5" w14:textId="77777777" w:rsidR="003275BA" w:rsidRPr="003275BA" w:rsidRDefault="003275BA" w:rsidP="003275BA">
            <w:pPr>
              <w:spacing w:after="0" w:line="240" w:lineRule="auto"/>
              <w:jc w:val="right"/>
              <w:rPr>
                <w:rFonts w:cs="Arial"/>
                <w:sz w:val="16"/>
                <w:szCs w:val="16"/>
              </w:rPr>
            </w:pPr>
            <w:r w:rsidRPr="003275BA">
              <w:rPr>
                <w:rFonts w:cs="Arial"/>
                <w:sz w:val="16"/>
                <w:szCs w:val="16"/>
              </w:rPr>
              <w:t>0,84</w:t>
            </w:r>
          </w:p>
        </w:tc>
        <w:tc>
          <w:tcPr>
            <w:tcW w:w="579" w:type="dxa"/>
            <w:tcBorders>
              <w:top w:val="nil"/>
              <w:left w:val="nil"/>
              <w:bottom w:val="nil"/>
              <w:right w:val="nil"/>
            </w:tcBorders>
            <w:shd w:val="clear" w:color="auto" w:fill="auto"/>
            <w:noWrap/>
            <w:vAlign w:val="center"/>
            <w:hideMark/>
          </w:tcPr>
          <w:p w14:paraId="2F2FDB55" w14:textId="77777777" w:rsidR="003275BA" w:rsidRPr="003275BA" w:rsidRDefault="003275BA" w:rsidP="003275BA">
            <w:pPr>
              <w:spacing w:after="0" w:line="240" w:lineRule="auto"/>
              <w:jc w:val="right"/>
              <w:rPr>
                <w:rFonts w:cs="Arial"/>
                <w:sz w:val="16"/>
                <w:szCs w:val="16"/>
              </w:rPr>
            </w:pPr>
            <w:r w:rsidRPr="003275BA">
              <w:rPr>
                <w:rFonts w:cs="Arial"/>
                <w:sz w:val="16"/>
                <w:szCs w:val="16"/>
              </w:rPr>
              <w:t>0,99</w:t>
            </w:r>
          </w:p>
        </w:tc>
        <w:tc>
          <w:tcPr>
            <w:tcW w:w="583" w:type="dxa"/>
            <w:tcBorders>
              <w:top w:val="nil"/>
              <w:left w:val="nil"/>
              <w:bottom w:val="nil"/>
              <w:right w:val="nil"/>
            </w:tcBorders>
            <w:shd w:val="clear" w:color="auto" w:fill="auto"/>
            <w:noWrap/>
            <w:vAlign w:val="center"/>
            <w:hideMark/>
          </w:tcPr>
          <w:p w14:paraId="59FE17C8" w14:textId="77777777" w:rsidR="003275BA" w:rsidRPr="003275BA" w:rsidRDefault="003275BA" w:rsidP="003275BA">
            <w:pPr>
              <w:spacing w:after="0" w:line="240" w:lineRule="auto"/>
              <w:jc w:val="right"/>
              <w:rPr>
                <w:rFonts w:cs="Arial"/>
                <w:sz w:val="16"/>
                <w:szCs w:val="16"/>
              </w:rPr>
            </w:pPr>
            <w:r w:rsidRPr="003275BA">
              <w:rPr>
                <w:rFonts w:cs="Arial"/>
                <w:sz w:val="16"/>
                <w:szCs w:val="16"/>
              </w:rPr>
              <w:t>1,02</w:t>
            </w:r>
          </w:p>
        </w:tc>
      </w:tr>
      <w:tr w:rsidR="003275BA" w:rsidRPr="003275BA" w14:paraId="77FD6621" w14:textId="77777777" w:rsidTr="003275BA">
        <w:trPr>
          <w:trHeight w:val="397"/>
        </w:trPr>
        <w:tc>
          <w:tcPr>
            <w:tcW w:w="2529" w:type="dxa"/>
            <w:tcBorders>
              <w:top w:val="nil"/>
              <w:left w:val="nil"/>
              <w:bottom w:val="nil"/>
              <w:right w:val="single" w:sz="4" w:space="0" w:color="auto"/>
            </w:tcBorders>
            <w:shd w:val="clear" w:color="auto" w:fill="auto"/>
            <w:vAlign w:val="center"/>
            <w:hideMark/>
          </w:tcPr>
          <w:p w14:paraId="3D5812AE" w14:textId="77777777" w:rsidR="003275BA" w:rsidRPr="003275BA" w:rsidRDefault="003275BA" w:rsidP="003275BA">
            <w:pPr>
              <w:spacing w:after="0" w:line="240" w:lineRule="auto"/>
              <w:ind w:firstLineChars="100" w:firstLine="160"/>
              <w:rPr>
                <w:rFonts w:cs="Arial"/>
                <w:sz w:val="16"/>
                <w:szCs w:val="16"/>
              </w:rPr>
            </w:pPr>
            <w:r w:rsidRPr="003275BA">
              <w:rPr>
                <w:rFonts w:cs="Arial"/>
                <w:sz w:val="16"/>
                <w:szCs w:val="16"/>
              </w:rPr>
              <w:t>peněžitá pomoc v mateřství</w:t>
            </w:r>
          </w:p>
        </w:tc>
        <w:tc>
          <w:tcPr>
            <w:tcW w:w="583" w:type="dxa"/>
            <w:tcBorders>
              <w:top w:val="nil"/>
              <w:left w:val="nil"/>
              <w:bottom w:val="nil"/>
              <w:right w:val="nil"/>
            </w:tcBorders>
            <w:shd w:val="clear" w:color="auto" w:fill="auto"/>
            <w:noWrap/>
            <w:vAlign w:val="center"/>
            <w:hideMark/>
          </w:tcPr>
          <w:p w14:paraId="76D1727A" w14:textId="77777777" w:rsidR="003275BA" w:rsidRPr="003275BA" w:rsidRDefault="003275BA" w:rsidP="003275BA">
            <w:pPr>
              <w:spacing w:after="0" w:line="240" w:lineRule="auto"/>
              <w:jc w:val="right"/>
              <w:rPr>
                <w:rFonts w:cs="Arial"/>
                <w:sz w:val="16"/>
                <w:szCs w:val="16"/>
              </w:rPr>
            </w:pPr>
            <w:r w:rsidRPr="003275BA">
              <w:rPr>
                <w:rFonts w:cs="Arial"/>
                <w:sz w:val="16"/>
                <w:szCs w:val="16"/>
              </w:rPr>
              <w:t>3,09</w:t>
            </w:r>
          </w:p>
        </w:tc>
        <w:tc>
          <w:tcPr>
            <w:tcW w:w="580" w:type="dxa"/>
            <w:tcBorders>
              <w:top w:val="nil"/>
              <w:left w:val="nil"/>
              <w:bottom w:val="nil"/>
              <w:right w:val="nil"/>
            </w:tcBorders>
            <w:shd w:val="clear" w:color="auto" w:fill="auto"/>
            <w:noWrap/>
            <w:vAlign w:val="center"/>
            <w:hideMark/>
          </w:tcPr>
          <w:p w14:paraId="5C21A748" w14:textId="77777777" w:rsidR="003275BA" w:rsidRPr="003275BA" w:rsidRDefault="003275BA" w:rsidP="003275BA">
            <w:pPr>
              <w:spacing w:after="0" w:line="240" w:lineRule="auto"/>
              <w:jc w:val="right"/>
              <w:rPr>
                <w:rFonts w:cs="Arial"/>
                <w:sz w:val="16"/>
                <w:szCs w:val="16"/>
              </w:rPr>
            </w:pPr>
            <w:r w:rsidRPr="003275BA">
              <w:rPr>
                <w:rFonts w:cs="Arial"/>
                <w:sz w:val="16"/>
                <w:szCs w:val="16"/>
              </w:rPr>
              <w:t>3,27</w:t>
            </w:r>
          </w:p>
        </w:tc>
        <w:tc>
          <w:tcPr>
            <w:tcW w:w="581" w:type="dxa"/>
            <w:tcBorders>
              <w:top w:val="nil"/>
              <w:left w:val="nil"/>
              <w:bottom w:val="nil"/>
              <w:right w:val="nil"/>
            </w:tcBorders>
            <w:shd w:val="clear" w:color="auto" w:fill="auto"/>
            <w:noWrap/>
            <w:vAlign w:val="center"/>
            <w:hideMark/>
          </w:tcPr>
          <w:p w14:paraId="121B63D4" w14:textId="77777777" w:rsidR="003275BA" w:rsidRPr="003275BA" w:rsidRDefault="003275BA" w:rsidP="003275BA">
            <w:pPr>
              <w:spacing w:after="0" w:line="240" w:lineRule="auto"/>
              <w:jc w:val="right"/>
              <w:rPr>
                <w:rFonts w:cs="Arial"/>
                <w:sz w:val="16"/>
                <w:szCs w:val="16"/>
              </w:rPr>
            </w:pPr>
            <w:r w:rsidRPr="003275BA">
              <w:rPr>
                <w:rFonts w:cs="Arial"/>
                <w:sz w:val="16"/>
                <w:szCs w:val="16"/>
              </w:rPr>
              <w:t>3,01</w:t>
            </w:r>
          </w:p>
        </w:tc>
        <w:tc>
          <w:tcPr>
            <w:tcW w:w="580" w:type="dxa"/>
            <w:tcBorders>
              <w:top w:val="nil"/>
              <w:left w:val="nil"/>
              <w:bottom w:val="nil"/>
              <w:right w:val="nil"/>
            </w:tcBorders>
            <w:shd w:val="clear" w:color="auto" w:fill="auto"/>
            <w:noWrap/>
            <w:vAlign w:val="center"/>
            <w:hideMark/>
          </w:tcPr>
          <w:p w14:paraId="3FD17A5B" w14:textId="77777777" w:rsidR="003275BA" w:rsidRPr="003275BA" w:rsidRDefault="003275BA" w:rsidP="003275BA">
            <w:pPr>
              <w:spacing w:after="0" w:line="240" w:lineRule="auto"/>
              <w:jc w:val="right"/>
              <w:rPr>
                <w:rFonts w:cs="Arial"/>
                <w:sz w:val="16"/>
                <w:szCs w:val="16"/>
              </w:rPr>
            </w:pPr>
            <w:r w:rsidRPr="003275BA">
              <w:rPr>
                <w:rFonts w:cs="Arial"/>
                <w:sz w:val="16"/>
                <w:szCs w:val="16"/>
              </w:rPr>
              <w:t>3,69</w:t>
            </w:r>
          </w:p>
        </w:tc>
        <w:tc>
          <w:tcPr>
            <w:tcW w:w="581" w:type="dxa"/>
            <w:tcBorders>
              <w:top w:val="nil"/>
              <w:left w:val="nil"/>
              <w:bottom w:val="nil"/>
              <w:right w:val="nil"/>
            </w:tcBorders>
            <w:shd w:val="clear" w:color="auto" w:fill="auto"/>
            <w:noWrap/>
            <w:vAlign w:val="center"/>
            <w:hideMark/>
          </w:tcPr>
          <w:p w14:paraId="624FD3B1" w14:textId="77777777" w:rsidR="003275BA" w:rsidRPr="003275BA" w:rsidRDefault="003275BA" w:rsidP="003275BA">
            <w:pPr>
              <w:spacing w:after="0" w:line="240" w:lineRule="auto"/>
              <w:jc w:val="right"/>
              <w:rPr>
                <w:rFonts w:cs="Arial"/>
                <w:sz w:val="16"/>
                <w:szCs w:val="16"/>
              </w:rPr>
            </w:pPr>
            <w:r w:rsidRPr="003275BA">
              <w:rPr>
                <w:rFonts w:cs="Arial"/>
                <w:sz w:val="16"/>
                <w:szCs w:val="16"/>
              </w:rPr>
              <w:t>3,51</w:t>
            </w:r>
          </w:p>
        </w:tc>
        <w:tc>
          <w:tcPr>
            <w:tcW w:w="579" w:type="dxa"/>
            <w:tcBorders>
              <w:top w:val="nil"/>
              <w:left w:val="nil"/>
              <w:bottom w:val="nil"/>
              <w:right w:val="nil"/>
            </w:tcBorders>
            <w:shd w:val="clear" w:color="auto" w:fill="auto"/>
            <w:noWrap/>
            <w:vAlign w:val="center"/>
            <w:hideMark/>
          </w:tcPr>
          <w:p w14:paraId="2B7916F4" w14:textId="77777777" w:rsidR="003275BA" w:rsidRPr="003275BA" w:rsidRDefault="003275BA" w:rsidP="003275BA">
            <w:pPr>
              <w:spacing w:after="0" w:line="240" w:lineRule="auto"/>
              <w:jc w:val="right"/>
              <w:rPr>
                <w:rFonts w:cs="Arial"/>
                <w:sz w:val="16"/>
                <w:szCs w:val="16"/>
              </w:rPr>
            </w:pPr>
            <w:r w:rsidRPr="003275BA">
              <w:rPr>
                <w:rFonts w:cs="Arial"/>
                <w:sz w:val="16"/>
                <w:szCs w:val="16"/>
              </w:rPr>
              <w:t>3,55</w:t>
            </w:r>
          </w:p>
        </w:tc>
        <w:tc>
          <w:tcPr>
            <w:tcW w:w="579" w:type="dxa"/>
            <w:tcBorders>
              <w:top w:val="nil"/>
              <w:left w:val="nil"/>
              <w:bottom w:val="nil"/>
              <w:right w:val="nil"/>
            </w:tcBorders>
            <w:shd w:val="clear" w:color="auto" w:fill="auto"/>
            <w:noWrap/>
            <w:vAlign w:val="center"/>
            <w:hideMark/>
          </w:tcPr>
          <w:p w14:paraId="5F724676" w14:textId="77777777" w:rsidR="003275BA" w:rsidRPr="003275BA" w:rsidRDefault="003275BA" w:rsidP="003275BA">
            <w:pPr>
              <w:spacing w:after="0" w:line="240" w:lineRule="auto"/>
              <w:jc w:val="right"/>
              <w:rPr>
                <w:rFonts w:cs="Arial"/>
                <w:sz w:val="16"/>
                <w:szCs w:val="16"/>
              </w:rPr>
            </w:pPr>
            <w:r w:rsidRPr="003275BA">
              <w:rPr>
                <w:rFonts w:cs="Arial"/>
                <w:sz w:val="16"/>
                <w:szCs w:val="16"/>
              </w:rPr>
              <w:t>3,53</w:t>
            </w:r>
          </w:p>
        </w:tc>
        <w:tc>
          <w:tcPr>
            <w:tcW w:w="579" w:type="dxa"/>
            <w:tcBorders>
              <w:top w:val="nil"/>
              <w:left w:val="nil"/>
              <w:bottom w:val="nil"/>
              <w:right w:val="nil"/>
            </w:tcBorders>
            <w:shd w:val="clear" w:color="auto" w:fill="auto"/>
            <w:noWrap/>
            <w:vAlign w:val="center"/>
            <w:hideMark/>
          </w:tcPr>
          <w:p w14:paraId="3E060312" w14:textId="77777777" w:rsidR="003275BA" w:rsidRPr="003275BA" w:rsidRDefault="003275BA" w:rsidP="003275BA">
            <w:pPr>
              <w:spacing w:after="0" w:line="240" w:lineRule="auto"/>
              <w:jc w:val="right"/>
              <w:rPr>
                <w:rFonts w:cs="Arial"/>
                <w:sz w:val="16"/>
                <w:szCs w:val="16"/>
              </w:rPr>
            </w:pPr>
            <w:r w:rsidRPr="003275BA">
              <w:rPr>
                <w:rFonts w:cs="Arial"/>
                <w:sz w:val="16"/>
                <w:szCs w:val="16"/>
              </w:rPr>
              <w:t>3,66</w:t>
            </w:r>
          </w:p>
        </w:tc>
        <w:tc>
          <w:tcPr>
            <w:tcW w:w="579" w:type="dxa"/>
            <w:tcBorders>
              <w:top w:val="nil"/>
              <w:left w:val="nil"/>
              <w:bottom w:val="nil"/>
              <w:right w:val="nil"/>
            </w:tcBorders>
            <w:shd w:val="clear" w:color="auto" w:fill="auto"/>
            <w:noWrap/>
            <w:vAlign w:val="center"/>
            <w:hideMark/>
          </w:tcPr>
          <w:p w14:paraId="07B09A17" w14:textId="77777777" w:rsidR="003275BA" w:rsidRPr="003275BA" w:rsidRDefault="003275BA" w:rsidP="003275BA">
            <w:pPr>
              <w:spacing w:after="0" w:line="240" w:lineRule="auto"/>
              <w:jc w:val="right"/>
              <w:rPr>
                <w:rFonts w:cs="Arial"/>
                <w:sz w:val="16"/>
                <w:szCs w:val="16"/>
              </w:rPr>
            </w:pPr>
            <w:r w:rsidRPr="003275BA">
              <w:rPr>
                <w:rFonts w:cs="Arial"/>
                <w:sz w:val="16"/>
                <w:szCs w:val="16"/>
              </w:rPr>
              <w:t>3,90</w:t>
            </w:r>
          </w:p>
        </w:tc>
        <w:tc>
          <w:tcPr>
            <w:tcW w:w="579" w:type="dxa"/>
            <w:tcBorders>
              <w:top w:val="nil"/>
              <w:left w:val="nil"/>
              <w:bottom w:val="nil"/>
              <w:right w:val="nil"/>
            </w:tcBorders>
            <w:shd w:val="clear" w:color="auto" w:fill="auto"/>
            <w:noWrap/>
            <w:vAlign w:val="center"/>
            <w:hideMark/>
          </w:tcPr>
          <w:p w14:paraId="1D1421F3" w14:textId="77777777" w:rsidR="003275BA" w:rsidRPr="003275BA" w:rsidRDefault="003275BA" w:rsidP="003275BA">
            <w:pPr>
              <w:spacing w:after="0" w:line="240" w:lineRule="auto"/>
              <w:jc w:val="right"/>
              <w:rPr>
                <w:rFonts w:cs="Arial"/>
                <w:sz w:val="16"/>
                <w:szCs w:val="16"/>
              </w:rPr>
            </w:pPr>
            <w:r w:rsidRPr="003275BA">
              <w:rPr>
                <w:rFonts w:cs="Arial"/>
                <w:sz w:val="16"/>
                <w:szCs w:val="16"/>
              </w:rPr>
              <w:t>4,11</w:t>
            </w:r>
          </w:p>
        </w:tc>
        <w:tc>
          <w:tcPr>
            <w:tcW w:w="579" w:type="dxa"/>
            <w:tcBorders>
              <w:top w:val="nil"/>
              <w:left w:val="nil"/>
              <w:bottom w:val="nil"/>
              <w:right w:val="nil"/>
            </w:tcBorders>
            <w:shd w:val="clear" w:color="auto" w:fill="auto"/>
            <w:noWrap/>
            <w:vAlign w:val="center"/>
            <w:hideMark/>
          </w:tcPr>
          <w:p w14:paraId="28672698" w14:textId="77777777" w:rsidR="003275BA" w:rsidRPr="003275BA" w:rsidRDefault="003275BA" w:rsidP="003275BA">
            <w:pPr>
              <w:spacing w:after="0" w:line="240" w:lineRule="auto"/>
              <w:jc w:val="right"/>
              <w:rPr>
                <w:rFonts w:cs="Arial"/>
                <w:sz w:val="16"/>
                <w:szCs w:val="16"/>
              </w:rPr>
            </w:pPr>
            <w:r w:rsidRPr="003275BA">
              <w:rPr>
                <w:rFonts w:cs="Arial"/>
                <w:sz w:val="16"/>
                <w:szCs w:val="16"/>
              </w:rPr>
              <w:t>4,49</w:t>
            </w:r>
          </w:p>
        </w:tc>
        <w:tc>
          <w:tcPr>
            <w:tcW w:w="583" w:type="dxa"/>
            <w:tcBorders>
              <w:top w:val="nil"/>
              <w:left w:val="nil"/>
              <w:bottom w:val="nil"/>
              <w:right w:val="nil"/>
            </w:tcBorders>
            <w:shd w:val="clear" w:color="auto" w:fill="auto"/>
            <w:noWrap/>
            <w:vAlign w:val="center"/>
            <w:hideMark/>
          </w:tcPr>
          <w:p w14:paraId="18405B5B" w14:textId="77777777" w:rsidR="003275BA" w:rsidRPr="003275BA" w:rsidRDefault="003275BA" w:rsidP="003275BA">
            <w:pPr>
              <w:spacing w:after="0" w:line="240" w:lineRule="auto"/>
              <w:jc w:val="right"/>
              <w:rPr>
                <w:rFonts w:cs="Arial"/>
                <w:sz w:val="16"/>
                <w:szCs w:val="16"/>
              </w:rPr>
            </w:pPr>
            <w:r w:rsidRPr="003275BA">
              <w:rPr>
                <w:rFonts w:cs="Arial"/>
                <w:sz w:val="16"/>
                <w:szCs w:val="16"/>
              </w:rPr>
              <w:t>4,83</w:t>
            </w:r>
          </w:p>
        </w:tc>
      </w:tr>
      <w:tr w:rsidR="003275BA" w:rsidRPr="003275BA" w14:paraId="2B3F54F4" w14:textId="77777777" w:rsidTr="003275BA">
        <w:trPr>
          <w:trHeight w:val="397"/>
        </w:trPr>
        <w:tc>
          <w:tcPr>
            <w:tcW w:w="2529" w:type="dxa"/>
            <w:tcBorders>
              <w:top w:val="nil"/>
              <w:left w:val="nil"/>
              <w:bottom w:val="nil"/>
              <w:right w:val="single" w:sz="4" w:space="0" w:color="auto"/>
            </w:tcBorders>
            <w:shd w:val="clear" w:color="auto" w:fill="auto"/>
            <w:vAlign w:val="center"/>
            <w:hideMark/>
          </w:tcPr>
          <w:p w14:paraId="054E7F9C" w14:textId="77777777" w:rsidR="003275BA" w:rsidRDefault="003275BA" w:rsidP="003275BA">
            <w:pPr>
              <w:spacing w:after="0" w:line="240" w:lineRule="auto"/>
              <w:ind w:firstLineChars="100" w:firstLine="160"/>
              <w:rPr>
                <w:rFonts w:cs="Arial"/>
                <w:sz w:val="16"/>
                <w:szCs w:val="16"/>
              </w:rPr>
            </w:pPr>
            <w:r w:rsidRPr="003275BA">
              <w:rPr>
                <w:rFonts w:cs="Arial"/>
                <w:sz w:val="16"/>
                <w:szCs w:val="16"/>
              </w:rPr>
              <w:t xml:space="preserve">vyrovnávací příspěvek </w:t>
            </w:r>
          </w:p>
          <w:p w14:paraId="4F440968" w14:textId="336A04FF" w:rsidR="003275BA" w:rsidRPr="003275BA" w:rsidRDefault="003275BA" w:rsidP="003275BA">
            <w:pPr>
              <w:spacing w:after="0" w:line="240" w:lineRule="auto"/>
              <w:ind w:firstLineChars="100" w:firstLine="160"/>
              <w:rPr>
                <w:rFonts w:cs="Arial"/>
                <w:sz w:val="16"/>
                <w:szCs w:val="16"/>
              </w:rPr>
            </w:pPr>
            <w:r w:rsidRPr="003275BA">
              <w:rPr>
                <w:rFonts w:cs="Arial"/>
                <w:sz w:val="16"/>
                <w:szCs w:val="16"/>
              </w:rPr>
              <w:t>v těhotenství a mateřství</w:t>
            </w:r>
          </w:p>
        </w:tc>
        <w:tc>
          <w:tcPr>
            <w:tcW w:w="583" w:type="dxa"/>
            <w:tcBorders>
              <w:top w:val="nil"/>
              <w:left w:val="nil"/>
              <w:bottom w:val="nil"/>
              <w:right w:val="nil"/>
            </w:tcBorders>
            <w:shd w:val="clear" w:color="auto" w:fill="auto"/>
            <w:noWrap/>
            <w:vAlign w:val="center"/>
            <w:hideMark/>
          </w:tcPr>
          <w:p w14:paraId="0029B9B8" w14:textId="77777777" w:rsidR="003275BA" w:rsidRPr="003275BA" w:rsidRDefault="003275BA" w:rsidP="003275BA">
            <w:pPr>
              <w:spacing w:after="0" w:line="240" w:lineRule="auto"/>
              <w:jc w:val="right"/>
              <w:rPr>
                <w:rFonts w:cs="Arial"/>
                <w:sz w:val="16"/>
                <w:szCs w:val="16"/>
              </w:rPr>
            </w:pPr>
            <w:r w:rsidRPr="003275BA">
              <w:rPr>
                <w:rFonts w:cs="Arial"/>
                <w:sz w:val="16"/>
                <w:szCs w:val="16"/>
              </w:rPr>
              <w:t>0,002</w:t>
            </w:r>
          </w:p>
        </w:tc>
        <w:tc>
          <w:tcPr>
            <w:tcW w:w="580" w:type="dxa"/>
            <w:tcBorders>
              <w:top w:val="nil"/>
              <w:left w:val="nil"/>
              <w:bottom w:val="nil"/>
              <w:right w:val="nil"/>
            </w:tcBorders>
            <w:shd w:val="clear" w:color="auto" w:fill="auto"/>
            <w:noWrap/>
            <w:vAlign w:val="center"/>
            <w:hideMark/>
          </w:tcPr>
          <w:p w14:paraId="5BC680A3" w14:textId="77777777" w:rsidR="003275BA" w:rsidRPr="003275BA" w:rsidRDefault="003275BA" w:rsidP="003275BA">
            <w:pPr>
              <w:spacing w:after="0" w:line="240" w:lineRule="auto"/>
              <w:jc w:val="right"/>
              <w:rPr>
                <w:rFonts w:cs="Arial"/>
                <w:sz w:val="16"/>
                <w:szCs w:val="16"/>
              </w:rPr>
            </w:pPr>
            <w:r w:rsidRPr="003275BA">
              <w:rPr>
                <w:rFonts w:cs="Arial"/>
                <w:sz w:val="16"/>
                <w:szCs w:val="16"/>
              </w:rPr>
              <w:t>0,003</w:t>
            </w:r>
          </w:p>
        </w:tc>
        <w:tc>
          <w:tcPr>
            <w:tcW w:w="581" w:type="dxa"/>
            <w:tcBorders>
              <w:top w:val="nil"/>
              <w:left w:val="nil"/>
              <w:bottom w:val="nil"/>
              <w:right w:val="nil"/>
            </w:tcBorders>
            <w:shd w:val="clear" w:color="auto" w:fill="auto"/>
            <w:noWrap/>
            <w:vAlign w:val="center"/>
            <w:hideMark/>
          </w:tcPr>
          <w:p w14:paraId="6941E147" w14:textId="77777777" w:rsidR="003275BA" w:rsidRPr="003275BA" w:rsidRDefault="003275BA" w:rsidP="003275BA">
            <w:pPr>
              <w:spacing w:after="0" w:line="240" w:lineRule="auto"/>
              <w:jc w:val="right"/>
              <w:rPr>
                <w:rFonts w:cs="Arial"/>
                <w:sz w:val="16"/>
                <w:szCs w:val="16"/>
              </w:rPr>
            </w:pPr>
            <w:r w:rsidRPr="003275BA">
              <w:rPr>
                <w:rFonts w:cs="Arial"/>
                <w:sz w:val="16"/>
                <w:szCs w:val="16"/>
              </w:rPr>
              <w:t>0,001</w:t>
            </w:r>
          </w:p>
        </w:tc>
        <w:tc>
          <w:tcPr>
            <w:tcW w:w="580" w:type="dxa"/>
            <w:tcBorders>
              <w:top w:val="nil"/>
              <w:left w:val="nil"/>
              <w:bottom w:val="nil"/>
              <w:right w:val="nil"/>
            </w:tcBorders>
            <w:shd w:val="clear" w:color="auto" w:fill="auto"/>
            <w:noWrap/>
            <w:vAlign w:val="center"/>
            <w:hideMark/>
          </w:tcPr>
          <w:p w14:paraId="1F6C56E2" w14:textId="77777777" w:rsidR="003275BA" w:rsidRPr="003275BA" w:rsidRDefault="003275BA" w:rsidP="003275BA">
            <w:pPr>
              <w:spacing w:after="0" w:line="240" w:lineRule="auto"/>
              <w:jc w:val="right"/>
              <w:rPr>
                <w:rFonts w:cs="Arial"/>
                <w:sz w:val="16"/>
                <w:szCs w:val="16"/>
              </w:rPr>
            </w:pPr>
            <w:r w:rsidRPr="003275BA">
              <w:rPr>
                <w:rFonts w:cs="Arial"/>
                <w:sz w:val="16"/>
                <w:szCs w:val="16"/>
              </w:rPr>
              <w:t>0,003</w:t>
            </w:r>
          </w:p>
        </w:tc>
        <w:tc>
          <w:tcPr>
            <w:tcW w:w="581" w:type="dxa"/>
            <w:tcBorders>
              <w:top w:val="nil"/>
              <w:left w:val="nil"/>
              <w:bottom w:val="nil"/>
              <w:right w:val="nil"/>
            </w:tcBorders>
            <w:shd w:val="clear" w:color="auto" w:fill="auto"/>
            <w:noWrap/>
            <w:vAlign w:val="center"/>
            <w:hideMark/>
          </w:tcPr>
          <w:p w14:paraId="1A4DD9C5" w14:textId="77777777" w:rsidR="003275BA" w:rsidRPr="003275BA" w:rsidRDefault="003275BA" w:rsidP="003275BA">
            <w:pPr>
              <w:spacing w:after="0" w:line="240" w:lineRule="auto"/>
              <w:jc w:val="right"/>
              <w:rPr>
                <w:rFonts w:cs="Arial"/>
                <w:sz w:val="16"/>
                <w:szCs w:val="16"/>
              </w:rPr>
            </w:pPr>
            <w:r w:rsidRPr="003275BA">
              <w:rPr>
                <w:rFonts w:cs="Arial"/>
                <w:sz w:val="16"/>
                <w:szCs w:val="16"/>
              </w:rPr>
              <w:t>0,003</w:t>
            </w:r>
          </w:p>
        </w:tc>
        <w:tc>
          <w:tcPr>
            <w:tcW w:w="579" w:type="dxa"/>
            <w:tcBorders>
              <w:top w:val="nil"/>
              <w:left w:val="nil"/>
              <w:bottom w:val="nil"/>
              <w:right w:val="nil"/>
            </w:tcBorders>
            <w:shd w:val="clear" w:color="auto" w:fill="auto"/>
            <w:noWrap/>
            <w:vAlign w:val="center"/>
            <w:hideMark/>
          </w:tcPr>
          <w:p w14:paraId="37A820DA" w14:textId="77777777" w:rsidR="003275BA" w:rsidRPr="003275BA" w:rsidRDefault="003275BA" w:rsidP="003275BA">
            <w:pPr>
              <w:spacing w:after="0" w:line="240" w:lineRule="auto"/>
              <w:jc w:val="right"/>
              <w:rPr>
                <w:rFonts w:cs="Arial"/>
                <w:sz w:val="16"/>
                <w:szCs w:val="16"/>
              </w:rPr>
            </w:pPr>
            <w:r w:rsidRPr="003275BA">
              <w:rPr>
                <w:rFonts w:cs="Arial"/>
                <w:sz w:val="16"/>
                <w:szCs w:val="16"/>
              </w:rPr>
              <w:t>0,003</w:t>
            </w:r>
          </w:p>
        </w:tc>
        <w:tc>
          <w:tcPr>
            <w:tcW w:w="579" w:type="dxa"/>
            <w:tcBorders>
              <w:top w:val="nil"/>
              <w:left w:val="nil"/>
              <w:bottom w:val="nil"/>
              <w:right w:val="nil"/>
            </w:tcBorders>
            <w:shd w:val="clear" w:color="auto" w:fill="auto"/>
            <w:noWrap/>
            <w:vAlign w:val="center"/>
            <w:hideMark/>
          </w:tcPr>
          <w:p w14:paraId="48010D35" w14:textId="77777777" w:rsidR="003275BA" w:rsidRPr="003275BA" w:rsidRDefault="003275BA" w:rsidP="003275BA">
            <w:pPr>
              <w:spacing w:after="0" w:line="240" w:lineRule="auto"/>
              <w:jc w:val="right"/>
              <w:rPr>
                <w:rFonts w:cs="Arial"/>
                <w:sz w:val="16"/>
                <w:szCs w:val="16"/>
              </w:rPr>
            </w:pPr>
            <w:r w:rsidRPr="003275BA">
              <w:rPr>
                <w:rFonts w:cs="Arial"/>
                <w:sz w:val="16"/>
                <w:szCs w:val="16"/>
              </w:rPr>
              <w:t>0,004</w:t>
            </w:r>
          </w:p>
        </w:tc>
        <w:tc>
          <w:tcPr>
            <w:tcW w:w="579" w:type="dxa"/>
            <w:tcBorders>
              <w:top w:val="nil"/>
              <w:left w:val="nil"/>
              <w:bottom w:val="nil"/>
              <w:right w:val="nil"/>
            </w:tcBorders>
            <w:shd w:val="clear" w:color="auto" w:fill="auto"/>
            <w:noWrap/>
            <w:vAlign w:val="center"/>
            <w:hideMark/>
          </w:tcPr>
          <w:p w14:paraId="6B648511" w14:textId="77777777" w:rsidR="003275BA" w:rsidRPr="003275BA" w:rsidRDefault="003275BA" w:rsidP="003275BA">
            <w:pPr>
              <w:spacing w:after="0" w:line="240" w:lineRule="auto"/>
              <w:jc w:val="right"/>
              <w:rPr>
                <w:rFonts w:cs="Arial"/>
                <w:sz w:val="16"/>
                <w:szCs w:val="16"/>
              </w:rPr>
            </w:pPr>
            <w:r w:rsidRPr="003275BA">
              <w:rPr>
                <w:rFonts w:cs="Arial"/>
                <w:sz w:val="16"/>
                <w:szCs w:val="16"/>
              </w:rPr>
              <w:t>0,004</w:t>
            </w:r>
          </w:p>
        </w:tc>
        <w:tc>
          <w:tcPr>
            <w:tcW w:w="579" w:type="dxa"/>
            <w:tcBorders>
              <w:top w:val="nil"/>
              <w:left w:val="nil"/>
              <w:bottom w:val="nil"/>
              <w:right w:val="nil"/>
            </w:tcBorders>
            <w:shd w:val="clear" w:color="auto" w:fill="auto"/>
            <w:noWrap/>
            <w:vAlign w:val="center"/>
            <w:hideMark/>
          </w:tcPr>
          <w:p w14:paraId="0A51BCB7" w14:textId="77777777" w:rsidR="003275BA" w:rsidRPr="003275BA" w:rsidRDefault="003275BA" w:rsidP="003275BA">
            <w:pPr>
              <w:spacing w:after="0" w:line="240" w:lineRule="auto"/>
              <w:jc w:val="right"/>
              <w:rPr>
                <w:rFonts w:cs="Arial"/>
                <w:sz w:val="16"/>
                <w:szCs w:val="16"/>
              </w:rPr>
            </w:pPr>
            <w:r w:rsidRPr="003275BA">
              <w:rPr>
                <w:rFonts w:cs="Arial"/>
                <w:sz w:val="16"/>
                <w:szCs w:val="16"/>
              </w:rPr>
              <w:t>0,005</w:t>
            </w:r>
          </w:p>
        </w:tc>
        <w:tc>
          <w:tcPr>
            <w:tcW w:w="579" w:type="dxa"/>
            <w:tcBorders>
              <w:top w:val="nil"/>
              <w:left w:val="nil"/>
              <w:bottom w:val="nil"/>
              <w:right w:val="nil"/>
            </w:tcBorders>
            <w:shd w:val="clear" w:color="auto" w:fill="auto"/>
            <w:noWrap/>
            <w:vAlign w:val="center"/>
            <w:hideMark/>
          </w:tcPr>
          <w:p w14:paraId="7CC15C5E" w14:textId="77777777" w:rsidR="003275BA" w:rsidRPr="003275BA" w:rsidRDefault="003275BA" w:rsidP="003275BA">
            <w:pPr>
              <w:spacing w:after="0" w:line="240" w:lineRule="auto"/>
              <w:jc w:val="right"/>
              <w:rPr>
                <w:rFonts w:cs="Arial"/>
                <w:sz w:val="16"/>
                <w:szCs w:val="16"/>
              </w:rPr>
            </w:pPr>
            <w:r w:rsidRPr="003275BA">
              <w:rPr>
                <w:rFonts w:cs="Arial"/>
                <w:sz w:val="16"/>
                <w:szCs w:val="16"/>
              </w:rPr>
              <w:t>0,004</w:t>
            </w:r>
          </w:p>
        </w:tc>
        <w:tc>
          <w:tcPr>
            <w:tcW w:w="579" w:type="dxa"/>
            <w:tcBorders>
              <w:top w:val="nil"/>
              <w:left w:val="nil"/>
              <w:bottom w:val="nil"/>
              <w:right w:val="nil"/>
            </w:tcBorders>
            <w:shd w:val="clear" w:color="auto" w:fill="auto"/>
            <w:noWrap/>
            <w:vAlign w:val="center"/>
            <w:hideMark/>
          </w:tcPr>
          <w:p w14:paraId="21018294" w14:textId="77777777" w:rsidR="003275BA" w:rsidRPr="003275BA" w:rsidRDefault="003275BA" w:rsidP="003275BA">
            <w:pPr>
              <w:spacing w:after="0" w:line="240" w:lineRule="auto"/>
              <w:jc w:val="right"/>
              <w:rPr>
                <w:rFonts w:cs="Arial"/>
                <w:sz w:val="16"/>
                <w:szCs w:val="16"/>
              </w:rPr>
            </w:pPr>
            <w:r w:rsidRPr="003275BA">
              <w:rPr>
                <w:rFonts w:cs="Arial"/>
                <w:sz w:val="16"/>
                <w:szCs w:val="16"/>
              </w:rPr>
              <w:t>0,004</w:t>
            </w:r>
          </w:p>
        </w:tc>
        <w:tc>
          <w:tcPr>
            <w:tcW w:w="583" w:type="dxa"/>
            <w:tcBorders>
              <w:top w:val="nil"/>
              <w:left w:val="nil"/>
              <w:bottom w:val="nil"/>
              <w:right w:val="nil"/>
            </w:tcBorders>
            <w:shd w:val="clear" w:color="auto" w:fill="auto"/>
            <w:noWrap/>
            <w:vAlign w:val="center"/>
            <w:hideMark/>
          </w:tcPr>
          <w:p w14:paraId="51FB2821" w14:textId="77777777" w:rsidR="003275BA" w:rsidRPr="003275BA" w:rsidRDefault="003275BA" w:rsidP="003275BA">
            <w:pPr>
              <w:spacing w:after="0" w:line="240" w:lineRule="auto"/>
              <w:jc w:val="right"/>
              <w:rPr>
                <w:rFonts w:cs="Arial"/>
                <w:sz w:val="16"/>
                <w:szCs w:val="16"/>
              </w:rPr>
            </w:pPr>
            <w:r w:rsidRPr="003275BA">
              <w:rPr>
                <w:rFonts w:cs="Arial"/>
                <w:sz w:val="16"/>
                <w:szCs w:val="16"/>
              </w:rPr>
              <w:t>0,005</w:t>
            </w:r>
          </w:p>
        </w:tc>
      </w:tr>
      <w:tr w:rsidR="003275BA" w:rsidRPr="003275BA" w14:paraId="6A56CEBB" w14:textId="77777777" w:rsidTr="003275BA">
        <w:trPr>
          <w:trHeight w:val="397"/>
        </w:trPr>
        <w:tc>
          <w:tcPr>
            <w:tcW w:w="2529" w:type="dxa"/>
            <w:tcBorders>
              <w:top w:val="nil"/>
              <w:left w:val="nil"/>
              <w:bottom w:val="nil"/>
              <w:right w:val="single" w:sz="4" w:space="0" w:color="auto"/>
            </w:tcBorders>
            <w:shd w:val="clear" w:color="auto" w:fill="auto"/>
            <w:noWrap/>
            <w:vAlign w:val="center"/>
            <w:hideMark/>
          </w:tcPr>
          <w:p w14:paraId="37AADBC0" w14:textId="77777777" w:rsidR="003275BA" w:rsidRPr="003275BA" w:rsidRDefault="003275BA" w:rsidP="003275BA">
            <w:pPr>
              <w:spacing w:after="0" w:line="240" w:lineRule="auto"/>
              <w:rPr>
                <w:rFonts w:cs="Arial"/>
                <w:sz w:val="16"/>
                <w:szCs w:val="16"/>
              </w:rPr>
            </w:pPr>
            <w:r w:rsidRPr="003275BA">
              <w:rPr>
                <w:rFonts w:cs="Arial"/>
                <w:sz w:val="16"/>
                <w:szCs w:val="16"/>
              </w:rPr>
              <w:t xml:space="preserve">   otcovská poporodní péče</w:t>
            </w:r>
            <w:r w:rsidRPr="003275BA">
              <w:rPr>
                <w:rFonts w:cs="Arial"/>
                <w:sz w:val="16"/>
                <w:szCs w:val="16"/>
                <w:vertAlign w:val="superscript"/>
              </w:rPr>
              <w:t>1)</w:t>
            </w:r>
          </w:p>
        </w:tc>
        <w:tc>
          <w:tcPr>
            <w:tcW w:w="583" w:type="dxa"/>
            <w:tcBorders>
              <w:top w:val="nil"/>
              <w:left w:val="nil"/>
              <w:bottom w:val="nil"/>
              <w:right w:val="nil"/>
            </w:tcBorders>
            <w:shd w:val="clear" w:color="auto" w:fill="auto"/>
            <w:vAlign w:val="center"/>
            <w:hideMark/>
          </w:tcPr>
          <w:p w14:paraId="30BD16B0" w14:textId="1A746DC4" w:rsidR="003275BA" w:rsidRPr="003275BA" w:rsidRDefault="003275BA" w:rsidP="009B0289">
            <w:pPr>
              <w:spacing w:after="0" w:line="240" w:lineRule="auto"/>
              <w:jc w:val="right"/>
              <w:rPr>
                <w:rFonts w:cs="Arial"/>
                <w:sz w:val="16"/>
                <w:szCs w:val="16"/>
              </w:rPr>
            </w:pPr>
            <w:r w:rsidRPr="003275BA">
              <w:rPr>
                <w:rFonts w:cs="Arial"/>
                <w:sz w:val="16"/>
                <w:szCs w:val="16"/>
              </w:rPr>
              <w:t xml:space="preserve"> </w:t>
            </w:r>
            <w:r w:rsidR="009B0289">
              <w:rPr>
                <w:rFonts w:cs="Arial"/>
                <w:sz w:val="16"/>
                <w:szCs w:val="16"/>
              </w:rPr>
              <w:t>–</w:t>
            </w:r>
            <w:r w:rsidRPr="003275BA">
              <w:rPr>
                <w:rFonts w:cs="Arial"/>
                <w:sz w:val="16"/>
                <w:szCs w:val="16"/>
              </w:rPr>
              <w:t xml:space="preserve">     </w:t>
            </w:r>
          </w:p>
        </w:tc>
        <w:tc>
          <w:tcPr>
            <w:tcW w:w="580" w:type="dxa"/>
            <w:tcBorders>
              <w:top w:val="nil"/>
              <w:left w:val="nil"/>
              <w:bottom w:val="nil"/>
              <w:right w:val="nil"/>
            </w:tcBorders>
            <w:shd w:val="clear" w:color="auto" w:fill="auto"/>
            <w:vAlign w:val="center"/>
            <w:hideMark/>
          </w:tcPr>
          <w:p w14:paraId="611C31C8" w14:textId="4FAAECCE" w:rsidR="003275BA" w:rsidRPr="003275BA" w:rsidRDefault="009B0289" w:rsidP="003275BA">
            <w:pPr>
              <w:spacing w:after="0" w:line="240" w:lineRule="auto"/>
              <w:jc w:val="right"/>
              <w:rPr>
                <w:rFonts w:cs="Arial"/>
                <w:sz w:val="16"/>
                <w:szCs w:val="16"/>
              </w:rPr>
            </w:pPr>
            <w:r>
              <w:rPr>
                <w:rFonts w:cs="Arial"/>
                <w:sz w:val="16"/>
                <w:szCs w:val="16"/>
              </w:rPr>
              <w:t>–</w:t>
            </w:r>
          </w:p>
        </w:tc>
        <w:tc>
          <w:tcPr>
            <w:tcW w:w="581" w:type="dxa"/>
            <w:tcBorders>
              <w:top w:val="nil"/>
              <w:left w:val="nil"/>
              <w:bottom w:val="nil"/>
              <w:right w:val="nil"/>
            </w:tcBorders>
            <w:shd w:val="clear" w:color="auto" w:fill="auto"/>
            <w:vAlign w:val="center"/>
            <w:hideMark/>
          </w:tcPr>
          <w:p w14:paraId="11AEA950" w14:textId="406DBA93" w:rsidR="003275BA" w:rsidRPr="003275BA" w:rsidRDefault="009B0289" w:rsidP="003275BA">
            <w:pPr>
              <w:spacing w:after="0" w:line="240" w:lineRule="auto"/>
              <w:jc w:val="right"/>
              <w:rPr>
                <w:rFonts w:cs="Arial"/>
                <w:sz w:val="16"/>
                <w:szCs w:val="16"/>
              </w:rPr>
            </w:pPr>
            <w:r>
              <w:rPr>
                <w:rFonts w:cs="Arial"/>
                <w:sz w:val="16"/>
                <w:szCs w:val="16"/>
              </w:rPr>
              <w:t>–</w:t>
            </w:r>
            <w:r w:rsidR="003275BA" w:rsidRPr="003275BA">
              <w:rPr>
                <w:rFonts w:cs="Arial"/>
                <w:sz w:val="16"/>
                <w:szCs w:val="16"/>
              </w:rPr>
              <w:t xml:space="preserve">     </w:t>
            </w:r>
          </w:p>
        </w:tc>
        <w:tc>
          <w:tcPr>
            <w:tcW w:w="580" w:type="dxa"/>
            <w:tcBorders>
              <w:top w:val="nil"/>
              <w:left w:val="nil"/>
              <w:bottom w:val="nil"/>
              <w:right w:val="nil"/>
            </w:tcBorders>
            <w:shd w:val="clear" w:color="auto" w:fill="auto"/>
            <w:vAlign w:val="center"/>
            <w:hideMark/>
          </w:tcPr>
          <w:p w14:paraId="74A22BDD" w14:textId="215AA810" w:rsidR="003275BA" w:rsidRPr="003275BA" w:rsidRDefault="003275BA" w:rsidP="003275BA">
            <w:pPr>
              <w:spacing w:after="0" w:line="240" w:lineRule="auto"/>
              <w:jc w:val="right"/>
              <w:rPr>
                <w:rFonts w:cs="Arial"/>
                <w:sz w:val="16"/>
                <w:szCs w:val="16"/>
              </w:rPr>
            </w:pPr>
            <w:r w:rsidRPr="003275BA">
              <w:rPr>
                <w:rFonts w:cs="Arial"/>
                <w:sz w:val="16"/>
                <w:szCs w:val="16"/>
              </w:rPr>
              <w:t xml:space="preserve"> </w:t>
            </w:r>
            <w:r w:rsidR="009B0289">
              <w:rPr>
                <w:rFonts w:cs="Arial"/>
                <w:sz w:val="16"/>
                <w:szCs w:val="16"/>
              </w:rPr>
              <w:t>–</w:t>
            </w:r>
            <w:r w:rsidRPr="003275BA">
              <w:rPr>
                <w:rFonts w:cs="Arial"/>
                <w:sz w:val="16"/>
                <w:szCs w:val="16"/>
              </w:rPr>
              <w:t xml:space="preserve">     </w:t>
            </w:r>
          </w:p>
        </w:tc>
        <w:tc>
          <w:tcPr>
            <w:tcW w:w="581" w:type="dxa"/>
            <w:tcBorders>
              <w:top w:val="nil"/>
              <w:left w:val="nil"/>
              <w:bottom w:val="nil"/>
              <w:right w:val="nil"/>
            </w:tcBorders>
            <w:shd w:val="clear" w:color="auto" w:fill="auto"/>
            <w:vAlign w:val="center"/>
            <w:hideMark/>
          </w:tcPr>
          <w:p w14:paraId="0C79BA45" w14:textId="3CC40BDE" w:rsidR="003275BA" w:rsidRPr="003275BA" w:rsidRDefault="003275BA" w:rsidP="003275BA">
            <w:pPr>
              <w:spacing w:after="0" w:line="240" w:lineRule="auto"/>
              <w:jc w:val="right"/>
              <w:rPr>
                <w:rFonts w:cs="Arial"/>
                <w:sz w:val="16"/>
                <w:szCs w:val="16"/>
              </w:rPr>
            </w:pPr>
            <w:r w:rsidRPr="003275BA">
              <w:rPr>
                <w:rFonts w:cs="Arial"/>
                <w:sz w:val="16"/>
                <w:szCs w:val="16"/>
              </w:rPr>
              <w:t xml:space="preserve"> </w:t>
            </w:r>
            <w:r w:rsidR="009B0289">
              <w:rPr>
                <w:rFonts w:cs="Arial"/>
                <w:sz w:val="16"/>
                <w:szCs w:val="16"/>
              </w:rPr>
              <w:t>–</w:t>
            </w:r>
            <w:r w:rsidRPr="003275BA">
              <w:rPr>
                <w:rFonts w:cs="Arial"/>
                <w:sz w:val="16"/>
                <w:szCs w:val="16"/>
              </w:rPr>
              <w:t xml:space="preserve">     </w:t>
            </w:r>
          </w:p>
        </w:tc>
        <w:tc>
          <w:tcPr>
            <w:tcW w:w="579" w:type="dxa"/>
            <w:tcBorders>
              <w:top w:val="nil"/>
              <w:left w:val="nil"/>
              <w:bottom w:val="nil"/>
              <w:right w:val="nil"/>
            </w:tcBorders>
            <w:shd w:val="clear" w:color="auto" w:fill="auto"/>
            <w:vAlign w:val="center"/>
            <w:hideMark/>
          </w:tcPr>
          <w:p w14:paraId="34EB9BA5" w14:textId="7F27735F" w:rsidR="003275BA" w:rsidRPr="003275BA" w:rsidRDefault="009B0289" w:rsidP="009B0289">
            <w:pPr>
              <w:spacing w:after="0" w:line="240" w:lineRule="auto"/>
              <w:jc w:val="right"/>
              <w:rPr>
                <w:rFonts w:cs="Arial"/>
                <w:sz w:val="16"/>
                <w:szCs w:val="16"/>
              </w:rPr>
            </w:pPr>
            <w:r>
              <w:rPr>
                <w:rFonts w:cs="Arial"/>
                <w:sz w:val="16"/>
                <w:szCs w:val="16"/>
              </w:rPr>
              <w:t>–</w:t>
            </w:r>
            <w:r w:rsidR="003275BA" w:rsidRPr="003275BA">
              <w:rPr>
                <w:rFonts w:cs="Arial"/>
                <w:sz w:val="16"/>
                <w:szCs w:val="16"/>
              </w:rPr>
              <w:t xml:space="preserve">     </w:t>
            </w:r>
          </w:p>
        </w:tc>
        <w:tc>
          <w:tcPr>
            <w:tcW w:w="579" w:type="dxa"/>
            <w:tcBorders>
              <w:top w:val="nil"/>
              <w:left w:val="nil"/>
              <w:bottom w:val="nil"/>
              <w:right w:val="nil"/>
            </w:tcBorders>
            <w:shd w:val="clear" w:color="auto" w:fill="auto"/>
            <w:vAlign w:val="center"/>
            <w:hideMark/>
          </w:tcPr>
          <w:p w14:paraId="4DBED3B8" w14:textId="3B706064" w:rsidR="003275BA" w:rsidRPr="003275BA" w:rsidRDefault="009B0289" w:rsidP="003275BA">
            <w:pPr>
              <w:spacing w:after="0" w:line="240" w:lineRule="auto"/>
              <w:jc w:val="right"/>
              <w:rPr>
                <w:rFonts w:cs="Arial"/>
                <w:sz w:val="16"/>
                <w:szCs w:val="16"/>
              </w:rPr>
            </w:pPr>
            <w:r>
              <w:rPr>
                <w:rFonts w:cs="Arial"/>
                <w:sz w:val="16"/>
                <w:szCs w:val="16"/>
              </w:rPr>
              <w:t>–</w:t>
            </w:r>
            <w:r w:rsidR="003275BA" w:rsidRPr="003275BA">
              <w:rPr>
                <w:rFonts w:cs="Arial"/>
                <w:sz w:val="16"/>
                <w:szCs w:val="16"/>
              </w:rPr>
              <w:t xml:space="preserve">     </w:t>
            </w:r>
          </w:p>
        </w:tc>
        <w:tc>
          <w:tcPr>
            <w:tcW w:w="579" w:type="dxa"/>
            <w:tcBorders>
              <w:top w:val="nil"/>
              <w:left w:val="nil"/>
              <w:bottom w:val="nil"/>
              <w:right w:val="nil"/>
            </w:tcBorders>
            <w:shd w:val="clear" w:color="auto" w:fill="auto"/>
            <w:vAlign w:val="center"/>
            <w:hideMark/>
          </w:tcPr>
          <w:p w14:paraId="2CCD1E53" w14:textId="31545047" w:rsidR="003275BA" w:rsidRPr="003275BA" w:rsidRDefault="003275BA" w:rsidP="003275BA">
            <w:pPr>
              <w:spacing w:after="0" w:line="240" w:lineRule="auto"/>
              <w:jc w:val="right"/>
              <w:rPr>
                <w:rFonts w:cs="Arial"/>
                <w:sz w:val="16"/>
                <w:szCs w:val="16"/>
              </w:rPr>
            </w:pPr>
            <w:r w:rsidRPr="003275BA">
              <w:rPr>
                <w:rFonts w:cs="Arial"/>
                <w:sz w:val="16"/>
                <w:szCs w:val="16"/>
              </w:rPr>
              <w:t xml:space="preserve"> </w:t>
            </w:r>
            <w:r w:rsidR="009B0289">
              <w:rPr>
                <w:rFonts w:cs="Arial"/>
                <w:sz w:val="16"/>
                <w:szCs w:val="16"/>
              </w:rPr>
              <w:t>–</w:t>
            </w:r>
            <w:r w:rsidRPr="003275BA">
              <w:rPr>
                <w:rFonts w:cs="Arial"/>
                <w:sz w:val="16"/>
                <w:szCs w:val="16"/>
              </w:rPr>
              <w:t xml:space="preserve">    </w:t>
            </w:r>
          </w:p>
        </w:tc>
        <w:tc>
          <w:tcPr>
            <w:tcW w:w="579" w:type="dxa"/>
            <w:tcBorders>
              <w:top w:val="nil"/>
              <w:left w:val="nil"/>
              <w:bottom w:val="nil"/>
              <w:right w:val="nil"/>
            </w:tcBorders>
            <w:shd w:val="clear" w:color="auto" w:fill="auto"/>
            <w:vAlign w:val="center"/>
            <w:hideMark/>
          </w:tcPr>
          <w:p w14:paraId="54111FE2" w14:textId="49CF9853" w:rsidR="003275BA" w:rsidRPr="003275BA" w:rsidRDefault="009B0289" w:rsidP="003275BA">
            <w:pPr>
              <w:spacing w:after="0" w:line="240" w:lineRule="auto"/>
              <w:jc w:val="right"/>
              <w:rPr>
                <w:rFonts w:cs="Arial"/>
                <w:sz w:val="16"/>
                <w:szCs w:val="16"/>
              </w:rPr>
            </w:pPr>
            <w:r>
              <w:rPr>
                <w:rFonts w:cs="Arial"/>
                <w:sz w:val="16"/>
                <w:szCs w:val="16"/>
              </w:rPr>
              <w:t>–</w:t>
            </w:r>
          </w:p>
        </w:tc>
        <w:tc>
          <w:tcPr>
            <w:tcW w:w="579" w:type="dxa"/>
            <w:tcBorders>
              <w:top w:val="nil"/>
              <w:left w:val="nil"/>
              <w:bottom w:val="nil"/>
              <w:right w:val="nil"/>
            </w:tcBorders>
            <w:shd w:val="clear" w:color="auto" w:fill="auto"/>
            <w:vAlign w:val="center"/>
            <w:hideMark/>
          </w:tcPr>
          <w:p w14:paraId="3000F0C0" w14:textId="47DCD3B7" w:rsidR="003275BA" w:rsidRPr="003275BA" w:rsidRDefault="009B0289" w:rsidP="003275BA">
            <w:pPr>
              <w:spacing w:after="0" w:line="240" w:lineRule="auto"/>
              <w:jc w:val="right"/>
              <w:rPr>
                <w:rFonts w:cs="Arial"/>
                <w:sz w:val="16"/>
                <w:szCs w:val="16"/>
              </w:rPr>
            </w:pPr>
            <w:r>
              <w:rPr>
                <w:rFonts w:cs="Arial"/>
                <w:sz w:val="16"/>
                <w:szCs w:val="16"/>
              </w:rPr>
              <w:t>–</w:t>
            </w:r>
          </w:p>
        </w:tc>
        <w:tc>
          <w:tcPr>
            <w:tcW w:w="579" w:type="dxa"/>
            <w:tcBorders>
              <w:top w:val="nil"/>
              <w:left w:val="nil"/>
              <w:bottom w:val="nil"/>
              <w:right w:val="nil"/>
            </w:tcBorders>
            <w:shd w:val="clear" w:color="auto" w:fill="auto"/>
            <w:noWrap/>
            <w:vAlign w:val="center"/>
            <w:hideMark/>
          </w:tcPr>
          <w:p w14:paraId="2F20D2D0" w14:textId="77777777" w:rsidR="003275BA" w:rsidRPr="003275BA" w:rsidRDefault="003275BA" w:rsidP="003275BA">
            <w:pPr>
              <w:spacing w:after="0" w:line="240" w:lineRule="auto"/>
              <w:jc w:val="right"/>
              <w:rPr>
                <w:rFonts w:cs="Arial"/>
                <w:sz w:val="16"/>
                <w:szCs w:val="16"/>
              </w:rPr>
            </w:pPr>
            <w:r w:rsidRPr="003275BA">
              <w:rPr>
                <w:rFonts w:cs="Arial"/>
                <w:sz w:val="16"/>
                <w:szCs w:val="16"/>
              </w:rPr>
              <w:t>0,091</w:t>
            </w:r>
          </w:p>
        </w:tc>
        <w:tc>
          <w:tcPr>
            <w:tcW w:w="583" w:type="dxa"/>
            <w:tcBorders>
              <w:top w:val="nil"/>
              <w:left w:val="nil"/>
              <w:bottom w:val="nil"/>
              <w:right w:val="nil"/>
            </w:tcBorders>
            <w:shd w:val="clear" w:color="auto" w:fill="auto"/>
            <w:noWrap/>
            <w:vAlign w:val="center"/>
            <w:hideMark/>
          </w:tcPr>
          <w:p w14:paraId="19443FF8" w14:textId="77777777" w:rsidR="003275BA" w:rsidRPr="003275BA" w:rsidRDefault="003275BA" w:rsidP="003275BA">
            <w:pPr>
              <w:spacing w:after="0" w:line="240" w:lineRule="auto"/>
              <w:jc w:val="right"/>
              <w:rPr>
                <w:rFonts w:cs="Arial"/>
                <w:sz w:val="16"/>
                <w:szCs w:val="16"/>
              </w:rPr>
            </w:pPr>
            <w:r w:rsidRPr="003275BA">
              <w:rPr>
                <w:rFonts w:cs="Arial"/>
                <w:sz w:val="16"/>
                <w:szCs w:val="16"/>
              </w:rPr>
              <w:t>0,129</w:t>
            </w:r>
          </w:p>
        </w:tc>
      </w:tr>
      <w:tr w:rsidR="003275BA" w:rsidRPr="003275BA" w14:paraId="19DC8F07" w14:textId="77777777" w:rsidTr="003275BA">
        <w:trPr>
          <w:trHeight w:val="397"/>
        </w:trPr>
        <w:tc>
          <w:tcPr>
            <w:tcW w:w="2529" w:type="dxa"/>
            <w:tcBorders>
              <w:top w:val="nil"/>
              <w:left w:val="nil"/>
              <w:bottom w:val="nil"/>
              <w:right w:val="single" w:sz="4" w:space="0" w:color="auto"/>
            </w:tcBorders>
            <w:shd w:val="clear" w:color="auto" w:fill="auto"/>
            <w:noWrap/>
            <w:vAlign w:val="center"/>
            <w:hideMark/>
          </w:tcPr>
          <w:p w14:paraId="1F45BA45" w14:textId="77777777" w:rsidR="003275BA" w:rsidRPr="003275BA" w:rsidRDefault="003275BA" w:rsidP="003275BA">
            <w:pPr>
              <w:spacing w:after="0" w:line="240" w:lineRule="auto"/>
              <w:rPr>
                <w:rFonts w:cs="Arial"/>
                <w:sz w:val="16"/>
                <w:szCs w:val="16"/>
              </w:rPr>
            </w:pPr>
            <w:r w:rsidRPr="003275BA">
              <w:rPr>
                <w:rFonts w:cs="Arial"/>
                <w:sz w:val="16"/>
                <w:szCs w:val="16"/>
              </w:rPr>
              <w:t xml:space="preserve">   dlouhodobé ošetřovné</w:t>
            </w:r>
            <w:r w:rsidRPr="003275BA">
              <w:rPr>
                <w:rFonts w:cs="Arial"/>
                <w:sz w:val="16"/>
                <w:szCs w:val="16"/>
                <w:vertAlign w:val="superscript"/>
              </w:rPr>
              <w:t>2)</w:t>
            </w:r>
          </w:p>
        </w:tc>
        <w:tc>
          <w:tcPr>
            <w:tcW w:w="583" w:type="dxa"/>
            <w:tcBorders>
              <w:top w:val="nil"/>
              <w:left w:val="nil"/>
              <w:bottom w:val="nil"/>
              <w:right w:val="nil"/>
            </w:tcBorders>
            <w:shd w:val="clear" w:color="auto" w:fill="auto"/>
            <w:vAlign w:val="center"/>
            <w:hideMark/>
          </w:tcPr>
          <w:p w14:paraId="5107B6D7" w14:textId="5468EE67" w:rsidR="003275BA" w:rsidRPr="003275BA" w:rsidRDefault="009B0289" w:rsidP="003275BA">
            <w:pPr>
              <w:spacing w:after="0" w:line="240" w:lineRule="auto"/>
              <w:jc w:val="right"/>
              <w:rPr>
                <w:rFonts w:cs="Arial"/>
                <w:sz w:val="16"/>
                <w:szCs w:val="16"/>
              </w:rPr>
            </w:pPr>
            <w:r>
              <w:rPr>
                <w:rFonts w:cs="Arial"/>
                <w:sz w:val="16"/>
                <w:szCs w:val="16"/>
              </w:rPr>
              <w:t>–</w:t>
            </w:r>
            <w:r w:rsidR="003275BA" w:rsidRPr="003275BA">
              <w:rPr>
                <w:rFonts w:cs="Arial"/>
                <w:sz w:val="16"/>
                <w:szCs w:val="16"/>
              </w:rPr>
              <w:t xml:space="preserve">     </w:t>
            </w:r>
          </w:p>
        </w:tc>
        <w:tc>
          <w:tcPr>
            <w:tcW w:w="580" w:type="dxa"/>
            <w:tcBorders>
              <w:top w:val="nil"/>
              <w:left w:val="nil"/>
              <w:bottom w:val="nil"/>
              <w:right w:val="nil"/>
            </w:tcBorders>
            <w:shd w:val="clear" w:color="auto" w:fill="auto"/>
            <w:vAlign w:val="center"/>
            <w:hideMark/>
          </w:tcPr>
          <w:p w14:paraId="2FFE44C7" w14:textId="2D56DC0B" w:rsidR="003275BA" w:rsidRPr="003275BA" w:rsidRDefault="009B0289" w:rsidP="003275BA">
            <w:pPr>
              <w:spacing w:after="0" w:line="240" w:lineRule="auto"/>
              <w:jc w:val="right"/>
              <w:rPr>
                <w:rFonts w:cs="Arial"/>
                <w:sz w:val="16"/>
                <w:szCs w:val="16"/>
              </w:rPr>
            </w:pPr>
            <w:r>
              <w:rPr>
                <w:rFonts w:cs="Arial"/>
                <w:sz w:val="16"/>
                <w:szCs w:val="16"/>
              </w:rPr>
              <w:t>–</w:t>
            </w:r>
            <w:r w:rsidR="003275BA" w:rsidRPr="003275BA">
              <w:rPr>
                <w:rFonts w:cs="Arial"/>
                <w:sz w:val="16"/>
                <w:szCs w:val="16"/>
              </w:rPr>
              <w:t xml:space="preserve">     </w:t>
            </w:r>
          </w:p>
        </w:tc>
        <w:tc>
          <w:tcPr>
            <w:tcW w:w="581" w:type="dxa"/>
            <w:tcBorders>
              <w:top w:val="nil"/>
              <w:left w:val="nil"/>
              <w:bottom w:val="nil"/>
              <w:right w:val="nil"/>
            </w:tcBorders>
            <w:shd w:val="clear" w:color="auto" w:fill="auto"/>
            <w:vAlign w:val="center"/>
            <w:hideMark/>
          </w:tcPr>
          <w:p w14:paraId="48A144A2" w14:textId="4C034165" w:rsidR="003275BA" w:rsidRPr="003275BA" w:rsidRDefault="009B0289" w:rsidP="003275BA">
            <w:pPr>
              <w:spacing w:after="0" w:line="240" w:lineRule="auto"/>
              <w:jc w:val="right"/>
              <w:rPr>
                <w:rFonts w:cs="Arial"/>
                <w:sz w:val="16"/>
                <w:szCs w:val="16"/>
              </w:rPr>
            </w:pPr>
            <w:r>
              <w:rPr>
                <w:rFonts w:cs="Arial"/>
                <w:sz w:val="16"/>
                <w:szCs w:val="16"/>
              </w:rPr>
              <w:t>–</w:t>
            </w:r>
            <w:r w:rsidR="003275BA" w:rsidRPr="003275BA">
              <w:rPr>
                <w:rFonts w:cs="Arial"/>
                <w:sz w:val="16"/>
                <w:szCs w:val="16"/>
              </w:rPr>
              <w:t xml:space="preserve">     </w:t>
            </w:r>
          </w:p>
        </w:tc>
        <w:tc>
          <w:tcPr>
            <w:tcW w:w="580" w:type="dxa"/>
            <w:tcBorders>
              <w:top w:val="nil"/>
              <w:left w:val="nil"/>
              <w:bottom w:val="nil"/>
              <w:right w:val="nil"/>
            </w:tcBorders>
            <w:shd w:val="clear" w:color="auto" w:fill="auto"/>
            <w:vAlign w:val="center"/>
            <w:hideMark/>
          </w:tcPr>
          <w:p w14:paraId="6DD2D97C" w14:textId="2133B39E" w:rsidR="003275BA" w:rsidRPr="003275BA" w:rsidRDefault="009B0289" w:rsidP="003275BA">
            <w:pPr>
              <w:spacing w:after="0" w:line="240" w:lineRule="auto"/>
              <w:jc w:val="right"/>
              <w:rPr>
                <w:rFonts w:cs="Arial"/>
                <w:sz w:val="16"/>
                <w:szCs w:val="16"/>
              </w:rPr>
            </w:pPr>
            <w:r>
              <w:rPr>
                <w:rFonts w:cs="Arial"/>
                <w:sz w:val="16"/>
                <w:szCs w:val="16"/>
              </w:rPr>
              <w:t>–</w:t>
            </w:r>
            <w:r w:rsidR="003275BA" w:rsidRPr="003275BA">
              <w:rPr>
                <w:rFonts w:cs="Arial"/>
                <w:sz w:val="16"/>
                <w:szCs w:val="16"/>
              </w:rPr>
              <w:t xml:space="preserve">     </w:t>
            </w:r>
          </w:p>
        </w:tc>
        <w:tc>
          <w:tcPr>
            <w:tcW w:w="581" w:type="dxa"/>
            <w:tcBorders>
              <w:top w:val="nil"/>
              <w:left w:val="nil"/>
              <w:bottom w:val="nil"/>
              <w:right w:val="nil"/>
            </w:tcBorders>
            <w:shd w:val="clear" w:color="auto" w:fill="auto"/>
            <w:vAlign w:val="center"/>
            <w:hideMark/>
          </w:tcPr>
          <w:p w14:paraId="4CEE53B2" w14:textId="6EC10560" w:rsidR="003275BA" w:rsidRPr="003275BA" w:rsidRDefault="009B0289" w:rsidP="003275BA">
            <w:pPr>
              <w:spacing w:after="0" w:line="240" w:lineRule="auto"/>
              <w:jc w:val="right"/>
              <w:rPr>
                <w:rFonts w:cs="Arial"/>
                <w:sz w:val="16"/>
                <w:szCs w:val="16"/>
              </w:rPr>
            </w:pPr>
            <w:r>
              <w:rPr>
                <w:rFonts w:cs="Arial"/>
                <w:sz w:val="16"/>
                <w:szCs w:val="16"/>
              </w:rPr>
              <w:t>–</w:t>
            </w:r>
          </w:p>
        </w:tc>
        <w:tc>
          <w:tcPr>
            <w:tcW w:w="579" w:type="dxa"/>
            <w:tcBorders>
              <w:top w:val="nil"/>
              <w:left w:val="nil"/>
              <w:bottom w:val="nil"/>
              <w:right w:val="nil"/>
            </w:tcBorders>
            <w:shd w:val="clear" w:color="auto" w:fill="auto"/>
            <w:vAlign w:val="center"/>
            <w:hideMark/>
          </w:tcPr>
          <w:p w14:paraId="6E0DB1FF" w14:textId="56AF4BB8" w:rsidR="003275BA" w:rsidRPr="003275BA" w:rsidRDefault="009B0289" w:rsidP="003275BA">
            <w:pPr>
              <w:spacing w:after="0" w:line="240" w:lineRule="auto"/>
              <w:jc w:val="right"/>
              <w:rPr>
                <w:rFonts w:cs="Arial"/>
                <w:sz w:val="16"/>
                <w:szCs w:val="16"/>
              </w:rPr>
            </w:pPr>
            <w:r>
              <w:rPr>
                <w:rFonts w:cs="Arial"/>
                <w:sz w:val="16"/>
                <w:szCs w:val="16"/>
              </w:rPr>
              <w:t>–</w:t>
            </w:r>
          </w:p>
        </w:tc>
        <w:tc>
          <w:tcPr>
            <w:tcW w:w="579" w:type="dxa"/>
            <w:tcBorders>
              <w:top w:val="nil"/>
              <w:left w:val="nil"/>
              <w:bottom w:val="nil"/>
              <w:right w:val="nil"/>
            </w:tcBorders>
            <w:shd w:val="clear" w:color="auto" w:fill="auto"/>
            <w:vAlign w:val="center"/>
            <w:hideMark/>
          </w:tcPr>
          <w:p w14:paraId="1E7277C7" w14:textId="723F6ACC" w:rsidR="003275BA" w:rsidRPr="003275BA" w:rsidRDefault="003275BA" w:rsidP="003275BA">
            <w:pPr>
              <w:spacing w:after="0" w:line="240" w:lineRule="auto"/>
              <w:jc w:val="right"/>
              <w:rPr>
                <w:rFonts w:cs="Arial"/>
                <w:sz w:val="16"/>
                <w:szCs w:val="16"/>
              </w:rPr>
            </w:pPr>
            <w:r w:rsidRPr="003275BA">
              <w:rPr>
                <w:rFonts w:cs="Arial"/>
                <w:sz w:val="16"/>
                <w:szCs w:val="16"/>
              </w:rPr>
              <w:t xml:space="preserve"> </w:t>
            </w:r>
            <w:r w:rsidR="009B0289">
              <w:rPr>
                <w:rFonts w:cs="Arial"/>
                <w:sz w:val="16"/>
                <w:szCs w:val="16"/>
              </w:rPr>
              <w:t>–</w:t>
            </w:r>
            <w:r w:rsidRPr="003275BA">
              <w:rPr>
                <w:rFonts w:cs="Arial"/>
                <w:sz w:val="16"/>
                <w:szCs w:val="16"/>
              </w:rPr>
              <w:t xml:space="preserve">    </w:t>
            </w:r>
          </w:p>
        </w:tc>
        <w:tc>
          <w:tcPr>
            <w:tcW w:w="579" w:type="dxa"/>
            <w:tcBorders>
              <w:top w:val="nil"/>
              <w:left w:val="nil"/>
              <w:bottom w:val="nil"/>
              <w:right w:val="nil"/>
            </w:tcBorders>
            <w:shd w:val="clear" w:color="auto" w:fill="auto"/>
            <w:vAlign w:val="center"/>
            <w:hideMark/>
          </w:tcPr>
          <w:p w14:paraId="2869D5C0" w14:textId="46B86066" w:rsidR="003275BA" w:rsidRPr="003275BA" w:rsidRDefault="009B0289" w:rsidP="003275BA">
            <w:pPr>
              <w:spacing w:after="0" w:line="240" w:lineRule="auto"/>
              <w:jc w:val="right"/>
              <w:rPr>
                <w:rFonts w:cs="Arial"/>
                <w:sz w:val="16"/>
                <w:szCs w:val="16"/>
              </w:rPr>
            </w:pPr>
            <w:r>
              <w:rPr>
                <w:rFonts w:cs="Arial"/>
                <w:sz w:val="16"/>
                <w:szCs w:val="16"/>
              </w:rPr>
              <w:t>–</w:t>
            </w:r>
          </w:p>
        </w:tc>
        <w:tc>
          <w:tcPr>
            <w:tcW w:w="579" w:type="dxa"/>
            <w:tcBorders>
              <w:top w:val="nil"/>
              <w:left w:val="nil"/>
              <w:bottom w:val="nil"/>
              <w:right w:val="nil"/>
            </w:tcBorders>
            <w:shd w:val="clear" w:color="auto" w:fill="auto"/>
            <w:vAlign w:val="center"/>
            <w:hideMark/>
          </w:tcPr>
          <w:p w14:paraId="7F39F306" w14:textId="0120D1C6" w:rsidR="003275BA" w:rsidRPr="003275BA" w:rsidRDefault="009B0289" w:rsidP="003275BA">
            <w:pPr>
              <w:spacing w:after="0" w:line="240" w:lineRule="auto"/>
              <w:jc w:val="right"/>
              <w:rPr>
                <w:rFonts w:cs="Arial"/>
                <w:sz w:val="16"/>
                <w:szCs w:val="16"/>
              </w:rPr>
            </w:pPr>
            <w:r>
              <w:rPr>
                <w:rFonts w:cs="Arial"/>
                <w:sz w:val="16"/>
                <w:szCs w:val="16"/>
              </w:rPr>
              <w:t>–</w:t>
            </w:r>
          </w:p>
        </w:tc>
        <w:tc>
          <w:tcPr>
            <w:tcW w:w="579" w:type="dxa"/>
            <w:tcBorders>
              <w:top w:val="nil"/>
              <w:left w:val="nil"/>
              <w:bottom w:val="nil"/>
              <w:right w:val="nil"/>
            </w:tcBorders>
            <w:shd w:val="clear" w:color="auto" w:fill="auto"/>
            <w:vAlign w:val="center"/>
            <w:hideMark/>
          </w:tcPr>
          <w:p w14:paraId="6D2D29EF" w14:textId="03A3F273" w:rsidR="003275BA" w:rsidRPr="003275BA" w:rsidRDefault="003275BA" w:rsidP="003275BA">
            <w:pPr>
              <w:spacing w:after="0" w:line="240" w:lineRule="auto"/>
              <w:jc w:val="right"/>
              <w:rPr>
                <w:rFonts w:cs="Arial"/>
                <w:sz w:val="16"/>
                <w:szCs w:val="16"/>
              </w:rPr>
            </w:pPr>
            <w:r w:rsidRPr="003275BA">
              <w:rPr>
                <w:rFonts w:cs="Arial"/>
                <w:sz w:val="16"/>
                <w:szCs w:val="16"/>
              </w:rPr>
              <w:t xml:space="preserve"> </w:t>
            </w:r>
            <w:r w:rsidR="009B0289">
              <w:rPr>
                <w:rFonts w:cs="Arial"/>
                <w:sz w:val="16"/>
                <w:szCs w:val="16"/>
              </w:rPr>
              <w:t>–</w:t>
            </w:r>
            <w:r w:rsidRPr="003275BA">
              <w:rPr>
                <w:rFonts w:cs="Arial"/>
                <w:sz w:val="16"/>
                <w:szCs w:val="16"/>
              </w:rPr>
              <w:t xml:space="preserve">     </w:t>
            </w:r>
          </w:p>
        </w:tc>
        <w:tc>
          <w:tcPr>
            <w:tcW w:w="579" w:type="dxa"/>
            <w:tcBorders>
              <w:top w:val="nil"/>
              <w:left w:val="nil"/>
              <w:bottom w:val="nil"/>
              <w:right w:val="nil"/>
            </w:tcBorders>
            <w:shd w:val="clear" w:color="auto" w:fill="auto"/>
            <w:noWrap/>
            <w:vAlign w:val="center"/>
            <w:hideMark/>
          </w:tcPr>
          <w:p w14:paraId="78AEA04B" w14:textId="588BEC53" w:rsidR="003275BA" w:rsidRPr="003275BA" w:rsidRDefault="003275BA" w:rsidP="003275BA">
            <w:pPr>
              <w:spacing w:after="0" w:line="240" w:lineRule="auto"/>
              <w:jc w:val="right"/>
              <w:rPr>
                <w:rFonts w:cs="Arial"/>
                <w:sz w:val="16"/>
                <w:szCs w:val="16"/>
              </w:rPr>
            </w:pPr>
            <w:r w:rsidRPr="003275BA">
              <w:rPr>
                <w:rFonts w:cs="Arial"/>
                <w:sz w:val="16"/>
                <w:szCs w:val="16"/>
              </w:rPr>
              <w:t>0,000</w:t>
            </w:r>
            <w:r w:rsidR="00980012" w:rsidRPr="00980012">
              <w:rPr>
                <w:rFonts w:cs="Arial"/>
                <w:sz w:val="16"/>
                <w:szCs w:val="16"/>
                <w:vertAlign w:val="superscript"/>
              </w:rPr>
              <w:t>3)</w:t>
            </w:r>
          </w:p>
        </w:tc>
        <w:tc>
          <w:tcPr>
            <w:tcW w:w="583" w:type="dxa"/>
            <w:tcBorders>
              <w:top w:val="nil"/>
              <w:left w:val="nil"/>
              <w:bottom w:val="nil"/>
              <w:right w:val="nil"/>
            </w:tcBorders>
            <w:shd w:val="clear" w:color="auto" w:fill="auto"/>
            <w:noWrap/>
            <w:vAlign w:val="center"/>
            <w:hideMark/>
          </w:tcPr>
          <w:p w14:paraId="5E4861CB" w14:textId="77777777" w:rsidR="003275BA" w:rsidRPr="003275BA" w:rsidRDefault="003275BA" w:rsidP="003275BA">
            <w:pPr>
              <w:spacing w:after="0" w:line="240" w:lineRule="auto"/>
              <w:jc w:val="right"/>
              <w:rPr>
                <w:rFonts w:cs="Arial"/>
                <w:sz w:val="16"/>
                <w:szCs w:val="16"/>
              </w:rPr>
            </w:pPr>
            <w:r w:rsidRPr="003275BA">
              <w:rPr>
                <w:rFonts w:cs="Arial"/>
                <w:sz w:val="16"/>
                <w:szCs w:val="16"/>
              </w:rPr>
              <w:t>0,051</w:t>
            </w:r>
          </w:p>
        </w:tc>
      </w:tr>
      <w:tr w:rsidR="003275BA" w:rsidRPr="003275BA" w14:paraId="61E5FDC6" w14:textId="77777777" w:rsidTr="003275BA">
        <w:trPr>
          <w:trHeight w:val="344"/>
        </w:trPr>
        <w:tc>
          <w:tcPr>
            <w:tcW w:w="2529" w:type="dxa"/>
            <w:tcBorders>
              <w:top w:val="nil"/>
              <w:left w:val="nil"/>
              <w:bottom w:val="nil"/>
              <w:right w:val="nil"/>
            </w:tcBorders>
            <w:shd w:val="clear" w:color="auto" w:fill="auto"/>
            <w:noWrap/>
            <w:vAlign w:val="center"/>
            <w:hideMark/>
          </w:tcPr>
          <w:p w14:paraId="3D67B0B2" w14:textId="77777777" w:rsidR="003275BA" w:rsidRPr="003275BA" w:rsidRDefault="003275BA" w:rsidP="003275BA">
            <w:pPr>
              <w:spacing w:after="0" w:line="240" w:lineRule="auto"/>
              <w:jc w:val="right"/>
              <w:rPr>
                <w:rFonts w:cs="Arial"/>
                <w:sz w:val="16"/>
                <w:szCs w:val="16"/>
              </w:rPr>
            </w:pPr>
          </w:p>
        </w:tc>
        <w:tc>
          <w:tcPr>
            <w:tcW w:w="583" w:type="dxa"/>
            <w:tcBorders>
              <w:top w:val="nil"/>
              <w:left w:val="nil"/>
              <w:bottom w:val="nil"/>
              <w:right w:val="nil"/>
            </w:tcBorders>
            <w:shd w:val="clear" w:color="auto" w:fill="auto"/>
            <w:vAlign w:val="bottom"/>
            <w:hideMark/>
          </w:tcPr>
          <w:p w14:paraId="4DF27C7F" w14:textId="77777777" w:rsidR="003275BA" w:rsidRPr="003275BA" w:rsidRDefault="003275BA" w:rsidP="003275BA">
            <w:pPr>
              <w:spacing w:after="0" w:line="240" w:lineRule="auto"/>
              <w:rPr>
                <w:rFonts w:ascii="Times New Roman" w:hAnsi="Times New Roman"/>
                <w:szCs w:val="20"/>
              </w:rPr>
            </w:pPr>
          </w:p>
        </w:tc>
        <w:tc>
          <w:tcPr>
            <w:tcW w:w="580" w:type="dxa"/>
            <w:tcBorders>
              <w:top w:val="nil"/>
              <w:left w:val="nil"/>
              <w:bottom w:val="nil"/>
              <w:right w:val="nil"/>
            </w:tcBorders>
            <w:shd w:val="clear" w:color="auto" w:fill="auto"/>
            <w:vAlign w:val="bottom"/>
            <w:hideMark/>
          </w:tcPr>
          <w:p w14:paraId="6A9EFA30" w14:textId="77777777" w:rsidR="003275BA" w:rsidRPr="003275BA" w:rsidRDefault="003275BA" w:rsidP="003275BA">
            <w:pPr>
              <w:spacing w:after="0" w:line="240" w:lineRule="auto"/>
              <w:jc w:val="right"/>
              <w:rPr>
                <w:rFonts w:ascii="Times New Roman" w:hAnsi="Times New Roman"/>
                <w:szCs w:val="20"/>
              </w:rPr>
            </w:pPr>
          </w:p>
        </w:tc>
        <w:tc>
          <w:tcPr>
            <w:tcW w:w="581" w:type="dxa"/>
            <w:tcBorders>
              <w:top w:val="nil"/>
              <w:left w:val="nil"/>
              <w:bottom w:val="nil"/>
              <w:right w:val="nil"/>
            </w:tcBorders>
            <w:shd w:val="clear" w:color="auto" w:fill="auto"/>
            <w:vAlign w:val="bottom"/>
            <w:hideMark/>
          </w:tcPr>
          <w:p w14:paraId="6FF0EC69" w14:textId="77777777" w:rsidR="003275BA" w:rsidRPr="003275BA" w:rsidRDefault="003275BA" w:rsidP="003275BA">
            <w:pPr>
              <w:spacing w:after="0" w:line="240" w:lineRule="auto"/>
              <w:jc w:val="right"/>
              <w:rPr>
                <w:rFonts w:ascii="Times New Roman" w:hAnsi="Times New Roman"/>
                <w:szCs w:val="20"/>
              </w:rPr>
            </w:pPr>
          </w:p>
        </w:tc>
        <w:tc>
          <w:tcPr>
            <w:tcW w:w="580" w:type="dxa"/>
            <w:tcBorders>
              <w:top w:val="nil"/>
              <w:left w:val="nil"/>
              <w:bottom w:val="nil"/>
              <w:right w:val="nil"/>
            </w:tcBorders>
            <w:shd w:val="clear" w:color="auto" w:fill="auto"/>
            <w:vAlign w:val="bottom"/>
            <w:hideMark/>
          </w:tcPr>
          <w:p w14:paraId="08AA6458" w14:textId="77777777" w:rsidR="003275BA" w:rsidRPr="003275BA" w:rsidRDefault="003275BA" w:rsidP="003275BA">
            <w:pPr>
              <w:spacing w:after="0" w:line="240" w:lineRule="auto"/>
              <w:jc w:val="right"/>
              <w:rPr>
                <w:rFonts w:ascii="Times New Roman" w:hAnsi="Times New Roman"/>
                <w:szCs w:val="20"/>
              </w:rPr>
            </w:pPr>
          </w:p>
        </w:tc>
        <w:tc>
          <w:tcPr>
            <w:tcW w:w="581" w:type="dxa"/>
            <w:tcBorders>
              <w:top w:val="nil"/>
              <w:left w:val="nil"/>
              <w:bottom w:val="nil"/>
              <w:right w:val="nil"/>
            </w:tcBorders>
            <w:shd w:val="clear" w:color="auto" w:fill="auto"/>
            <w:vAlign w:val="bottom"/>
            <w:hideMark/>
          </w:tcPr>
          <w:p w14:paraId="0BD8428A" w14:textId="77777777" w:rsidR="003275BA" w:rsidRPr="003275BA" w:rsidRDefault="003275BA" w:rsidP="003275BA">
            <w:pPr>
              <w:spacing w:after="0" w:line="240" w:lineRule="auto"/>
              <w:jc w:val="right"/>
              <w:rPr>
                <w:rFonts w:ascii="Times New Roman" w:hAnsi="Times New Roman"/>
                <w:szCs w:val="20"/>
              </w:rPr>
            </w:pPr>
          </w:p>
        </w:tc>
        <w:tc>
          <w:tcPr>
            <w:tcW w:w="579" w:type="dxa"/>
            <w:tcBorders>
              <w:top w:val="nil"/>
              <w:left w:val="nil"/>
              <w:bottom w:val="nil"/>
              <w:right w:val="nil"/>
            </w:tcBorders>
            <w:shd w:val="clear" w:color="auto" w:fill="auto"/>
            <w:vAlign w:val="bottom"/>
            <w:hideMark/>
          </w:tcPr>
          <w:p w14:paraId="027D4EF3" w14:textId="77777777" w:rsidR="003275BA" w:rsidRPr="003275BA" w:rsidRDefault="003275BA" w:rsidP="003275BA">
            <w:pPr>
              <w:spacing w:after="0" w:line="240" w:lineRule="auto"/>
              <w:jc w:val="right"/>
              <w:rPr>
                <w:rFonts w:ascii="Times New Roman" w:hAnsi="Times New Roman"/>
                <w:szCs w:val="20"/>
              </w:rPr>
            </w:pPr>
          </w:p>
        </w:tc>
        <w:tc>
          <w:tcPr>
            <w:tcW w:w="579" w:type="dxa"/>
            <w:tcBorders>
              <w:top w:val="nil"/>
              <w:left w:val="nil"/>
              <w:bottom w:val="nil"/>
              <w:right w:val="nil"/>
            </w:tcBorders>
            <w:shd w:val="clear" w:color="auto" w:fill="auto"/>
            <w:vAlign w:val="bottom"/>
            <w:hideMark/>
          </w:tcPr>
          <w:p w14:paraId="1C4A7734" w14:textId="77777777" w:rsidR="003275BA" w:rsidRPr="003275BA" w:rsidRDefault="003275BA" w:rsidP="003275BA">
            <w:pPr>
              <w:spacing w:after="0" w:line="240" w:lineRule="auto"/>
              <w:jc w:val="right"/>
              <w:rPr>
                <w:rFonts w:ascii="Times New Roman" w:hAnsi="Times New Roman"/>
                <w:szCs w:val="20"/>
              </w:rPr>
            </w:pPr>
          </w:p>
        </w:tc>
        <w:tc>
          <w:tcPr>
            <w:tcW w:w="579" w:type="dxa"/>
            <w:tcBorders>
              <w:top w:val="nil"/>
              <w:left w:val="nil"/>
              <w:bottom w:val="nil"/>
              <w:right w:val="nil"/>
            </w:tcBorders>
            <w:shd w:val="clear" w:color="auto" w:fill="auto"/>
            <w:vAlign w:val="bottom"/>
            <w:hideMark/>
          </w:tcPr>
          <w:p w14:paraId="6FCBBED6" w14:textId="77777777" w:rsidR="003275BA" w:rsidRPr="003275BA" w:rsidRDefault="003275BA" w:rsidP="003275BA">
            <w:pPr>
              <w:spacing w:after="0" w:line="240" w:lineRule="auto"/>
              <w:jc w:val="right"/>
              <w:rPr>
                <w:rFonts w:ascii="Times New Roman" w:hAnsi="Times New Roman"/>
                <w:szCs w:val="20"/>
              </w:rPr>
            </w:pPr>
          </w:p>
        </w:tc>
        <w:tc>
          <w:tcPr>
            <w:tcW w:w="579" w:type="dxa"/>
            <w:tcBorders>
              <w:top w:val="nil"/>
              <w:left w:val="nil"/>
              <w:bottom w:val="nil"/>
              <w:right w:val="nil"/>
            </w:tcBorders>
            <w:shd w:val="clear" w:color="auto" w:fill="auto"/>
            <w:vAlign w:val="bottom"/>
            <w:hideMark/>
          </w:tcPr>
          <w:p w14:paraId="76650A61" w14:textId="77777777" w:rsidR="003275BA" w:rsidRPr="003275BA" w:rsidRDefault="003275BA" w:rsidP="003275BA">
            <w:pPr>
              <w:spacing w:after="0" w:line="240" w:lineRule="auto"/>
              <w:jc w:val="right"/>
              <w:rPr>
                <w:rFonts w:ascii="Times New Roman" w:hAnsi="Times New Roman"/>
                <w:szCs w:val="20"/>
              </w:rPr>
            </w:pPr>
          </w:p>
        </w:tc>
        <w:tc>
          <w:tcPr>
            <w:tcW w:w="579" w:type="dxa"/>
            <w:tcBorders>
              <w:top w:val="nil"/>
              <w:left w:val="nil"/>
              <w:bottom w:val="nil"/>
              <w:right w:val="nil"/>
            </w:tcBorders>
            <w:shd w:val="clear" w:color="auto" w:fill="auto"/>
            <w:vAlign w:val="bottom"/>
            <w:hideMark/>
          </w:tcPr>
          <w:p w14:paraId="1D4C2825" w14:textId="77777777" w:rsidR="003275BA" w:rsidRPr="003275BA" w:rsidRDefault="003275BA" w:rsidP="003275BA">
            <w:pPr>
              <w:spacing w:after="0" w:line="240" w:lineRule="auto"/>
              <w:jc w:val="right"/>
              <w:rPr>
                <w:rFonts w:ascii="Times New Roman" w:hAnsi="Times New Roman"/>
                <w:szCs w:val="20"/>
              </w:rPr>
            </w:pPr>
          </w:p>
        </w:tc>
        <w:tc>
          <w:tcPr>
            <w:tcW w:w="579" w:type="dxa"/>
            <w:tcBorders>
              <w:top w:val="nil"/>
              <w:left w:val="nil"/>
              <w:bottom w:val="nil"/>
              <w:right w:val="nil"/>
            </w:tcBorders>
            <w:shd w:val="clear" w:color="auto" w:fill="auto"/>
            <w:vAlign w:val="bottom"/>
            <w:hideMark/>
          </w:tcPr>
          <w:p w14:paraId="0DACE57E" w14:textId="77777777" w:rsidR="003275BA" w:rsidRPr="003275BA" w:rsidRDefault="003275BA" w:rsidP="003275BA">
            <w:pPr>
              <w:spacing w:after="0" w:line="240" w:lineRule="auto"/>
              <w:jc w:val="right"/>
              <w:rPr>
                <w:rFonts w:ascii="Times New Roman" w:hAnsi="Times New Roman"/>
                <w:szCs w:val="20"/>
              </w:rPr>
            </w:pPr>
          </w:p>
        </w:tc>
        <w:tc>
          <w:tcPr>
            <w:tcW w:w="583" w:type="dxa"/>
            <w:tcBorders>
              <w:top w:val="nil"/>
              <w:left w:val="nil"/>
              <w:bottom w:val="nil"/>
              <w:right w:val="nil"/>
            </w:tcBorders>
            <w:shd w:val="clear" w:color="auto" w:fill="auto"/>
            <w:noWrap/>
            <w:vAlign w:val="center"/>
            <w:hideMark/>
          </w:tcPr>
          <w:p w14:paraId="3CECC247" w14:textId="77777777" w:rsidR="003275BA" w:rsidRPr="003275BA" w:rsidRDefault="003275BA" w:rsidP="003275BA">
            <w:pPr>
              <w:spacing w:after="0" w:line="240" w:lineRule="auto"/>
              <w:jc w:val="right"/>
              <w:rPr>
                <w:rFonts w:ascii="Times New Roman" w:hAnsi="Times New Roman"/>
                <w:szCs w:val="20"/>
              </w:rPr>
            </w:pPr>
          </w:p>
        </w:tc>
      </w:tr>
      <w:tr w:rsidR="003275BA" w:rsidRPr="003275BA" w14:paraId="39A2801B" w14:textId="77777777" w:rsidTr="003275BA">
        <w:trPr>
          <w:trHeight w:val="57"/>
        </w:trPr>
        <w:tc>
          <w:tcPr>
            <w:tcW w:w="9491" w:type="dxa"/>
            <w:gridSpan w:val="13"/>
            <w:tcBorders>
              <w:top w:val="nil"/>
              <w:left w:val="nil"/>
              <w:bottom w:val="nil"/>
              <w:right w:val="nil"/>
            </w:tcBorders>
            <w:shd w:val="clear" w:color="auto" w:fill="auto"/>
            <w:vAlign w:val="bottom"/>
            <w:hideMark/>
          </w:tcPr>
          <w:p w14:paraId="4F4588EB" w14:textId="19A8D910" w:rsidR="003275BA" w:rsidRPr="003275BA" w:rsidRDefault="003275BA" w:rsidP="004C4C8F">
            <w:pPr>
              <w:spacing w:after="0" w:line="240" w:lineRule="auto"/>
              <w:jc w:val="both"/>
              <w:rPr>
                <w:rFonts w:cs="Arial"/>
                <w:color w:val="000000"/>
                <w:sz w:val="16"/>
                <w:szCs w:val="16"/>
              </w:rPr>
            </w:pPr>
            <w:r w:rsidRPr="003275BA">
              <w:rPr>
                <w:rFonts w:cs="Arial"/>
                <w:color w:val="000000"/>
                <w:sz w:val="16"/>
                <w:szCs w:val="16"/>
                <w:vertAlign w:val="superscript"/>
              </w:rPr>
              <w:t xml:space="preserve">1) </w:t>
            </w:r>
            <w:r w:rsidRPr="003275BA">
              <w:rPr>
                <w:rFonts w:cs="Arial"/>
                <w:color w:val="000000"/>
                <w:sz w:val="16"/>
                <w:szCs w:val="16"/>
              </w:rPr>
              <w:t xml:space="preserve">Zavedení dávky otcovské poporodní péče, tzv. „otcovská“ </w:t>
            </w:r>
            <w:r w:rsidR="004C4C8F">
              <w:rPr>
                <w:rFonts w:cs="Arial"/>
                <w:color w:val="000000"/>
                <w:sz w:val="16"/>
                <w:szCs w:val="16"/>
              </w:rPr>
              <w:t>–</w:t>
            </w:r>
            <w:r w:rsidRPr="003275BA">
              <w:rPr>
                <w:rFonts w:cs="Arial"/>
                <w:color w:val="000000"/>
                <w:sz w:val="16"/>
                <w:szCs w:val="16"/>
              </w:rPr>
              <w:t xml:space="preserve"> účinnost od 1. února 2018. </w:t>
            </w:r>
          </w:p>
        </w:tc>
      </w:tr>
      <w:tr w:rsidR="003275BA" w:rsidRPr="003275BA" w14:paraId="287AA437" w14:textId="77777777" w:rsidTr="003275BA">
        <w:trPr>
          <w:trHeight w:val="57"/>
        </w:trPr>
        <w:tc>
          <w:tcPr>
            <w:tcW w:w="9491" w:type="dxa"/>
            <w:gridSpan w:val="13"/>
            <w:tcBorders>
              <w:top w:val="nil"/>
              <w:left w:val="nil"/>
              <w:bottom w:val="nil"/>
              <w:right w:val="nil"/>
            </w:tcBorders>
            <w:shd w:val="clear" w:color="auto" w:fill="auto"/>
            <w:vAlign w:val="bottom"/>
            <w:hideMark/>
          </w:tcPr>
          <w:p w14:paraId="2A195265" w14:textId="49EAE3F7" w:rsidR="003275BA" w:rsidRPr="003275BA" w:rsidRDefault="003275BA" w:rsidP="003275BA">
            <w:pPr>
              <w:spacing w:after="0" w:line="240" w:lineRule="auto"/>
              <w:jc w:val="both"/>
              <w:rPr>
                <w:rFonts w:cs="Arial"/>
                <w:color w:val="000000"/>
                <w:sz w:val="16"/>
                <w:szCs w:val="16"/>
              </w:rPr>
            </w:pPr>
            <w:r w:rsidRPr="003275BA">
              <w:rPr>
                <w:rFonts w:cs="Arial"/>
                <w:color w:val="000000"/>
                <w:sz w:val="16"/>
                <w:szCs w:val="16"/>
                <w:vertAlign w:val="superscript"/>
              </w:rPr>
              <w:t>2)</w:t>
            </w:r>
            <w:r w:rsidRPr="003275BA">
              <w:rPr>
                <w:rFonts w:cs="Arial"/>
                <w:color w:val="000000"/>
                <w:sz w:val="16"/>
                <w:szCs w:val="16"/>
              </w:rPr>
              <w:t xml:space="preserve"> Zavede</w:t>
            </w:r>
            <w:r w:rsidR="004C4C8F">
              <w:rPr>
                <w:rFonts w:cs="Arial"/>
                <w:color w:val="000000"/>
                <w:sz w:val="16"/>
                <w:szCs w:val="16"/>
              </w:rPr>
              <w:t>ní dávky dlouhodobé ošetřovné –</w:t>
            </w:r>
            <w:r w:rsidRPr="003275BA">
              <w:rPr>
                <w:rFonts w:cs="Arial"/>
                <w:color w:val="000000"/>
                <w:sz w:val="16"/>
                <w:szCs w:val="16"/>
              </w:rPr>
              <w:t xml:space="preserve"> účinnost od 1. června 2018. </w:t>
            </w:r>
          </w:p>
        </w:tc>
      </w:tr>
      <w:tr w:rsidR="003275BA" w:rsidRPr="003275BA" w14:paraId="54D49D3C" w14:textId="77777777" w:rsidTr="003275BA">
        <w:trPr>
          <w:trHeight w:val="57"/>
        </w:trPr>
        <w:tc>
          <w:tcPr>
            <w:tcW w:w="5434" w:type="dxa"/>
            <w:gridSpan w:val="6"/>
            <w:tcBorders>
              <w:top w:val="nil"/>
              <w:left w:val="nil"/>
              <w:bottom w:val="nil"/>
              <w:right w:val="nil"/>
            </w:tcBorders>
            <w:shd w:val="clear" w:color="auto" w:fill="auto"/>
            <w:noWrap/>
            <w:vAlign w:val="bottom"/>
            <w:hideMark/>
          </w:tcPr>
          <w:p w14:paraId="03FA9C50" w14:textId="39424E9B" w:rsidR="003275BA" w:rsidRPr="003275BA" w:rsidRDefault="003275BA" w:rsidP="009B0289">
            <w:pPr>
              <w:spacing w:after="0" w:line="240" w:lineRule="auto"/>
              <w:rPr>
                <w:rFonts w:cs="Arial"/>
                <w:color w:val="000000"/>
                <w:sz w:val="16"/>
                <w:szCs w:val="16"/>
              </w:rPr>
            </w:pPr>
            <w:r w:rsidRPr="003275BA">
              <w:rPr>
                <w:rFonts w:cs="Arial"/>
                <w:color w:val="000000"/>
                <w:sz w:val="16"/>
                <w:szCs w:val="16"/>
                <w:vertAlign w:val="superscript"/>
              </w:rPr>
              <w:t>3)</w:t>
            </w:r>
            <w:r w:rsidRPr="003275BA">
              <w:rPr>
                <w:rFonts w:cs="Arial"/>
                <w:color w:val="000000"/>
                <w:sz w:val="16"/>
                <w:szCs w:val="16"/>
              </w:rPr>
              <w:t xml:space="preserve"> Výdaje na dlouhodobé ošetřovné v 1. pol.</w:t>
            </w:r>
            <w:r w:rsidR="009B0289">
              <w:rPr>
                <w:rFonts w:cs="Arial"/>
                <w:color w:val="000000"/>
                <w:sz w:val="16"/>
                <w:szCs w:val="16"/>
              </w:rPr>
              <w:t xml:space="preserve"> 2018 činily</w:t>
            </w:r>
            <w:r w:rsidRPr="003275BA">
              <w:rPr>
                <w:rFonts w:cs="Arial"/>
                <w:color w:val="000000"/>
                <w:sz w:val="16"/>
                <w:szCs w:val="16"/>
              </w:rPr>
              <w:t xml:space="preserve"> 0,002 mil. Kč.</w:t>
            </w:r>
          </w:p>
        </w:tc>
        <w:tc>
          <w:tcPr>
            <w:tcW w:w="579" w:type="dxa"/>
            <w:tcBorders>
              <w:top w:val="nil"/>
              <w:left w:val="nil"/>
              <w:bottom w:val="nil"/>
              <w:right w:val="nil"/>
            </w:tcBorders>
            <w:shd w:val="clear" w:color="auto" w:fill="auto"/>
            <w:vAlign w:val="bottom"/>
            <w:hideMark/>
          </w:tcPr>
          <w:p w14:paraId="404B63BB" w14:textId="77777777" w:rsidR="003275BA" w:rsidRPr="003275BA" w:rsidRDefault="003275BA" w:rsidP="003275BA">
            <w:pPr>
              <w:spacing w:after="0" w:line="240" w:lineRule="auto"/>
              <w:rPr>
                <w:rFonts w:cs="Arial"/>
                <w:color w:val="000000"/>
                <w:sz w:val="16"/>
                <w:szCs w:val="16"/>
              </w:rPr>
            </w:pPr>
          </w:p>
        </w:tc>
        <w:tc>
          <w:tcPr>
            <w:tcW w:w="579" w:type="dxa"/>
            <w:tcBorders>
              <w:top w:val="nil"/>
              <w:left w:val="nil"/>
              <w:bottom w:val="nil"/>
              <w:right w:val="nil"/>
            </w:tcBorders>
            <w:shd w:val="clear" w:color="auto" w:fill="auto"/>
            <w:vAlign w:val="bottom"/>
            <w:hideMark/>
          </w:tcPr>
          <w:p w14:paraId="273DDF64" w14:textId="77777777" w:rsidR="003275BA" w:rsidRPr="003275BA" w:rsidRDefault="003275BA" w:rsidP="003275BA">
            <w:pPr>
              <w:spacing w:after="0" w:line="240" w:lineRule="auto"/>
              <w:rPr>
                <w:rFonts w:ascii="Times New Roman" w:hAnsi="Times New Roman"/>
                <w:szCs w:val="20"/>
              </w:rPr>
            </w:pPr>
          </w:p>
        </w:tc>
        <w:tc>
          <w:tcPr>
            <w:tcW w:w="579" w:type="dxa"/>
            <w:tcBorders>
              <w:top w:val="nil"/>
              <w:left w:val="nil"/>
              <w:bottom w:val="nil"/>
              <w:right w:val="nil"/>
            </w:tcBorders>
            <w:shd w:val="clear" w:color="auto" w:fill="auto"/>
            <w:vAlign w:val="bottom"/>
            <w:hideMark/>
          </w:tcPr>
          <w:p w14:paraId="0BAFCCBC" w14:textId="77777777" w:rsidR="003275BA" w:rsidRPr="003275BA" w:rsidRDefault="003275BA" w:rsidP="003275BA">
            <w:pPr>
              <w:spacing w:after="0" w:line="240" w:lineRule="auto"/>
              <w:rPr>
                <w:rFonts w:ascii="Times New Roman" w:hAnsi="Times New Roman"/>
                <w:szCs w:val="20"/>
              </w:rPr>
            </w:pPr>
          </w:p>
        </w:tc>
        <w:tc>
          <w:tcPr>
            <w:tcW w:w="579" w:type="dxa"/>
            <w:tcBorders>
              <w:top w:val="nil"/>
              <w:left w:val="nil"/>
              <w:bottom w:val="nil"/>
              <w:right w:val="nil"/>
            </w:tcBorders>
            <w:shd w:val="clear" w:color="auto" w:fill="auto"/>
            <w:vAlign w:val="bottom"/>
            <w:hideMark/>
          </w:tcPr>
          <w:p w14:paraId="724DEDC2" w14:textId="77777777" w:rsidR="003275BA" w:rsidRPr="003275BA" w:rsidRDefault="003275BA" w:rsidP="003275BA">
            <w:pPr>
              <w:spacing w:after="0" w:line="240" w:lineRule="auto"/>
              <w:rPr>
                <w:rFonts w:ascii="Times New Roman" w:hAnsi="Times New Roman"/>
                <w:szCs w:val="20"/>
              </w:rPr>
            </w:pPr>
          </w:p>
        </w:tc>
        <w:tc>
          <w:tcPr>
            <w:tcW w:w="579" w:type="dxa"/>
            <w:tcBorders>
              <w:top w:val="nil"/>
              <w:left w:val="nil"/>
              <w:bottom w:val="nil"/>
              <w:right w:val="nil"/>
            </w:tcBorders>
            <w:shd w:val="clear" w:color="auto" w:fill="auto"/>
            <w:vAlign w:val="bottom"/>
            <w:hideMark/>
          </w:tcPr>
          <w:p w14:paraId="32A724C9" w14:textId="77777777" w:rsidR="003275BA" w:rsidRPr="003275BA" w:rsidRDefault="003275BA" w:rsidP="003275BA">
            <w:pPr>
              <w:spacing w:after="0" w:line="240" w:lineRule="auto"/>
              <w:rPr>
                <w:rFonts w:ascii="Times New Roman" w:hAnsi="Times New Roman"/>
                <w:szCs w:val="20"/>
              </w:rPr>
            </w:pPr>
          </w:p>
        </w:tc>
        <w:tc>
          <w:tcPr>
            <w:tcW w:w="579" w:type="dxa"/>
            <w:tcBorders>
              <w:top w:val="nil"/>
              <w:left w:val="nil"/>
              <w:bottom w:val="nil"/>
              <w:right w:val="nil"/>
            </w:tcBorders>
            <w:shd w:val="clear" w:color="auto" w:fill="auto"/>
            <w:vAlign w:val="bottom"/>
            <w:hideMark/>
          </w:tcPr>
          <w:p w14:paraId="513B0FDB" w14:textId="77777777" w:rsidR="003275BA" w:rsidRPr="003275BA" w:rsidRDefault="003275BA" w:rsidP="003275BA">
            <w:pPr>
              <w:spacing w:after="0" w:line="240" w:lineRule="auto"/>
              <w:rPr>
                <w:rFonts w:ascii="Times New Roman" w:hAnsi="Times New Roman"/>
                <w:szCs w:val="20"/>
              </w:rPr>
            </w:pPr>
          </w:p>
        </w:tc>
        <w:tc>
          <w:tcPr>
            <w:tcW w:w="583" w:type="dxa"/>
            <w:tcBorders>
              <w:top w:val="nil"/>
              <w:left w:val="nil"/>
              <w:bottom w:val="nil"/>
              <w:right w:val="nil"/>
            </w:tcBorders>
            <w:shd w:val="clear" w:color="auto" w:fill="auto"/>
            <w:vAlign w:val="bottom"/>
            <w:hideMark/>
          </w:tcPr>
          <w:p w14:paraId="61DC206B" w14:textId="77777777" w:rsidR="003275BA" w:rsidRPr="003275BA" w:rsidRDefault="003275BA" w:rsidP="003275BA">
            <w:pPr>
              <w:spacing w:after="0" w:line="240" w:lineRule="auto"/>
              <w:rPr>
                <w:rFonts w:ascii="Times New Roman" w:hAnsi="Times New Roman"/>
                <w:szCs w:val="20"/>
              </w:rPr>
            </w:pPr>
          </w:p>
        </w:tc>
      </w:tr>
      <w:tr w:rsidR="003275BA" w:rsidRPr="003275BA" w14:paraId="2905B1C5" w14:textId="77777777" w:rsidTr="003275BA">
        <w:trPr>
          <w:trHeight w:val="57"/>
        </w:trPr>
        <w:tc>
          <w:tcPr>
            <w:tcW w:w="4273" w:type="dxa"/>
            <w:gridSpan w:val="4"/>
            <w:tcBorders>
              <w:top w:val="nil"/>
              <w:left w:val="nil"/>
              <w:bottom w:val="nil"/>
              <w:right w:val="nil"/>
            </w:tcBorders>
            <w:shd w:val="clear" w:color="auto" w:fill="auto"/>
            <w:vAlign w:val="bottom"/>
            <w:hideMark/>
          </w:tcPr>
          <w:p w14:paraId="7BA0E401" w14:textId="2B5499F9" w:rsidR="003275BA" w:rsidRPr="003275BA" w:rsidRDefault="003275BA" w:rsidP="009B0289">
            <w:pPr>
              <w:spacing w:after="0" w:line="240" w:lineRule="auto"/>
              <w:jc w:val="both"/>
              <w:rPr>
                <w:rFonts w:cs="Arial"/>
                <w:sz w:val="16"/>
                <w:szCs w:val="16"/>
              </w:rPr>
            </w:pPr>
            <w:r>
              <w:rPr>
                <w:rFonts w:cs="Arial"/>
                <w:sz w:val="16"/>
                <w:szCs w:val="16"/>
              </w:rPr>
              <w:t xml:space="preserve"> </w:t>
            </w:r>
            <w:r w:rsidR="009B0289">
              <w:rPr>
                <w:rFonts w:cs="Arial"/>
                <w:sz w:val="16"/>
                <w:szCs w:val="16"/>
              </w:rPr>
              <w:t>–</w:t>
            </w:r>
            <w:r>
              <w:rPr>
                <w:rFonts w:cs="Arial"/>
                <w:sz w:val="16"/>
                <w:szCs w:val="16"/>
              </w:rPr>
              <w:t xml:space="preserve"> ležatá čárka</w:t>
            </w:r>
            <w:r w:rsidRPr="003275BA">
              <w:rPr>
                <w:rFonts w:cs="Arial"/>
                <w:sz w:val="16"/>
                <w:szCs w:val="16"/>
              </w:rPr>
              <w:t xml:space="preserve"> značí, že se jev nevyskytoval</w:t>
            </w:r>
          </w:p>
        </w:tc>
        <w:tc>
          <w:tcPr>
            <w:tcW w:w="580" w:type="dxa"/>
            <w:tcBorders>
              <w:top w:val="nil"/>
              <w:left w:val="nil"/>
              <w:bottom w:val="nil"/>
              <w:right w:val="nil"/>
            </w:tcBorders>
            <w:shd w:val="clear" w:color="auto" w:fill="auto"/>
            <w:noWrap/>
            <w:vAlign w:val="bottom"/>
            <w:hideMark/>
          </w:tcPr>
          <w:p w14:paraId="6657F911" w14:textId="77777777" w:rsidR="003275BA" w:rsidRPr="003275BA" w:rsidRDefault="003275BA" w:rsidP="003275BA">
            <w:pPr>
              <w:spacing w:after="0" w:line="240" w:lineRule="auto"/>
              <w:jc w:val="both"/>
              <w:rPr>
                <w:rFonts w:cs="Arial"/>
                <w:sz w:val="16"/>
                <w:szCs w:val="16"/>
              </w:rPr>
            </w:pPr>
          </w:p>
        </w:tc>
        <w:tc>
          <w:tcPr>
            <w:tcW w:w="581" w:type="dxa"/>
            <w:tcBorders>
              <w:top w:val="nil"/>
              <w:left w:val="nil"/>
              <w:bottom w:val="nil"/>
              <w:right w:val="nil"/>
            </w:tcBorders>
            <w:shd w:val="clear" w:color="auto" w:fill="auto"/>
            <w:noWrap/>
            <w:vAlign w:val="bottom"/>
            <w:hideMark/>
          </w:tcPr>
          <w:p w14:paraId="57FAE102" w14:textId="77777777" w:rsidR="003275BA" w:rsidRPr="003275BA" w:rsidRDefault="003275BA" w:rsidP="003275BA">
            <w:pPr>
              <w:spacing w:after="0" w:line="240" w:lineRule="auto"/>
              <w:jc w:val="right"/>
              <w:rPr>
                <w:rFonts w:ascii="Times New Roman" w:hAnsi="Times New Roman"/>
                <w:szCs w:val="20"/>
              </w:rPr>
            </w:pPr>
          </w:p>
        </w:tc>
        <w:tc>
          <w:tcPr>
            <w:tcW w:w="579" w:type="dxa"/>
            <w:tcBorders>
              <w:top w:val="nil"/>
              <w:left w:val="nil"/>
              <w:bottom w:val="nil"/>
              <w:right w:val="nil"/>
            </w:tcBorders>
            <w:shd w:val="clear" w:color="auto" w:fill="auto"/>
            <w:noWrap/>
            <w:vAlign w:val="bottom"/>
            <w:hideMark/>
          </w:tcPr>
          <w:p w14:paraId="4E96EFC7" w14:textId="77777777" w:rsidR="003275BA" w:rsidRPr="003275BA" w:rsidRDefault="003275BA" w:rsidP="003275BA">
            <w:pPr>
              <w:spacing w:after="0" w:line="240" w:lineRule="auto"/>
              <w:jc w:val="right"/>
              <w:rPr>
                <w:rFonts w:ascii="Times New Roman" w:hAnsi="Times New Roman"/>
                <w:szCs w:val="20"/>
              </w:rPr>
            </w:pPr>
          </w:p>
        </w:tc>
        <w:tc>
          <w:tcPr>
            <w:tcW w:w="579" w:type="dxa"/>
            <w:tcBorders>
              <w:top w:val="nil"/>
              <w:left w:val="nil"/>
              <w:bottom w:val="nil"/>
              <w:right w:val="nil"/>
            </w:tcBorders>
            <w:shd w:val="clear" w:color="auto" w:fill="auto"/>
            <w:noWrap/>
            <w:vAlign w:val="bottom"/>
            <w:hideMark/>
          </w:tcPr>
          <w:p w14:paraId="0F798E45" w14:textId="77777777" w:rsidR="003275BA" w:rsidRPr="003275BA" w:rsidRDefault="003275BA" w:rsidP="003275BA">
            <w:pPr>
              <w:spacing w:after="0" w:line="240" w:lineRule="auto"/>
              <w:jc w:val="right"/>
              <w:rPr>
                <w:rFonts w:ascii="Times New Roman" w:hAnsi="Times New Roman"/>
                <w:szCs w:val="20"/>
              </w:rPr>
            </w:pPr>
          </w:p>
        </w:tc>
        <w:tc>
          <w:tcPr>
            <w:tcW w:w="579" w:type="dxa"/>
            <w:tcBorders>
              <w:top w:val="nil"/>
              <w:left w:val="nil"/>
              <w:bottom w:val="nil"/>
              <w:right w:val="nil"/>
            </w:tcBorders>
            <w:shd w:val="clear" w:color="auto" w:fill="auto"/>
            <w:noWrap/>
            <w:vAlign w:val="bottom"/>
            <w:hideMark/>
          </w:tcPr>
          <w:p w14:paraId="4553B2E6" w14:textId="77777777" w:rsidR="003275BA" w:rsidRPr="003275BA" w:rsidRDefault="003275BA" w:rsidP="003275BA">
            <w:pPr>
              <w:spacing w:after="0" w:line="240" w:lineRule="auto"/>
              <w:jc w:val="right"/>
              <w:rPr>
                <w:rFonts w:ascii="Times New Roman" w:hAnsi="Times New Roman"/>
                <w:szCs w:val="20"/>
              </w:rPr>
            </w:pPr>
          </w:p>
        </w:tc>
        <w:tc>
          <w:tcPr>
            <w:tcW w:w="579" w:type="dxa"/>
            <w:tcBorders>
              <w:top w:val="nil"/>
              <w:left w:val="nil"/>
              <w:bottom w:val="nil"/>
              <w:right w:val="nil"/>
            </w:tcBorders>
            <w:shd w:val="clear" w:color="auto" w:fill="auto"/>
            <w:noWrap/>
            <w:vAlign w:val="bottom"/>
            <w:hideMark/>
          </w:tcPr>
          <w:p w14:paraId="3703067C" w14:textId="77777777" w:rsidR="003275BA" w:rsidRPr="003275BA" w:rsidRDefault="003275BA" w:rsidP="003275BA">
            <w:pPr>
              <w:spacing w:after="0" w:line="240" w:lineRule="auto"/>
              <w:jc w:val="right"/>
              <w:rPr>
                <w:rFonts w:ascii="Times New Roman" w:hAnsi="Times New Roman"/>
                <w:szCs w:val="20"/>
              </w:rPr>
            </w:pPr>
          </w:p>
        </w:tc>
        <w:tc>
          <w:tcPr>
            <w:tcW w:w="579" w:type="dxa"/>
            <w:tcBorders>
              <w:top w:val="nil"/>
              <w:left w:val="nil"/>
              <w:bottom w:val="nil"/>
              <w:right w:val="nil"/>
            </w:tcBorders>
            <w:shd w:val="clear" w:color="auto" w:fill="auto"/>
            <w:noWrap/>
            <w:vAlign w:val="bottom"/>
            <w:hideMark/>
          </w:tcPr>
          <w:p w14:paraId="0A1C903A" w14:textId="77777777" w:rsidR="003275BA" w:rsidRPr="003275BA" w:rsidRDefault="003275BA" w:rsidP="003275BA">
            <w:pPr>
              <w:spacing w:after="0" w:line="240" w:lineRule="auto"/>
              <w:jc w:val="right"/>
              <w:rPr>
                <w:rFonts w:ascii="Times New Roman" w:hAnsi="Times New Roman"/>
                <w:szCs w:val="20"/>
              </w:rPr>
            </w:pPr>
          </w:p>
        </w:tc>
        <w:tc>
          <w:tcPr>
            <w:tcW w:w="579" w:type="dxa"/>
            <w:tcBorders>
              <w:top w:val="nil"/>
              <w:left w:val="nil"/>
              <w:bottom w:val="nil"/>
              <w:right w:val="nil"/>
            </w:tcBorders>
            <w:shd w:val="clear" w:color="auto" w:fill="auto"/>
            <w:noWrap/>
            <w:vAlign w:val="bottom"/>
            <w:hideMark/>
          </w:tcPr>
          <w:p w14:paraId="04D5B7FF" w14:textId="77777777" w:rsidR="003275BA" w:rsidRPr="003275BA" w:rsidRDefault="003275BA" w:rsidP="003275BA">
            <w:pPr>
              <w:spacing w:after="0" w:line="240" w:lineRule="auto"/>
              <w:jc w:val="right"/>
              <w:rPr>
                <w:rFonts w:ascii="Times New Roman" w:hAnsi="Times New Roman"/>
                <w:szCs w:val="20"/>
              </w:rPr>
            </w:pPr>
          </w:p>
        </w:tc>
        <w:tc>
          <w:tcPr>
            <w:tcW w:w="583" w:type="dxa"/>
            <w:tcBorders>
              <w:top w:val="nil"/>
              <w:left w:val="nil"/>
              <w:bottom w:val="nil"/>
              <w:right w:val="nil"/>
            </w:tcBorders>
            <w:shd w:val="clear" w:color="auto" w:fill="auto"/>
            <w:noWrap/>
            <w:vAlign w:val="bottom"/>
            <w:hideMark/>
          </w:tcPr>
          <w:p w14:paraId="16006A96" w14:textId="77777777" w:rsidR="003275BA" w:rsidRPr="003275BA" w:rsidRDefault="003275BA" w:rsidP="003275BA">
            <w:pPr>
              <w:spacing w:after="0" w:line="240" w:lineRule="auto"/>
              <w:jc w:val="right"/>
              <w:rPr>
                <w:rFonts w:ascii="Times New Roman" w:hAnsi="Times New Roman"/>
                <w:szCs w:val="20"/>
              </w:rPr>
            </w:pPr>
          </w:p>
        </w:tc>
      </w:tr>
    </w:tbl>
    <w:p w14:paraId="1999357E" w14:textId="099035B8" w:rsidR="00CD66CE" w:rsidRPr="00E2420F" w:rsidRDefault="0093767B" w:rsidP="00980012">
      <w:pPr>
        <w:spacing w:before="120"/>
        <w:jc w:val="both"/>
        <w:rPr>
          <w:rFonts w:cs="Arial"/>
          <w:sz w:val="16"/>
          <w:szCs w:val="16"/>
        </w:rPr>
      </w:pPr>
      <w:r>
        <w:rPr>
          <w:rFonts w:cs="Arial"/>
          <w:sz w:val="16"/>
          <w:szCs w:val="16"/>
        </w:rPr>
        <w:t>Zdroj: ČSSZ</w:t>
      </w:r>
    </w:p>
    <w:p w14:paraId="1F1E5C4F" w14:textId="77777777" w:rsidR="004C4C8F" w:rsidRDefault="004C4C8F" w:rsidP="004C4C8F">
      <w:pPr>
        <w:spacing w:after="0"/>
        <w:jc w:val="both"/>
      </w:pPr>
      <w:r w:rsidRPr="00115F62">
        <w:t xml:space="preserve">Největší dopad na výdaje na nemocenské pojištění </w:t>
      </w:r>
      <w:r>
        <w:t>plyne patrně ze zvýšení nemocenského od 31., resp. 61. kalendářního dne DPN nebo karantény. N</w:t>
      </w:r>
      <w:r w:rsidRPr="00115F62">
        <w:t xml:space="preserve">avýšení úrovně dávek </w:t>
      </w:r>
      <w:r>
        <w:t xml:space="preserve">vede ke zlepšení </w:t>
      </w:r>
      <w:r w:rsidRPr="00115F62">
        <w:t>finanční situace dlouhodobě nemocných osob</w:t>
      </w:r>
      <w:r>
        <w:t xml:space="preserve"> a částečně snižuje</w:t>
      </w:r>
      <w:r w:rsidRPr="00115F62">
        <w:t xml:space="preserve"> ekonomick</w:t>
      </w:r>
      <w:r>
        <w:t>ou</w:t>
      </w:r>
      <w:r w:rsidRPr="00115F62">
        <w:t xml:space="preserve"> motivac</w:t>
      </w:r>
      <w:r>
        <w:t>i</w:t>
      </w:r>
      <w:r w:rsidRPr="00115F62">
        <w:t xml:space="preserve"> k</w:t>
      </w:r>
      <w:r>
        <w:t xml:space="preserve"> </w:t>
      </w:r>
      <w:r w:rsidRPr="00115F62">
        <w:t xml:space="preserve">co nejrychlejšímu návratu do zaměstnání, </w:t>
      </w:r>
      <w:r>
        <w:t xml:space="preserve">což je patrné na nárůstu celkového počtu prostonaných dnů případů DPN. Výhledově se zrušením karenční doby lze očekávat nárůst počtu hlášených případů pracovní neschopnosti z důvodu </w:t>
      </w:r>
      <w:r>
        <w:lastRenderedPageBreak/>
        <w:t xml:space="preserve">peněžní kompenzace i v prvních třech dnech nemoci. Bude to znamenat větší finanční zátěž pro zaměstnavatele. Za to se jim snižuje sazba nemocenských odvodů do státního rozpočtu ze 2,3 % na 2,1 %. Stejný pokles je i u sazby pro živnostníky, kteří si platí nemocenské pojištění. </w:t>
      </w:r>
    </w:p>
    <w:p w14:paraId="4B42E85D" w14:textId="11DF2DEB" w:rsidR="004C4C8F" w:rsidRDefault="004C4C8F" w:rsidP="00040FCB">
      <w:pPr>
        <w:spacing w:before="100" w:beforeAutospacing="1" w:after="100" w:afterAutospacing="1"/>
        <w:jc w:val="both"/>
      </w:pPr>
      <w:r w:rsidRPr="00BA2808">
        <w:t xml:space="preserve">Podrobnější informace k výdajům na nemocenské a dalším dávkám, které jsou poskytovány ze systému nemocenského pojištění, naleznete na </w:t>
      </w:r>
      <w:r>
        <w:t xml:space="preserve">internetových stránkách MPSV v </w:t>
      </w:r>
      <w:r w:rsidRPr="004259D1">
        <w:rPr>
          <w:b/>
        </w:rPr>
        <w:t>„Analýze vývoje nemocenského pojištění</w:t>
      </w:r>
      <w:r w:rsidR="00040FCB">
        <w:rPr>
          <w:b/>
        </w:rPr>
        <w:t xml:space="preserve"> </w:t>
      </w:r>
      <w:r w:rsidRPr="004259D1">
        <w:rPr>
          <w:b/>
        </w:rPr>
        <w:t>2017“</w:t>
      </w:r>
      <w:r w:rsidR="00040FCB">
        <w:rPr>
          <w:b/>
        </w:rPr>
        <w:t xml:space="preserve"> </w:t>
      </w:r>
      <w:hyperlink r:id="rId37" w:history="1">
        <w:r w:rsidR="008404E1" w:rsidRPr="008404E1">
          <w:rPr>
            <w:rStyle w:val="Hypertextovodkaz"/>
          </w:rPr>
          <w:t>https://www.mpsv.cz/documents/20142/225490/Analyza_vyvoje_nemocenskeho_pojisteni_</w:t>
        </w:r>
        <w:r w:rsidR="00040FCB">
          <w:rPr>
            <w:b/>
          </w:rPr>
          <w:t>‌</w:t>
        </w:r>
        <w:r w:rsidR="008404E1" w:rsidRPr="008404E1">
          <w:rPr>
            <w:rStyle w:val="Hypertextovodkaz"/>
          </w:rPr>
          <w:t>2017.pdf/4b888822-ef45-0fc5-c8fc-112411536d6c</w:t>
        </w:r>
      </w:hyperlink>
      <w:r w:rsidR="008404E1">
        <w:t xml:space="preserve"> </w:t>
      </w:r>
      <w:r>
        <w:t xml:space="preserve">a v přehledech </w:t>
      </w:r>
      <w:r w:rsidRPr="004259D1">
        <w:rPr>
          <w:b/>
        </w:rPr>
        <w:t>Informace o vyplacených dávkách v</w:t>
      </w:r>
      <w:r w:rsidR="00614C38">
        <w:rPr>
          <w:b/>
        </w:rPr>
        <w:t> </w:t>
      </w:r>
      <w:r w:rsidRPr="004259D1">
        <w:rPr>
          <w:b/>
        </w:rPr>
        <w:t>resortu MPSV ČR</w:t>
      </w:r>
      <w:r>
        <w:t xml:space="preserve"> na </w:t>
      </w:r>
      <w:hyperlink r:id="rId38" w:history="1">
        <w:r w:rsidRPr="004259D1">
          <w:rPr>
            <w:rStyle w:val="Hypertextovodkaz"/>
          </w:rPr>
          <w:t>https://www.mpsv.cz/web/cz/informace-o-vyplacenych-davkach</w:t>
        </w:r>
      </w:hyperlink>
      <w:r w:rsidR="005F4DD2">
        <w:rPr>
          <w:rStyle w:val="Hypertextovodkaz"/>
        </w:rPr>
        <w:t>.</w:t>
      </w:r>
      <w:bookmarkStart w:id="9" w:name="_GoBack"/>
      <w:bookmarkEnd w:id="9"/>
    </w:p>
    <w:p w14:paraId="25A5D5CD" w14:textId="6E85B90C" w:rsidR="006355CC" w:rsidRDefault="00702A76" w:rsidP="0019246C">
      <w:pPr>
        <w:spacing w:after="120"/>
        <w:jc w:val="both"/>
        <w:rPr>
          <w:b/>
        </w:rPr>
      </w:pPr>
      <w:r w:rsidRPr="00702A76">
        <w:rPr>
          <w:b/>
        </w:rPr>
        <w:t>Graf 4.1</w:t>
      </w:r>
      <w:r>
        <w:rPr>
          <w:b/>
        </w:rPr>
        <w:t xml:space="preserve">: </w:t>
      </w:r>
      <w:r w:rsidRPr="00702A76">
        <w:rPr>
          <w:b/>
        </w:rPr>
        <w:t xml:space="preserve">Výdaje na nemocenské a průměrné procento </w:t>
      </w:r>
      <w:r w:rsidR="0099235C">
        <w:rPr>
          <w:b/>
        </w:rPr>
        <w:t xml:space="preserve">dočasné </w:t>
      </w:r>
      <w:r w:rsidRPr="00702A76">
        <w:rPr>
          <w:b/>
        </w:rPr>
        <w:t>pracovní neschop</w:t>
      </w:r>
      <w:r w:rsidR="004259D1">
        <w:rPr>
          <w:b/>
        </w:rPr>
        <w:t xml:space="preserve">nosti v 1. pol. </w:t>
      </w:r>
      <w:r w:rsidR="0019246C">
        <w:rPr>
          <w:b/>
        </w:rPr>
        <w:br/>
      </w:r>
      <w:r w:rsidR="004259D1">
        <w:rPr>
          <w:b/>
        </w:rPr>
        <w:t>2008 – 1</w:t>
      </w:r>
      <w:r w:rsidRPr="00702A76">
        <w:rPr>
          <w:b/>
        </w:rPr>
        <w:t xml:space="preserve">. pol. 2019 (v mld. Kč) </w:t>
      </w:r>
    </w:p>
    <w:p w14:paraId="585089C7" w14:textId="1D628089" w:rsidR="00EE6CB8" w:rsidRDefault="00F20F72" w:rsidP="00EE6CB8">
      <w:pPr>
        <w:jc w:val="both"/>
        <w:rPr>
          <w:rFonts w:cs="Arial"/>
          <w:sz w:val="16"/>
          <w:szCs w:val="16"/>
        </w:rPr>
      </w:pPr>
      <w:r>
        <w:rPr>
          <w:noProof/>
        </w:rPr>
        <w:drawing>
          <wp:inline distT="0" distB="0" distL="0" distR="0" wp14:anchorId="66E9B77F" wp14:editId="247FA402">
            <wp:extent cx="6120130" cy="2977515"/>
            <wp:effectExtent l="0" t="0" r="0" b="0"/>
            <wp:docPr id="22" name="Graf 22">
              <a:extLst xmlns:a="http://schemas.openxmlformats.org/drawingml/2006/main">
                <a:ext uri="{FF2B5EF4-FFF2-40B4-BE49-F238E27FC236}">
                  <a16:creationId xmlns:a16="http://schemas.microsoft.com/office/drawing/2014/main" id="{00000000-0008-0000-0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EE6CB8">
        <w:rPr>
          <w:rFonts w:cs="Arial"/>
          <w:sz w:val="16"/>
          <w:szCs w:val="16"/>
        </w:rPr>
        <w:t>Zdroj: ČSÚ</w:t>
      </w:r>
      <w:r w:rsidR="00CD66CE">
        <w:rPr>
          <w:rFonts w:cs="Arial"/>
          <w:sz w:val="16"/>
          <w:szCs w:val="16"/>
        </w:rPr>
        <w:t xml:space="preserve">, </w:t>
      </w:r>
      <w:r w:rsidR="0093767B">
        <w:rPr>
          <w:rFonts w:cs="Arial"/>
          <w:sz w:val="16"/>
          <w:szCs w:val="16"/>
        </w:rPr>
        <w:t>ČSSZ</w:t>
      </w:r>
    </w:p>
    <w:p w14:paraId="6A888F88" w14:textId="500D2EB9" w:rsidR="00AD3021" w:rsidRPr="00AD3021" w:rsidRDefault="00AD3021" w:rsidP="00EE6CB8">
      <w:pPr>
        <w:jc w:val="both"/>
        <w:rPr>
          <w:sz w:val="24"/>
        </w:rPr>
      </w:pPr>
      <w:r w:rsidRPr="00AD3021">
        <w:rPr>
          <w:rFonts w:cs="Arial"/>
          <w:szCs w:val="16"/>
        </w:rPr>
        <w:t>Od 1.</w:t>
      </w:r>
      <w:r>
        <w:rPr>
          <w:rFonts w:cs="Arial"/>
          <w:szCs w:val="16"/>
        </w:rPr>
        <w:t xml:space="preserve"> pol. roku 2008 postupně klesal objem vyplacených dávek nemocenského až do 1. pol. 2012 (celkem o</w:t>
      </w:r>
      <w:r w:rsidR="005A0510">
        <w:rPr>
          <w:rFonts w:cs="Arial"/>
          <w:szCs w:val="16"/>
        </w:rPr>
        <w:t> </w:t>
      </w:r>
      <w:r>
        <w:rPr>
          <w:rFonts w:cs="Arial"/>
          <w:szCs w:val="16"/>
        </w:rPr>
        <w:t xml:space="preserve">6,9 mld. Kč)., kdy dosáhl pouze 47,5 % objemu nemocenského vyplaceného v 1. pol. 2008. V posledních </w:t>
      </w:r>
      <w:r w:rsidR="00980012">
        <w:rPr>
          <w:rFonts w:cs="Arial"/>
          <w:szCs w:val="16"/>
        </w:rPr>
        <w:t>šesti</w:t>
      </w:r>
      <w:r>
        <w:rPr>
          <w:rFonts w:cs="Arial"/>
          <w:szCs w:val="16"/>
        </w:rPr>
        <w:t xml:space="preserve"> letech dochází k poměrně výraznému nárůstu objemu vyplacených dávek nemocenského, a to o</w:t>
      </w:r>
      <w:r w:rsidR="00FA0D30">
        <w:rPr>
          <w:rFonts w:cs="Arial"/>
          <w:szCs w:val="16"/>
        </w:rPr>
        <w:t> </w:t>
      </w:r>
      <w:r>
        <w:rPr>
          <w:rFonts w:cs="Arial"/>
          <w:szCs w:val="16"/>
        </w:rPr>
        <w:t>7,3</w:t>
      </w:r>
      <w:r w:rsidR="00FA0D30">
        <w:rPr>
          <w:rFonts w:cs="Arial"/>
          <w:szCs w:val="16"/>
        </w:rPr>
        <w:t> </w:t>
      </w:r>
      <w:r>
        <w:rPr>
          <w:rFonts w:cs="Arial"/>
          <w:szCs w:val="16"/>
        </w:rPr>
        <w:t>mld.</w:t>
      </w:r>
      <w:r w:rsidR="00FA0D30">
        <w:rPr>
          <w:rFonts w:cs="Arial"/>
          <w:szCs w:val="16"/>
        </w:rPr>
        <w:t> </w:t>
      </w:r>
      <w:r>
        <w:rPr>
          <w:rFonts w:cs="Arial"/>
          <w:szCs w:val="16"/>
        </w:rPr>
        <w:t xml:space="preserve">Kč od 1. pol. 2013. </w:t>
      </w:r>
      <w:r w:rsidR="00F20F72">
        <w:rPr>
          <w:rFonts w:cs="Arial"/>
          <w:szCs w:val="16"/>
        </w:rPr>
        <w:t xml:space="preserve">V 1. pol. 2019 objem výdajů na nemocenské dokonce překonal o 712 mil. výši výdajů z 1. pol. 2008. </w:t>
      </w:r>
      <w:r>
        <w:rPr>
          <w:rFonts w:cs="Arial"/>
          <w:szCs w:val="16"/>
        </w:rPr>
        <w:t>Vývojová křivka pololetních výdajů na nemocenské v posledním desetiletí má obdobný trend jako vývoj pracovní neschopnosti, změny v objemu výdajů na nemocenské jsou však dynamičtější.</w:t>
      </w:r>
    </w:p>
    <w:p w14:paraId="24C289A3" w14:textId="77777777" w:rsidR="00977F2A" w:rsidRDefault="00977F2A" w:rsidP="006701EE">
      <w:pPr>
        <w:pStyle w:val="Nadpis2"/>
        <w:spacing w:after="100"/>
      </w:pPr>
      <w:bookmarkStart w:id="10" w:name="_Toc23318732"/>
      <w:r>
        <w:t>4.</w:t>
      </w:r>
      <w:r w:rsidR="009A6833">
        <w:t>5</w:t>
      </w:r>
      <w:r>
        <w:t xml:space="preserve">. </w:t>
      </w:r>
      <w:r w:rsidR="00C62BD6">
        <w:t>Pracovní úrazy</w:t>
      </w:r>
      <w:bookmarkEnd w:id="10"/>
    </w:p>
    <w:p w14:paraId="5626ECBC" w14:textId="77777777" w:rsidR="008961BE" w:rsidRPr="008961BE" w:rsidRDefault="00F46792" w:rsidP="00AD32E7">
      <w:pPr>
        <w:jc w:val="both"/>
      </w:pPr>
      <w:r>
        <w:t>V oblasti pracovní úrazovosti ukládá česká i evropská legislativa zaměstnavatelům řadu povinností související s</w:t>
      </w:r>
      <w:r w:rsidR="00AD32E7">
        <w:t> </w:t>
      </w:r>
      <w:r>
        <w:t>evidencí</w:t>
      </w:r>
      <w:r w:rsidR="00AD32E7">
        <w:t>, hlášením a objasněním příčin a okolností vzniku každého pracovního úrazu.</w:t>
      </w:r>
      <w:r w:rsidR="00A07544">
        <w:t xml:space="preserve"> </w:t>
      </w:r>
    </w:p>
    <w:p w14:paraId="2E54BCD1" w14:textId="3D72679A" w:rsidR="00700B12" w:rsidRPr="00F46EA8" w:rsidRDefault="00700B12" w:rsidP="002B03C8">
      <w:pPr>
        <w:pStyle w:val="Box1"/>
        <w:jc w:val="both"/>
        <w:rPr>
          <w:i/>
        </w:rPr>
      </w:pPr>
      <w:r w:rsidRPr="00A2036D">
        <w:rPr>
          <w:b/>
          <w:i/>
        </w:rPr>
        <w:t xml:space="preserve">Pracovní úraz </w:t>
      </w:r>
      <w:r w:rsidRPr="00F46EA8">
        <w:rPr>
          <w:i/>
        </w:rPr>
        <w:t xml:space="preserve">– </w:t>
      </w:r>
      <w:r w:rsidRPr="00700B12">
        <w:rPr>
          <w:i/>
        </w:rPr>
        <w:t>pracovním úrazem se rozumí poškození zdraví nebo smrt</w:t>
      </w:r>
      <w:r w:rsidR="002B03C8">
        <w:rPr>
          <w:i/>
        </w:rPr>
        <w:t xml:space="preserve"> zaměstnance, došlo-li k</w:t>
      </w:r>
      <w:r w:rsidR="005A0510">
        <w:rPr>
          <w:i/>
        </w:rPr>
        <w:t> </w:t>
      </w:r>
      <w:r w:rsidR="002B03C8">
        <w:rPr>
          <w:i/>
        </w:rPr>
        <w:t>nim</w:t>
      </w:r>
      <w:r w:rsidRPr="00700B12">
        <w:rPr>
          <w:i/>
        </w:rPr>
        <w:t xml:space="preserve"> nezávisle na jeho vůli krátkodobým, náhlým a násilným působením </w:t>
      </w:r>
      <w:r w:rsidR="002B03C8">
        <w:rPr>
          <w:i/>
        </w:rPr>
        <w:t>zevních</w:t>
      </w:r>
      <w:r w:rsidRPr="00700B12">
        <w:rPr>
          <w:i/>
        </w:rPr>
        <w:t xml:space="preserve"> vlivů při plnění pracovních úkolů nebo v přímé souvislosti s ním </w:t>
      </w:r>
      <w:r w:rsidRPr="002B03C8">
        <w:rPr>
          <w:i/>
        </w:rPr>
        <w:t xml:space="preserve">(viz § </w:t>
      </w:r>
      <w:r w:rsidR="002B03C8">
        <w:rPr>
          <w:i/>
        </w:rPr>
        <w:t>271k</w:t>
      </w:r>
      <w:r w:rsidRPr="002B03C8">
        <w:rPr>
          <w:i/>
        </w:rPr>
        <w:t xml:space="preserve"> odst. 1 až 3 zákona č. 262/2006 Sb., zákoník práce</w:t>
      </w:r>
      <w:r w:rsidR="002B03C8">
        <w:rPr>
          <w:i/>
        </w:rPr>
        <w:t>, ve znění pozdějších předpisů</w:t>
      </w:r>
      <w:r w:rsidRPr="002B03C8">
        <w:rPr>
          <w:i/>
        </w:rPr>
        <w:t>).</w:t>
      </w:r>
    </w:p>
    <w:p w14:paraId="03DC7393" w14:textId="77777777" w:rsidR="00700B12" w:rsidRDefault="00700B12" w:rsidP="002B03C8">
      <w:pPr>
        <w:pStyle w:val="Box1"/>
        <w:jc w:val="both"/>
        <w:rPr>
          <w:b/>
          <w:i/>
        </w:rPr>
      </w:pPr>
    </w:p>
    <w:p w14:paraId="3B4A731E" w14:textId="77777777" w:rsidR="00A07544" w:rsidRPr="00A07544" w:rsidRDefault="00A07544" w:rsidP="00A07544">
      <w:pPr>
        <w:pStyle w:val="Box1"/>
        <w:jc w:val="both"/>
        <w:rPr>
          <w:i/>
        </w:rPr>
      </w:pPr>
      <w:r>
        <w:rPr>
          <w:b/>
          <w:i/>
        </w:rPr>
        <w:t>Smrtelný pracovní úraz</w:t>
      </w:r>
      <w:r>
        <w:rPr>
          <w:i/>
        </w:rPr>
        <w:t xml:space="preserve"> – je takové poškození zdraví, na jehož následky úrazem postižený zaměstnanec nejpozději do 1 roku zemřel.</w:t>
      </w:r>
    </w:p>
    <w:p w14:paraId="322F1FE3" w14:textId="77777777" w:rsidR="00A07544" w:rsidRDefault="00A07544" w:rsidP="002B03C8">
      <w:pPr>
        <w:pStyle w:val="Box1"/>
        <w:jc w:val="both"/>
        <w:rPr>
          <w:b/>
          <w:i/>
        </w:rPr>
      </w:pPr>
    </w:p>
    <w:p w14:paraId="54E72713" w14:textId="77777777" w:rsidR="00A07544" w:rsidRPr="00A07544" w:rsidRDefault="00A07544" w:rsidP="002B03C8">
      <w:pPr>
        <w:pStyle w:val="Box1"/>
        <w:jc w:val="both"/>
        <w:rPr>
          <w:i/>
        </w:rPr>
      </w:pPr>
      <w:r>
        <w:rPr>
          <w:b/>
          <w:i/>
        </w:rPr>
        <w:lastRenderedPageBreak/>
        <w:t>Závažný pracovní úraz</w:t>
      </w:r>
      <w:r>
        <w:rPr>
          <w:i/>
        </w:rPr>
        <w:t xml:space="preserve"> – je takové poškození zdraví, trvá-li hospitalizace úrazem postiženého zaměstnance více než 5 dnů.</w:t>
      </w:r>
    </w:p>
    <w:p w14:paraId="42D2D50D" w14:textId="77777777" w:rsidR="00A07544" w:rsidRDefault="00A07544" w:rsidP="002B03C8">
      <w:pPr>
        <w:pStyle w:val="Box1"/>
        <w:jc w:val="both"/>
        <w:rPr>
          <w:b/>
          <w:i/>
        </w:rPr>
      </w:pPr>
    </w:p>
    <w:p w14:paraId="2D4422B3" w14:textId="5D307A68" w:rsidR="00977F2A" w:rsidRPr="00F46EA8" w:rsidRDefault="00A2036D" w:rsidP="002B03C8">
      <w:pPr>
        <w:pStyle w:val="Box1"/>
        <w:jc w:val="both"/>
        <w:rPr>
          <w:i/>
        </w:rPr>
      </w:pPr>
      <w:r w:rsidRPr="00A2036D">
        <w:rPr>
          <w:b/>
          <w:i/>
        </w:rPr>
        <w:t>Pracovní ú</w:t>
      </w:r>
      <w:r w:rsidR="003036D2">
        <w:rPr>
          <w:b/>
          <w:i/>
        </w:rPr>
        <w:t>raz</w:t>
      </w:r>
      <w:r w:rsidRPr="00A2036D">
        <w:rPr>
          <w:b/>
          <w:i/>
        </w:rPr>
        <w:t xml:space="preserve"> s pracovní neschopností delší než 3 dny </w:t>
      </w:r>
      <w:r w:rsidR="00977F2A" w:rsidRPr="00F46EA8">
        <w:rPr>
          <w:i/>
        </w:rPr>
        <w:t xml:space="preserve">– </w:t>
      </w:r>
      <w:r>
        <w:rPr>
          <w:i/>
        </w:rPr>
        <w:t>u</w:t>
      </w:r>
      <w:r w:rsidRPr="00A2036D">
        <w:rPr>
          <w:i/>
        </w:rPr>
        <w:t xml:space="preserve">kazatel zahrnuje případy pracovních úrazů, které měly za následek </w:t>
      </w:r>
      <w:r w:rsidR="004D043B">
        <w:rPr>
          <w:i/>
        </w:rPr>
        <w:t xml:space="preserve">dočasnou </w:t>
      </w:r>
      <w:r w:rsidRPr="00A2036D">
        <w:rPr>
          <w:i/>
        </w:rPr>
        <w:t>pracovní neschopnost delší než tři kalendářní dny. Do těchto tří dnů se nezapočítává den, ve kterém k úrazu došlo.</w:t>
      </w:r>
    </w:p>
    <w:p w14:paraId="29F3F1BD" w14:textId="27FA0211" w:rsidR="00977F2A" w:rsidRDefault="00FC358D" w:rsidP="00A07544">
      <w:pPr>
        <w:jc w:val="both"/>
      </w:pPr>
      <w:r w:rsidRPr="00FC358D">
        <w:t>Ohlášení</w:t>
      </w:r>
      <w:r>
        <w:t xml:space="preserve"> pracovního úrazu místně příslušnému Oblastnímu inspektorátu práce (OIP) podléhá smrtelný pracovní </w:t>
      </w:r>
      <w:r w:rsidR="003036D2">
        <w:t>úraz</w:t>
      </w:r>
      <w:r>
        <w:t xml:space="preserve"> a pracovní úraz s hospitalizací delší než 5 dnů (závažný)</w:t>
      </w:r>
      <w:r w:rsidR="00977F2A" w:rsidRPr="00FC358D">
        <w:t>.</w:t>
      </w:r>
      <w:r>
        <w:t xml:space="preserve"> Vyhotovit záznam o úrazu </w:t>
      </w:r>
      <w:r w:rsidR="00DA0DF0">
        <w:t>(vč.</w:t>
      </w:r>
      <w:r w:rsidR="005A0510">
        <w:t> </w:t>
      </w:r>
      <w:r w:rsidR="00DA0DF0">
        <w:t xml:space="preserve">případného hlášení změn) </w:t>
      </w:r>
      <w:r>
        <w:t xml:space="preserve">a zaslat jej na místně příslušný OIP je zaměstnavatel povinen </w:t>
      </w:r>
      <w:r w:rsidR="009439D1">
        <w:t>u</w:t>
      </w:r>
      <w:r>
        <w:t xml:space="preserve"> smrtelného</w:t>
      </w:r>
      <w:r w:rsidR="009439D1">
        <w:t xml:space="preserve"> úrazu,</w:t>
      </w:r>
      <w:r>
        <w:t xml:space="preserve"> závažného</w:t>
      </w:r>
      <w:r w:rsidR="009439D1">
        <w:t xml:space="preserve"> úrazu i u pracovního úrazu s pracovní neschopností delší než 3 dny. </w:t>
      </w:r>
      <w:r w:rsidR="00DA0DF0">
        <w:t>V závislosti na druhu a okolnostech vzniku pracovního úrazu se</w:t>
      </w:r>
      <w:r w:rsidR="00760B64">
        <w:t xml:space="preserve"> pracovní úraz ohlašuje a záznam o něm se zasílá ještě na další stanovené orgány a instituce. Evidenci v</w:t>
      </w:r>
      <w:r w:rsidR="009439D1">
        <w:t>šech</w:t>
      </w:r>
      <w:r w:rsidR="00760B64">
        <w:t xml:space="preserve"> úrazů</w:t>
      </w:r>
      <w:r w:rsidR="009439D1">
        <w:t>, tedy i t</w:t>
      </w:r>
      <w:r w:rsidR="00760B64">
        <w:t>akových</w:t>
      </w:r>
      <w:r w:rsidR="009439D1">
        <w:t>, kterými nebyla způsobena pracovní neschopnost</w:t>
      </w:r>
      <w:r w:rsidR="00760B64">
        <w:t xml:space="preserve"> nebo jimi byla způsobena pracovní neschopnost nepřesahující 3 kalendářní dny, je zaměstnavatel povinen vést v knize úrazů.</w:t>
      </w:r>
    </w:p>
    <w:p w14:paraId="0E8DA8CB" w14:textId="06B564C7" w:rsidR="00AB63F2" w:rsidRPr="007B2702" w:rsidRDefault="002C7AE2" w:rsidP="002C7AE2">
      <w:pPr>
        <w:jc w:val="both"/>
        <w:rPr>
          <w:rFonts w:cs="Arial"/>
        </w:rPr>
      </w:pPr>
      <w:r w:rsidRPr="007B2702">
        <w:rPr>
          <w:bCs/>
        </w:rPr>
        <w:t>Absolutní počet nově hlášených případů dočasné pracovní neschopnosti</w:t>
      </w:r>
      <w:r w:rsidRPr="007B2702">
        <w:rPr>
          <w:rFonts w:cs="Arial"/>
        </w:rPr>
        <w:t xml:space="preserve"> </w:t>
      </w:r>
      <w:r w:rsidR="00AB63F2" w:rsidRPr="007B2702">
        <w:rPr>
          <w:rFonts w:cs="Arial"/>
        </w:rPr>
        <w:t xml:space="preserve">pro pracovní úraz </w:t>
      </w:r>
      <w:r w:rsidRPr="007B2702">
        <w:rPr>
          <w:rFonts w:cs="Arial"/>
        </w:rPr>
        <w:t xml:space="preserve">se meziročně </w:t>
      </w:r>
      <w:r w:rsidR="00DB1B98">
        <w:rPr>
          <w:rFonts w:cs="Arial"/>
        </w:rPr>
        <w:t>snížil</w:t>
      </w:r>
      <w:r w:rsidRPr="007B2702">
        <w:rPr>
          <w:rFonts w:cs="Arial"/>
        </w:rPr>
        <w:t xml:space="preserve"> z</w:t>
      </w:r>
      <w:r w:rsidR="00AB63F2" w:rsidRPr="007B2702">
        <w:rPr>
          <w:rFonts w:cs="Arial"/>
        </w:rPr>
        <w:t> </w:t>
      </w:r>
      <w:r w:rsidR="003036D2">
        <w:rPr>
          <w:rFonts w:cs="Arial"/>
        </w:rPr>
        <w:t>24 062</w:t>
      </w:r>
      <w:r w:rsidR="003036D2" w:rsidRPr="007B2702">
        <w:rPr>
          <w:rFonts w:cs="Arial"/>
        </w:rPr>
        <w:t xml:space="preserve"> </w:t>
      </w:r>
      <w:r w:rsidRPr="007B2702">
        <w:rPr>
          <w:rFonts w:cs="Arial"/>
        </w:rPr>
        <w:t>případů v</w:t>
      </w:r>
      <w:r w:rsidR="0089447D">
        <w:rPr>
          <w:rFonts w:cs="Arial"/>
        </w:rPr>
        <w:t> 1. pol. 201</w:t>
      </w:r>
      <w:r w:rsidR="003036D2">
        <w:rPr>
          <w:rFonts w:cs="Arial"/>
        </w:rPr>
        <w:t>8</w:t>
      </w:r>
      <w:r w:rsidR="0089447D">
        <w:rPr>
          <w:rFonts w:cs="Arial"/>
        </w:rPr>
        <w:t xml:space="preserve"> </w:t>
      </w:r>
      <w:r w:rsidRPr="007B2702">
        <w:rPr>
          <w:rFonts w:cs="Arial"/>
        </w:rPr>
        <w:t xml:space="preserve">na </w:t>
      </w:r>
      <w:r w:rsidR="003036D2">
        <w:rPr>
          <w:rFonts w:cs="Arial"/>
        </w:rPr>
        <w:t xml:space="preserve">23 218 </w:t>
      </w:r>
      <w:r w:rsidR="00AB63F2" w:rsidRPr="007B2702">
        <w:rPr>
          <w:rFonts w:cs="Arial"/>
        </w:rPr>
        <w:t>případ</w:t>
      </w:r>
      <w:r w:rsidR="0089447D">
        <w:rPr>
          <w:rFonts w:cs="Arial"/>
        </w:rPr>
        <w:t>ů</w:t>
      </w:r>
      <w:r w:rsidRPr="007B2702">
        <w:rPr>
          <w:rFonts w:cs="Arial"/>
        </w:rPr>
        <w:t xml:space="preserve"> </w:t>
      </w:r>
      <w:r w:rsidR="0063114F">
        <w:rPr>
          <w:rFonts w:cs="Arial"/>
        </w:rPr>
        <w:t xml:space="preserve">v </w:t>
      </w:r>
      <w:r w:rsidR="0089447D">
        <w:rPr>
          <w:rFonts w:cs="Arial"/>
        </w:rPr>
        <w:t>1. pol. 201</w:t>
      </w:r>
      <w:r w:rsidR="00AD3021">
        <w:rPr>
          <w:rFonts w:cs="Arial"/>
        </w:rPr>
        <w:t>9</w:t>
      </w:r>
      <w:r w:rsidR="0089447D">
        <w:rPr>
          <w:rFonts w:cs="Arial"/>
        </w:rPr>
        <w:t xml:space="preserve"> </w:t>
      </w:r>
      <w:r w:rsidRPr="007B2702">
        <w:rPr>
          <w:rFonts w:cs="Arial"/>
        </w:rPr>
        <w:t xml:space="preserve">(tj. o </w:t>
      </w:r>
      <w:r w:rsidR="003036D2">
        <w:rPr>
          <w:rFonts w:cs="Arial"/>
        </w:rPr>
        <w:t>3,5</w:t>
      </w:r>
      <w:r w:rsidRPr="007B2702">
        <w:rPr>
          <w:rFonts w:cs="Arial"/>
        </w:rPr>
        <w:t xml:space="preserve"> %).</w:t>
      </w:r>
      <w:r w:rsidR="00AB63F2" w:rsidRPr="007B2702">
        <w:rPr>
          <w:rFonts w:cs="Arial"/>
        </w:rPr>
        <w:t xml:space="preserve"> Z tohoto celkového počtu bylo </w:t>
      </w:r>
      <w:r w:rsidR="00AD3021">
        <w:rPr>
          <w:rFonts w:cs="Arial"/>
        </w:rPr>
        <w:t>22 828</w:t>
      </w:r>
      <w:r w:rsidR="00AB63F2" w:rsidRPr="007B2702">
        <w:rPr>
          <w:rFonts w:cs="Arial"/>
        </w:rPr>
        <w:t xml:space="preserve"> případů </w:t>
      </w:r>
      <w:r w:rsidR="007B2702" w:rsidRPr="007B2702">
        <w:rPr>
          <w:rFonts w:cs="Arial"/>
        </w:rPr>
        <w:t>(</w:t>
      </w:r>
      <w:r w:rsidR="00AD3021">
        <w:rPr>
          <w:rFonts w:cs="Arial"/>
        </w:rPr>
        <w:t>98,3</w:t>
      </w:r>
      <w:r w:rsidR="007B2702" w:rsidRPr="007B2702">
        <w:rPr>
          <w:rFonts w:cs="Arial"/>
        </w:rPr>
        <w:t xml:space="preserve"> %)</w:t>
      </w:r>
      <w:r w:rsidR="001F07BD" w:rsidRPr="001F07BD">
        <w:rPr>
          <w:rFonts w:cs="Arial"/>
        </w:rPr>
        <w:t xml:space="preserve"> </w:t>
      </w:r>
      <w:r w:rsidR="001F07BD" w:rsidRPr="001F07BD">
        <w:rPr>
          <w:rFonts w:cs="Arial"/>
          <w:b/>
        </w:rPr>
        <w:t>pracovních úrazů</w:t>
      </w:r>
      <w:r w:rsidR="00AB63F2" w:rsidRPr="001F07BD">
        <w:rPr>
          <w:rFonts w:cs="Arial"/>
          <w:b/>
        </w:rPr>
        <w:t xml:space="preserve"> </w:t>
      </w:r>
      <w:r w:rsidR="001F07BD" w:rsidRPr="001F07BD">
        <w:rPr>
          <w:rFonts w:cs="Arial"/>
          <w:b/>
        </w:rPr>
        <w:t>s</w:t>
      </w:r>
      <w:r w:rsidR="00AB63F2" w:rsidRPr="001F07BD">
        <w:rPr>
          <w:rFonts w:cs="Arial"/>
          <w:b/>
        </w:rPr>
        <w:t xml:space="preserve"> pracovní neschopnost</w:t>
      </w:r>
      <w:r w:rsidR="001F07BD" w:rsidRPr="001F07BD">
        <w:rPr>
          <w:rFonts w:cs="Arial"/>
          <w:b/>
        </w:rPr>
        <w:t>í</w:t>
      </w:r>
      <w:r w:rsidR="00AB63F2" w:rsidRPr="001F07BD">
        <w:rPr>
          <w:rFonts w:cs="Arial"/>
          <w:b/>
        </w:rPr>
        <w:t xml:space="preserve"> delší než 3 kalendářní dny</w:t>
      </w:r>
      <w:r w:rsidR="00AB63F2" w:rsidRPr="007B2702">
        <w:rPr>
          <w:rFonts w:cs="Arial"/>
        </w:rPr>
        <w:t xml:space="preserve"> (tedy těch, které podléhají</w:t>
      </w:r>
      <w:r w:rsidRPr="007B2702">
        <w:rPr>
          <w:rFonts w:cs="Arial"/>
        </w:rPr>
        <w:t xml:space="preserve"> </w:t>
      </w:r>
      <w:r w:rsidR="00AB63F2" w:rsidRPr="007B2702">
        <w:rPr>
          <w:rFonts w:cs="Arial"/>
        </w:rPr>
        <w:t>povinnosti vyhotovit záznam o úrazu a zaslat jej OIP)</w:t>
      </w:r>
      <w:r w:rsidR="007B2702" w:rsidRPr="007B2702">
        <w:rPr>
          <w:rFonts w:cs="Arial"/>
        </w:rPr>
        <w:t xml:space="preserve">. </w:t>
      </w:r>
      <w:r w:rsidR="007B2702" w:rsidRPr="00DB67FD">
        <w:rPr>
          <w:rFonts w:cs="Arial"/>
        </w:rPr>
        <w:t xml:space="preserve">Nadále se v této kapitole budeme věnovat </w:t>
      </w:r>
      <w:r w:rsidR="00FA0D30">
        <w:rPr>
          <w:rFonts w:cs="Arial"/>
        </w:rPr>
        <w:t xml:space="preserve">zejména </w:t>
      </w:r>
      <w:r w:rsidR="007B2702" w:rsidRPr="00DB67FD">
        <w:rPr>
          <w:rFonts w:cs="Arial"/>
        </w:rPr>
        <w:t>této skupině pracovních úrazů.</w:t>
      </w:r>
    </w:p>
    <w:p w14:paraId="1D085EA0" w14:textId="2772F95B" w:rsidR="003275BA" w:rsidRDefault="003275BA" w:rsidP="00E41950">
      <w:pPr>
        <w:spacing w:after="120"/>
        <w:rPr>
          <w:rFonts w:cs="Arial"/>
          <w:sz w:val="16"/>
          <w:szCs w:val="16"/>
        </w:rPr>
      </w:pPr>
      <w:r w:rsidRPr="003275BA">
        <w:rPr>
          <w:b/>
        </w:rPr>
        <w:t>Tab. 5.1</w:t>
      </w:r>
      <w:r>
        <w:rPr>
          <w:b/>
        </w:rPr>
        <w:t xml:space="preserve">: </w:t>
      </w:r>
      <w:r w:rsidRPr="003275BA">
        <w:rPr>
          <w:b/>
        </w:rPr>
        <w:t xml:space="preserve">Pracovní úrazy podle </w:t>
      </w:r>
      <w:r w:rsidR="00835C6C">
        <w:rPr>
          <w:b/>
        </w:rPr>
        <w:t xml:space="preserve">závažnosti a </w:t>
      </w:r>
      <w:r w:rsidRPr="003275BA">
        <w:rPr>
          <w:b/>
        </w:rPr>
        <w:t>pohlaví v 1. pol. 2008 – 1. pol. 2019</w:t>
      </w:r>
    </w:p>
    <w:tbl>
      <w:tblPr>
        <w:tblW w:w="9520" w:type="dxa"/>
        <w:tblCellMar>
          <w:left w:w="70" w:type="dxa"/>
          <w:right w:w="70" w:type="dxa"/>
        </w:tblCellMar>
        <w:tblLook w:val="04A0" w:firstRow="1" w:lastRow="0" w:firstColumn="1" w:lastColumn="0" w:noHBand="0" w:noVBand="1"/>
      </w:tblPr>
      <w:tblGrid>
        <w:gridCol w:w="1120"/>
        <w:gridCol w:w="700"/>
        <w:gridCol w:w="700"/>
        <w:gridCol w:w="700"/>
        <w:gridCol w:w="700"/>
        <w:gridCol w:w="700"/>
        <w:gridCol w:w="700"/>
        <w:gridCol w:w="700"/>
        <w:gridCol w:w="700"/>
        <w:gridCol w:w="700"/>
        <w:gridCol w:w="700"/>
        <w:gridCol w:w="700"/>
        <w:gridCol w:w="700"/>
      </w:tblGrid>
      <w:tr w:rsidR="003275BA" w:rsidRPr="003275BA" w14:paraId="31584657" w14:textId="77777777" w:rsidTr="003275BA">
        <w:trPr>
          <w:trHeight w:val="930"/>
        </w:trPr>
        <w:tc>
          <w:tcPr>
            <w:tcW w:w="1120" w:type="dxa"/>
            <w:vMerge w:val="restart"/>
            <w:tcBorders>
              <w:top w:val="single" w:sz="4" w:space="0" w:color="auto"/>
              <w:left w:val="nil"/>
              <w:bottom w:val="single" w:sz="4" w:space="0" w:color="auto"/>
              <w:right w:val="single" w:sz="4" w:space="0" w:color="auto"/>
            </w:tcBorders>
            <w:shd w:val="clear" w:color="000000" w:fill="F5DADD"/>
            <w:vAlign w:val="center"/>
            <w:hideMark/>
          </w:tcPr>
          <w:p w14:paraId="6522E49C" w14:textId="77777777" w:rsidR="003275BA" w:rsidRPr="003275BA" w:rsidRDefault="003275BA" w:rsidP="003275BA">
            <w:pPr>
              <w:spacing w:after="0" w:line="240" w:lineRule="auto"/>
              <w:jc w:val="center"/>
              <w:rPr>
                <w:rFonts w:cs="Arial"/>
                <w:sz w:val="16"/>
                <w:szCs w:val="16"/>
              </w:rPr>
            </w:pPr>
            <w:r w:rsidRPr="003275BA">
              <w:rPr>
                <w:rFonts w:cs="Arial"/>
                <w:sz w:val="16"/>
                <w:szCs w:val="16"/>
              </w:rPr>
              <w:t>Rok</w:t>
            </w:r>
          </w:p>
        </w:tc>
        <w:tc>
          <w:tcPr>
            <w:tcW w:w="2100" w:type="dxa"/>
            <w:gridSpan w:val="3"/>
            <w:tcBorders>
              <w:top w:val="single" w:sz="4" w:space="0" w:color="auto"/>
              <w:left w:val="nil"/>
              <w:bottom w:val="single" w:sz="4" w:space="0" w:color="auto"/>
              <w:right w:val="nil"/>
            </w:tcBorders>
            <w:shd w:val="clear" w:color="000000" w:fill="F5DADD"/>
            <w:vAlign w:val="center"/>
            <w:hideMark/>
          </w:tcPr>
          <w:p w14:paraId="06A90F44" w14:textId="77777777" w:rsidR="003275BA" w:rsidRPr="003275BA" w:rsidRDefault="003275BA" w:rsidP="003275BA">
            <w:pPr>
              <w:spacing w:after="0" w:line="240" w:lineRule="auto"/>
              <w:jc w:val="center"/>
              <w:rPr>
                <w:rFonts w:cs="Arial"/>
                <w:sz w:val="16"/>
                <w:szCs w:val="16"/>
              </w:rPr>
            </w:pPr>
            <w:r w:rsidRPr="003275BA">
              <w:rPr>
                <w:rFonts w:cs="Arial"/>
                <w:sz w:val="16"/>
                <w:szCs w:val="16"/>
              </w:rPr>
              <w:t xml:space="preserve">Počet pracovních úrazů </w:t>
            </w:r>
            <w:r w:rsidRPr="003275BA">
              <w:rPr>
                <w:rFonts w:cs="Arial"/>
                <w:sz w:val="16"/>
                <w:szCs w:val="16"/>
              </w:rPr>
              <w:br/>
              <w:t xml:space="preserve">s pracovní neschopností </w:t>
            </w:r>
          </w:p>
        </w:tc>
        <w:tc>
          <w:tcPr>
            <w:tcW w:w="2100" w:type="dxa"/>
            <w:gridSpan w:val="3"/>
            <w:tcBorders>
              <w:top w:val="single" w:sz="4" w:space="0" w:color="auto"/>
              <w:left w:val="single" w:sz="4" w:space="0" w:color="auto"/>
              <w:bottom w:val="single" w:sz="4" w:space="0" w:color="auto"/>
              <w:right w:val="single" w:sz="4" w:space="0" w:color="000000"/>
            </w:tcBorders>
            <w:shd w:val="clear" w:color="000000" w:fill="F5DADD"/>
            <w:vAlign w:val="center"/>
            <w:hideMark/>
          </w:tcPr>
          <w:p w14:paraId="1EBB47F9" w14:textId="77777777" w:rsidR="003275BA" w:rsidRPr="003275BA" w:rsidRDefault="003275BA" w:rsidP="003275BA">
            <w:pPr>
              <w:spacing w:after="0" w:line="240" w:lineRule="auto"/>
              <w:jc w:val="center"/>
              <w:rPr>
                <w:rFonts w:cs="Arial"/>
                <w:sz w:val="16"/>
                <w:szCs w:val="16"/>
              </w:rPr>
            </w:pPr>
            <w:r w:rsidRPr="003275BA">
              <w:rPr>
                <w:rFonts w:cs="Arial"/>
                <w:sz w:val="16"/>
                <w:szCs w:val="16"/>
              </w:rPr>
              <w:t xml:space="preserve">Počet pracovních úrazů </w:t>
            </w:r>
            <w:r w:rsidRPr="003275BA">
              <w:rPr>
                <w:rFonts w:cs="Arial"/>
                <w:sz w:val="16"/>
                <w:szCs w:val="16"/>
              </w:rPr>
              <w:br/>
              <w:t xml:space="preserve">s pracovní neschopností </w:t>
            </w:r>
            <w:r w:rsidRPr="003275BA">
              <w:rPr>
                <w:rFonts w:cs="Arial"/>
                <w:sz w:val="16"/>
                <w:szCs w:val="16"/>
              </w:rPr>
              <w:br/>
              <w:t>delší než 3 dny</w:t>
            </w:r>
          </w:p>
        </w:tc>
        <w:tc>
          <w:tcPr>
            <w:tcW w:w="2100" w:type="dxa"/>
            <w:gridSpan w:val="3"/>
            <w:tcBorders>
              <w:top w:val="single" w:sz="4" w:space="0" w:color="auto"/>
              <w:left w:val="nil"/>
              <w:bottom w:val="single" w:sz="4" w:space="0" w:color="auto"/>
              <w:right w:val="single" w:sz="4" w:space="0" w:color="000000"/>
            </w:tcBorders>
            <w:shd w:val="clear" w:color="000000" w:fill="F5DADD"/>
            <w:vAlign w:val="center"/>
            <w:hideMark/>
          </w:tcPr>
          <w:p w14:paraId="11C4CBA4" w14:textId="77777777" w:rsidR="003275BA" w:rsidRPr="003275BA" w:rsidRDefault="003275BA" w:rsidP="003275BA">
            <w:pPr>
              <w:spacing w:after="0" w:line="240" w:lineRule="auto"/>
              <w:jc w:val="center"/>
              <w:rPr>
                <w:rFonts w:cs="Arial"/>
                <w:sz w:val="16"/>
                <w:szCs w:val="16"/>
              </w:rPr>
            </w:pPr>
            <w:r w:rsidRPr="003275BA">
              <w:rPr>
                <w:rFonts w:cs="Arial"/>
                <w:sz w:val="16"/>
                <w:szCs w:val="16"/>
              </w:rPr>
              <w:t xml:space="preserve">Počet smrtelných </w:t>
            </w:r>
            <w:r w:rsidRPr="003275BA">
              <w:rPr>
                <w:rFonts w:cs="Arial"/>
                <w:sz w:val="16"/>
                <w:szCs w:val="16"/>
              </w:rPr>
              <w:br/>
              <w:t xml:space="preserve">pracovních úrazů </w:t>
            </w:r>
          </w:p>
        </w:tc>
        <w:tc>
          <w:tcPr>
            <w:tcW w:w="2100" w:type="dxa"/>
            <w:gridSpan w:val="3"/>
            <w:tcBorders>
              <w:top w:val="single" w:sz="4" w:space="0" w:color="auto"/>
              <w:left w:val="nil"/>
              <w:bottom w:val="single" w:sz="4" w:space="0" w:color="auto"/>
              <w:right w:val="nil"/>
            </w:tcBorders>
            <w:shd w:val="clear" w:color="000000" w:fill="F5DADD"/>
            <w:vAlign w:val="center"/>
            <w:hideMark/>
          </w:tcPr>
          <w:p w14:paraId="55B40EB7" w14:textId="77777777" w:rsidR="003275BA" w:rsidRDefault="003275BA" w:rsidP="003275BA">
            <w:pPr>
              <w:spacing w:after="0" w:line="240" w:lineRule="auto"/>
              <w:jc w:val="center"/>
              <w:rPr>
                <w:rFonts w:cs="Arial"/>
                <w:sz w:val="16"/>
                <w:szCs w:val="16"/>
              </w:rPr>
            </w:pPr>
            <w:r w:rsidRPr="003275BA">
              <w:rPr>
                <w:rFonts w:cs="Arial"/>
                <w:sz w:val="16"/>
                <w:szCs w:val="16"/>
              </w:rPr>
              <w:t xml:space="preserve">Počet závažných pracovních úrazů </w:t>
            </w:r>
          </w:p>
          <w:p w14:paraId="45C4FE30" w14:textId="3BF233A5" w:rsidR="003275BA" w:rsidRPr="003275BA" w:rsidRDefault="003275BA" w:rsidP="003275BA">
            <w:pPr>
              <w:spacing w:after="0" w:line="240" w:lineRule="auto"/>
              <w:jc w:val="center"/>
              <w:rPr>
                <w:rFonts w:cs="Arial"/>
                <w:sz w:val="16"/>
                <w:szCs w:val="16"/>
              </w:rPr>
            </w:pPr>
            <w:r w:rsidRPr="003275BA">
              <w:rPr>
                <w:rFonts w:cs="Arial"/>
                <w:sz w:val="16"/>
                <w:szCs w:val="16"/>
              </w:rPr>
              <w:t>s hospitalizací nad 5 dnů</w:t>
            </w:r>
          </w:p>
        </w:tc>
      </w:tr>
      <w:tr w:rsidR="003275BA" w:rsidRPr="003275BA" w14:paraId="0D0BC386" w14:textId="77777777" w:rsidTr="003275BA">
        <w:trPr>
          <w:trHeight w:val="300"/>
        </w:trPr>
        <w:tc>
          <w:tcPr>
            <w:tcW w:w="1120" w:type="dxa"/>
            <w:vMerge/>
            <w:tcBorders>
              <w:top w:val="single" w:sz="4" w:space="0" w:color="auto"/>
              <w:left w:val="nil"/>
              <w:bottom w:val="single" w:sz="4" w:space="0" w:color="auto"/>
              <w:right w:val="single" w:sz="4" w:space="0" w:color="auto"/>
            </w:tcBorders>
            <w:vAlign w:val="center"/>
            <w:hideMark/>
          </w:tcPr>
          <w:p w14:paraId="228F3559" w14:textId="77777777" w:rsidR="003275BA" w:rsidRPr="003275BA" w:rsidRDefault="003275BA" w:rsidP="003275BA">
            <w:pPr>
              <w:spacing w:after="0" w:line="240" w:lineRule="auto"/>
              <w:rPr>
                <w:rFonts w:cs="Arial"/>
                <w:sz w:val="16"/>
                <w:szCs w:val="16"/>
              </w:rPr>
            </w:pPr>
          </w:p>
        </w:tc>
        <w:tc>
          <w:tcPr>
            <w:tcW w:w="700" w:type="dxa"/>
            <w:vMerge w:val="restart"/>
            <w:tcBorders>
              <w:top w:val="nil"/>
              <w:left w:val="single" w:sz="4" w:space="0" w:color="auto"/>
              <w:bottom w:val="single" w:sz="4" w:space="0" w:color="auto"/>
              <w:right w:val="single" w:sz="4" w:space="0" w:color="auto"/>
            </w:tcBorders>
            <w:shd w:val="clear" w:color="000000" w:fill="F5DADD"/>
            <w:vAlign w:val="center"/>
            <w:hideMark/>
          </w:tcPr>
          <w:p w14:paraId="6AFE6495" w14:textId="6CCC16BB" w:rsidR="003275BA" w:rsidRPr="003275BA" w:rsidRDefault="00496B5A" w:rsidP="003275BA">
            <w:pPr>
              <w:spacing w:after="0" w:line="240" w:lineRule="auto"/>
              <w:jc w:val="center"/>
              <w:rPr>
                <w:rFonts w:cs="Arial"/>
                <w:sz w:val="16"/>
                <w:szCs w:val="16"/>
              </w:rPr>
            </w:pPr>
            <w:r>
              <w:rPr>
                <w:rFonts w:cs="Arial"/>
                <w:sz w:val="16"/>
                <w:szCs w:val="16"/>
              </w:rPr>
              <w:t>C</w:t>
            </w:r>
            <w:r w:rsidR="003275BA" w:rsidRPr="003275BA">
              <w:rPr>
                <w:rFonts w:cs="Arial"/>
                <w:sz w:val="16"/>
                <w:szCs w:val="16"/>
              </w:rPr>
              <w:t>elkem</w:t>
            </w:r>
          </w:p>
        </w:tc>
        <w:tc>
          <w:tcPr>
            <w:tcW w:w="1400" w:type="dxa"/>
            <w:gridSpan w:val="2"/>
            <w:tcBorders>
              <w:top w:val="single" w:sz="4" w:space="0" w:color="auto"/>
              <w:left w:val="nil"/>
              <w:bottom w:val="single" w:sz="4" w:space="0" w:color="auto"/>
              <w:right w:val="single" w:sz="4" w:space="0" w:color="auto"/>
            </w:tcBorders>
            <w:shd w:val="clear" w:color="000000" w:fill="F5DADD"/>
            <w:vAlign w:val="center"/>
            <w:hideMark/>
          </w:tcPr>
          <w:p w14:paraId="3C658C62" w14:textId="77777777" w:rsidR="003275BA" w:rsidRPr="003275BA" w:rsidRDefault="003275BA" w:rsidP="003275BA">
            <w:pPr>
              <w:spacing w:after="0" w:line="240" w:lineRule="auto"/>
              <w:jc w:val="center"/>
              <w:rPr>
                <w:rFonts w:cs="Arial"/>
                <w:sz w:val="16"/>
                <w:szCs w:val="16"/>
              </w:rPr>
            </w:pPr>
            <w:r w:rsidRPr="003275BA">
              <w:rPr>
                <w:rFonts w:cs="Arial"/>
                <w:sz w:val="16"/>
                <w:szCs w:val="16"/>
              </w:rPr>
              <w:t>podle pohlaví</w:t>
            </w:r>
          </w:p>
        </w:tc>
        <w:tc>
          <w:tcPr>
            <w:tcW w:w="700" w:type="dxa"/>
            <w:vMerge w:val="restart"/>
            <w:tcBorders>
              <w:top w:val="nil"/>
              <w:left w:val="single" w:sz="4" w:space="0" w:color="auto"/>
              <w:bottom w:val="single" w:sz="4" w:space="0" w:color="auto"/>
              <w:right w:val="single" w:sz="4" w:space="0" w:color="auto"/>
            </w:tcBorders>
            <w:shd w:val="clear" w:color="000000" w:fill="F5DADD"/>
            <w:vAlign w:val="center"/>
            <w:hideMark/>
          </w:tcPr>
          <w:p w14:paraId="1EC766F1" w14:textId="16103114" w:rsidR="003275BA" w:rsidRPr="003275BA" w:rsidRDefault="00496B5A" w:rsidP="003275BA">
            <w:pPr>
              <w:spacing w:after="0" w:line="240" w:lineRule="auto"/>
              <w:jc w:val="center"/>
              <w:rPr>
                <w:rFonts w:cs="Arial"/>
                <w:sz w:val="16"/>
                <w:szCs w:val="16"/>
              </w:rPr>
            </w:pPr>
            <w:r>
              <w:rPr>
                <w:rFonts w:cs="Arial"/>
                <w:sz w:val="16"/>
                <w:szCs w:val="16"/>
              </w:rPr>
              <w:t>C</w:t>
            </w:r>
            <w:r w:rsidR="003275BA" w:rsidRPr="003275BA">
              <w:rPr>
                <w:rFonts w:cs="Arial"/>
                <w:sz w:val="16"/>
                <w:szCs w:val="16"/>
              </w:rPr>
              <w:t>elkem</w:t>
            </w:r>
          </w:p>
        </w:tc>
        <w:tc>
          <w:tcPr>
            <w:tcW w:w="1400" w:type="dxa"/>
            <w:gridSpan w:val="2"/>
            <w:tcBorders>
              <w:top w:val="single" w:sz="4" w:space="0" w:color="auto"/>
              <w:left w:val="nil"/>
              <w:bottom w:val="single" w:sz="4" w:space="0" w:color="auto"/>
              <w:right w:val="single" w:sz="4" w:space="0" w:color="auto"/>
            </w:tcBorders>
            <w:shd w:val="clear" w:color="000000" w:fill="F5DADD"/>
            <w:vAlign w:val="center"/>
            <w:hideMark/>
          </w:tcPr>
          <w:p w14:paraId="62C4EF22" w14:textId="77777777" w:rsidR="003275BA" w:rsidRPr="003275BA" w:rsidRDefault="003275BA" w:rsidP="003275BA">
            <w:pPr>
              <w:spacing w:after="0" w:line="240" w:lineRule="auto"/>
              <w:jc w:val="center"/>
              <w:rPr>
                <w:rFonts w:cs="Arial"/>
                <w:sz w:val="16"/>
                <w:szCs w:val="16"/>
              </w:rPr>
            </w:pPr>
            <w:r w:rsidRPr="003275BA">
              <w:rPr>
                <w:rFonts w:cs="Arial"/>
                <w:sz w:val="16"/>
                <w:szCs w:val="16"/>
              </w:rPr>
              <w:t>podle pohlaví</w:t>
            </w:r>
          </w:p>
        </w:tc>
        <w:tc>
          <w:tcPr>
            <w:tcW w:w="700" w:type="dxa"/>
            <w:vMerge w:val="restart"/>
            <w:tcBorders>
              <w:top w:val="nil"/>
              <w:left w:val="single" w:sz="4" w:space="0" w:color="auto"/>
              <w:bottom w:val="single" w:sz="4" w:space="0" w:color="auto"/>
              <w:right w:val="single" w:sz="4" w:space="0" w:color="auto"/>
            </w:tcBorders>
            <w:shd w:val="clear" w:color="000000" w:fill="F5DADD"/>
            <w:vAlign w:val="center"/>
            <w:hideMark/>
          </w:tcPr>
          <w:p w14:paraId="3816E569" w14:textId="45AC50B4" w:rsidR="003275BA" w:rsidRPr="003275BA" w:rsidRDefault="00496B5A" w:rsidP="003275BA">
            <w:pPr>
              <w:spacing w:after="0" w:line="240" w:lineRule="auto"/>
              <w:jc w:val="center"/>
              <w:rPr>
                <w:rFonts w:cs="Arial"/>
                <w:sz w:val="16"/>
                <w:szCs w:val="16"/>
              </w:rPr>
            </w:pPr>
            <w:r>
              <w:rPr>
                <w:rFonts w:cs="Arial"/>
                <w:sz w:val="16"/>
                <w:szCs w:val="16"/>
              </w:rPr>
              <w:t>C</w:t>
            </w:r>
            <w:r w:rsidR="003275BA" w:rsidRPr="003275BA">
              <w:rPr>
                <w:rFonts w:cs="Arial"/>
                <w:sz w:val="16"/>
                <w:szCs w:val="16"/>
              </w:rPr>
              <w:t>elkem</w:t>
            </w:r>
          </w:p>
        </w:tc>
        <w:tc>
          <w:tcPr>
            <w:tcW w:w="1400" w:type="dxa"/>
            <w:gridSpan w:val="2"/>
            <w:tcBorders>
              <w:top w:val="single" w:sz="4" w:space="0" w:color="auto"/>
              <w:left w:val="nil"/>
              <w:bottom w:val="single" w:sz="4" w:space="0" w:color="auto"/>
              <w:right w:val="single" w:sz="4" w:space="0" w:color="auto"/>
            </w:tcBorders>
            <w:shd w:val="clear" w:color="000000" w:fill="F5DADD"/>
            <w:vAlign w:val="center"/>
            <w:hideMark/>
          </w:tcPr>
          <w:p w14:paraId="616BC2DC" w14:textId="77777777" w:rsidR="003275BA" w:rsidRPr="003275BA" w:rsidRDefault="003275BA" w:rsidP="003275BA">
            <w:pPr>
              <w:spacing w:after="0" w:line="240" w:lineRule="auto"/>
              <w:jc w:val="center"/>
              <w:rPr>
                <w:rFonts w:cs="Arial"/>
                <w:sz w:val="16"/>
                <w:szCs w:val="16"/>
              </w:rPr>
            </w:pPr>
            <w:r w:rsidRPr="003275BA">
              <w:rPr>
                <w:rFonts w:cs="Arial"/>
                <w:sz w:val="16"/>
                <w:szCs w:val="16"/>
              </w:rPr>
              <w:t>podle pohlaví</w:t>
            </w:r>
          </w:p>
        </w:tc>
        <w:tc>
          <w:tcPr>
            <w:tcW w:w="700" w:type="dxa"/>
            <w:vMerge w:val="restart"/>
            <w:tcBorders>
              <w:top w:val="nil"/>
              <w:left w:val="single" w:sz="4" w:space="0" w:color="auto"/>
              <w:bottom w:val="single" w:sz="4" w:space="0" w:color="auto"/>
              <w:right w:val="single" w:sz="4" w:space="0" w:color="auto"/>
            </w:tcBorders>
            <w:shd w:val="clear" w:color="000000" w:fill="F5DADD"/>
            <w:vAlign w:val="center"/>
            <w:hideMark/>
          </w:tcPr>
          <w:p w14:paraId="7E1F6A54" w14:textId="546EC255" w:rsidR="003275BA" w:rsidRPr="003275BA" w:rsidRDefault="00496B5A" w:rsidP="003275BA">
            <w:pPr>
              <w:spacing w:after="0" w:line="240" w:lineRule="auto"/>
              <w:jc w:val="center"/>
              <w:rPr>
                <w:rFonts w:cs="Arial"/>
                <w:sz w:val="16"/>
                <w:szCs w:val="16"/>
              </w:rPr>
            </w:pPr>
            <w:r>
              <w:rPr>
                <w:rFonts w:cs="Arial"/>
                <w:sz w:val="16"/>
                <w:szCs w:val="16"/>
              </w:rPr>
              <w:t>C</w:t>
            </w:r>
            <w:r w:rsidR="003275BA" w:rsidRPr="003275BA">
              <w:rPr>
                <w:rFonts w:cs="Arial"/>
                <w:sz w:val="16"/>
                <w:szCs w:val="16"/>
              </w:rPr>
              <w:t>elkem</w:t>
            </w:r>
          </w:p>
        </w:tc>
        <w:tc>
          <w:tcPr>
            <w:tcW w:w="1400" w:type="dxa"/>
            <w:gridSpan w:val="2"/>
            <w:tcBorders>
              <w:top w:val="single" w:sz="4" w:space="0" w:color="auto"/>
              <w:left w:val="nil"/>
              <w:bottom w:val="single" w:sz="4" w:space="0" w:color="auto"/>
            </w:tcBorders>
            <w:shd w:val="clear" w:color="000000" w:fill="F5DADD"/>
            <w:vAlign w:val="center"/>
            <w:hideMark/>
          </w:tcPr>
          <w:p w14:paraId="163F14C0" w14:textId="77777777" w:rsidR="003275BA" w:rsidRPr="003275BA" w:rsidRDefault="003275BA" w:rsidP="003275BA">
            <w:pPr>
              <w:spacing w:after="0" w:line="240" w:lineRule="auto"/>
              <w:jc w:val="center"/>
              <w:rPr>
                <w:rFonts w:cs="Arial"/>
                <w:sz w:val="16"/>
                <w:szCs w:val="16"/>
              </w:rPr>
            </w:pPr>
            <w:r w:rsidRPr="003275BA">
              <w:rPr>
                <w:rFonts w:cs="Arial"/>
                <w:sz w:val="16"/>
                <w:szCs w:val="16"/>
              </w:rPr>
              <w:t>podle pohlaví</w:t>
            </w:r>
          </w:p>
        </w:tc>
      </w:tr>
      <w:tr w:rsidR="003275BA" w:rsidRPr="003275BA" w14:paraId="3363BF1B" w14:textId="77777777" w:rsidTr="003275BA">
        <w:trPr>
          <w:trHeight w:val="300"/>
        </w:trPr>
        <w:tc>
          <w:tcPr>
            <w:tcW w:w="1120" w:type="dxa"/>
            <w:vMerge/>
            <w:tcBorders>
              <w:top w:val="single" w:sz="4" w:space="0" w:color="auto"/>
              <w:left w:val="nil"/>
              <w:bottom w:val="single" w:sz="4" w:space="0" w:color="auto"/>
              <w:right w:val="single" w:sz="4" w:space="0" w:color="auto"/>
            </w:tcBorders>
            <w:vAlign w:val="center"/>
            <w:hideMark/>
          </w:tcPr>
          <w:p w14:paraId="1758A0E2" w14:textId="77777777" w:rsidR="003275BA" w:rsidRPr="003275BA" w:rsidRDefault="003275BA" w:rsidP="003275BA">
            <w:pPr>
              <w:spacing w:after="0" w:line="240" w:lineRule="auto"/>
              <w:rPr>
                <w:rFonts w:cs="Arial"/>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14:paraId="3E20B03B" w14:textId="77777777" w:rsidR="003275BA" w:rsidRPr="003275BA" w:rsidRDefault="003275BA" w:rsidP="003275BA">
            <w:pPr>
              <w:spacing w:after="0" w:line="240" w:lineRule="auto"/>
              <w:rPr>
                <w:rFonts w:cs="Arial"/>
                <w:sz w:val="16"/>
                <w:szCs w:val="16"/>
              </w:rPr>
            </w:pPr>
          </w:p>
        </w:tc>
        <w:tc>
          <w:tcPr>
            <w:tcW w:w="700" w:type="dxa"/>
            <w:tcBorders>
              <w:top w:val="nil"/>
              <w:left w:val="nil"/>
              <w:bottom w:val="single" w:sz="4" w:space="0" w:color="auto"/>
              <w:right w:val="single" w:sz="4" w:space="0" w:color="auto"/>
            </w:tcBorders>
            <w:shd w:val="clear" w:color="000000" w:fill="F5DADD"/>
            <w:vAlign w:val="center"/>
            <w:hideMark/>
          </w:tcPr>
          <w:p w14:paraId="07158EC5" w14:textId="77777777" w:rsidR="003275BA" w:rsidRPr="003275BA" w:rsidRDefault="003275BA" w:rsidP="003275BA">
            <w:pPr>
              <w:spacing w:after="0" w:line="240" w:lineRule="auto"/>
              <w:jc w:val="center"/>
              <w:rPr>
                <w:rFonts w:cs="Arial"/>
                <w:sz w:val="16"/>
                <w:szCs w:val="16"/>
              </w:rPr>
            </w:pPr>
            <w:r w:rsidRPr="003275BA">
              <w:rPr>
                <w:rFonts w:cs="Arial"/>
                <w:sz w:val="16"/>
                <w:szCs w:val="16"/>
              </w:rPr>
              <w:t>muži</w:t>
            </w:r>
          </w:p>
        </w:tc>
        <w:tc>
          <w:tcPr>
            <w:tcW w:w="700" w:type="dxa"/>
            <w:tcBorders>
              <w:top w:val="nil"/>
              <w:left w:val="nil"/>
              <w:bottom w:val="single" w:sz="4" w:space="0" w:color="auto"/>
              <w:right w:val="nil"/>
            </w:tcBorders>
            <w:shd w:val="clear" w:color="000000" w:fill="F5DADD"/>
            <w:vAlign w:val="center"/>
            <w:hideMark/>
          </w:tcPr>
          <w:p w14:paraId="6112CC0B" w14:textId="77777777" w:rsidR="003275BA" w:rsidRPr="003275BA" w:rsidRDefault="003275BA" w:rsidP="003275BA">
            <w:pPr>
              <w:spacing w:after="0" w:line="240" w:lineRule="auto"/>
              <w:jc w:val="center"/>
              <w:rPr>
                <w:rFonts w:cs="Arial"/>
                <w:sz w:val="16"/>
                <w:szCs w:val="16"/>
              </w:rPr>
            </w:pPr>
            <w:r w:rsidRPr="003275BA">
              <w:rPr>
                <w:rFonts w:cs="Arial"/>
                <w:sz w:val="16"/>
                <w:szCs w:val="16"/>
              </w:rPr>
              <w:t>ženy</w:t>
            </w:r>
          </w:p>
        </w:tc>
        <w:tc>
          <w:tcPr>
            <w:tcW w:w="700" w:type="dxa"/>
            <w:vMerge/>
            <w:tcBorders>
              <w:top w:val="nil"/>
              <w:left w:val="single" w:sz="4" w:space="0" w:color="auto"/>
              <w:bottom w:val="single" w:sz="4" w:space="0" w:color="auto"/>
              <w:right w:val="single" w:sz="4" w:space="0" w:color="auto"/>
            </w:tcBorders>
            <w:vAlign w:val="center"/>
            <w:hideMark/>
          </w:tcPr>
          <w:p w14:paraId="292AAFD8" w14:textId="77777777" w:rsidR="003275BA" w:rsidRPr="003275BA" w:rsidRDefault="003275BA" w:rsidP="003275BA">
            <w:pPr>
              <w:spacing w:after="0" w:line="240" w:lineRule="auto"/>
              <w:rPr>
                <w:rFonts w:cs="Arial"/>
                <w:sz w:val="16"/>
                <w:szCs w:val="16"/>
              </w:rPr>
            </w:pPr>
          </w:p>
        </w:tc>
        <w:tc>
          <w:tcPr>
            <w:tcW w:w="700" w:type="dxa"/>
            <w:tcBorders>
              <w:top w:val="nil"/>
              <w:left w:val="nil"/>
              <w:bottom w:val="single" w:sz="4" w:space="0" w:color="auto"/>
              <w:right w:val="single" w:sz="4" w:space="0" w:color="auto"/>
            </w:tcBorders>
            <w:shd w:val="clear" w:color="000000" w:fill="F5DADD"/>
            <w:vAlign w:val="center"/>
            <w:hideMark/>
          </w:tcPr>
          <w:p w14:paraId="65A8AFE2" w14:textId="77777777" w:rsidR="003275BA" w:rsidRPr="003275BA" w:rsidRDefault="003275BA" w:rsidP="003275BA">
            <w:pPr>
              <w:spacing w:after="0" w:line="240" w:lineRule="auto"/>
              <w:jc w:val="center"/>
              <w:rPr>
                <w:rFonts w:cs="Arial"/>
                <w:sz w:val="16"/>
                <w:szCs w:val="16"/>
              </w:rPr>
            </w:pPr>
            <w:r w:rsidRPr="003275BA">
              <w:rPr>
                <w:rFonts w:cs="Arial"/>
                <w:sz w:val="16"/>
                <w:szCs w:val="16"/>
              </w:rPr>
              <w:t>muži</w:t>
            </w:r>
          </w:p>
        </w:tc>
        <w:tc>
          <w:tcPr>
            <w:tcW w:w="700" w:type="dxa"/>
            <w:tcBorders>
              <w:top w:val="nil"/>
              <w:left w:val="nil"/>
              <w:bottom w:val="single" w:sz="4" w:space="0" w:color="auto"/>
              <w:right w:val="single" w:sz="4" w:space="0" w:color="auto"/>
            </w:tcBorders>
            <w:shd w:val="clear" w:color="000000" w:fill="F5DADD"/>
            <w:vAlign w:val="center"/>
            <w:hideMark/>
          </w:tcPr>
          <w:p w14:paraId="137056B5" w14:textId="77777777" w:rsidR="003275BA" w:rsidRPr="003275BA" w:rsidRDefault="003275BA" w:rsidP="003275BA">
            <w:pPr>
              <w:spacing w:after="0" w:line="240" w:lineRule="auto"/>
              <w:jc w:val="center"/>
              <w:rPr>
                <w:rFonts w:cs="Arial"/>
                <w:sz w:val="16"/>
                <w:szCs w:val="16"/>
              </w:rPr>
            </w:pPr>
            <w:r w:rsidRPr="003275BA">
              <w:rPr>
                <w:rFonts w:cs="Arial"/>
                <w:sz w:val="16"/>
                <w:szCs w:val="16"/>
              </w:rPr>
              <w:t>ženy</w:t>
            </w:r>
          </w:p>
        </w:tc>
        <w:tc>
          <w:tcPr>
            <w:tcW w:w="700" w:type="dxa"/>
            <w:vMerge/>
            <w:tcBorders>
              <w:top w:val="nil"/>
              <w:left w:val="single" w:sz="4" w:space="0" w:color="auto"/>
              <w:bottom w:val="single" w:sz="4" w:space="0" w:color="auto"/>
              <w:right w:val="single" w:sz="4" w:space="0" w:color="auto"/>
            </w:tcBorders>
            <w:vAlign w:val="center"/>
            <w:hideMark/>
          </w:tcPr>
          <w:p w14:paraId="57BB1CEB" w14:textId="77777777" w:rsidR="003275BA" w:rsidRPr="003275BA" w:rsidRDefault="003275BA" w:rsidP="003275BA">
            <w:pPr>
              <w:spacing w:after="0" w:line="240" w:lineRule="auto"/>
              <w:rPr>
                <w:rFonts w:cs="Arial"/>
                <w:sz w:val="16"/>
                <w:szCs w:val="16"/>
              </w:rPr>
            </w:pPr>
          </w:p>
        </w:tc>
        <w:tc>
          <w:tcPr>
            <w:tcW w:w="700" w:type="dxa"/>
            <w:tcBorders>
              <w:top w:val="nil"/>
              <w:left w:val="nil"/>
              <w:bottom w:val="single" w:sz="4" w:space="0" w:color="auto"/>
              <w:right w:val="single" w:sz="4" w:space="0" w:color="auto"/>
            </w:tcBorders>
            <w:shd w:val="clear" w:color="000000" w:fill="F5DADD"/>
            <w:vAlign w:val="center"/>
            <w:hideMark/>
          </w:tcPr>
          <w:p w14:paraId="405141EE" w14:textId="77777777" w:rsidR="003275BA" w:rsidRPr="003275BA" w:rsidRDefault="003275BA" w:rsidP="003275BA">
            <w:pPr>
              <w:spacing w:after="0" w:line="240" w:lineRule="auto"/>
              <w:jc w:val="center"/>
              <w:rPr>
                <w:rFonts w:cs="Arial"/>
                <w:sz w:val="16"/>
                <w:szCs w:val="16"/>
              </w:rPr>
            </w:pPr>
            <w:r w:rsidRPr="003275BA">
              <w:rPr>
                <w:rFonts w:cs="Arial"/>
                <w:sz w:val="16"/>
                <w:szCs w:val="16"/>
              </w:rPr>
              <w:t>muži</w:t>
            </w:r>
          </w:p>
        </w:tc>
        <w:tc>
          <w:tcPr>
            <w:tcW w:w="700" w:type="dxa"/>
            <w:tcBorders>
              <w:top w:val="nil"/>
              <w:left w:val="nil"/>
              <w:bottom w:val="single" w:sz="4" w:space="0" w:color="auto"/>
              <w:right w:val="single" w:sz="4" w:space="0" w:color="auto"/>
            </w:tcBorders>
            <w:shd w:val="clear" w:color="000000" w:fill="F5DADD"/>
            <w:vAlign w:val="center"/>
            <w:hideMark/>
          </w:tcPr>
          <w:p w14:paraId="085B2A25" w14:textId="77777777" w:rsidR="003275BA" w:rsidRPr="003275BA" w:rsidRDefault="003275BA" w:rsidP="003275BA">
            <w:pPr>
              <w:spacing w:after="0" w:line="240" w:lineRule="auto"/>
              <w:jc w:val="center"/>
              <w:rPr>
                <w:rFonts w:cs="Arial"/>
                <w:sz w:val="16"/>
                <w:szCs w:val="16"/>
              </w:rPr>
            </w:pPr>
            <w:r w:rsidRPr="003275BA">
              <w:rPr>
                <w:rFonts w:cs="Arial"/>
                <w:sz w:val="16"/>
                <w:szCs w:val="16"/>
              </w:rPr>
              <w:t>ženy</w:t>
            </w:r>
          </w:p>
        </w:tc>
        <w:tc>
          <w:tcPr>
            <w:tcW w:w="700" w:type="dxa"/>
            <w:vMerge/>
            <w:tcBorders>
              <w:top w:val="nil"/>
              <w:left w:val="single" w:sz="4" w:space="0" w:color="auto"/>
              <w:bottom w:val="single" w:sz="4" w:space="0" w:color="auto"/>
              <w:right w:val="single" w:sz="4" w:space="0" w:color="auto"/>
            </w:tcBorders>
            <w:vAlign w:val="center"/>
            <w:hideMark/>
          </w:tcPr>
          <w:p w14:paraId="2C6C8963" w14:textId="77777777" w:rsidR="003275BA" w:rsidRPr="003275BA" w:rsidRDefault="003275BA" w:rsidP="003275BA">
            <w:pPr>
              <w:spacing w:after="0" w:line="240" w:lineRule="auto"/>
              <w:rPr>
                <w:rFonts w:cs="Arial"/>
                <w:sz w:val="16"/>
                <w:szCs w:val="16"/>
              </w:rPr>
            </w:pPr>
          </w:p>
        </w:tc>
        <w:tc>
          <w:tcPr>
            <w:tcW w:w="700" w:type="dxa"/>
            <w:tcBorders>
              <w:top w:val="nil"/>
              <w:left w:val="nil"/>
              <w:bottom w:val="single" w:sz="4" w:space="0" w:color="auto"/>
              <w:right w:val="single" w:sz="4" w:space="0" w:color="auto"/>
            </w:tcBorders>
            <w:shd w:val="clear" w:color="000000" w:fill="F5DADD"/>
            <w:vAlign w:val="center"/>
            <w:hideMark/>
          </w:tcPr>
          <w:p w14:paraId="5ADF5A6E" w14:textId="77777777" w:rsidR="003275BA" w:rsidRPr="003275BA" w:rsidRDefault="003275BA" w:rsidP="003275BA">
            <w:pPr>
              <w:spacing w:after="0" w:line="240" w:lineRule="auto"/>
              <w:jc w:val="center"/>
              <w:rPr>
                <w:rFonts w:cs="Arial"/>
                <w:sz w:val="16"/>
                <w:szCs w:val="16"/>
              </w:rPr>
            </w:pPr>
            <w:r w:rsidRPr="003275BA">
              <w:rPr>
                <w:rFonts w:cs="Arial"/>
                <w:sz w:val="16"/>
                <w:szCs w:val="16"/>
              </w:rPr>
              <w:t>muži</w:t>
            </w:r>
          </w:p>
        </w:tc>
        <w:tc>
          <w:tcPr>
            <w:tcW w:w="700" w:type="dxa"/>
            <w:tcBorders>
              <w:top w:val="nil"/>
              <w:left w:val="nil"/>
              <w:bottom w:val="single" w:sz="4" w:space="0" w:color="auto"/>
              <w:right w:val="nil"/>
            </w:tcBorders>
            <w:shd w:val="clear" w:color="000000" w:fill="F5DADD"/>
            <w:vAlign w:val="center"/>
            <w:hideMark/>
          </w:tcPr>
          <w:p w14:paraId="459D0208" w14:textId="77777777" w:rsidR="003275BA" w:rsidRPr="003275BA" w:rsidRDefault="003275BA" w:rsidP="003275BA">
            <w:pPr>
              <w:spacing w:after="0" w:line="240" w:lineRule="auto"/>
              <w:jc w:val="center"/>
              <w:rPr>
                <w:rFonts w:cs="Arial"/>
                <w:sz w:val="16"/>
                <w:szCs w:val="16"/>
              </w:rPr>
            </w:pPr>
            <w:r w:rsidRPr="003275BA">
              <w:rPr>
                <w:rFonts w:cs="Arial"/>
                <w:sz w:val="16"/>
                <w:szCs w:val="16"/>
              </w:rPr>
              <w:t>ženy</w:t>
            </w:r>
          </w:p>
        </w:tc>
      </w:tr>
      <w:tr w:rsidR="003275BA" w:rsidRPr="003275BA" w14:paraId="6AF41ED4" w14:textId="77777777" w:rsidTr="003275BA">
        <w:trPr>
          <w:trHeight w:val="300"/>
        </w:trPr>
        <w:tc>
          <w:tcPr>
            <w:tcW w:w="1120" w:type="dxa"/>
            <w:tcBorders>
              <w:top w:val="nil"/>
              <w:left w:val="nil"/>
              <w:bottom w:val="nil"/>
              <w:right w:val="single" w:sz="4" w:space="0" w:color="auto"/>
            </w:tcBorders>
            <w:shd w:val="clear" w:color="auto" w:fill="auto"/>
            <w:vAlign w:val="center"/>
            <w:hideMark/>
          </w:tcPr>
          <w:p w14:paraId="14A72C41" w14:textId="77777777" w:rsidR="003275BA" w:rsidRPr="003275BA" w:rsidRDefault="003275BA" w:rsidP="003275BA">
            <w:pPr>
              <w:spacing w:after="0" w:line="240" w:lineRule="auto"/>
              <w:jc w:val="center"/>
              <w:rPr>
                <w:rFonts w:cs="Arial"/>
                <w:sz w:val="16"/>
                <w:szCs w:val="16"/>
              </w:rPr>
            </w:pPr>
            <w:r w:rsidRPr="003275BA">
              <w:rPr>
                <w:rFonts w:cs="Arial"/>
                <w:sz w:val="16"/>
                <w:szCs w:val="16"/>
              </w:rPr>
              <w:t>1. pol. 2008</w:t>
            </w:r>
          </w:p>
        </w:tc>
        <w:tc>
          <w:tcPr>
            <w:tcW w:w="700" w:type="dxa"/>
            <w:tcBorders>
              <w:top w:val="nil"/>
              <w:left w:val="nil"/>
              <w:bottom w:val="nil"/>
              <w:right w:val="nil"/>
            </w:tcBorders>
            <w:shd w:val="clear" w:color="auto" w:fill="auto"/>
            <w:vAlign w:val="center"/>
            <w:hideMark/>
          </w:tcPr>
          <w:p w14:paraId="6C596AFD" w14:textId="77777777" w:rsidR="003275BA" w:rsidRPr="003275BA" w:rsidRDefault="003275BA" w:rsidP="003275BA">
            <w:pPr>
              <w:spacing w:after="0" w:line="240" w:lineRule="auto"/>
              <w:jc w:val="right"/>
              <w:rPr>
                <w:rFonts w:cs="Arial"/>
                <w:sz w:val="16"/>
                <w:szCs w:val="16"/>
              </w:rPr>
            </w:pPr>
            <w:r w:rsidRPr="003275BA">
              <w:rPr>
                <w:rFonts w:cs="Arial"/>
                <w:sz w:val="16"/>
                <w:szCs w:val="16"/>
              </w:rPr>
              <w:t>35 139</w:t>
            </w:r>
          </w:p>
        </w:tc>
        <w:tc>
          <w:tcPr>
            <w:tcW w:w="700" w:type="dxa"/>
            <w:tcBorders>
              <w:top w:val="nil"/>
              <w:left w:val="nil"/>
              <w:bottom w:val="nil"/>
              <w:right w:val="nil"/>
            </w:tcBorders>
            <w:shd w:val="clear" w:color="auto" w:fill="auto"/>
            <w:vAlign w:val="center"/>
            <w:hideMark/>
          </w:tcPr>
          <w:p w14:paraId="3D6A60A6" w14:textId="77777777" w:rsidR="003275BA" w:rsidRPr="003275BA" w:rsidRDefault="003275BA" w:rsidP="003275BA">
            <w:pPr>
              <w:spacing w:after="0" w:line="240" w:lineRule="auto"/>
              <w:jc w:val="right"/>
              <w:rPr>
                <w:rFonts w:cs="Arial"/>
                <w:sz w:val="16"/>
                <w:szCs w:val="16"/>
              </w:rPr>
            </w:pPr>
            <w:r w:rsidRPr="003275BA">
              <w:rPr>
                <w:rFonts w:cs="Arial"/>
                <w:sz w:val="16"/>
                <w:szCs w:val="16"/>
              </w:rPr>
              <w:t>25 718</w:t>
            </w:r>
          </w:p>
        </w:tc>
        <w:tc>
          <w:tcPr>
            <w:tcW w:w="700" w:type="dxa"/>
            <w:tcBorders>
              <w:top w:val="nil"/>
              <w:left w:val="nil"/>
              <w:bottom w:val="nil"/>
              <w:right w:val="single" w:sz="4" w:space="0" w:color="auto"/>
            </w:tcBorders>
            <w:shd w:val="clear" w:color="auto" w:fill="auto"/>
            <w:vAlign w:val="center"/>
            <w:hideMark/>
          </w:tcPr>
          <w:p w14:paraId="350A9A25" w14:textId="77777777" w:rsidR="003275BA" w:rsidRPr="003275BA" w:rsidRDefault="003275BA" w:rsidP="003275BA">
            <w:pPr>
              <w:spacing w:after="0" w:line="240" w:lineRule="auto"/>
              <w:jc w:val="right"/>
              <w:rPr>
                <w:rFonts w:cs="Arial"/>
                <w:sz w:val="16"/>
                <w:szCs w:val="16"/>
              </w:rPr>
            </w:pPr>
            <w:r w:rsidRPr="003275BA">
              <w:rPr>
                <w:rFonts w:cs="Arial"/>
                <w:sz w:val="16"/>
                <w:szCs w:val="16"/>
              </w:rPr>
              <w:t>9 421</w:t>
            </w:r>
          </w:p>
        </w:tc>
        <w:tc>
          <w:tcPr>
            <w:tcW w:w="700" w:type="dxa"/>
            <w:tcBorders>
              <w:top w:val="nil"/>
              <w:left w:val="nil"/>
              <w:bottom w:val="nil"/>
              <w:right w:val="nil"/>
            </w:tcBorders>
            <w:shd w:val="clear" w:color="auto" w:fill="auto"/>
            <w:noWrap/>
            <w:vAlign w:val="center"/>
            <w:hideMark/>
          </w:tcPr>
          <w:p w14:paraId="72C84F1C" w14:textId="77777777" w:rsidR="003275BA" w:rsidRPr="003275BA" w:rsidRDefault="003275BA" w:rsidP="003275BA">
            <w:pPr>
              <w:spacing w:after="0" w:line="240" w:lineRule="auto"/>
              <w:jc w:val="right"/>
              <w:rPr>
                <w:rFonts w:cs="Arial"/>
                <w:sz w:val="16"/>
                <w:szCs w:val="16"/>
              </w:rPr>
            </w:pPr>
            <w:r w:rsidRPr="003275BA">
              <w:rPr>
                <w:rFonts w:cs="Arial"/>
                <w:sz w:val="16"/>
                <w:szCs w:val="16"/>
              </w:rPr>
              <w:t>34 113</w:t>
            </w:r>
          </w:p>
        </w:tc>
        <w:tc>
          <w:tcPr>
            <w:tcW w:w="700" w:type="dxa"/>
            <w:tcBorders>
              <w:top w:val="nil"/>
              <w:left w:val="nil"/>
              <w:bottom w:val="nil"/>
              <w:right w:val="nil"/>
            </w:tcBorders>
            <w:shd w:val="clear" w:color="auto" w:fill="auto"/>
            <w:vAlign w:val="center"/>
            <w:hideMark/>
          </w:tcPr>
          <w:p w14:paraId="098FE4EE" w14:textId="77777777" w:rsidR="003275BA" w:rsidRPr="003275BA" w:rsidRDefault="003275BA" w:rsidP="003275BA">
            <w:pPr>
              <w:spacing w:after="0" w:line="240" w:lineRule="auto"/>
              <w:jc w:val="right"/>
              <w:rPr>
                <w:rFonts w:cs="Arial"/>
                <w:sz w:val="16"/>
                <w:szCs w:val="16"/>
              </w:rPr>
            </w:pPr>
            <w:r w:rsidRPr="003275BA">
              <w:rPr>
                <w:rFonts w:cs="Arial"/>
                <w:sz w:val="16"/>
                <w:szCs w:val="16"/>
              </w:rPr>
              <w:t>24 907</w:t>
            </w:r>
          </w:p>
        </w:tc>
        <w:tc>
          <w:tcPr>
            <w:tcW w:w="700" w:type="dxa"/>
            <w:tcBorders>
              <w:top w:val="nil"/>
              <w:left w:val="nil"/>
              <w:bottom w:val="nil"/>
              <w:right w:val="single" w:sz="4" w:space="0" w:color="auto"/>
            </w:tcBorders>
            <w:shd w:val="clear" w:color="auto" w:fill="auto"/>
            <w:vAlign w:val="center"/>
            <w:hideMark/>
          </w:tcPr>
          <w:p w14:paraId="704E2665" w14:textId="77777777" w:rsidR="003275BA" w:rsidRPr="003275BA" w:rsidRDefault="003275BA" w:rsidP="003275BA">
            <w:pPr>
              <w:spacing w:after="0" w:line="240" w:lineRule="auto"/>
              <w:jc w:val="right"/>
              <w:rPr>
                <w:rFonts w:cs="Arial"/>
                <w:sz w:val="16"/>
                <w:szCs w:val="16"/>
              </w:rPr>
            </w:pPr>
            <w:r w:rsidRPr="003275BA">
              <w:rPr>
                <w:rFonts w:cs="Arial"/>
                <w:sz w:val="16"/>
                <w:szCs w:val="16"/>
              </w:rPr>
              <w:t>9 206</w:t>
            </w:r>
          </w:p>
        </w:tc>
        <w:tc>
          <w:tcPr>
            <w:tcW w:w="700" w:type="dxa"/>
            <w:tcBorders>
              <w:top w:val="nil"/>
              <w:left w:val="nil"/>
              <w:bottom w:val="nil"/>
              <w:right w:val="nil"/>
            </w:tcBorders>
            <w:shd w:val="clear" w:color="auto" w:fill="auto"/>
            <w:vAlign w:val="center"/>
            <w:hideMark/>
          </w:tcPr>
          <w:p w14:paraId="0123E9C8" w14:textId="77777777" w:rsidR="003275BA" w:rsidRPr="003275BA" w:rsidRDefault="003275BA" w:rsidP="003275BA">
            <w:pPr>
              <w:spacing w:after="0" w:line="240" w:lineRule="auto"/>
              <w:jc w:val="right"/>
              <w:rPr>
                <w:rFonts w:cs="Arial"/>
                <w:sz w:val="16"/>
                <w:szCs w:val="16"/>
              </w:rPr>
            </w:pPr>
            <w:r w:rsidRPr="003275BA">
              <w:rPr>
                <w:rFonts w:cs="Arial"/>
                <w:sz w:val="16"/>
                <w:szCs w:val="16"/>
              </w:rPr>
              <w:t>91</w:t>
            </w:r>
          </w:p>
        </w:tc>
        <w:tc>
          <w:tcPr>
            <w:tcW w:w="700" w:type="dxa"/>
            <w:tcBorders>
              <w:top w:val="nil"/>
              <w:left w:val="nil"/>
              <w:bottom w:val="nil"/>
              <w:right w:val="nil"/>
            </w:tcBorders>
            <w:shd w:val="clear" w:color="auto" w:fill="auto"/>
            <w:vAlign w:val="center"/>
            <w:hideMark/>
          </w:tcPr>
          <w:p w14:paraId="59CC3F26" w14:textId="77777777" w:rsidR="003275BA" w:rsidRPr="003275BA" w:rsidRDefault="003275BA" w:rsidP="003275BA">
            <w:pPr>
              <w:spacing w:after="0" w:line="240" w:lineRule="auto"/>
              <w:jc w:val="right"/>
              <w:rPr>
                <w:rFonts w:cs="Arial"/>
                <w:sz w:val="16"/>
                <w:szCs w:val="16"/>
              </w:rPr>
            </w:pPr>
            <w:r w:rsidRPr="003275BA">
              <w:rPr>
                <w:rFonts w:cs="Arial"/>
                <w:sz w:val="16"/>
                <w:szCs w:val="16"/>
              </w:rPr>
              <w:t>88</w:t>
            </w:r>
          </w:p>
        </w:tc>
        <w:tc>
          <w:tcPr>
            <w:tcW w:w="700" w:type="dxa"/>
            <w:tcBorders>
              <w:top w:val="nil"/>
              <w:left w:val="nil"/>
              <w:bottom w:val="nil"/>
              <w:right w:val="single" w:sz="4" w:space="0" w:color="auto"/>
            </w:tcBorders>
            <w:shd w:val="clear" w:color="auto" w:fill="auto"/>
            <w:vAlign w:val="center"/>
            <w:hideMark/>
          </w:tcPr>
          <w:p w14:paraId="0B9F7611" w14:textId="77777777" w:rsidR="003275BA" w:rsidRPr="003275BA" w:rsidRDefault="003275BA" w:rsidP="003275BA">
            <w:pPr>
              <w:spacing w:after="0" w:line="240" w:lineRule="auto"/>
              <w:jc w:val="right"/>
              <w:rPr>
                <w:rFonts w:cs="Arial"/>
                <w:sz w:val="16"/>
                <w:szCs w:val="16"/>
              </w:rPr>
            </w:pPr>
            <w:r w:rsidRPr="003275BA">
              <w:rPr>
                <w:rFonts w:cs="Arial"/>
                <w:sz w:val="16"/>
                <w:szCs w:val="16"/>
              </w:rPr>
              <w:t>3</w:t>
            </w:r>
          </w:p>
        </w:tc>
        <w:tc>
          <w:tcPr>
            <w:tcW w:w="700" w:type="dxa"/>
            <w:tcBorders>
              <w:top w:val="nil"/>
              <w:left w:val="nil"/>
              <w:bottom w:val="nil"/>
              <w:right w:val="nil"/>
            </w:tcBorders>
            <w:shd w:val="clear" w:color="auto" w:fill="auto"/>
            <w:vAlign w:val="center"/>
            <w:hideMark/>
          </w:tcPr>
          <w:p w14:paraId="7F812045" w14:textId="77777777" w:rsidR="003275BA" w:rsidRPr="003275BA" w:rsidRDefault="003275BA" w:rsidP="003275BA">
            <w:pPr>
              <w:spacing w:after="0" w:line="240" w:lineRule="auto"/>
              <w:jc w:val="right"/>
              <w:rPr>
                <w:rFonts w:cs="Arial"/>
                <w:sz w:val="16"/>
                <w:szCs w:val="16"/>
              </w:rPr>
            </w:pPr>
            <w:r w:rsidRPr="003275BA">
              <w:rPr>
                <w:rFonts w:cs="Arial"/>
                <w:sz w:val="16"/>
                <w:szCs w:val="16"/>
              </w:rPr>
              <w:t>585</w:t>
            </w:r>
          </w:p>
        </w:tc>
        <w:tc>
          <w:tcPr>
            <w:tcW w:w="700" w:type="dxa"/>
            <w:tcBorders>
              <w:top w:val="nil"/>
              <w:left w:val="nil"/>
              <w:bottom w:val="nil"/>
              <w:right w:val="nil"/>
            </w:tcBorders>
            <w:shd w:val="clear" w:color="auto" w:fill="auto"/>
            <w:vAlign w:val="center"/>
            <w:hideMark/>
          </w:tcPr>
          <w:p w14:paraId="17BFFCD1" w14:textId="77777777" w:rsidR="003275BA" w:rsidRPr="003275BA" w:rsidRDefault="003275BA" w:rsidP="003275BA">
            <w:pPr>
              <w:spacing w:after="0" w:line="240" w:lineRule="auto"/>
              <w:jc w:val="right"/>
              <w:rPr>
                <w:rFonts w:cs="Arial"/>
                <w:sz w:val="16"/>
                <w:szCs w:val="16"/>
              </w:rPr>
            </w:pPr>
            <w:r w:rsidRPr="003275BA">
              <w:rPr>
                <w:rFonts w:cs="Arial"/>
                <w:sz w:val="16"/>
                <w:szCs w:val="16"/>
              </w:rPr>
              <w:t>499</w:t>
            </w:r>
          </w:p>
        </w:tc>
        <w:tc>
          <w:tcPr>
            <w:tcW w:w="700" w:type="dxa"/>
            <w:tcBorders>
              <w:top w:val="nil"/>
              <w:left w:val="nil"/>
              <w:bottom w:val="nil"/>
              <w:right w:val="nil"/>
            </w:tcBorders>
            <w:shd w:val="clear" w:color="auto" w:fill="auto"/>
            <w:vAlign w:val="center"/>
            <w:hideMark/>
          </w:tcPr>
          <w:p w14:paraId="3B529A3E" w14:textId="77777777" w:rsidR="003275BA" w:rsidRPr="003275BA" w:rsidRDefault="003275BA" w:rsidP="003275BA">
            <w:pPr>
              <w:spacing w:after="0" w:line="240" w:lineRule="auto"/>
              <w:jc w:val="right"/>
              <w:rPr>
                <w:rFonts w:cs="Arial"/>
                <w:sz w:val="16"/>
                <w:szCs w:val="16"/>
              </w:rPr>
            </w:pPr>
            <w:r w:rsidRPr="003275BA">
              <w:rPr>
                <w:rFonts w:cs="Arial"/>
                <w:sz w:val="16"/>
                <w:szCs w:val="16"/>
              </w:rPr>
              <w:t>86</w:t>
            </w:r>
          </w:p>
        </w:tc>
      </w:tr>
      <w:tr w:rsidR="003275BA" w:rsidRPr="003275BA" w14:paraId="4BF2BC85" w14:textId="77777777" w:rsidTr="003275BA">
        <w:trPr>
          <w:trHeight w:val="300"/>
        </w:trPr>
        <w:tc>
          <w:tcPr>
            <w:tcW w:w="1120" w:type="dxa"/>
            <w:tcBorders>
              <w:top w:val="nil"/>
              <w:left w:val="nil"/>
              <w:bottom w:val="nil"/>
              <w:right w:val="single" w:sz="4" w:space="0" w:color="auto"/>
            </w:tcBorders>
            <w:shd w:val="clear" w:color="auto" w:fill="auto"/>
            <w:vAlign w:val="center"/>
            <w:hideMark/>
          </w:tcPr>
          <w:p w14:paraId="324F90D8" w14:textId="77777777" w:rsidR="003275BA" w:rsidRPr="003275BA" w:rsidRDefault="003275BA" w:rsidP="003275BA">
            <w:pPr>
              <w:spacing w:after="0" w:line="240" w:lineRule="auto"/>
              <w:jc w:val="center"/>
              <w:rPr>
                <w:rFonts w:cs="Arial"/>
                <w:sz w:val="16"/>
                <w:szCs w:val="16"/>
              </w:rPr>
            </w:pPr>
            <w:r w:rsidRPr="003275BA">
              <w:rPr>
                <w:rFonts w:cs="Arial"/>
                <w:sz w:val="16"/>
                <w:szCs w:val="16"/>
              </w:rPr>
              <w:t>1. pol. 2009</w:t>
            </w:r>
          </w:p>
        </w:tc>
        <w:tc>
          <w:tcPr>
            <w:tcW w:w="700" w:type="dxa"/>
            <w:tcBorders>
              <w:top w:val="nil"/>
              <w:left w:val="nil"/>
              <w:bottom w:val="nil"/>
              <w:right w:val="nil"/>
            </w:tcBorders>
            <w:shd w:val="clear" w:color="auto" w:fill="auto"/>
            <w:vAlign w:val="center"/>
            <w:hideMark/>
          </w:tcPr>
          <w:p w14:paraId="3174829D" w14:textId="77777777" w:rsidR="003275BA" w:rsidRPr="003275BA" w:rsidRDefault="003275BA" w:rsidP="003275BA">
            <w:pPr>
              <w:spacing w:after="0" w:line="240" w:lineRule="auto"/>
              <w:jc w:val="right"/>
              <w:rPr>
                <w:rFonts w:cs="Arial"/>
                <w:sz w:val="16"/>
                <w:szCs w:val="16"/>
              </w:rPr>
            </w:pPr>
            <w:r w:rsidRPr="003275BA">
              <w:rPr>
                <w:rFonts w:cs="Arial"/>
                <w:sz w:val="16"/>
                <w:szCs w:val="16"/>
              </w:rPr>
              <w:t>26 036</w:t>
            </w:r>
          </w:p>
        </w:tc>
        <w:tc>
          <w:tcPr>
            <w:tcW w:w="700" w:type="dxa"/>
            <w:tcBorders>
              <w:top w:val="nil"/>
              <w:left w:val="nil"/>
              <w:bottom w:val="nil"/>
              <w:right w:val="nil"/>
            </w:tcBorders>
            <w:shd w:val="clear" w:color="auto" w:fill="auto"/>
            <w:vAlign w:val="center"/>
            <w:hideMark/>
          </w:tcPr>
          <w:p w14:paraId="5DC39A33" w14:textId="77777777" w:rsidR="003275BA" w:rsidRPr="003275BA" w:rsidRDefault="003275BA" w:rsidP="003275BA">
            <w:pPr>
              <w:spacing w:after="0" w:line="240" w:lineRule="auto"/>
              <w:jc w:val="right"/>
              <w:rPr>
                <w:rFonts w:cs="Arial"/>
                <w:sz w:val="16"/>
                <w:szCs w:val="16"/>
              </w:rPr>
            </w:pPr>
            <w:r w:rsidRPr="003275BA">
              <w:rPr>
                <w:rFonts w:cs="Arial"/>
                <w:sz w:val="16"/>
                <w:szCs w:val="16"/>
              </w:rPr>
              <w:t>18 594</w:t>
            </w:r>
          </w:p>
        </w:tc>
        <w:tc>
          <w:tcPr>
            <w:tcW w:w="700" w:type="dxa"/>
            <w:tcBorders>
              <w:top w:val="nil"/>
              <w:left w:val="nil"/>
              <w:bottom w:val="nil"/>
              <w:right w:val="single" w:sz="4" w:space="0" w:color="auto"/>
            </w:tcBorders>
            <w:shd w:val="clear" w:color="auto" w:fill="auto"/>
            <w:vAlign w:val="center"/>
            <w:hideMark/>
          </w:tcPr>
          <w:p w14:paraId="33FF7636" w14:textId="77777777" w:rsidR="003275BA" w:rsidRPr="003275BA" w:rsidRDefault="003275BA" w:rsidP="003275BA">
            <w:pPr>
              <w:spacing w:after="0" w:line="240" w:lineRule="auto"/>
              <w:jc w:val="right"/>
              <w:rPr>
                <w:rFonts w:cs="Arial"/>
                <w:sz w:val="16"/>
                <w:szCs w:val="16"/>
              </w:rPr>
            </w:pPr>
            <w:r w:rsidRPr="003275BA">
              <w:rPr>
                <w:rFonts w:cs="Arial"/>
                <w:sz w:val="16"/>
                <w:szCs w:val="16"/>
              </w:rPr>
              <w:t>7 442</w:t>
            </w:r>
          </w:p>
        </w:tc>
        <w:tc>
          <w:tcPr>
            <w:tcW w:w="700" w:type="dxa"/>
            <w:tcBorders>
              <w:top w:val="nil"/>
              <w:left w:val="nil"/>
              <w:bottom w:val="nil"/>
              <w:right w:val="nil"/>
            </w:tcBorders>
            <w:shd w:val="clear" w:color="auto" w:fill="auto"/>
            <w:noWrap/>
            <w:vAlign w:val="center"/>
            <w:hideMark/>
          </w:tcPr>
          <w:p w14:paraId="6A66CDBB" w14:textId="77777777" w:rsidR="003275BA" w:rsidRPr="003275BA" w:rsidRDefault="003275BA" w:rsidP="003275BA">
            <w:pPr>
              <w:spacing w:after="0" w:line="240" w:lineRule="auto"/>
              <w:jc w:val="right"/>
              <w:rPr>
                <w:rFonts w:cs="Arial"/>
                <w:sz w:val="16"/>
                <w:szCs w:val="16"/>
              </w:rPr>
            </w:pPr>
            <w:r w:rsidRPr="003275BA">
              <w:rPr>
                <w:rFonts w:cs="Arial"/>
                <w:sz w:val="16"/>
                <w:szCs w:val="16"/>
              </w:rPr>
              <w:t>25 123</w:t>
            </w:r>
          </w:p>
        </w:tc>
        <w:tc>
          <w:tcPr>
            <w:tcW w:w="700" w:type="dxa"/>
            <w:tcBorders>
              <w:top w:val="nil"/>
              <w:left w:val="nil"/>
              <w:bottom w:val="nil"/>
              <w:right w:val="nil"/>
            </w:tcBorders>
            <w:shd w:val="clear" w:color="auto" w:fill="auto"/>
            <w:vAlign w:val="center"/>
            <w:hideMark/>
          </w:tcPr>
          <w:p w14:paraId="04EF7027" w14:textId="77777777" w:rsidR="003275BA" w:rsidRPr="003275BA" w:rsidRDefault="003275BA" w:rsidP="003275BA">
            <w:pPr>
              <w:spacing w:after="0" w:line="240" w:lineRule="auto"/>
              <w:jc w:val="right"/>
              <w:rPr>
                <w:rFonts w:cs="Arial"/>
                <w:sz w:val="16"/>
                <w:szCs w:val="16"/>
              </w:rPr>
            </w:pPr>
            <w:r w:rsidRPr="003275BA">
              <w:rPr>
                <w:rFonts w:cs="Arial"/>
                <w:sz w:val="16"/>
                <w:szCs w:val="16"/>
              </w:rPr>
              <w:t>17 885</w:t>
            </w:r>
          </w:p>
        </w:tc>
        <w:tc>
          <w:tcPr>
            <w:tcW w:w="700" w:type="dxa"/>
            <w:tcBorders>
              <w:top w:val="nil"/>
              <w:left w:val="nil"/>
              <w:bottom w:val="nil"/>
              <w:right w:val="single" w:sz="4" w:space="0" w:color="auto"/>
            </w:tcBorders>
            <w:shd w:val="clear" w:color="auto" w:fill="auto"/>
            <w:vAlign w:val="center"/>
            <w:hideMark/>
          </w:tcPr>
          <w:p w14:paraId="70AE4D40" w14:textId="77777777" w:rsidR="003275BA" w:rsidRPr="003275BA" w:rsidRDefault="003275BA" w:rsidP="003275BA">
            <w:pPr>
              <w:spacing w:after="0" w:line="240" w:lineRule="auto"/>
              <w:jc w:val="right"/>
              <w:rPr>
                <w:rFonts w:cs="Arial"/>
                <w:sz w:val="16"/>
                <w:szCs w:val="16"/>
              </w:rPr>
            </w:pPr>
            <w:r w:rsidRPr="003275BA">
              <w:rPr>
                <w:rFonts w:cs="Arial"/>
                <w:sz w:val="16"/>
                <w:szCs w:val="16"/>
              </w:rPr>
              <w:t>7 238</w:t>
            </w:r>
          </w:p>
        </w:tc>
        <w:tc>
          <w:tcPr>
            <w:tcW w:w="700" w:type="dxa"/>
            <w:tcBorders>
              <w:top w:val="nil"/>
              <w:left w:val="nil"/>
              <w:bottom w:val="nil"/>
              <w:right w:val="nil"/>
            </w:tcBorders>
            <w:shd w:val="clear" w:color="auto" w:fill="auto"/>
            <w:vAlign w:val="center"/>
            <w:hideMark/>
          </w:tcPr>
          <w:p w14:paraId="69D67C38" w14:textId="77777777" w:rsidR="003275BA" w:rsidRPr="003275BA" w:rsidRDefault="003275BA" w:rsidP="003275BA">
            <w:pPr>
              <w:spacing w:after="0" w:line="240" w:lineRule="auto"/>
              <w:jc w:val="right"/>
              <w:rPr>
                <w:rFonts w:cs="Arial"/>
                <w:sz w:val="16"/>
                <w:szCs w:val="16"/>
              </w:rPr>
            </w:pPr>
            <w:r w:rsidRPr="003275BA">
              <w:rPr>
                <w:rFonts w:cs="Arial"/>
                <w:sz w:val="16"/>
                <w:szCs w:val="16"/>
              </w:rPr>
              <w:t>52</w:t>
            </w:r>
          </w:p>
        </w:tc>
        <w:tc>
          <w:tcPr>
            <w:tcW w:w="700" w:type="dxa"/>
            <w:tcBorders>
              <w:top w:val="nil"/>
              <w:left w:val="nil"/>
              <w:bottom w:val="nil"/>
              <w:right w:val="nil"/>
            </w:tcBorders>
            <w:shd w:val="clear" w:color="auto" w:fill="auto"/>
            <w:vAlign w:val="center"/>
            <w:hideMark/>
          </w:tcPr>
          <w:p w14:paraId="646866CE" w14:textId="77777777" w:rsidR="003275BA" w:rsidRPr="003275BA" w:rsidRDefault="003275BA" w:rsidP="003275BA">
            <w:pPr>
              <w:spacing w:after="0" w:line="240" w:lineRule="auto"/>
              <w:jc w:val="right"/>
              <w:rPr>
                <w:rFonts w:cs="Arial"/>
                <w:sz w:val="16"/>
                <w:szCs w:val="16"/>
              </w:rPr>
            </w:pPr>
            <w:r w:rsidRPr="003275BA">
              <w:rPr>
                <w:rFonts w:cs="Arial"/>
                <w:sz w:val="16"/>
                <w:szCs w:val="16"/>
              </w:rPr>
              <w:t>45</w:t>
            </w:r>
          </w:p>
        </w:tc>
        <w:tc>
          <w:tcPr>
            <w:tcW w:w="700" w:type="dxa"/>
            <w:tcBorders>
              <w:top w:val="nil"/>
              <w:left w:val="nil"/>
              <w:bottom w:val="nil"/>
              <w:right w:val="single" w:sz="4" w:space="0" w:color="auto"/>
            </w:tcBorders>
            <w:shd w:val="clear" w:color="auto" w:fill="auto"/>
            <w:vAlign w:val="center"/>
            <w:hideMark/>
          </w:tcPr>
          <w:p w14:paraId="143CCD59" w14:textId="77777777" w:rsidR="003275BA" w:rsidRPr="003275BA" w:rsidRDefault="003275BA" w:rsidP="003275BA">
            <w:pPr>
              <w:spacing w:after="0" w:line="240" w:lineRule="auto"/>
              <w:jc w:val="right"/>
              <w:rPr>
                <w:rFonts w:cs="Arial"/>
                <w:sz w:val="16"/>
                <w:szCs w:val="16"/>
              </w:rPr>
            </w:pPr>
            <w:r w:rsidRPr="003275BA">
              <w:rPr>
                <w:rFonts w:cs="Arial"/>
                <w:sz w:val="16"/>
                <w:szCs w:val="16"/>
              </w:rPr>
              <w:t>7</w:t>
            </w:r>
          </w:p>
        </w:tc>
        <w:tc>
          <w:tcPr>
            <w:tcW w:w="700" w:type="dxa"/>
            <w:tcBorders>
              <w:top w:val="nil"/>
              <w:left w:val="nil"/>
              <w:bottom w:val="nil"/>
              <w:right w:val="nil"/>
            </w:tcBorders>
            <w:shd w:val="clear" w:color="auto" w:fill="auto"/>
            <w:vAlign w:val="center"/>
            <w:hideMark/>
          </w:tcPr>
          <w:p w14:paraId="7B9E8102" w14:textId="77777777" w:rsidR="003275BA" w:rsidRPr="003275BA" w:rsidRDefault="003275BA" w:rsidP="003275BA">
            <w:pPr>
              <w:spacing w:after="0" w:line="240" w:lineRule="auto"/>
              <w:jc w:val="right"/>
              <w:rPr>
                <w:rFonts w:cs="Arial"/>
                <w:sz w:val="16"/>
                <w:szCs w:val="16"/>
              </w:rPr>
            </w:pPr>
            <w:r w:rsidRPr="003275BA">
              <w:rPr>
                <w:rFonts w:cs="Arial"/>
                <w:sz w:val="16"/>
                <w:szCs w:val="16"/>
              </w:rPr>
              <w:t>468</w:t>
            </w:r>
          </w:p>
        </w:tc>
        <w:tc>
          <w:tcPr>
            <w:tcW w:w="700" w:type="dxa"/>
            <w:tcBorders>
              <w:top w:val="nil"/>
              <w:left w:val="nil"/>
              <w:bottom w:val="nil"/>
              <w:right w:val="nil"/>
            </w:tcBorders>
            <w:shd w:val="clear" w:color="auto" w:fill="auto"/>
            <w:vAlign w:val="center"/>
            <w:hideMark/>
          </w:tcPr>
          <w:p w14:paraId="0AC813FA" w14:textId="77777777" w:rsidR="003275BA" w:rsidRPr="003275BA" w:rsidRDefault="003275BA" w:rsidP="003275BA">
            <w:pPr>
              <w:spacing w:after="0" w:line="240" w:lineRule="auto"/>
              <w:jc w:val="right"/>
              <w:rPr>
                <w:rFonts w:cs="Arial"/>
                <w:sz w:val="16"/>
                <w:szCs w:val="16"/>
              </w:rPr>
            </w:pPr>
            <w:r w:rsidRPr="003275BA">
              <w:rPr>
                <w:rFonts w:cs="Arial"/>
                <w:sz w:val="16"/>
                <w:szCs w:val="16"/>
              </w:rPr>
              <w:t>400</w:t>
            </w:r>
          </w:p>
        </w:tc>
        <w:tc>
          <w:tcPr>
            <w:tcW w:w="700" w:type="dxa"/>
            <w:tcBorders>
              <w:top w:val="nil"/>
              <w:left w:val="nil"/>
              <w:bottom w:val="nil"/>
              <w:right w:val="nil"/>
            </w:tcBorders>
            <w:shd w:val="clear" w:color="auto" w:fill="auto"/>
            <w:vAlign w:val="center"/>
            <w:hideMark/>
          </w:tcPr>
          <w:p w14:paraId="38B3272D" w14:textId="77777777" w:rsidR="003275BA" w:rsidRPr="003275BA" w:rsidRDefault="003275BA" w:rsidP="003275BA">
            <w:pPr>
              <w:spacing w:after="0" w:line="240" w:lineRule="auto"/>
              <w:jc w:val="right"/>
              <w:rPr>
                <w:rFonts w:cs="Arial"/>
                <w:sz w:val="16"/>
                <w:szCs w:val="16"/>
              </w:rPr>
            </w:pPr>
            <w:r w:rsidRPr="003275BA">
              <w:rPr>
                <w:rFonts w:cs="Arial"/>
                <w:sz w:val="16"/>
                <w:szCs w:val="16"/>
              </w:rPr>
              <w:t>68</w:t>
            </w:r>
          </w:p>
        </w:tc>
      </w:tr>
      <w:tr w:rsidR="003275BA" w:rsidRPr="003275BA" w14:paraId="75657FC2" w14:textId="77777777" w:rsidTr="003275BA">
        <w:trPr>
          <w:trHeight w:val="300"/>
        </w:trPr>
        <w:tc>
          <w:tcPr>
            <w:tcW w:w="1120" w:type="dxa"/>
            <w:tcBorders>
              <w:top w:val="nil"/>
              <w:left w:val="nil"/>
              <w:bottom w:val="nil"/>
              <w:right w:val="single" w:sz="4" w:space="0" w:color="auto"/>
            </w:tcBorders>
            <w:shd w:val="clear" w:color="auto" w:fill="auto"/>
            <w:vAlign w:val="center"/>
            <w:hideMark/>
          </w:tcPr>
          <w:p w14:paraId="3A37059F" w14:textId="77777777" w:rsidR="003275BA" w:rsidRPr="003275BA" w:rsidRDefault="003275BA" w:rsidP="003275BA">
            <w:pPr>
              <w:spacing w:after="0" w:line="240" w:lineRule="auto"/>
              <w:jc w:val="center"/>
              <w:rPr>
                <w:rFonts w:cs="Arial"/>
                <w:sz w:val="16"/>
                <w:szCs w:val="16"/>
              </w:rPr>
            </w:pPr>
            <w:r w:rsidRPr="003275BA">
              <w:rPr>
                <w:rFonts w:cs="Arial"/>
                <w:sz w:val="16"/>
                <w:szCs w:val="16"/>
              </w:rPr>
              <w:t>1. pol. 2010</w:t>
            </w:r>
          </w:p>
        </w:tc>
        <w:tc>
          <w:tcPr>
            <w:tcW w:w="700" w:type="dxa"/>
            <w:tcBorders>
              <w:top w:val="nil"/>
              <w:left w:val="nil"/>
              <w:bottom w:val="nil"/>
              <w:right w:val="nil"/>
            </w:tcBorders>
            <w:shd w:val="clear" w:color="auto" w:fill="auto"/>
            <w:vAlign w:val="center"/>
            <w:hideMark/>
          </w:tcPr>
          <w:p w14:paraId="6BDF6D4A" w14:textId="77777777" w:rsidR="003275BA" w:rsidRPr="003275BA" w:rsidRDefault="003275BA" w:rsidP="003275BA">
            <w:pPr>
              <w:spacing w:after="0" w:line="240" w:lineRule="auto"/>
              <w:jc w:val="right"/>
              <w:rPr>
                <w:rFonts w:cs="Arial"/>
                <w:sz w:val="16"/>
                <w:szCs w:val="16"/>
              </w:rPr>
            </w:pPr>
            <w:r w:rsidRPr="003275BA">
              <w:rPr>
                <w:rFonts w:cs="Arial"/>
                <w:sz w:val="16"/>
                <w:szCs w:val="16"/>
              </w:rPr>
              <w:t>26 273</w:t>
            </w:r>
          </w:p>
        </w:tc>
        <w:tc>
          <w:tcPr>
            <w:tcW w:w="700" w:type="dxa"/>
            <w:tcBorders>
              <w:top w:val="nil"/>
              <w:left w:val="nil"/>
              <w:bottom w:val="nil"/>
              <w:right w:val="nil"/>
            </w:tcBorders>
            <w:shd w:val="clear" w:color="auto" w:fill="auto"/>
            <w:vAlign w:val="center"/>
            <w:hideMark/>
          </w:tcPr>
          <w:p w14:paraId="7570A97D" w14:textId="77777777" w:rsidR="003275BA" w:rsidRPr="003275BA" w:rsidRDefault="003275BA" w:rsidP="003275BA">
            <w:pPr>
              <w:spacing w:after="0" w:line="240" w:lineRule="auto"/>
              <w:jc w:val="right"/>
              <w:rPr>
                <w:rFonts w:cs="Arial"/>
                <w:sz w:val="16"/>
                <w:szCs w:val="16"/>
              </w:rPr>
            </w:pPr>
            <w:r w:rsidRPr="003275BA">
              <w:rPr>
                <w:rFonts w:cs="Arial"/>
                <w:sz w:val="16"/>
                <w:szCs w:val="16"/>
              </w:rPr>
              <w:t>18 526</w:t>
            </w:r>
          </w:p>
        </w:tc>
        <w:tc>
          <w:tcPr>
            <w:tcW w:w="700" w:type="dxa"/>
            <w:tcBorders>
              <w:top w:val="nil"/>
              <w:left w:val="nil"/>
              <w:bottom w:val="nil"/>
              <w:right w:val="single" w:sz="4" w:space="0" w:color="auto"/>
            </w:tcBorders>
            <w:shd w:val="clear" w:color="auto" w:fill="auto"/>
            <w:vAlign w:val="center"/>
            <w:hideMark/>
          </w:tcPr>
          <w:p w14:paraId="7E23191E" w14:textId="77777777" w:rsidR="003275BA" w:rsidRPr="003275BA" w:rsidRDefault="003275BA" w:rsidP="003275BA">
            <w:pPr>
              <w:spacing w:after="0" w:line="240" w:lineRule="auto"/>
              <w:jc w:val="right"/>
              <w:rPr>
                <w:rFonts w:cs="Arial"/>
                <w:sz w:val="16"/>
                <w:szCs w:val="16"/>
              </w:rPr>
            </w:pPr>
            <w:r w:rsidRPr="003275BA">
              <w:rPr>
                <w:rFonts w:cs="Arial"/>
                <w:sz w:val="16"/>
                <w:szCs w:val="16"/>
              </w:rPr>
              <w:t>7 747</w:t>
            </w:r>
          </w:p>
        </w:tc>
        <w:tc>
          <w:tcPr>
            <w:tcW w:w="700" w:type="dxa"/>
            <w:tcBorders>
              <w:top w:val="nil"/>
              <w:left w:val="nil"/>
              <w:bottom w:val="nil"/>
              <w:right w:val="nil"/>
            </w:tcBorders>
            <w:shd w:val="clear" w:color="auto" w:fill="auto"/>
            <w:noWrap/>
            <w:vAlign w:val="center"/>
            <w:hideMark/>
          </w:tcPr>
          <w:p w14:paraId="238785B7" w14:textId="77777777" w:rsidR="003275BA" w:rsidRPr="003275BA" w:rsidRDefault="003275BA" w:rsidP="003275BA">
            <w:pPr>
              <w:spacing w:after="0" w:line="240" w:lineRule="auto"/>
              <w:jc w:val="right"/>
              <w:rPr>
                <w:rFonts w:cs="Arial"/>
                <w:sz w:val="16"/>
                <w:szCs w:val="16"/>
              </w:rPr>
            </w:pPr>
            <w:r w:rsidRPr="003275BA">
              <w:rPr>
                <w:rFonts w:cs="Arial"/>
                <w:sz w:val="16"/>
                <w:szCs w:val="16"/>
              </w:rPr>
              <w:t>25 323</w:t>
            </w:r>
          </w:p>
        </w:tc>
        <w:tc>
          <w:tcPr>
            <w:tcW w:w="700" w:type="dxa"/>
            <w:tcBorders>
              <w:top w:val="nil"/>
              <w:left w:val="nil"/>
              <w:bottom w:val="nil"/>
              <w:right w:val="nil"/>
            </w:tcBorders>
            <w:shd w:val="clear" w:color="auto" w:fill="auto"/>
            <w:vAlign w:val="center"/>
            <w:hideMark/>
          </w:tcPr>
          <w:p w14:paraId="21219406" w14:textId="77777777" w:rsidR="003275BA" w:rsidRPr="003275BA" w:rsidRDefault="003275BA" w:rsidP="003275BA">
            <w:pPr>
              <w:spacing w:after="0" w:line="240" w:lineRule="auto"/>
              <w:jc w:val="right"/>
              <w:rPr>
                <w:rFonts w:cs="Arial"/>
                <w:sz w:val="16"/>
                <w:szCs w:val="16"/>
              </w:rPr>
            </w:pPr>
            <w:r w:rsidRPr="003275BA">
              <w:rPr>
                <w:rFonts w:cs="Arial"/>
                <w:sz w:val="16"/>
                <w:szCs w:val="16"/>
              </w:rPr>
              <w:t>17 795</w:t>
            </w:r>
          </w:p>
        </w:tc>
        <w:tc>
          <w:tcPr>
            <w:tcW w:w="700" w:type="dxa"/>
            <w:tcBorders>
              <w:top w:val="nil"/>
              <w:left w:val="nil"/>
              <w:bottom w:val="nil"/>
              <w:right w:val="single" w:sz="4" w:space="0" w:color="auto"/>
            </w:tcBorders>
            <w:shd w:val="clear" w:color="auto" w:fill="auto"/>
            <w:vAlign w:val="center"/>
            <w:hideMark/>
          </w:tcPr>
          <w:p w14:paraId="20387C27" w14:textId="77777777" w:rsidR="003275BA" w:rsidRPr="003275BA" w:rsidRDefault="003275BA" w:rsidP="003275BA">
            <w:pPr>
              <w:spacing w:after="0" w:line="240" w:lineRule="auto"/>
              <w:jc w:val="right"/>
              <w:rPr>
                <w:rFonts w:cs="Arial"/>
                <w:sz w:val="16"/>
                <w:szCs w:val="16"/>
              </w:rPr>
            </w:pPr>
            <w:r w:rsidRPr="003275BA">
              <w:rPr>
                <w:rFonts w:cs="Arial"/>
                <w:sz w:val="16"/>
                <w:szCs w:val="16"/>
              </w:rPr>
              <w:t>7 528</w:t>
            </w:r>
          </w:p>
        </w:tc>
        <w:tc>
          <w:tcPr>
            <w:tcW w:w="700" w:type="dxa"/>
            <w:tcBorders>
              <w:top w:val="nil"/>
              <w:left w:val="nil"/>
              <w:bottom w:val="nil"/>
              <w:right w:val="nil"/>
            </w:tcBorders>
            <w:shd w:val="clear" w:color="auto" w:fill="auto"/>
            <w:vAlign w:val="center"/>
            <w:hideMark/>
          </w:tcPr>
          <w:p w14:paraId="31FFB312" w14:textId="77777777" w:rsidR="003275BA" w:rsidRPr="003275BA" w:rsidRDefault="003275BA" w:rsidP="003275BA">
            <w:pPr>
              <w:spacing w:after="0" w:line="240" w:lineRule="auto"/>
              <w:jc w:val="right"/>
              <w:rPr>
                <w:rFonts w:cs="Arial"/>
                <w:sz w:val="16"/>
                <w:szCs w:val="16"/>
              </w:rPr>
            </w:pPr>
            <w:r w:rsidRPr="003275BA">
              <w:rPr>
                <w:rFonts w:cs="Arial"/>
                <w:sz w:val="16"/>
                <w:szCs w:val="16"/>
              </w:rPr>
              <w:t>73</w:t>
            </w:r>
          </w:p>
        </w:tc>
        <w:tc>
          <w:tcPr>
            <w:tcW w:w="700" w:type="dxa"/>
            <w:tcBorders>
              <w:top w:val="nil"/>
              <w:left w:val="nil"/>
              <w:bottom w:val="nil"/>
              <w:right w:val="nil"/>
            </w:tcBorders>
            <w:shd w:val="clear" w:color="auto" w:fill="auto"/>
            <w:vAlign w:val="center"/>
            <w:hideMark/>
          </w:tcPr>
          <w:p w14:paraId="39857748" w14:textId="77777777" w:rsidR="003275BA" w:rsidRPr="003275BA" w:rsidRDefault="003275BA" w:rsidP="003275BA">
            <w:pPr>
              <w:spacing w:after="0" w:line="240" w:lineRule="auto"/>
              <w:jc w:val="right"/>
              <w:rPr>
                <w:rFonts w:cs="Arial"/>
                <w:sz w:val="16"/>
                <w:szCs w:val="16"/>
              </w:rPr>
            </w:pPr>
            <w:r w:rsidRPr="003275BA">
              <w:rPr>
                <w:rFonts w:cs="Arial"/>
                <w:sz w:val="16"/>
                <w:szCs w:val="16"/>
              </w:rPr>
              <w:t>64</w:t>
            </w:r>
          </w:p>
        </w:tc>
        <w:tc>
          <w:tcPr>
            <w:tcW w:w="700" w:type="dxa"/>
            <w:tcBorders>
              <w:top w:val="nil"/>
              <w:left w:val="nil"/>
              <w:bottom w:val="nil"/>
              <w:right w:val="single" w:sz="4" w:space="0" w:color="auto"/>
            </w:tcBorders>
            <w:shd w:val="clear" w:color="auto" w:fill="auto"/>
            <w:vAlign w:val="center"/>
            <w:hideMark/>
          </w:tcPr>
          <w:p w14:paraId="503DD268" w14:textId="77777777" w:rsidR="003275BA" w:rsidRPr="003275BA" w:rsidRDefault="003275BA" w:rsidP="003275BA">
            <w:pPr>
              <w:spacing w:after="0" w:line="240" w:lineRule="auto"/>
              <w:jc w:val="right"/>
              <w:rPr>
                <w:rFonts w:cs="Arial"/>
                <w:sz w:val="16"/>
                <w:szCs w:val="16"/>
              </w:rPr>
            </w:pPr>
            <w:r w:rsidRPr="003275BA">
              <w:rPr>
                <w:rFonts w:cs="Arial"/>
                <w:sz w:val="16"/>
                <w:szCs w:val="16"/>
              </w:rPr>
              <w:t>9</w:t>
            </w:r>
          </w:p>
        </w:tc>
        <w:tc>
          <w:tcPr>
            <w:tcW w:w="700" w:type="dxa"/>
            <w:tcBorders>
              <w:top w:val="nil"/>
              <w:left w:val="nil"/>
              <w:bottom w:val="nil"/>
              <w:right w:val="nil"/>
            </w:tcBorders>
            <w:shd w:val="clear" w:color="auto" w:fill="auto"/>
            <w:vAlign w:val="center"/>
            <w:hideMark/>
          </w:tcPr>
          <w:p w14:paraId="6EBDC408" w14:textId="77777777" w:rsidR="003275BA" w:rsidRPr="003275BA" w:rsidRDefault="003275BA" w:rsidP="003275BA">
            <w:pPr>
              <w:spacing w:after="0" w:line="240" w:lineRule="auto"/>
              <w:jc w:val="right"/>
              <w:rPr>
                <w:rFonts w:cs="Arial"/>
                <w:sz w:val="16"/>
                <w:szCs w:val="16"/>
              </w:rPr>
            </w:pPr>
            <w:r w:rsidRPr="003275BA">
              <w:rPr>
                <w:rFonts w:cs="Arial"/>
                <w:sz w:val="16"/>
                <w:szCs w:val="16"/>
              </w:rPr>
              <w:t>493</w:t>
            </w:r>
          </w:p>
        </w:tc>
        <w:tc>
          <w:tcPr>
            <w:tcW w:w="700" w:type="dxa"/>
            <w:tcBorders>
              <w:top w:val="nil"/>
              <w:left w:val="nil"/>
              <w:bottom w:val="nil"/>
              <w:right w:val="nil"/>
            </w:tcBorders>
            <w:shd w:val="clear" w:color="auto" w:fill="auto"/>
            <w:vAlign w:val="center"/>
            <w:hideMark/>
          </w:tcPr>
          <w:p w14:paraId="01166876" w14:textId="77777777" w:rsidR="003275BA" w:rsidRPr="003275BA" w:rsidRDefault="003275BA" w:rsidP="003275BA">
            <w:pPr>
              <w:spacing w:after="0" w:line="240" w:lineRule="auto"/>
              <w:jc w:val="right"/>
              <w:rPr>
                <w:rFonts w:cs="Arial"/>
                <w:sz w:val="16"/>
                <w:szCs w:val="16"/>
              </w:rPr>
            </w:pPr>
            <w:r w:rsidRPr="003275BA">
              <w:rPr>
                <w:rFonts w:cs="Arial"/>
                <w:sz w:val="16"/>
                <w:szCs w:val="16"/>
              </w:rPr>
              <w:t>410</w:t>
            </w:r>
          </w:p>
        </w:tc>
        <w:tc>
          <w:tcPr>
            <w:tcW w:w="700" w:type="dxa"/>
            <w:tcBorders>
              <w:top w:val="nil"/>
              <w:left w:val="nil"/>
              <w:bottom w:val="nil"/>
              <w:right w:val="nil"/>
            </w:tcBorders>
            <w:shd w:val="clear" w:color="auto" w:fill="auto"/>
            <w:vAlign w:val="center"/>
            <w:hideMark/>
          </w:tcPr>
          <w:p w14:paraId="53B22C97" w14:textId="77777777" w:rsidR="003275BA" w:rsidRPr="003275BA" w:rsidRDefault="003275BA" w:rsidP="003275BA">
            <w:pPr>
              <w:spacing w:after="0" w:line="240" w:lineRule="auto"/>
              <w:jc w:val="right"/>
              <w:rPr>
                <w:rFonts w:cs="Arial"/>
                <w:sz w:val="16"/>
                <w:szCs w:val="16"/>
              </w:rPr>
            </w:pPr>
            <w:r w:rsidRPr="003275BA">
              <w:rPr>
                <w:rFonts w:cs="Arial"/>
                <w:sz w:val="16"/>
                <w:szCs w:val="16"/>
              </w:rPr>
              <w:t>83</w:t>
            </w:r>
          </w:p>
        </w:tc>
      </w:tr>
      <w:tr w:rsidR="003275BA" w:rsidRPr="003275BA" w14:paraId="7F0C1A53" w14:textId="77777777" w:rsidTr="003275BA">
        <w:trPr>
          <w:trHeight w:val="300"/>
        </w:trPr>
        <w:tc>
          <w:tcPr>
            <w:tcW w:w="1120" w:type="dxa"/>
            <w:tcBorders>
              <w:top w:val="nil"/>
              <w:left w:val="nil"/>
              <w:bottom w:val="nil"/>
              <w:right w:val="single" w:sz="4" w:space="0" w:color="auto"/>
            </w:tcBorders>
            <w:shd w:val="clear" w:color="auto" w:fill="auto"/>
            <w:vAlign w:val="center"/>
            <w:hideMark/>
          </w:tcPr>
          <w:p w14:paraId="51E33827" w14:textId="77777777" w:rsidR="003275BA" w:rsidRPr="003275BA" w:rsidRDefault="003275BA" w:rsidP="003275BA">
            <w:pPr>
              <w:spacing w:after="0" w:line="240" w:lineRule="auto"/>
              <w:jc w:val="center"/>
              <w:rPr>
                <w:rFonts w:cs="Arial"/>
                <w:sz w:val="16"/>
                <w:szCs w:val="16"/>
              </w:rPr>
            </w:pPr>
            <w:r w:rsidRPr="003275BA">
              <w:rPr>
                <w:rFonts w:cs="Arial"/>
                <w:sz w:val="16"/>
                <w:szCs w:val="16"/>
              </w:rPr>
              <w:t>1. pol. 2011</w:t>
            </w:r>
          </w:p>
        </w:tc>
        <w:tc>
          <w:tcPr>
            <w:tcW w:w="700" w:type="dxa"/>
            <w:tcBorders>
              <w:top w:val="nil"/>
              <w:left w:val="nil"/>
              <w:bottom w:val="nil"/>
              <w:right w:val="nil"/>
            </w:tcBorders>
            <w:shd w:val="clear" w:color="auto" w:fill="auto"/>
            <w:vAlign w:val="center"/>
            <w:hideMark/>
          </w:tcPr>
          <w:p w14:paraId="14EE019E" w14:textId="77777777" w:rsidR="003275BA" w:rsidRPr="003275BA" w:rsidRDefault="003275BA" w:rsidP="003275BA">
            <w:pPr>
              <w:spacing w:after="0" w:line="240" w:lineRule="auto"/>
              <w:jc w:val="right"/>
              <w:rPr>
                <w:rFonts w:cs="Arial"/>
                <w:sz w:val="16"/>
                <w:szCs w:val="16"/>
              </w:rPr>
            </w:pPr>
            <w:r w:rsidRPr="003275BA">
              <w:rPr>
                <w:rFonts w:cs="Arial"/>
                <w:sz w:val="16"/>
                <w:szCs w:val="16"/>
              </w:rPr>
              <w:t>24 298</w:t>
            </w:r>
          </w:p>
        </w:tc>
        <w:tc>
          <w:tcPr>
            <w:tcW w:w="700" w:type="dxa"/>
            <w:tcBorders>
              <w:top w:val="nil"/>
              <w:left w:val="nil"/>
              <w:bottom w:val="nil"/>
              <w:right w:val="nil"/>
            </w:tcBorders>
            <w:shd w:val="clear" w:color="auto" w:fill="auto"/>
            <w:vAlign w:val="center"/>
            <w:hideMark/>
          </w:tcPr>
          <w:p w14:paraId="09C0CEE3" w14:textId="77777777" w:rsidR="003275BA" w:rsidRPr="003275BA" w:rsidRDefault="003275BA" w:rsidP="003275BA">
            <w:pPr>
              <w:spacing w:after="0" w:line="240" w:lineRule="auto"/>
              <w:jc w:val="right"/>
              <w:rPr>
                <w:rFonts w:cs="Arial"/>
                <w:sz w:val="16"/>
                <w:szCs w:val="16"/>
              </w:rPr>
            </w:pPr>
            <w:r w:rsidRPr="003275BA">
              <w:rPr>
                <w:rFonts w:cs="Arial"/>
                <w:sz w:val="16"/>
                <w:szCs w:val="16"/>
              </w:rPr>
              <w:t>17 168</w:t>
            </w:r>
          </w:p>
        </w:tc>
        <w:tc>
          <w:tcPr>
            <w:tcW w:w="700" w:type="dxa"/>
            <w:tcBorders>
              <w:top w:val="nil"/>
              <w:left w:val="nil"/>
              <w:bottom w:val="nil"/>
              <w:right w:val="single" w:sz="4" w:space="0" w:color="auto"/>
            </w:tcBorders>
            <w:shd w:val="clear" w:color="auto" w:fill="auto"/>
            <w:vAlign w:val="center"/>
            <w:hideMark/>
          </w:tcPr>
          <w:p w14:paraId="44CD8EB1" w14:textId="77777777" w:rsidR="003275BA" w:rsidRPr="003275BA" w:rsidRDefault="003275BA" w:rsidP="003275BA">
            <w:pPr>
              <w:spacing w:after="0" w:line="240" w:lineRule="auto"/>
              <w:jc w:val="right"/>
              <w:rPr>
                <w:rFonts w:cs="Arial"/>
                <w:sz w:val="16"/>
                <w:szCs w:val="16"/>
              </w:rPr>
            </w:pPr>
            <w:r w:rsidRPr="003275BA">
              <w:rPr>
                <w:rFonts w:cs="Arial"/>
                <w:sz w:val="16"/>
                <w:szCs w:val="16"/>
              </w:rPr>
              <w:t>7 130</w:t>
            </w:r>
          </w:p>
        </w:tc>
        <w:tc>
          <w:tcPr>
            <w:tcW w:w="700" w:type="dxa"/>
            <w:tcBorders>
              <w:top w:val="nil"/>
              <w:left w:val="nil"/>
              <w:bottom w:val="nil"/>
              <w:right w:val="nil"/>
            </w:tcBorders>
            <w:shd w:val="clear" w:color="auto" w:fill="auto"/>
            <w:noWrap/>
            <w:vAlign w:val="center"/>
            <w:hideMark/>
          </w:tcPr>
          <w:p w14:paraId="1CE7E6EF" w14:textId="77777777" w:rsidR="003275BA" w:rsidRPr="003275BA" w:rsidRDefault="003275BA" w:rsidP="003275BA">
            <w:pPr>
              <w:spacing w:after="0" w:line="240" w:lineRule="auto"/>
              <w:jc w:val="right"/>
              <w:rPr>
                <w:rFonts w:cs="Arial"/>
                <w:sz w:val="16"/>
                <w:szCs w:val="16"/>
              </w:rPr>
            </w:pPr>
            <w:r w:rsidRPr="003275BA">
              <w:rPr>
                <w:rFonts w:cs="Arial"/>
                <w:sz w:val="16"/>
                <w:szCs w:val="16"/>
              </w:rPr>
              <w:t>23 388</w:t>
            </w:r>
          </w:p>
        </w:tc>
        <w:tc>
          <w:tcPr>
            <w:tcW w:w="700" w:type="dxa"/>
            <w:tcBorders>
              <w:top w:val="nil"/>
              <w:left w:val="nil"/>
              <w:bottom w:val="nil"/>
              <w:right w:val="nil"/>
            </w:tcBorders>
            <w:shd w:val="clear" w:color="auto" w:fill="auto"/>
            <w:vAlign w:val="center"/>
            <w:hideMark/>
          </w:tcPr>
          <w:p w14:paraId="07930F02" w14:textId="77777777" w:rsidR="003275BA" w:rsidRPr="003275BA" w:rsidRDefault="003275BA" w:rsidP="003275BA">
            <w:pPr>
              <w:spacing w:after="0" w:line="240" w:lineRule="auto"/>
              <w:jc w:val="right"/>
              <w:rPr>
                <w:rFonts w:cs="Arial"/>
                <w:sz w:val="16"/>
                <w:szCs w:val="16"/>
              </w:rPr>
            </w:pPr>
            <w:r w:rsidRPr="003275BA">
              <w:rPr>
                <w:rFonts w:cs="Arial"/>
                <w:sz w:val="16"/>
                <w:szCs w:val="16"/>
              </w:rPr>
              <w:t>16 473</w:t>
            </w:r>
          </w:p>
        </w:tc>
        <w:tc>
          <w:tcPr>
            <w:tcW w:w="700" w:type="dxa"/>
            <w:tcBorders>
              <w:top w:val="nil"/>
              <w:left w:val="nil"/>
              <w:bottom w:val="nil"/>
              <w:right w:val="single" w:sz="4" w:space="0" w:color="auto"/>
            </w:tcBorders>
            <w:shd w:val="clear" w:color="auto" w:fill="auto"/>
            <w:vAlign w:val="center"/>
            <w:hideMark/>
          </w:tcPr>
          <w:p w14:paraId="2FB36B56" w14:textId="77777777" w:rsidR="003275BA" w:rsidRPr="003275BA" w:rsidRDefault="003275BA" w:rsidP="003275BA">
            <w:pPr>
              <w:spacing w:after="0" w:line="240" w:lineRule="auto"/>
              <w:jc w:val="right"/>
              <w:rPr>
                <w:rFonts w:cs="Arial"/>
                <w:sz w:val="16"/>
                <w:szCs w:val="16"/>
              </w:rPr>
            </w:pPr>
            <w:r w:rsidRPr="003275BA">
              <w:rPr>
                <w:rFonts w:cs="Arial"/>
                <w:sz w:val="16"/>
                <w:szCs w:val="16"/>
              </w:rPr>
              <w:t>6 915</w:t>
            </w:r>
          </w:p>
        </w:tc>
        <w:tc>
          <w:tcPr>
            <w:tcW w:w="700" w:type="dxa"/>
            <w:tcBorders>
              <w:top w:val="nil"/>
              <w:left w:val="nil"/>
              <w:bottom w:val="nil"/>
              <w:right w:val="nil"/>
            </w:tcBorders>
            <w:shd w:val="clear" w:color="auto" w:fill="auto"/>
            <w:vAlign w:val="center"/>
            <w:hideMark/>
          </w:tcPr>
          <w:p w14:paraId="11299125" w14:textId="77777777" w:rsidR="003275BA" w:rsidRPr="003275BA" w:rsidRDefault="003275BA" w:rsidP="003275BA">
            <w:pPr>
              <w:spacing w:after="0" w:line="240" w:lineRule="auto"/>
              <w:jc w:val="right"/>
              <w:rPr>
                <w:rFonts w:cs="Arial"/>
                <w:sz w:val="16"/>
                <w:szCs w:val="16"/>
              </w:rPr>
            </w:pPr>
            <w:r w:rsidRPr="003275BA">
              <w:rPr>
                <w:rFonts w:cs="Arial"/>
                <w:sz w:val="16"/>
                <w:szCs w:val="16"/>
              </w:rPr>
              <w:t>69</w:t>
            </w:r>
          </w:p>
        </w:tc>
        <w:tc>
          <w:tcPr>
            <w:tcW w:w="700" w:type="dxa"/>
            <w:tcBorders>
              <w:top w:val="nil"/>
              <w:left w:val="nil"/>
              <w:bottom w:val="nil"/>
              <w:right w:val="nil"/>
            </w:tcBorders>
            <w:shd w:val="clear" w:color="auto" w:fill="auto"/>
            <w:vAlign w:val="center"/>
            <w:hideMark/>
          </w:tcPr>
          <w:p w14:paraId="02B1F630" w14:textId="77777777" w:rsidR="003275BA" w:rsidRPr="003275BA" w:rsidRDefault="003275BA" w:rsidP="003275BA">
            <w:pPr>
              <w:spacing w:after="0" w:line="240" w:lineRule="auto"/>
              <w:jc w:val="right"/>
              <w:rPr>
                <w:rFonts w:cs="Arial"/>
                <w:sz w:val="16"/>
                <w:szCs w:val="16"/>
              </w:rPr>
            </w:pPr>
            <w:r w:rsidRPr="003275BA">
              <w:rPr>
                <w:rFonts w:cs="Arial"/>
                <w:sz w:val="16"/>
                <w:szCs w:val="16"/>
              </w:rPr>
              <w:t>65</w:t>
            </w:r>
          </w:p>
        </w:tc>
        <w:tc>
          <w:tcPr>
            <w:tcW w:w="700" w:type="dxa"/>
            <w:tcBorders>
              <w:top w:val="nil"/>
              <w:left w:val="nil"/>
              <w:bottom w:val="nil"/>
              <w:right w:val="single" w:sz="4" w:space="0" w:color="auto"/>
            </w:tcBorders>
            <w:shd w:val="clear" w:color="auto" w:fill="auto"/>
            <w:vAlign w:val="center"/>
            <w:hideMark/>
          </w:tcPr>
          <w:p w14:paraId="003E3654" w14:textId="77777777" w:rsidR="003275BA" w:rsidRPr="003275BA" w:rsidRDefault="003275BA" w:rsidP="003275BA">
            <w:pPr>
              <w:spacing w:after="0" w:line="240" w:lineRule="auto"/>
              <w:jc w:val="right"/>
              <w:rPr>
                <w:rFonts w:cs="Arial"/>
                <w:sz w:val="16"/>
                <w:szCs w:val="16"/>
              </w:rPr>
            </w:pPr>
            <w:r w:rsidRPr="003275BA">
              <w:rPr>
                <w:rFonts w:cs="Arial"/>
                <w:sz w:val="16"/>
                <w:szCs w:val="16"/>
              </w:rPr>
              <w:t>4</w:t>
            </w:r>
          </w:p>
        </w:tc>
        <w:tc>
          <w:tcPr>
            <w:tcW w:w="700" w:type="dxa"/>
            <w:tcBorders>
              <w:top w:val="nil"/>
              <w:left w:val="nil"/>
              <w:bottom w:val="nil"/>
              <w:right w:val="nil"/>
            </w:tcBorders>
            <w:shd w:val="clear" w:color="auto" w:fill="auto"/>
            <w:vAlign w:val="center"/>
            <w:hideMark/>
          </w:tcPr>
          <w:p w14:paraId="6DB6F268" w14:textId="77777777" w:rsidR="003275BA" w:rsidRPr="003275BA" w:rsidRDefault="003275BA" w:rsidP="003275BA">
            <w:pPr>
              <w:spacing w:after="0" w:line="240" w:lineRule="auto"/>
              <w:jc w:val="right"/>
              <w:rPr>
                <w:rFonts w:cs="Arial"/>
                <w:sz w:val="16"/>
                <w:szCs w:val="16"/>
              </w:rPr>
            </w:pPr>
            <w:r w:rsidRPr="003275BA">
              <w:rPr>
                <w:rFonts w:cs="Arial"/>
                <w:sz w:val="16"/>
                <w:szCs w:val="16"/>
              </w:rPr>
              <w:t>783</w:t>
            </w:r>
          </w:p>
        </w:tc>
        <w:tc>
          <w:tcPr>
            <w:tcW w:w="700" w:type="dxa"/>
            <w:tcBorders>
              <w:top w:val="nil"/>
              <w:left w:val="nil"/>
              <w:bottom w:val="nil"/>
              <w:right w:val="nil"/>
            </w:tcBorders>
            <w:shd w:val="clear" w:color="auto" w:fill="auto"/>
            <w:vAlign w:val="center"/>
            <w:hideMark/>
          </w:tcPr>
          <w:p w14:paraId="1E7E71F8" w14:textId="77777777" w:rsidR="003275BA" w:rsidRPr="003275BA" w:rsidRDefault="003275BA" w:rsidP="003275BA">
            <w:pPr>
              <w:spacing w:after="0" w:line="240" w:lineRule="auto"/>
              <w:jc w:val="right"/>
              <w:rPr>
                <w:rFonts w:cs="Arial"/>
                <w:sz w:val="16"/>
                <w:szCs w:val="16"/>
              </w:rPr>
            </w:pPr>
            <w:r w:rsidRPr="003275BA">
              <w:rPr>
                <w:rFonts w:cs="Arial"/>
                <w:sz w:val="16"/>
                <w:szCs w:val="16"/>
              </w:rPr>
              <w:t>647</w:t>
            </w:r>
          </w:p>
        </w:tc>
        <w:tc>
          <w:tcPr>
            <w:tcW w:w="700" w:type="dxa"/>
            <w:tcBorders>
              <w:top w:val="nil"/>
              <w:left w:val="nil"/>
              <w:bottom w:val="nil"/>
              <w:right w:val="nil"/>
            </w:tcBorders>
            <w:shd w:val="clear" w:color="auto" w:fill="auto"/>
            <w:vAlign w:val="center"/>
            <w:hideMark/>
          </w:tcPr>
          <w:p w14:paraId="73E6F9DA" w14:textId="77777777" w:rsidR="003275BA" w:rsidRPr="003275BA" w:rsidRDefault="003275BA" w:rsidP="003275BA">
            <w:pPr>
              <w:spacing w:after="0" w:line="240" w:lineRule="auto"/>
              <w:jc w:val="right"/>
              <w:rPr>
                <w:rFonts w:cs="Arial"/>
                <w:sz w:val="16"/>
                <w:szCs w:val="16"/>
              </w:rPr>
            </w:pPr>
            <w:r w:rsidRPr="003275BA">
              <w:rPr>
                <w:rFonts w:cs="Arial"/>
                <w:sz w:val="16"/>
                <w:szCs w:val="16"/>
              </w:rPr>
              <w:t>136</w:t>
            </w:r>
          </w:p>
        </w:tc>
      </w:tr>
      <w:tr w:rsidR="003275BA" w:rsidRPr="003275BA" w14:paraId="12D5E03D" w14:textId="77777777" w:rsidTr="003275BA">
        <w:trPr>
          <w:trHeight w:val="300"/>
        </w:trPr>
        <w:tc>
          <w:tcPr>
            <w:tcW w:w="1120" w:type="dxa"/>
            <w:tcBorders>
              <w:top w:val="nil"/>
              <w:left w:val="nil"/>
              <w:bottom w:val="nil"/>
              <w:right w:val="single" w:sz="4" w:space="0" w:color="auto"/>
            </w:tcBorders>
            <w:shd w:val="clear" w:color="auto" w:fill="auto"/>
            <w:vAlign w:val="center"/>
            <w:hideMark/>
          </w:tcPr>
          <w:p w14:paraId="0E5AE55B" w14:textId="77777777" w:rsidR="003275BA" w:rsidRPr="003275BA" w:rsidRDefault="003275BA" w:rsidP="003275BA">
            <w:pPr>
              <w:spacing w:after="0" w:line="240" w:lineRule="auto"/>
              <w:jc w:val="center"/>
              <w:rPr>
                <w:rFonts w:cs="Arial"/>
                <w:sz w:val="16"/>
                <w:szCs w:val="16"/>
              </w:rPr>
            </w:pPr>
            <w:r w:rsidRPr="003275BA">
              <w:rPr>
                <w:rFonts w:cs="Arial"/>
                <w:sz w:val="16"/>
                <w:szCs w:val="16"/>
              </w:rPr>
              <w:t>1. pol. 2012</w:t>
            </w:r>
          </w:p>
        </w:tc>
        <w:tc>
          <w:tcPr>
            <w:tcW w:w="700" w:type="dxa"/>
            <w:tcBorders>
              <w:top w:val="nil"/>
              <w:left w:val="nil"/>
              <w:bottom w:val="nil"/>
              <w:right w:val="nil"/>
            </w:tcBorders>
            <w:shd w:val="clear" w:color="auto" w:fill="auto"/>
            <w:vAlign w:val="center"/>
            <w:hideMark/>
          </w:tcPr>
          <w:p w14:paraId="501D89A2" w14:textId="77777777" w:rsidR="003275BA" w:rsidRPr="003275BA" w:rsidRDefault="003275BA" w:rsidP="003275BA">
            <w:pPr>
              <w:spacing w:after="0" w:line="240" w:lineRule="auto"/>
              <w:jc w:val="right"/>
              <w:rPr>
                <w:rFonts w:cs="Arial"/>
                <w:sz w:val="16"/>
                <w:szCs w:val="16"/>
              </w:rPr>
            </w:pPr>
            <w:r w:rsidRPr="003275BA">
              <w:rPr>
                <w:rFonts w:cs="Arial"/>
                <w:sz w:val="16"/>
                <w:szCs w:val="16"/>
              </w:rPr>
              <w:t>21 816</w:t>
            </w:r>
          </w:p>
        </w:tc>
        <w:tc>
          <w:tcPr>
            <w:tcW w:w="700" w:type="dxa"/>
            <w:tcBorders>
              <w:top w:val="nil"/>
              <w:left w:val="nil"/>
              <w:bottom w:val="nil"/>
              <w:right w:val="nil"/>
            </w:tcBorders>
            <w:shd w:val="clear" w:color="auto" w:fill="auto"/>
            <w:vAlign w:val="center"/>
            <w:hideMark/>
          </w:tcPr>
          <w:p w14:paraId="1835E0D3" w14:textId="77777777" w:rsidR="003275BA" w:rsidRPr="003275BA" w:rsidRDefault="003275BA" w:rsidP="003275BA">
            <w:pPr>
              <w:spacing w:after="0" w:line="240" w:lineRule="auto"/>
              <w:jc w:val="right"/>
              <w:rPr>
                <w:rFonts w:cs="Arial"/>
                <w:sz w:val="16"/>
                <w:szCs w:val="16"/>
              </w:rPr>
            </w:pPr>
            <w:r w:rsidRPr="003275BA">
              <w:rPr>
                <w:rFonts w:cs="Arial"/>
                <w:sz w:val="16"/>
                <w:szCs w:val="16"/>
              </w:rPr>
              <w:t>15 504</w:t>
            </w:r>
          </w:p>
        </w:tc>
        <w:tc>
          <w:tcPr>
            <w:tcW w:w="700" w:type="dxa"/>
            <w:tcBorders>
              <w:top w:val="nil"/>
              <w:left w:val="nil"/>
              <w:bottom w:val="nil"/>
              <w:right w:val="single" w:sz="4" w:space="0" w:color="auto"/>
            </w:tcBorders>
            <w:shd w:val="clear" w:color="auto" w:fill="auto"/>
            <w:vAlign w:val="center"/>
            <w:hideMark/>
          </w:tcPr>
          <w:p w14:paraId="65FEB160" w14:textId="77777777" w:rsidR="003275BA" w:rsidRPr="003275BA" w:rsidRDefault="003275BA" w:rsidP="003275BA">
            <w:pPr>
              <w:spacing w:after="0" w:line="240" w:lineRule="auto"/>
              <w:jc w:val="right"/>
              <w:rPr>
                <w:rFonts w:cs="Arial"/>
                <w:sz w:val="16"/>
                <w:szCs w:val="16"/>
              </w:rPr>
            </w:pPr>
            <w:r w:rsidRPr="003275BA">
              <w:rPr>
                <w:rFonts w:cs="Arial"/>
                <w:sz w:val="16"/>
                <w:szCs w:val="16"/>
              </w:rPr>
              <w:t>6 312</w:t>
            </w:r>
          </w:p>
        </w:tc>
        <w:tc>
          <w:tcPr>
            <w:tcW w:w="700" w:type="dxa"/>
            <w:tcBorders>
              <w:top w:val="nil"/>
              <w:left w:val="nil"/>
              <w:bottom w:val="nil"/>
              <w:right w:val="nil"/>
            </w:tcBorders>
            <w:shd w:val="clear" w:color="auto" w:fill="auto"/>
            <w:noWrap/>
            <w:vAlign w:val="center"/>
            <w:hideMark/>
          </w:tcPr>
          <w:p w14:paraId="76E7AEF3" w14:textId="77777777" w:rsidR="003275BA" w:rsidRPr="003275BA" w:rsidRDefault="003275BA" w:rsidP="003275BA">
            <w:pPr>
              <w:spacing w:after="0" w:line="240" w:lineRule="auto"/>
              <w:jc w:val="right"/>
              <w:rPr>
                <w:rFonts w:cs="Arial"/>
                <w:sz w:val="16"/>
                <w:szCs w:val="16"/>
              </w:rPr>
            </w:pPr>
            <w:r w:rsidRPr="003275BA">
              <w:rPr>
                <w:rFonts w:cs="Arial"/>
                <w:sz w:val="16"/>
                <w:szCs w:val="16"/>
              </w:rPr>
              <w:t>21 356</w:t>
            </w:r>
          </w:p>
        </w:tc>
        <w:tc>
          <w:tcPr>
            <w:tcW w:w="700" w:type="dxa"/>
            <w:tcBorders>
              <w:top w:val="nil"/>
              <w:left w:val="nil"/>
              <w:bottom w:val="nil"/>
              <w:right w:val="nil"/>
            </w:tcBorders>
            <w:shd w:val="clear" w:color="auto" w:fill="auto"/>
            <w:vAlign w:val="center"/>
            <w:hideMark/>
          </w:tcPr>
          <w:p w14:paraId="312FA2E1" w14:textId="77777777" w:rsidR="003275BA" w:rsidRPr="003275BA" w:rsidRDefault="003275BA" w:rsidP="003275BA">
            <w:pPr>
              <w:spacing w:after="0" w:line="240" w:lineRule="auto"/>
              <w:jc w:val="right"/>
              <w:rPr>
                <w:rFonts w:cs="Arial"/>
                <w:sz w:val="16"/>
                <w:szCs w:val="16"/>
              </w:rPr>
            </w:pPr>
            <w:r w:rsidRPr="003275BA">
              <w:rPr>
                <w:rFonts w:cs="Arial"/>
                <w:sz w:val="16"/>
                <w:szCs w:val="16"/>
              </w:rPr>
              <w:t>15 156</w:t>
            </w:r>
          </w:p>
        </w:tc>
        <w:tc>
          <w:tcPr>
            <w:tcW w:w="700" w:type="dxa"/>
            <w:tcBorders>
              <w:top w:val="nil"/>
              <w:left w:val="nil"/>
              <w:bottom w:val="nil"/>
              <w:right w:val="single" w:sz="4" w:space="0" w:color="auto"/>
            </w:tcBorders>
            <w:shd w:val="clear" w:color="auto" w:fill="auto"/>
            <w:noWrap/>
            <w:vAlign w:val="center"/>
            <w:hideMark/>
          </w:tcPr>
          <w:p w14:paraId="0B885C4C" w14:textId="77777777" w:rsidR="003275BA" w:rsidRPr="003275BA" w:rsidRDefault="003275BA" w:rsidP="003275BA">
            <w:pPr>
              <w:spacing w:after="0" w:line="240" w:lineRule="auto"/>
              <w:jc w:val="right"/>
              <w:rPr>
                <w:rFonts w:cs="Arial"/>
                <w:sz w:val="16"/>
                <w:szCs w:val="16"/>
              </w:rPr>
            </w:pPr>
            <w:r w:rsidRPr="003275BA">
              <w:rPr>
                <w:rFonts w:cs="Arial"/>
                <w:sz w:val="16"/>
                <w:szCs w:val="16"/>
              </w:rPr>
              <w:t>6 200</w:t>
            </w:r>
          </w:p>
        </w:tc>
        <w:tc>
          <w:tcPr>
            <w:tcW w:w="700" w:type="dxa"/>
            <w:tcBorders>
              <w:top w:val="nil"/>
              <w:left w:val="nil"/>
              <w:bottom w:val="nil"/>
              <w:right w:val="nil"/>
            </w:tcBorders>
            <w:shd w:val="clear" w:color="auto" w:fill="auto"/>
            <w:vAlign w:val="center"/>
            <w:hideMark/>
          </w:tcPr>
          <w:p w14:paraId="094978D3" w14:textId="77777777" w:rsidR="003275BA" w:rsidRPr="003275BA" w:rsidRDefault="003275BA" w:rsidP="003275BA">
            <w:pPr>
              <w:spacing w:after="0" w:line="240" w:lineRule="auto"/>
              <w:jc w:val="right"/>
              <w:rPr>
                <w:rFonts w:cs="Arial"/>
                <w:sz w:val="16"/>
                <w:szCs w:val="16"/>
              </w:rPr>
            </w:pPr>
            <w:r w:rsidRPr="003275BA">
              <w:rPr>
                <w:rFonts w:cs="Arial"/>
                <w:sz w:val="16"/>
                <w:szCs w:val="16"/>
              </w:rPr>
              <w:t>53</w:t>
            </w:r>
          </w:p>
        </w:tc>
        <w:tc>
          <w:tcPr>
            <w:tcW w:w="700" w:type="dxa"/>
            <w:tcBorders>
              <w:top w:val="nil"/>
              <w:left w:val="nil"/>
              <w:bottom w:val="nil"/>
              <w:right w:val="nil"/>
            </w:tcBorders>
            <w:shd w:val="clear" w:color="auto" w:fill="auto"/>
            <w:vAlign w:val="center"/>
            <w:hideMark/>
          </w:tcPr>
          <w:p w14:paraId="62ACE661" w14:textId="77777777" w:rsidR="003275BA" w:rsidRPr="003275BA" w:rsidRDefault="003275BA" w:rsidP="003275BA">
            <w:pPr>
              <w:spacing w:after="0" w:line="240" w:lineRule="auto"/>
              <w:jc w:val="right"/>
              <w:rPr>
                <w:rFonts w:cs="Arial"/>
                <w:sz w:val="16"/>
                <w:szCs w:val="16"/>
              </w:rPr>
            </w:pPr>
            <w:r w:rsidRPr="003275BA">
              <w:rPr>
                <w:rFonts w:cs="Arial"/>
                <w:sz w:val="16"/>
                <w:szCs w:val="16"/>
              </w:rPr>
              <w:t>52</w:t>
            </w:r>
          </w:p>
        </w:tc>
        <w:tc>
          <w:tcPr>
            <w:tcW w:w="700" w:type="dxa"/>
            <w:tcBorders>
              <w:top w:val="nil"/>
              <w:left w:val="nil"/>
              <w:bottom w:val="nil"/>
              <w:right w:val="single" w:sz="4" w:space="0" w:color="auto"/>
            </w:tcBorders>
            <w:shd w:val="clear" w:color="auto" w:fill="auto"/>
            <w:vAlign w:val="center"/>
            <w:hideMark/>
          </w:tcPr>
          <w:p w14:paraId="1E0F0C21" w14:textId="77777777" w:rsidR="003275BA" w:rsidRPr="003275BA" w:rsidRDefault="003275BA" w:rsidP="003275BA">
            <w:pPr>
              <w:spacing w:after="0" w:line="240" w:lineRule="auto"/>
              <w:jc w:val="right"/>
              <w:rPr>
                <w:rFonts w:cs="Arial"/>
                <w:sz w:val="16"/>
                <w:szCs w:val="16"/>
              </w:rPr>
            </w:pPr>
            <w:r w:rsidRPr="003275BA">
              <w:rPr>
                <w:rFonts w:cs="Arial"/>
                <w:sz w:val="16"/>
                <w:szCs w:val="16"/>
              </w:rPr>
              <w:t>1</w:t>
            </w:r>
          </w:p>
        </w:tc>
        <w:tc>
          <w:tcPr>
            <w:tcW w:w="700" w:type="dxa"/>
            <w:tcBorders>
              <w:top w:val="nil"/>
              <w:left w:val="nil"/>
              <w:bottom w:val="nil"/>
              <w:right w:val="nil"/>
            </w:tcBorders>
            <w:shd w:val="clear" w:color="auto" w:fill="auto"/>
            <w:vAlign w:val="center"/>
            <w:hideMark/>
          </w:tcPr>
          <w:p w14:paraId="42510F40" w14:textId="77777777" w:rsidR="003275BA" w:rsidRPr="003275BA" w:rsidRDefault="003275BA" w:rsidP="003275BA">
            <w:pPr>
              <w:spacing w:after="0" w:line="240" w:lineRule="auto"/>
              <w:jc w:val="right"/>
              <w:rPr>
                <w:rFonts w:cs="Arial"/>
                <w:sz w:val="16"/>
                <w:szCs w:val="16"/>
              </w:rPr>
            </w:pPr>
            <w:r w:rsidRPr="003275BA">
              <w:rPr>
                <w:rFonts w:cs="Arial"/>
                <w:sz w:val="16"/>
                <w:szCs w:val="16"/>
              </w:rPr>
              <w:t>713</w:t>
            </w:r>
          </w:p>
        </w:tc>
        <w:tc>
          <w:tcPr>
            <w:tcW w:w="700" w:type="dxa"/>
            <w:tcBorders>
              <w:top w:val="nil"/>
              <w:left w:val="nil"/>
              <w:bottom w:val="nil"/>
              <w:right w:val="nil"/>
            </w:tcBorders>
            <w:shd w:val="clear" w:color="auto" w:fill="auto"/>
            <w:vAlign w:val="center"/>
            <w:hideMark/>
          </w:tcPr>
          <w:p w14:paraId="3AC2EC1B" w14:textId="77777777" w:rsidR="003275BA" w:rsidRPr="003275BA" w:rsidRDefault="003275BA" w:rsidP="003275BA">
            <w:pPr>
              <w:spacing w:after="0" w:line="240" w:lineRule="auto"/>
              <w:jc w:val="right"/>
              <w:rPr>
                <w:rFonts w:cs="Arial"/>
                <w:sz w:val="16"/>
                <w:szCs w:val="16"/>
              </w:rPr>
            </w:pPr>
            <w:r w:rsidRPr="003275BA">
              <w:rPr>
                <w:rFonts w:cs="Arial"/>
                <w:sz w:val="16"/>
                <w:szCs w:val="16"/>
              </w:rPr>
              <w:t>572</w:t>
            </w:r>
          </w:p>
        </w:tc>
        <w:tc>
          <w:tcPr>
            <w:tcW w:w="700" w:type="dxa"/>
            <w:tcBorders>
              <w:top w:val="nil"/>
              <w:left w:val="nil"/>
              <w:bottom w:val="nil"/>
              <w:right w:val="nil"/>
            </w:tcBorders>
            <w:shd w:val="clear" w:color="auto" w:fill="auto"/>
            <w:vAlign w:val="center"/>
            <w:hideMark/>
          </w:tcPr>
          <w:p w14:paraId="62E8AA30" w14:textId="77777777" w:rsidR="003275BA" w:rsidRPr="003275BA" w:rsidRDefault="003275BA" w:rsidP="003275BA">
            <w:pPr>
              <w:spacing w:after="0" w:line="240" w:lineRule="auto"/>
              <w:jc w:val="right"/>
              <w:rPr>
                <w:rFonts w:cs="Arial"/>
                <w:sz w:val="16"/>
                <w:szCs w:val="16"/>
              </w:rPr>
            </w:pPr>
            <w:r w:rsidRPr="003275BA">
              <w:rPr>
                <w:rFonts w:cs="Arial"/>
                <w:sz w:val="16"/>
                <w:szCs w:val="16"/>
              </w:rPr>
              <w:t>141</w:t>
            </w:r>
          </w:p>
        </w:tc>
      </w:tr>
      <w:tr w:rsidR="003275BA" w:rsidRPr="003275BA" w14:paraId="6DB59EDC" w14:textId="77777777" w:rsidTr="003275BA">
        <w:trPr>
          <w:trHeight w:val="300"/>
        </w:trPr>
        <w:tc>
          <w:tcPr>
            <w:tcW w:w="1120" w:type="dxa"/>
            <w:tcBorders>
              <w:top w:val="nil"/>
              <w:left w:val="nil"/>
              <w:bottom w:val="nil"/>
              <w:right w:val="single" w:sz="4" w:space="0" w:color="auto"/>
            </w:tcBorders>
            <w:shd w:val="clear" w:color="auto" w:fill="auto"/>
            <w:vAlign w:val="center"/>
            <w:hideMark/>
          </w:tcPr>
          <w:p w14:paraId="32082DBF" w14:textId="77777777" w:rsidR="003275BA" w:rsidRPr="003275BA" w:rsidRDefault="003275BA" w:rsidP="003275BA">
            <w:pPr>
              <w:spacing w:after="0" w:line="240" w:lineRule="auto"/>
              <w:jc w:val="center"/>
              <w:rPr>
                <w:rFonts w:cs="Arial"/>
                <w:sz w:val="16"/>
                <w:szCs w:val="16"/>
              </w:rPr>
            </w:pPr>
            <w:r w:rsidRPr="003275BA">
              <w:rPr>
                <w:rFonts w:cs="Arial"/>
                <w:sz w:val="16"/>
                <w:szCs w:val="16"/>
              </w:rPr>
              <w:t>1. pol. 2013</w:t>
            </w:r>
          </w:p>
        </w:tc>
        <w:tc>
          <w:tcPr>
            <w:tcW w:w="700" w:type="dxa"/>
            <w:tcBorders>
              <w:top w:val="nil"/>
              <w:left w:val="nil"/>
              <w:bottom w:val="nil"/>
              <w:right w:val="nil"/>
            </w:tcBorders>
            <w:shd w:val="clear" w:color="auto" w:fill="auto"/>
            <w:vAlign w:val="center"/>
            <w:hideMark/>
          </w:tcPr>
          <w:p w14:paraId="7ECFCAF4" w14:textId="77777777" w:rsidR="003275BA" w:rsidRPr="003275BA" w:rsidRDefault="003275BA" w:rsidP="003275BA">
            <w:pPr>
              <w:spacing w:after="0" w:line="240" w:lineRule="auto"/>
              <w:jc w:val="right"/>
              <w:rPr>
                <w:rFonts w:cs="Arial"/>
                <w:sz w:val="16"/>
                <w:szCs w:val="16"/>
              </w:rPr>
            </w:pPr>
            <w:r w:rsidRPr="003275BA">
              <w:rPr>
                <w:rFonts w:cs="Arial"/>
                <w:sz w:val="16"/>
                <w:szCs w:val="16"/>
              </w:rPr>
              <w:t>21 935</w:t>
            </w:r>
          </w:p>
        </w:tc>
        <w:tc>
          <w:tcPr>
            <w:tcW w:w="700" w:type="dxa"/>
            <w:tcBorders>
              <w:top w:val="nil"/>
              <w:left w:val="nil"/>
              <w:bottom w:val="nil"/>
              <w:right w:val="nil"/>
            </w:tcBorders>
            <w:shd w:val="clear" w:color="auto" w:fill="auto"/>
            <w:vAlign w:val="center"/>
            <w:hideMark/>
          </w:tcPr>
          <w:p w14:paraId="04A9F94A" w14:textId="77777777" w:rsidR="003275BA" w:rsidRPr="003275BA" w:rsidRDefault="003275BA" w:rsidP="003275BA">
            <w:pPr>
              <w:spacing w:after="0" w:line="240" w:lineRule="auto"/>
              <w:jc w:val="right"/>
              <w:rPr>
                <w:rFonts w:cs="Arial"/>
                <w:sz w:val="16"/>
                <w:szCs w:val="16"/>
              </w:rPr>
            </w:pPr>
            <w:r w:rsidRPr="003275BA">
              <w:rPr>
                <w:rFonts w:cs="Arial"/>
                <w:sz w:val="16"/>
                <w:szCs w:val="16"/>
              </w:rPr>
              <w:t>15 304</w:t>
            </w:r>
          </w:p>
        </w:tc>
        <w:tc>
          <w:tcPr>
            <w:tcW w:w="700" w:type="dxa"/>
            <w:tcBorders>
              <w:top w:val="nil"/>
              <w:left w:val="nil"/>
              <w:bottom w:val="nil"/>
              <w:right w:val="single" w:sz="4" w:space="0" w:color="auto"/>
            </w:tcBorders>
            <w:shd w:val="clear" w:color="auto" w:fill="auto"/>
            <w:vAlign w:val="center"/>
            <w:hideMark/>
          </w:tcPr>
          <w:p w14:paraId="07CD4F19" w14:textId="77777777" w:rsidR="003275BA" w:rsidRPr="003275BA" w:rsidRDefault="003275BA" w:rsidP="003275BA">
            <w:pPr>
              <w:spacing w:after="0" w:line="240" w:lineRule="auto"/>
              <w:jc w:val="right"/>
              <w:rPr>
                <w:rFonts w:cs="Arial"/>
                <w:sz w:val="16"/>
                <w:szCs w:val="16"/>
              </w:rPr>
            </w:pPr>
            <w:r w:rsidRPr="003275BA">
              <w:rPr>
                <w:rFonts w:cs="Arial"/>
                <w:sz w:val="16"/>
                <w:szCs w:val="16"/>
              </w:rPr>
              <w:t>6 631</w:t>
            </w:r>
          </w:p>
        </w:tc>
        <w:tc>
          <w:tcPr>
            <w:tcW w:w="700" w:type="dxa"/>
            <w:tcBorders>
              <w:top w:val="nil"/>
              <w:left w:val="nil"/>
              <w:bottom w:val="nil"/>
              <w:right w:val="nil"/>
            </w:tcBorders>
            <w:shd w:val="clear" w:color="auto" w:fill="auto"/>
            <w:noWrap/>
            <w:vAlign w:val="center"/>
            <w:hideMark/>
          </w:tcPr>
          <w:p w14:paraId="6A6022EF" w14:textId="77777777" w:rsidR="003275BA" w:rsidRPr="003275BA" w:rsidRDefault="003275BA" w:rsidP="003275BA">
            <w:pPr>
              <w:spacing w:after="0" w:line="240" w:lineRule="auto"/>
              <w:jc w:val="right"/>
              <w:rPr>
                <w:rFonts w:cs="Arial"/>
                <w:sz w:val="16"/>
                <w:szCs w:val="16"/>
              </w:rPr>
            </w:pPr>
            <w:r w:rsidRPr="003275BA">
              <w:rPr>
                <w:rFonts w:cs="Arial"/>
                <w:sz w:val="16"/>
                <w:szCs w:val="16"/>
              </w:rPr>
              <w:t>21 542</w:t>
            </w:r>
          </w:p>
        </w:tc>
        <w:tc>
          <w:tcPr>
            <w:tcW w:w="700" w:type="dxa"/>
            <w:tcBorders>
              <w:top w:val="nil"/>
              <w:left w:val="nil"/>
              <w:bottom w:val="nil"/>
              <w:right w:val="nil"/>
            </w:tcBorders>
            <w:shd w:val="clear" w:color="auto" w:fill="auto"/>
            <w:vAlign w:val="center"/>
            <w:hideMark/>
          </w:tcPr>
          <w:p w14:paraId="05291527" w14:textId="77777777" w:rsidR="003275BA" w:rsidRPr="003275BA" w:rsidRDefault="003275BA" w:rsidP="003275BA">
            <w:pPr>
              <w:spacing w:after="0" w:line="240" w:lineRule="auto"/>
              <w:jc w:val="right"/>
              <w:rPr>
                <w:rFonts w:cs="Arial"/>
                <w:sz w:val="16"/>
                <w:szCs w:val="16"/>
              </w:rPr>
            </w:pPr>
            <w:r w:rsidRPr="003275BA">
              <w:rPr>
                <w:rFonts w:cs="Arial"/>
                <w:sz w:val="16"/>
                <w:szCs w:val="16"/>
              </w:rPr>
              <w:t>15 007</w:t>
            </w:r>
          </w:p>
        </w:tc>
        <w:tc>
          <w:tcPr>
            <w:tcW w:w="700" w:type="dxa"/>
            <w:tcBorders>
              <w:top w:val="nil"/>
              <w:left w:val="nil"/>
              <w:bottom w:val="nil"/>
              <w:right w:val="single" w:sz="4" w:space="0" w:color="auto"/>
            </w:tcBorders>
            <w:shd w:val="clear" w:color="auto" w:fill="auto"/>
            <w:noWrap/>
            <w:vAlign w:val="center"/>
            <w:hideMark/>
          </w:tcPr>
          <w:p w14:paraId="141D22FB" w14:textId="77777777" w:rsidR="003275BA" w:rsidRPr="003275BA" w:rsidRDefault="003275BA" w:rsidP="003275BA">
            <w:pPr>
              <w:spacing w:after="0" w:line="240" w:lineRule="auto"/>
              <w:jc w:val="right"/>
              <w:rPr>
                <w:rFonts w:cs="Arial"/>
                <w:sz w:val="16"/>
                <w:szCs w:val="16"/>
              </w:rPr>
            </w:pPr>
            <w:r w:rsidRPr="003275BA">
              <w:rPr>
                <w:rFonts w:cs="Arial"/>
                <w:sz w:val="16"/>
                <w:szCs w:val="16"/>
              </w:rPr>
              <w:t>6 535</w:t>
            </w:r>
          </w:p>
        </w:tc>
        <w:tc>
          <w:tcPr>
            <w:tcW w:w="700" w:type="dxa"/>
            <w:tcBorders>
              <w:top w:val="nil"/>
              <w:left w:val="nil"/>
              <w:bottom w:val="nil"/>
              <w:right w:val="nil"/>
            </w:tcBorders>
            <w:shd w:val="clear" w:color="auto" w:fill="auto"/>
            <w:vAlign w:val="center"/>
            <w:hideMark/>
          </w:tcPr>
          <w:p w14:paraId="3CD3B84C" w14:textId="77777777" w:rsidR="003275BA" w:rsidRPr="003275BA" w:rsidRDefault="003275BA" w:rsidP="003275BA">
            <w:pPr>
              <w:spacing w:after="0" w:line="240" w:lineRule="auto"/>
              <w:jc w:val="right"/>
              <w:rPr>
                <w:rFonts w:cs="Arial"/>
                <w:sz w:val="16"/>
                <w:szCs w:val="16"/>
              </w:rPr>
            </w:pPr>
            <w:r w:rsidRPr="003275BA">
              <w:rPr>
                <w:rFonts w:cs="Arial"/>
                <w:sz w:val="16"/>
                <w:szCs w:val="16"/>
              </w:rPr>
              <w:t>48</w:t>
            </w:r>
          </w:p>
        </w:tc>
        <w:tc>
          <w:tcPr>
            <w:tcW w:w="700" w:type="dxa"/>
            <w:tcBorders>
              <w:top w:val="nil"/>
              <w:left w:val="nil"/>
              <w:bottom w:val="nil"/>
              <w:right w:val="nil"/>
            </w:tcBorders>
            <w:shd w:val="clear" w:color="auto" w:fill="auto"/>
            <w:vAlign w:val="center"/>
            <w:hideMark/>
          </w:tcPr>
          <w:p w14:paraId="21520F88" w14:textId="77777777" w:rsidR="003275BA" w:rsidRPr="003275BA" w:rsidRDefault="003275BA" w:rsidP="003275BA">
            <w:pPr>
              <w:spacing w:after="0" w:line="240" w:lineRule="auto"/>
              <w:jc w:val="right"/>
              <w:rPr>
                <w:rFonts w:cs="Arial"/>
                <w:sz w:val="16"/>
                <w:szCs w:val="16"/>
              </w:rPr>
            </w:pPr>
            <w:r w:rsidRPr="003275BA">
              <w:rPr>
                <w:rFonts w:cs="Arial"/>
                <w:sz w:val="16"/>
                <w:szCs w:val="16"/>
              </w:rPr>
              <w:t>44</w:t>
            </w:r>
          </w:p>
        </w:tc>
        <w:tc>
          <w:tcPr>
            <w:tcW w:w="700" w:type="dxa"/>
            <w:tcBorders>
              <w:top w:val="nil"/>
              <w:left w:val="nil"/>
              <w:bottom w:val="nil"/>
              <w:right w:val="single" w:sz="4" w:space="0" w:color="auto"/>
            </w:tcBorders>
            <w:shd w:val="clear" w:color="auto" w:fill="auto"/>
            <w:vAlign w:val="center"/>
            <w:hideMark/>
          </w:tcPr>
          <w:p w14:paraId="642A98AA" w14:textId="77777777" w:rsidR="003275BA" w:rsidRPr="003275BA" w:rsidRDefault="003275BA" w:rsidP="003275BA">
            <w:pPr>
              <w:spacing w:after="0" w:line="240" w:lineRule="auto"/>
              <w:jc w:val="right"/>
              <w:rPr>
                <w:rFonts w:cs="Arial"/>
                <w:sz w:val="16"/>
                <w:szCs w:val="16"/>
              </w:rPr>
            </w:pPr>
            <w:r w:rsidRPr="003275BA">
              <w:rPr>
                <w:rFonts w:cs="Arial"/>
                <w:sz w:val="16"/>
                <w:szCs w:val="16"/>
              </w:rPr>
              <w:t>4</w:t>
            </w:r>
          </w:p>
        </w:tc>
        <w:tc>
          <w:tcPr>
            <w:tcW w:w="700" w:type="dxa"/>
            <w:tcBorders>
              <w:top w:val="nil"/>
              <w:left w:val="nil"/>
              <w:bottom w:val="nil"/>
              <w:right w:val="nil"/>
            </w:tcBorders>
            <w:shd w:val="clear" w:color="auto" w:fill="auto"/>
            <w:vAlign w:val="center"/>
            <w:hideMark/>
          </w:tcPr>
          <w:p w14:paraId="512F9DCE" w14:textId="77777777" w:rsidR="003275BA" w:rsidRPr="003275BA" w:rsidRDefault="003275BA" w:rsidP="003275BA">
            <w:pPr>
              <w:spacing w:after="0" w:line="240" w:lineRule="auto"/>
              <w:jc w:val="right"/>
              <w:rPr>
                <w:rFonts w:cs="Arial"/>
                <w:sz w:val="16"/>
                <w:szCs w:val="16"/>
              </w:rPr>
            </w:pPr>
            <w:r w:rsidRPr="003275BA">
              <w:rPr>
                <w:rFonts w:cs="Arial"/>
                <w:sz w:val="16"/>
                <w:szCs w:val="16"/>
              </w:rPr>
              <w:t>675</w:t>
            </w:r>
          </w:p>
        </w:tc>
        <w:tc>
          <w:tcPr>
            <w:tcW w:w="700" w:type="dxa"/>
            <w:tcBorders>
              <w:top w:val="nil"/>
              <w:left w:val="nil"/>
              <w:bottom w:val="nil"/>
              <w:right w:val="nil"/>
            </w:tcBorders>
            <w:shd w:val="clear" w:color="auto" w:fill="auto"/>
            <w:vAlign w:val="center"/>
            <w:hideMark/>
          </w:tcPr>
          <w:p w14:paraId="2AC5BED4" w14:textId="77777777" w:rsidR="003275BA" w:rsidRPr="003275BA" w:rsidRDefault="003275BA" w:rsidP="003275BA">
            <w:pPr>
              <w:spacing w:after="0" w:line="240" w:lineRule="auto"/>
              <w:jc w:val="right"/>
              <w:rPr>
                <w:rFonts w:cs="Arial"/>
                <w:sz w:val="16"/>
                <w:szCs w:val="16"/>
              </w:rPr>
            </w:pPr>
            <w:r w:rsidRPr="003275BA">
              <w:rPr>
                <w:rFonts w:cs="Arial"/>
                <w:sz w:val="16"/>
                <w:szCs w:val="16"/>
              </w:rPr>
              <w:t>531</w:t>
            </w:r>
          </w:p>
        </w:tc>
        <w:tc>
          <w:tcPr>
            <w:tcW w:w="700" w:type="dxa"/>
            <w:tcBorders>
              <w:top w:val="nil"/>
              <w:left w:val="nil"/>
              <w:bottom w:val="nil"/>
              <w:right w:val="nil"/>
            </w:tcBorders>
            <w:shd w:val="clear" w:color="auto" w:fill="auto"/>
            <w:vAlign w:val="center"/>
            <w:hideMark/>
          </w:tcPr>
          <w:p w14:paraId="7F36A06E" w14:textId="77777777" w:rsidR="003275BA" w:rsidRPr="003275BA" w:rsidRDefault="003275BA" w:rsidP="003275BA">
            <w:pPr>
              <w:spacing w:after="0" w:line="240" w:lineRule="auto"/>
              <w:jc w:val="right"/>
              <w:rPr>
                <w:rFonts w:cs="Arial"/>
                <w:sz w:val="16"/>
                <w:szCs w:val="16"/>
              </w:rPr>
            </w:pPr>
            <w:r w:rsidRPr="003275BA">
              <w:rPr>
                <w:rFonts w:cs="Arial"/>
                <w:sz w:val="16"/>
                <w:szCs w:val="16"/>
              </w:rPr>
              <w:t>144</w:t>
            </w:r>
          </w:p>
        </w:tc>
      </w:tr>
      <w:tr w:rsidR="003275BA" w:rsidRPr="003275BA" w14:paraId="137ED9CB" w14:textId="77777777" w:rsidTr="003275BA">
        <w:trPr>
          <w:trHeight w:val="300"/>
        </w:trPr>
        <w:tc>
          <w:tcPr>
            <w:tcW w:w="1120" w:type="dxa"/>
            <w:tcBorders>
              <w:top w:val="nil"/>
              <w:left w:val="nil"/>
              <w:bottom w:val="nil"/>
              <w:right w:val="single" w:sz="4" w:space="0" w:color="auto"/>
            </w:tcBorders>
            <w:shd w:val="clear" w:color="auto" w:fill="auto"/>
            <w:vAlign w:val="center"/>
            <w:hideMark/>
          </w:tcPr>
          <w:p w14:paraId="6B9C4459" w14:textId="77777777" w:rsidR="003275BA" w:rsidRPr="003275BA" w:rsidRDefault="003275BA" w:rsidP="003275BA">
            <w:pPr>
              <w:spacing w:after="0" w:line="240" w:lineRule="auto"/>
              <w:jc w:val="center"/>
              <w:rPr>
                <w:rFonts w:cs="Arial"/>
                <w:sz w:val="16"/>
                <w:szCs w:val="16"/>
              </w:rPr>
            </w:pPr>
            <w:r w:rsidRPr="003275BA">
              <w:rPr>
                <w:rFonts w:cs="Arial"/>
                <w:sz w:val="16"/>
                <w:szCs w:val="16"/>
              </w:rPr>
              <w:t>1. pol. 2014</w:t>
            </w:r>
          </w:p>
        </w:tc>
        <w:tc>
          <w:tcPr>
            <w:tcW w:w="700" w:type="dxa"/>
            <w:tcBorders>
              <w:top w:val="nil"/>
              <w:left w:val="nil"/>
              <w:bottom w:val="nil"/>
              <w:right w:val="nil"/>
            </w:tcBorders>
            <w:shd w:val="clear" w:color="auto" w:fill="auto"/>
            <w:vAlign w:val="center"/>
            <w:hideMark/>
          </w:tcPr>
          <w:p w14:paraId="64F6EFDC" w14:textId="77777777" w:rsidR="003275BA" w:rsidRPr="003275BA" w:rsidRDefault="003275BA" w:rsidP="003275BA">
            <w:pPr>
              <w:spacing w:after="0" w:line="240" w:lineRule="auto"/>
              <w:jc w:val="right"/>
              <w:rPr>
                <w:rFonts w:cs="Arial"/>
                <w:sz w:val="16"/>
                <w:szCs w:val="16"/>
              </w:rPr>
            </w:pPr>
            <w:r w:rsidRPr="003275BA">
              <w:rPr>
                <w:rFonts w:cs="Arial"/>
                <w:sz w:val="16"/>
                <w:szCs w:val="16"/>
              </w:rPr>
              <w:t>22 223</w:t>
            </w:r>
          </w:p>
        </w:tc>
        <w:tc>
          <w:tcPr>
            <w:tcW w:w="700" w:type="dxa"/>
            <w:tcBorders>
              <w:top w:val="nil"/>
              <w:left w:val="nil"/>
              <w:bottom w:val="nil"/>
              <w:right w:val="nil"/>
            </w:tcBorders>
            <w:shd w:val="clear" w:color="auto" w:fill="auto"/>
            <w:vAlign w:val="center"/>
            <w:hideMark/>
          </w:tcPr>
          <w:p w14:paraId="705CA98E" w14:textId="77777777" w:rsidR="003275BA" w:rsidRPr="003275BA" w:rsidRDefault="003275BA" w:rsidP="003275BA">
            <w:pPr>
              <w:spacing w:after="0" w:line="240" w:lineRule="auto"/>
              <w:jc w:val="right"/>
              <w:rPr>
                <w:rFonts w:cs="Arial"/>
                <w:sz w:val="16"/>
                <w:szCs w:val="16"/>
              </w:rPr>
            </w:pPr>
            <w:r w:rsidRPr="003275BA">
              <w:rPr>
                <w:rFonts w:cs="Arial"/>
                <w:sz w:val="16"/>
                <w:szCs w:val="16"/>
              </w:rPr>
              <w:t>15 611</w:t>
            </w:r>
          </w:p>
        </w:tc>
        <w:tc>
          <w:tcPr>
            <w:tcW w:w="700" w:type="dxa"/>
            <w:tcBorders>
              <w:top w:val="nil"/>
              <w:left w:val="nil"/>
              <w:bottom w:val="nil"/>
              <w:right w:val="single" w:sz="4" w:space="0" w:color="auto"/>
            </w:tcBorders>
            <w:shd w:val="clear" w:color="auto" w:fill="auto"/>
            <w:vAlign w:val="center"/>
            <w:hideMark/>
          </w:tcPr>
          <w:p w14:paraId="2DE1963C" w14:textId="77777777" w:rsidR="003275BA" w:rsidRPr="003275BA" w:rsidRDefault="003275BA" w:rsidP="003275BA">
            <w:pPr>
              <w:spacing w:after="0" w:line="240" w:lineRule="auto"/>
              <w:jc w:val="right"/>
              <w:rPr>
                <w:rFonts w:cs="Arial"/>
                <w:sz w:val="16"/>
                <w:szCs w:val="16"/>
              </w:rPr>
            </w:pPr>
            <w:r w:rsidRPr="003275BA">
              <w:rPr>
                <w:rFonts w:cs="Arial"/>
                <w:sz w:val="16"/>
                <w:szCs w:val="16"/>
              </w:rPr>
              <w:t>6 612</w:t>
            </w:r>
          </w:p>
        </w:tc>
        <w:tc>
          <w:tcPr>
            <w:tcW w:w="700" w:type="dxa"/>
            <w:tcBorders>
              <w:top w:val="nil"/>
              <w:left w:val="nil"/>
              <w:bottom w:val="nil"/>
              <w:right w:val="nil"/>
            </w:tcBorders>
            <w:shd w:val="clear" w:color="auto" w:fill="auto"/>
            <w:noWrap/>
            <w:vAlign w:val="center"/>
            <w:hideMark/>
          </w:tcPr>
          <w:p w14:paraId="424D5A22" w14:textId="77777777" w:rsidR="003275BA" w:rsidRPr="003275BA" w:rsidRDefault="003275BA" w:rsidP="003275BA">
            <w:pPr>
              <w:spacing w:after="0" w:line="240" w:lineRule="auto"/>
              <w:jc w:val="right"/>
              <w:rPr>
                <w:rFonts w:cs="Arial"/>
                <w:sz w:val="16"/>
                <w:szCs w:val="16"/>
              </w:rPr>
            </w:pPr>
            <w:r w:rsidRPr="003275BA">
              <w:rPr>
                <w:rFonts w:cs="Arial"/>
                <w:sz w:val="16"/>
                <w:szCs w:val="16"/>
              </w:rPr>
              <w:t>21 754</w:t>
            </w:r>
          </w:p>
        </w:tc>
        <w:tc>
          <w:tcPr>
            <w:tcW w:w="700" w:type="dxa"/>
            <w:tcBorders>
              <w:top w:val="nil"/>
              <w:left w:val="nil"/>
              <w:bottom w:val="nil"/>
              <w:right w:val="nil"/>
            </w:tcBorders>
            <w:shd w:val="clear" w:color="auto" w:fill="auto"/>
            <w:vAlign w:val="center"/>
            <w:hideMark/>
          </w:tcPr>
          <w:p w14:paraId="2C879821" w14:textId="77777777" w:rsidR="003275BA" w:rsidRPr="003275BA" w:rsidRDefault="003275BA" w:rsidP="003275BA">
            <w:pPr>
              <w:spacing w:after="0" w:line="240" w:lineRule="auto"/>
              <w:jc w:val="right"/>
              <w:rPr>
                <w:rFonts w:cs="Arial"/>
                <w:sz w:val="16"/>
                <w:szCs w:val="16"/>
              </w:rPr>
            </w:pPr>
            <w:r w:rsidRPr="003275BA">
              <w:rPr>
                <w:rFonts w:cs="Arial"/>
                <w:sz w:val="16"/>
                <w:szCs w:val="16"/>
              </w:rPr>
              <w:t>15 254</w:t>
            </w:r>
          </w:p>
        </w:tc>
        <w:tc>
          <w:tcPr>
            <w:tcW w:w="700" w:type="dxa"/>
            <w:tcBorders>
              <w:top w:val="nil"/>
              <w:left w:val="nil"/>
              <w:bottom w:val="nil"/>
              <w:right w:val="single" w:sz="4" w:space="0" w:color="auto"/>
            </w:tcBorders>
            <w:shd w:val="clear" w:color="auto" w:fill="auto"/>
            <w:noWrap/>
            <w:vAlign w:val="center"/>
            <w:hideMark/>
          </w:tcPr>
          <w:p w14:paraId="68E3F24B" w14:textId="77777777" w:rsidR="003275BA" w:rsidRPr="003275BA" w:rsidRDefault="003275BA" w:rsidP="003275BA">
            <w:pPr>
              <w:spacing w:after="0" w:line="240" w:lineRule="auto"/>
              <w:jc w:val="right"/>
              <w:rPr>
                <w:rFonts w:cs="Arial"/>
                <w:sz w:val="16"/>
                <w:szCs w:val="16"/>
              </w:rPr>
            </w:pPr>
            <w:r w:rsidRPr="003275BA">
              <w:rPr>
                <w:rFonts w:cs="Arial"/>
                <w:sz w:val="16"/>
                <w:szCs w:val="16"/>
              </w:rPr>
              <w:t>6 500</w:t>
            </w:r>
          </w:p>
        </w:tc>
        <w:tc>
          <w:tcPr>
            <w:tcW w:w="700" w:type="dxa"/>
            <w:tcBorders>
              <w:top w:val="nil"/>
              <w:left w:val="nil"/>
              <w:bottom w:val="nil"/>
              <w:right w:val="nil"/>
            </w:tcBorders>
            <w:shd w:val="clear" w:color="auto" w:fill="auto"/>
            <w:vAlign w:val="center"/>
            <w:hideMark/>
          </w:tcPr>
          <w:p w14:paraId="0BD30BF4" w14:textId="77777777" w:rsidR="003275BA" w:rsidRPr="003275BA" w:rsidRDefault="003275BA" w:rsidP="003275BA">
            <w:pPr>
              <w:spacing w:after="0" w:line="240" w:lineRule="auto"/>
              <w:jc w:val="right"/>
              <w:rPr>
                <w:rFonts w:cs="Arial"/>
                <w:sz w:val="16"/>
                <w:szCs w:val="16"/>
              </w:rPr>
            </w:pPr>
            <w:r w:rsidRPr="003275BA">
              <w:rPr>
                <w:rFonts w:cs="Arial"/>
                <w:sz w:val="16"/>
                <w:szCs w:val="16"/>
              </w:rPr>
              <w:t>45</w:t>
            </w:r>
          </w:p>
        </w:tc>
        <w:tc>
          <w:tcPr>
            <w:tcW w:w="700" w:type="dxa"/>
            <w:tcBorders>
              <w:top w:val="nil"/>
              <w:left w:val="nil"/>
              <w:bottom w:val="nil"/>
              <w:right w:val="nil"/>
            </w:tcBorders>
            <w:shd w:val="clear" w:color="auto" w:fill="auto"/>
            <w:vAlign w:val="center"/>
            <w:hideMark/>
          </w:tcPr>
          <w:p w14:paraId="3A7E47EA" w14:textId="77777777" w:rsidR="003275BA" w:rsidRPr="003275BA" w:rsidRDefault="003275BA" w:rsidP="003275BA">
            <w:pPr>
              <w:spacing w:after="0" w:line="240" w:lineRule="auto"/>
              <w:jc w:val="right"/>
              <w:rPr>
                <w:rFonts w:cs="Arial"/>
                <w:sz w:val="16"/>
                <w:szCs w:val="16"/>
              </w:rPr>
            </w:pPr>
            <w:r w:rsidRPr="003275BA">
              <w:rPr>
                <w:rFonts w:cs="Arial"/>
                <w:sz w:val="16"/>
                <w:szCs w:val="16"/>
              </w:rPr>
              <w:t>44</w:t>
            </w:r>
          </w:p>
        </w:tc>
        <w:tc>
          <w:tcPr>
            <w:tcW w:w="700" w:type="dxa"/>
            <w:tcBorders>
              <w:top w:val="nil"/>
              <w:left w:val="nil"/>
              <w:bottom w:val="nil"/>
              <w:right w:val="single" w:sz="4" w:space="0" w:color="auto"/>
            </w:tcBorders>
            <w:shd w:val="clear" w:color="auto" w:fill="auto"/>
            <w:vAlign w:val="center"/>
            <w:hideMark/>
          </w:tcPr>
          <w:p w14:paraId="19999F4C" w14:textId="77777777" w:rsidR="003275BA" w:rsidRPr="003275BA" w:rsidRDefault="003275BA" w:rsidP="003275BA">
            <w:pPr>
              <w:spacing w:after="0" w:line="240" w:lineRule="auto"/>
              <w:jc w:val="right"/>
              <w:rPr>
                <w:rFonts w:cs="Arial"/>
                <w:sz w:val="16"/>
                <w:szCs w:val="16"/>
              </w:rPr>
            </w:pPr>
            <w:r w:rsidRPr="003275BA">
              <w:rPr>
                <w:rFonts w:cs="Arial"/>
                <w:sz w:val="16"/>
                <w:szCs w:val="16"/>
              </w:rPr>
              <w:t>1</w:t>
            </w:r>
          </w:p>
        </w:tc>
        <w:tc>
          <w:tcPr>
            <w:tcW w:w="700" w:type="dxa"/>
            <w:tcBorders>
              <w:top w:val="nil"/>
              <w:left w:val="nil"/>
              <w:bottom w:val="nil"/>
              <w:right w:val="nil"/>
            </w:tcBorders>
            <w:shd w:val="clear" w:color="auto" w:fill="auto"/>
            <w:vAlign w:val="center"/>
            <w:hideMark/>
          </w:tcPr>
          <w:p w14:paraId="3580DE6F" w14:textId="77777777" w:rsidR="003275BA" w:rsidRPr="003275BA" w:rsidRDefault="003275BA" w:rsidP="003275BA">
            <w:pPr>
              <w:spacing w:after="0" w:line="240" w:lineRule="auto"/>
              <w:jc w:val="right"/>
              <w:rPr>
                <w:rFonts w:cs="Arial"/>
                <w:sz w:val="16"/>
                <w:szCs w:val="16"/>
              </w:rPr>
            </w:pPr>
            <w:r w:rsidRPr="003275BA">
              <w:rPr>
                <w:rFonts w:cs="Arial"/>
                <w:sz w:val="16"/>
                <w:szCs w:val="16"/>
              </w:rPr>
              <w:t>704</w:t>
            </w:r>
          </w:p>
        </w:tc>
        <w:tc>
          <w:tcPr>
            <w:tcW w:w="700" w:type="dxa"/>
            <w:tcBorders>
              <w:top w:val="nil"/>
              <w:left w:val="nil"/>
              <w:bottom w:val="nil"/>
              <w:right w:val="nil"/>
            </w:tcBorders>
            <w:shd w:val="clear" w:color="auto" w:fill="auto"/>
            <w:vAlign w:val="center"/>
            <w:hideMark/>
          </w:tcPr>
          <w:p w14:paraId="2BE2082A" w14:textId="77777777" w:rsidR="003275BA" w:rsidRPr="003275BA" w:rsidRDefault="003275BA" w:rsidP="003275BA">
            <w:pPr>
              <w:spacing w:after="0" w:line="240" w:lineRule="auto"/>
              <w:jc w:val="right"/>
              <w:rPr>
                <w:rFonts w:cs="Arial"/>
                <w:sz w:val="16"/>
                <w:szCs w:val="16"/>
              </w:rPr>
            </w:pPr>
            <w:r w:rsidRPr="003275BA">
              <w:rPr>
                <w:rFonts w:cs="Arial"/>
                <w:sz w:val="16"/>
                <w:szCs w:val="16"/>
              </w:rPr>
              <w:t>567</w:t>
            </w:r>
          </w:p>
        </w:tc>
        <w:tc>
          <w:tcPr>
            <w:tcW w:w="700" w:type="dxa"/>
            <w:tcBorders>
              <w:top w:val="nil"/>
              <w:left w:val="nil"/>
              <w:bottom w:val="nil"/>
              <w:right w:val="nil"/>
            </w:tcBorders>
            <w:shd w:val="clear" w:color="auto" w:fill="auto"/>
            <w:vAlign w:val="center"/>
            <w:hideMark/>
          </w:tcPr>
          <w:p w14:paraId="196003CF" w14:textId="77777777" w:rsidR="003275BA" w:rsidRPr="003275BA" w:rsidRDefault="003275BA" w:rsidP="003275BA">
            <w:pPr>
              <w:spacing w:after="0" w:line="240" w:lineRule="auto"/>
              <w:jc w:val="right"/>
              <w:rPr>
                <w:rFonts w:cs="Arial"/>
                <w:sz w:val="16"/>
                <w:szCs w:val="16"/>
              </w:rPr>
            </w:pPr>
            <w:r w:rsidRPr="003275BA">
              <w:rPr>
                <w:rFonts w:cs="Arial"/>
                <w:sz w:val="16"/>
                <w:szCs w:val="16"/>
              </w:rPr>
              <w:t>137</w:t>
            </w:r>
          </w:p>
        </w:tc>
      </w:tr>
      <w:tr w:rsidR="003275BA" w:rsidRPr="003275BA" w14:paraId="1EF1E8C9" w14:textId="77777777" w:rsidTr="003275BA">
        <w:trPr>
          <w:trHeight w:val="300"/>
        </w:trPr>
        <w:tc>
          <w:tcPr>
            <w:tcW w:w="1120" w:type="dxa"/>
            <w:tcBorders>
              <w:top w:val="nil"/>
              <w:left w:val="nil"/>
              <w:bottom w:val="nil"/>
              <w:right w:val="single" w:sz="4" w:space="0" w:color="auto"/>
            </w:tcBorders>
            <w:shd w:val="clear" w:color="auto" w:fill="auto"/>
            <w:vAlign w:val="center"/>
            <w:hideMark/>
          </w:tcPr>
          <w:p w14:paraId="04760011" w14:textId="77777777" w:rsidR="003275BA" w:rsidRPr="003275BA" w:rsidRDefault="003275BA" w:rsidP="003275BA">
            <w:pPr>
              <w:spacing w:after="0" w:line="240" w:lineRule="auto"/>
              <w:jc w:val="center"/>
              <w:rPr>
                <w:rFonts w:cs="Arial"/>
                <w:sz w:val="16"/>
                <w:szCs w:val="16"/>
              </w:rPr>
            </w:pPr>
            <w:r w:rsidRPr="003275BA">
              <w:rPr>
                <w:rFonts w:cs="Arial"/>
                <w:sz w:val="16"/>
                <w:szCs w:val="16"/>
              </w:rPr>
              <w:t>1. pol. 2015</w:t>
            </w:r>
          </w:p>
        </w:tc>
        <w:tc>
          <w:tcPr>
            <w:tcW w:w="700" w:type="dxa"/>
            <w:tcBorders>
              <w:top w:val="nil"/>
              <w:left w:val="nil"/>
              <w:bottom w:val="nil"/>
              <w:right w:val="nil"/>
            </w:tcBorders>
            <w:shd w:val="clear" w:color="auto" w:fill="auto"/>
            <w:vAlign w:val="center"/>
            <w:hideMark/>
          </w:tcPr>
          <w:p w14:paraId="3DED2BF2" w14:textId="77777777" w:rsidR="003275BA" w:rsidRPr="003275BA" w:rsidRDefault="003275BA" w:rsidP="003275BA">
            <w:pPr>
              <w:spacing w:after="0" w:line="240" w:lineRule="auto"/>
              <w:jc w:val="right"/>
              <w:rPr>
                <w:rFonts w:cs="Arial"/>
                <w:sz w:val="16"/>
                <w:szCs w:val="16"/>
              </w:rPr>
            </w:pPr>
            <w:r w:rsidRPr="003275BA">
              <w:rPr>
                <w:rFonts w:cs="Arial"/>
                <w:sz w:val="16"/>
                <w:szCs w:val="16"/>
              </w:rPr>
              <w:t>23 461</w:t>
            </w:r>
          </w:p>
        </w:tc>
        <w:tc>
          <w:tcPr>
            <w:tcW w:w="700" w:type="dxa"/>
            <w:tcBorders>
              <w:top w:val="nil"/>
              <w:left w:val="nil"/>
              <w:bottom w:val="nil"/>
              <w:right w:val="nil"/>
            </w:tcBorders>
            <w:shd w:val="clear" w:color="auto" w:fill="auto"/>
            <w:vAlign w:val="center"/>
            <w:hideMark/>
          </w:tcPr>
          <w:p w14:paraId="4EBBBD5A" w14:textId="77777777" w:rsidR="003275BA" w:rsidRPr="003275BA" w:rsidRDefault="003275BA" w:rsidP="003275BA">
            <w:pPr>
              <w:spacing w:after="0" w:line="240" w:lineRule="auto"/>
              <w:jc w:val="right"/>
              <w:rPr>
                <w:rFonts w:cs="Arial"/>
                <w:sz w:val="16"/>
                <w:szCs w:val="16"/>
              </w:rPr>
            </w:pPr>
            <w:r w:rsidRPr="003275BA">
              <w:rPr>
                <w:rFonts w:cs="Arial"/>
                <w:sz w:val="16"/>
                <w:szCs w:val="16"/>
              </w:rPr>
              <w:t>16 114</w:t>
            </w:r>
          </w:p>
        </w:tc>
        <w:tc>
          <w:tcPr>
            <w:tcW w:w="700" w:type="dxa"/>
            <w:tcBorders>
              <w:top w:val="nil"/>
              <w:left w:val="nil"/>
              <w:bottom w:val="nil"/>
              <w:right w:val="single" w:sz="4" w:space="0" w:color="auto"/>
            </w:tcBorders>
            <w:shd w:val="clear" w:color="auto" w:fill="auto"/>
            <w:vAlign w:val="center"/>
            <w:hideMark/>
          </w:tcPr>
          <w:p w14:paraId="135C08C1" w14:textId="77777777" w:rsidR="003275BA" w:rsidRPr="003275BA" w:rsidRDefault="003275BA" w:rsidP="003275BA">
            <w:pPr>
              <w:spacing w:after="0" w:line="240" w:lineRule="auto"/>
              <w:jc w:val="right"/>
              <w:rPr>
                <w:rFonts w:cs="Arial"/>
                <w:sz w:val="16"/>
                <w:szCs w:val="16"/>
              </w:rPr>
            </w:pPr>
            <w:r w:rsidRPr="003275BA">
              <w:rPr>
                <w:rFonts w:cs="Arial"/>
                <w:sz w:val="16"/>
                <w:szCs w:val="16"/>
              </w:rPr>
              <w:t>7 347</w:t>
            </w:r>
          </w:p>
        </w:tc>
        <w:tc>
          <w:tcPr>
            <w:tcW w:w="700" w:type="dxa"/>
            <w:tcBorders>
              <w:top w:val="nil"/>
              <w:left w:val="nil"/>
              <w:bottom w:val="nil"/>
              <w:right w:val="nil"/>
            </w:tcBorders>
            <w:shd w:val="clear" w:color="auto" w:fill="auto"/>
            <w:noWrap/>
            <w:vAlign w:val="center"/>
            <w:hideMark/>
          </w:tcPr>
          <w:p w14:paraId="4CC88C89" w14:textId="77777777" w:rsidR="003275BA" w:rsidRPr="003275BA" w:rsidRDefault="003275BA" w:rsidP="003275BA">
            <w:pPr>
              <w:spacing w:after="0" w:line="240" w:lineRule="auto"/>
              <w:jc w:val="right"/>
              <w:rPr>
                <w:rFonts w:cs="Arial"/>
                <w:sz w:val="16"/>
                <w:szCs w:val="16"/>
              </w:rPr>
            </w:pPr>
            <w:r w:rsidRPr="003275BA">
              <w:rPr>
                <w:rFonts w:cs="Arial"/>
                <w:sz w:val="16"/>
                <w:szCs w:val="16"/>
              </w:rPr>
              <w:t>22 860</w:t>
            </w:r>
          </w:p>
        </w:tc>
        <w:tc>
          <w:tcPr>
            <w:tcW w:w="700" w:type="dxa"/>
            <w:tcBorders>
              <w:top w:val="nil"/>
              <w:left w:val="nil"/>
              <w:bottom w:val="nil"/>
              <w:right w:val="nil"/>
            </w:tcBorders>
            <w:shd w:val="clear" w:color="auto" w:fill="auto"/>
            <w:vAlign w:val="center"/>
            <w:hideMark/>
          </w:tcPr>
          <w:p w14:paraId="44C434FE" w14:textId="77777777" w:rsidR="003275BA" w:rsidRPr="003275BA" w:rsidRDefault="003275BA" w:rsidP="003275BA">
            <w:pPr>
              <w:spacing w:after="0" w:line="240" w:lineRule="auto"/>
              <w:jc w:val="right"/>
              <w:rPr>
                <w:rFonts w:cs="Arial"/>
                <w:sz w:val="16"/>
                <w:szCs w:val="16"/>
              </w:rPr>
            </w:pPr>
            <w:r w:rsidRPr="003275BA">
              <w:rPr>
                <w:rFonts w:cs="Arial"/>
                <w:sz w:val="16"/>
                <w:szCs w:val="16"/>
              </w:rPr>
              <w:t>15 682</w:t>
            </w:r>
          </w:p>
        </w:tc>
        <w:tc>
          <w:tcPr>
            <w:tcW w:w="700" w:type="dxa"/>
            <w:tcBorders>
              <w:top w:val="nil"/>
              <w:left w:val="nil"/>
              <w:bottom w:val="nil"/>
              <w:right w:val="single" w:sz="4" w:space="0" w:color="auto"/>
            </w:tcBorders>
            <w:shd w:val="clear" w:color="auto" w:fill="auto"/>
            <w:noWrap/>
            <w:vAlign w:val="center"/>
            <w:hideMark/>
          </w:tcPr>
          <w:p w14:paraId="3631CA38" w14:textId="77777777" w:rsidR="003275BA" w:rsidRPr="003275BA" w:rsidRDefault="003275BA" w:rsidP="003275BA">
            <w:pPr>
              <w:spacing w:after="0" w:line="240" w:lineRule="auto"/>
              <w:jc w:val="right"/>
              <w:rPr>
                <w:rFonts w:cs="Arial"/>
                <w:sz w:val="16"/>
                <w:szCs w:val="16"/>
              </w:rPr>
            </w:pPr>
            <w:r w:rsidRPr="003275BA">
              <w:rPr>
                <w:rFonts w:cs="Arial"/>
                <w:sz w:val="16"/>
                <w:szCs w:val="16"/>
              </w:rPr>
              <w:t>7 178</w:t>
            </w:r>
          </w:p>
        </w:tc>
        <w:tc>
          <w:tcPr>
            <w:tcW w:w="700" w:type="dxa"/>
            <w:tcBorders>
              <w:top w:val="nil"/>
              <w:left w:val="nil"/>
              <w:bottom w:val="nil"/>
              <w:right w:val="nil"/>
            </w:tcBorders>
            <w:shd w:val="clear" w:color="auto" w:fill="auto"/>
            <w:vAlign w:val="center"/>
            <w:hideMark/>
          </w:tcPr>
          <w:p w14:paraId="2F2786EF" w14:textId="77777777" w:rsidR="003275BA" w:rsidRPr="003275BA" w:rsidRDefault="003275BA" w:rsidP="003275BA">
            <w:pPr>
              <w:spacing w:after="0" w:line="240" w:lineRule="auto"/>
              <w:jc w:val="right"/>
              <w:rPr>
                <w:rFonts w:cs="Arial"/>
                <w:sz w:val="16"/>
                <w:szCs w:val="16"/>
              </w:rPr>
            </w:pPr>
            <w:r w:rsidRPr="003275BA">
              <w:rPr>
                <w:rFonts w:cs="Arial"/>
                <w:sz w:val="16"/>
                <w:szCs w:val="16"/>
              </w:rPr>
              <w:t>51</w:t>
            </w:r>
          </w:p>
        </w:tc>
        <w:tc>
          <w:tcPr>
            <w:tcW w:w="700" w:type="dxa"/>
            <w:tcBorders>
              <w:top w:val="nil"/>
              <w:left w:val="nil"/>
              <w:bottom w:val="nil"/>
              <w:right w:val="nil"/>
            </w:tcBorders>
            <w:shd w:val="clear" w:color="auto" w:fill="auto"/>
            <w:vAlign w:val="center"/>
            <w:hideMark/>
          </w:tcPr>
          <w:p w14:paraId="1A704855" w14:textId="77777777" w:rsidR="003275BA" w:rsidRPr="003275BA" w:rsidRDefault="003275BA" w:rsidP="003275BA">
            <w:pPr>
              <w:spacing w:after="0" w:line="240" w:lineRule="auto"/>
              <w:jc w:val="right"/>
              <w:rPr>
                <w:rFonts w:cs="Arial"/>
                <w:sz w:val="16"/>
                <w:szCs w:val="16"/>
              </w:rPr>
            </w:pPr>
            <w:r w:rsidRPr="003275BA">
              <w:rPr>
                <w:rFonts w:cs="Arial"/>
                <w:sz w:val="16"/>
                <w:szCs w:val="16"/>
              </w:rPr>
              <w:t>48</w:t>
            </w:r>
          </w:p>
        </w:tc>
        <w:tc>
          <w:tcPr>
            <w:tcW w:w="700" w:type="dxa"/>
            <w:tcBorders>
              <w:top w:val="nil"/>
              <w:left w:val="nil"/>
              <w:bottom w:val="nil"/>
              <w:right w:val="single" w:sz="4" w:space="0" w:color="auto"/>
            </w:tcBorders>
            <w:shd w:val="clear" w:color="auto" w:fill="auto"/>
            <w:vAlign w:val="center"/>
            <w:hideMark/>
          </w:tcPr>
          <w:p w14:paraId="60939F9F" w14:textId="77777777" w:rsidR="003275BA" w:rsidRPr="003275BA" w:rsidRDefault="003275BA" w:rsidP="003275BA">
            <w:pPr>
              <w:spacing w:after="0" w:line="240" w:lineRule="auto"/>
              <w:jc w:val="right"/>
              <w:rPr>
                <w:rFonts w:cs="Arial"/>
                <w:sz w:val="16"/>
                <w:szCs w:val="16"/>
              </w:rPr>
            </w:pPr>
            <w:r w:rsidRPr="003275BA">
              <w:rPr>
                <w:rFonts w:cs="Arial"/>
                <w:sz w:val="16"/>
                <w:szCs w:val="16"/>
              </w:rPr>
              <w:t>3</w:t>
            </w:r>
          </w:p>
        </w:tc>
        <w:tc>
          <w:tcPr>
            <w:tcW w:w="700" w:type="dxa"/>
            <w:tcBorders>
              <w:top w:val="nil"/>
              <w:left w:val="nil"/>
              <w:bottom w:val="nil"/>
              <w:right w:val="nil"/>
            </w:tcBorders>
            <w:shd w:val="clear" w:color="auto" w:fill="auto"/>
            <w:vAlign w:val="center"/>
            <w:hideMark/>
          </w:tcPr>
          <w:p w14:paraId="1A5F8030" w14:textId="77777777" w:rsidR="003275BA" w:rsidRPr="003275BA" w:rsidRDefault="003275BA" w:rsidP="003275BA">
            <w:pPr>
              <w:spacing w:after="0" w:line="240" w:lineRule="auto"/>
              <w:jc w:val="right"/>
              <w:rPr>
                <w:rFonts w:cs="Arial"/>
                <w:sz w:val="16"/>
                <w:szCs w:val="16"/>
              </w:rPr>
            </w:pPr>
            <w:r w:rsidRPr="003275BA">
              <w:rPr>
                <w:rFonts w:cs="Arial"/>
                <w:sz w:val="16"/>
                <w:szCs w:val="16"/>
              </w:rPr>
              <w:t>662</w:t>
            </w:r>
          </w:p>
        </w:tc>
        <w:tc>
          <w:tcPr>
            <w:tcW w:w="700" w:type="dxa"/>
            <w:tcBorders>
              <w:top w:val="nil"/>
              <w:left w:val="nil"/>
              <w:bottom w:val="nil"/>
              <w:right w:val="nil"/>
            </w:tcBorders>
            <w:shd w:val="clear" w:color="auto" w:fill="auto"/>
            <w:vAlign w:val="center"/>
            <w:hideMark/>
          </w:tcPr>
          <w:p w14:paraId="5CC57AB7" w14:textId="77777777" w:rsidR="003275BA" w:rsidRPr="003275BA" w:rsidRDefault="003275BA" w:rsidP="003275BA">
            <w:pPr>
              <w:spacing w:after="0" w:line="240" w:lineRule="auto"/>
              <w:jc w:val="right"/>
              <w:rPr>
                <w:rFonts w:cs="Arial"/>
                <w:sz w:val="16"/>
                <w:szCs w:val="16"/>
              </w:rPr>
            </w:pPr>
            <w:r w:rsidRPr="003275BA">
              <w:rPr>
                <w:rFonts w:cs="Arial"/>
                <w:sz w:val="16"/>
                <w:szCs w:val="16"/>
              </w:rPr>
              <w:t>548</w:t>
            </w:r>
          </w:p>
        </w:tc>
        <w:tc>
          <w:tcPr>
            <w:tcW w:w="700" w:type="dxa"/>
            <w:tcBorders>
              <w:top w:val="nil"/>
              <w:left w:val="nil"/>
              <w:bottom w:val="nil"/>
              <w:right w:val="nil"/>
            </w:tcBorders>
            <w:shd w:val="clear" w:color="auto" w:fill="auto"/>
            <w:vAlign w:val="center"/>
            <w:hideMark/>
          </w:tcPr>
          <w:p w14:paraId="1F01B10C" w14:textId="77777777" w:rsidR="003275BA" w:rsidRPr="003275BA" w:rsidRDefault="003275BA" w:rsidP="003275BA">
            <w:pPr>
              <w:spacing w:after="0" w:line="240" w:lineRule="auto"/>
              <w:jc w:val="right"/>
              <w:rPr>
                <w:rFonts w:cs="Arial"/>
                <w:sz w:val="16"/>
                <w:szCs w:val="16"/>
              </w:rPr>
            </w:pPr>
            <w:r w:rsidRPr="003275BA">
              <w:rPr>
                <w:rFonts w:cs="Arial"/>
                <w:sz w:val="16"/>
                <w:szCs w:val="16"/>
              </w:rPr>
              <w:t>114</w:t>
            </w:r>
          </w:p>
        </w:tc>
      </w:tr>
      <w:tr w:rsidR="003275BA" w:rsidRPr="003275BA" w14:paraId="12D33D47" w14:textId="77777777" w:rsidTr="003275BA">
        <w:trPr>
          <w:trHeight w:val="300"/>
        </w:trPr>
        <w:tc>
          <w:tcPr>
            <w:tcW w:w="1120" w:type="dxa"/>
            <w:tcBorders>
              <w:top w:val="nil"/>
              <w:left w:val="nil"/>
              <w:bottom w:val="nil"/>
              <w:right w:val="single" w:sz="4" w:space="0" w:color="auto"/>
            </w:tcBorders>
            <w:shd w:val="clear" w:color="auto" w:fill="auto"/>
            <w:vAlign w:val="center"/>
            <w:hideMark/>
          </w:tcPr>
          <w:p w14:paraId="417C2F2D" w14:textId="77777777" w:rsidR="003275BA" w:rsidRPr="003275BA" w:rsidRDefault="003275BA" w:rsidP="003275BA">
            <w:pPr>
              <w:spacing w:after="0" w:line="240" w:lineRule="auto"/>
              <w:jc w:val="center"/>
              <w:rPr>
                <w:rFonts w:cs="Arial"/>
                <w:sz w:val="16"/>
                <w:szCs w:val="16"/>
              </w:rPr>
            </w:pPr>
            <w:r w:rsidRPr="003275BA">
              <w:rPr>
                <w:rFonts w:cs="Arial"/>
                <w:sz w:val="16"/>
                <w:szCs w:val="16"/>
              </w:rPr>
              <w:t>1. pol. 2016</w:t>
            </w:r>
          </w:p>
        </w:tc>
        <w:tc>
          <w:tcPr>
            <w:tcW w:w="700" w:type="dxa"/>
            <w:tcBorders>
              <w:top w:val="nil"/>
              <w:left w:val="nil"/>
              <w:bottom w:val="nil"/>
              <w:right w:val="nil"/>
            </w:tcBorders>
            <w:shd w:val="clear" w:color="auto" w:fill="auto"/>
            <w:vAlign w:val="center"/>
            <w:hideMark/>
          </w:tcPr>
          <w:p w14:paraId="542AA81D" w14:textId="77777777" w:rsidR="003275BA" w:rsidRPr="003275BA" w:rsidRDefault="003275BA" w:rsidP="003275BA">
            <w:pPr>
              <w:spacing w:after="0" w:line="240" w:lineRule="auto"/>
              <w:jc w:val="right"/>
              <w:rPr>
                <w:rFonts w:cs="Arial"/>
                <w:sz w:val="16"/>
                <w:szCs w:val="16"/>
              </w:rPr>
            </w:pPr>
            <w:r w:rsidRPr="003275BA">
              <w:rPr>
                <w:rFonts w:cs="Arial"/>
                <w:sz w:val="16"/>
                <w:szCs w:val="16"/>
              </w:rPr>
              <w:t>24 870</w:t>
            </w:r>
          </w:p>
        </w:tc>
        <w:tc>
          <w:tcPr>
            <w:tcW w:w="700" w:type="dxa"/>
            <w:tcBorders>
              <w:top w:val="nil"/>
              <w:left w:val="nil"/>
              <w:bottom w:val="nil"/>
              <w:right w:val="nil"/>
            </w:tcBorders>
            <w:shd w:val="clear" w:color="auto" w:fill="auto"/>
            <w:vAlign w:val="center"/>
            <w:hideMark/>
          </w:tcPr>
          <w:p w14:paraId="0380476A" w14:textId="77777777" w:rsidR="003275BA" w:rsidRPr="003275BA" w:rsidRDefault="003275BA" w:rsidP="003275BA">
            <w:pPr>
              <w:spacing w:after="0" w:line="240" w:lineRule="auto"/>
              <w:jc w:val="right"/>
              <w:rPr>
                <w:rFonts w:cs="Arial"/>
                <w:sz w:val="16"/>
                <w:szCs w:val="16"/>
              </w:rPr>
            </w:pPr>
            <w:r w:rsidRPr="003275BA">
              <w:rPr>
                <w:rFonts w:cs="Arial"/>
                <w:sz w:val="16"/>
                <w:szCs w:val="16"/>
              </w:rPr>
              <w:t>17 111</w:t>
            </w:r>
          </w:p>
        </w:tc>
        <w:tc>
          <w:tcPr>
            <w:tcW w:w="700" w:type="dxa"/>
            <w:tcBorders>
              <w:top w:val="nil"/>
              <w:left w:val="nil"/>
              <w:bottom w:val="nil"/>
              <w:right w:val="single" w:sz="4" w:space="0" w:color="auto"/>
            </w:tcBorders>
            <w:shd w:val="clear" w:color="auto" w:fill="auto"/>
            <w:vAlign w:val="center"/>
            <w:hideMark/>
          </w:tcPr>
          <w:p w14:paraId="6B40700B" w14:textId="77777777" w:rsidR="003275BA" w:rsidRPr="003275BA" w:rsidRDefault="003275BA" w:rsidP="003275BA">
            <w:pPr>
              <w:spacing w:after="0" w:line="240" w:lineRule="auto"/>
              <w:jc w:val="right"/>
              <w:rPr>
                <w:rFonts w:cs="Arial"/>
                <w:sz w:val="16"/>
                <w:szCs w:val="16"/>
              </w:rPr>
            </w:pPr>
            <w:r w:rsidRPr="003275BA">
              <w:rPr>
                <w:rFonts w:cs="Arial"/>
                <w:sz w:val="16"/>
                <w:szCs w:val="16"/>
              </w:rPr>
              <w:t>7 759</w:t>
            </w:r>
          </w:p>
        </w:tc>
        <w:tc>
          <w:tcPr>
            <w:tcW w:w="700" w:type="dxa"/>
            <w:tcBorders>
              <w:top w:val="nil"/>
              <w:left w:val="nil"/>
              <w:bottom w:val="nil"/>
              <w:right w:val="nil"/>
            </w:tcBorders>
            <w:shd w:val="clear" w:color="auto" w:fill="auto"/>
            <w:noWrap/>
            <w:vAlign w:val="center"/>
            <w:hideMark/>
          </w:tcPr>
          <w:p w14:paraId="22173B3A" w14:textId="77777777" w:rsidR="003275BA" w:rsidRPr="003275BA" w:rsidRDefault="003275BA" w:rsidP="003275BA">
            <w:pPr>
              <w:spacing w:after="0" w:line="240" w:lineRule="auto"/>
              <w:jc w:val="right"/>
              <w:rPr>
                <w:rFonts w:cs="Arial"/>
                <w:color w:val="000000"/>
                <w:sz w:val="16"/>
                <w:szCs w:val="16"/>
              </w:rPr>
            </w:pPr>
            <w:r w:rsidRPr="003275BA">
              <w:rPr>
                <w:rFonts w:cs="Arial"/>
                <w:color w:val="000000"/>
                <w:sz w:val="16"/>
                <w:szCs w:val="16"/>
              </w:rPr>
              <w:t>24 158</w:t>
            </w:r>
          </w:p>
        </w:tc>
        <w:tc>
          <w:tcPr>
            <w:tcW w:w="700" w:type="dxa"/>
            <w:tcBorders>
              <w:top w:val="nil"/>
              <w:left w:val="nil"/>
              <w:bottom w:val="nil"/>
              <w:right w:val="nil"/>
            </w:tcBorders>
            <w:shd w:val="clear" w:color="auto" w:fill="auto"/>
            <w:vAlign w:val="center"/>
            <w:hideMark/>
          </w:tcPr>
          <w:p w14:paraId="7047E2D4" w14:textId="77777777" w:rsidR="003275BA" w:rsidRPr="003275BA" w:rsidRDefault="003275BA" w:rsidP="003275BA">
            <w:pPr>
              <w:spacing w:after="0" w:line="240" w:lineRule="auto"/>
              <w:jc w:val="right"/>
              <w:rPr>
                <w:rFonts w:cs="Arial"/>
                <w:sz w:val="16"/>
                <w:szCs w:val="16"/>
              </w:rPr>
            </w:pPr>
            <w:r w:rsidRPr="003275BA">
              <w:rPr>
                <w:rFonts w:cs="Arial"/>
                <w:sz w:val="16"/>
                <w:szCs w:val="16"/>
              </w:rPr>
              <w:t>16 588</w:t>
            </w:r>
          </w:p>
        </w:tc>
        <w:tc>
          <w:tcPr>
            <w:tcW w:w="700" w:type="dxa"/>
            <w:tcBorders>
              <w:top w:val="nil"/>
              <w:left w:val="nil"/>
              <w:bottom w:val="nil"/>
              <w:right w:val="single" w:sz="4" w:space="0" w:color="auto"/>
            </w:tcBorders>
            <w:shd w:val="clear" w:color="auto" w:fill="auto"/>
            <w:noWrap/>
            <w:vAlign w:val="center"/>
            <w:hideMark/>
          </w:tcPr>
          <w:p w14:paraId="10D5D927" w14:textId="77777777" w:rsidR="003275BA" w:rsidRPr="003275BA" w:rsidRDefault="003275BA" w:rsidP="003275BA">
            <w:pPr>
              <w:spacing w:after="0" w:line="240" w:lineRule="auto"/>
              <w:jc w:val="right"/>
              <w:rPr>
                <w:rFonts w:cs="Arial"/>
                <w:color w:val="000000"/>
                <w:sz w:val="16"/>
                <w:szCs w:val="16"/>
              </w:rPr>
            </w:pPr>
            <w:r w:rsidRPr="003275BA">
              <w:rPr>
                <w:rFonts w:cs="Arial"/>
                <w:color w:val="000000"/>
                <w:sz w:val="16"/>
                <w:szCs w:val="16"/>
              </w:rPr>
              <w:t>7 570</w:t>
            </w:r>
          </w:p>
        </w:tc>
        <w:tc>
          <w:tcPr>
            <w:tcW w:w="700" w:type="dxa"/>
            <w:tcBorders>
              <w:top w:val="nil"/>
              <w:left w:val="nil"/>
              <w:bottom w:val="nil"/>
              <w:right w:val="nil"/>
            </w:tcBorders>
            <w:shd w:val="clear" w:color="auto" w:fill="auto"/>
            <w:vAlign w:val="center"/>
            <w:hideMark/>
          </w:tcPr>
          <w:p w14:paraId="76F863A3" w14:textId="77777777" w:rsidR="003275BA" w:rsidRPr="003275BA" w:rsidRDefault="003275BA" w:rsidP="003275BA">
            <w:pPr>
              <w:spacing w:after="0" w:line="240" w:lineRule="auto"/>
              <w:jc w:val="right"/>
              <w:rPr>
                <w:rFonts w:cs="Arial"/>
                <w:sz w:val="16"/>
                <w:szCs w:val="16"/>
              </w:rPr>
            </w:pPr>
            <w:r w:rsidRPr="003275BA">
              <w:rPr>
                <w:rFonts w:cs="Arial"/>
                <w:sz w:val="16"/>
                <w:szCs w:val="16"/>
              </w:rPr>
              <w:t>49</w:t>
            </w:r>
          </w:p>
        </w:tc>
        <w:tc>
          <w:tcPr>
            <w:tcW w:w="700" w:type="dxa"/>
            <w:tcBorders>
              <w:top w:val="nil"/>
              <w:left w:val="nil"/>
              <w:bottom w:val="nil"/>
              <w:right w:val="nil"/>
            </w:tcBorders>
            <w:shd w:val="clear" w:color="auto" w:fill="auto"/>
            <w:vAlign w:val="center"/>
            <w:hideMark/>
          </w:tcPr>
          <w:p w14:paraId="32136671" w14:textId="77777777" w:rsidR="003275BA" w:rsidRPr="003275BA" w:rsidRDefault="003275BA" w:rsidP="003275BA">
            <w:pPr>
              <w:spacing w:after="0" w:line="240" w:lineRule="auto"/>
              <w:jc w:val="right"/>
              <w:rPr>
                <w:rFonts w:cs="Arial"/>
                <w:sz w:val="16"/>
                <w:szCs w:val="16"/>
              </w:rPr>
            </w:pPr>
            <w:r w:rsidRPr="003275BA">
              <w:rPr>
                <w:rFonts w:cs="Arial"/>
                <w:sz w:val="16"/>
                <w:szCs w:val="16"/>
              </w:rPr>
              <w:t>47</w:t>
            </w:r>
          </w:p>
        </w:tc>
        <w:tc>
          <w:tcPr>
            <w:tcW w:w="700" w:type="dxa"/>
            <w:tcBorders>
              <w:top w:val="nil"/>
              <w:left w:val="nil"/>
              <w:bottom w:val="nil"/>
              <w:right w:val="single" w:sz="4" w:space="0" w:color="auto"/>
            </w:tcBorders>
            <w:shd w:val="clear" w:color="auto" w:fill="auto"/>
            <w:vAlign w:val="center"/>
            <w:hideMark/>
          </w:tcPr>
          <w:p w14:paraId="2D4DCB34" w14:textId="77777777" w:rsidR="003275BA" w:rsidRPr="003275BA" w:rsidRDefault="003275BA" w:rsidP="003275BA">
            <w:pPr>
              <w:spacing w:after="0" w:line="240" w:lineRule="auto"/>
              <w:jc w:val="right"/>
              <w:rPr>
                <w:rFonts w:cs="Arial"/>
                <w:sz w:val="16"/>
                <w:szCs w:val="16"/>
              </w:rPr>
            </w:pPr>
            <w:r w:rsidRPr="003275BA">
              <w:rPr>
                <w:rFonts w:cs="Arial"/>
                <w:sz w:val="16"/>
                <w:szCs w:val="16"/>
              </w:rPr>
              <w:t>2</w:t>
            </w:r>
          </w:p>
        </w:tc>
        <w:tc>
          <w:tcPr>
            <w:tcW w:w="700" w:type="dxa"/>
            <w:tcBorders>
              <w:top w:val="nil"/>
              <w:left w:val="nil"/>
              <w:bottom w:val="nil"/>
              <w:right w:val="nil"/>
            </w:tcBorders>
            <w:shd w:val="clear" w:color="auto" w:fill="auto"/>
            <w:vAlign w:val="center"/>
            <w:hideMark/>
          </w:tcPr>
          <w:p w14:paraId="1C794EAD" w14:textId="77777777" w:rsidR="003275BA" w:rsidRPr="003275BA" w:rsidRDefault="003275BA" w:rsidP="003275BA">
            <w:pPr>
              <w:spacing w:after="0" w:line="240" w:lineRule="auto"/>
              <w:jc w:val="right"/>
              <w:rPr>
                <w:rFonts w:cs="Arial"/>
                <w:sz w:val="16"/>
                <w:szCs w:val="16"/>
              </w:rPr>
            </w:pPr>
            <w:r w:rsidRPr="003275BA">
              <w:rPr>
                <w:rFonts w:cs="Arial"/>
                <w:sz w:val="16"/>
                <w:szCs w:val="16"/>
              </w:rPr>
              <w:t>677</w:t>
            </w:r>
          </w:p>
        </w:tc>
        <w:tc>
          <w:tcPr>
            <w:tcW w:w="700" w:type="dxa"/>
            <w:tcBorders>
              <w:top w:val="nil"/>
              <w:left w:val="nil"/>
              <w:bottom w:val="nil"/>
              <w:right w:val="nil"/>
            </w:tcBorders>
            <w:shd w:val="clear" w:color="auto" w:fill="auto"/>
            <w:vAlign w:val="center"/>
            <w:hideMark/>
          </w:tcPr>
          <w:p w14:paraId="74CC12F1" w14:textId="77777777" w:rsidR="003275BA" w:rsidRPr="003275BA" w:rsidRDefault="003275BA" w:rsidP="003275BA">
            <w:pPr>
              <w:spacing w:after="0" w:line="240" w:lineRule="auto"/>
              <w:jc w:val="right"/>
              <w:rPr>
                <w:rFonts w:cs="Arial"/>
                <w:sz w:val="16"/>
                <w:szCs w:val="16"/>
              </w:rPr>
            </w:pPr>
            <w:r w:rsidRPr="003275BA">
              <w:rPr>
                <w:rFonts w:cs="Arial"/>
                <w:sz w:val="16"/>
                <w:szCs w:val="16"/>
              </w:rPr>
              <w:t>550</w:t>
            </w:r>
          </w:p>
        </w:tc>
        <w:tc>
          <w:tcPr>
            <w:tcW w:w="700" w:type="dxa"/>
            <w:tcBorders>
              <w:top w:val="nil"/>
              <w:left w:val="nil"/>
              <w:bottom w:val="nil"/>
              <w:right w:val="nil"/>
            </w:tcBorders>
            <w:shd w:val="clear" w:color="auto" w:fill="auto"/>
            <w:vAlign w:val="center"/>
            <w:hideMark/>
          </w:tcPr>
          <w:p w14:paraId="53FFAE6C" w14:textId="77777777" w:rsidR="003275BA" w:rsidRPr="003275BA" w:rsidRDefault="003275BA" w:rsidP="003275BA">
            <w:pPr>
              <w:spacing w:after="0" w:line="240" w:lineRule="auto"/>
              <w:jc w:val="right"/>
              <w:rPr>
                <w:rFonts w:cs="Arial"/>
                <w:sz w:val="16"/>
                <w:szCs w:val="16"/>
              </w:rPr>
            </w:pPr>
            <w:r w:rsidRPr="003275BA">
              <w:rPr>
                <w:rFonts w:cs="Arial"/>
                <w:sz w:val="16"/>
                <w:szCs w:val="16"/>
              </w:rPr>
              <w:t>127</w:t>
            </w:r>
          </w:p>
        </w:tc>
      </w:tr>
      <w:tr w:rsidR="003275BA" w:rsidRPr="003275BA" w14:paraId="35978DED" w14:textId="77777777" w:rsidTr="003275BA">
        <w:trPr>
          <w:trHeight w:val="300"/>
        </w:trPr>
        <w:tc>
          <w:tcPr>
            <w:tcW w:w="1120" w:type="dxa"/>
            <w:tcBorders>
              <w:top w:val="nil"/>
              <w:left w:val="nil"/>
              <w:bottom w:val="nil"/>
              <w:right w:val="single" w:sz="4" w:space="0" w:color="auto"/>
            </w:tcBorders>
            <w:shd w:val="clear" w:color="auto" w:fill="auto"/>
            <w:vAlign w:val="center"/>
            <w:hideMark/>
          </w:tcPr>
          <w:p w14:paraId="4CE290AD" w14:textId="77777777" w:rsidR="003275BA" w:rsidRPr="003275BA" w:rsidRDefault="003275BA" w:rsidP="003275BA">
            <w:pPr>
              <w:spacing w:after="0" w:line="240" w:lineRule="auto"/>
              <w:jc w:val="center"/>
              <w:rPr>
                <w:rFonts w:cs="Arial"/>
                <w:sz w:val="16"/>
                <w:szCs w:val="16"/>
              </w:rPr>
            </w:pPr>
            <w:r w:rsidRPr="003275BA">
              <w:rPr>
                <w:rFonts w:cs="Arial"/>
                <w:sz w:val="16"/>
                <w:szCs w:val="16"/>
              </w:rPr>
              <w:t>1. pol. 2017</w:t>
            </w:r>
          </w:p>
        </w:tc>
        <w:tc>
          <w:tcPr>
            <w:tcW w:w="700" w:type="dxa"/>
            <w:tcBorders>
              <w:top w:val="nil"/>
              <w:left w:val="nil"/>
              <w:bottom w:val="nil"/>
              <w:right w:val="nil"/>
            </w:tcBorders>
            <w:shd w:val="clear" w:color="auto" w:fill="auto"/>
            <w:vAlign w:val="center"/>
            <w:hideMark/>
          </w:tcPr>
          <w:p w14:paraId="2AD52C6B" w14:textId="77777777" w:rsidR="003275BA" w:rsidRPr="003275BA" w:rsidRDefault="003275BA" w:rsidP="003275BA">
            <w:pPr>
              <w:spacing w:after="0" w:line="240" w:lineRule="auto"/>
              <w:jc w:val="right"/>
              <w:rPr>
                <w:rFonts w:cs="Arial"/>
                <w:sz w:val="16"/>
                <w:szCs w:val="16"/>
              </w:rPr>
            </w:pPr>
            <w:r w:rsidRPr="003275BA">
              <w:rPr>
                <w:rFonts w:cs="Arial"/>
                <w:sz w:val="16"/>
                <w:szCs w:val="16"/>
              </w:rPr>
              <w:t>24 732</w:t>
            </w:r>
          </w:p>
        </w:tc>
        <w:tc>
          <w:tcPr>
            <w:tcW w:w="700" w:type="dxa"/>
            <w:tcBorders>
              <w:top w:val="nil"/>
              <w:left w:val="nil"/>
              <w:bottom w:val="nil"/>
              <w:right w:val="nil"/>
            </w:tcBorders>
            <w:shd w:val="clear" w:color="auto" w:fill="auto"/>
            <w:vAlign w:val="center"/>
            <w:hideMark/>
          </w:tcPr>
          <w:p w14:paraId="4F15CA1B" w14:textId="77777777" w:rsidR="003275BA" w:rsidRPr="003275BA" w:rsidRDefault="003275BA" w:rsidP="003275BA">
            <w:pPr>
              <w:spacing w:after="0" w:line="240" w:lineRule="auto"/>
              <w:jc w:val="right"/>
              <w:rPr>
                <w:rFonts w:cs="Arial"/>
                <w:sz w:val="16"/>
                <w:szCs w:val="16"/>
              </w:rPr>
            </w:pPr>
            <w:r w:rsidRPr="003275BA">
              <w:rPr>
                <w:rFonts w:cs="Arial"/>
                <w:sz w:val="16"/>
                <w:szCs w:val="16"/>
              </w:rPr>
              <w:t>16 933</w:t>
            </w:r>
          </w:p>
        </w:tc>
        <w:tc>
          <w:tcPr>
            <w:tcW w:w="700" w:type="dxa"/>
            <w:tcBorders>
              <w:top w:val="nil"/>
              <w:left w:val="nil"/>
              <w:bottom w:val="nil"/>
              <w:right w:val="single" w:sz="4" w:space="0" w:color="auto"/>
            </w:tcBorders>
            <w:shd w:val="clear" w:color="auto" w:fill="auto"/>
            <w:vAlign w:val="center"/>
            <w:hideMark/>
          </w:tcPr>
          <w:p w14:paraId="11F7415B" w14:textId="77777777" w:rsidR="003275BA" w:rsidRPr="003275BA" w:rsidRDefault="003275BA" w:rsidP="003275BA">
            <w:pPr>
              <w:spacing w:after="0" w:line="240" w:lineRule="auto"/>
              <w:jc w:val="right"/>
              <w:rPr>
                <w:rFonts w:cs="Arial"/>
                <w:sz w:val="16"/>
                <w:szCs w:val="16"/>
              </w:rPr>
            </w:pPr>
            <w:r w:rsidRPr="003275BA">
              <w:rPr>
                <w:rFonts w:cs="Arial"/>
                <w:sz w:val="16"/>
                <w:szCs w:val="16"/>
              </w:rPr>
              <w:t>7 799</w:t>
            </w:r>
          </w:p>
        </w:tc>
        <w:tc>
          <w:tcPr>
            <w:tcW w:w="700" w:type="dxa"/>
            <w:tcBorders>
              <w:top w:val="nil"/>
              <w:left w:val="nil"/>
              <w:bottom w:val="nil"/>
              <w:right w:val="nil"/>
            </w:tcBorders>
            <w:shd w:val="clear" w:color="auto" w:fill="auto"/>
            <w:noWrap/>
            <w:vAlign w:val="center"/>
            <w:hideMark/>
          </w:tcPr>
          <w:p w14:paraId="559307D7" w14:textId="77777777" w:rsidR="003275BA" w:rsidRPr="003275BA" w:rsidRDefault="003275BA" w:rsidP="003275BA">
            <w:pPr>
              <w:spacing w:after="0" w:line="240" w:lineRule="auto"/>
              <w:jc w:val="right"/>
              <w:rPr>
                <w:rFonts w:cs="Arial"/>
                <w:color w:val="000000"/>
                <w:sz w:val="16"/>
                <w:szCs w:val="16"/>
              </w:rPr>
            </w:pPr>
            <w:r w:rsidRPr="003275BA">
              <w:rPr>
                <w:rFonts w:cs="Arial"/>
                <w:color w:val="000000"/>
                <w:sz w:val="16"/>
                <w:szCs w:val="16"/>
              </w:rPr>
              <w:t>24 046</w:t>
            </w:r>
          </w:p>
        </w:tc>
        <w:tc>
          <w:tcPr>
            <w:tcW w:w="700" w:type="dxa"/>
            <w:tcBorders>
              <w:top w:val="nil"/>
              <w:left w:val="nil"/>
              <w:bottom w:val="nil"/>
              <w:right w:val="nil"/>
            </w:tcBorders>
            <w:shd w:val="clear" w:color="auto" w:fill="auto"/>
            <w:vAlign w:val="center"/>
            <w:hideMark/>
          </w:tcPr>
          <w:p w14:paraId="04A09D66" w14:textId="77777777" w:rsidR="003275BA" w:rsidRPr="003275BA" w:rsidRDefault="003275BA" w:rsidP="003275BA">
            <w:pPr>
              <w:spacing w:after="0" w:line="240" w:lineRule="auto"/>
              <w:jc w:val="right"/>
              <w:rPr>
                <w:rFonts w:cs="Arial"/>
                <w:sz w:val="16"/>
                <w:szCs w:val="16"/>
              </w:rPr>
            </w:pPr>
            <w:r w:rsidRPr="003275BA">
              <w:rPr>
                <w:rFonts w:cs="Arial"/>
                <w:sz w:val="16"/>
                <w:szCs w:val="16"/>
              </w:rPr>
              <w:t>16 430</w:t>
            </w:r>
          </w:p>
        </w:tc>
        <w:tc>
          <w:tcPr>
            <w:tcW w:w="700" w:type="dxa"/>
            <w:tcBorders>
              <w:top w:val="nil"/>
              <w:left w:val="nil"/>
              <w:bottom w:val="nil"/>
              <w:right w:val="single" w:sz="4" w:space="0" w:color="auto"/>
            </w:tcBorders>
            <w:shd w:val="clear" w:color="auto" w:fill="auto"/>
            <w:noWrap/>
            <w:vAlign w:val="center"/>
            <w:hideMark/>
          </w:tcPr>
          <w:p w14:paraId="20C300D0" w14:textId="77777777" w:rsidR="003275BA" w:rsidRPr="003275BA" w:rsidRDefault="003275BA" w:rsidP="003275BA">
            <w:pPr>
              <w:spacing w:after="0" w:line="240" w:lineRule="auto"/>
              <w:jc w:val="right"/>
              <w:rPr>
                <w:rFonts w:cs="Arial"/>
                <w:color w:val="000000"/>
                <w:sz w:val="16"/>
                <w:szCs w:val="16"/>
              </w:rPr>
            </w:pPr>
            <w:r w:rsidRPr="003275BA">
              <w:rPr>
                <w:rFonts w:cs="Arial"/>
                <w:color w:val="000000"/>
                <w:sz w:val="16"/>
                <w:szCs w:val="16"/>
              </w:rPr>
              <w:t>7 616</w:t>
            </w:r>
          </w:p>
        </w:tc>
        <w:tc>
          <w:tcPr>
            <w:tcW w:w="700" w:type="dxa"/>
            <w:tcBorders>
              <w:top w:val="nil"/>
              <w:left w:val="nil"/>
              <w:bottom w:val="nil"/>
              <w:right w:val="nil"/>
            </w:tcBorders>
            <w:shd w:val="clear" w:color="auto" w:fill="auto"/>
            <w:vAlign w:val="center"/>
            <w:hideMark/>
          </w:tcPr>
          <w:p w14:paraId="7402EC39" w14:textId="77777777" w:rsidR="003275BA" w:rsidRPr="003275BA" w:rsidRDefault="003275BA" w:rsidP="003275BA">
            <w:pPr>
              <w:spacing w:after="0" w:line="240" w:lineRule="auto"/>
              <w:jc w:val="right"/>
              <w:rPr>
                <w:rFonts w:cs="Arial"/>
                <w:sz w:val="16"/>
                <w:szCs w:val="16"/>
              </w:rPr>
            </w:pPr>
            <w:r w:rsidRPr="003275BA">
              <w:rPr>
                <w:rFonts w:cs="Arial"/>
                <w:sz w:val="16"/>
                <w:szCs w:val="16"/>
              </w:rPr>
              <w:t>45</w:t>
            </w:r>
          </w:p>
        </w:tc>
        <w:tc>
          <w:tcPr>
            <w:tcW w:w="700" w:type="dxa"/>
            <w:tcBorders>
              <w:top w:val="nil"/>
              <w:left w:val="nil"/>
              <w:bottom w:val="nil"/>
              <w:right w:val="nil"/>
            </w:tcBorders>
            <w:shd w:val="clear" w:color="auto" w:fill="auto"/>
            <w:vAlign w:val="center"/>
            <w:hideMark/>
          </w:tcPr>
          <w:p w14:paraId="2F2D3D8B" w14:textId="77777777" w:rsidR="003275BA" w:rsidRPr="003275BA" w:rsidRDefault="003275BA" w:rsidP="003275BA">
            <w:pPr>
              <w:spacing w:after="0" w:line="240" w:lineRule="auto"/>
              <w:jc w:val="right"/>
              <w:rPr>
                <w:rFonts w:cs="Arial"/>
                <w:sz w:val="16"/>
                <w:szCs w:val="16"/>
              </w:rPr>
            </w:pPr>
            <w:r w:rsidRPr="003275BA">
              <w:rPr>
                <w:rFonts w:cs="Arial"/>
                <w:sz w:val="16"/>
                <w:szCs w:val="16"/>
              </w:rPr>
              <w:t>43</w:t>
            </w:r>
          </w:p>
        </w:tc>
        <w:tc>
          <w:tcPr>
            <w:tcW w:w="700" w:type="dxa"/>
            <w:tcBorders>
              <w:top w:val="nil"/>
              <w:left w:val="nil"/>
              <w:bottom w:val="nil"/>
              <w:right w:val="single" w:sz="4" w:space="0" w:color="auto"/>
            </w:tcBorders>
            <w:shd w:val="clear" w:color="auto" w:fill="auto"/>
            <w:vAlign w:val="center"/>
            <w:hideMark/>
          </w:tcPr>
          <w:p w14:paraId="759EDAA1" w14:textId="77777777" w:rsidR="003275BA" w:rsidRPr="003275BA" w:rsidRDefault="003275BA" w:rsidP="003275BA">
            <w:pPr>
              <w:spacing w:after="0" w:line="240" w:lineRule="auto"/>
              <w:jc w:val="right"/>
              <w:rPr>
                <w:rFonts w:cs="Arial"/>
                <w:sz w:val="16"/>
                <w:szCs w:val="16"/>
              </w:rPr>
            </w:pPr>
            <w:r w:rsidRPr="003275BA">
              <w:rPr>
                <w:rFonts w:cs="Arial"/>
                <w:sz w:val="16"/>
                <w:szCs w:val="16"/>
              </w:rPr>
              <w:t>2</w:t>
            </w:r>
          </w:p>
        </w:tc>
        <w:tc>
          <w:tcPr>
            <w:tcW w:w="700" w:type="dxa"/>
            <w:tcBorders>
              <w:top w:val="nil"/>
              <w:left w:val="nil"/>
              <w:bottom w:val="nil"/>
              <w:right w:val="nil"/>
            </w:tcBorders>
            <w:shd w:val="clear" w:color="auto" w:fill="auto"/>
            <w:vAlign w:val="center"/>
            <w:hideMark/>
          </w:tcPr>
          <w:p w14:paraId="6A364A39" w14:textId="77777777" w:rsidR="003275BA" w:rsidRPr="003275BA" w:rsidRDefault="003275BA" w:rsidP="003275BA">
            <w:pPr>
              <w:spacing w:after="0" w:line="240" w:lineRule="auto"/>
              <w:jc w:val="right"/>
              <w:rPr>
                <w:rFonts w:cs="Arial"/>
                <w:sz w:val="16"/>
                <w:szCs w:val="16"/>
              </w:rPr>
            </w:pPr>
            <w:r w:rsidRPr="003275BA">
              <w:rPr>
                <w:rFonts w:cs="Arial"/>
                <w:sz w:val="16"/>
                <w:szCs w:val="16"/>
              </w:rPr>
              <w:t>567</w:t>
            </w:r>
          </w:p>
        </w:tc>
        <w:tc>
          <w:tcPr>
            <w:tcW w:w="700" w:type="dxa"/>
            <w:tcBorders>
              <w:top w:val="nil"/>
              <w:left w:val="nil"/>
              <w:bottom w:val="nil"/>
              <w:right w:val="nil"/>
            </w:tcBorders>
            <w:shd w:val="clear" w:color="auto" w:fill="auto"/>
            <w:vAlign w:val="center"/>
            <w:hideMark/>
          </w:tcPr>
          <w:p w14:paraId="3FCA50BD" w14:textId="77777777" w:rsidR="003275BA" w:rsidRPr="003275BA" w:rsidRDefault="003275BA" w:rsidP="003275BA">
            <w:pPr>
              <w:spacing w:after="0" w:line="240" w:lineRule="auto"/>
              <w:jc w:val="right"/>
              <w:rPr>
                <w:rFonts w:cs="Arial"/>
                <w:sz w:val="16"/>
                <w:szCs w:val="16"/>
              </w:rPr>
            </w:pPr>
            <w:r w:rsidRPr="003275BA">
              <w:rPr>
                <w:rFonts w:cs="Arial"/>
                <w:sz w:val="16"/>
                <w:szCs w:val="16"/>
              </w:rPr>
              <w:t>476</w:t>
            </w:r>
          </w:p>
        </w:tc>
        <w:tc>
          <w:tcPr>
            <w:tcW w:w="700" w:type="dxa"/>
            <w:tcBorders>
              <w:top w:val="nil"/>
              <w:left w:val="nil"/>
              <w:bottom w:val="nil"/>
              <w:right w:val="nil"/>
            </w:tcBorders>
            <w:shd w:val="clear" w:color="auto" w:fill="auto"/>
            <w:vAlign w:val="center"/>
            <w:hideMark/>
          </w:tcPr>
          <w:p w14:paraId="4F8828F1" w14:textId="77777777" w:rsidR="003275BA" w:rsidRPr="003275BA" w:rsidRDefault="003275BA" w:rsidP="003275BA">
            <w:pPr>
              <w:spacing w:after="0" w:line="240" w:lineRule="auto"/>
              <w:jc w:val="right"/>
              <w:rPr>
                <w:rFonts w:cs="Arial"/>
                <w:sz w:val="16"/>
                <w:szCs w:val="16"/>
              </w:rPr>
            </w:pPr>
            <w:r w:rsidRPr="003275BA">
              <w:rPr>
                <w:rFonts w:cs="Arial"/>
                <w:sz w:val="16"/>
                <w:szCs w:val="16"/>
              </w:rPr>
              <w:t>91</w:t>
            </w:r>
          </w:p>
        </w:tc>
      </w:tr>
      <w:tr w:rsidR="003275BA" w:rsidRPr="003275BA" w14:paraId="0B5202E6" w14:textId="77777777" w:rsidTr="003275BA">
        <w:trPr>
          <w:trHeight w:val="300"/>
        </w:trPr>
        <w:tc>
          <w:tcPr>
            <w:tcW w:w="1120" w:type="dxa"/>
            <w:tcBorders>
              <w:top w:val="nil"/>
              <w:left w:val="nil"/>
              <w:bottom w:val="nil"/>
              <w:right w:val="single" w:sz="4" w:space="0" w:color="auto"/>
            </w:tcBorders>
            <w:shd w:val="clear" w:color="auto" w:fill="auto"/>
            <w:vAlign w:val="center"/>
            <w:hideMark/>
          </w:tcPr>
          <w:p w14:paraId="122C97EA" w14:textId="77777777" w:rsidR="003275BA" w:rsidRPr="003275BA" w:rsidRDefault="003275BA" w:rsidP="003275BA">
            <w:pPr>
              <w:spacing w:after="0" w:line="240" w:lineRule="auto"/>
              <w:jc w:val="center"/>
              <w:rPr>
                <w:rFonts w:cs="Arial"/>
                <w:sz w:val="16"/>
                <w:szCs w:val="16"/>
              </w:rPr>
            </w:pPr>
            <w:r w:rsidRPr="003275BA">
              <w:rPr>
                <w:rFonts w:cs="Arial"/>
                <w:sz w:val="16"/>
                <w:szCs w:val="16"/>
              </w:rPr>
              <w:t>1. pol. 2018</w:t>
            </w:r>
          </w:p>
        </w:tc>
        <w:tc>
          <w:tcPr>
            <w:tcW w:w="700" w:type="dxa"/>
            <w:tcBorders>
              <w:top w:val="nil"/>
              <w:left w:val="nil"/>
              <w:bottom w:val="nil"/>
              <w:right w:val="nil"/>
            </w:tcBorders>
            <w:shd w:val="clear" w:color="auto" w:fill="auto"/>
            <w:vAlign w:val="center"/>
            <w:hideMark/>
          </w:tcPr>
          <w:p w14:paraId="53CCA52D" w14:textId="77777777" w:rsidR="003275BA" w:rsidRPr="003275BA" w:rsidRDefault="003275BA" w:rsidP="003275BA">
            <w:pPr>
              <w:spacing w:after="0" w:line="240" w:lineRule="auto"/>
              <w:jc w:val="right"/>
              <w:rPr>
                <w:rFonts w:cs="Arial"/>
                <w:sz w:val="16"/>
                <w:szCs w:val="16"/>
              </w:rPr>
            </w:pPr>
            <w:r w:rsidRPr="003275BA">
              <w:rPr>
                <w:rFonts w:cs="Arial"/>
                <w:sz w:val="16"/>
                <w:szCs w:val="16"/>
              </w:rPr>
              <w:t>24 062</w:t>
            </w:r>
          </w:p>
        </w:tc>
        <w:tc>
          <w:tcPr>
            <w:tcW w:w="700" w:type="dxa"/>
            <w:tcBorders>
              <w:top w:val="nil"/>
              <w:left w:val="nil"/>
              <w:bottom w:val="nil"/>
              <w:right w:val="nil"/>
            </w:tcBorders>
            <w:shd w:val="clear" w:color="auto" w:fill="auto"/>
            <w:vAlign w:val="center"/>
            <w:hideMark/>
          </w:tcPr>
          <w:p w14:paraId="6CE99FE3" w14:textId="77777777" w:rsidR="003275BA" w:rsidRPr="003275BA" w:rsidRDefault="003275BA" w:rsidP="003275BA">
            <w:pPr>
              <w:spacing w:after="0" w:line="240" w:lineRule="auto"/>
              <w:jc w:val="right"/>
              <w:rPr>
                <w:rFonts w:cs="Arial"/>
                <w:sz w:val="16"/>
                <w:szCs w:val="16"/>
              </w:rPr>
            </w:pPr>
            <w:r w:rsidRPr="003275BA">
              <w:rPr>
                <w:rFonts w:cs="Arial"/>
                <w:sz w:val="16"/>
                <w:szCs w:val="16"/>
              </w:rPr>
              <w:t>16 186</w:t>
            </w:r>
          </w:p>
        </w:tc>
        <w:tc>
          <w:tcPr>
            <w:tcW w:w="700" w:type="dxa"/>
            <w:tcBorders>
              <w:top w:val="nil"/>
              <w:left w:val="nil"/>
              <w:bottom w:val="nil"/>
              <w:right w:val="single" w:sz="4" w:space="0" w:color="auto"/>
            </w:tcBorders>
            <w:shd w:val="clear" w:color="auto" w:fill="auto"/>
            <w:vAlign w:val="center"/>
            <w:hideMark/>
          </w:tcPr>
          <w:p w14:paraId="59A7C0EC" w14:textId="77777777" w:rsidR="003275BA" w:rsidRPr="003275BA" w:rsidRDefault="003275BA" w:rsidP="003275BA">
            <w:pPr>
              <w:spacing w:after="0" w:line="240" w:lineRule="auto"/>
              <w:jc w:val="right"/>
              <w:rPr>
                <w:rFonts w:cs="Arial"/>
                <w:sz w:val="16"/>
                <w:szCs w:val="16"/>
              </w:rPr>
            </w:pPr>
            <w:r w:rsidRPr="003275BA">
              <w:rPr>
                <w:rFonts w:cs="Arial"/>
                <w:sz w:val="16"/>
                <w:szCs w:val="16"/>
              </w:rPr>
              <w:t>7 876</w:t>
            </w:r>
          </w:p>
        </w:tc>
        <w:tc>
          <w:tcPr>
            <w:tcW w:w="700" w:type="dxa"/>
            <w:tcBorders>
              <w:top w:val="nil"/>
              <w:left w:val="nil"/>
              <w:bottom w:val="nil"/>
              <w:right w:val="nil"/>
            </w:tcBorders>
            <w:shd w:val="clear" w:color="auto" w:fill="auto"/>
            <w:noWrap/>
            <w:vAlign w:val="center"/>
            <w:hideMark/>
          </w:tcPr>
          <w:p w14:paraId="13A10883" w14:textId="77777777" w:rsidR="003275BA" w:rsidRPr="003275BA" w:rsidRDefault="003275BA" w:rsidP="003275BA">
            <w:pPr>
              <w:spacing w:after="0" w:line="240" w:lineRule="auto"/>
              <w:jc w:val="right"/>
              <w:rPr>
                <w:rFonts w:ascii="Arial CE" w:hAnsi="Arial CE" w:cs="Arial CE"/>
                <w:sz w:val="16"/>
                <w:szCs w:val="16"/>
              </w:rPr>
            </w:pPr>
            <w:r w:rsidRPr="003275BA">
              <w:rPr>
                <w:rFonts w:ascii="Arial CE" w:hAnsi="Arial CE" w:cs="Arial CE"/>
                <w:sz w:val="16"/>
                <w:szCs w:val="16"/>
              </w:rPr>
              <w:t>23 525</w:t>
            </w:r>
          </w:p>
        </w:tc>
        <w:tc>
          <w:tcPr>
            <w:tcW w:w="700" w:type="dxa"/>
            <w:tcBorders>
              <w:top w:val="nil"/>
              <w:left w:val="nil"/>
              <w:bottom w:val="nil"/>
              <w:right w:val="nil"/>
            </w:tcBorders>
            <w:shd w:val="clear" w:color="auto" w:fill="auto"/>
            <w:vAlign w:val="center"/>
            <w:hideMark/>
          </w:tcPr>
          <w:p w14:paraId="23D036D9" w14:textId="77777777" w:rsidR="003275BA" w:rsidRPr="003275BA" w:rsidRDefault="003275BA" w:rsidP="003275BA">
            <w:pPr>
              <w:spacing w:after="0" w:line="240" w:lineRule="auto"/>
              <w:jc w:val="right"/>
              <w:rPr>
                <w:rFonts w:cs="Arial"/>
                <w:sz w:val="16"/>
                <w:szCs w:val="16"/>
              </w:rPr>
            </w:pPr>
            <w:r w:rsidRPr="003275BA">
              <w:rPr>
                <w:rFonts w:cs="Arial"/>
                <w:sz w:val="16"/>
                <w:szCs w:val="16"/>
              </w:rPr>
              <w:t>15 810</w:t>
            </w:r>
          </w:p>
        </w:tc>
        <w:tc>
          <w:tcPr>
            <w:tcW w:w="700" w:type="dxa"/>
            <w:tcBorders>
              <w:top w:val="nil"/>
              <w:left w:val="nil"/>
              <w:bottom w:val="nil"/>
              <w:right w:val="single" w:sz="4" w:space="0" w:color="auto"/>
            </w:tcBorders>
            <w:shd w:val="clear" w:color="auto" w:fill="auto"/>
            <w:noWrap/>
            <w:vAlign w:val="center"/>
            <w:hideMark/>
          </w:tcPr>
          <w:p w14:paraId="05D4F196" w14:textId="77777777" w:rsidR="003275BA" w:rsidRPr="003275BA" w:rsidRDefault="003275BA" w:rsidP="003275BA">
            <w:pPr>
              <w:spacing w:after="0" w:line="240" w:lineRule="auto"/>
              <w:jc w:val="right"/>
              <w:rPr>
                <w:rFonts w:ascii="Arial CE" w:hAnsi="Arial CE" w:cs="Arial CE"/>
                <w:sz w:val="16"/>
                <w:szCs w:val="16"/>
              </w:rPr>
            </w:pPr>
            <w:r w:rsidRPr="003275BA">
              <w:rPr>
                <w:rFonts w:ascii="Arial CE" w:hAnsi="Arial CE" w:cs="Arial CE"/>
                <w:sz w:val="16"/>
                <w:szCs w:val="16"/>
              </w:rPr>
              <w:t>7 715</w:t>
            </w:r>
          </w:p>
        </w:tc>
        <w:tc>
          <w:tcPr>
            <w:tcW w:w="700" w:type="dxa"/>
            <w:tcBorders>
              <w:top w:val="nil"/>
              <w:left w:val="nil"/>
              <w:bottom w:val="nil"/>
              <w:right w:val="nil"/>
            </w:tcBorders>
            <w:shd w:val="clear" w:color="auto" w:fill="auto"/>
            <w:vAlign w:val="center"/>
            <w:hideMark/>
          </w:tcPr>
          <w:p w14:paraId="5544B74C" w14:textId="77777777" w:rsidR="003275BA" w:rsidRPr="003275BA" w:rsidRDefault="003275BA" w:rsidP="003275BA">
            <w:pPr>
              <w:spacing w:after="0" w:line="240" w:lineRule="auto"/>
              <w:jc w:val="right"/>
              <w:rPr>
                <w:rFonts w:cs="Arial"/>
                <w:sz w:val="16"/>
                <w:szCs w:val="16"/>
              </w:rPr>
            </w:pPr>
            <w:r w:rsidRPr="003275BA">
              <w:rPr>
                <w:rFonts w:cs="Arial"/>
                <w:sz w:val="16"/>
                <w:szCs w:val="16"/>
              </w:rPr>
              <w:t>60</w:t>
            </w:r>
          </w:p>
        </w:tc>
        <w:tc>
          <w:tcPr>
            <w:tcW w:w="700" w:type="dxa"/>
            <w:tcBorders>
              <w:top w:val="nil"/>
              <w:left w:val="nil"/>
              <w:bottom w:val="nil"/>
              <w:right w:val="nil"/>
            </w:tcBorders>
            <w:shd w:val="clear" w:color="auto" w:fill="auto"/>
            <w:vAlign w:val="center"/>
            <w:hideMark/>
          </w:tcPr>
          <w:p w14:paraId="4838B41A" w14:textId="77777777" w:rsidR="003275BA" w:rsidRPr="003275BA" w:rsidRDefault="003275BA" w:rsidP="003275BA">
            <w:pPr>
              <w:spacing w:after="0" w:line="240" w:lineRule="auto"/>
              <w:jc w:val="right"/>
              <w:rPr>
                <w:rFonts w:cs="Arial"/>
                <w:sz w:val="16"/>
                <w:szCs w:val="16"/>
              </w:rPr>
            </w:pPr>
            <w:r w:rsidRPr="003275BA">
              <w:rPr>
                <w:rFonts w:cs="Arial"/>
                <w:sz w:val="16"/>
                <w:szCs w:val="16"/>
              </w:rPr>
              <w:t>57</w:t>
            </w:r>
          </w:p>
        </w:tc>
        <w:tc>
          <w:tcPr>
            <w:tcW w:w="700" w:type="dxa"/>
            <w:tcBorders>
              <w:top w:val="nil"/>
              <w:left w:val="nil"/>
              <w:bottom w:val="nil"/>
              <w:right w:val="single" w:sz="4" w:space="0" w:color="auto"/>
            </w:tcBorders>
            <w:shd w:val="clear" w:color="auto" w:fill="auto"/>
            <w:vAlign w:val="center"/>
            <w:hideMark/>
          </w:tcPr>
          <w:p w14:paraId="42622CF3" w14:textId="77777777" w:rsidR="003275BA" w:rsidRPr="003275BA" w:rsidRDefault="003275BA" w:rsidP="003275BA">
            <w:pPr>
              <w:spacing w:after="0" w:line="240" w:lineRule="auto"/>
              <w:jc w:val="right"/>
              <w:rPr>
                <w:rFonts w:cs="Arial"/>
                <w:sz w:val="16"/>
                <w:szCs w:val="16"/>
              </w:rPr>
            </w:pPr>
            <w:r w:rsidRPr="003275BA">
              <w:rPr>
                <w:rFonts w:cs="Arial"/>
                <w:sz w:val="16"/>
                <w:szCs w:val="16"/>
              </w:rPr>
              <w:t>3</w:t>
            </w:r>
          </w:p>
        </w:tc>
        <w:tc>
          <w:tcPr>
            <w:tcW w:w="700" w:type="dxa"/>
            <w:tcBorders>
              <w:top w:val="nil"/>
              <w:left w:val="nil"/>
              <w:bottom w:val="nil"/>
              <w:right w:val="nil"/>
            </w:tcBorders>
            <w:shd w:val="clear" w:color="auto" w:fill="auto"/>
            <w:vAlign w:val="center"/>
            <w:hideMark/>
          </w:tcPr>
          <w:p w14:paraId="4B634882" w14:textId="77777777" w:rsidR="003275BA" w:rsidRPr="003275BA" w:rsidRDefault="003275BA" w:rsidP="003275BA">
            <w:pPr>
              <w:spacing w:after="0" w:line="240" w:lineRule="auto"/>
              <w:jc w:val="right"/>
              <w:rPr>
                <w:rFonts w:cs="Arial"/>
                <w:sz w:val="16"/>
                <w:szCs w:val="16"/>
              </w:rPr>
            </w:pPr>
            <w:r w:rsidRPr="003275BA">
              <w:rPr>
                <w:rFonts w:cs="Arial"/>
                <w:sz w:val="16"/>
                <w:szCs w:val="16"/>
              </w:rPr>
              <w:t>561</w:t>
            </w:r>
          </w:p>
        </w:tc>
        <w:tc>
          <w:tcPr>
            <w:tcW w:w="700" w:type="dxa"/>
            <w:tcBorders>
              <w:top w:val="nil"/>
              <w:left w:val="nil"/>
              <w:bottom w:val="nil"/>
              <w:right w:val="nil"/>
            </w:tcBorders>
            <w:shd w:val="clear" w:color="auto" w:fill="auto"/>
            <w:vAlign w:val="center"/>
            <w:hideMark/>
          </w:tcPr>
          <w:p w14:paraId="3AE18216" w14:textId="77777777" w:rsidR="003275BA" w:rsidRPr="003275BA" w:rsidRDefault="003275BA" w:rsidP="003275BA">
            <w:pPr>
              <w:spacing w:after="0" w:line="240" w:lineRule="auto"/>
              <w:jc w:val="right"/>
              <w:rPr>
                <w:rFonts w:cs="Arial"/>
                <w:sz w:val="16"/>
                <w:szCs w:val="16"/>
              </w:rPr>
            </w:pPr>
            <w:r w:rsidRPr="003275BA">
              <w:rPr>
                <w:rFonts w:cs="Arial"/>
                <w:sz w:val="16"/>
                <w:szCs w:val="16"/>
              </w:rPr>
              <w:t>463</w:t>
            </w:r>
          </w:p>
        </w:tc>
        <w:tc>
          <w:tcPr>
            <w:tcW w:w="700" w:type="dxa"/>
            <w:tcBorders>
              <w:top w:val="nil"/>
              <w:left w:val="nil"/>
              <w:bottom w:val="nil"/>
              <w:right w:val="nil"/>
            </w:tcBorders>
            <w:shd w:val="clear" w:color="auto" w:fill="auto"/>
            <w:vAlign w:val="center"/>
            <w:hideMark/>
          </w:tcPr>
          <w:p w14:paraId="78485E2E" w14:textId="77777777" w:rsidR="003275BA" w:rsidRPr="003275BA" w:rsidRDefault="003275BA" w:rsidP="003275BA">
            <w:pPr>
              <w:spacing w:after="0" w:line="240" w:lineRule="auto"/>
              <w:jc w:val="right"/>
              <w:rPr>
                <w:rFonts w:cs="Arial"/>
                <w:sz w:val="16"/>
                <w:szCs w:val="16"/>
              </w:rPr>
            </w:pPr>
            <w:r w:rsidRPr="003275BA">
              <w:rPr>
                <w:rFonts w:cs="Arial"/>
                <w:sz w:val="16"/>
                <w:szCs w:val="16"/>
              </w:rPr>
              <w:t>98</w:t>
            </w:r>
          </w:p>
        </w:tc>
      </w:tr>
      <w:tr w:rsidR="003275BA" w:rsidRPr="003275BA" w14:paraId="4FA463F0" w14:textId="77777777" w:rsidTr="003275BA">
        <w:trPr>
          <w:trHeight w:val="255"/>
        </w:trPr>
        <w:tc>
          <w:tcPr>
            <w:tcW w:w="1120" w:type="dxa"/>
            <w:tcBorders>
              <w:top w:val="nil"/>
              <w:left w:val="nil"/>
              <w:bottom w:val="nil"/>
              <w:right w:val="single" w:sz="4" w:space="0" w:color="auto"/>
            </w:tcBorders>
            <w:shd w:val="clear" w:color="auto" w:fill="auto"/>
            <w:vAlign w:val="center"/>
            <w:hideMark/>
          </w:tcPr>
          <w:p w14:paraId="6445F284" w14:textId="77777777" w:rsidR="003275BA" w:rsidRPr="003275BA" w:rsidRDefault="003275BA" w:rsidP="003275BA">
            <w:pPr>
              <w:spacing w:after="0" w:line="240" w:lineRule="auto"/>
              <w:jc w:val="center"/>
              <w:rPr>
                <w:rFonts w:cs="Arial"/>
                <w:sz w:val="16"/>
                <w:szCs w:val="16"/>
              </w:rPr>
            </w:pPr>
            <w:r w:rsidRPr="003275BA">
              <w:rPr>
                <w:rFonts w:cs="Arial"/>
                <w:sz w:val="16"/>
                <w:szCs w:val="16"/>
              </w:rPr>
              <w:t>1. pol. 2019</w:t>
            </w:r>
          </w:p>
        </w:tc>
        <w:tc>
          <w:tcPr>
            <w:tcW w:w="700" w:type="dxa"/>
            <w:tcBorders>
              <w:top w:val="nil"/>
              <w:left w:val="nil"/>
              <w:bottom w:val="nil"/>
              <w:right w:val="nil"/>
            </w:tcBorders>
            <w:shd w:val="clear" w:color="auto" w:fill="auto"/>
            <w:noWrap/>
            <w:vAlign w:val="center"/>
            <w:hideMark/>
          </w:tcPr>
          <w:p w14:paraId="6A759E4C" w14:textId="77777777" w:rsidR="003275BA" w:rsidRPr="003275BA" w:rsidRDefault="003275BA" w:rsidP="003275BA">
            <w:pPr>
              <w:spacing w:after="0" w:line="240" w:lineRule="auto"/>
              <w:jc w:val="right"/>
              <w:rPr>
                <w:rFonts w:cs="Arial"/>
                <w:color w:val="000000"/>
                <w:sz w:val="16"/>
                <w:szCs w:val="16"/>
              </w:rPr>
            </w:pPr>
            <w:r w:rsidRPr="003275BA">
              <w:rPr>
                <w:rFonts w:cs="Arial"/>
                <w:color w:val="000000"/>
                <w:sz w:val="16"/>
                <w:szCs w:val="16"/>
              </w:rPr>
              <w:t>23 218</w:t>
            </w:r>
          </w:p>
        </w:tc>
        <w:tc>
          <w:tcPr>
            <w:tcW w:w="700" w:type="dxa"/>
            <w:tcBorders>
              <w:top w:val="nil"/>
              <w:left w:val="nil"/>
              <w:bottom w:val="nil"/>
              <w:right w:val="nil"/>
            </w:tcBorders>
            <w:shd w:val="clear" w:color="auto" w:fill="auto"/>
            <w:noWrap/>
            <w:vAlign w:val="center"/>
            <w:hideMark/>
          </w:tcPr>
          <w:p w14:paraId="3D46BC7A" w14:textId="77777777" w:rsidR="003275BA" w:rsidRPr="003275BA" w:rsidRDefault="003275BA" w:rsidP="003275BA">
            <w:pPr>
              <w:spacing w:after="0" w:line="240" w:lineRule="auto"/>
              <w:jc w:val="right"/>
              <w:rPr>
                <w:rFonts w:cs="Arial"/>
                <w:color w:val="000000"/>
                <w:sz w:val="16"/>
                <w:szCs w:val="16"/>
              </w:rPr>
            </w:pPr>
            <w:r w:rsidRPr="003275BA">
              <w:rPr>
                <w:rFonts w:cs="Arial"/>
                <w:color w:val="000000"/>
                <w:sz w:val="16"/>
                <w:szCs w:val="16"/>
              </w:rPr>
              <w:t>15 602</w:t>
            </w:r>
          </w:p>
        </w:tc>
        <w:tc>
          <w:tcPr>
            <w:tcW w:w="700" w:type="dxa"/>
            <w:tcBorders>
              <w:top w:val="nil"/>
              <w:left w:val="nil"/>
              <w:bottom w:val="nil"/>
              <w:right w:val="single" w:sz="4" w:space="0" w:color="auto"/>
            </w:tcBorders>
            <w:shd w:val="clear" w:color="auto" w:fill="auto"/>
            <w:noWrap/>
            <w:vAlign w:val="center"/>
            <w:hideMark/>
          </w:tcPr>
          <w:p w14:paraId="5DB95941" w14:textId="77777777" w:rsidR="003275BA" w:rsidRPr="003275BA" w:rsidRDefault="003275BA" w:rsidP="003275BA">
            <w:pPr>
              <w:spacing w:after="0" w:line="240" w:lineRule="auto"/>
              <w:jc w:val="right"/>
              <w:rPr>
                <w:rFonts w:cs="Arial"/>
                <w:color w:val="000000"/>
                <w:sz w:val="16"/>
                <w:szCs w:val="16"/>
              </w:rPr>
            </w:pPr>
            <w:r w:rsidRPr="003275BA">
              <w:rPr>
                <w:rFonts w:cs="Arial"/>
                <w:color w:val="000000"/>
                <w:sz w:val="16"/>
                <w:szCs w:val="16"/>
              </w:rPr>
              <w:t>7 616</w:t>
            </w:r>
          </w:p>
        </w:tc>
        <w:tc>
          <w:tcPr>
            <w:tcW w:w="700" w:type="dxa"/>
            <w:tcBorders>
              <w:top w:val="nil"/>
              <w:left w:val="nil"/>
              <w:bottom w:val="nil"/>
              <w:right w:val="nil"/>
            </w:tcBorders>
            <w:shd w:val="clear" w:color="auto" w:fill="auto"/>
            <w:noWrap/>
            <w:vAlign w:val="center"/>
            <w:hideMark/>
          </w:tcPr>
          <w:p w14:paraId="2AA1F0A6" w14:textId="77777777" w:rsidR="003275BA" w:rsidRPr="003275BA" w:rsidRDefault="003275BA" w:rsidP="003275BA">
            <w:pPr>
              <w:spacing w:after="0" w:line="240" w:lineRule="auto"/>
              <w:jc w:val="right"/>
              <w:rPr>
                <w:rFonts w:cs="Arial"/>
                <w:color w:val="000000"/>
                <w:sz w:val="16"/>
                <w:szCs w:val="16"/>
              </w:rPr>
            </w:pPr>
            <w:r w:rsidRPr="003275BA">
              <w:rPr>
                <w:rFonts w:cs="Arial"/>
                <w:color w:val="000000"/>
                <w:sz w:val="16"/>
                <w:szCs w:val="16"/>
              </w:rPr>
              <w:t>22 828</w:t>
            </w:r>
          </w:p>
        </w:tc>
        <w:tc>
          <w:tcPr>
            <w:tcW w:w="700" w:type="dxa"/>
            <w:tcBorders>
              <w:top w:val="nil"/>
              <w:left w:val="nil"/>
              <w:bottom w:val="nil"/>
              <w:right w:val="nil"/>
            </w:tcBorders>
            <w:shd w:val="clear" w:color="auto" w:fill="auto"/>
            <w:noWrap/>
            <w:vAlign w:val="center"/>
            <w:hideMark/>
          </w:tcPr>
          <w:p w14:paraId="2199E893" w14:textId="77777777" w:rsidR="003275BA" w:rsidRPr="003275BA" w:rsidRDefault="003275BA" w:rsidP="003275BA">
            <w:pPr>
              <w:spacing w:after="0" w:line="240" w:lineRule="auto"/>
              <w:jc w:val="right"/>
              <w:rPr>
                <w:rFonts w:cs="Arial"/>
                <w:color w:val="000000"/>
                <w:sz w:val="16"/>
                <w:szCs w:val="16"/>
              </w:rPr>
            </w:pPr>
            <w:r w:rsidRPr="003275BA">
              <w:rPr>
                <w:rFonts w:cs="Arial"/>
                <w:color w:val="000000"/>
                <w:sz w:val="16"/>
                <w:szCs w:val="16"/>
              </w:rPr>
              <w:t>15 326</w:t>
            </w:r>
          </w:p>
        </w:tc>
        <w:tc>
          <w:tcPr>
            <w:tcW w:w="700" w:type="dxa"/>
            <w:tcBorders>
              <w:top w:val="nil"/>
              <w:left w:val="nil"/>
              <w:bottom w:val="nil"/>
              <w:right w:val="single" w:sz="4" w:space="0" w:color="auto"/>
            </w:tcBorders>
            <w:shd w:val="clear" w:color="auto" w:fill="auto"/>
            <w:noWrap/>
            <w:vAlign w:val="center"/>
            <w:hideMark/>
          </w:tcPr>
          <w:p w14:paraId="287C01D5" w14:textId="77777777" w:rsidR="003275BA" w:rsidRPr="003275BA" w:rsidRDefault="003275BA" w:rsidP="003275BA">
            <w:pPr>
              <w:spacing w:after="0" w:line="240" w:lineRule="auto"/>
              <w:jc w:val="right"/>
              <w:rPr>
                <w:rFonts w:cs="Arial"/>
                <w:color w:val="000000"/>
                <w:sz w:val="16"/>
                <w:szCs w:val="16"/>
              </w:rPr>
            </w:pPr>
            <w:r w:rsidRPr="003275BA">
              <w:rPr>
                <w:rFonts w:cs="Arial"/>
                <w:color w:val="000000"/>
                <w:sz w:val="16"/>
                <w:szCs w:val="16"/>
              </w:rPr>
              <w:t>7 502</w:t>
            </w:r>
          </w:p>
        </w:tc>
        <w:tc>
          <w:tcPr>
            <w:tcW w:w="700" w:type="dxa"/>
            <w:tcBorders>
              <w:top w:val="nil"/>
              <w:left w:val="nil"/>
              <w:bottom w:val="nil"/>
              <w:right w:val="nil"/>
            </w:tcBorders>
            <w:shd w:val="clear" w:color="auto" w:fill="auto"/>
            <w:vAlign w:val="center"/>
            <w:hideMark/>
          </w:tcPr>
          <w:p w14:paraId="385F0539" w14:textId="77777777" w:rsidR="003275BA" w:rsidRPr="003275BA" w:rsidRDefault="003275BA" w:rsidP="003275BA">
            <w:pPr>
              <w:spacing w:after="0" w:line="240" w:lineRule="auto"/>
              <w:jc w:val="right"/>
              <w:rPr>
                <w:rFonts w:cs="Arial"/>
                <w:sz w:val="16"/>
                <w:szCs w:val="16"/>
              </w:rPr>
            </w:pPr>
            <w:r w:rsidRPr="003275BA">
              <w:rPr>
                <w:rFonts w:cs="Arial"/>
                <w:sz w:val="16"/>
                <w:szCs w:val="16"/>
              </w:rPr>
              <w:t>40</w:t>
            </w:r>
          </w:p>
        </w:tc>
        <w:tc>
          <w:tcPr>
            <w:tcW w:w="700" w:type="dxa"/>
            <w:tcBorders>
              <w:top w:val="nil"/>
              <w:left w:val="nil"/>
              <w:bottom w:val="nil"/>
              <w:right w:val="nil"/>
            </w:tcBorders>
            <w:shd w:val="clear" w:color="auto" w:fill="auto"/>
            <w:vAlign w:val="center"/>
            <w:hideMark/>
          </w:tcPr>
          <w:p w14:paraId="30582211" w14:textId="77777777" w:rsidR="003275BA" w:rsidRPr="003275BA" w:rsidRDefault="003275BA" w:rsidP="003275BA">
            <w:pPr>
              <w:spacing w:after="0" w:line="240" w:lineRule="auto"/>
              <w:jc w:val="right"/>
              <w:rPr>
                <w:rFonts w:cs="Arial"/>
                <w:sz w:val="16"/>
                <w:szCs w:val="16"/>
              </w:rPr>
            </w:pPr>
            <w:r w:rsidRPr="003275BA">
              <w:rPr>
                <w:rFonts w:cs="Arial"/>
                <w:sz w:val="16"/>
                <w:szCs w:val="16"/>
              </w:rPr>
              <w:t>37</w:t>
            </w:r>
          </w:p>
        </w:tc>
        <w:tc>
          <w:tcPr>
            <w:tcW w:w="700" w:type="dxa"/>
            <w:tcBorders>
              <w:top w:val="nil"/>
              <w:left w:val="nil"/>
              <w:bottom w:val="nil"/>
              <w:right w:val="single" w:sz="4" w:space="0" w:color="auto"/>
            </w:tcBorders>
            <w:shd w:val="clear" w:color="auto" w:fill="auto"/>
            <w:vAlign w:val="center"/>
            <w:hideMark/>
          </w:tcPr>
          <w:p w14:paraId="401FAF28" w14:textId="77777777" w:rsidR="003275BA" w:rsidRPr="003275BA" w:rsidRDefault="003275BA" w:rsidP="003275BA">
            <w:pPr>
              <w:spacing w:after="0" w:line="240" w:lineRule="auto"/>
              <w:jc w:val="right"/>
              <w:rPr>
                <w:rFonts w:cs="Arial"/>
                <w:sz w:val="16"/>
                <w:szCs w:val="16"/>
              </w:rPr>
            </w:pPr>
            <w:r w:rsidRPr="003275BA">
              <w:rPr>
                <w:rFonts w:cs="Arial"/>
                <w:sz w:val="16"/>
                <w:szCs w:val="16"/>
              </w:rPr>
              <w:t>3</w:t>
            </w:r>
          </w:p>
        </w:tc>
        <w:tc>
          <w:tcPr>
            <w:tcW w:w="700" w:type="dxa"/>
            <w:tcBorders>
              <w:top w:val="nil"/>
              <w:left w:val="nil"/>
              <w:bottom w:val="nil"/>
              <w:right w:val="nil"/>
            </w:tcBorders>
            <w:shd w:val="clear" w:color="auto" w:fill="auto"/>
            <w:vAlign w:val="center"/>
            <w:hideMark/>
          </w:tcPr>
          <w:p w14:paraId="1A8F683A" w14:textId="77777777" w:rsidR="003275BA" w:rsidRPr="003275BA" w:rsidRDefault="003275BA" w:rsidP="003275BA">
            <w:pPr>
              <w:spacing w:after="0" w:line="240" w:lineRule="auto"/>
              <w:jc w:val="right"/>
              <w:rPr>
                <w:rFonts w:cs="Arial"/>
                <w:sz w:val="16"/>
                <w:szCs w:val="16"/>
              </w:rPr>
            </w:pPr>
            <w:r w:rsidRPr="003275BA">
              <w:rPr>
                <w:rFonts w:cs="Arial"/>
                <w:sz w:val="16"/>
                <w:szCs w:val="16"/>
              </w:rPr>
              <w:t>551</w:t>
            </w:r>
          </w:p>
        </w:tc>
        <w:tc>
          <w:tcPr>
            <w:tcW w:w="700" w:type="dxa"/>
            <w:tcBorders>
              <w:top w:val="nil"/>
              <w:left w:val="nil"/>
              <w:bottom w:val="nil"/>
              <w:right w:val="nil"/>
            </w:tcBorders>
            <w:shd w:val="clear" w:color="auto" w:fill="auto"/>
            <w:vAlign w:val="center"/>
            <w:hideMark/>
          </w:tcPr>
          <w:p w14:paraId="0A9E329E" w14:textId="77777777" w:rsidR="003275BA" w:rsidRPr="003275BA" w:rsidRDefault="003275BA" w:rsidP="003275BA">
            <w:pPr>
              <w:spacing w:after="0" w:line="240" w:lineRule="auto"/>
              <w:jc w:val="right"/>
              <w:rPr>
                <w:rFonts w:cs="Arial"/>
                <w:sz w:val="16"/>
                <w:szCs w:val="16"/>
              </w:rPr>
            </w:pPr>
            <w:r w:rsidRPr="003275BA">
              <w:rPr>
                <w:rFonts w:cs="Arial"/>
                <w:sz w:val="16"/>
                <w:szCs w:val="16"/>
              </w:rPr>
              <w:t>448</w:t>
            </w:r>
          </w:p>
        </w:tc>
        <w:tc>
          <w:tcPr>
            <w:tcW w:w="700" w:type="dxa"/>
            <w:tcBorders>
              <w:top w:val="nil"/>
              <w:left w:val="nil"/>
              <w:bottom w:val="nil"/>
              <w:right w:val="nil"/>
            </w:tcBorders>
            <w:shd w:val="clear" w:color="auto" w:fill="auto"/>
            <w:vAlign w:val="center"/>
            <w:hideMark/>
          </w:tcPr>
          <w:p w14:paraId="72089E0E" w14:textId="77777777" w:rsidR="003275BA" w:rsidRPr="003275BA" w:rsidRDefault="003275BA" w:rsidP="003275BA">
            <w:pPr>
              <w:spacing w:after="0" w:line="240" w:lineRule="auto"/>
              <w:jc w:val="right"/>
              <w:rPr>
                <w:rFonts w:cs="Arial"/>
                <w:sz w:val="16"/>
                <w:szCs w:val="16"/>
              </w:rPr>
            </w:pPr>
            <w:r w:rsidRPr="003275BA">
              <w:rPr>
                <w:rFonts w:cs="Arial"/>
                <w:sz w:val="16"/>
                <w:szCs w:val="16"/>
              </w:rPr>
              <w:t>103</w:t>
            </w:r>
          </w:p>
        </w:tc>
      </w:tr>
    </w:tbl>
    <w:p w14:paraId="4B433C26" w14:textId="0B29662A" w:rsidR="001F07BD" w:rsidRDefault="001F07BD" w:rsidP="00C63C0B">
      <w:pPr>
        <w:spacing w:before="120"/>
        <w:jc w:val="both"/>
        <w:rPr>
          <w:rFonts w:cs="Arial"/>
          <w:sz w:val="16"/>
          <w:szCs w:val="16"/>
        </w:rPr>
      </w:pPr>
      <w:r>
        <w:rPr>
          <w:rFonts w:cs="Arial"/>
          <w:sz w:val="16"/>
          <w:szCs w:val="16"/>
        </w:rPr>
        <w:t>Zdroj: ČSÚ, SÚIP</w:t>
      </w:r>
    </w:p>
    <w:p w14:paraId="656C8670" w14:textId="46DA1F9D" w:rsidR="00FA0D30" w:rsidRDefault="00FA0D30" w:rsidP="00FA0D30">
      <w:pPr>
        <w:jc w:val="both"/>
        <w:rPr>
          <w:rFonts w:cs="Arial"/>
        </w:rPr>
      </w:pPr>
      <w:r w:rsidRPr="00377D0A">
        <w:rPr>
          <w:rFonts w:cs="Arial"/>
        </w:rPr>
        <w:t xml:space="preserve">V pracovní úrazovosti je dlouhodobě patrný rozdíl mezi </w:t>
      </w:r>
      <w:r w:rsidRPr="00AD3021">
        <w:rPr>
          <w:rFonts w:cs="Arial"/>
          <w:b/>
        </w:rPr>
        <w:t>pohlavími</w:t>
      </w:r>
      <w:r w:rsidRPr="00377D0A">
        <w:rPr>
          <w:rFonts w:cs="Arial"/>
        </w:rPr>
        <w:t>, muži zde výrazně dominují. Z celkového počtu pracovních úrazů připadalo v</w:t>
      </w:r>
      <w:r>
        <w:rPr>
          <w:rFonts w:cs="Arial"/>
        </w:rPr>
        <w:t> 1. pol. 2019</w:t>
      </w:r>
      <w:r w:rsidRPr="00377D0A">
        <w:rPr>
          <w:rFonts w:cs="Arial"/>
        </w:rPr>
        <w:t xml:space="preserve"> na muže 6</w:t>
      </w:r>
      <w:r>
        <w:rPr>
          <w:rFonts w:cs="Arial"/>
        </w:rPr>
        <w:t>7</w:t>
      </w:r>
      <w:r w:rsidRPr="00377D0A">
        <w:rPr>
          <w:rFonts w:cs="Arial"/>
        </w:rPr>
        <w:t>,</w:t>
      </w:r>
      <w:r>
        <w:rPr>
          <w:rFonts w:cs="Arial"/>
        </w:rPr>
        <w:t>2</w:t>
      </w:r>
      <w:r w:rsidRPr="00377D0A">
        <w:rPr>
          <w:rFonts w:cs="Arial"/>
        </w:rPr>
        <w:t xml:space="preserve"> %</w:t>
      </w:r>
      <w:r>
        <w:rPr>
          <w:rFonts w:cs="Arial"/>
        </w:rPr>
        <w:t xml:space="preserve"> (v 1. pol. 2008 dokonce 73,2 %) </w:t>
      </w:r>
      <w:r w:rsidRPr="00377D0A">
        <w:rPr>
          <w:rFonts w:cs="Arial"/>
        </w:rPr>
        <w:t>a na ženy pouze 3</w:t>
      </w:r>
      <w:r>
        <w:rPr>
          <w:rFonts w:cs="Arial"/>
        </w:rPr>
        <w:t>2</w:t>
      </w:r>
      <w:r w:rsidRPr="00377D0A">
        <w:rPr>
          <w:rFonts w:cs="Arial"/>
        </w:rPr>
        <w:t>,</w:t>
      </w:r>
      <w:r>
        <w:rPr>
          <w:rFonts w:cs="Arial"/>
        </w:rPr>
        <w:t>8</w:t>
      </w:r>
      <w:r w:rsidRPr="00377D0A">
        <w:rPr>
          <w:rFonts w:cs="Arial"/>
        </w:rPr>
        <w:t xml:space="preserve"> % </w:t>
      </w:r>
      <w:r>
        <w:rPr>
          <w:rFonts w:cs="Arial"/>
        </w:rPr>
        <w:t>(26,8 % za 1. pol. 2008) pracovních úrazů, což je dáno především</w:t>
      </w:r>
      <w:r w:rsidRPr="00377D0A">
        <w:rPr>
          <w:rFonts w:cs="Arial"/>
        </w:rPr>
        <w:t xml:space="preserve"> odlišnou strukturou zaměstnanosti žen a mužů. Odvětví, </w:t>
      </w:r>
      <w:r w:rsidRPr="00377D0A">
        <w:t>kde převládají muži a vyskytují se zvýšená rizika pracovního úrazu, jsou např. T</w:t>
      </w:r>
      <w:r w:rsidRPr="00377D0A">
        <w:rPr>
          <w:rFonts w:cs="Arial"/>
        </w:rPr>
        <w:t>ěžb</w:t>
      </w:r>
      <w:r>
        <w:rPr>
          <w:rFonts w:cs="Arial"/>
        </w:rPr>
        <w:t>a</w:t>
      </w:r>
      <w:r w:rsidRPr="00377D0A">
        <w:rPr>
          <w:rFonts w:cs="Arial"/>
        </w:rPr>
        <w:t xml:space="preserve"> a dobývání, Zpracovatelsk</w:t>
      </w:r>
      <w:r>
        <w:rPr>
          <w:rFonts w:cs="Arial"/>
        </w:rPr>
        <w:t>ý</w:t>
      </w:r>
      <w:r w:rsidRPr="00377D0A">
        <w:rPr>
          <w:rFonts w:cs="Arial"/>
        </w:rPr>
        <w:t xml:space="preserve"> průmysl, S</w:t>
      </w:r>
      <w:r>
        <w:t>tavebnictví, Doprava</w:t>
      </w:r>
      <w:r w:rsidRPr="00377D0A">
        <w:t xml:space="preserve"> a skladování</w:t>
      </w:r>
      <w:r>
        <w:t xml:space="preserve">, </w:t>
      </w:r>
      <w:r w:rsidRPr="003364AA">
        <w:rPr>
          <w:bCs/>
        </w:rPr>
        <w:t>Zásobování vodou; činnosti související s odpady a sanacemi</w:t>
      </w:r>
      <w:r w:rsidRPr="00377D0A">
        <w:t xml:space="preserve"> či Zemědělství, lesnictví, rybářství. Naopak odvětví, kde převažují v zaměstnání ženy a rizika pracovních úrazů </w:t>
      </w:r>
      <w:r>
        <w:t>bývají</w:t>
      </w:r>
      <w:r w:rsidRPr="00377D0A">
        <w:t xml:space="preserve"> méně častá, jsou Peněžnictví a pojišťovnictví, </w:t>
      </w:r>
      <w:r w:rsidRPr="00377D0A">
        <w:rPr>
          <w:rFonts w:cs="Arial"/>
        </w:rPr>
        <w:t>Veřejná s</w:t>
      </w:r>
      <w:r>
        <w:rPr>
          <w:rFonts w:cs="Arial"/>
        </w:rPr>
        <w:t xml:space="preserve">práva, </w:t>
      </w:r>
      <w:r w:rsidRPr="00377D0A">
        <w:t>Vzdělávání</w:t>
      </w:r>
      <w:r>
        <w:t xml:space="preserve"> či Zdravotní a sociální péče.</w:t>
      </w:r>
      <w:r w:rsidRPr="003E6827">
        <w:t xml:space="preserve"> </w:t>
      </w:r>
      <w:r>
        <w:t xml:space="preserve">Ještě výraznější rozdíl </w:t>
      </w:r>
      <w:r w:rsidR="008B3915">
        <w:t xml:space="preserve">hodnot podle pohlaví </w:t>
      </w:r>
      <w:r>
        <w:t xml:space="preserve">je patrný </w:t>
      </w:r>
      <w:r>
        <w:lastRenderedPageBreak/>
        <w:t>u</w:t>
      </w:r>
      <w:r w:rsidR="00835C6C">
        <w:t> </w:t>
      </w:r>
      <w:r w:rsidRPr="00C63C0B">
        <w:rPr>
          <w:b/>
        </w:rPr>
        <w:t>smrtelných pracovních úrazů</w:t>
      </w:r>
      <w:r>
        <w:t xml:space="preserve">. Za 1. pol. roku 2019 se muži podíleli na smrtelných úrazech z 93 %. Oproti 1. pol. předchozího roku došlo k poklesu smrtelných pracovních úrazů z 60 na 40, tj., o 1/3. Jedná se o nejnižší počet fatálních úrazů za posledních 12 let. Pokles způsobili výhradně muži, za 1. pol. 2018 bylo evidováno 57 smrtelných pracovních úrazů u mužů, o rok později 37. U žen je počet za 1. pol. stabilizován na 2–3 úrazech již od roku 2015. </w:t>
      </w:r>
      <w:r w:rsidRPr="000F68B6">
        <w:rPr>
          <w:rFonts w:cs="Arial"/>
        </w:rPr>
        <w:t>Podíl smrtelných pracovních úrazů na celkovém počtu pracovních úrazů s</w:t>
      </w:r>
      <w:r>
        <w:rPr>
          <w:rFonts w:cs="Arial"/>
        </w:rPr>
        <w:t xml:space="preserve"> dočasnou </w:t>
      </w:r>
      <w:r w:rsidRPr="000F68B6">
        <w:rPr>
          <w:rFonts w:cs="Arial"/>
        </w:rPr>
        <w:t xml:space="preserve">pracovní neschopností </w:t>
      </w:r>
      <w:r>
        <w:rPr>
          <w:rFonts w:cs="Arial"/>
        </w:rPr>
        <w:t xml:space="preserve">činil </w:t>
      </w:r>
      <w:r w:rsidRPr="000F68B6">
        <w:rPr>
          <w:rFonts w:cs="Arial"/>
        </w:rPr>
        <w:t>0,</w:t>
      </w:r>
      <w:r>
        <w:rPr>
          <w:rFonts w:cs="Arial"/>
        </w:rPr>
        <w:t>17 %.</w:t>
      </w:r>
    </w:p>
    <w:p w14:paraId="779C3AC9" w14:textId="233759FB" w:rsidR="00CD4988" w:rsidRDefault="00CD4988" w:rsidP="0019246C">
      <w:pPr>
        <w:spacing w:after="120"/>
        <w:jc w:val="both"/>
        <w:rPr>
          <w:b/>
        </w:rPr>
      </w:pPr>
      <w:r>
        <w:rPr>
          <w:b/>
        </w:rPr>
        <w:t xml:space="preserve">Graf 5.1: </w:t>
      </w:r>
      <w:r w:rsidRPr="00CD4988">
        <w:rPr>
          <w:b/>
        </w:rPr>
        <w:t>P</w:t>
      </w:r>
      <w:r>
        <w:rPr>
          <w:b/>
        </w:rPr>
        <w:t>očet p</w:t>
      </w:r>
      <w:r w:rsidRPr="00CD4988">
        <w:rPr>
          <w:b/>
        </w:rPr>
        <w:t>racovní</w:t>
      </w:r>
      <w:r>
        <w:rPr>
          <w:b/>
        </w:rPr>
        <w:t>ch</w:t>
      </w:r>
      <w:r w:rsidRPr="00CD4988">
        <w:rPr>
          <w:b/>
        </w:rPr>
        <w:t xml:space="preserve"> úraz</w:t>
      </w:r>
      <w:r>
        <w:rPr>
          <w:b/>
        </w:rPr>
        <w:t>ů</w:t>
      </w:r>
      <w:r w:rsidRPr="00CD4988">
        <w:rPr>
          <w:b/>
        </w:rPr>
        <w:t xml:space="preserve"> s</w:t>
      </w:r>
      <w:r w:rsidR="007E095A">
        <w:rPr>
          <w:b/>
        </w:rPr>
        <w:t xml:space="preserve"> dočasnou </w:t>
      </w:r>
      <w:r w:rsidRPr="00CD4988">
        <w:rPr>
          <w:b/>
        </w:rPr>
        <w:t xml:space="preserve">pracovní neschopností delší než 3 dny na 100 tis. pojištěnců dle odvětví ekonomické činnosti </w:t>
      </w:r>
      <w:r>
        <w:rPr>
          <w:b/>
        </w:rPr>
        <w:t xml:space="preserve">(sekcí CZ-NACE) </w:t>
      </w:r>
      <w:r w:rsidRPr="00CD4988">
        <w:rPr>
          <w:b/>
        </w:rPr>
        <w:t>v 1. pol. 2019</w:t>
      </w:r>
    </w:p>
    <w:p w14:paraId="7AD0ECDF" w14:textId="64789AE5" w:rsidR="00292C38" w:rsidRPr="00E41950" w:rsidRDefault="003275BA" w:rsidP="00E41950">
      <w:pPr>
        <w:jc w:val="both"/>
        <w:rPr>
          <w:b/>
        </w:rPr>
      </w:pPr>
      <w:r>
        <w:rPr>
          <w:noProof/>
        </w:rPr>
        <w:drawing>
          <wp:inline distT="0" distB="0" distL="0" distR="0" wp14:anchorId="3CE436A9" wp14:editId="40EAE24E">
            <wp:extent cx="6076950" cy="5705475"/>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00DB67FD">
        <w:rPr>
          <w:rFonts w:cs="Arial"/>
          <w:sz w:val="16"/>
          <w:szCs w:val="16"/>
        </w:rPr>
        <w:t>Zdroj: ČSÚ</w:t>
      </w:r>
    </w:p>
    <w:p w14:paraId="3336FE62" w14:textId="69171D0E" w:rsidR="00FA0D30" w:rsidRPr="00C132AF" w:rsidRDefault="00992EE1" w:rsidP="00FA0D30">
      <w:pPr>
        <w:jc w:val="both"/>
      </w:pPr>
      <w:bookmarkStart w:id="11" w:name="_Toc513101505"/>
      <w:r>
        <w:t>N</w:t>
      </w:r>
      <w:r w:rsidR="00FA0D30">
        <w:t>ejvíce pracovních úrazů s DPN delší než 3 dny se v 1. pol. 2019 událo ve Zpracovatelském průmyslu (9</w:t>
      </w:r>
      <w:r>
        <w:t> </w:t>
      </w:r>
      <w:r w:rsidR="00FA0D30">
        <w:t>348</w:t>
      </w:r>
      <w:r>
        <w:t> </w:t>
      </w:r>
      <w:r w:rsidR="00FA0D30">
        <w:t xml:space="preserve">případů), následují </w:t>
      </w:r>
      <w:r w:rsidR="00FA0D30" w:rsidRPr="00C63C0B">
        <w:rPr>
          <w:b/>
        </w:rPr>
        <w:t>odvětví</w:t>
      </w:r>
      <w:r w:rsidR="00FA0D30">
        <w:t xml:space="preserve"> Velkoobchod a maloobchod; opravy a údržba motorových vozidel (2</w:t>
      </w:r>
      <w:r>
        <w:t> </w:t>
      </w:r>
      <w:r w:rsidR="00FA0D30">
        <w:t>688</w:t>
      </w:r>
      <w:r>
        <w:t> </w:t>
      </w:r>
      <w:r w:rsidR="00FA0D30">
        <w:t>případů) a Doprava a skladování (2 402 případů). Pokud však zohledníme zaměstnanost v jednotlivých odvětvích a použijeme relativní ukazatel vztažený na 100 tis. pojištěnců</w:t>
      </w:r>
      <w:r>
        <w:t xml:space="preserve"> pracujících v daném odvětví</w:t>
      </w:r>
      <w:r w:rsidR="00FA0D30">
        <w:t>, nejrizikovějším je Zemědělství, lesnictví a rybářství (1 182 pracovních úrazů na 100 tis. pojištěnců), dále odvětví Zásobování vodou; činnosti související s odpadními vodami, odpady a sanacemi (949), Doprava a</w:t>
      </w:r>
      <w:r w:rsidR="00835C6C">
        <w:t> </w:t>
      </w:r>
      <w:r w:rsidR="00FA0D30">
        <w:t xml:space="preserve">skladování (800), Těžba a dobývání (770) a teprve poté následuje Zpracovatelský průmysl (755). Nejméně </w:t>
      </w:r>
      <w:r w:rsidR="00FA0D30">
        <w:lastRenderedPageBreak/>
        <w:t>rizikovým se jeví odvětví Peněžnictví a pojišťovnictví s 42 pracovními úrazy a Informační a komunikační činnosti se 52 pracovními úrazy</w:t>
      </w:r>
      <w:r w:rsidR="00FA0D30" w:rsidRPr="00F368B6">
        <w:t xml:space="preserve"> </w:t>
      </w:r>
      <w:r w:rsidR="00FA0D30">
        <w:t>na 100 tis. pojištěnců, které si vyžádaly 3denní a delší pracovní neschopnost.</w:t>
      </w:r>
    </w:p>
    <w:p w14:paraId="3D49E574" w14:textId="5619B9B6" w:rsidR="00FA0D30" w:rsidRPr="00FA0D30" w:rsidRDefault="00FA0D30" w:rsidP="00FA0D30">
      <w:pPr>
        <w:jc w:val="both"/>
        <w:rPr>
          <w:rFonts w:cs="Arial"/>
        </w:rPr>
      </w:pPr>
      <w:r w:rsidRPr="001077C2">
        <w:rPr>
          <w:rFonts w:cs="Arial"/>
        </w:rPr>
        <w:t xml:space="preserve">Z pohledu </w:t>
      </w:r>
      <w:r w:rsidRPr="00E41950">
        <w:rPr>
          <w:rFonts w:cs="Arial"/>
          <w:b/>
        </w:rPr>
        <w:t>územního členění</w:t>
      </w:r>
      <w:r w:rsidRPr="001077C2">
        <w:rPr>
          <w:rFonts w:cs="Arial"/>
        </w:rPr>
        <w:t xml:space="preserve"> bylo v</w:t>
      </w:r>
      <w:r>
        <w:rPr>
          <w:rFonts w:cs="Arial"/>
        </w:rPr>
        <w:t> 1. pol. 2019</w:t>
      </w:r>
      <w:r w:rsidRPr="001077C2">
        <w:rPr>
          <w:rFonts w:cs="Arial"/>
        </w:rPr>
        <w:t xml:space="preserve"> nejvíce případů pracovních úrazů s pracovní neschopností delší než 3 kalendářní dny na 100 tis. </w:t>
      </w:r>
      <w:r>
        <w:rPr>
          <w:rFonts w:cs="Arial"/>
        </w:rPr>
        <w:t>nemocensky pojištěných osob</w:t>
      </w:r>
      <w:r w:rsidRPr="001077C2">
        <w:rPr>
          <w:rFonts w:cs="Arial"/>
        </w:rPr>
        <w:t xml:space="preserve"> hlášeno </w:t>
      </w:r>
      <w:r w:rsidR="00992EE1">
        <w:rPr>
          <w:rFonts w:cs="Arial"/>
        </w:rPr>
        <w:t>na Vysočině</w:t>
      </w:r>
      <w:r w:rsidRPr="001077C2">
        <w:rPr>
          <w:rFonts w:cs="Arial"/>
        </w:rPr>
        <w:t xml:space="preserve"> (</w:t>
      </w:r>
      <w:r>
        <w:rPr>
          <w:rFonts w:cs="Arial"/>
        </w:rPr>
        <w:t>739</w:t>
      </w:r>
      <w:r w:rsidR="00992EE1">
        <w:rPr>
          <w:rFonts w:cs="Arial"/>
        </w:rPr>
        <w:t>) a v krajích</w:t>
      </w:r>
      <w:r w:rsidRPr="001077C2">
        <w:rPr>
          <w:rFonts w:cs="Arial"/>
        </w:rPr>
        <w:t xml:space="preserve"> </w:t>
      </w:r>
      <w:r>
        <w:rPr>
          <w:rFonts w:cs="Arial"/>
        </w:rPr>
        <w:t xml:space="preserve">Jihočeském (735) a </w:t>
      </w:r>
      <w:r w:rsidRPr="001077C2">
        <w:rPr>
          <w:rFonts w:cs="Arial"/>
        </w:rPr>
        <w:t>Plzeňském (</w:t>
      </w:r>
      <w:r>
        <w:rPr>
          <w:rFonts w:cs="Arial"/>
        </w:rPr>
        <w:t>686</w:t>
      </w:r>
      <w:r w:rsidRPr="001077C2">
        <w:rPr>
          <w:rFonts w:cs="Arial"/>
        </w:rPr>
        <w:t>)</w:t>
      </w:r>
      <w:r>
        <w:rPr>
          <w:rFonts w:cs="Arial"/>
        </w:rPr>
        <w:t>.</w:t>
      </w:r>
      <w:r w:rsidR="00992EE1">
        <w:rPr>
          <w:rFonts w:cs="Arial"/>
        </w:rPr>
        <w:t xml:space="preserve"> </w:t>
      </w:r>
      <w:r w:rsidRPr="001077C2">
        <w:rPr>
          <w:rFonts w:cs="Arial"/>
        </w:rPr>
        <w:t>Následují Ústecký kraj s </w:t>
      </w:r>
      <w:r>
        <w:rPr>
          <w:rFonts w:cs="Arial"/>
        </w:rPr>
        <w:t>665</w:t>
      </w:r>
      <w:r w:rsidRPr="001077C2">
        <w:rPr>
          <w:rFonts w:cs="Arial"/>
        </w:rPr>
        <w:t xml:space="preserve"> případy a Královéhradecký kraj s</w:t>
      </w:r>
      <w:r>
        <w:rPr>
          <w:rFonts w:cs="Arial"/>
        </w:rPr>
        <w:t> 639 </w:t>
      </w:r>
      <w:r w:rsidRPr="001077C2">
        <w:rPr>
          <w:rFonts w:cs="Arial"/>
        </w:rPr>
        <w:t>případy na 100 tis. pojištěnců. Nejméně případů pak bylo hlášeno v Praze (</w:t>
      </w:r>
      <w:r>
        <w:rPr>
          <w:rFonts w:cs="Arial"/>
        </w:rPr>
        <w:t>280).</w:t>
      </w:r>
    </w:p>
    <w:p w14:paraId="2828F2EA" w14:textId="5A4A2CEE" w:rsidR="00FA0D30" w:rsidRPr="00FA0D30" w:rsidRDefault="00992EE1" w:rsidP="00FA0D30">
      <w:pPr>
        <w:jc w:val="both"/>
        <w:rPr>
          <w:rFonts w:cs="Arial"/>
          <w:szCs w:val="20"/>
        </w:rPr>
      </w:pPr>
      <w:r>
        <w:rPr>
          <w:rFonts w:cs="Arial"/>
        </w:rPr>
        <w:t>Regionální r</w:t>
      </w:r>
      <w:r w:rsidR="00FA0D30" w:rsidRPr="00AD43E3">
        <w:rPr>
          <w:rFonts w:cs="Arial"/>
        </w:rPr>
        <w:t xml:space="preserve">ozdíly výskytu pracovních úrazů jsou do značné míry ovlivněny strukturou zaměstnanosti, charakterem převažující ekonomické činnosti a mírou nezaměstnanosti v daném </w:t>
      </w:r>
      <w:r>
        <w:rPr>
          <w:rFonts w:cs="Arial"/>
        </w:rPr>
        <w:t>kraji</w:t>
      </w:r>
      <w:r w:rsidR="00FA0D30" w:rsidRPr="00AD43E3">
        <w:rPr>
          <w:rFonts w:cs="Arial"/>
        </w:rPr>
        <w:t xml:space="preserve">. </w:t>
      </w:r>
      <w:r w:rsidR="00FA0D30">
        <w:rPr>
          <w:rFonts w:cs="Arial"/>
        </w:rPr>
        <w:t xml:space="preserve">Je nutné připomenout i metodiku zpracování dat, kdy </w:t>
      </w:r>
      <w:r w:rsidR="00FA0D30" w:rsidRPr="00AD43E3">
        <w:rPr>
          <w:rFonts w:cs="Arial"/>
        </w:rPr>
        <w:t>rozdělení do</w:t>
      </w:r>
      <w:r w:rsidR="00FA0D30" w:rsidRPr="00AD43E3">
        <w:rPr>
          <w:rFonts w:cs="Arial"/>
          <w:szCs w:val="20"/>
        </w:rPr>
        <w:t xml:space="preserve"> </w:t>
      </w:r>
      <w:r w:rsidR="00FA0D30">
        <w:rPr>
          <w:rFonts w:cs="Arial"/>
          <w:szCs w:val="20"/>
        </w:rPr>
        <w:t xml:space="preserve">jednotlivých </w:t>
      </w:r>
      <w:r w:rsidR="00FA0D30" w:rsidRPr="00AD43E3">
        <w:rPr>
          <w:rFonts w:cs="Arial"/>
          <w:szCs w:val="20"/>
        </w:rPr>
        <w:t>krajů vychází z údaje o sídle út</w:t>
      </w:r>
      <w:r w:rsidR="00835C6C">
        <w:rPr>
          <w:rFonts w:cs="Arial"/>
          <w:szCs w:val="20"/>
        </w:rPr>
        <w:t>varu, který vede evidenci mezd zaměstnavateli</w:t>
      </w:r>
      <w:r w:rsidR="00FA0D30" w:rsidRPr="00AD43E3">
        <w:rPr>
          <w:rFonts w:cs="Arial"/>
          <w:szCs w:val="20"/>
        </w:rPr>
        <w:t xml:space="preserve"> osoby, která je v pracovní neschopnosti</w:t>
      </w:r>
      <w:r w:rsidR="00FA0D30">
        <w:rPr>
          <w:rFonts w:cs="Arial"/>
          <w:szCs w:val="20"/>
        </w:rPr>
        <w:t xml:space="preserve"> pro pracovní úraz</w:t>
      </w:r>
      <w:r w:rsidR="00FA0D30" w:rsidRPr="00AD43E3">
        <w:rPr>
          <w:rFonts w:cs="Arial"/>
          <w:szCs w:val="20"/>
        </w:rPr>
        <w:t>.</w:t>
      </w:r>
    </w:p>
    <w:p w14:paraId="3A468580" w14:textId="1C728839" w:rsidR="00FA0D30" w:rsidRDefault="00FA0D30" w:rsidP="00FA0D30">
      <w:pPr>
        <w:jc w:val="both"/>
      </w:pPr>
      <w:r w:rsidRPr="00782A3A">
        <w:t>V 1. pol. 201</w:t>
      </w:r>
      <w:r>
        <w:t>9</w:t>
      </w:r>
      <w:r w:rsidRPr="00782A3A">
        <w:t xml:space="preserve"> bylo Státním úřadem inspekce práce (SÚIP) evidováno celkem 5</w:t>
      </w:r>
      <w:r>
        <w:t>5</w:t>
      </w:r>
      <w:r w:rsidRPr="00782A3A">
        <w:t xml:space="preserve">1 </w:t>
      </w:r>
      <w:r>
        <w:t xml:space="preserve">závažných </w:t>
      </w:r>
      <w:r w:rsidRPr="00782A3A">
        <w:t xml:space="preserve">pracovních úrazů, u kterých </w:t>
      </w:r>
      <w:r w:rsidRPr="00933C5B">
        <w:t>hospitalizace přesáhla 5 dnů, z toho bylo 4</w:t>
      </w:r>
      <w:r>
        <w:t>48</w:t>
      </w:r>
      <w:r w:rsidRPr="00933C5B">
        <w:t xml:space="preserve"> případů </w:t>
      </w:r>
      <w:r>
        <w:t>zaznamenáno</w:t>
      </w:r>
      <w:r w:rsidR="00992EE1">
        <w:t xml:space="preserve"> u mužů, u žen pouze </w:t>
      </w:r>
      <w:r>
        <w:t>103</w:t>
      </w:r>
      <w:r w:rsidRPr="00933C5B">
        <w:t xml:space="preserve"> případů.</w:t>
      </w:r>
      <w:r>
        <w:t xml:space="preserve"> Počet závažných úrazů je nejnižší od roku 1. pol. roku 2011.</w:t>
      </w:r>
    </w:p>
    <w:p w14:paraId="59B30684" w14:textId="0D793A08" w:rsidR="00EE1C59" w:rsidRDefault="00EE1C59" w:rsidP="00FA0D30">
      <w:pPr>
        <w:jc w:val="both"/>
        <w:rPr>
          <w:b/>
        </w:rPr>
      </w:pPr>
      <w:r w:rsidRPr="00E51B4F">
        <w:rPr>
          <w:rFonts w:cs="Arial"/>
        </w:rPr>
        <w:t xml:space="preserve">Z pohledu </w:t>
      </w:r>
      <w:r w:rsidRPr="00F977B3">
        <w:rPr>
          <w:rFonts w:cs="Arial"/>
          <w:b/>
        </w:rPr>
        <w:t>velikosti podniku</w:t>
      </w:r>
      <w:r w:rsidRPr="00E51B4F">
        <w:rPr>
          <w:rFonts w:cs="Arial"/>
        </w:rPr>
        <w:t xml:space="preserve"> </w:t>
      </w:r>
      <w:r>
        <w:rPr>
          <w:rFonts w:cs="Arial"/>
        </w:rPr>
        <w:t xml:space="preserve">se </w:t>
      </w:r>
      <w:r w:rsidRPr="00E51B4F">
        <w:rPr>
          <w:rFonts w:cs="Arial"/>
        </w:rPr>
        <w:t xml:space="preserve">v 1. pololetí </w:t>
      </w:r>
      <w:r>
        <w:rPr>
          <w:rFonts w:cs="Arial"/>
        </w:rPr>
        <w:t xml:space="preserve">2019 </w:t>
      </w:r>
      <w:r w:rsidRPr="00E51B4F">
        <w:rPr>
          <w:rFonts w:cs="Arial"/>
        </w:rPr>
        <w:t xml:space="preserve">nejvíce pracovních úrazů s pracovní neschopností delší než 3 dny </w:t>
      </w:r>
      <w:r>
        <w:rPr>
          <w:rFonts w:cs="Arial"/>
        </w:rPr>
        <w:t xml:space="preserve">událo u </w:t>
      </w:r>
      <w:r w:rsidRPr="00E51B4F">
        <w:rPr>
          <w:rFonts w:cs="Arial"/>
        </w:rPr>
        <w:t>zaměstnavatel</w:t>
      </w:r>
      <w:r>
        <w:rPr>
          <w:rFonts w:cs="Arial"/>
        </w:rPr>
        <w:t>ů</w:t>
      </w:r>
      <w:r w:rsidRPr="00E51B4F">
        <w:rPr>
          <w:rFonts w:cs="Arial"/>
        </w:rPr>
        <w:t xml:space="preserve"> s 500 a více zaměstnanci – 7 </w:t>
      </w:r>
      <w:r>
        <w:rPr>
          <w:rFonts w:cs="Arial"/>
        </w:rPr>
        <w:t>005</w:t>
      </w:r>
      <w:r w:rsidRPr="00E51B4F">
        <w:rPr>
          <w:rFonts w:cs="Arial"/>
        </w:rPr>
        <w:t xml:space="preserve"> případů (</w:t>
      </w:r>
      <w:r>
        <w:rPr>
          <w:rFonts w:cs="Arial"/>
        </w:rPr>
        <w:t>31</w:t>
      </w:r>
      <w:r w:rsidRPr="00E51B4F">
        <w:rPr>
          <w:rFonts w:cs="Arial"/>
        </w:rPr>
        <w:t xml:space="preserve">% podíl na republikové hodnotě), následováni zaměstnavateli </w:t>
      </w:r>
      <w:r>
        <w:rPr>
          <w:rFonts w:cs="Arial"/>
        </w:rPr>
        <w:t>mající do 50 zaměstnanců</w:t>
      </w:r>
      <w:r w:rsidRPr="00E51B4F">
        <w:rPr>
          <w:rFonts w:cs="Arial"/>
        </w:rPr>
        <w:t xml:space="preserve"> – 5 </w:t>
      </w:r>
      <w:r>
        <w:rPr>
          <w:rFonts w:cs="Arial"/>
        </w:rPr>
        <w:t>752</w:t>
      </w:r>
      <w:r w:rsidRPr="00E51B4F">
        <w:rPr>
          <w:rFonts w:cs="Arial"/>
        </w:rPr>
        <w:t xml:space="preserve"> případ</w:t>
      </w:r>
      <w:r>
        <w:rPr>
          <w:rFonts w:cs="Arial"/>
        </w:rPr>
        <w:t>ů</w:t>
      </w:r>
      <w:r w:rsidRPr="00E51B4F">
        <w:rPr>
          <w:rFonts w:cs="Arial"/>
        </w:rPr>
        <w:t xml:space="preserve"> (</w:t>
      </w:r>
      <w:r>
        <w:rPr>
          <w:rFonts w:cs="Arial"/>
        </w:rPr>
        <w:t>25</w:t>
      </w:r>
      <w:r w:rsidRPr="00E51B4F">
        <w:rPr>
          <w:rFonts w:cs="Arial"/>
        </w:rPr>
        <w:t xml:space="preserve">% podíl). V případě relativního ukazatele je situace odlišná – nejvíce pracovních úrazů s pracovní neschopnosti delší než 3 dny na 100 tis. pojištěnců </w:t>
      </w:r>
      <w:r>
        <w:rPr>
          <w:rFonts w:cs="Arial"/>
        </w:rPr>
        <w:t>hlásily středně velké podniky se</w:t>
      </w:r>
      <w:r w:rsidRPr="00E51B4F">
        <w:rPr>
          <w:rFonts w:cs="Arial"/>
        </w:rPr>
        <w:t xml:space="preserve"> 100–249 zaměstnanci (</w:t>
      </w:r>
      <w:r>
        <w:rPr>
          <w:rFonts w:cs="Arial"/>
        </w:rPr>
        <w:t>672</w:t>
      </w:r>
      <w:r w:rsidRPr="00E51B4F">
        <w:rPr>
          <w:rFonts w:cs="Arial"/>
        </w:rPr>
        <w:t>), nejméně případů pak zaznamenáváme u osob samostatně výdělečně činných</w:t>
      </w:r>
      <w:r w:rsidR="00A72C46">
        <w:rPr>
          <w:rFonts w:cs="Arial"/>
        </w:rPr>
        <w:t xml:space="preserve"> (111)</w:t>
      </w:r>
      <w:r w:rsidRPr="00E51B4F">
        <w:rPr>
          <w:rFonts w:cs="Arial"/>
        </w:rPr>
        <w:t>.</w:t>
      </w:r>
    </w:p>
    <w:p w14:paraId="4951D6B5" w14:textId="555CE07F" w:rsidR="00CD4988" w:rsidRDefault="00CD4988" w:rsidP="0019246C">
      <w:pPr>
        <w:spacing w:after="120" w:line="240" w:lineRule="auto"/>
        <w:jc w:val="both"/>
        <w:rPr>
          <w:b/>
        </w:rPr>
      </w:pPr>
      <w:r w:rsidRPr="00CD4988">
        <w:rPr>
          <w:b/>
        </w:rPr>
        <w:t>Graf 5.2: P</w:t>
      </w:r>
      <w:r>
        <w:rPr>
          <w:b/>
        </w:rPr>
        <w:t>očet p</w:t>
      </w:r>
      <w:r w:rsidRPr="00CD4988">
        <w:rPr>
          <w:b/>
        </w:rPr>
        <w:t>racovní</w:t>
      </w:r>
      <w:r>
        <w:rPr>
          <w:b/>
        </w:rPr>
        <w:t>ch</w:t>
      </w:r>
      <w:r w:rsidRPr="00CD4988">
        <w:rPr>
          <w:b/>
        </w:rPr>
        <w:t xml:space="preserve"> úraz</w:t>
      </w:r>
      <w:r>
        <w:rPr>
          <w:b/>
        </w:rPr>
        <w:t>ů</w:t>
      </w:r>
      <w:r w:rsidRPr="00CD4988">
        <w:rPr>
          <w:b/>
        </w:rPr>
        <w:t xml:space="preserve"> s</w:t>
      </w:r>
      <w:r w:rsidR="007E095A">
        <w:rPr>
          <w:b/>
        </w:rPr>
        <w:t xml:space="preserve"> dočasnou </w:t>
      </w:r>
      <w:r w:rsidRPr="00CD4988">
        <w:rPr>
          <w:b/>
        </w:rPr>
        <w:t>pracovní neschopno</w:t>
      </w:r>
      <w:r w:rsidR="00992EE1">
        <w:rPr>
          <w:b/>
        </w:rPr>
        <w:t>stí delší než 3 dny na 100 tis. p</w:t>
      </w:r>
      <w:r w:rsidRPr="00CD4988">
        <w:rPr>
          <w:b/>
        </w:rPr>
        <w:t>ojištěnců podle krajů ČR v 1. pol. 2019</w:t>
      </w:r>
    </w:p>
    <w:p w14:paraId="07041C7B" w14:textId="74ED4E7C" w:rsidR="00F368B6" w:rsidRPr="001338A0" w:rsidRDefault="00CD4988" w:rsidP="0019246C">
      <w:pPr>
        <w:spacing w:after="0" w:line="240" w:lineRule="auto"/>
        <w:rPr>
          <w:rFonts w:cs="Arial"/>
          <w:sz w:val="16"/>
          <w:szCs w:val="16"/>
        </w:rPr>
      </w:pPr>
      <w:r>
        <w:rPr>
          <w:noProof/>
        </w:rPr>
        <w:drawing>
          <wp:inline distT="0" distB="0" distL="0" distR="0" wp14:anchorId="30DFD3E3" wp14:editId="0EB6767D">
            <wp:extent cx="6105525" cy="3543300"/>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00F368B6">
        <w:rPr>
          <w:rFonts w:cs="Arial"/>
          <w:sz w:val="16"/>
          <w:szCs w:val="16"/>
        </w:rPr>
        <w:t>Zdroj: ČSÚ</w:t>
      </w:r>
    </w:p>
    <w:bookmarkEnd w:id="11"/>
    <w:p w14:paraId="1C6FF535" w14:textId="77777777" w:rsidR="00CD4988" w:rsidRDefault="00CD4988">
      <w:pPr>
        <w:spacing w:after="0" w:line="240" w:lineRule="auto"/>
        <w:rPr>
          <w:rFonts w:cs="Arial"/>
        </w:rPr>
      </w:pPr>
      <w:r>
        <w:rPr>
          <w:rFonts w:cs="Arial"/>
        </w:rPr>
        <w:br w:type="page"/>
      </w:r>
    </w:p>
    <w:p w14:paraId="128F53C7" w14:textId="223D0539" w:rsidR="00C62BD6" w:rsidRDefault="00C62BD6" w:rsidP="006701EE">
      <w:pPr>
        <w:pStyle w:val="Nadpis2"/>
        <w:spacing w:after="100"/>
      </w:pPr>
      <w:bookmarkStart w:id="12" w:name="_Toc23318733"/>
      <w:r>
        <w:lastRenderedPageBreak/>
        <w:t>4.</w:t>
      </w:r>
      <w:r w:rsidR="003E0F4C">
        <w:t>6</w:t>
      </w:r>
      <w:r>
        <w:t>. Závěrečné shrnutí</w:t>
      </w:r>
      <w:bookmarkEnd w:id="12"/>
    </w:p>
    <w:p w14:paraId="587C2991" w14:textId="2FF4B8C8" w:rsidR="002D2FE8" w:rsidRDefault="00061AF0" w:rsidP="006B4B80">
      <w:pPr>
        <w:pStyle w:val="Seznam"/>
        <w:numPr>
          <w:ilvl w:val="0"/>
          <w:numId w:val="43"/>
        </w:numPr>
        <w:jc w:val="both"/>
        <w:rPr>
          <w:rFonts w:cs="Arial"/>
        </w:rPr>
      </w:pPr>
      <w:r w:rsidRPr="002D2FE8">
        <w:rPr>
          <w:rFonts w:cs="Arial"/>
        </w:rPr>
        <w:t>Průměrný počet nemocensky pojištěných za 1. pol. 201</w:t>
      </w:r>
      <w:r w:rsidR="001852CC" w:rsidRPr="002D2FE8">
        <w:rPr>
          <w:rFonts w:cs="Arial"/>
        </w:rPr>
        <w:t>9</w:t>
      </w:r>
      <w:r w:rsidRPr="002D2FE8">
        <w:rPr>
          <w:rFonts w:cs="Arial"/>
        </w:rPr>
        <w:t xml:space="preserve"> činil </w:t>
      </w:r>
      <w:r w:rsidR="001852CC" w:rsidRPr="002D2FE8">
        <w:rPr>
          <w:rFonts w:cs="Arial"/>
        </w:rPr>
        <w:t>4 736,9</w:t>
      </w:r>
      <w:r w:rsidRPr="002D2FE8">
        <w:rPr>
          <w:rFonts w:cs="Arial"/>
        </w:rPr>
        <w:t xml:space="preserve"> tis. osob, z čehož 50,</w:t>
      </w:r>
      <w:r w:rsidR="001852CC" w:rsidRPr="002D2FE8">
        <w:rPr>
          <w:rFonts w:cs="Arial"/>
        </w:rPr>
        <w:t>4</w:t>
      </w:r>
      <w:r w:rsidRPr="002D2FE8">
        <w:rPr>
          <w:rFonts w:cs="Arial"/>
        </w:rPr>
        <w:t> % tvořili muži a 49,</w:t>
      </w:r>
      <w:r w:rsidR="001852CC" w:rsidRPr="002D2FE8">
        <w:rPr>
          <w:rFonts w:cs="Arial"/>
        </w:rPr>
        <w:t>6</w:t>
      </w:r>
      <w:r w:rsidRPr="002D2FE8">
        <w:rPr>
          <w:rFonts w:cs="Arial"/>
          <w:lang w:val="en-US"/>
        </w:rPr>
        <w:t xml:space="preserve"> % </w:t>
      </w:r>
      <w:r w:rsidRPr="002D2FE8">
        <w:rPr>
          <w:rFonts w:cs="Arial"/>
        </w:rPr>
        <w:t>ženy. Oproti 1. pol. 201</w:t>
      </w:r>
      <w:r w:rsidR="00CA1CA7">
        <w:rPr>
          <w:rFonts w:cs="Arial"/>
        </w:rPr>
        <w:t>8</w:t>
      </w:r>
      <w:r w:rsidRPr="002D2FE8">
        <w:rPr>
          <w:rFonts w:cs="Arial"/>
        </w:rPr>
        <w:t xml:space="preserve"> (4</w:t>
      </w:r>
      <w:r w:rsidR="001852CC" w:rsidRPr="002D2FE8">
        <w:rPr>
          <w:rFonts w:cs="Arial"/>
        </w:rPr>
        <w:t> 710,8</w:t>
      </w:r>
      <w:r w:rsidRPr="002D2FE8">
        <w:rPr>
          <w:rFonts w:cs="Arial"/>
        </w:rPr>
        <w:t xml:space="preserve"> tis. osob) </w:t>
      </w:r>
      <w:r w:rsidR="001852CC" w:rsidRPr="002D2FE8">
        <w:rPr>
          <w:rFonts w:cs="Arial"/>
        </w:rPr>
        <w:t>došlo k nárůstu</w:t>
      </w:r>
      <w:r w:rsidRPr="002D2FE8">
        <w:rPr>
          <w:rFonts w:cs="Arial"/>
        </w:rPr>
        <w:t xml:space="preserve"> o </w:t>
      </w:r>
      <w:r w:rsidR="001852CC" w:rsidRPr="002D2FE8">
        <w:rPr>
          <w:rFonts w:cs="Arial"/>
        </w:rPr>
        <w:t>26,1 tis. pojištěnců, tj.</w:t>
      </w:r>
      <w:r w:rsidR="008C51BB">
        <w:rPr>
          <w:rFonts w:cs="Arial"/>
        </w:rPr>
        <w:t> </w:t>
      </w:r>
      <w:r w:rsidR="001852CC" w:rsidRPr="002D2FE8">
        <w:rPr>
          <w:rFonts w:cs="Arial"/>
        </w:rPr>
        <w:t>o</w:t>
      </w:r>
      <w:r w:rsidR="008C51BB">
        <w:rPr>
          <w:rFonts w:cs="Arial"/>
        </w:rPr>
        <w:t> </w:t>
      </w:r>
      <w:r w:rsidR="001852CC" w:rsidRPr="002D2FE8">
        <w:rPr>
          <w:rFonts w:cs="Arial"/>
        </w:rPr>
        <w:t>0,6 %</w:t>
      </w:r>
      <w:r w:rsidR="002D2FE8" w:rsidRPr="002D2FE8">
        <w:rPr>
          <w:rFonts w:cs="Arial"/>
        </w:rPr>
        <w:t>.</w:t>
      </w:r>
    </w:p>
    <w:p w14:paraId="634DA3C4" w14:textId="44BB175D" w:rsidR="00325BD1" w:rsidRPr="002D2FE8" w:rsidRDefault="00C952ED" w:rsidP="006B4B80">
      <w:pPr>
        <w:pStyle w:val="Seznam"/>
        <w:numPr>
          <w:ilvl w:val="0"/>
          <w:numId w:val="43"/>
        </w:numPr>
        <w:jc w:val="both"/>
        <w:rPr>
          <w:rFonts w:cs="Arial"/>
        </w:rPr>
      </w:pPr>
      <w:r w:rsidRPr="002D2FE8">
        <w:rPr>
          <w:bCs/>
        </w:rPr>
        <w:t xml:space="preserve">Poprvé od roku 2015 došlo k poklesu počtu nově hlášených případů pracovní neschopnosti. </w:t>
      </w:r>
      <w:r w:rsidR="004A50E3" w:rsidRPr="002D2FE8">
        <w:rPr>
          <w:bCs/>
        </w:rPr>
        <w:t>Absolutní počet nově hlášených případů dočasné pracovní neschopnosti</w:t>
      </w:r>
      <w:r w:rsidR="004A50E3" w:rsidRPr="002D2FE8">
        <w:rPr>
          <w:rFonts w:cs="Arial"/>
        </w:rPr>
        <w:t xml:space="preserve"> meziročně </w:t>
      </w:r>
      <w:r w:rsidRPr="002D2FE8">
        <w:rPr>
          <w:rFonts w:cs="Arial"/>
        </w:rPr>
        <w:t>klesl</w:t>
      </w:r>
      <w:r w:rsidR="004A50E3" w:rsidRPr="002D2FE8">
        <w:rPr>
          <w:rFonts w:cs="Arial"/>
        </w:rPr>
        <w:t xml:space="preserve"> z</w:t>
      </w:r>
      <w:r w:rsidRPr="002D2FE8">
        <w:rPr>
          <w:rFonts w:cs="Arial"/>
        </w:rPr>
        <w:t xml:space="preserve"> 1 040,2 </w:t>
      </w:r>
      <w:r w:rsidR="004A50E3" w:rsidRPr="002D2FE8">
        <w:rPr>
          <w:rFonts w:cs="Arial"/>
        </w:rPr>
        <w:t>tis. případů v 1. pol. 201</w:t>
      </w:r>
      <w:r w:rsidRPr="002D2FE8">
        <w:rPr>
          <w:rFonts w:cs="Arial"/>
        </w:rPr>
        <w:t>8</w:t>
      </w:r>
      <w:r w:rsidR="004A50E3" w:rsidRPr="002D2FE8">
        <w:rPr>
          <w:rFonts w:cs="Arial"/>
        </w:rPr>
        <w:t xml:space="preserve"> na </w:t>
      </w:r>
      <w:r w:rsidRPr="002D2FE8">
        <w:rPr>
          <w:rFonts w:cs="Arial"/>
        </w:rPr>
        <w:t>975,0</w:t>
      </w:r>
      <w:r w:rsidR="004A50E3" w:rsidRPr="002D2FE8">
        <w:rPr>
          <w:rFonts w:cs="Arial"/>
        </w:rPr>
        <w:t xml:space="preserve"> tis. případů v 1. pol. 201</w:t>
      </w:r>
      <w:r w:rsidRPr="002D2FE8">
        <w:rPr>
          <w:rFonts w:cs="Arial"/>
        </w:rPr>
        <w:t>9</w:t>
      </w:r>
      <w:r w:rsidR="004A50E3" w:rsidRPr="002D2FE8">
        <w:rPr>
          <w:rFonts w:cs="Arial"/>
        </w:rPr>
        <w:t xml:space="preserve"> (</w:t>
      </w:r>
      <w:r w:rsidR="00325BD1" w:rsidRPr="002D2FE8">
        <w:rPr>
          <w:rFonts w:cs="Arial"/>
        </w:rPr>
        <w:t>v relativním vyjádření</w:t>
      </w:r>
      <w:r w:rsidR="004A50E3" w:rsidRPr="002D2FE8">
        <w:rPr>
          <w:rFonts w:cs="Arial"/>
        </w:rPr>
        <w:t xml:space="preserve"> o </w:t>
      </w:r>
      <w:r w:rsidRPr="002D2FE8">
        <w:rPr>
          <w:rFonts w:cs="Arial"/>
        </w:rPr>
        <w:t>6,3</w:t>
      </w:r>
      <w:r w:rsidR="004A50E3" w:rsidRPr="002D2FE8">
        <w:rPr>
          <w:rFonts w:cs="Arial"/>
        </w:rPr>
        <w:t xml:space="preserve"> %). </w:t>
      </w:r>
      <w:r w:rsidR="00325BD1" w:rsidRPr="002D2FE8">
        <w:rPr>
          <w:rFonts w:cs="Arial"/>
        </w:rPr>
        <w:t>Naprostá většina (</w:t>
      </w:r>
      <w:r w:rsidR="00622D50" w:rsidRPr="002D2FE8">
        <w:rPr>
          <w:rFonts w:cs="Arial"/>
        </w:rPr>
        <w:t>90</w:t>
      </w:r>
      <w:r w:rsidR="00325BD1" w:rsidRPr="002D2FE8">
        <w:rPr>
          <w:rFonts w:cs="Arial"/>
        </w:rPr>
        <w:t xml:space="preserve"> %) všech hlášení se týkala neschopnosti pro nemoc, pracovní úrazy zaujímaly 2 % a jiné než pracovní úrazy 8 % všech případů pracovní neschopnosti.</w:t>
      </w:r>
    </w:p>
    <w:p w14:paraId="56714EB6" w14:textId="12A3FB77" w:rsidR="00325BD1" w:rsidRDefault="00325BD1" w:rsidP="004A50E3">
      <w:pPr>
        <w:pStyle w:val="Seznam"/>
        <w:numPr>
          <w:ilvl w:val="0"/>
          <w:numId w:val="43"/>
        </w:numPr>
        <w:jc w:val="both"/>
        <w:rPr>
          <w:rFonts w:cs="Arial"/>
        </w:rPr>
      </w:pPr>
      <w:r>
        <w:rPr>
          <w:rFonts w:cs="Arial"/>
        </w:rPr>
        <w:t>Častěji nastupovaly do pracovní neschopnosti již tradičně ženy. Podílely se na pracovní neschopnosti 53 %. Počet případů u žen činil 521 tis., zatímco u mužů o 67 tis. méně – 454 tis.</w:t>
      </w:r>
    </w:p>
    <w:p w14:paraId="2B24B179" w14:textId="77777777" w:rsidR="00622D50" w:rsidRDefault="00325BD1" w:rsidP="00261637">
      <w:pPr>
        <w:pStyle w:val="Seznam"/>
        <w:numPr>
          <w:ilvl w:val="0"/>
          <w:numId w:val="43"/>
        </w:numPr>
        <w:jc w:val="both"/>
        <w:rPr>
          <w:rFonts w:cs="Arial"/>
        </w:rPr>
      </w:pPr>
      <w:r>
        <w:rPr>
          <w:rFonts w:cs="Arial"/>
        </w:rPr>
        <w:t>Z celkového počtu neschopností pro pracovní úrazy připadá na ženy pouze 33 %. Je to dáno především odlišnou strukturou zaměstnanosti žen a mužů. Odvětví, kde převládají muži a vyskytují se zvýšená rizika pracovního úrazu, jsou např. Těžba a dobývání, Zpracovatelský průmysl, Stavebnictví, Doprava a skladování</w:t>
      </w:r>
      <w:r w:rsidR="00261637">
        <w:rPr>
          <w:rFonts w:cs="Arial"/>
        </w:rPr>
        <w:t>,</w:t>
      </w:r>
      <w:r w:rsidR="00261637" w:rsidRPr="00261637">
        <w:rPr>
          <w:bCs/>
        </w:rPr>
        <w:t xml:space="preserve"> </w:t>
      </w:r>
      <w:r w:rsidR="00261637" w:rsidRPr="003364AA">
        <w:rPr>
          <w:bCs/>
        </w:rPr>
        <w:t>Zásobování vodou; činnosti související s odpady a sanacemi</w:t>
      </w:r>
      <w:r>
        <w:rPr>
          <w:rFonts w:cs="Arial"/>
        </w:rPr>
        <w:t xml:space="preserve"> či Zemědělství, lesnictví a rybářství. Naopak odvětví, kde převažují ženy a rizika pracovních úrazů bývají méně častá, jsou </w:t>
      </w:r>
      <w:r w:rsidR="00261637">
        <w:rPr>
          <w:rFonts w:cs="Arial"/>
        </w:rPr>
        <w:t xml:space="preserve">např. </w:t>
      </w:r>
      <w:r>
        <w:rPr>
          <w:rFonts w:cs="Arial"/>
        </w:rPr>
        <w:t xml:space="preserve">Peněžnictví a pojišťovnictví, Veřejná správa, Vzdělávání a Zdravotní a sociální péče. </w:t>
      </w:r>
    </w:p>
    <w:p w14:paraId="62FECA9E" w14:textId="33D1DCDF" w:rsidR="00261637" w:rsidRDefault="00325BD1" w:rsidP="00261637">
      <w:pPr>
        <w:pStyle w:val="Seznam"/>
        <w:numPr>
          <w:ilvl w:val="0"/>
          <w:numId w:val="43"/>
        </w:numPr>
        <w:jc w:val="both"/>
        <w:rPr>
          <w:rFonts w:cs="Arial"/>
        </w:rPr>
      </w:pPr>
      <w:r>
        <w:rPr>
          <w:rFonts w:cs="Arial"/>
        </w:rPr>
        <w:t>Ještě výraznější rozdíl</w:t>
      </w:r>
      <w:r w:rsidR="00622D50">
        <w:rPr>
          <w:rFonts w:cs="Arial"/>
        </w:rPr>
        <w:t xml:space="preserve"> hodnot podle pohlaví </w:t>
      </w:r>
      <w:r>
        <w:rPr>
          <w:rFonts w:cs="Arial"/>
        </w:rPr>
        <w:t xml:space="preserve">je patrný u smrtelných pracovních úrazů. Z celkového počtu </w:t>
      </w:r>
      <w:r w:rsidR="00261637">
        <w:rPr>
          <w:rFonts w:cs="Arial"/>
        </w:rPr>
        <w:t>40</w:t>
      </w:r>
      <w:r w:rsidR="008B3915">
        <w:rPr>
          <w:rFonts w:cs="Arial"/>
        </w:rPr>
        <w:t xml:space="preserve"> smrtelných</w:t>
      </w:r>
      <w:r>
        <w:rPr>
          <w:rFonts w:cs="Arial"/>
        </w:rPr>
        <w:t xml:space="preserve"> </w:t>
      </w:r>
      <w:r w:rsidR="008B3915">
        <w:rPr>
          <w:rFonts w:cs="Arial"/>
        </w:rPr>
        <w:t xml:space="preserve">úrazů </w:t>
      </w:r>
      <w:r>
        <w:rPr>
          <w:rFonts w:cs="Arial"/>
        </w:rPr>
        <w:t xml:space="preserve">v 1. pol. 2019 připadalo </w:t>
      </w:r>
      <w:r w:rsidR="00261637">
        <w:rPr>
          <w:rFonts w:cs="Arial"/>
        </w:rPr>
        <w:t>37</w:t>
      </w:r>
      <w:r>
        <w:rPr>
          <w:rFonts w:cs="Arial"/>
        </w:rPr>
        <w:t xml:space="preserve"> na muže (tj. </w:t>
      </w:r>
      <w:r w:rsidR="00261637">
        <w:rPr>
          <w:rFonts w:cs="Arial"/>
        </w:rPr>
        <w:t>93</w:t>
      </w:r>
      <w:r>
        <w:rPr>
          <w:rFonts w:cs="Arial"/>
        </w:rPr>
        <w:t xml:space="preserve"> %). Oproti předchozímu roku došlo k poklesu smrtelných pracovních úrazů o </w:t>
      </w:r>
      <w:r w:rsidR="00261637">
        <w:rPr>
          <w:rFonts w:cs="Arial"/>
        </w:rPr>
        <w:t>třetinu</w:t>
      </w:r>
      <w:r>
        <w:rPr>
          <w:rFonts w:cs="Arial"/>
        </w:rPr>
        <w:t xml:space="preserve"> (v 1. pol. 2018 bylo evidováno 60 případů).</w:t>
      </w:r>
    </w:p>
    <w:p w14:paraId="194DCF55" w14:textId="49F20364" w:rsidR="00261637" w:rsidRPr="00261637" w:rsidRDefault="00261637" w:rsidP="00261637">
      <w:pPr>
        <w:pStyle w:val="Seznam"/>
        <w:numPr>
          <w:ilvl w:val="0"/>
          <w:numId w:val="43"/>
        </w:numPr>
        <w:jc w:val="both"/>
        <w:rPr>
          <w:rFonts w:cs="Arial"/>
        </w:rPr>
      </w:pPr>
      <w:r>
        <w:rPr>
          <w:rFonts w:cs="Arial"/>
        </w:rPr>
        <w:t>Podíl pracovních neschopností celkem a neschopností pro nemoc zůstává pro obě pohlaví dlouhodobě relativně konstantní, pracovních neschopností zapříčiněných úrazem u žen přibývá.</w:t>
      </w:r>
    </w:p>
    <w:p w14:paraId="0CA037F3" w14:textId="351C2D7B" w:rsidR="00B00F39" w:rsidRPr="007D4160" w:rsidRDefault="00B00F39" w:rsidP="00B00F39">
      <w:pPr>
        <w:pStyle w:val="Seznam"/>
        <w:numPr>
          <w:ilvl w:val="0"/>
          <w:numId w:val="43"/>
        </w:numPr>
        <w:jc w:val="both"/>
        <w:rPr>
          <w:rFonts w:cs="Arial"/>
        </w:rPr>
      </w:pPr>
      <w:r w:rsidRPr="007D4160">
        <w:rPr>
          <w:rFonts w:cs="Arial"/>
        </w:rPr>
        <w:t xml:space="preserve">Meziroční </w:t>
      </w:r>
      <w:r w:rsidR="008B3915">
        <w:rPr>
          <w:rFonts w:cs="Arial"/>
        </w:rPr>
        <w:t>pokles</w:t>
      </w:r>
      <w:r w:rsidRPr="007D4160">
        <w:rPr>
          <w:rFonts w:cs="Arial"/>
        </w:rPr>
        <w:t xml:space="preserve"> pracovní neschopnosti žen byl výraznější než u mužů. Absolutní počet nově hlášených případů pracovní neschopnosti žen meziročně </w:t>
      </w:r>
      <w:r w:rsidR="00F25CD1">
        <w:rPr>
          <w:rFonts w:cs="Arial"/>
        </w:rPr>
        <w:t>poklesl</w:t>
      </w:r>
      <w:r w:rsidRPr="007D4160">
        <w:rPr>
          <w:rFonts w:cs="Arial"/>
        </w:rPr>
        <w:t xml:space="preserve"> z </w:t>
      </w:r>
      <w:r w:rsidR="000A0C86">
        <w:rPr>
          <w:rFonts w:cs="Arial"/>
        </w:rPr>
        <w:t>556,1</w:t>
      </w:r>
      <w:r w:rsidRPr="007D4160">
        <w:rPr>
          <w:rFonts w:cs="Arial"/>
        </w:rPr>
        <w:t xml:space="preserve"> tis. případů (muži </w:t>
      </w:r>
      <w:r w:rsidR="000A0C86" w:rsidRPr="007D4160">
        <w:rPr>
          <w:rFonts w:cs="Arial"/>
        </w:rPr>
        <w:t xml:space="preserve">484,2 </w:t>
      </w:r>
      <w:r w:rsidRPr="007D4160">
        <w:rPr>
          <w:rFonts w:cs="Arial"/>
        </w:rPr>
        <w:t xml:space="preserve">tis. případů) v 1. </w:t>
      </w:r>
      <w:r w:rsidR="0002645A">
        <w:rPr>
          <w:rFonts w:cs="Arial"/>
        </w:rPr>
        <w:t>p</w:t>
      </w:r>
      <w:r w:rsidRPr="007D4160">
        <w:rPr>
          <w:rFonts w:cs="Arial"/>
        </w:rPr>
        <w:t>ol. 201</w:t>
      </w:r>
      <w:r w:rsidR="000A0C86">
        <w:rPr>
          <w:rFonts w:cs="Arial"/>
        </w:rPr>
        <w:t>8</w:t>
      </w:r>
      <w:r w:rsidRPr="007D4160">
        <w:rPr>
          <w:rFonts w:cs="Arial"/>
        </w:rPr>
        <w:t xml:space="preserve"> na </w:t>
      </w:r>
      <w:r w:rsidR="000A0C86">
        <w:rPr>
          <w:rFonts w:cs="Arial"/>
        </w:rPr>
        <w:t xml:space="preserve">521 </w:t>
      </w:r>
      <w:r w:rsidRPr="007D4160">
        <w:rPr>
          <w:rFonts w:cs="Arial"/>
        </w:rPr>
        <w:t xml:space="preserve">tis. případů (muži </w:t>
      </w:r>
      <w:r w:rsidR="000A0C86">
        <w:rPr>
          <w:rFonts w:cs="Arial"/>
        </w:rPr>
        <w:t xml:space="preserve">454 </w:t>
      </w:r>
      <w:r w:rsidRPr="007D4160">
        <w:rPr>
          <w:rFonts w:cs="Arial"/>
        </w:rPr>
        <w:t>tis. případů) v 1. pol. 201</w:t>
      </w:r>
      <w:r w:rsidR="00F25CD1">
        <w:rPr>
          <w:rFonts w:cs="Arial"/>
        </w:rPr>
        <w:t>9</w:t>
      </w:r>
      <w:r w:rsidRPr="007D4160">
        <w:rPr>
          <w:rFonts w:cs="Arial"/>
        </w:rPr>
        <w:t xml:space="preserve"> tj. </w:t>
      </w:r>
      <w:r w:rsidR="00F25CD1">
        <w:rPr>
          <w:rFonts w:cs="Arial"/>
        </w:rPr>
        <w:t>klesl</w:t>
      </w:r>
      <w:r w:rsidRPr="007D4160">
        <w:rPr>
          <w:rFonts w:cs="Arial"/>
        </w:rPr>
        <w:t xml:space="preserve"> o </w:t>
      </w:r>
      <w:r w:rsidR="000A0C86">
        <w:rPr>
          <w:rFonts w:cs="Arial"/>
        </w:rPr>
        <w:t xml:space="preserve">6,3 </w:t>
      </w:r>
      <w:r w:rsidRPr="007D4160">
        <w:rPr>
          <w:rFonts w:cs="Arial"/>
        </w:rPr>
        <w:t>% (o </w:t>
      </w:r>
      <w:r w:rsidR="000A0C86">
        <w:rPr>
          <w:rFonts w:cs="Arial"/>
        </w:rPr>
        <w:t>6,2</w:t>
      </w:r>
      <w:r w:rsidR="00F25CD1">
        <w:rPr>
          <w:rFonts w:cs="Arial"/>
        </w:rPr>
        <w:t> </w:t>
      </w:r>
      <w:r w:rsidRPr="007D4160">
        <w:rPr>
          <w:rFonts w:cs="Arial"/>
        </w:rPr>
        <w:t xml:space="preserve">% u mužů). </w:t>
      </w:r>
    </w:p>
    <w:p w14:paraId="798F2B55" w14:textId="54C8A2B2" w:rsidR="0088572C" w:rsidRPr="007D4160" w:rsidRDefault="003F2FB6" w:rsidP="004A50E3">
      <w:pPr>
        <w:pStyle w:val="Seznam"/>
        <w:numPr>
          <w:ilvl w:val="0"/>
          <w:numId w:val="43"/>
        </w:numPr>
        <w:jc w:val="both"/>
        <w:rPr>
          <w:rFonts w:cs="Arial"/>
        </w:rPr>
      </w:pPr>
      <w:r w:rsidRPr="007D4160">
        <w:rPr>
          <w:rFonts w:cs="Arial"/>
        </w:rPr>
        <w:t xml:space="preserve">Z hlediska příčin nově hlášených případů dočasné pracovní neschopnosti žen </w:t>
      </w:r>
      <w:r w:rsidR="000A0C86">
        <w:rPr>
          <w:rFonts w:cs="Arial"/>
        </w:rPr>
        <w:t>483</w:t>
      </w:r>
      <w:r w:rsidRPr="007D4160">
        <w:rPr>
          <w:rFonts w:cs="Arial"/>
        </w:rPr>
        <w:t xml:space="preserve"> tis. případů </w:t>
      </w:r>
      <w:r w:rsidR="000A0C86">
        <w:rPr>
          <w:rFonts w:cs="Arial"/>
        </w:rPr>
        <w:t>(92,7</w:t>
      </w:r>
      <w:r w:rsidR="008C51BB">
        <w:rPr>
          <w:rFonts w:cs="Arial"/>
        </w:rPr>
        <w:t> </w:t>
      </w:r>
      <w:r w:rsidRPr="007D4160">
        <w:rPr>
          <w:rFonts w:cs="Arial"/>
        </w:rPr>
        <w:t xml:space="preserve">%) </w:t>
      </w:r>
      <w:r w:rsidR="000A0C86">
        <w:rPr>
          <w:rFonts w:cs="Arial"/>
        </w:rPr>
        <w:t>bylo způsobeno nemocí</w:t>
      </w:r>
      <w:r w:rsidRPr="007D4160">
        <w:rPr>
          <w:rFonts w:cs="Arial"/>
        </w:rPr>
        <w:t>, 7,</w:t>
      </w:r>
      <w:r w:rsidR="000A0C86">
        <w:rPr>
          <w:rFonts w:cs="Arial"/>
        </w:rPr>
        <w:t>6</w:t>
      </w:r>
      <w:r w:rsidRPr="007D4160">
        <w:rPr>
          <w:rFonts w:cs="Arial"/>
        </w:rPr>
        <w:t xml:space="preserve"> tis. případů (1,</w:t>
      </w:r>
      <w:r w:rsidR="000A0C86">
        <w:rPr>
          <w:rFonts w:cs="Arial"/>
        </w:rPr>
        <w:t>5</w:t>
      </w:r>
      <w:r w:rsidRPr="007D4160">
        <w:rPr>
          <w:rFonts w:cs="Arial"/>
        </w:rPr>
        <w:t xml:space="preserve"> %) pracovní</w:t>
      </w:r>
      <w:r w:rsidR="000A0C86">
        <w:rPr>
          <w:rFonts w:cs="Arial"/>
        </w:rPr>
        <w:t>m</w:t>
      </w:r>
      <w:r w:rsidRPr="007D4160">
        <w:rPr>
          <w:rFonts w:cs="Arial"/>
        </w:rPr>
        <w:t xml:space="preserve"> úraz</w:t>
      </w:r>
      <w:r w:rsidR="000A0C86">
        <w:rPr>
          <w:rFonts w:cs="Arial"/>
        </w:rPr>
        <w:t>em</w:t>
      </w:r>
      <w:r w:rsidRPr="007D4160">
        <w:rPr>
          <w:rFonts w:cs="Arial"/>
        </w:rPr>
        <w:t xml:space="preserve"> a </w:t>
      </w:r>
      <w:r w:rsidR="000A0C86">
        <w:rPr>
          <w:rFonts w:cs="Arial"/>
        </w:rPr>
        <w:t>30,5 tis. případů (5,8</w:t>
      </w:r>
      <w:r w:rsidR="008C51BB">
        <w:rPr>
          <w:rFonts w:cs="Arial"/>
        </w:rPr>
        <w:t> </w:t>
      </w:r>
      <w:r w:rsidRPr="007D4160">
        <w:rPr>
          <w:rFonts w:cs="Arial"/>
        </w:rPr>
        <w:t xml:space="preserve">%) </w:t>
      </w:r>
      <w:r w:rsidR="000A0C86">
        <w:rPr>
          <w:rFonts w:cs="Arial"/>
        </w:rPr>
        <w:t>jiným než pracovním úrazem.</w:t>
      </w:r>
    </w:p>
    <w:p w14:paraId="7D016D91" w14:textId="1A67EACF" w:rsidR="00F8053B" w:rsidRPr="00F8053B" w:rsidRDefault="003F2FB6" w:rsidP="00F8053B">
      <w:pPr>
        <w:pStyle w:val="Seznam"/>
        <w:numPr>
          <w:ilvl w:val="0"/>
          <w:numId w:val="43"/>
        </w:numPr>
        <w:jc w:val="both"/>
        <w:rPr>
          <w:rFonts w:cs="Arial"/>
        </w:rPr>
      </w:pPr>
      <w:r w:rsidRPr="007D4160">
        <w:rPr>
          <w:rFonts w:cs="Arial"/>
        </w:rPr>
        <w:t>Muži čerpali pracovní neschopnost z důvodu nemoci v</w:t>
      </w:r>
      <w:r w:rsidR="0036570D">
        <w:rPr>
          <w:rFonts w:cs="Arial"/>
        </w:rPr>
        <w:t> 389,8</w:t>
      </w:r>
      <w:r w:rsidRPr="007D4160">
        <w:rPr>
          <w:rFonts w:cs="Arial"/>
        </w:rPr>
        <w:t xml:space="preserve"> tis. případech (8</w:t>
      </w:r>
      <w:r w:rsidR="0036570D">
        <w:rPr>
          <w:rFonts w:cs="Arial"/>
        </w:rPr>
        <w:t>5</w:t>
      </w:r>
      <w:r w:rsidRPr="007D4160">
        <w:rPr>
          <w:rFonts w:cs="Arial"/>
        </w:rPr>
        <w:t>,</w:t>
      </w:r>
      <w:r w:rsidR="0036570D">
        <w:rPr>
          <w:rFonts w:cs="Arial"/>
        </w:rPr>
        <w:t>9</w:t>
      </w:r>
      <w:r w:rsidRPr="007D4160">
        <w:rPr>
          <w:rFonts w:cs="Arial"/>
        </w:rPr>
        <w:t xml:space="preserve"> %), z důvodu pracovního úrazu v </w:t>
      </w:r>
      <w:r w:rsidR="0036570D">
        <w:rPr>
          <w:rFonts w:cs="Arial"/>
        </w:rPr>
        <w:t>15</w:t>
      </w:r>
      <w:r w:rsidRPr="007D4160">
        <w:rPr>
          <w:rFonts w:cs="Arial"/>
        </w:rPr>
        <w:t>,</w:t>
      </w:r>
      <w:r w:rsidR="0036570D">
        <w:rPr>
          <w:rFonts w:cs="Arial"/>
        </w:rPr>
        <w:t>6</w:t>
      </w:r>
      <w:r w:rsidRPr="007D4160">
        <w:rPr>
          <w:rFonts w:cs="Arial"/>
        </w:rPr>
        <w:t xml:space="preserve"> tis. případech (3,</w:t>
      </w:r>
      <w:r w:rsidR="0036570D">
        <w:rPr>
          <w:rFonts w:cs="Arial"/>
        </w:rPr>
        <w:t>4</w:t>
      </w:r>
      <w:r w:rsidRPr="007D4160">
        <w:rPr>
          <w:rFonts w:cs="Arial"/>
        </w:rPr>
        <w:t xml:space="preserve"> %) a z důvodu </w:t>
      </w:r>
      <w:r w:rsidR="0036570D">
        <w:rPr>
          <w:rFonts w:cs="Arial"/>
        </w:rPr>
        <w:t>jiných než pracovních</w:t>
      </w:r>
      <w:r w:rsidRPr="007D4160">
        <w:rPr>
          <w:rFonts w:cs="Arial"/>
        </w:rPr>
        <w:t xml:space="preserve"> úrazů v 48,</w:t>
      </w:r>
      <w:r w:rsidR="0036570D">
        <w:rPr>
          <w:rFonts w:cs="Arial"/>
        </w:rPr>
        <w:t>6</w:t>
      </w:r>
      <w:r w:rsidRPr="007D4160">
        <w:rPr>
          <w:rFonts w:cs="Arial"/>
        </w:rPr>
        <w:t xml:space="preserve"> tis. případech (10</w:t>
      </w:r>
      <w:r w:rsidR="0036570D">
        <w:rPr>
          <w:rFonts w:cs="Arial"/>
        </w:rPr>
        <w:t xml:space="preserve">,7 </w:t>
      </w:r>
      <w:r w:rsidRPr="007D4160">
        <w:rPr>
          <w:rFonts w:cs="Arial"/>
        </w:rPr>
        <w:t>%).</w:t>
      </w:r>
    </w:p>
    <w:p w14:paraId="7DAB0E71" w14:textId="56CD9F19" w:rsidR="0021141B" w:rsidRDefault="0021141B" w:rsidP="003F2FB6">
      <w:pPr>
        <w:pStyle w:val="Seznam"/>
        <w:numPr>
          <w:ilvl w:val="0"/>
          <w:numId w:val="43"/>
        </w:numPr>
        <w:jc w:val="both"/>
        <w:rPr>
          <w:rFonts w:cs="Arial"/>
        </w:rPr>
      </w:pPr>
      <w:r w:rsidRPr="007D4160">
        <w:rPr>
          <w:rFonts w:cs="Arial"/>
        </w:rPr>
        <w:t>Absolutní počet nově hlášených případů dočasné pracovní neschopnosti pro pracovní úraz se meziročně snížil z </w:t>
      </w:r>
      <w:r w:rsidR="00F8053B">
        <w:rPr>
          <w:rFonts w:cs="Arial"/>
        </w:rPr>
        <w:t>24,1 tis.</w:t>
      </w:r>
      <w:r w:rsidRPr="007D4160">
        <w:rPr>
          <w:rFonts w:cs="Arial"/>
        </w:rPr>
        <w:t xml:space="preserve"> případů v 1. pol. 201</w:t>
      </w:r>
      <w:r w:rsidR="00F8053B">
        <w:rPr>
          <w:rFonts w:cs="Arial"/>
        </w:rPr>
        <w:t>8</w:t>
      </w:r>
      <w:r w:rsidRPr="007D4160">
        <w:rPr>
          <w:rFonts w:cs="Arial"/>
        </w:rPr>
        <w:t xml:space="preserve"> na </w:t>
      </w:r>
      <w:r w:rsidR="00F8053B">
        <w:rPr>
          <w:rFonts w:cs="Arial"/>
        </w:rPr>
        <w:t>23,2 tis.</w:t>
      </w:r>
      <w:r w:rsidRPr="007D4160">
        <w:rPr>
          <w:rFonts w:cs="Arial"/>
        </w:rPr>
        <w:t xml:space="preserve"> případů </w:t>
      </w:r>
      <w:r w:rsidR="00C165EF">
        <w:rPr>
          <w:rFonts w:cs="Arial"/>
        </w:rPr>
        <w:t xml:space="preserve">v </w:t>
      </w:r>
      <w:r w:rsidRPr="007D4160">
        <w:rPr>
          <w:rFonts w:cs="Arial"/>
        </w:rPr>
        <w:t>1. pol. 201</w:t>
      </w:r>
      <w:r w:rsidR="00F8053B">
        <w:rPr>
          <w:rFonts w:cs="Arial"/>
        </w:rPr>
        <w:t>9</w:t>
      </w:r>
      <w:r w:rsidRPr="007D4160">
        <w:rPr>
          <w:rFonts w:cs="Arial"/>
        </w:rPr>
        <w:t xml:space="preserve"> (tj. o </w:t>
      </w:r>
      <w:r w:rsidR="00F8053B">
        <w:rPr>
          <w:rFonts w:cs="Arial"/>
        </w:rPr>
        <w:t>3,5</w:t>
      </w:r>
      <w:r w:rsidRPr="007D4160">
        <w:rPr>
          <w:rFonts w:cs="Arial"/>
        </w:rPr>
        <w:t xml:space="preserve"> %). Z tohoto celkového počtu bylo </w:t>
      </w:r>
      <w:r w:rsidR="00F8053B">
        <w:rPr>
          <w:rFonts w:cs="Arial"/>
        </w:rPr>
        <w:t>22,8 tis.</w:t>
      </w:r>
      <w:r w:rsidRPr="007D4160">
        <w:rPr>
          <w:rFonts w:cs="Arial"/>
        </w:rPr>
        <w:t xml:space="preserve"> případů (9</w:t>
      </w:r>
      <w:r w:rsidR="00F8053B">
        <w:rPr>
          <w:rFonts w:cs="Arial"/>
        </w:rPr>
        <w:t>8</w:t>
      </w:r>
      <w:r w:rsidRPr="007D4160">
        <w:rPr>
          <w:rFonts w:cs="Arial"/>
        </w:rPr>
        <w:t xml:space="preserve"> %) pracovních úrazů s pracovní neschopností delší než 3 kalendářní dny</w:t>
      </w:r>
      <w:r w:rsidR="00F8053B">
        <w:rPr>
          <w:rFonts w:cs="Arial"/>
        </w:rPr>
        <w:t>.</w:t>
      </w:r>
    </w:p>
    <w:p w14:paraId="61413968" w14:textId="1C540796" w:rsidR="00F8053B" w:rsidRDefault="00F8053B" w:rsidP="003F2FB6">
      <w:pPr>
        <w:pStyle w:val="Seznam"/>
        <w:numPr>
          <w:ilvl w:val="0"/>
          <w:numId w:val="43"/>
        </w:numPr>
        <w:jc w:val="both"/>
        <w:rPr>
          <w:rFonts w:cs="Arial"/>
        </w:rPr>
      </w:pPr>
      <w:r>
        <w:rPr>
          <w:rFonts w:cs="Arial"/>
        </w:rPr>
        <w:t>Na 100 nemocensky pojištěných v 1. pol. 2019 připadalo 20,6 případů pracovní neschopnosti. To je o</w:t>
      </w:r>
      <w:r w:rsidR="008C51BB">
        <w:rPr>
          <w:rFonts w:cs="Arial"/>
        </w:rPr>
        <w:t> </w:t>
      </w:r>
      <w:r w:rsidR="00B91522">
        <w:rPr>
          <w:rFonts w:cs="Arial"/>
        </w:rPr>
        <w:t xml:space="preserve">1,5 méně než za stejné období předchozího roku a o 7 </w:t>
      </w:r>
      <w:r w:rsidR="00F25CD1">
        <w:rPr>
          <w:rFonts w:cs="Arial"/>
        </w:rPr>
        <w:t>případů</w:t>
      </w:r>
      <w:r w:rsidR="00B91522">
        <w:rPr>
          <w:rFonts w:cs="Arial"/>
        </w:rPr>
        <w:t xml:space="preserve"> více než v 1. pol. 2012.</w:t>
      </w:r>
    </w:p>
    <w:p w14:paraId="761BC5A7" w14:textId="561073D8" w:rsidR="00B91522" w:rsidRPr="007D4160" w:rsidRDefault="00B91522" w:rsidP="003F2FB6">
      <w:pPr>
        <w:pStyle w:val="Seznam"/>
        <w:numPr>
          <w:ilvl w:val="0"/>
          <w:numId w:val="43"/>
        </w:numPr>
        <w:jc w:val="both"/>
        <w:rPr>
          <w:rFonts w:cs="Arial"/>
        </w:rPr>
      </w:pPr>
      <w:r>
        <w:rPr>
          <w:rFonts w:cs="Arial"/>
        </w:rPr>
        <w:t>Nejvíce případů pracovní neschopnosti na 100 pojištěnců bylo zaznamenáno ve Zpracovatelském průmyslu (27), následovala oblast Administrativní a podpůrné činnosti (23,5). Nejméně případů bylo evidováno v odvětví Činnosti v oblasti nemovitostí (9).</w:t>
      </w:r>
    </w:p>
    <w:p w14:paraId="2655F166" w14:textId="4641D55F" w:rsidR="004A4A16" w:rsidRPr="007D4160" w:rsidRDefault="00F176F7" w:rsidP="004A4A16">
      <w:pPr>
        <w:pStyle w:val="Seznam"/>
        <w:numPr>
          <w:ilvl w:val="0"/>
          <w:numId w:val="43"/>
        </w:numPr>
        <w:jc w:val="both"/>
        <w:rPr>
          <w:rFonts w:cs="Arial"/>
        </w:rPr>
      </w:pPr>
      <w:r w:rsidRPr="007D4160">
        <w:rPr>
          <w:rFonts w:cs="Arial"/>
        </w:rPr>
        <w:t xml:space="preserve">Počet kalendářních dnů dočasné pracovní neschopnosti </w:t>
      </w:r>
      <w:r w:rsidR="00B91522">
        <w:rPr>
          <w:rFonts w:cs="Arial"/>
        </w:rPr>
        <w:t xml:space="preserve">v 1. pol. 2019 </w:t>
      </w:r>
      <w:r w:rsidRPr="007D4160">
        <w:rPr>
          <w:rFonts w:cs="Arial"/>
        </w:rPr>
        <w:t>meziročně v</w:t>
      </w:r>
      <w:r w:rsidR="002D2FE8">
        <w:rPr>
          <w:rFonts w:cs="Arial"/>
        </w:rPr>
        <w:t>z</w:t>
      </w:r>
      <w:r w:rsidRPr="007D4160">
        <w:rPr>
          <w:rFonts w:cs="Arial"/>
        </w:rPr>
        <w:t>rostl ze </w:t>
      </w:r>
      <w:r w:rsidR="00B91522">
        <w:rPr>
          <w:rFonts w:cs="Arial"/>
        </w:rPr>
        <w:t>40</w:t>
      </w:r>
      <w:r w:rsidR="008C51BB">
        <w:rPr>
          <w:rFonts w:cs="Arial"/>
        </w:rPr>
        <w:t> </w:t>
      </w:r>
      <w:r w:rsidR="00B91522">
        <w:rPr>
          <w:rFonts w:cs="Arial"/>
        </w:rPr>
        <w:t>624</w:t>
      </w:r>
      <w:r w:rsidR="008C51BB">
        <w:rPr>
          <w:rFonts w:cs="Arial"/>
        </w:rPr>
        <w:t> </w:t>
      </w:r>
      <w:r w:rsidRPr="007D4160">
        <w:rPr>
          <w:rFonts w:cs="Arial"/>
        </w:rPr>
        <w:t>tis.</w:t>
      </w:r>
      <w:r w:rsidR="00B91522">
        <w:rPr>
          <w:rFonts w:cs="Arial"/>
        </w:rPr>
        <w:t xml:space="preserve"> prostonaných dnů v 1. pol. 2018</w:t>
      </w:r>
      <w:r w:rsidRPr="007D4160">
        <w:rPr>
          <w:rFonts w:cs="Arial"/>
        </w:rPr>
        <w:t xml:space="preserve"> na </w:t>
      </w:r>
      <w:r w:rsidR="00B91522">
        <w:rPr>
          <w:rFonts w:cs="Arial"/>
        </w:rPr>
        <w:t>41 578</w:t>
      </w:r>
      <w:r w:rsidRPr="007D4160">
        <w:rPr>
          <w:rFonts w:cs="Arial"/>
        </w:rPr>
        <w:t xml:space="preserve"> tis. dnů v 1. pol. 201</w:t>
      </w:r>
      <w:r w:rsidR="00B91522">
        <w:rPr>
          <w:rFonts w:cs="Arial"/>
        </w:rPr>
        <w:t>9</w:t>
      </w:r>
      <w:r w:rsidRPr="007D4160">
        <w:rPr>
          <w:rFonts w:cs="Arial"/>
        </w:rPr>
        <w:t xml:space="preserve"> (tj. o </w:t>
      </w:r>
      <w:r w:rsidR="00B91522">
        <w:rPr>
          <w:rFonts w:cs="Arial"/>
        </w:rPr>
        <w:t>2,3</w:t>
      </w:r>
      <w:r w:rsidRPr="007D4160">
        <w:rPr>
          <w:rFonts w:cs="Arial"/>
        </w:rPr>
        <w:t xml:space="preserve"> %). </w:t>
      </w:r>
      <w:r w:rsidR="002D2FE8">
        <w:rPr>
          <w:rFonts w:cs="Arial"/>
        </w:rPr>
        <w:t>V porovnání s 1. pol. 2012 tento počet vzrostl o 43,5 % (12, 6 mil. dní).</w:t>
      </w:r>
    </w:p>
    <w:p w14:paraId="7AE0CC9F" w14:textId="5F8C6A3B" w:rsidR="00A421A3" w:rsidRPr="007D4160" w:rsidRDefault="00A421A3" w:rsidP="00A421A3">
      <w:pPr>
        <w:pStyle w:val="Seznam"/>
        <w:numPr>
          <w:ilvl w:val="0"/>
          <w:numId w:val="43"/>
        </w:numPr>
        <w:jc w:val="both"/>
        <w:rPr>
          <w:rFonts w:cs="Arial"/>
        </w:rPr>
      </w:pPr>
      <w:r w:rsidRPr="007D4160">
        <w:rPr>
          <w:rFonts w:cs="Arial"/>
        </w:rPr>
        <w:t xml:space="preserve">Průměrná délka trvání </w:t>
      </w:r>
      <w:r w:rsidR="00B91522">
        <w:rPr>
          <w:rFonts w:cs="Arial"/>
        </w:rPr>
        <w:t>jednoho</w:t>
      </w:r>
      <w:r w:rsidRPr="007D4160">
        <w:rPr>
          <w:rFonts w:cs="Arial"/>
        </w:rPr>
        <w:t xml:space="preserve"> případu dočasné pracovní neschopnosti meziročně </w:t>
      </w:r>
      <w:r w:rsidR="00B91522">
        <w:rPr>
          <w:rFonts w:cs="Arial"/>
        </w:rPr>
        <w:t>vzrostla ze 39 dnů v 1. pol. 2018 na 42,</w:t>
      </w:r>
      <w:r w:rsidR="00744332">
        <w:rPr>
          <w:rFonts w:cs="Arial"/>
        </w:rPr>
        <w:t>7</w:t>
      </w:r>
      <w:r w:rsidR="00B91522">
        <w:rPr>
          <w:rFonts w:cs="Arial"/>
        </w:rPr>
        <w:t xml:space="preserve"> dne v</w:t>
      </w:r>
      <w:r w:rsidRPr="007D4160">
        <w:rPr>
          <w:rFonts w:cs="Arial"/>
        </w:rPr>
        <w:t> 1. pol. 201</w:t>
      </w:r>
      <w:r w:rsidR="00B91522">
        <w:rPr>
          <w:rFonts w:cs="Arial"/>
        </w:rPr>
        <w:t>9</w:t>
      </w:r>
      <w:r w:rsidRPr="007D4160">
        <w:rPr>
          <w:rFonts w:cs="Arial"/>
        </w:rPr>
        <w:t xml:space="preserve">. </w:t>
      </w:r>
      <w:r w:rsidR="006F7833">
        <w:rPr>
          <w:rFonts w:cs="Arial"/>
        </w:rPr>
        <w:t xml:space="preserve">Nemoc způsobila pracovní neschopnost o průměrné délce 41 dnů, neschopnost pro pracovní úraz trvala 57 dnů a z důvodu ostatních úrazů 56 dnů. </w:t>
      </w:r>
    </w:p>
    <w:p w14:paraId="1D16EBEC" w14:textId="117447CF" w:rsidR="00A421A3" w:rsidRPr="007D4160" w:rsidRDefault="00622D50" w:rsidP="00A421A3">
      <w:pPr>
        <w:pStyle w:val="Seznam"/>
        <w:numPr>
          <w:ilvl w:val="0"/>
          <w:numId w:val="43"/>
        </w:numPr>
        <w:jc w:val="both"/>
        <w:rPr>
          <w:rFonts w:cs="Arial"/>
        </w:rPr>
      </w:pPr>
      <w:r>
        <w:rPr>
          <w:rFonts w:cs="Arial"/>
        </w:rPr>
        <w:t>Průměrná délka trvání jednoho</w:t>
      </w:r>
      <w:r w:rsidR="00A421A3" w:rsidRPr="007D4160">
        <w:rPr>
          <w:rFonts w:cs="Arial"/>
        </w:rPr>
        <w:t xml:space="preserve"> případu pracovní neschopnosti žen se meziročně </w:t>
      </w:r>
      <w:r w:rsidR="00973076">
        <w:rPr>
          <w:rFonts w:cs="Arial"/>
        </w:rPr>
        <w:t xml:space="preserve">zvýšila ze 40 dní </w:t>
      </w:r>
      <w:r w:rsidR="00A421A3" w:rsidRPr="007D4160">
        <w:rPr>
          <w:rFonts w:cs="Arial"/>
        </w:rPr>
        <w:t>v 1.</w:t>
      </w:r>
      <w:r w:rsidR="00F76C15">
        <w:rPr>
          <w:rFonts w:cs="Arial"/>
        </w:rPr>
        <w:t> </w:t>
      </w:r>
      <w:r w:rsidR="00A421A3" w:rsidRPr="007D4160">
        <w:rPr>
          <w:rFonts w:cs="Arial"/>
        </w:rPr>
        <w:t>pol.</w:t>
      </w:r>
      <w:r w:rsidR="00F76C15">
        <w:rPr>
          <w:rFonts w:cs="Arial"/>
        </w:rPr>
        <w:t> </w:t>
      </w:r>
      <w:r w:rsidR="00A421A3" w:rsidRPr="007D4160">
        <w:rPr>
          <w:rFonts w:cs="Arial"/>
        </w:rPr>
        <w:t>201</w:t>
      </w:r>
      <w:r w:rsidR="00973076">
        <w:rPr>
          <w:rFonts w:cs="Arial"/>
        </w:rPr>
        <w:t>8</w:t>
      </w:r>
      <w:r w:rsidR="00A421A3" w:rsidRPr="007D4160">
        <w:rPr>
          <w:rFonts w:cs="Arial"/>
        </w:rPr>
        <w:t xml:space="preserve"> na </w:t>
      </w:r>
      <w:r w:rsidR="00973076">
        <w:rPr>
          <w:rFonts w:cs="Arial"/>
        </w:rPr>
        <w:t>43,6</w:t>
      </w:r>
      <w:r w:rsidR="00A421A3" w:rsidRPr="007D4160">
        <w:rPr>
          <w:rFonts w:cs="Arial"/>
        </w:rPr>
        <w:t xml:space="preserve"> dne v 1. pol. 201</w:t>
      </w:r>
      <w:r w:rsidR="00973076">
        <w:rPr>
          <w:rFonts w:cs="Arial"/>
        </w:rPr>
        <w:t>9</w:t>
      </w:r>
      <w:r w:rsidR="00A421A3" w:rsidRPr="007D4160">
        <w:rPr>
          <w:rFonts w:cs="Arial"/>
        </w:rPr>
        <w:t xml:space="preserve">, v případě mužů </w:t>
      </w:r>
      <w:r w:rsidR="00973076">
        <w:rPr>
          <w:rFonts w:cs="Arial"/>
        </w:rPr>
        <w:t>vzrostla</w:t>
      </w:r>
      <w:r w:rsidR="00A421A3" w:rsidRPr="007D4160">
        <w:rPr>
          <w:rFonts w:cs="Arial"/>
        </w:rPr>
        <w:t xml:space="preserve"> z 3</w:t>
      </w:r>
      <w:r w:rsidR="00973076">
        <w:rPr>
          <w:rFonts w:cs="Arial"/>
        </w:rPr>
        <w:t>8 dnů</w:t>
      </w:r>
      <w:r w:rsidR="00A421A3" w:rsidRPr="007D4160">
        <w:rPr>
          <w:rFonts w:cs="Arial"/>
        </w:rPr>
        <w:t xml:space="preserve"> v 1. pol. 201</w:t>
      </w:r>
      <w:r w:rsidR="00973076">
        <w:rPr>
          <w:rFonts w:cs="Arial"/>
        </w:rPr>
        <w:t>8</w:t>
      </w:r>
      <w:r w:rsidR="00A421A3" w:rsidRPr="007D4160">
        <w:rPr>
          <w:rFonts w:cs="Arial"/>
        </w:rPr>
        <w:t xml:space="preserve"> </w:t>
      </w:r>
      <w:r w:rsidR="00973076">
        <w:rPr>
          <w:rFonts w:cs="Arial"/>
        </w:rPr>
        <w:t>na 41 dnů</w:t>
      </w:r>
      <w:r w:rsidR="00A421A3" w:rsidRPr="007D4160">
        <w:rPr>
          <w:rFonts w:cs="Arial"/>
        </w:rPr>
        <w:t xml:space="preserve"> v</w:t>
      </w:r>
      <w:r w:rsidR="00973076">
        <w:rPr>
          <w:rFonts w:cs="Arial"/>
        </w:rPr>
        <w:t> 1. pol. 2019</w:t>
      </w:r>
      <w:r w:rsidR="00A421A3" w:rsidRPr="007D4160">
        <w:rPr>
          <w:rFonts w:cs="Arial"/>
        </w:rPr>
        <w:t xml:space="preserve">. </w:t>
      </w:r>
    </w:p>
    <w:p w14:paraId="13656F77" w14:textId="3EDCFF62" w:rsidR="00F176F7" w:rsidRDefault="00F42F12" w:rsidP="003F2FB6">
      <w:pPr>
        <w:pStyle w:val="Seznam"/>
        <w:numPr>
          <w:ilvl w:val="0"/>
          <w:numId w:val="43"/>
        </w:numPr>
        <w:jc w:val="both"/>
        <w:rPr>
          <w:rFonts w:cs="Arial"/>
        </w:rPr>
      </w:pPr>
      <w:r>
        <w:rPr>
          <w:rFonts w:cs="Arial"/>
        </w:rPr>
        <w:lastRenderedPageBreak/>
        <w:t>Nejdelší průměrná doba trvání případu pracovní neschopnosti byla zaznamenána na Moravě a ve Slezsku – ve Zlínském (49,3 dne), Moravskoslezském (49 dní), Olomouckém kraji (46,3 dne) a na Vysočině (45,2 dne).</w:t>
      </w:r>
    </w:p>
    <w:p w14:paraId="3F3E17D6" w14:textId="72F3213F" w:rsidR="00F42F12" w:rsidRDefault="00F42F12" w:rsidP="003F2FB6">
      <w:pPr>
        <w:pStyle w:val="Seznam"/>
        <w:numPr>
          <w:ilvl w:val="0"/>
          <w:numId w:val="43"/>
        </w:numPr>
        <w:jc w:val="both"/>
        <w:rPr>
          <w:rFonts w:cs="Arial"/>
        </w:rPr>
      </w:pPr>
      <w:r>
        <w:rPr>
          <w:rFonts w:cs="Arial"/>
        </w:rPr>
        <w:t>Odvětvími s průměrnou délkou trvání pracovní neschopnosti nad 50 dnů v 1. pol. 2019 bylo Zemědělství, lesnictví a rybářství (58,3 dne), Stavebnictví (55 dní), Ubytování, stravování a</w:t>
      </w:r>
      <w:r w:rsidR="008C51BB">
        <w:rPr>
          <w:rFonts w:cs="Arial"/>
        </w:rPr>
        <w:t> </w:t>
      </w:r>
      <w:r>
        <w:rPr>
          <w:rFonts w:cs="Arial"/>
        </w:rPr>
        <w:t xml:space="preserve">pohostinství (54,6 dne), Činnosti v oblasti nemovitostí (52 dní) a Těžba a dobývání (50,3 dne). Poloviční doba (26,4 dne) </w:t>
      </w:r>
      <w:r w:rsidR="00744332">
        <w:rPr>
          <w:rFonts w:cs="Arial"/>
        </w:rPr>
        <w:t xml:space="preserve">představovala průměr za odvětví </w:t>
      </w:r>
      <w:r>
        <w:rPr>
          <w:rFonts w:cs="Arial"/>
        </w:rPr>
        <w:t>Informační a</w:t>
      </w:r>
      <w:r w:rsidR="008C51BB">
        <w:rPr>
          <w:rFonts w:cs="Arial"/>
        </w:rPr>
        <w:t> </w:t>
      </w:r>
      <w:r>
        <w:rPr>
          <w:rFonts w:cs="Arial"/>
        </w:rPr>
        <w:t xml:space="preserve">komunikační činnosti, což </w:t>
      </w:r>
      <w:r w:rsidR="00981ECB">
        <w:rPr>
          <w:rFonts w:cs="Arial"/>
        </w:rPr>
        <w:t>znamenalo zcela</w:t>
      </w:r>
      <w:r>
        <w:rPr>
          <w:rFonts w:cs="Arial"/>
        </w:rPr>
        <w:t xml:space="preserve"> nejnižší hodnotu v rámci národního hospodářství.</w:t>
      </w:r>
    </w:p>
    <w:p w14:paraId="3470BDD4" w14:textId="15D3183F" w:rsidR="00CF05A6" w:rsidRPr="00CF05A6" w:rsidRDefault="00F42F12" w:rsidP="00CF05A6">
      <w:pPr>
        <w:pStyle w:val="Seznam"/>
        <w:numPr>
          <w:ilvl w:val="0"/>
          <w:numId w:val="43"/>
        </w:numPr>
        <w:jc w:val="both"/>
        <w:rPr>
          <w:rFonts w:cs="Arial"/>
        </w:rPr>
      </w:pPr>
      <w:r>
        <w:rPr>
          <w:rFonts w:cs="Arial"/>
        </w:rPr>
        <w:t xml:space="preserve">Počet prostonaných dnů pro nemoc činil </w:t>
      </w:r>
      <w:r w:rsidRPr="00F42F12">
        <w:rPr>
          <w:rFonts w:cs="Arial"/>
        </w:rPr>
        <w:t>35</w:t>
      </w:r>
      <w:r>
        <w:rPr>
          <w:rFonts w:cs="Arial"/>
        </w:rPr>
        <w:t> </w:t>
      </w:r>
      <w:r w:rsidRPr="00F42F12">
        <w:rPr>
          <w:rFonts w:cs="Arial"/>
        </w:rPr>
        <w:t>860</w:t>
      </w:r>
      <w:r>
        <w:rPr>
          <w:rFonts w:cs="Arial"/>
        </w:rPr>
        <w:t xml:space="preserve"> tis. (86,2 %). Mimopracovní úrazy způsobily </w:t>
      </w:r>
      <w:r w:rsidRPr="00F42F12">
        <w:rPr>
          <w:rFonts w:cs="Arial"/>
        </w:rPr>
        <w:t>4</w:t>
      </w:r>
      <w:r>
        <w:rPr>
          <w:rFonts w:cs="Arial"/>
        </w:rPr>
        <w:t xml:space="preserve"> </w:t>
      </w:r>
      <w:r w:rsidRPr="00F42F12">
        <w:rPr>
          <w:rFonts w:cs="Arial"/>
        </w:rPr>
        <w:t>392</w:t>
      </w:r>
      <w:r>
        <w:rPr>
          <w:rFonts w:cs="Arial"/>
        </w:rPr>
        <w:t xml:space="preserve"> tis. prostonaných dní (tj. 10,6 %) a pracovní úrazy </w:t>
      </w:r>
      <w:r w:rsidRPr="00F42F12">
        <w:rPr>
          <w:rFonts w:cs="Arial"/>
        </w:rPr>
        <w:t>1</w:t>
      </w:r>
      <w:r w:rsidR="00CF05A6">
        <w:rPr>
          <w:rFonts w:cs="Arial"/>
        </w:rPr>
        <w:t xml:space="preserve"> </w:t>
      </w:r>
      <w:r w:rsidRPr="00F42F12">
        <w:rPr>
          <w:rFonts w:cs="Arial"/>
        </w:rPr>
        <w:t>325</w:t>
      </w:r>
      <w:r w:rsidR="00CF05A6">
        <w:rPr>
          <w:rFonts w:cs="Arial"/>
        </w:rPr>
        <w:t xml:space="preserve"> tis. (3,2 %). Ženy v 1. pol. 2019 strávily v dočasné pracovní neschopnosti celkem </w:t>
      </w:r>
      <w:r w:rsidR="00CF05A6" w:rsidRPr="00CF05A6">
        <w:rPr>
          <w:rFonts w:cs="Arial"/>
        </w:rPr>
        <w:t>22</w:t>
      </w:r>
      <w:r w:rsidR="00744332">
        <w:rPr>
          <w:rFonts w:cs="Arial"/>
        </w:rPr>
        <w:t xml:space="preserve"> </w:t>
      </w:r>
      <w:r w:rsidR="00CF05A6" w:rsidRPr="00CF05A6">
        <w:rPr>
          <w:rFonts w:cs="Arial"/>
        </w:rPr>
        <w:t>7</w:t>
      </w:r>
      <w:r w:rsidR="00CF05A6">
        <w:rPr>
          <w:rFonts w:cs="Arial"/>
        </w:rPr>
        <w:t>5</w:t>
      </w:r>
      <w:r w:rsidR="00744332">
        <w:rPr>
          <w:rFonts w:cs="Arial"/>
        </w:rPr>
        <w:t>0</w:t>
      </w:r>
      <w:r w:rsidR="00CF05A6">
        <w:rPr>
          <w:rFonts w:cs="Arial"/>
        </w:rPr>
        <w:t xml:space="preserve"> tis. dní, což je o </w:t>
      </w:r>
      <w:r w:rsidR="00CF05A6" w:rsidRPr="00CF05A6">
        <w:rPr>
          <w:rFonts w:cs="Arial"/>
        </w:rPr>
        <w:t>3</w:t>
      </w:r>
      <w:r w:rsidR="00CF05A6">
        <w:rPr>
          <w:rFonts w:cs="Arial"/>
        </w:rPr>
        <w:t xml:space="preserve"> </w:t>
      </w:r>
      <w:r w:rsidR="00CF05A6" w:rsidRPr="00CF05A6">
        <w:rPr>
          <w:rFonts w:cs="Arial"/>
        </w:rPr>
        <w:t>92</w:t>
      </w:r>
      <w:r w:rsidR="00CF05A6">
        <w:rPr>
          <w:rFonts w:cs="Arial"/>
        </w:rPr>
        <w:t>2 tis. dnů více než muži.</w:t>
      </w:r>
    </w:p>
    <w:p w14:paraId="3571DA95" w14:textId="6E93D293" w:rsidR="009A3A03" w:rsidRDefault="009A3A03" w:rsidP="009A3A03">
      <w:pPr>
        <w:pStyle w:val="Seznam"/>
        <w:numPr>
          <w:ilvl w:val="0"/>
          <w:numId w:val="43"/>
        </w:numPr>
        <w:jc w:val="both"/>
        <w:rPr>
          <w:rFonts w:cs="Arial"/>
        </w:rPr>
      </w:pPr>
      <w:r w:rsidRPr="007D4160">
        <w:rPr>
          <w:rFonts w:cs="Arial"/>
        </w:rPr>
        <w:t>V 1. pol. 201</w:t>
      </w:r>
      <w:r w:rsidR="00CF05A6">
        <w:rPr>
          <w:rFonts w:cs="Arial"/>
        </w:rPr>
        <w:t>9</w:t>
      </w:r>
      <w:r w:rsidRPr="007D4160">
        <w:rPr>
          <w:rFonts w:cs="Arial"/>
        </w:rPr>
        <w:t xml:space="preserve"> v České republice v důsledku dočasné pracovní neschopnosti </w:t>
      </w:r>
      <w:r w:rsidR="00CF05A6">
        <w:rPr>
          <w:rFonts w:cs="Arial"/>
        </w:rPr>
        <w:t>způsobené</w:t>
      </w:r>
      <w:r w:rsidRPr="007D4160">
        <w:rPr>
          <w:rFonts w:cs="Arial"/>
        </w:rPr>
        <w:t xml:space="preserve"> nemoc</w:t>
      </w:r>
      <w:r w:rsidR="00CF05A6">
        <w:rPr>
          <w:rFonts w:cs="Arial"/>
        </w:rPr>
        <w:t xml:space="preserve">í či </w:t>
      </w:r>
      <w:r w:rsidRPr="007D4160">
        <w:rPr>
          <w:rFonts w:cs="Arial"/>
        </w:rPr>
        <w:t>úraz</w:t>
      </w:r>
      <w:r w:rsidR="00CF05A6">
        <w:rPr>
          <w:rFonts w:cs="Arial"/>
        </w:rPr>
        <w:t>em</w:t>
      </w:r>
      <w:r w:rsidRPr="007D4160">
        <w:rPr>
          <w:rFonts w:cs="Arial"/>
        </w:rPr>
        <w:t xml:space="preserve"> denně chybělo na pracovištích </w:t>
      </w:r>
      <w:r w:rsidR="00CF05A6">
        <w:rPr>
          <w:rFonts w:cs="Arial"/>
        </w:rPr>
        <w:t>229 712</w:t>
      </w:r>
      <w:r w:rsidRPr="007D4160">
        <w:rPr>
          <w:rFonts w:cs="Arial"/>
        </w:rPr>
        <w:t xml:space="preserve"> pojištěnců, což bylo ve srovnání s 1.</w:t>
      </w:r>
      <w:r w:rsidR="00F76C15">
        <w:rPr>
          <w:rFonts w:cs="Arial"/>
        </w:rPr>
        <w:t> </w:t>
      </w:r>
      <w:r w:rsidRPr="007D4160">
        <w:rPr>
          <w:rFonts w:cs="Arial"/>
        </w:rPr>
        <w:t>pol. 201</w:t>
      </w:r>
      <w:r w:rsidR="00CF05A6">
        <w:rPr>
          <w:rFonts w:cs="Arial"/>
        </w:rPr>
        <w:t>8</w:t>
      </w:r>
      <w:r w:rsidRPr="007D4160">
        <w:rPr>
          <w:rFonts w:cs="Arial"/>
        </w:rPr>
        <w:t xml:space="preserve"> (2</w:t>
      </w:r>
      <w:r w:rsidR="00CF05A6">
        <w:rPr>
          <w:rFonts w:cs="Arial"/>
        </w:rPr>
        <w:t>24</w:t>
      </w:r>
      <w:r w:rsidR="00744332">
        <w:rPr>
          <w:rFonts w:cs="Arial"/>
        </w:rPr>
        <w:t> </w:t>
      </w:r>
      <w:r w:rsidR="00CF05A6">
        <w:rPr>
          <w:rFonts w:cs="Arial"/>
        </w:rPr>
        <w:t>441</w:t>
      </w:r>
      <w:r w:rsidRPr="007D4160">
        <w:rPr>
          <w:rFonts w:cs="Arial"/>
        </w:rPr>
        <w:t xml:space="preserve"> pojištěnců) o </w:t>
      </w:r>
      <w:r w:rsidR="00CF05A6">
        <w:rPr>
          <w:rFonts w:cs="Arial"/>
        </w:rPr>
        <w:t>5,3 tis. osob více (o 2,3</w:t>
      </w:r>
      <w:r w:rsidRPr="007D4160">
        <w:rPr>
          <w:rFonts w:cs="Arial"/>
        </w:rPr>
        <w:t xml:space="preserve"> %). </w:t>
      </w:r>
      <w:r w:rsidR="00CF05A6">
        <w:rPr>
          <w:rFonts w:cs="Arial"/>
        </w:rPr>
        <w:t xml:space="preserve">Jedná se o nejvyšší průměrný denní stav dočasně práce neschopných od </w:t>
      </w:r>
      <w:r w:rsidR="005676C6">
        <w:rPr>
          <w:rFonts w:cs="Arial"/>
        </w:rPr>
        <w:t>1. pol.</w:t>
      </w:r>
      <w:r w:rsidR="00CF05A6">
        <w:rPr>
          <w:rFonts w:cs="Arial"/>
        </w:rPr>
        <w:t xml:space="preserve"> </w:t>
      </w:r>
      <w:r w:rsidR="005676C6">
        <w:rPr>
          <w:rFonts w:cs="Arial"/>
        </w:rPr>
        <w:t>200</w:t>
      </w:r>
      <w:r w:rsidR="00C33061">
        <w:rPr>
          <w:rFonts w:cs="Arial"/>
        </w:rPr>
        <w:t>8</w:t>
      </w:r>
      <w:r w:rsidR="005676C6">
        <w:rPr>
          <w:rFonts w:cs="Arial"/>
        </w:rPr>
        <w:t>.</w:t>
      </w:r>
    </w:p>
    <w:p w14:paraId="13CD3899" w14:textId="5DBCF427" w:rsidR="005676C6" w:rsidRDefault="005676C6" w:rsidP="009A3A03">
      <w:pPr>
        <w:pStyle w:val="Seznam"/>
        <w:numPr>
          <w:ilvl w:val="0"/>
          <w:numId w:val="43"/>
        </w:numPr>
        <w:jc w:val="both"/>
        <w:rPr>
          <w:rFonts w:cs="Arial"/>
        </w:rPr>
      </w:pPr>
      <w:r>
        <w:rPr>
          <w:rFonts w:cs="Arial"/>
        </w:rPr>
        <w:t xml:space="preserve">Pro nemoc bylo v neschopnosti v průměru </w:t>
      </w:r>
      <w:r w:rsidR="00A253D5">
        <w:rPr>
          <w:rFonts w:cs="Arial"/>
        </w:rPr>
        <w:t>198 tis. pojištěnců denně. V důsledku pracovního úrazu 7,3 tis. a následkem ostatních úrazů 24,3 tis. nemocensky pojištěných osob.</w:t>
      </w:r>
    </w:p>
    <w:p w14:paraId="34EF593B" w14:textId="5838BB23" w:rsidR="00A253D5" w:rsidRDefault="00F24626" w:rsidP="00F24626">
      <w:pPr>
        <w:pStyle w:val="Seznam"/>
        <w:numPr>
          <w:ilvl w:val="0"/>
          <w:numId w:val="43"/>
        </w:numPr>
        <w:jc w:val="both"/>
        <w:rPr>
          <w:rFonts w:cs="Arial"/>
        </w:rPr>
      </w:pPr>
      <w:r>
        <w:rPr>
          <w:rFonts w:cs="Arial"/>
        </w:rPr>
        <w:t>Největší absence byla ve Zpracovatelském průmyslu (77,7 tis. osob), dále v odvětví Velkoobchod a</w:t>
      </w:r>
      <w:r w:rsidR="008C51BB">
        <w:rPr>
          <w:rFonts w:cs="Arial"/>
        </w:rPr>
        <w:t> </w:t>
      </w:r>
      <w:r>
        <w:rPr>
          <w:rFonts w:cs="Arial"/>
        </w:rPr>
        <w:t>maloobchod; opravy a údržba motorových vo</w:t>
      </w:r>
      <w:r w:rsidR="00835C6C">
        <w:rPr>
          <w:rFonts w:cs="Arial"/>
        </w:rPr>
        <w:t xml:space="preserve">zidel (31,7 tis. osob), což je </w:t>
      </w:r>
      <w:r>
        <w:rPr>
          <w:rFonts w:cs="Arial"/>
        </w:rPr>
        <w:t xml:space="preserve">dáno silným zastoupením těchto odvětví v národním hospodářství. Naopak nejméně pojištěnců chybělo v odvětví </w:t>
      </w:r>
      <w:r w:rsidRPr="00F24626">
        <w:rPr>
          <w:rFonts w:cs="Arial"/>
        </w:rPr>
        <w:t>Výroba a</w:t>
      </w:r>
      <w:r w:rsidR="008C51BB">
        <w:rPr>
          <w:rFonts w:cs="Arial"/>
        </w:rPr>
        <w:t> </w:t>
      </w:r>
      <w:r w:rsidRPr="00F24626">
        <w:rPr>
          <w:rFonts w:cs="Arial"/>
        </w:rPr>
        <w:t>rozvod elektřiny, plynu, tepla a klimatiz</w:t>
      </w:r>
      <w:r>
        <w:rPr>
          <w:rFonts w:cs="Arial"/>
        </w:rPr>
        <w:t>ovaného</w:t>
      </w:r>
      <w:r w:rsidRPr="00F24626">
        <w:rPr>
          <w:rFonts w:cs="Arial"/>
        </w:rPr>
        <w:t xml:space="preserve"> vzduchu </w:t>
      </w:r>
      <w:r>
        <w:rPr>
          <w:rFonts w:cs="Arial"/>
        </w:rPr>
        <w:t>(1,2 tis.).</w:t>
      </w:r>
    </w:p>
    <w:p w14:paraId="62F5C437" w14:textId="327410E0" w:rsidR="00535CFF" w:rsidRPr="00621659" w:rsidRDefault="00F24626" w:rsidP="00F24626">
      <w:pPr>
        <w:pStyle w:val="Seznam"/>
        <w:numPr>
          <w:ilvl w:val="0"/>
          <w:numId w:val="43"/>
        </w:numPr>
        <w:jc w:val="both"/>
      </w:pPr>
      <w:r>
        <w:rPr>
          <w:rFonts w:cs="Arial"/>
        </w:rPr>
        <w:t xml:space="preserve">Za 1. pol. 2019 bylo pojištěncům vyplaceno nemocenské v celkové hodnotě </w:t>
      </w:r>
      <w:r w:rsidR="00621659">
        <w:rPr>
          <w:rFonts w:cs="Arial"/>
        </w:rPr>
        <w:t>13,8</w:t>
      </w:r>
      <w:r>
        <w:rPr>
          <w:rFonts w:cs="Arial"/>
        </w:rPr>
        <w:t xml:space="preserve"> mld. Kč, což představuje </w:t>
      </w:r>
      <w:r w:rsidR="00621659">
        <w:rPr>
          <w:rFonts w:cs="Arial"/>
        </w:rPr>
        <w:t>téměř 70</w:t>
      </w:r>
      <w:r>
        <w:rPr>
          <w:rFonts w:cs="Arial"/>
        </w:rPr>
        <w:t xml:space="preserve">% podíl celkových výdajů na dávky systému nemocenského pojištění. Meziročně vzrostly výdaje na nemocenské o </w:t>
      </w:r>
      <w:r w:rsidR="00621659">
        <w:rPr>
          <w:rFonts w:cs="Arial"/>
        </w:rPr>
        <w:t>2,2</w:t>
      </w:r>
      <w:r>
        <w:rPr>
          <w:rFonts w:cs="Arial"/>
        </w:rPr>
        <w:t xml:space="preserve"> mld. Kč, tj. o </w:t>
      </w:r>
      <w:r w:rsidR="00621659">
        <w:rPr>
          <w:rFonts w:cs="Arial"/>
        </w:rPr>
        <w:t>1</w:t>
      </w:r>
      <w:r w:rsidR="005F60A2">
        <w:rPr>
          <w:rFonts w:cs="Arial"/>
        </w:rPr>
        <w:t>5</w:t>
      </w:r>
      <w:r w:rsidR="00621659">
        <w:rPr>
          <w:rFonts w:cs="Arial"/>
        </w:rPr>
        <w:t>,</w:t>
      </w:r>
      <w:r w:rsidR="005F60A2">
        <w:rPr>
          <w:rFonts w:cs="Arial"/>
        </w:rPr>
        <w:t>8</w:t>
      </w:r>
      <w:r>
        <w:rPr>
          <w:rFonts w:cs="Arial"/>
        </w:rPr>
        <w:t xml:space="preserve"> %.</w:t>
      </w:r>
    </w:p>
    <w:p w14:paraId="6448EC77" w14:textId="77777777" w:rsidR="00621659" w:rsidRDefault="00621659" w:rsidP="00621659">
      <w:pPr>
        <w:pStyle w:val="Seznam"/>
        <w:ind w:left="720"/>
        <w:jc w:val="both"/>
      </w:pPr>
    </w:p>
    <w:p w14:paraId="03260E04" w14:textId="03732168" w:rsidR="003E0F4C" w:rsidRPr="003E0F4C" w:rsidRDefault="003E0F4C" w:rsidP="0019246C">
      <w:pPr>
        <w:pStyle w:val="Seznam"/>
        <w:spacing w:after="120"/>
        <w:jc w:val="both"/>
        <w:rPr>
          <w:b/>
          <w:sz w:val="14"/>
        </w:rPr>
      </w:pPr>
      <w:r w:rsidRPr="003E0F4C">
        <w:rPr>
          <w:rFonts w:cs="Arial"/>
          <w:b/>
          <w:szCs w:val="25"/>
        </w:rPr>
        <w:t xml:space="preserve">Graf </w:t>
      </w:r>
      <w:r>
        <w:rPr>
          <w:rFonts w:cs="Arial"/>
          <w:b/>
          <w:szCs w:val="25"/>
        </w:rPr>
        <w:t>6</w:t>
      </w:r>
      <w:r w:rsidR="00835C6C">
        <w:rPr>
          <w:rFonts w:cs="Arial"/>
          <w:b/>
          <w:szCs w:val="25"/>
        </w:rPr>
        <w:t>.1: Základní ukazatele</w:t>
      </w:r>
      <w:r w:rsidRPr="003E0F4C">
        <w:rPr>
          <w:rFonts w:cs="Arial"/>
          <w:b/>
          <w:szCs w:val="25"/>
        </w:rPr>
        <w:t xml:space="preserve"> dočasné pracovní neschopnosti v ČR v</w:t>
      </w:r>
      <w:r w:rsidR="00855127">
        <w:rPr>
          <w:rFonts w:cs="Arial"/>
          <w:b/>
          <w:szCs w:val="25"/>
        </w:rPr>
        <w:t> 1. pol. 2004</w:t>
      </w:r>
      <w:r>
        <w:rPr>
          <w:rFonts w:cs="Arial"/>
          <w:b/>
          <w:szCs w:val="25"/>
        </w:rPr>
        <w:t xml:space="preserve"> – 1. pol. 2019</w:t>
      </w:r>
    </w:p>
    <w:p w14:paraId="0BBA887D" w14:textId="34F69044" w:rsidR="00855127" w:rsidRPr="00855127" w:rsidRDefault="00835C6C" w:rsidP="00855127">
      <w:pPr>
        <w:pStyle w:val="Seznam"/>
        <w:jc w:val="both"/>
      </w:pPr>
      <w:r>
        <w:rPr>
          <w:noProof/>
        </w:rPr>
        <w:drawing>
          <wp:inline distT="0" distB="0" distL="0" distR="0" wp14:anchorId="720958F7" wp14:editId="0875CFEB">
            <wp:extent cx="6115050" cy="3314700"/>
            <wp:effectExtent l="0" t="0" r="0" b="0"/>
            <wp:docPr id="23" name="Graf 23">
              <a:extLst xmlns:a="http://schemas.openxmlformats.org/drawingml/2006/main">
                <a:ext uri="{FF2B5EF4-FFF2-40B4-BE49-F238E27FC236}">
                  <a16:creationId xmlns:a16="http://schemas.microsoft.com/office/drawing/2014/main" id="{00000000-0008-0000-1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00855127">
        <w:rPr>
          <w:rFonts w:cs="Arial"/>
          <w:sz w:val="16"/>
          <w:szCs w:val="16"/>
        </w:rPr>
        <w:t>Zdroj: ČSÚ</w:t>
      </w:r>
    </w:p>
    <w:p w14:paraId="78DF4A46" w14:textId="76EE3003" w:rsidR="00855127" w:rsidRDefault="00855127" w:rsidP="00855127">
      <w:pPr>
        <w:spacing w:after="0"/>
        <w:jc w:val="both"/>
        <w:rPr>
          <w:rFonts w:cs="Arial"/>
        </w:rPr>
      </w:pPr>
      <w:r>
        <w:rPr>
          <w:rFonts w:cs="Arial"/>
        </w:rPr>
        <w:t xml:space="preserve">Pohled na dlouhodobý vývoj základních ukazatelů pracovní neschopnosti nabízí graf 6.1. Nejvýznamnějším zlomem vývoje nemocnosti v České republice za posledních </w:t>
      </w:r>
      <w:r w:rsidR="00835C6C">
        <w:rPr>
          <w:rFonts w:cs="Arial"/>
        </w:rPr>
        <w:t>15</w:t>
      </w:r>
      <w:r>
        <w:rPr>
          <w:rFonts w:cs="Arial"/>
        </w:rPr>
        <w:t xml:space="preserve"> let byl rapidní pokles nemocnosti mezi roky 2007 až 2009, vyvolaný legislativními změnami v oblasti nemocenského pojištění. Svou roli zde sehrálo bezesporu zavedení karenční doby pro poskytování nemocenského od 1. 1. 2008, tzn. neposkytování </w:t>
      </w:r>
      <w:r>
        <w:rPr>
          <w:rFonts w:cs="Arial"/>
        </w:rPr>
        <w:lastRenderedPageBreak/>
        <w:t>nemocenských dávek za období prvních tří kalendářních dnů trvání dočasné pracovní neschopnosti, a</w:t>
      </w:r>
      <w:r w:rsidR="008C51BB">
        <w:rPr>
          <w:rFonts w:cs="Arial"/>
        </w:rPr>
        <w:t> </w:t>
      </w:r>
      <w:r>
        <w:rPr>
          <w:rFonts w:cs="Arial"/>
        </w:rPr>
        <w:t>přestože bylo nálezem Ústavního soudu s účinností od 30. 6. 2008 zrušeno, následovalo snížení sazby pro výpočet nemocenského za první 3 kalendářní dny pracovní neschopnosti z 60 % na 25 % od 1. 9. 2008. Nicméně nový zákon o nemocenském pojištění, účinný od 1. 1. 2009, poměrně revolučním způsobem zasáhl do vývoje nemocnosti – zejména posílením ochranných prvků proti zneužívání systému (zavedení karenční doby – 3 pracovní dny bez zabezpečení finančními prostředky, náhrada mzdy nebo platu od 4. pracovního dne) a zainteresováním zaměstnavatele na vývoji pracovní neschopnosti zaměstnanců (náhrada mzdy nebo platu za prvních 14 kalendářních dnů trvání pracovní neschopnosti). Důsledkem bylo snížení počtu případů dočasné pracovní neschopnosti zhruba na polovinu</w:t>
      </w:r>
      <w:r w:rsidR="00835C6C">
        <w:rPr>
          <w:rFonts w:cs="Arial"/>
        </w:rPr>
        <w:t xml:space="preserve"> v porovnání s 1. pol. 2007</w:t>
      </w:r>
      <w:r>
        <w:rPr>
          <w:rFonts w:cs="Arial"/>
        </w:rPr>
        <w:t>, což se projevilo zejména v</w:t>
      </w:r>
      <w:r w:rsidR="00034FB1">
        <w:rPr>
          <w:rFonts w:cs="Arial"/>
        </w:rPr>
        <w:t> </w:t>
      </w:r>
      <w:r>
        <w:rPr>
          <w:rFonts w:cs="Arial"/>
        </w:rPr>
        <w:t>četnosti případů méně závažných a krátkodobých pracovních neschopností, například u nemocí dýchacích cest (běžná nachlazení, záněty horních cest dýchacích). Tato onemocnění začali zaměstnanci ve většině případů řešit jiným způsobem, než návštěvou lékaře a vystavením neschopenky (krátkodobá dovolená, sick days). Dále došlo k</w:t>
      </w:r>
      <w:r w:rsidR="008C51BB">
        <w:rPr>
          <w:rFonts w:cs="Arial"/>
        </w:rPr>
        <w:t> </w:t>
      </w:r>
      <w:r>
        <w:rPr>
          <w:rFonts w:cs="Arial"/>
        </w:rPr>
        <w:t xml:space="preserve">poklesu počtu kalendářních dnů dočasné </w:t>
      </w:r>
      <w:r w:rsidR="00835C6C">
        <w:rPr>
          <w:rFonts w:cs="Arial"/>
        </w:rPr>
        <w:t>pracovní neschopnosti zhruba o 30 %</w:t>
      </w:r>
      <w:r>
        <w:rPr>
          <w:rFonts w:cs="Arial"/>
        </w:rPr>
        <w:t xml:space="preserve"> a</w:t>
      </w:r>
      <w:r w:rsidR="00835C6C">
        <w:rPr>
          <w:rFonts w:cs="Arial"/>
        </w:rPr>
        <w:t> </w:t>
      </w:r>
      <w:r>
        <w:rPr>
          <w:rFonts w:cs="Arial"/>
        </w:rPr>
        <w:t>průměrného procenta pracovní neschopnosti zhruba o čtvrtinu. Tato skutečnost se projevila i na průměrné délce trvání 1 případu, která vzrostla vlivem dopadů legislativních změn téměř o 1</w:t>
      </w:r>
      <w:r w:rsidR="00835C6C">
        <w:rPr>
          <w:rFonts w:cs="Arial"/>
        </w:rPr>
        <w:t>2</w:t>
      </w:r>
      <w:r>
        <w:rPr>
          <w:rFonts w:cs="Arial"/>
        </w:rPr>
        <w:t xml:space="preserve"> dnů na 45 dnů v</w:t>
      </w:r>
      <w:r w:rsidR="00835C6C">
        <w:rPr>
          <w:rFonts w:cs="Arial"/>
        </w:rPr>
        <w:t> 1. pol. 2009 oproti 1. pol. 2007.</w:t>
      </w:r>
    </w:p>
    <w:p w14:paraId="3359ACB8" w14:textId="77777777" w:rsidR="00855127" w:rsidRDefault="00855127" w:rsidP="00855127">
      <w:pPr>
        <w:spacing w:after="0"/>
        <w:jc w:val="both"/>
        <w:rPr>
          <w:rFonts w:cs="Arial"/>
        </w:rPr>
      </w:pPr>
    </w:p>
    <w:p w14:paraId="3E9340A9" w14:textId="6468AEF5" w:rsidR="00855127" w:rsidRDefault="00855127" w:rsidP="00855127">
      <w:pPr>
        <w:spacing w:after="0"/>
        <w:jc w:val="both"/>
      </w:pPr>
      <w:r>
        <w:rPr>
          <w:rFonts w:cs="Arial"/>
        </w:rPr>
        <w:t>V posledních pěti letech jsme u údajů za pracovní neschopnost v 1. pol. daného roku svědky relativní stabilizace počtu případů na 100 poj</w:t>
      </w:r>
      <w:r w:rsidR="00835C6C">
        <w:rPr>
          <w:rFonts w:cs="Arial"/>
        </w:rPr>
        <w:t>i</w:t>
      </w:r>
      <w:r>
        <w:rPr>
          <w:rFonts w:cs="Arial"/>
        </w:rPr>
        <w:t>štěnců a kolísání průměrné délky trvání případu. Průměrné procento</w:t>
      </w:r>
      <w:r w:rsidR="008C51BB">
        <w:rPr>
          <w:rFonts w:cs="Arial"/>
        </w:rPr>
        <w:t xml:space="preserve"> dočasné pracovní neschopnosti – </w:t>
      </w:r>
      <w:r>
        <w:rPr>
          <w:rFonts w:cs="Arial"/>
        </w:rPr>
        <w:t>neboli kolik ze 100 pojištěnců je průměrně denně v pracovní neschopnosti – se stále zvyšuje.</w:t>
      </w:r>
      <w:r w:rsidR="008C51BB">
        <w:rPr>
          <w:rFonts w:cs="Arial"/>
        </w:rPr>
        <w:t xml:space="preserve"> </w:t>
      </w:r>
      <w:r>
        <w:rPr>
          <w:rFonts w:cs="Arial"/>
        </w:rPr>
        <w:t>Vliv na tento trend rozhodně má i stárnutí populace a zvyšování průměrného věku zaměstnanců.</w:t>
      </w:r>
      <w:r w:rsidR="008C51BB">
        <w:t xml:space="preserve"> Zrušením karenční doby od 1. 7. 2019 lze v příštím roce očekávat výrazné změny ve vývoji sledovaných ukazatelů popisujících pracovní neschopnost pro nemoc a úraz.</w:t>
      </w:r>
    </w:p>
    <w:sectPr w:rsidR="00855127" w:rsidSect="00954C6B">
      <w:headerReference w:type="even" r:id="rId43"/>
      <w:headerReference w:type="default" r:id="rId44"/>
      <w:footerReference w:type="even" r:id="rId45"/>
      <w:footerReference w:type="default" r:id="rId46"/>
      <w:pgSz w:w="11906" w:h="16838" w:code="9"/>
      <w:pgMar w:top="1134" w:right="1134" w:bottom="1418" w:left="1134" w:header="680" w:footer="680" w:gutter="0"/>
      <w:pgNumType w:start="14"/>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EEF346" w16cid:durableId="214CE8A3"/>
  <w16cid:commentId w16cid:paraId="1C6EC712" w16cid:durableId="214CE8A4"/>
  <w16cid:commentId w16cid:paraId="6C709477" w16cid:durableId="214CE8A5"/>
  <w16cid:commentId w16cid:paraId="63BFCE94" w16cid:durableId="214CE8A6"/>
  <w16cid:commentId w16cid:paraId="3508B0E3" w16cid:durableId="214CE8A7"/>
  <w16cid:commentId w16cid:paraId="4BA0C102" w16cid:durableId="214CE8A8"/>
  <w16cid:commentId w16cid:paraId="3FEFEFDA" w16cid:durableId="214CE8A9"/>
  <w16cid:commentId w16cid:paraId="657B814A" w16cid:durableId="214CE8AA"/>
  <w16cid:commentId w16cid:paraId="3F0A8039" w16cid:durableId="214CE8AB"/>
  <w16cid:commentId w16cid:paraId="3E6B8EC0" w16cid:durableId="214CE8AC"/>
  <w16cid:commentId w16cid:paraId="72EA8429" w16cid:durableId="214CE8AD"/>
  <w16cid:commentId w16cid:paraId="61EB88A6" w16cid:durableId="214CE8AE"/>
  <w16cid:commentId w16cid:paraId="7ADFBBCF" w16cid:durableId="214CE8AF"/>
  <w16cid:commentId w16cid:paraId="712EEB3D" w16cid:durableId="214CE8B0"/>
  <w16cid:commentId w16cid:paraId="0FDF9989" w16cid:durableId="214CE8B1"/>
  <w16cid:commentId w16cid:paraId="23193299" w16cid:durableId="214CE8B2"/>
  <w16cid:commentId w16cid:paraId="60C8237E" w16cid:durableId="214CE8B3"/>
  <w16cid:commentId w16cid:paraId="722B6F26" w16cid:durableId="214CE8B4"/>
  <w16cid:commentId w16cid:paraId="4FB7049B" w16cid:durableId="214CE8B5"/>
  <w16cid:commentId w16cid:paraId="45B6D117" w16cid:durableId="214CE8B6"/>
  <w16cid:commentId w16cid:paraId="75ADD11B" w16cid:durableId="214CE8B7"/>
  <w16cid:commentId w16cid:paraId="4D77F8EA" w16cid:durableId="214CE8B8"/>
  <w16cid:commentId w16cid:paraId="0B04D717" w16cid:durableId="214CE8B9"/>
  <w16cid:commentId w16cid:paraId="1A6694FC" w16cid:durableId="214CE8BA"/>
  <w16cid:commentId w16cid:paraId="60B8F04E" w16cid:durableId="214CE8BB"/>
  <w16cid:commentId w16cid:paraId="4FFDE52A" w16cid:durableId="214CE8BC"/>
  <w16cid:commentId w16cid:paraId="70DC22B9" w16cid:durableId="214CE8BD"/>
  <w16cid:commentId w16cid:paraId="6311E580" w16cid:durableId="214CE8BE"/>
  <w16cid:commentId w16cid:paraId="5D09CACD" w16cid:durableId="214CE8BF"/>
  <w16cid:commentId w16cid:paraId="17FB8286" w16cid:durableId="214CE8C0"/>
  <w16cid:commentId w16cid:paraId="3CE5500D" w16cid:durableId="214CE8C1"/>
  <w16cid:commentId w16cid:paraId="15A8E929" w16cid:durableId="214CE8C2"/>
  <w16cid:commentId w16cid:paraId="1119082B" w16cid:durableId="214CE8C3"/>
  <w16cid:commentId w16cid:paraId="799808C1" w16cid:durableId="214CE8C4"/>
  <w16cid:commentId w16cid:paraId="5CDADAB5" w16cid:durableId="214CE8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99D94" w14:textId="77777777" w:rsidR="00C81EB1" w:rsidRDefault="00C81EB1" w:rsidP="00E71A58">
      <w:r>
        <w:separator/>
      </w:r>
    </w:p>
  </w:endnote>
  <w:endnote w:type="continuationSeparator" w:id="0">
    <w:p w14:paraId="46A9A6FD" w14:textId="77777777" w:rsidR="00C81EB1" w:rsidRDefault="00C81EB1"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0F180" w14:textId="3F6595FB" w:rsidR="00C81EB1" w:rsidRPr="00932443" w:rsidRDefault="00C81EB1" w:rsidP="00A418BC">
    <w:pPr>
      <w:pStyle w:val="Zpat"/>
      <w:rPr>
        <w:szCs w:val="16"/>
      </w:rPr>
    </w:pPr>
    <w:r>
      <w:rPr>
        <w:szCs w:val="16"/>
        <w:lang w:eastAsia="cs-CZ"/>
      </w:rPr>
      <w:drawing>
        <wp:anchor distT="0" distB="0" distL="114300" distR="114300" simplePos="0" relativeHeight="251658240" behindDoc="0" locked="0" layoutInCell="1" allowOverlap="1" wp14:anchorId="518618CB" wp14:editId="20720B39">
          <wp:simplePos x="0" y="0"/>
          <wp:positionH relativeFrom="column">
            <wp:align>right</wp:align>
          </wp:positionH>
          <wp:positionV relativeFrom="paragraph">
            <wp:posOffset>-64770</wp:posOffset>
          </wp:positionV>
          <wp:extent cx="428625" cy="201295"/>
          <wp:effectExtent l="0" t="0" r="3175" b="1905"/>
          <wp:wrapNone/>
          <wp:docPr id="11"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5F4DD2">
      <w:rPr>
        <w:szCs w:val="16"/>
      </w:rPr>
      <w:t>46</w:t>
    </w:r>
    <w:r w:rsidRPr="00932443">
      <w:rPr>
        <w:szCs w:val="16"/>
      </w:rPr>
      <w:fldChar w:fldCharType="end"/>
    </w:r>
    <w:r w:rsidRPr="00932443">
      <w:rPr>
        <w:szCs w:val="16"/>
      </w:rPr>
      <w:tab/>
    </w:r>
    <w:r>
      <w:rPr>
        <w:szCs w:val="16"/>
      </w:rPr>
      <w:t>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53A85" w14:textId="6A17F820" w:rsidR="00C81EB1" w:rsidRPr="00932443" w:rsidRDefault="00C81EB1" w:rsidP="00A418BC">
    <w:pPr>
      <w:pStyle w:val="Zpat"/>
      <w:rPr>
        <w:szCs w:val="16"/>
      </w:rPr>
    </w:pPr>
    <w:r>
      <w:rPr>
        <w:szCs w:val="16"/>
        <w:lang w:eastAsia="cs-CZ"/>
      </w:rPr>
      <w:drawing>
        <wp:anchor distT="0" distB="0" distL="114300" distR="114300" simplePos="0" relativeHeight="251657216" behindDoc="0" locked="0" layoutInCell="1" allowOverlap="1" wp14:anchorId="52255DA0" wp14:editId="7E85ADBF">
          <wp:simplePos x="0" y="0"/>
          <wp:positionH relativeFrom="column">
            <wp:align>left</wp:align>
          </wp:positionH>
          <wp:positionV relativeFrom="paragraph">
            <wp:posOffset>-122555</wp:posOffset>
          </wp:positionV>
          <wp:extent cx="510540" cy="272415"/>
          <wp:effectExtent l="0" t="0" r="0" b="6985"/>
          <wp:wrapNone/>
          <wp:docPr id="10"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sidRPr="00932443">
      <w:rPr>
        <w:szCs w:val="16"/>
      </w:rPr>
      <w:tab/>
    </w:r>
    <w:r>
      <w:rPr>
        <w:rStyle w:val="ZpatChar"/>
        <w:szCs w:val="16"/>
      </w:rPr>
      <w:t>2019</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5F4DD2">
      <w:rPr>
        <w:rStyle w:val="ZpatChar"/>
        <w:szCs w:val="16"/>
      </w:rPr>
      <w:t>47</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43AEE" w14:textId="77777777" w:rsidR="00C81EB1" w:rsidRDefault="00C81EB1" w:rsidP="00E71A58">
      <w:r>
        <w:separator/>
      </w:r>
    </w:p>
  </w:footnote>
  <w:footnote w:type="continuationSeparator" w:id="0">
    <w:p w14:paraId="264CFBCA" w14:textId="77777777" w:rsidR="00C81EB1" w:rsidRDefault="00C81EB1" w:rsidP="00E71A58">
      <w:r>
        <w:continuationSeparator/>
      </w:r>
    </w:p>
  </w:footnote>
  <w:footnote w:id="1">
    <w:p w14:paraId="5A67250C" w14:textId="77777777" w:rsidR="00C81EB1" w:rsidRPr="00A07459" w:rsidRDefault="00C81EB1" w:rsidP="00907B59">
      <w:pPr>
        <w:pStyle w:val="Textpoznpodarou"/>
        <w:rPr>
          <w:sz w:val="16"/>
        </w:rPr>
      </w:pPr>
      <w:r w:rsidRPr="00A07459">
        <w:rPr>
          <w:rStyle w:val="Znakapoznpodarou"/>
          <w:sz w:val="16"/>
        </w:rPr>
        <w:footnoteRef/>
      </w:r>
      <w:r w:rsidRPr="00A07459">
        <w:rPr>
          <w:sz w:val="16"/>
        </w:rPr>
        <w:t xml:space="preserve"> </w:t>
      </w:r>
      <w:r>
        <w:rPr>
          <w:sz w:val="16"/>
        </w:rPr>
        <w:t xml:space="preserve">Od </w:t>
      </w:r>
      <w:r w:rsidRPr="00A07459">
        <w:rPr>
          <w:sz w:val="16"/>
        </w:rPr>
        <w:t>1. 7. 2019</w:t>
      </w:r>
      <w:r>
        <w:rPr>
          <w:sz w:val="16"/>
        </w:rPr>
        <w:t xml:space="preserve"> došlo ke zrušení karenční doby.</w:t>
      </w:r>
    </w:p>
  </w:footnote>
  <w:footnote w:id="2">
    <w:p w14:paraId="6E649FB1" w14:textId="77777777" w:rsidR="00C81EB1" w:rsidRDefault="00C81EB1" w:rsidP="00907B59">
      <w:pPr>
        <w:pStyle w:val="Textpoznpodarou"/>
        <w:jc w:val="both"/>
      </w:pPr>
      <w:r w:rsidRPr="00171A2F">
        <w:rPr>
          <w:rStyle w:val="Znakapoznpodarou"/>
          <w:sz w:val="16"/>
        </w:rPr>
        <w:footnoteRef/>
      </w:r>
      <w:r w:rsidRPr="00171A2F">
        <w:rPr>
          <w:sz w:val="16"/>
        </w:rPr>
        <w:t xml:space="preserve"> V Jeseníku se nachází referát účtárny pěstounské péče pro profesionální pěstouny v ČR. Profesionální pěstouni na neschopenku nechodí, protože jim po dobu pracovní neschopnosti svěřené dítě neodeberou. Jsou však zahrnuti do jmenovatele jako počet pojištěnců v okrese.</w:t>
      </w:r>
    </w:p>
  </w:footnote>
  <w:footnote w:id="3">
    <w:p w14:paraId="25D1D12C" w14:textId="65C7A391" w:rsidR="00C81EB1" w:rsidRPr="00901128" w:rsidRDefault="00C81EB1" w:rsidP="00901128">
      <w:pPr>
        <w:pStyle w:val="Textpoznpodarou"/>
        <w:jc w:val="both"/>
        <w:rPr>
          <w:sz w:val="16"/>
        </w:rPr>
      </w:pPr>
      <w:r w:rsidRPr="00901128">
        <w:rPr>
          <w:rStyle w:val="Znakapoznpodarou"/>
          <w:sz w:val="16"/>
        </w:rPr>
        <w:footnoteRef/>
      </w:r>
      <w:r w:rsidRPr="00901128">
        <w:rPr>
          <w:sz w:val="16"/>
        </w:rPr>
        <w:t xml:space="preserve"> Poživateli starobního nebo invalidního důchodu pro invaliditu třetího stupně se nemocenské vyplácí od 15. kalendářního dne trvání dočasné pracovní neschopnosti nebo od 15. kalendářního dne nařízené karantény po dobu nejvýše 70 kalendářních dnů, nejdéle však do dne, jímž končí pojištěná činnost.</w:t>
      </w:r>
    </w:p>
  </w:footnote>
  <w:footnote w:id="4">
    <w:p w14:paraId="10AECB69" w14:textId="5FB3B2F4" w:rsidR="00C81EB1" w:rsidRPr="003A3529" w:rsidRDefault="00C81EB1">
      <w:pPr>
        <w:pStyle w:val="Textpoznpodarou"/>
        <w:rPr>
          <w:sz w:val="16"/>
        </w:rPr>
      </w:pPr>
      <w:r w:rsidRPr="003A3529">
        <w:rPr>
          <w:rStyle w:val="Znakapoznpodarou"/>
          <w:sz w:val="16"/>
        </w:rPr>
        <w:footnoteRef/>
      </w:r>
      <w:r w:rsidRPr="003A3529">
        <w:rPr>
          <w:sz w:val="16"/>
        </w:rPr>
        <w:t xml:space="preserve"> Výjimka 3 pracovních dnů, tj. karenční doba, platí jen pro 1. pol. 2019. Od 1. 7. 2019 byla zrušena.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6E9F6" w14:textId="7958ECEB" w:rsidR="00C81EB1" w:rsidRPr="00C62BD6" w:rsidRDefault="00C81EB1" w:rsidP="00C62BD6">
    <w:pPr>
      <w:pStyle w:val="Zhlav"/>
    </w:pPr>
    <w:r>
      <w:t>Pracovní neschopnost pro nemoc a úraz v České republice za 1. pololetí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4EFC2" w14:textId="733F8B14" w:rsidR="00C81EB1" w:rsidRPr="00C62BD6" w:rsidRDefault="00C81EB1" w:rsidP="00C62BD6">
    <w:pPr>
      <w:pStyle w:val="Zhlav"/>
    </w:pPr>
    <w:r>
      <w:t>Pracovní neschopnost pro nemoc a úraz v České republice za 1. pololetí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746EB"/>
    <w:multiLevelType w:val="hybridMultilevel"/>
    <w:tmpl w:val="D616BA4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21F7F59"/>
    <w:multiLevelType w:val="hybridMultilevel"/>
    <w:tmpl w:val="9EACCE2C"/>
    <w:lvl w:ilvl="0" w:tplc="04050001">
      <w:start w:val="1"/>
      <w:numFmt w:val="bullet"/>
      <w:lvlText w:val=""/>
      <w:lvlJc w:val="left"/>
      <w:pPr>
        <w:ind w:left="720" w:hanging="360"/>
      </w:pPr>
      <w:rPr>
        <w:rFonts w:ascii="Symbol" w:hAnsi="Symbol" w:hint="default"/>
      </w:rPr>
    </w:lvl>
    <w:lvl w:ilvl="1" w:tplc="04050009">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92469A9"/>
    <w:multiLevelType w:val="hybridMultilevel"/>
    <w:tmpl w:val="6E42498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A133F17"/>
    <w:multiLevelType w:val="hybridMultilevel"/>
    <w:tmpl w:val="1D3A9A2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1603038"/>
    <w:multiLevelType w:val="multilevel"/>
    <w:tmpl w:val="33D0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723F40"/>
    <w:multiLevelType w:val="hybridMultilevel"/>
    <w:tmpl w:val="65E8E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46B787E"/>
    <w:multiLevelType w:val="hybridMultilevel"/>
    <w:tmpl w:val="288A995C"/>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4AE0212"/>
    <w:multiLevelType w:val="hybridMultilevel"/>
    <w:tmpl w:val="B27CAB0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86F1BCF"/>
    <w:multiLevelType w:val="multilevel"/>
    <w:tmpl w:val="0CFA4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394626"/>
    <w:multiLevelType w:val="hybridMultilevel"/>
    <w:tmpl w:val="C29C8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0772BC2"/>
    <w:multiLevelType w:val="multilevel"/>
    <w:tmpl w:val="B6E2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C14F36"/>
    <w:multiLevelType w:val="multilevel"/>
    <w:tmpl w:val="1A9A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FB3472"/>
    <w:multiLevelType w:val="hybridMultilevel"/>
    <w:tmpl w:val="306E3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99855A7"/>
    <w:multiLevelType w:val="hybridMultilevel"/>
    <w:tmpl w:val="5E740A9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14163"/>
    <w:multiLevelType w:val="hybridMultilevel"/>
    <w:tmpl w:val="8E5265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DFE13AA"/>
    <w:multiLevelType w:val="hybridMultilevel"/>
    <w:tmpl w:val="3B30054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31BE7536"/>
    <w:multiLevelType w:val="hybridMultilevel"/>
    <w:tmpl w:val="CA56DB9C"/>
    <w:lvl w:ilvl="0" w:tplc="578C2E40">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23435D6"/>
    <w:multiLevelType w:val="hybridMultilevel"/>
    <w:tmpl w:val="299CC6B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2757E69"/>
    <w:multiLevelType w:val="hybridMultilevel"/>
    <w:tmpl w:val="923CA67A"/>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30" w15:restartNumberingAfterBreak="0">
    <w:nsid w:val="42BA0E59"/>
    <w:multiLevelType w:val="hybridMultilevel"/>
    <w:tmpl w:val="3F88B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6375EA9"/>
    <w:multiLevelType w:val="multilevel"/>
    <w:tmpl w:val="8EFA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901B91"/>
    <w:multiLevelType w:val="hybridMultilevel"/>
    <w:tmpl w:val="EA869778"/>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5363618"/>
    <w:multiLevelType w:val="hybridMultilevel"/>
    <w:tmpl w:val="E3E8E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90017F3"/>
    <w:multiLevelType w:val="hybridMultilevel"/>
    <w:tmpl w:val="D4C40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3F873C3"/>
    <w:multiLevelType w:val="hybridMultilevel"/>
    <w:tmpl w:val="B83418DE"/>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38" w15:restartNumberingAfterBreak="0">
    <w:nsid w:val="686C4312"/>
    <w:multiLevelType w:val="multilevel"/>
    <w:tmpl w:val="A544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874A64"/>
    <w:multiLevelType w:val="hybridMultilevel"/>
    <w:tmpl w:val="35CA03B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0" w15:restartNumberingAfterBreak="0">
    <w:nsid w:val="71FB04D0"/>
    <w:multiLevelType w:val="hybridMultilevel"/>
    <w:tmpl w:val="A5FC2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42159D4"/>
    <w:multiLevelType w:val="hybridMultilevel"/>
    <w:tmpl w:val="624A4612"/>
    <w:lvl w:ilvl="0" w:tplc="A5AE7386">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DF280C"/>
    <w:multiLevelType w:val="hybridMultilevel"/>
    <w:tmpl w:val="022C8D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3"/>
  </w:num>
  <w:num w:numId="13">
    <w:abstractNumId w:val="34"/>
  </w:num>
  <w:num w:numId="14">
    <w:abstractNumId w:val="17"/>
  </w:num>
  <w:num w:numId="15">
    <w:abstractNumId w:val="27"/>
  </w:num>
  <w:num w:numId="16">
    <w:abstractNumId w:val="10"/>
  </w:num>
  <w:num w:numId="17">
    <w:abstractNumId w:val="40"/>
  </w:num>
  <w:num w:numId="18">
    <w:abstractNumId w:val="22"/>
  </w:num>
  <w:num w:numId="19">
    <w:abstractNumId w:val="36"/>
  </w:num>
  <w:num w:numId="20">
    <w:abstractNumId w:val="25"/>
  </w:num>
  <w:num w:numId="21">
    <w:abstractNumId w:val="32"/>
  </w:num>
  <w:num w:numId="2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5"/>
  </w:num>
  <w:num w:numId="25">
    <w:abstractNumId w:val="14"/>
  </w:num>
  <w:num w:numId="26">
    <w:abstractNumId w:val="38"/>
  </w:num>
  <w:num w:numId="27">
    <w:abstractNumId w:val="11"/>
  </w:num>
  <w:num w:numId="28">
    <w:abstractNumId w:val="12"/>
  </w:num>
  <w:num w:numId="29">
    <w:abstractNumId w:val="13"/>
  </w:num>
  <w:num w:numId="30">
    <w:abstractNumId w:val="28"/>
  </w:num>
  <w:num w:numId="31">
    <w:abstractNumId w:val="24"/>
  </w:num>
  <w:num w:numId="32">
    <w:abstractNumId w:val="16"/>
  </w:num>
  <w:num w:numId="33">
    <w:abstractNumId w:val="30"/>
  </w:num>
  <w:num w:numId="34">
    <w:abstractNumId w:val="41"/>
  </w:num>
  <w:num w:numId="35">
    <w:abstractNumId w:val="20"/>
  </w:num>
  <w:num w:numId="36">
    <w:abstractNumId w:val="21"/>
  </w:num>
  <w:num w:numId="37">
    <w:abstractNumId w:val="39"/>
  </w:num>
  <w:num w:numId="38">
    <w:abstractNumId w:val="26"/>
  </w:num>
  <w:num w:numId="39">
    <w:abstractNumId w:val="37"/>
  </w:num>
  <w:num w:numId="40">
    <w:abstractNumId w:val="29"/>
  </w:num>
  <w:num w:numId="41">
    <w:abstractNumId w:val="18"/>
  </w:num>
  <w:num w:numId="42">
    <w:abstractNumId w:val="31"/>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29F"/>
    <w:rsid w:val="0000051B"/>
    <w:rsid w:val="00000F9E"/>
    <w:rsid w:val="0000209D"/>
    <w:rsid w:val="00003180"/>
    <w:rsid w:val="00004D5A"/>
    <w:rsid w:val="000056AC"/>
    <w:rsid w:val="000056D5"/>
    <w:rsid w:val="00006E59"/>
    <w:rsid w:val="00006FF8"/>
    <w:rsid w:val="000073B0"/>
    <w:rsid w:val="0000767A"/>
    <w:rsid w:val="00007B22"/>
    <w:rsid w:val="00010702"/>
    <w:rsid w:val="00010EA9"/>
    <w:rsid w:val="00012AAA"/>
    <w:rsid w:val="00012B24"/>
    <w:rsid w:val="00012D4C"/>
    <w:rsid w:val="000138D2"/>
    <w:rsid w:val="00014CB4"/>
    <w:rsid w:val="00016992"/>
    <w:rsid w:val="00017C11"/>
    <w:rsid w:val="00020366"/>
    <w:rsid w:val="00020F5B"/>
    <w:rsid w:val="00021D4F"/>
    <w:rsid w:val="00022091"/>
    <w:rsid w:val="000220A7"/>
    <w:rsid w:val="000234D6"/>
    <w:rsid w:val="00023752"/>
    <w:rsid w:val="00023D29"/>
    <w:rsid w:val="00025962"/>
    <w:rsid w:val="00026389"/>
    <w:rsid w:val="0002645A"/>
    <w:rsid w:val="00030C62"/>
    <w:rsid w:val="000318FA"/>
    <w:rsid w:val="00031AE0"/>
    <w:rsid w:val="000322EF"/>
    <w:rsid w:val="00032F39"/>
    <w:rsid w:val="00033FCD"/>
    <w:rsid w:val="00034FB1"/>
    <w:rsid w:val="00035D43"/>
    <w:rsid w:val="0003700D"/>
    <w:rsid w:val="00037892"/>
    <w:rsid w:val="00040719"/>
    <w:rsid w:val="00040960"/>
    <w:rsid w:val="00040E2B"/>
    <w:rsid w:val="00040FCB"/>
    <w:rsid w:val="00041CD3"/>
    <w:rsid w:val="00041CEC"/>
    <w:rsid w:val="000422D6"/>
    <w:rsid w:val="00042338"/>
    <w:rsid w:val="00043077"/>
    <w:rsid w:val="000439E1"/>
    <w:rsid w:val="000441B2"/>
    <w:rsid w:val="0004580B"/>
    <w:rsid w:val="00045DE5"/>
    <w:rsid w:val="00046914"/>
    <w:rsid w:val="0004694F"/>
    <w:rsid w:val="00047203"/>
    <w:rsid w:val="00052266"/>
    <w:rsid w:val="000522E4"/>
    <w:rsid w:val="00052494"/>
    <w:rsid w:val="00055BD9"/>
    <w:rsid w:val="0005748C"/>
    <w:rsid w:val="000610E1"/>
    <w:rsid w:val="00061AF0"/>
    <w:rsid w:val="00061D62"/>
    <w:rsid w:val="00062AE9"/>
    <w:rsid w:val="00062EC5"/>
    <w:rsid w:val="00062F22"/>
    <w:rsid w:val="000637B9"/>
    <w:rsid w:val="00063B7E"/>
    <w:rsid w:val="00063EF6"/>
    <w:rsid w:val="00065F99"/>
    <w:rsid w:val="00066244"/>
    <w:rsid w:val="000674CE"/>
    <w:rsid w:val="00067CC5"/>
    <w:rsid w:val="00070698"/>
    <w:rsid w:val="000712B3"/>
    <w:rsid w:val="00071615"/>
    <w:rsid w:val="0007305F"/>
    <w:rsid w:val="000745FC"/>
    <w:rsid w:val="00074D94"/>
    <w:rsid w:val="00075921"/>
    <w:rsid w:val="00076895"/>
    <w:rsid w:val="0008263E"/>
    <w:rsid w:val="00082C19"/>
    <w:rsid w:val="000850A2"/>
    <w:rsid w:val="00085395"/>
    <w:rsid w:val="00085D11"/>
    <w:rsid w:val="00085DD0"/>
    <w:rsid w:val="00085EA1"/>
    <w:rsid w:val="000860AB"/>
    <w:rsid w:val="000860E7"/>
    <w:rsid w:val="00086B0F"/>
    <w:rsid w:val="00086E51"/>
    <w:rsid w:val="00087634"/>
    <w:rsid w:val="00087D6A"/>
    <w:rsid w:val="00087F2B"/>
    <w:rsid w:val="0009095C"/>
    <w:rsid w:val="00090DF3"/>
    <w:rsid w:val="00091189"/>
    <w:rsid w:val="00091191"/>
    <w:rsid w:val="0009251C"/>
    <w:rsid w:val="00092FCF"/>
    <w:rsid w:val="0009305D"/>
    <w:rsid w:val="00096738"/>
    <w:rsid w:val="00096A2D"/>
    <w:rsid w:val="00096D05"/>
    <w:rsid w:val="000974D1"/>
    <w:rsid w:val="0009799E"/>
    <w:rsid w:val="00097C3A"/>
    <w:rsid w:val="00097DA1"/>
    <w:rsid w:val="000A0AB3"/>
    <w:rsid w:val="000A0C86"/>
    <w:rsid w:val="000A1183"/>
    <w:rsid w:val="000A1A53"/>
    <w:rsid w:val="000A1DDF"/>
    <w:rsid w:val="000A256D"/>
    <w:rsid w:val="000A34A2"/>
    <w:rsid w:val="000A376E"/>
    <w:rsid w:val="000A3A2C"/>
    <w:rsid w:val="000A3A51"/>
    <w:rsid w:val="000A5007"/>
    <w:rsid w:val="000A5801"/>
    <w:rsid w:val="000A7FAF"/>
    <w:rsid w:val="000B046F"/>
    <w:rsid w:val="000B07F0"/>
    <w:rsid w:val="000B0F71"/>
    <w:rsid w:val="000B1299"/>
    <w:rsid w:val="000B18E1"/>
    <w:rsid w:val="000B30FA"/>
    <w:rsid w:val="000B3152"/>
    <w:rsid w:val="000B3416"/>
    <w:rsid w:val="000B3EF7"/>
    <w:rsid w:val="000B4F3F"/>
    <w:rsid w:val="000B78F7"/>
    <w:rsid w:val="000C0175"/>
    <w:rsid w:val="000C10D7"/>
    <w:rsid w:val="000C3408"/>
    <w:rsid w:val="000C3871"/>
    <w:rsid w:val="000C4868"/>
    <w:rsid w:val="000C6AFD"/>
    <w:rsid w:val="000D0984"/>
    <w:rsid w:val="000D0B70"/>
    <w:rsid w:val="000D1014"/>
    <w:rsid w:val="000D14EA"/>
    <w:rsid w:val="000D1857"/>
    <w:rsid w:val="000D2467"/>
    <w:rsid w:val="000D2B7A"/>
    <w:rsid w:val="000D2DDC"/>
    <w:rsid w:val="000D3D37"/>
    <w:rsid w:val="000D4A30"/>
    <w:rsid w:val="000D5637"/>
    <w:rsid w:val="000D5763"/>
    <w:rsid w:val="000D6E68"/>
    <w:rsid w:val="000D78C9"/>
    <w:rsid w:val="000E3A0E"/>
    <w:rsid w:val="000E3A9C"/>
    <w:rsid w:val="000E43F6"/>
    <w:rsid w:val="000E525F"/>
    <w:rsid w:val="000E5B2D"/>
    <w:rsid w:val="000E61E7"/>
    <w:rsid w:val="000E66A6"/>
    <w:rsid w:val="000E6D18"/>
    <w:rsid w:val="000E6FBD"/>
    <w:rsid w:val="000F0675"/>
    <w:rsid w:val="000F0CDB"/>
    <w:rsid w:val="000F1056"/>
    <w:rsid w:val="000F1FE8"/>
    <w:rsid w:val="000F218D"/>
    <w:rsid w:val="000F2BFB"/>
    <w:rsid w:val="000F2C27"/>
    <w:rsid w:val="000F2DDC"/>
    <w:rsid w:val="000F4A29"/>
    <w:rsid w:val="000F5618"/>
    <w:rsid w:val="000F5B9A"/>
    <w:rsid w:val="000F64E8"/>
    <w:rsid w:val="000F68B6"/>
    <w:rsid w:val="000F6C9E"/>
    <w:rsid w:val="00100C17"/>
    <w:rsid w:val="00100F5C"/>
    <w:rsid w:val="00102149"/>
    <w:rsid w:val="00102408"/>
    <w:rsid w:val="001030DF"/>
    <w:rsid w:val="0010437D"/>
    <w:rsid w:val="00104554"/>
    <w:rsid w:val="00104C4C"/>
    <w:rsid w:val="00105FD2"/>
    <w:rsid w:val="0010665F"/>
    <w:rsid w:val="00106C1B"/>
    <w:rsid w:val="00106E17"/>
    <w:rsid w:val="001073D0"/>
    <w:rsid w:val="001077C2"/>
    <w:rsid w:val="001121C6"/>
    <w:rsid w:val="00112274"/>
    <w:rsid w:val="001122E0"/>
    <w:rsid w:val="0011457C"/>
    <w:rsid w:val="0012192F"/>
    <w:rsid w:val="00121BBA"/>
    <w:rsid w:val="001236D7"/>
    <w:rsid w:val="001239A7"/>
    <w:rsid w:val="00125175"/>
    <w:rsid w:val="00125D69"/>
    <w:rsid w:val="00125F56"/>
    <w:rsid w:val="00126448"/>
    <w:rsid w:val="00130594"/>
    <w:rsid w:val="00130A21"/>
    <w:rsid w:val="0013313C"/>
    <w:rsid w:val="001338A0"/>
    <w:rsid w:val="00133F2E"/>
    <w:rsid w:val="001345EE"/>
    <w:rsid w:val="0013513B"/>
    <w:rsid w:val="00135740"/>
    <w:rsid w:val="00135C05"/>
    <w:rsid w:val="001405FA"/>
    <w:rsid w:val="00140D94"/>
    <w:rsid w:val="00141374"/>
    <w:rsid w:val="001425C3"/>
    <w:rsid w:val="0014311C"/>
    <w:rsid w:val="00144CD5"/>
    <w:rsid w:val="001458CD"/>
    <w:rsid w:val="00150CBE"/>
    <w:rsid w:val="001529FB"/>
    <w:rsid w:val="00152E1E"/>
    <w:rsid w:val="001555A9"/>
    <w:rsid w:val="00155E6E"/>
    <w:rsid w:val="00156FA0"/>
    <w:rsid w:val="00157C4E"/>
    <w:rsid w:val="00157C82"/>
    <w:rsid w:val="00157F4D"/>
    <w:rsid w:val="00157FF8"/>
    <w:rsid w:val="00161A21"/>
    <w:rsid w:val="00162142"/>
    <w:rsid w:val="0016224B"/>
    <w:rsid w:val="0016256B"/>
    <w:rsid w:val="00162967"/>
    <w:rsid w:val="00162C96"/>
    <w:rsid w:val="00163793"/>
    <w:rsid w:val="001670A7"/>
    <w:rsid w:val="00170240"/>
    <w:rsid w:val="0017027A"/>
    <w:rsid w:val="001706D6"/>
    <w:rsid w:val="00170C5F"/>
    <w:rsid w:val="001714F2"/>
    <w:rsid w:val="001719AD"/>
    <w:rsid w:val="00171A2F"/>
    <w:rsid w:val="001722C1"/>
    <w:rsid w:val="001729E0"/>
    <w:rsid w:val="00172DAA"/>
    <w:rsid w:val="00172F7F"/>
    <w:rsid w:val="001730B3"/>
    <w:rsid w:val="00173D29"/>
    <w:rsid w:val="00174FF2"/>
    <w:rsid w:val="00175140"/>
    <w:rsid w:val="0017531A"/>
    <w:rsid w:val="00176686"/>
    <w:rsid w:val="001771A3"/>
    <w:rsid w:val="00177AF9"/>
    <w:rsid w:val="00182D5F"/>
    <w:rsid w:val="00183E6E"/>
    <w:rsid w:val="00184B08"/>
    <w:rsid w:val="00185010"/>
    <w:rsid w:val="001852CC"/>
    <w:rsid w:val="00186617"/>
    <w:rsid w:val="00191074"/>
    <w:rsid w:val="00191B90"/>
    <w:rsid w:val="0019246C"/>
    <w:rsid w:val="00192C20"/>
    <w:rsid w:val="00193CBE"/>
    <w:rsid w:val="00194E14"/>
    <w:rsid w:val="00194FAA"/>
    <w:rsid w:val="00196668"/>
    <w:rsid w:val="0019672E"/>
    <w:rsid w:val="00196D71"/>
    <w:rsid w:val="00196DFF"/>
    <w:rsid w:val="0019771A"/>
    <w:rsid w:val="001A1661"/>
    <w:rsid w:val="001A552F"/>
    <w:rsid w:val="001A620D"/>
    <w:rsid w:val="001A686A"/>
    <w:rsid w:val="001A6B70"/>
    <w:rsid w:val="001A73CD"/>
    <w:rsid w:val="001B2CA9"/>
    <w:rsid w:val="001B2E27"/>
    <w:rsid w:val="001B3110"/>
    <w:rsid w:val="001B46BC"/>
    <w:rsid w:val="001B4729"/>
    <w:rsid w:val="001B5048"/>
    <w:rsid w:val="001B5429"/>
    <w:rsid w:val="001B64E2"/>
    <w:rsid w:val="001B6683"/>
    <w:rsid w:val="001B6C09"/>
    <w:rsid w:val="001C03A1"/>
    <w:rsid w:val="001C05CD"/>
    <w:rsid w:val="001C1006"/>
    <w:rsid w:val="001C1467"/>
    <w:rsid w:val="001C180F"/>
    <w:rsid w:val="001C2FEB"/>
    <w:rsid w:val="001C3015"/>
    <w:rsid w:val="001C4A15"/>
    <w:rsid w:val="001C560A"/>
    <w:rsid w:val="001C59CA"/>
    <w:rsid w:val="001C69CD"/>
    <w:rsid w:val="001C77B0"/>
    <w:rsid w:val="001D2B7D"/>
    <w:rsid w:val="001D3447"/>
    <w:rsid w:val="001D40F4"/>
    <w:rsid w:val="001D4179"/>
    <w:rsid w:val="001D4D07"/>
    <w:rsid w:val="001D520B"/>
    <w:rsid w:val="001D5F5C"/>
    <w:rsid w:val="001D68B2"/>
    <w:rsid w:val="001D7E19"/>
    <w:rsid w:val="001D7F96"/>
    <w:rsid w:val="001E0887"/>
    <w:rsid w:val="001E1882"/>
    <w:rsid w:val="001E36E8"/>
    <w:rsid w:val="001E3F59"/>
    <w:rsid w:val="001E5798"/>
    <w:rsid w:val="001F07BD"/>
    <w:rsid w:val="001F1AF6"/>
    <w:rsid w:val="001F33CD"/>
    <w:rsid w:val="001F3AEC"/>
    <w:rsid w:val="001F4597"/>
    <w:rsid w:val="001F6B79"/>
    <w:rsid w:val="002011C2"/>
    <w:rsid w:val="00203029"/>
    <w:rsid w:val="002033D2"/>
    <w:rsid w:val="00204A73"/>
    <w:rsid w:val="00204F00"/>
    <w:rsid w:val="0020632C"/>
    <w:rsid w:val="00206395"/>
    <w:rsid w:val="00210FC4"/>
    <w:rsid w:val="002110A0"/>
    <w:rsid w:val="0021141B"/>
    <w:rsid w:val="00211604"/>
    <w:rsid w:val="002118B9"/>
    <w:rsid w:val="0021219D"/>
    <w:rsid w:val="0021523B"/>
    <w:rsid w:val="00215605"/>
    <w:rsid w:val="00215904"/>
    <w:rsid w:val="0021605D"/>
    <w:rsid w:val="00216887"/>
    <w:rsid w:val="00217163"/>
    <w:rsid w:val="00217C5B"/>
    <w:rsid w:val="00217DDE"/>
    <w:rsid w:val="00220202"/>
    <w:rsid w:val="00220A25"/>
    <w:rsid w:val="0022139E"/>
    <w:rsid w:val="00223EE6"/>
    <w:rsid w:val="00224078"/>
    <w:rsid w:val="002247CA"/>
    <w:rsid w:val="002252E0"/>
    <w:rsid w:val="002255F6"/>
    <w:rsid w:val="00225CCC"/>
    <w:rsid w:val="00225D02"/>
    <w:rsid w:val="00225ECD"/>
    <w:rsid w:val="00225F24"/>
    <w:rsid w:val="002273A1"/>
    <w:rsid w:val="00227850"/>
    <w:rsid w:val="00227A53"/>
    <w:rsid w:val="00227ADD"/>
    <w:rsid w:val="002305E5"/>
    <w:rsid w:val="00230BA6"/>
    <w:rsid w:val="00230C6E"/>
    <w:rsid w:val="002321F2"/>
    <w:rsid w:val="0023272F"/>
    <w:rsid w:val="002329E4"/>
    <w:rsid w:val="002332C5"/>
    <w:rsid w:val="002345D2"/>
    <w:rsid w:val="00235C79"/>
    <w:rsid w:val="00236443"/>
    <w:rsid w:val="00236769"/>
    <w:rsid w:val="00240D82"/>
    <w:rsid w:val="00241BC0"/>
    <w:rsid w:val="002436BA"/>
    <w:rsid w:val="0024398E"/>
    <w:rsid w:val="00244622"/>
    <w:rsid w:val="00244A15"/>
    <w:rsid w:val="00247319"/>
    <w:rsid w:val="0024793B"/>
    <w:rsid w:val="0024799E"/>
    <w:rsid w:val="00247D28"/>
    <w:rsid w:val="00253914"/>
    <w:rsid w:val="00253C0F"/>
    <w:rsid w:val="00253D10"/>
    <w:rsid w:val="0025512D"/>
    <w:rsid w:val="00261637"/>
    <w:rsid w:val="002621CD"/>
    <w:rsid w:val="0026326E"/>
    <w:rsid w:val="00263C28"/>
    <w:rsid w:val="002646DA"/>
    <w:rsid w:val="0026618C"/>
    <w:rsid w:val="002665F3"/>
    <w:rsid w:val="0026772B"/>
    <w:rsid w:val="00270A73"/>
    <w:rsid w:val="00270D23"/>
    <w:rsid w:val="00271088"/>
    <w:rsid w:val="002710B1"/>
    <w:rsid w:val="00271465"/>
    <w:rsid w:val="0027197F"/>
    <w:rsid w:val="00272934"/>
    <w:rsid w:val="002737BB"/>
    <w:rsid w:val="00276756"/>
    <w:rsid w:val="002770B9"/>
    <w:rsid w:val="00277F1A"/>
    <w:rsid w:val="0028194C"/>
    <w:rsid w:val="00285412"/>
    <w:rsid w:val="00285599"/>
    <w:rsid w:val="0028613E"/>
    <w:rsid w:val="002865F0"/>
    <w:rsid w:val="00292C38"/>
    <w:rsid w:val="00292EA8"/>
    <w:rsid w:val="00296AB1"/>
    <w:rsid w:val="002970C7"/>
    <w:rsid w:val="00297A8F"/>
    <w:rsid w:val="00297EB5"/>
    <w:rsid w:val="002A00BE"/>
    <w:rsid w:val="002A16D4"/>
    <w:rsid w:val="002A2003"/>
    <w:rsid w:val="002A230C"/>
    <w:rsid w:val="002A6DD0"/>
    <w:rsid w:val="002B03C8"/>
    <w:rsid w:val="002B1C15"/>
    <w:rsid w:val="002B2842"/>
    <w:rsid w:val="002B2E2F"/>
    <w:rsid w:val="002B3776"/>
    <w:rsid w:val="002B3C69"/>
    <w:rsid w:val="002B4327"/>
    <w:rsid w:val="002B58CA"/>
    <w:rsid w:val="002B6146"/>
    <w:rsid w:val="002B7597"/>
    <w:rsid w:val="002C0154"/>
    <w:rsid w:val="002C23FB"/>
    <w:rsid w:val="002C394F"/>
    <w:rsid w:val="002C43BD"/>
    <w:rsid w:val="002C44D3"/>
    <w:rsid w:val="002C4753"/>
    <w:rsid w:val="002C47E9"/>
    <w:rsid w:val="002C4C21"/>
    <w:rsid w:val="002C53A9"/>
    <w:rsid w:val="002C55B2"/>
    <w:rsid w:val="002C61BD"/>
    <w:rsid w:val="002C63D7"/>
    <w:rsid w:val="002C7AE2"/>
    <w:rsid w:val="002C7B67"/>
    <w:rsid w:val="002C7FE0"/>
    <w:rsid w:val="002D0E59"/>
    <w:rsid w:val="002D2EC8"/>
    <w:rsid w:val="002D2FE8"/>
    <w:rsid w:val="002D4060"/>
    <w:rsid w:val="002D51F0"/>
    <w:rsid w:val="002D548C"/>
    <w:rsid w:val="002D55A7"/>
    <w:rsid w:val="002D687B"/>
    <w:rsid w:val="002E0185"/>
    <w:rsid w:val="002E02A1"/>
    <w:rsid w:val="002E1012"/>
    <w:rsid w:val="002E1172"/>
    <w:rsid w:val="002E165B"/>
    <w:rsid w:val="002E246B"/>
    <w:rsid w:val="002E3A00"/>
    <w:rsid w:val="002E3A71"/>
    <w:rsid w:val="002E4E4C"/>
    <w:rsid w:val="002E6E8B"/>
    <w:rsid w:val="002F1BB4"/>
    <w:rsid w:val="002F2413"/>
    <w:rsid w:val="002F3B4C"/>
    <w:rsid w:val="002F5215"/>
    <w:rsid w:val="002F5756"/>
    <w:rsid w:val="003007A7"/>
    <w:rsid w:val="00302799"/>
    <w:rsid w:val="00302820"/>
    <w:rsid w:val="003036D2"/>
    <w:rsid w:val="00304771"/>
    <w:rsid w:val="003052D4"/>
    <w:rsid w:val="0030568C"/>
    <w:rsid w:val="0030594B"/>
    <w:rsid w:val="00306C5B"/>
    <w:rsid w:val="00307A07"/>
    <w:rsid w:val="00307CAA"/>
    <w:rsid w:val="003116A3"/>
    <w:rsid w:val="00312502"/>
    <w:rsid w:val="003125C1"/>
    <w:rsid w:val="00312E21"/>
    <w:rsid w:val="0031360D"/>
    <w:rsid w:val="00315691"/>
    <w:rsid w:val="003168AE"/>
    <w:rsid w:val="00316B01"/>
    <w:rsid w:val="00320302"/>
    <w:rsid w:val="003209D6"/>
    <w:rsid w:val="00320C56"/>
    <w:rsid w:val="00321281"/>
    <w:rsid w:val="00321924"/>
    <w:rsid w:val="003222D9"/>
    <w:rsid w:val="00323C27"/>
    <w:rsid w:val="00325BD1"/>
    <w:rsid w:val="0032656E"/>
    <w:rsid w:val="00326B09"/>
    <w:rsid w:val="003275BA"/>
    <w:rsid w:val="00330AC3"/>
    <w:rsid w:val="00332190"/>
    <w:rsid w:val="00334C1B"/>
    <w:rsid w:val="00334C4B"/>
    <w:rsid w:val="00335F3A"/>
    <w:rsid w:val="003364AA"/>
    <w:rsid w:val="003366E8"/>
    <w:rsid w:val="003417AC"/>
    <w:rsid w:val="003417FB"/>
    <w:rsid w:val="0034374C"/>
    <w:rsid w:val="0034383F"/>
    <w:rsid w:val="00344668"/>
    <w:rsid w:val="00344BAE"/>
    <w:rsid w:val="00344EF8"/>
    <w:rsid w:val="003462D9"/>
    <w:rsid w:val="00346FDD"/>
    <w:rsid w:val="003507B0"/>
    <w:rsid w:val="00350C28"/>
    <w:rsid w:val="00350C58"/>
    <w:rsid w:val="00350E50"/>
    <w:rsid w:val="003528D9"/>
    <w:rsid w:val="00352D01"/>
    <w:rsid w:val="00355A67"/>
    <w:rsid w:val="00357586"/>
    <w:rsid w:val="0036061D"/>
    <w:rsid w:val="003607F1"/>
    <w:rsid w:val="00360C86"/>
    <w:rsid w:val="00361483"/>
    <w:rsid w:val="0036240E"/>
    <w:rsid w:val="00362679"/>
    <w:rsid w:val="003630F4"/>
    <w:rsid w:val="003634FF"/>
    <w:rsid w:val="0036354F"/>
    <w:rsid w:val="00364662"/>
    <w:rsid w:val="00364D94"/>
    <w:rsid w:val="0036570D"/>
    <w:rsid w:val="003657F3"/>
    <w:rsid w:val="00365CBF"/>
    <w:rsid w:val="00366009"/>
    <w:rsid w:val="003705BC"/>
    <w:rsid w:val="003738AC"/>
    <w:rsid w:val="00374DBC"/>
    <w:rsid w:val="0037575F"/>
    <w:rsid w:val="003759C4"/>
    <w:rsid w:val="00377D0A"/>
    <w:rsid w:val="00377F6C"/>
    <w:rsid w:val="00380598"/>
    <w:rsid w:val="003818DC"/>
    <w:rsid w:val="0038419F"/>
    <w:rsid w:val="00384327"/>
    <w:rsid w:val="003847A9"/>
    <w:rsid w:val="003847CF"/>
    <w:rsid w:val="00385D98"/>
    <w:rsid w:val="00386032"/>
    <w:rsid w:val="00386A33"/>
    <w:rsid w:val="00390861"/>
    <w:rsid w:val="0039169F"/>
    <w:rsid w:val="003927A5"/>
    <w:rsid w:val="00393054"/>
    <w:rsid w:val="00393A3A"/>
    <w:rsid w:val="00393CDA"/>
    <w:rsid w:val="00393E1C"/>
    <w:rsid w:val="00395D6A"/>
    <w:rsid w:val="00395E54"/>
    <w:rsid w:val="00397E88"/>
    <w:rsid w:val="00397F8B"/>
    <w:rsid w:val="003A01A6"/>
    <w:rsid w:val="003A1230"/>
    <w:rsid w:val="003A1C4E"/>
    <w:rsid w:val="003A2B4D"/>
    <w:rsid w:val="003A2E6F"/>
    <w:rsid w:val="003A349C"/>
    <w:rsid w:val="003A3529"/>
    <w:rsid w:val="003A478C"/>
    <w:rsid w:val="003A4B26"/>
    <w:rsid w:val="003A5525"/>
    <w:rsid w:val="003A586C"/>
    <w:rsid w:val="003A60D7"/>
    <w:rsid w:val="003A66F7"/>
    <w:rsid w:val="003A6B38"/>
    <w:rsid w:val="003A6C48"/>
    <w:rsid w:val="003B161F"/>
    <w:rsid w:val="003B2E45"/>
    <w:rsid w:val="003B305D"/>
    <w:rsid w:val="003B33EE"/>
    <w:rsid w:val="003B43F6"/>
    <w:rsid w:val="003B49FF"/>
    <w:rsid w:val="003B4BD1"/>
    <w:rsid w:val="003B51A0"/>
    <w:rsid w:val="003B5A32"/>
    <w:rsid w:val="003B5EEE"/>
    <w:rsid w:val="003B787F"/>
    <w:rsid w:val="003C0597"/>
    <w:rsid w:val="003C0FB0"/>
    <w:rsid w:val="003C1083"/>
    <w:rsid w:val="003C29AB"/>
    <w:rsid w:val="003C3490"/>
    <w:rsid w:val="003C389F"/>
    <w:rsid w:val="003C434D"/>
    <w:rsid w:val="003C629F"/>
    <w:rsid w:val="003C6D7F"/>
    <w:rsid w:val="003D106E"/>
    <w:rsid w:val="003D1806"/>
    <w:rsid w:val="003D21F6"/>
    <w:rsid w:val="003D2E88"/>
    <w:rsid w:val="003D3FC2"/>
    <w:rsid w:val="003D5B71"/>
    <w:rsid w:val="003D679F"/>
    <w:rsid w:val="003D6920"/>
    <w:rsid w:val="003D6F1D"/>
    <w:rsid w:val="003E05D3"/>
    <w:rsid w:val="003E0A23"/>
    <w:rsid w:val="003E0F4C"/>
    <w:rsid w:val="003E12C3"/>
    <w:rsid w:val="003E2845"/>
    <w:rsid w:val="003E2CA0"/>
    <w:rsid w:val="003E4049"/>
    <w:rsid w:val="003E466E"/>
    <w:rsid w:val="003E4C91"/>
    <w:rsid w:val="003E6687"/>
    <w:rsid w:val="003E7488"/>
    <w:rsid w:val="003F1703"/>
    <w:rsid w:val="003F2678"/>
    <w:rsid w:val="003F2FB6"/>
    <w:rsid w:val="003F313C"/>
    <w:rsid w:val="003F3A8B"/>
    <w:rsid w:val="003F4B2C"/>
    <w:rsid w:val="003F551C"/>
    <w:rsid w:val="003F647B"/>
    <w:rsid w:val="003F65C2"/>
    <w:rsid w:val="003F75EF"/>
    <w:rsid w:val="003F7D23"/>
    <w:rsid w:val="00401585"/>
    <w:rsid w:val="0040166C"/>
    <w:rsid w:val="00401DCA"/>
    <w:rsid w:val="00401F91"/>
    <w:rsid w:val="00402E84"/>
    <w:rsid w:val="0040332E"/>
    <w:rsid w:val="00404192"/>
    <w:rsid w:val="004054C2"/>
    <w:rsid w:val="00405801"/>
    <w:rsid w:val="00406CE0"/>
    <w:rsid w:val="0040736D"/>
    <w:rsid w:val="00407422"/>
    <w:rsid w:val="004078CE"/>
    <w:rsid w:val="00407C13"/>
    <w:rsid w:val="00407DB7"/>
    <w:rsid w:val="00410638"/>
    <w:rsid w:val="0041080A"/>
    <w:rsid w:val="00411214"/>
    <w:rsid w:val="00412F23"/>
    <w:rsid w:val="0041543D"/>
    <w:rsid w:val="00415A3C"/>
    <w:rsid w:val="0041681B"/>
    <w:rsid w:val="00416B7F"/>
    <w:rsid w:val="00417C49"/>
    <w:rsid w:val="0042086A"/>
    <w:rsid w:val="0042374E"/>
    <w:rsid w:val="0042447C"/>
    <w:rsid w:val="004247C0"/>
    <w:rsid w:val="004259D1"/>
    <w:rsid w:val="004261ED"/>
    <w:rsid w:val="00427AB2"/>
    <w:rsid w:val="004309B2"/>
    <w:rsid w:val="00432636"/>
    <w:rsid w:val="00432A58"/>
    <w:rsid w:val="00434617"/>
    <w:rsid w:val="00436034"/>
    <w:rsid w:val="00440900"/>
    <w:rsid w:val="0044156D"/>
    <w:rsid w:val="00442489"/>
    <w:rsid w:val="00443D15"/>
    <w:rsid w:val="004441A0"/>
    <w:rsid w:val="00446E1A"/>
    <w:rsid w:val="00451B1D"/>
    <w:rsid w:val="004522CC"/>
    <w:rsid w:val="004529E3"/>
    <w:rsid w:val="00452AB0"/>
    <w:rsid w:val="00460FB3"/>
    <w:rsid w:val="004619DA"/>
    <w:rsid w:val="00462A81"/>
    <w:rsid w:val="004638C2"/>
    <w:rsid w:val="00464A3E"/>
    <w:rsid w:val="004657D4"/>
    <w:rsid w:val="0046583C"/>
    <w:rsid w:val="0046681C"/>
    <w:rsid w:val="00466E03"/>
    <w:rsid w:val="00467C9A"/>
    <w:rsid w:val="0047002D"/>
    <w:rsid w:val="00470704"/>
    <w:rsid w:val="0047242F"/>
    <w:rsid w:val="00472BF3"/>
    <w:rsid w:val="004757D5"/>
    <w:rsid w:val="0047619A"/>
    <w:rsid w:val="00476240"/>
    <w:rsid w:val="00476439"/>
    <w:rsid w:val="0047735C"/>
    <w:rsid w:val="004776BC"/>
    <w:rsid w:val="00477A9C"/>
    <w:rsid w:val="0048139F"/>
    <w:rsid w:val="004818DE"/>
    <w:rsid w:val="00481E40"/>
    <w:rsid w:val="00484ECE"/>
    <w:rsid w:val="004852BF"/>
    <w:rsid w:val="00486193"/>
    <w:rsid w:val="004863D4"/>
    <w:rsid w:val="004900FF"/>
    <w:rsid w:val="0049123C"/>
    <w:rsid w:val="004915CB"/>
    <w:rsid w:val="00491867"/>
    <w:rsid w:val="004924DC"/>
    <w:rsid w:val="00492ADF"/>
    <w:rsid w:val="004949FA"/>
    <w:rsid w:val="00494C69"/>
    <w:rsid w:val="00494E37"/>
    <w:rsid w:val="004952C5"/>
    <w:rsid w:val="004963C1"/>
    <w:rsid w:val="00496B5A"/>
    <w:rsid w:val="00496B5E"/>
    <w:rsid w:val="004974FE"/>
    <w:rsid w:val="004A14E4"/>
    <w:rsid w:val="004A199B"/>
    <w:rsid w:val="004A2CC4"/>
    <w:rsid w:val="004A3212"/>
    <w:rsid w:val="004A4A16"/>
    <w:rsid w:val="004A4B7A"/>
    <w:rsid w:val="004A50E3"/>
    <w:rsid w:val="004A5E6C"/>
    <w:rsid w:val="004A61C5"/>
    <w:rsid w:val="004A77DF"/>
    <w:rsid w:val="004B12B7"/>
    <w:rsid w:val="004B1417"/>
    <w:rsid w:val="004B17A6"/>
    <w:rsid w:val="004B1E06"/>
    <w:rsid w:val="004B2E40"/>
    <w:rsid w:val="004B406C"/>
    <w:rsid w:val="004B4122"/>
    <w:rsid w:val="004B5465"/>
    <w:rsid w:val="004B55B7"/>
    <w:rsid w:val="004B6468"/>
    <w:rsid w:val="004C35FD"/>
    <w:rsid w:val="004C37A4"/>
    <w:rsid w:val="004C384C"/>
    <w:rsid w:val="004C3867"/>
    <w:rsid w:val="004C4C8F"/>
    <w:rsid w:val="004C4CD0"/>
    <w:rsid w:val="004C7031"/>
    <w:rsid w:val="004C70DC"/>
    <w:rsid w:val="004C73DA"/>
    <w:rsid w:val="004C7A61"/>
    <w:rsid w:val="004C7F91"/>
    <w:rsid w:val="004D0211"/>
    <w:rsid w:val="004D043B"/>
    <w:rsid w:val="004D0794"/>
    <w:rsid w:val="004D3282"/>
    <w:rsid w:val="004D334E"/>
    <w:rsid w:val="004D341B"/>
    <w:rsid w:val="004D51E2"/>
    <w:rsid w:val="004D6204"/>
    <w:rsid w:val="004D6588"/>
    <w:rsid w:val="004D7A0C"/>
    <w:rsid w:val="004E061D"/>
    <w:rsid w:val="004E09AC"/>
    <w:rsid w:val="004E2877"/>
    <w:rsid w:val="004E364D"/>
    <w:rsid w:val="004E46B4"/>
    <w:rsid w:val="004E62A5"/>
    <w:rsid w:val="004E6D7F"/>
    <w:rsid w:val="004E6FD3"/>
    <w:rsid w:val="004E7C23"/>
    <w:rsid w:val="004E7C48"/>
    <w:rsid w:val="004E7CB3"/>
    <w:rsid w:val="004E7F92"/>
    <w:rsid w:val="004F06F5"/>
    <w:rsid w:val="004F0D45"/>
    <w:rsid w:val="004F0F17"/>
    <w:rsid w:val="004F1EC1"/>
    <w:rsid w:val="004F2E80"/>
    <w:rsid w:val="004F33A0"/>
    <w:rsid w:val="004F35CB"/>
    <w:rsid w:val="004F3B71"/>
    <w:rsid w:val="004F4624"/>
    <w:rsid w:val="004F6655"/>
    <w:rsid w:val="004F6CFB"/>
    <w:rsid w:val="004F7787"/>
    <w:rsid w:val="004F7964"/>
    <w:rsid w:val="004F7FB7"/>
    <w:rsid w:val="00500A8A"/>
    <w:rsid w:val="00501105"/>
    <w:rsid w:val="0050262D"/>
    <w:rsid w:val="00502729"/>
    <w:rsid w:val="00502782"/>
    <w:rsid w:val="00503FBC"/>
    <w:rsid w:val="005059D5"/>
    <w:rsid w:val="00506326"/>
    <w:rsid w:val="00510308"/>
    <w:rsid w:val="005108C0"/>
    <w:rsid w:val="0051143F"/>
    <w:rsid w:val="00511873"/>
    <w:rsid w:val="005129CB"/>
    <w:rsid w:val="00512A2F"/>
    <w:rsid w:val="00513B7E"/>
    <w:rsid w:val="00515C74"/>
    <w:rsid w:val="005164AE"/>
    <w:rsid w:val="00516DC4"/>
    <w:rsid w:val="00517816"/>
    <w:rsid w:val="0052007E"/>
    <w:rsid w:val="00520FF1"/>
    <w:rsid w:val="005229A8"/>
    <w:rsid w:val="0052337A"/>
    <w:rsid w:val="00524184"/>
    <w:rsid w:val="00525137"/>
    <w:rsid w:val="005251DD"/>
    <w:rsid w:val="0052542E"/>
    <w:rsid w:val="00525A37"/>
    <w:rsid w:val="00526EBF"/>
    <w:rsid w:val="00527D14"/>
    <w:rsid w:val="00531B19"/>
    <w:rsid w:val="00532CE7"/>
    <w:rsid w:val="00532E6C"/>
    <w:rsid w:val="0053324C"/>
    <w:rsid w:val="00534A28"/>
    <w:rsid w:val="00535648"/>
    <w:rsid w:val="00535CFF"/>
    <w:rsid w:val="00536482"/>
    <w:rsid w:val="00540B61"/>
    <w:rsid w:val="00541508"/>
    <w:rsid w:val="00541AE1"/>
    <w:rsid w:val="00544075"/>
    <w:rsid w:val="00544095"/>
    <w:rsid w:val="00544D39"/>
    <w:rsid w:val="005454FC"/>
    <w:rsid w:val="00545BBC"/>
    <w:rsid w:val="00546FB5"/>
    <w:rsid w:val="005475EC"/>
    <w:rsid w:val="005506C4"/>
    <w:rsid w:val="00551034"/>
    <w:rsid w:val="0055182B"/>
    <w:rsid w:val="00552895"/>
    <w:rsid w:val="0055378A"/>
    <w:rsid w:val="00553F56"/>
    <w:rsid w:val="0055461C"/>
    <w:rsid w:val="00554F88"/>
    <w:rsid w:val="00555319"/>
    <w:rsid w:val="0055576C"/>
    <w:rsid w:val="0055599F"/>
    <w:rsid w:val="00556D68"/>
    <w:rsid w:val="00556FA9"/>
    <w:rsid w:val="005572D3"/>
    <w:rsid w:val="00557423"/>
    <w:rsid w:val="00561EFF"/>
    <w:rsid w:val="00563F5A"/>
    <w:rsid w:val="00563FC7"/>
    <w:rsid w:val="005642EA"/>
    <w:rsid w:val="005647BF"/>
    <w:rsid w:val="005659A6"/>
    <w:rsid w:val="005676C6"/>
    <w:rsid w:val="005677FF"/>
    <w:rsid w:val="00570106"/>
    <w:rsid w:val="005701A4"/>
    <w:rsid w:val="005706B1"/>
    <w:rsid w:val="005708F5"/>
    <w:rsid w:val="00570BDC"/>
    <w:rsid w:val="00572EBF"/>
    <w:rsid w:val="00573578"/>
    <w:rsid w:val="0057364B"/>
    <w:rsid w:val="00573B0B"/>
    <w:rsid w:val="00573D06"/>
    <w:rsid w:val="00574773"/>
    <w:rsid w:val="00574C7C"/>
    <w:rsid w:val="00575802"/>
    <w:rsid w:val="00577646"/>
    <w:rsid w:val="0057789D"/>
    <w:rsid w:val="00577B80"/>
    <w:rsid w:val="00580A58"/>
    <w:rsid w:val="005827D5"/>
    <w:rsid w:val="00583F66"/>
    <w:rsid w:val="00583FFD"/>
    <w:rsid w:val="00584874"/>
    <w:rsid w:val="0059012E"/>
    <w:rsid w:val="005911BE"/>
    <w:rsid w:val="00592F94"/>
    <w:rsid w:val="00593152"/>
    <w:rsid w:val="00597555"/>
    <w:rsid w:val="005A0510"/>
    <w:rsid w:val="005A10F2"/>
    <w:rsid w:val="005A1722"/>
    <w:rsid w:val="005A19F6"/>
    <w:rsid w:val="005A1D3A"/>
    <w:rsid w:val="005A1DBB"/>
    <w:rsid w:val="005A21E0"/>
    <w:rsid w:val="005A267D"/>
    <w:rsid w:val="005A28FF"/>
    <w:rsid w:val="005A2A92"/>
    <w:rsid w:val="005A3DF8"/>
    <w:rsid w:val="005A3EC3"/>
    <w:rsid w:val="005A3F7E"/>
    <w:rsid w:val="005A4E90"/>
    <w:rsid w:val="005A5549"/>
    <w:rsid w:val="005A55A7"/>
    <w:rsid w:val="005A7888"/>
    <w:rsid w:val="005B121D"/>
    <w:rsid w:val="005B1587"/>
    <w:rsid w:val="005B1FE4"/>
    <w:rsid w:val="005B270C"/>
    <w:rsid w:val="005B3A2E"/>
    <w:rsid w:val="005B4D90"/>
    <w:rsid w:val="005B52C1"/>
    <w:rsid w:val="005B5837"/>
    <w:rsid w:val="005B720A"/>
    <w:rsid w:val="005B7285"/>
    <w:rsid w:val="005C06ED"/>
    <w:rsid w:val="005C0CBD"/>
    <w:rsid w:val="005C2F72"/>
    <w:rsid w:val="005C52B4"/>
    <w:rsid w:val="005C568A"/>
    <w:rsid w:val="005C78E2"/>
    <w:rsid w:val="005C7F8A"/>
    <w:rsid w:val="005D5802"/>
    <w:rsid w:val="005D6703"/>
    <w:rsid w:val="005D673C"/>
    <w:rsid w:val="005D7890"/>
    <w:rsid w:val="005E0948"/>
    <w:rsid w:val="005E2092"/>
    <w:rsid w:val="005E23AF"/>
    <w:rsid w:val="005E408D"/>
    <w:rsid w:val="005E4739"/>
    <w:rsid w:val="005E5347"/>
    <w:rsid w:val="005E5DFC"/>
    <w:rsid w:val="005E7112"/>
    <w:rsid w:val="005E72F8"/>
    <w:rsid w:val="005E79D6"/>
    <w:rsid w:val="005E7C78"/>
    <w:rsid w:val="005F2E14"/>
    <w:rsid w:val="005F348E"/>
    <w:rsid w:val="005F3EB1"/>
    <w:rsid w:val="005F4843"/>
    <w:rsid w:val="005F4DD2"/>
    <w:rsid w:val="005F5469"/>
    <w:rsid w:val="005F554F"/>
    <w:rsid w:val="005F60A2"/>
    <w:rsid w:val="006006C5"/>
    <w:rsid w:val="006008D4"/>
    <w:rsid w:val="006012AD"/>
    <w:rsid w:val="00602D0B"/>
    <w:rsid w:val="00602FBF"/>
    <w:rsid w:val="00603EB8"/>
    <w:rsid w:val="00604307"/>
    <w:rsid w:val="0060487F"/>
    <w:rsid w:val="00604EAD"/>
    <w:rsid w:val="00606BF5"/>
    <w:rsid w:val="006074F9"/>
    <w:rsid w:val="006104FB"/>
    <w:rsid w:val="0061054D"/>
    <w:rsid w:val="00611E58"/>
    <w:rsid w:val="006124AE"/>
    <w:rsid w:val="00612A2F"/>
    <w:rsid w:val="00612FF2"/>
    <w:rsid w:val="00614B4C"/>
    <w:rsid w:val="00614BF6"/>
    <w:rsid w:val="00614C38"/>
    <w:rsid w:val="006157D3"/>
    <w:rsid w:val="00616E05"/>
    <w:rsid w:val="00620BF7"/>
    <w:rsid w:val="00621659"/>
    <w:rsid w:val="00621BD0"/>
    <w:rsid w:val="00621FFF"/>
    <w:rsid w:val="0062229D"/>
    <w:rsid w:val="0062262E"/>
    <w:rsid w:val="0062268C"/>
    <w:rsid w:val="00622CCE"/>
    <w:rsid w:val="00622D50"/>
    <w:rsid w:val="0062392E"/>
    <w:rsid w:val="00624093"/>
    <w:rsid w:val="006257DA"/>
    <w:rsid w:val="0062633A"/>
    <w:rsid w:val="00627DC4"/>
    <w:rsid w:val="006301B8"/>
    <w:rsid w:val="00630BF7"/>
    <w:rsid w:val="0063114F"/>
    <w:rsid w:val="00631642"/>
    <w:rsid w:val="00633FEB"/>
    <w:rsid w:val="00635010"/>
    <w:rsid w:val="006355CC"/>
    <w:rsid w:val="00635B3F"/>
    <w:rsid w:val="00637484"/>
    <w:rsid w:val="00640270"/>
    <w:rsid w:val="006404A7"/>
    <w:rsid w:val="00640CD1"/>
    <w:rsid w:val="0064109D"/>
    <w:rsid w:val="00641A57"/>
    <w:rsid w:val="00641E00"/>
    <w:rsid w:val="00642E80"/>
    <w:rsid w:val="00643042"/>
    <w:rsid w:val="006437C1"/>
    <w:rsid w:val="00644488"/>
    <w:rsid w:val="00644534"/>
    <w:rsid w:val="006451E4"/>
    <w:rsid w:val="006452AE"/>
    <w:rsid w:val="00645B33"/>
    <w:rsid w:val="00645E83"/>
    <w:rsid w:val="00646450"/>
    <w:rsid w:val="0065097C"/>
    <w:rsid w:val="00651553"/>
    <w:rsid w:val="006516CB"/>
    <w:rsid w:val="00655193"/>
    <w:rsid w:val="00655BD5"/>
    <w:rsid w:val="00656BB4"/>
    <w:rsid w:val="006574B7"/>
    <w:rsid w:val="00657DC4"/>
    <w:rsid w:val="00657E87"/>
    <w:rsid w:val="00660123"/>
    <w:rsid w:val="006601C5"/>
    <w:rsid w:val="0066149B"/>
    <w:rsid w:val="00661B65"/>
    <w:rsid w:val="00662C4F"/>
    <w:rsid w:val="00662E7C"/>
    <w:rsid w:val="00662FE6"/>
    <w:rsid w:val="00664803"/>
    <w:rsid w:val="00665A65"/>
    <w:rsid w:val="00665BA4"/>
    <w:rsid w:val="00667AF2"/>
    <w:rsid w:val="00667F20"/>
    <w:rsid w:val="006701EE"/>
    <w:rsid w:val="0067037C"/>
    <w:rsid w:val="006710C9"/>
    <w:rsid w:val="00673301"/>
    <w:rsid w:val="0067418E"/>
    <w:rsid w:val="006743FC"/>
    <w:rsid w:val="00674D89"/>
    <w:rsid w:val="00675E37"/>
    <w:rsid w:val="00676F1E"/>
    <w:rsid w:val="00677B7D"/>
    <w:rsid w:val="0068174E"/>
    <w:rsid w:val="00681DA3"/>
    <w:rsid w:val="00681DCE"/>
    <w:rsid w:val="0068260E"/>
    <w:rsid w:val="0068544B"/>
    <w:rsid w:val="00685594"/>
    <w:rsid w:val="00687770"/>
    <w:rsid w:val="00687950"/>
    <w:rsid w:val="00690A91"/>
    <w:rsid w:val="006916AF"/>
    <w:rsid w:val="00691796"/>
    <w:rsid w:val="00692196"/>
    <w:rsid w:val="00695851"/>
    <w:rsid w:val="00695BEF"/>
    <w:rsid w:val="00695EF9"/>
    <w:rsid w:val="0069663C"/>
    <w:rsid w:val="006970CA"/>
    <w:rsid w:val="006973FE"/>
    <w:rsid w:val="006977F6"/>
    <w:rsid w:val="00697A13"/>
    <w:rsid w:val="006A109C"/>
    <w:rsid w:val="006A184B"/>
    <w:rsid w:val="006A1AA1"/>
    <w:rsid w:val="006A1B07"/>
    <w:rsid w:val="006A3987"/>
    <w:rsid w:val="006A69E6"/>
    <w:rsid w:val="006B0111"/>
    <w:rsid w:val="006B0338"/>
    <w:rsid w:val="006B18F1"/>
    <w:rsid w:val="006B24F7"/>
    <w:rsid w:val="006B344A"/>
    <w:rsid w:val="006B39FA"/>
    <w:rsid w:val="006B3F46"/>
    <w:rsid w:val="006B4327"/>
    <w:rsid w:val="006B4B80"/>
    <w:rsid w:val="006B78D8"/>
    <w:rsid w:val="006B78EE"/>
    <w:rsid w:val="006C113F"/>
    <w:rsid w:val="006C123E"/>
    <w:rsid w:val="006C15F7"/>
    <w:rsid w:val="006C438F"/>
    <w:rsid w:val="006C52A1"/>
    <w:rsid w:val="006C56D4"/>
    <w:rsid w:val="006C605D"/>
    <w:rsid w:val="006C66F4"/>
    <w:rsid w:val="006C6924"/>
    <w:rsid w:val="006C7CA6"/>
    <w:rsid w:val="006D03D8"/>
    <w:rsid w:val="006D3527"/>
    <w:rsid w:val="006D36FB"/>
    <w:rsid w:val="006D389B"/>
    <w:rsid w:val="006D3E8A"/>
    <w:rsid w:val="006D4AB9"/>
    <w:rsid w:val="006D5CEC"/>
    <w:rsid w:val="006D61F6"/>
    <w:rsid w:val="006E03D7"/>
    <w:rsid w:val="006E1860"/>
    <w:rsid w:val="006E279A"/>
    <w:rsid w:val="006E313B"/>
    <w:rsid w:val="006E3675"/>
    <w:rsid w:val="006E4470"/>
    <w:rsid w:val="006E49D7"/>
    <w:rsid w:val="006E5D1E"/>
    <w:rsid w:val="006E6496"/>
    <w:rsid w:val="006E7B95"/>
    <w:rsid w:val="006E7F28"/>
    <w:rsid w:val="006F04E1"/>
    <w:rsid w:val="006F0A07"/>
    <w:rsid w:val="006F21AC"/>
    <w:rsid w:val="006F290A"/>
    <w:rsid w:val="006F2CCF"/>
    <w:rsid w:val="006F4F97"/>
    <w:rsid w:val="006F5416"/>
    <w:rsid w:val="006F5655"/>
    <w:rsid w:val="006F61FF"/>
    <w:rsid w:val="006F7068"/>
    <w:rsid w:val="006F7137"/>
    <w:rsid w:val="006F7833"/>
    <w:rsid w:val="00700B12"/>
    <w:rsid w:val="00701069"/>
    <w:rsid w:val="00701B58"/>
    <w:rsid w:val="00702A76"/>
    <w:rsid w:val="00702DFC"/>
    <w:rsid w:val="00703B9C"/>
    <w:rsid w:val="00703CEE"/>
    <w:rsid w:val="0070458A"/>
    <w:rsid w:val="00704BE9"/>
    <w:rsid w:val="007060E6"/>
    <w:rsid w:val="00706AD4"/>
    <w:rsid w:val="00710388"/>
    <w:rsid w:val="00710926"/>
    <w:rsid w:val="00712A15"/>
    <w:rsid w:val="007133EA"/>
    <w:rsid w:val="00713B8F"/>
    <w:rsid w:val="007140BC"/>
    <w:rsid w:val="007140BE"/>
    <w:rsid w:val="00714A5B"/>
    <w:rsid w:val="00715DF2"/>
    <w:rsid w:val="00716C1C"/>
    <w:rsid w:val="00717416"/>
    <w:rsid w:val="00717B13"/>
    <w:rsid w:val="00720547"/>
    <w:rsid w:val="007211F5"/>
    <w:rsid w:val="00722C20"/>
    <w:rsid w:val="00724433"/>
    <w:rsid w:val="00724A1D"/>
    <w:rsid w:val="00724D2B"/>
    <w:rsid w:val="00725BB5"/>
    <w:rsid w:val="00727506"/>
    <w:rsid w:val="00730AE8"/>
    <w:rsid w:val="00730FC0"/>
    <w:rsid w:val="007315D5"/>
    <w:rsid w:val="00731955"/>
    <w:rsid w:val="00731E15"/>
    <w:rsid w:val="00732F2A"/>
    <w:rsid w:val="00733A55"/>
    <w:rsid w:val="00734018"/>
    <w:rsid w:val="00735A37"/>
    <w:rsid w:val="00736C37"/>
    <w:rsid w:val="00740581"/>
    <w:rsid w:val="0074069C"/>
    <w:rsid w:val="00741493"/>
    <w:rsid w:val="007441F5"/>
    <w:rsid w:val="00744332"/>
    <w:rsid w:val="007445BF"/>
    <w:rsid w:val="00744EEE"/>
    <w:rsid w:val="00745E8A"/>
    <w:rsid w:val="007476C8"/>
    <w:rsid w:val="007508FD"/>
    <w:rsid w:val="00752180"/>
    <w:rsid w:val="007523F4"/>
    <w:rsid w:val="007544B5"/>
    <w:rsid w:val="00755202"/>
    <w:rsid w:val="007558F5"/>
    <w:rsid w:val="00755D3A"/>
    <w:rsid w:val="007565E1"/>
    <w:rsid w:val="007568DD"/>
    <w:rsid w:val="007578D3"/>
    <w:rsid w:val="0076054D"/>
    <w:rsid w:val="007609C6"/>
    <w:rsid w:val="00760B64"/>
    <w:rsid w:val="0076173C"/>
    <w:rsid w:val="0076175D"/>
    <w:rsid w:val="007617E8"/>
    <w:rsid w:val="007647FA"/>
    <w:rsid w:val="00764989"/>
    <w:rsid w:val="00764EDB"/>
    <w:rsid w:val="0076521E"/>
    <w:rsid w:val="007661E9"/>
    <w:rsid w:val="00766569"/>
    <w:rsid w:val="00772F7E"/>
    <w:rsid w:val="0077355B"/>
    <w:rsid w:val="00773F41"/>
    <w:rsid w:val="007754E6"/>
    <w:rsid w:val="0077609F"/>
    <w:rsid w:val="00776169"/>
    <w:rsid w:val="007761A6"/>
    <w:rsid w:val="00776415"/>
    <w:rsid w:val="00776527"/>
    <w:rsid w:val="00780C67"/>
    <w:rsid w:val="00780CDB"/>
    <w:rsid w:val="00780EF1"/>
    <w:rsid w:val="0078196B"/>
    <w:rsid w:val="00782A3A"/>
    <w:rsid w:val="00783112"/>
    <w:rsid w:val="00783E45"/>
    <w:rsid w:val="0078584A"/>
    <w:rsid w:val="00786257"/>
    <w:rsid w:val="0078678E"/>
    <w:rsid w:val="00786B8F"/>
    <w:rsid w:val="00790764"/>
    <w:rsid w:val="00793E89"/>
    <w:rsid w:val="0079453C"/>
    <w:rsid w:val="007945FC"/>
    <w:rsid w:val="00794677"/>
    <w:rsid w:val="0079652D"/>
    <w:rsid w:val="007965D2"/>
    <w:rsid w:val="00796E73"/>
    <w:rsid w:val="007A03CD"/>
    <w:rsid w:val="007A0E7D"/>
    <w:rsid w:val="007A19CD"/>
    <w:rsid w:val="007A25D1"/>
    <w:rsid w:val="007A266B"/>
    <w:rsid w:val="007A30B2"/>
    <w:rsid w:val="007A32F7"/>
    <w:rsid w:val="007A5A82"/>
    <w:rsid w:val="007A600D"/>
    <w:rsid w:val="007A7C65"/>
    <w:rsid w:val="007B17CC"/>
    <w:rsid w:val="007B2702"/>
    <w:rsid w:val="007B2D45"/>
    <w:rsid w:val="007B573F"/>
    <w:rsid w:val="007B6689"/>
    <w:rsid w:val="007B7979"/>
    <w:rsid w:val="007C0204"/>
    <w:rsid w:val="007C0C4F"/>
    <w:rsid w:val="007C1650"/>
    <w:rsid w:val="007C1E57"/>
    <w:rsid w:val="007C21CE"/>
    <w:rsid w:val="007C4154"/>
    <w:rsid w:val="007C48B2"/>
    <w:rsid w:val="007C51D7"/>
    <w:rsid w:val="007C540D"/>
    <w:rsid w:val="007C5A37"/>
    <w:rsid w:val="007C6070"/>
    <w:rsid w:val="007C66C6"/>
    <w:rsid w:val="007C73B7"/>
    <w:rsid w:val="007D1522"/>
    <w:rsid w:val="007D290E"/>
    <w:rsid w:val="007D2DE0"/>
    <w:rsid w:val="007D40DF"/>
    <w:rsid w:val="007D4160"/>
    <w:rsid w:val="007D4C41"/>
    <w:rsid w:val="007D5731"/>
    <w:rsid w:val="007D7426"/>
    <w:rsid w:val="007E060F"/>
    <w:rsid w:val="007E063A"/>
    <w:rsid w:val="007E0679"/>
    <w:rsid w:val="007E095A"/>
    <w:rsid w:val="007E09FA"/>
    <w:rsid w:val="007E14DB"/>
    <w:rsid w:val="007E15FF"/>
    <w:rsid w:val="007E1BCE"/>
    <w:rsid w:val="007E34D5"/>
    <w:rsid w:val="007E3F3A"/>
    <w:rsid w:val="007E46E2"/>
    <w:rsid w:val="007E6165"/>
    <w:rsid w:val="007E6BAD"/>
    <w:rsid w:val="007E7E61"/>
    <w:rsid w:val="007E7FDD"/>
    <w:rsid w:val="007F0845"/>
    <w:rsid w:val="007F1D5D"/>
    <w:rsid w:val="007F1EBD"/>
    <w:rsid w:val="007F2077"/>
    <w:rsid w:val="007F39CF"/>
    <w:rsid w:val="007F6998"/>
    <w:rsid w:val="007F799E"/>
    <w:rsid w:val="008021F7"/>
    <w:rsid w:val="008057CB"/>
    <w:rsid w:val="0080631D"/>
    <w:rsid w:val="00807C82"/>
    <w:rsid w:val="00807F51"/>
    <w:rsid w:val="008112F3"/>
    <w:rsid w:val="00813687"/>
    <w:rsid w:val="00814C52"/>
    <w:rsid w:val="00816905"/>
    <w:rsid w:val="00816CA3"/>
    <w:rsid w:val="008176E8"/>
    <w:rsid w:val="008202D1"/>
    <w:rsid w:val="00821FF6"/>
    <w:rsid w:val="00822BA7"/>
    <w:rsid w:val="00824AFD"/>
    <w:rsid w:val="00825C4D"/>
    <w:rsid w:val="008300B8"/>
    <w:rsid w:val="008301EE"/>
    <w:rsid w:val="008305CB"/>
    <w:rsid w:val="0083066F"/>
    <w:rsid w:val="008310A4"/>
    <w:rsid w:val="0083143E"/>
    <w:rsid w:val="00831CDE"/>
    <w:rsid w:val="00832655"/>
    <w:rsid w:val="008330E8"/>
    <w:rsid w:val="00833468"/>
    <w:rsid w:val="00834298"/>
    <w:rsid w:val="00834304"/>
    <w:rsid w:val="00834FAA"/>
    <w:rsid w:val="00835C6C"/>
    <w:rsid w:val="00835FE1"/>
    <w:rsid w:val="0083606E"/>
    <w:rsid w:val="00836086"/>
    <w:rsid w:val="00836669"/>
    <w:rsid w:val="00836A50"/>
    <w:rsid w:val="00836C6F"/>
    <w:rsid w:val="00836EE4"/>
    <w:rsid w:val="0083748E"/>
    <w:rsid w:val="008404E1"/>
    <w:rsid w:val="00840858"/>
    <w:rsid w:val="0084708F"/>
    <w:rsid w:val="00847661"/>
    <w:rsid w:val="008477C8"/>
    <w:rsid w:val="00847FF3"/>
    <w:rsid w:val="008507D8"/>
    <w:rsid w:val="00850977"/>
    <w:rsid w:val="0085114D"/>
    <w:rsid w:val="00852217"/>
    <w:rsid w:val="0085318E"/>
    <w:rsid w:val="00853CAE"/>
    <w:rsid w:val="00855127"/>
    <w:rsid w:val="00855408"/>
    <w:rsid w:val="008557F6"/>
    <w:rsid w:val="00856213"/>
    <w:rsid w:val="008562DF"/>
    <w:rsid w:val="00856D65"/>
    <w:rsid w:val="0085764A"/>
    <w:rsid w:val="00861778"/>
    <w:rsid w:val="00861B41"/>
    <w:rsid w:val="008629F8"/>
    <w:rsid w:val="00863434"/>
    <w:rsid w:val="00865807"/>
    <w:rsid w:val="00865E4C"/>
    <w:rsid w:val="0086633B"/>
    <w:rsid w:val="00866779"/>
    <w:rsid w:val="00866F6A"/>
    <w:rsid w:val="00867653"/>
    <w:rsid w:val="008701E4"/>
    <w:rsid w:val="00870D8A"/>
    <w:rsid w:val="00874926"/>
    <w:rsid w:val="00875A32"/>
    <w:rsid w:val="00876086"/>
    <w:rsid w:val="008777C8"/>
    <w:rsid w:val="008803BD"/>
    <w:rsid w:val="00880500"/>
    <w:rsid w:val="00880961"/>
    <w:rsid w:val="00882C6E"/>
    <w:rsid w:val="00882F7E"/>
    <w:rsid w:val="00883D0A"/>
    <w:rsid w:val="008849C2"/>
    <w:rsid w:val="00885538"/>
    <w:rsid w:val="0088572C"/>
    <w:rsid w:val="008868E6"/>
    <w:rsid w:val="008873D4"/>
    <w:rsid w:val="00887509"/>
    <w:rsid w:val="0089057B"/>
    <w:rsid w:val="00890DB5"/>
    <w:rsid w:val="00891046"/>
    <w:rsid w:val="0089159B"/>
    <w:rsid w:val="008917BA"/>
    <w:rsid w:val="00891FEA"/>
    <w:rsid w:val="00892950"/>
    <w:rsid w:val="00893138"/>
    <w:rsid w:val="00893D9C"/>
    <w:rsid w:val="00893E85"/>
    <w:rsid w:val="00894031"/>
    <w:rsid w:val="0089447D"/>
    <w:rsid w:val="008947FE"/>
    <w:rsid w:val="00895A67"/>
    <w:rsid w:val="0089601F"/>
    <w:rsid w:val="008961BE"/>
    <w:rsid w:val="00896E9B"/>
    <w:rsid w:val="0089762D"/>
    <w:rsid w:val="00897D43"/>
    <w:rsid w:val="008A1753"/>
    <w:rsid w:val="008A1E01"/>
    <w:rsid w:val="008A1E63"/>
    <w:rsid w:val="008A324F"/>
    <w:rsid w:val="008B1014"/>
    <w:rsid w:val="008B111A"/>
    <w:rsid w:val="008B31A0"/>
    <w:rsid w:val="008B3915"/>
    <w:rsid w:val="008B3DA5"/>
    <w:rsid w:val="008B4FEF"/>
    <w:rsid w:val="008B7776"/>
    <w:rsid w:val="008B7C02"/>
    <w:rsid w:val="008B7D2B"/>
    <w:rsid w:val="008C0049"/>
    <w:rsid w:val="008C0A80"/>
    <w:rsid w:val="008C0B00"/>
    <w:rsid w:val="008C0E38"/>
    <w:rsid w:val="008C0E88"/>
    <w:rsid w:val="008C2820"/>
    <w:rsid w:val="008C2DFB"/>
    <w:rsid w:val="008C51BB"/>
    <w:rsid w:val="008C5C6B"/>
    <w:rsid w:val="008C6565"/>
    <w:rsid w:val="008C667A"/>
    <w:rsid w:val="008C71B1"/>
    <w:rsid w:val="008D1E6A"/>
    <w:rsid w:val="008D25F1"/>
    <w:rsid w:val="008D267F"/>
    <w:rsid w:val="008D27B0"/>
    <w:rsid w:val="008D2A16"/>
    <w:rsid w:val="008D3268"/>
    <w:rsid w:val="008D3293"/>
    <w:rsid w:val="008D34B0"/>
    <w:rsid w:val="008D3B78"/>
    <w:rsid w:val="008D40B9"/>
    <w:rsid w:val="008D40FC"/>
    <w:rsid w:val="008D451C"/>
    <w:rsid w:val="008D4AB7"/>
    <w:rsid w:val="008D52F8"/>
    <w:rsid w:val="008D5933"/>
    <w:rsid w:val="008D7208"/>
    <w:rsid w:val="008E048A"/>
    <w:rsid w:val="008E1BD2"/>
    <w:rsid w:val="008E1DD6"/>
    <w:rsid w:val="008E25C7"/>
    <w:rsid w:val="008E2B76"/>
    <w:rsid w:val="008E2C57"/>
    <w:rsid w:val="008E31FF"/>
    <w:rsid w:val="008E657B"/>
    <w:rsid w:val="008E687A"/>
    <w:rsid w:val="008E6F06"/>
    <w:rsid w:val="008F029B"/>
    <w:rsid w:val="008F1070"/>
    <w:rsid w:val="008F165D"/>
    <w:rsid w:val="008F1850"/>
    <w:rsid w:val="008F26A0"/>
    <w:rsid w:val="008F3FC9"/>
    <w:rsid w:val="008F585B"/>
    <w:rsid w:val="008F7E19"/>
    <w:rsid w:val="009003A8"/>
    <w:rsid w:val="00901128"/>
    <w:rsid w:val="00902500"/>
    <w:rsid w:val="00902BE2"/>
    <w:rsid w:val="00902CC1"/>
    <w:rsid w:val="00902EFF"/>
    <w:rsid w:val="009033BC"/>
    <w:rsid w:val="00904E83"/>
    <w:rsid w:val="0090503A"/>
    <w:rsid w:val="00905115"/>
    <w:rsid w:val="00906401"/>
    <w:rsid w:val="009064D8"/>
    <w:rsid w:val="00907B59"/>
    <w:rsid w:val="0091006C"/>
    <w:rsid w:val="0091019B"/>
    <w:rsid w:val="0091155E"/>
    <w:rsid w:val="009123DA"/>
    <w:rsid w:val="009124AB"/>
    <w:rsid w:val="009127C6"/>
    <w:rsid w:val="00912A92"/>
    <w:rsid w:val="0091377A"/>
    <w:rsid w:val="00913D94"/>
    <w:rsid w:val="009141DD"/>
    <w:rsid w:val="009159A2"/>
    <w:rsid w:val="00915A26"/>
    <w:rsid w:val="009160BD"/>
    <w:rsid w:val="0091689F"/>
    <w:rsid w:val="00916B54"/>
    <w:rsid w:val="0091728D"/>
    <w:rsid w:val="00920489"/>
    <w:rsid w:val="00921332"/>
    <w:rsid w:val="0092180B"/>
    <w:rsid w:val="0092188B"/>
    <w:rsid w:val="00921F14"/>
    <w:rsid w:val="00922112"/>
    <w:rsid w:val="00924266"/>
    <w:rsid w:val="00924AC8"/>
    <w:rsid w:val="00925344"/>
    <w:rsid w:val="0092597A"/>
    <w:rsid w:val="00926386"/>
    <w:rsid w:val="00926E5D"/>
    <w:rsid w:val="00927F23"/>
    <w:rsid w:val="009301D7"/>
    <w:rsid w:val="00932443"/>
    <w:rsid w:val="00932746"/>
    <w:rsid w:val="00933B68"/>
    <w:rsid w:val="00933C5B"/>
    <w:rsid w:val="009340AD"/>
    <w:rsid w:val="0093420B"/>
    <w:rsid w:val="009354B5"/>
    <w:rsid w:val="00935C87"/>
    <w:rsid w:val="0093767B"/>
    <w:rsid w:val="00937AE2"/>
    <w:rsid w:val="00937F97"/>
    <w:rsid w:val="00942578"/>
    <w:rsid w:val="00942832"/>
    <w:rsid w:val="0094357D"/>
    <w:rsid w:val="009439D1"/>
    <w:rsid w:val="009440E0"/>
    <w:rsid w:val="0094427A"/>
    <w:rsid w:val="00944344"/>
    <w:rsid w:val="0094763D"/>
    <w:rsid w:val="00950169"/>
    <w:rsid w:val="0095018E"/>
    <w:rsid w:val="00951456"/>
    <w:rsid w:val="00954C6B"/>
    <w:rsid w:val="00954EB4"/>
    <w:rsid w:val="009557DA"/>
    <w:rsid w:val="00956159"/>
    <w:rsid w:val="00956D26"/>
    <w:rsid w:val="0096136C"/>
    <w:rsid w:val="00962306"/>
    <w:rsid w:val="0096445E"/>
    <w:rsid w:val="00966734"/>
    <w:rsid w:val="009674BF"/>
    <w:rsid w:val="00967566"/>
    <w:rsid w:val="00972D12"/>
    <w:rsid w:val="00972F12"/>
    <w:rsid w:val="00973076"/>
    <w:rsid w:val="00973206"/>
    <w:rsid w:val="00973496"/>
    <w:rsid w:val="009738D3"/>
    <w:rsid w:val="00973C9C"/>
    <w:rsid w:val="0097481B"/>
    <w:rsid w:val="00974923"/>
    <w:rsid w:val="00976ED2"/>
    <w:rsid w:val="00977F2A"/>
    <w:rsid w:val="00980012"/>
    <w:rsid w:val="00980D3D"/>
    <w:rsid w:val="0098101A"/>
    <w:rsid w:val="0098169D"/>
    <w:rsid w:val="00981ECB"/>
    <w:rsid w:val="00982253"/>
    <w:rsid w:val="00982FBA"/>
    <w:rsid w:val="0098336C"/>
    <w:rsid w:val="00984415"/>
    <w:rsid w:val="00985367"/>
    <w:rsid w:val="00985C98"/>
    <w:rsid w:val="00985FE8"/>
    <w:rsid w:val="009870BD"/>
    <w:rsid w:val="00987526"/>
    <w:rsid w:val="00987A30"/>
    <w:rsid w:val="0099109D"/>
    <w:rsid w:val="0099235C"/>
    <w:rsid w:val="00992BE9"/>
    <w:rsid w:val="00992CF3"/>
    <w:rsid w:val="00992EE1"/>
    <w:rsid w:val="00992F38"/>
    <w:rsid w:val="00992F65"/>
    <w:rsid w:val="00993D76"/>
    <w:rsid w:val="009968D6"/>
    <w:rsid w:val="009975B3"/>
    <w:rsid w:val="009A187B"/>
    <w:rsid w:val="009A1A83"/>
    <w:rsid w:val="009A1CAB"/>
    <w:rsid w:val="009A2ADD"/>
    <w:rsid w:val="009A3455"/>
    <w:rsid w:val="009A3A03"/>
    <w:rsid w:val="009A4127"/>
    <w:rsid w:val="009A55F5"/>
    <w:rsid w:val="009A60D1"/>
    <w:rsid w:val="009A6833"/>
    <w:rsid w:val="009A7F9C"/>
    <w:rsid w:val="009B0236"/>
    <w:rsid w:val="009B0289"/>
    <w:rsid w:val="009B13DF"/>
    <w:rsid w:val="009B156D"/>
    <w:rsid w:val="009B2883"/>
    <w:rsid w:val="009B2BB2"/>
    <w:rsid w:val="009B6961"/>
    <w:rsid w:val="009B6FD3"/>
    <w:rsid w:val="009B72A5"/>
    <w:rsid w:val="009B79BF"/>
    <w:rsid w:val="009C0AB7"/>
    <w:rsid w:val="009C1750"/>
    <w:rsid w:val="009C2E29"/>
    <w:rsid w:val="009C383A"/>
    <w:rsid w:val="009C3A9A"/>
    <w:rsid w:val="009C554B"/>
    <w:rsid w:val="009C5D8C"/>
    <w:rsid w:val="009C6BC5"/>
    <w:rsid w:val="009C719E"/>
    <w:rsid w:val="009D0D51"/>
    <w:rsid w:val="009D1642"/>
    <w:rsid w:val="009D3ACD"/>
    <w:rsid w:val="009D44C6"/>
    <w:rsid w:val="009D6320"/>
    <w:rsid w:val="009D6623"/>
    <w:rsid w:val="009E046D"/>
    <w:rsid w:val="009E05D9"/>
    <w:rsid w:val="009E14BE"/>
    <w:rsid w:val="009E22F5"/>
    <w:rsid w:val="009E2434"/>
    <w:rsid w:val="009E4456"/>
    <w:rsid w:val="009E468E"/>
    <w:rsid w:val="009E4D5C"/>
    <w:rsid w:val="009E4D91"/>
    <w:rsid w:val="009E5273"/>
    <w:rsid w:val="009E5330"/>
    <w:rsid w:val="009E5DDB"/>
    <w:rsid w:val="009F00CC"/>
    <w:rsid w:val="009F0FB7"/>
    <w:rsid w:val="009F22E0"/>
    <w:rsid w:val="009F4CA7"/>
    <w:rsid w:val="009F57D7"/>
    <w:rsid w:val="009F76B9"/>
    <w:rsid w:val="00A00C73"/>
    <w:rsid w:val="00A00D45"/>
    <w:rsid w:val="00A02A9E"/>
    <w:rsid w:val="00A02F0C"/>
    <w:rsid w:val="00A0398B"/>
    <w:rsid w:val="00A03E8E"/>
    <w:rsid w:val="00A0534B"/>
    <w:rsid w:val="00A05546"/>
    <w:rsid w:val="00A062F4"/>
    <w:rsid w:val="00A073EB"/>
    <w:rsid w:val="00A07459"/>
    <w:rsid w:val="00A07544"/>
    <w:rsid w:val="00A10D66"/>
    <w:rsid w:val="00A11191"/>
    <w:rsid w:val="00A117BA"/>
    <w:rsid w:val="00A136D6"/>
    <w:rsid w:val="00A13B06"/>
    <w:rsid w:val="00A14114"/>
    <w:rsid w:val="00A14163"/>
    <w:rsid w:val="00A15600"/>
    <w:rsid w:val="00A162F9"/>
    <w:rsid w:val="00A16413"/>
    <w:rsid w:val="00A17A6E"/>
    <w:rsid w:val="00A2028E"/>
    <w:rsid w:val="00A2036D"/>
    <w:rsid w:val="00A209E5"/>
    <w:rsid w:val="00A20AA1"/>
    <w:rsid w:val="00A210D8"/>
    <w:rsid w:val="00A21FDD"/>
    <w:rsid w:val="00A22C2E"/>
    <w:rsid w:val="00A239B9"/>
    <w:rsid w:val="00A23E43"/>
    <w:rsid w:val="00A24164"/>
    <w:rsid w:val="00A247BC"/>
    <w:rsid w:val="00A25054"/>
    <w:rsid w:val="00A253D5"/>
    <w:rsid w:val="00A25EBA"/>
    <w:rsid w:val="00A26069"/>
    <w:rsid w:val="00A2673E"/>
    <w:rsid w:val="00A26EB2"/>
    <w:rsid w:val="00A26F00"/>
    <w:rsid w:val="00A270F2"/>
    <w:rsid w:val="00A30773"/>
    <w:rsid w:val="00A30F65"/>
    <w:rsid w:val="00A317E0"/>
    <w:rsid w:val="00A31E19"/>
    <w:rsid w:val="00A322CE"/>
    <w:rsid w:val="00A32678"/>
    <w:rsid w:val="00A332FB"/>
    <w:rsid w:val="00A333B8"/>
    <w:rsid w:val="00A33D88"/>
    <w:rsid w:val="00A34C92"/>
    <w:rsid w:val="00A354BB"/>
    <w:rsid w:val="00A35FA0"/>
    <w:rsid w:val="00A36429"/>
    <w:rsid w:val="00A368AD"/>
    <w:rsid w:val="00A3716F"/>
    <w:rsid w:val="00A37C85"/>
    <w:rsid w:val="00A418BC"/>
    <w:rsid w:val="00A421A3"/>
    <w:rsid w:val="00A44661"/>
    <w:rsid w:val="00A45784"/>
    <w:rsid w:val="00A46DE0"/>
    <w:rsid w:val="00A50D73"/>
    <w:rsid w:val="00A50DA1"/>
    <w:rsid w:val="00A5168E"/>
    <w:rsid w:val="00A51E70"/>
    <w:rsid w:val="00A52BBE"/>
    <w:rsid w:val="00A52CAD"/>
    <w:rsid w:val="00A53336"/>
    <w:rsid w:val="00A53E07"/>
    <w:rsid w:val="00A53FC7"/>
    <w:rsid w:val="00A54C8E"/>
    <w:rsid w:val="00A557D4"/>
    <w:rsid w:val="00A57165"/>
    <w:rsid w:val="00A5761A"/>
    <w:rsid w:val="00A57689"/>
    <w:rsid w:val="00A61EC3"/>
    <w:rsid w:val="00A623F0"/>
    <w:rsid w:val="00A62CE1"/>
    <w:rsid w:val="00A63EEE"/>
    <w:rsid w:val="00A6741E"/>
    <w:rsid w:val="00A67D11"/>
    <w:rsid w:val="00A70CE0"/>
    <w:rsid w:val="00A7244E"/>
    <w:rsid w:val="00A72C46"/>
    <w:rsid w:val="00A735F6"/>
    <w:rsid w:val="00A73B75"/>
    <w:rsid w:val="00A73EBB"/>
    <w:rsid w:val="00A743C7"/>
    <w:rsid w:val="00A75E40"/>
    <w:rsid w:val="00A7608F"/>
    <w:rsid w:val="00A77D1D"/>
    <w:rsid w:val="00A829BF"/>
    <w:rsid w:val="00A82D93"/>
    <w:rsid w:val="00A857C0"/>
    <w:rsid w:val="00A85F44"/>
    <w:rsid w:val="00A86013"/>
    <w:rsid w:val="00A868DC"/>
    <w:rsid w:val="00A8730D"/>
    <w:rsid w:val="00A87EC2"/>
    <w:rsid w:val="00A911B2"/>
    <w:rsid w:val="00A91388"/>
    <w:rsid w:val="00A91B0B"/>
    <w:rsid w:val="00A92BED"/>
    <w:rsid w:val="00A93A05"/>
    <w:rsid w:val="00A94F86"/>
    <w:rsid w:val="00A95DFC"/>
    <w:rsid w:val="00A96047"/>
    <w:rsid w:val="00A96828"/>
    <w:rsid w:val="00A97D8C"/>
    <w:rsid w:val="00AA1C10"/>
    <w:rsid w:val="00AA2639"/>
    <w:rsid w:val="00AA2996"/>
    <w:rsid w:val="00AA2EA0"/>
    <w:rsid w:val="00AA3579"/>
    <w:rsid w:val="00AA3EC3"/>
    <w:rsid w:val="00AA52BF"/>
    <w:rsid w:val="00AA559A"/>
    <w:rsid w:val="00AA58EB"/>
    <w:rsid w:val="00AA5FC4"/>
    <w:rsid w:val="00AA7252"/>
    <w:rsid w:val="00AB26F9"/>
    <w:rsid w:val="00AB2800"/>
    <w:rsid w:val="00AB2A28"/>
    <w:rsid w:val="00AB2AF1"/>
    <w:rsid w:val="00AB3FBB"/>
    <w:rsid w:val="00AB4EBB"/>
    <w:rsid w:val="00AB570B"/>
    <w:rsid w:val="00AB5EF4"/>
    <w:rsid w:val="00AB63F2"/>
    <w:rsid w:val="00AB6CE1"/>
    <w:rsid w:val="00AC0812"/>
    <w:rsid w:val="00AC09DD"/>
    <w:rsid w:val="00AC1857"/>
    <w:rsid w:val="00AC5C2A"/>
    <w:rsid w:val="00AC6AD7"/>
    <w:rsid w:val="00AC70C6"/>
    <w:rsid w:val="00AC74F3"/>
    <w:rsid w:val="00AD3021"/>
    <w:rsid w:val="00AD306C"/>
    <w:rsid w:val="00AD32E7"/>
    <w:rsid w:val="00AD3FEE"/>
    <w:rsid w:val="00AD43E3"/>
    <w:rsid w:val="00AD5262"/>
    <w:rsid w:val="00AD5376"/>
    <w:rsid w:val="00AD6583"/>
    <w:rsid w:val="00AD74B8"/>
    <w:rsid w:val="00AD787C"/>
    <w:rsid w:val="00AE09B3"/>
    <w:rsid w:val="00AE0DBE"/>
    <w:rsid w:val="00AE1A83"/>
    <w:rsid w:val="00AE1E1F"/>
    <w:rsid w:val="00AE2563"/>
    <w:rsid w:val="00AE3ACD"/>
    <w:rsid w:val="00AE5059"/>
    <w:rsid w:val="00AE6162"/>
    <w:rsid w:val="00AE6232"/>
    <w:rsid w:val="00AF0E9A"/>
    <w:rsid w:val="00AF1BCE"/>
    <w:rsid w:val="00AF2871"/>
    <w:rsid w:val="00AF2E89"/>
    <w:rsid w:val="00AF3D61"/>
    <w:rsid w:val="00AF3FDC"/>
    <w:rsid w:val="00AF5820"/>
    <w:rsid w:val="00AF6409"/>
    <w:rsid w:val="00AF7A82"/>
    <w:rsid w:val="00B00135"/>
    <w:rsid w:val="00B00913"/>
    <w:rsid w:val="00B00F39"/>
    <w:rsid w:val="00B01593"/>
    <w:rsid w:val="00B052F7"/>
    <w:rsid w:val="00B0599A"/>
    <w:rsid w:val="00B07D89"/>
    <w:rsid w:val="00B100E6"/>
    <w:rsid w:val="00B10A4D"/>
    <w:rsid w:val="00B10DD3"/>
    <w:rsid w:val="00B1157F"/>
    <w:rsid w:val="00B11FC0"/>
    <w:rsid w:val="00B1279D"/>
    <w:rsid w:val="00B12B85"/>
    <w:rsid w:val="00B13C76"/>
    <w:rsid w:val="00B17D34"/>
    <w:rsid w:val="00B17E71"/>
    <w:rsid w:val="00B17FDE"/>
    <w:rsid w:val="00B21FF6"/>
    <w:rsid w:val="00B2281D"/>
    <w:rsid w:val="00B22A87"/>
    <w:rsid w:val="00B2379C"/>
    <w:rsid w:val="00B240C9"/>
    <w:rsid w:val="00B2687D"/>
    <w:rsid w:val="00B30390"/>
    <w:rsid w:val="00B30F55"/>
    <w:rsid w:val="00B31DCA"/>
    <w:rsid w:val="00B3240A"/>
    <w:rsid w:val="00B3274A"/>
    <w:rsid w:val="00B32CA3"/>
    <w:rsid w:val="00B32DDB"/>
    <w:rsid w:val="00B33295"/>
    <w:rsid w:val="00B334D9"/>
    <w:rsid w:val="00B33A8E"/>
    <w:rsid w:val="00B34528"/>
    <w:rsid w:val="00B34EAF"/>
    <w:rsid w:val="00B353F9"/>
    <w:rsid w:val="00B3736B"/>
    <w:rsid w:val="00B40073"/>
    <w:rsid w:val="00B40241"/>
    <w:rsid w:val="00B402FC"/>
    <w:rsid w:val="00B408F0"/>
    <w:rsid w:val="00B40EA9"/>
    <w:rsid w:val="00B43570"/>
    <w:rsid w:val="00B44599"/>
    <w:rsid w:val="00B445C5"/>
    <w:rsid w:val="00B45399"/>
    <w:rsid w:val="00B46604"/>
    <w:rsid w:val="00B466E5"/>
    <w:rsid w:val="00B467EC"/>
    <w:rsid w:val="00B46E78"/>
    <w:rsid w:val="00B47683"/>
    <w:rsid w:val="00B47694"/>
    <w:rsid w:val="00B47D35"/>
    <w:rsid w:val="00B50BF2"/>
    <w:rsid w:val="00B510F3"/>
    <w:rsid w:val="00B520C9"/>
    <w:rsid w:val="00B530CD"/>
    <w:rsid w:val="00B55638"/>
    <w:rsid w:val="00B55F4A"/>
    <w:rsid w:val="00B55F5E"/>
    <w:rsid w:val="00B564BA"/>
    <w:rsid w:val="00B5752E"/>
    <w:rsid w:val="00B57734"/>
    <w:rsid w:val="00B57DBA"/>
    <w:rsid w:val="00B57FA0"/>
    <w:rsid w:val="00B630A8"/>
    <w:rsid w:val="00B63A11"/>
    <w:rsid w:val="00B63E16"/>
    <w:rsid w:val="00B64C24"/>
    <w:rsid w:val="00B6608F"/>
    <w:rsid w:val="00B679FB"/>
    <w:rsid w:val="00B67E5F"/>
    <w:rsid w:val="00B71AD2"/>
    <w:rsid w:val="00B72CBF"/>
    <w:rsid w:val="00B732D9"/>
    <w:rsid w:val="00B73F80"/>
    <w:rsid w:val="00B74FBC"/>
    <w:rsid w:val="00B7550F"/>
    <w:rsid w:val="00B757BC"/>
    <w:rsid w:val="00B75D15"/>
    <w:rsid w:val="00B7631B"/>
    <w:rsid w:val="00B76D1E"/>
    <w:rsid w:val="00B80EC6"/>
    <w:rsid w:val="00B817E5"/>
    <w:rsid w:val="00B81CC4"/>
    <w:rsid w:val="00B821AC"/>
    <w:rsid w:val="00B8355D"/>
    <w:rsid w:val="00B83E6D"/>
    <w:rsid w:val="00B84FF9"/>
    <w:rsid w:val="00B86D45"/>
    <w:rsid w:val="00B91522"/>
    <w:rsid w:val="00B9253D"/>
    <w:rsid w:val="00B92D1D"/>
    <w:rsid w:val="00B938C5"/>
    <w:rsid w:val="00B95940"/>
    <w:rsid w:val="00B96AE1"/>
    <w:rsid w:val="00B97385"/>
    <w:rsid w:val="00BA05E6"/>
    <w:rsid w:val="00BA064B"/>
    <w:rsid w:val="00BA1760"/>
    <w:rsid w:val="00BA2808"/>
    <w:rsid w:val="00BA3AFA"/>
    <w:rsid w:val="00BA3CED"/>
    <w:rsid w:val="00BA5248"/>
    <w:rsid w:val="00BA52AC"/>
    <w:rsid w:val="00BA5ABB"/>
    <w:rsid w:val="00BB46F3"/>
    <w:rsid w:val="00BB4CB1"/>
    <w:rsid w:val="00BB4F98"/>
    <w:rsid w:val="00BB541C"/>
    <w:rsid w:val="00BB5A75"/>
    <w:rsid w:val="00BB5DB3"/>
    <w:rsid w:val="00BB70FA"/>
    <w:rsid w:val="00BC21EC"/>
    <w:rsid w:val="00BC2D19"/>
    <w:rsid w:val="00BC2E08"/>
    <w:rsid w:val="00BC2EE6"/>
    <w:rsid w:val="00BC3D45"/>
    <w:rsid w:val="00BC40CD"/>
    <w:rsid w:val="00BC4956"/>
    <w:rsid w:val="00BC5F04"/>
    <w:rsid w:val="00BC67F7"/>
    <w:rsid w:val="00BC6857"/>
    <w:rsid w:val="00BC7154"/>
    <w:rsid w:val="00BD0745"/>
    <w:rsid w:val="00BD15F7"/>
    <w:rsid w:val="00BD30CC"/>
    <w:rsid w:val="00BD35B7"/>
    <w:rsid w:val="00BD366B"/>
    <w:rsid w:val="00BD49E8"/>
    <w:rsid w:val="00BD5565"/>
    <w:rsid w:val="00BD5AA2"/>
    <w:rsid w:val="00BD602C"/>
    <w:rsid w:val="00BD64F6"/>
    <w:rsid w:val="00BD664B"/>
    <w:rsid w:val="00BD6D50"/>
    <w:rsid w:val="00BE0937"/>
    <w:rsid w:val="00BE12EE"/>
    <w:rsid w:val="00BE18B9"/>
    <w:rsid w:val="00BE2495"/>
    <w:rsid w:val="00BE2E55"/>
    <w:rsid w:val="00BE4A84"/>
    <w:rsid w:val="00BE52D6"/>
    <w:rsid w:val="00BE61AB"/>
    <w:rsid w:val="00BE7F0A"/>
    <w:rsid w:val="00BF0D77"/>
    <w:rsid w:val="00BF1410"/>
    <w:rsid w:val="00BF1578"/>
    <w:rsid w:val="00BF576A"/>
    <w:rsid w:val="00BF62BF"/>
    <w:rsid w:val="00BF7EA5"/>
    <w:rsid w:val="00C02411"/>
    <w:rsid w:val="00C02C16"/>
    <w:rsid w:val="00C02D54"/>
    <w:rsid w:val="00C03339"/>
    <w:rsid w:val="00C03857"/>
    <w:rsid w:val="00C048C9"/>
    <w:rsid w:val="00C05003"/>
    <w:rsid w:val="00C065FE"/>
    <w:rsid w:val="00C07704"/>
    <w:rsid w:val="00C07A76"/>
    <w:rsid w:val="00C11750"/>
    <w:rsid w:val="00C11B22"/>
    <w:rsid w:val="00C11C0A"/>
    <w:rsid w:val="00C132AF"/>
    <w:rsid w:val="00C1393C"/>
    <w:rsid w:val="00C162B6"/>
    <w:rsid w:val="00C16508"/>
    <w:rsid w:val="00C165EF"/>
    <w:rsid w:val="00C20048"/>
    <w:rsid w:val="00C21F94"/>
    <w:rsid w:val="00C24890"/>
    <w:rsid w:val="00C26342"/>
    <w:rsid w:val="00C26854"/>
    <w:rsid w:val="00C26C4E"/>
    <w:rsid w:val="00C2757F"/>
    <w:rsid w:val="00C27913"/>
    <w:rsid w:val="00C27980"/>
    <w:rsid w:val="00C27A21"/>
    <w:rsid w:val="00C27ECC"/>
    <w:rsid w:val="00C31081"/>
    <w:rsid w:val="00C31DB6"/>
    <w:rsid w:val="00C33061"/>
    <w:rsid w:val="00C3345B"/>
    <w:rsid w:val="00C33B68"/>
    <w:rsid w:val="00C348D6"/>
    <w:rsid w:val="00C35505"/>
    <w:rsid w:val="00C35701"/>
    <w:rsid w:val="00C36A31"/>
    <w:rsid w:val="00C36A79"/>
    <w:rsid w:val="00C372E9"/>
    <w:rsid w:val="00C37668"/>
    <w:rsid w:val="00C3789E"/>
    <w:rsid w:val="00C37FBC"/>
    <w:rsid w:val="00C405D4"/>
    <w:rsid w:val="00C41518"/>
    <w:rsid w:val="00C419A2"/>
    <w:rsid w:val="00C42146"/>
    <w:rsid w:val="00C43E7A"/>
    <w:rsid w:val="00C447C1"/>
    <w:rsid w:val="00C4495B"/>
    <w:rsid w:val="00C4513B"/>
    <w:rsid w:val="00C45357"/>
    <w:rsid w:val="00C454F9"/>
    <w:rsid w:val="00C45D78"/>
    <w:rsid w:val="00C4660F"/>
    <w:rsid w:val="00C46A1C"/>
    <w:rsid w:val="00C47E8D"/>
    <w:rsid w:val="00C52683"/>
    <w:rsid w:val="00C52B60"/>
    <w:rsid w:val="00C53647"/>
    <w:rsid w:val="00C53D42"/>
    <w:rsid w:val="00C54697"/>
    <w:rsid w:val="00C54F66"/>
    <w:rsid w:val="00C56BDF"/>
    <w:rsid w:val="00C579C4"/>
    <w:rsid w:val="00C61315"/>
    <w:rsid w:val="00C613C3"/>
    <w:rsid w:val="00C62BD6"/>
    <w:rsid w:val="00C62BF2"/>
    <w:rsid w:val="00C63197"/>
    <w:rsid w:val="00C634E0"/>
    <w:rsid w:val="00C6382E"/>
    <w:rsid w:val="00C63A93"/>
    <w:rsid w:val="00C63C0B"/>
    <w:rsid w:val="00C63D29"/>
    <w:rsid w:val="00C642C9"/>
    <w:rsid w:val="00C65507"/>
    <w:rsid w:val="00C6673D"/>
    <w:rsid w:val="00C700FC"/>
    <w:rsid w:val="00C73885"/>
    <w:rsid w:val="00C747B1"/>
    <w:rsid w:val="00C81EB1"/>
    <w:rsid w:val="00C82191"/>
    <w:rsid w:val="00C86A96"/>
    <w:rsid w:val="00C878E6"/>
    <w:rsid w:val="00C904CE"/>
    <w:rsid w:val="00C90CF4"/>
    <w:rsid w:val="00C91D7E"/>
    <w:rsid w:val="00C92EB6"/>
    <w:rsid w:val="00C93194"/>
    <w:rsid w:val="00C93389"/>
    <w:rsid w:val="00C93504"/>
    <w:rsid w:val="00C9485A"/>
    <w:rsid w:val="00C952ED"/>
    <w:rsid w:val="00C95C73"/>
    <w:rsid w:val="00CA01CF"/>
    <w:rsid w:val="00CA04F2"/>
    <w:rsid w:val="00CA17EB"/>
    <w:rsid w:val="00CA1CA7"/>
    <w:rsid w:val="00CA20B0"/>
    <w:rsid w:val="00CA25B2"/>
    <w:rsid w:val="00CA271C"/>
    <w:rsid w:val="00CA2EB1"/>
    <w:rsid w:val="00CA48A2"/>
    <w:rsid w:val="00CA50DA"/>
    <w:rsid w:val="00CA57C9"/>
    <w:rsid w:val="00CA60C2"/>
    <w:rsid w:val="00CA774F"/>
    <w:rsid w:val="00CA79AC"/>
    <w:rsid w:val="00CB0A23"/>
    <w:rsid w:val="00CB2D93"/>
    <w:rsid w:val="00CB4930"/>
    <w:rsid w:val="00CB5CFB"/>
    <w:rsid w:val="00CB71CA"/>
    <w:rsid w:val="00CB73DA"/>
    <w:rsid w:val="00CB7E33"/>
    <w:rsid w:val="00CC088A"/>
    <w:rsid w:val="00CC28E0"/>
    <w:rsid w:val="00CC2E7D"/>
    <w:rsid w:val="00CC4392"/>
    <w:rsid w:val="00CC457C"/>
    <w:rsid w:val="00CC5C8B"/>
    <w:rsid w:val="00CC5F4A"/>
    <w:rsid w:val="00CC6E4B"/>
    <w:rsid w:val="00CC7F6A"/>
    <w:rsid w:val="00CD10A5"/>
    <w:rsid w:val="00CD1A2F"/>
    <w:rsid w:val="00CD2076"/>
    <w:rsid w:val="00CD2783"/>
    <w:rsid w:val="00CD2CF0"/>
    <w:rsid w:val="00CD2DB7"/>
    <w:rsid w:val="00CD3C81"/>
    <w:rsid w:val="00CD3EEE"/>
    <w:rsid w:val="00CD4988"/>
    <w:rsid w:val="00CD5722"/>
    <w:rsid w:val="00CD573A"/>
    <w:rsid w:val="00CD66CE"/>
    <w:rsid w:val="00CD7F0B"/>
    <w:rsid w:val="00CE53B8"/>
    <w:rsid w:val="00CE5647"/>
    <w:rsid w:val="00CE6550"/>
    <w:rsid w:val="00CE670B"/>
    <w:rsid w:val="00CE702A"/>
    <w:rsid w:val="00CF05A6"/>
    <w:rsid w:val="00CF08BF"/>
    <w:rsid w:val="00CF2CEE"/>
    <w:rsid w:val="00CF40B5"/>
    <w:rsid w:val="00CF4D3E"/>
    <w:rsid w:val="00CF51EC"/>
    <w:rsid w:val="00CF73AE"/>
    <w:rsid w:val="00CF797C"/>
    <w:rsid w:val="00D02FB3"/>
    <w:rsid w:val="00D040DD"/>
    <w:rsid w:val="00D044F5"/>
    <w:rsid w:val="00D052F5"/>
    <w:rsid w:val="00D0614E"/>
    <w:rsid w:val="00D06983"/>
    <w:rsid w:val="00D06F01"/>
    <w:rsid w:val="00D11B8B"/>
    <w:rsid w:val="00D13986"/>
    <w:rsid w:val="00D15AAE"/>
    <w:rsid w:val="00D20CD3"/>
    <w:rsid w:val="00D21E88"/>
    <w:rsid w:val="00D235B7"/>
    <w:rsid w:val="00D2391A"/>
    <w:rsid w:val="00D2462F"/>
    <w:rsid w:val="00D24A11"/>
    <w:rsid w:val="00D251E2"/>
    <w:rsid w:val="00D25F28"/>
    <w:rsid w:val="00D27973"/>
    <w:rsid w:val="00D27E2C"/>
    <w:rsid w:val="00D303A2"/>
    <w:rsid w:val="00D30E0E"/>
    <w:rsid w:val="00D32481"/>
    <w:rsid w:val="00D326DC"/>
    <w:rsid w:val="00D348CD"/>
    <w:rsid w:val="00D35C57"/>
    <w:rsid w:val="00D371DA"/>
    <w:rsid w:val="00D3720A"/>
    <w:rsid w:val="00D37750"/>
    <w:rsid w:val="00D378EB"/>
    <w:rsid w:val="00D420A5"/>
    <w:rsid w:val="00D4237F"/>
    <w:rsid w:val="00D4240E"/>
    <w:rsid w:val="00D43819"/>
    <w:rsid w:val="00D44D76"/>
    <w:rsid w:val="00D44D86"/>
    <w:rsid w:val="00D457E4"/>
    <w:rsid w:val="00D46337"/>
    <w:rsid w:val="00D46673"/>
    <w:rsid w:val="00D47982"/>
    <w:rsid w:val="00D50F46"/>
    <w:rsid w:val="00D51DDC"/>
    <w:rsid w:val="00D52642"/>
    <w:rsid w:val="00D53D17"/>
    <w:rsid w:val="00D567E1"/>
    <w:rsid w:val="00D606E9"/>
    <w:rsid w:val="00D60C8B"/>
    <w:rsid w:val="00D621E4"/>
    <w:rsid w:val="00D62C76"/>
    <w:rsid w:val="00D64773"/>
    <w:rsid w:val="00D650FC"/>
    <w:rsid w:val="00D6573C"/>
    <w:rsid w:val="00D65865"/>
    <w:rsid w:val="00D66223"/>
    <w:rsid w:val="00D664F9"/>
    <w:rsid w:val="00D70250"/>
    <w:rsid w:val="00D7051B"/>
    <w:rsid w:val="00D708DB"/>
    <w:rsid w:val="00D72304"/>
    <w:rsid w:val="00D74C16"/>
    <w:rsid w:val="00D76139"/>
    <w:rsid w:val="00D770CA"/>
    <w:rsid w:val="00D7766B"/>
    <w:rsid w:val="00D8084C"/>
    <w:rsid w:val="00D80917"/>
    <w:rsid w:val="00D810E4"/>
    <w:rsid w:val="00D82646"/>
    <w:rsid w:val="00D82821"/>
    <w:rsid w:val="00D833BA"/>
    <w:rsid w:val="00D853A4"/>
    <w:rsid w:val="00D85E22"/>
    <w:rsid w:val="00D86428"/>
    <w:rsid w:val="00D86F84"/>
    <w:rsid w:val="00D8720A"/>
    <w:rsid w:val="00D9368A"/>
    <w:rsid w:val="00D951D5"/>
    <w:rsid w:val="00D95AD4"/>
    <w:rsid w:val="00D96393"/>
    <w:rsid w:val="00D963CC"/>
    <w:rsid w:val="00D97380"/>
    <w:rsid w:val="00D9745B"/>
    <w:rsid w:val="00D97D02"/>
    <w:rsid w:val="00D97F77"/>
    <w:rsid w:val="00DA0A68"/>
    <w:rsid w:val="00DA0DF0"/>
    <w:rsid w:val="00DA15A5"/>
    <w:rsid w:val="00DA2071"/>
    <w:rsid w:val="00DA2A48"/>
    <w:rsid w:val="00DA3391"/>
    <w:rsid w:val="00DA7B0A"/>
    <w:rsid w:val="00DA7C0C"/>
    <w:rsid w:val="00DB1B98"/>
    <w:rsid w:val="00DB2EC8"/>
    <w:rsid w:val="00DB3F89"/>
    <w:rsid w:val="00DB4336"/>
    <w:rsid w:val="00DB44CC"/>
    <w:rsid w:val="00DB5444"/>
    <w:rsid w:val="00DB5B58"/>
    <w:rsid w:val="00DB6726"/>
    <w:rsid w:val="00DB67FD"/>
    <w:rsid w:val="00DC159D"/>
    <w:rsid w:val="00DC235B"/>
    <w:rsid w:val="00DC4F91"/>
    <w:rsid w:val="00DC5849"/>
    <w:rsid w:val="00DC5B3B"/>
    <w:rsid w:val="00DD04C2"/>
    <w:rsid w:val="00DD07A3"/>
    <w:rsid w:val="00DD0D6F"/>
    <w:rsid w:val="00DD129F"/>
    <w:rsid w:val="00DD3730"/>
    <w:rsid w:val="00DD6112"/>
    <w:rsid w:val="00DD72DE"/>
    <w:rsid w:val="00DD7AA0"/>
    <w:rsid w:val="00DE096E"/>
    <w:rsid w:val="00DE244A"/>
    <w:rsid w:val="00DE28AE"/>
    <w:rsid w:val="00DE2A88"/>
    <w:rsid w:val="00DE2D5D"/>
    <w:rsid w:val="00DE3224"/>
    <w:rsid w:val="00DE3A0F"/>
    <w:rsid w:val="00DE4294"/>
    <w:rsid w:val="00DE4B39"/>
    <w:rsid w:val="00DE5B4C"/>
    <w:rsid w:val="00DE6286"/>
    <w:rsid w:val="00DE63C1"/>
    <w:rsid w:val="00DE6447"/>
    <w:rsid w:val="00DF07F3"/>
    <w:rsid w:val="00DF08CD"/>
    <w:rsid w:val="00DF0F74"/>
    <w:rsid w:val="00DF24E1"/>
    <w:rsid w:val="00DF42FF"/>
    <w:rsid w:val="00DF4A21"/>
    <w:rsid w:val="00DF5FAC"/>
    <w:rsid w:val="00DF6019"/>
    <w:rsid w:val="00DF6103"/>
    <w:rsid w:val="00E00C80"/>
    <w:rsid w:val="00E01C0E"/>
    <w:rsid w:val="00E02B4A"/>
    <w:rsid w:val="00E03F9A"/>
    <w:rsid w:val="00E0424E"/>
    <w:rsid w:val="00E04694"/>
    <w:rsid w:val="00E04833"/>
    <w:rsid w:val="00E065C6"/>
    <w:rsid w:val="00E06DE4"/>
    <w:rsid w:val="00E06E04"/>
    <w:rsid w:val="00E075C7"/>
    <w:rsid w:val="00E119FC"/>
    <w:rsid w:val="00E12B1E"/>
    <w:rsid w:val="00E16BB9"/>
    <w:rsid w:val="00E17262"/>
    <w:rsid w:val="00E20908"/>
    <w:rsid w:val="00E22824"/>
    <w:rsid w:val="00E2338D"/>
    <w:rsid w:val="00E2346D"/>
    <w:rsid w:val="00E23DF6"/>
    <w:rsid w:val="00E2420F"/>
    <w:rsid w:val="00E253A2"/>
    <w:rsid w:val="00E25DC1"/>
    <w:rsid w:val="00E25EE7"/>
    <w:rsid w:val="00E2797D"/>
    <w:rsid w:val="00E304B8"/>
    <w:rsid w:val="00E3162B"/>
    <w:rsid w:val="00E31A21"/>
    <w:rsid w:val="00E3309D"/>
    <w:rsid w:val="00E347B9"/>
    <w:rsid w:val="00E34C83"/>
    <w:rsid w:val="00E35A83"/>
    <w:rsid w:val="00E35DB6"/>
    <w:rsid w:val="00E365EF"/>
    <w:rsid w:val="00E3682C"/>
    <w:rsid w:val="00E37668"/>
    <w:rsid w:val="00E377DA"/>
    <w:rsid w:val="00E41950"/>
    <w:rsid w:val="00E4543C"/>
    <w:rsid w:val="00E460E2"/>
    <w:rsid w:val="00E4634B"/>
    <w:rsid w:val="00E46833"/>
    <w:rsid w:val="00E476DF"/>
    <w:rsid w:val="00E50156"/>
    <w:rsid w:val="00E5050F"/>
    <w:rsid w:val="00E50B5D"/>
    <w:rsid w:val="00E51B4F"/>
    <w:rsid w:val="00E53470"/>
    <w:rsid w:val="00E539F6"/>
    <w:rsid w:val="00E53F32"/>
    <w:rsid w:val="00E543DC"/>
    <w:rsid w:val="00E54C98"/>
    <w:rsid w:val="00E555EA"/>
    <w:rsid w:val="00E56175"/>
    <w:rsid w:val="00E57EBE"/>
    <w:rsid w:val="00E613B6"/>
    <w:rsid w:val="00E61425"/>
    <w:rsid w:val="00E6186A"/>
    <w:rsid w:val="00E62416"/>
    <w:rsid w:val="00E6289A"/>
    <w:rsid w:val="00E63F61"/>
    <w:rsid w:val="00E6403A"/>
    <w:rsid w:val="00E64343"/>
    <w:rsid w:val="00E6519D"/>
    <w:rsid w:val="00E655F4"/>
    <w:rsid w:val="00E65730"/>
    <w:rsid w:val="00E67611"/>
    <w:rsid w:val="00E67696"/>
    <w:rsid w:val="00E679B0"/>
    <w:rsid w:val="00E7195D"/>
    <w:rsid w:val="00E71A58"/>
    <w:rsid w:val="00E7263C"/>
    <w:rsid w:val="00E72A7A"/>
    <w:rsid w:val="00E730E1"/>
    <w:rsid w:val="00E73E6C"/>
    <w:rsid w:val="00E740C2"/>
    <w:rsid w:val="00E745AE"/>
    <w:rsid w:val="00E75C94"/>
    <w:rsid w:val="00E765D3"/>
    <w:rsid w:val="00E7699C"/>
    <w:rsid w:val="00E76D7A"/>
    <w:rsid w:val="00E77EE7"/>
    <w:rsid w:val="00E800A2"/>
    <w:rsid w:val="00E806B8"/>
    <w:rsid w:val="00E814CF"/>
    <w:rsid w:val="00E835E4"/>
    <w:rsid w:val="00E8731A"/>
    <w:rsid w:val="00E87F02"/>
    <w:rsid w:val="00E9007A"/>
    <w:rsid w:val="00E91461"/>
    <w:rsid w:val="00E91BAF"/>
    <w:rsid w:val="00E91FAA"/>
    <w:rsid w:val="00E92827"/>
    <w:rsid w:val="00E93820"/>
    <w:rsid w:val="00E948CC"/>
    <w:rsid w:val="00E95883"/>
    <w:rsid w:val="00E9671F"/>
    <w:rsid w:val="00E96A41"/>
    <w:rsid w:val="00EA09A4"/>
    <w:rsid w:val="00EA0C68"/>
    <w:rsid w:val="00EA0DC0"/>
    <w:rsid w:val="00EA0F16"/>
    <w:rsid w:val="00EA1AC5"/>
    <w:rsid w:val="00EA1FB2"/>
    <w:rsid w:val="00EA32BC"/>
    <w:rsid w:val="00EA35D8"/>
    <w:rsid w:val="00EA35EB"/>
    <w:rsid w:val="00EA3B4C"/>
    <w:rsid w:val="00EA53EA"/>
    <w:rsid w:val="00EB091A"/>
    <w:rsid w:val="00EB2471"/>
    <w:rsid w:val="00EB32B8"/>
    <w:rsid w:val="00EB35FF"/>
    <w:rsid w:val="00EB4511"/>
    <w:rsid w:val="00EB4A1C"/>
    <w:rsid w:val="00EB4E1E"/>
    <w:rsid w:val="00EB515A"/>
    <w:rsid w:val="00EB7EAD"/>
    <w:rsid w:val="00EC03D7"/>
    <w:rsid w:val="00EC1220"/>
    <w:rsid w:val="00EC14DF"/>
    <w:rsid w:val="00EC277B"/>
    <w:rsid w:val="00EC4E6F"/>
    <w:rsid w:val="00EC5F96"/>
    <w:rsid w:val="00EC666B"/>
    <w:rsid w:val="00ED2C99"/>
    <w:rsid w:val="00ED62C6"/>
    <w:rsid w:val="00ED64C1"/>
    <w:rsid w:val="00ED6D0C"/>
    <w:rsid w:val="00ED79AF"/>
    <w:rsid w:val="00EE09C9"/>
    <w:rsid w:val="00EE1C59"/>
    <w:rsid w:val="00EE21B8"/>
    <w:rsid w:val="00EE22A4"/>
    <w:rsid w:val="00EE32DC"/>
    <w:rsid w:val="00EE3446"/>
    <w:rsid w:val="00EE3E78"/>
    <w:rsid w:val="00EE4B1B"/>
    <w:rsid w:val="00EE5D67"/>
    <w:rsid w:val="00EE6CB8"/>
    <w:rsid w:val="00EF1455"/>
    <w:rsid w:val="00EF150D"/>
    <w:rsid w:val="00EF1BB4"/>
    <w:rsid w:val="00EF1F5A"/>
    <w:rsid w:val="00EF38A1"/>
    <w:rsid w:val="00EF47BF"/>
    <w:rsid w:val="00EF49F3"/>
    <w:rsid w:val="00EF49FE"/>
    <w:rsid w:val="00EF5F06"/>
    <w:rsid w:val="00EF6746"/>
    <w:rsid w:val="00EF6CC6"/>
    <w:rsid w:val="00F00C8A"/>
    <w:rsid w:val="00F0170B"/>
    <w:rsid w:val="00F018FD"/>
    <w:rsid w:val="00F01ECB"/>
    <w:rsid w:val="00F0211D"/>
    <w:rsid w:val="00F022F9"/>
    <w:rsid w:val="00F02CF5"/>
    <w:rsid w:val="00F03713"/>
    <w:rsid w:val="00F04285"/>
    <w:rsid w:val="00F04811"/>
    <w:rsid w:val="00F0488C"/>
    <w:rsid w:val="00F05F5E"/>
    <w:rsid w:val="00F062EE"/>
    <w:rsid w:val="00F06F3B"/>
    <w:rsid w:val="00F075BE"/>
    <w:rsid w:val="00F07CCC"/>
    <w:rsid w:val="00F10F11"/>
    <w:rsid w:val="00F11480"/>
    <w:rsid w:val="00F1265A"/>
    <w:rsid w:val="00F12F00"/>
    <w:rsid w:val="00F14D4C"/>
    <w:rsid w:val="00F156BE"/>
    <w:rsid w:val="00F15AAA"/>
    <w:rsid w:val="00F15BEF"/>
    <w:rsid w:val="00F17588"/>
    <w:rsid w:val="00F176F7"/>
    <w:rsid w:val="00F20251"/>
    <w:rsid w:val="00F20986"/>
    <w:rsid w:val="00F20F72"/>
    <w:rsid w:val="00F23DB0"/>
    <w:rsid w:val="00F24407"/>
    <w:rsid w:val="00F24626"/>
    <w:rsid w:val="00F24FAA"/>
    <w:rsid w:val="00F25CD1"/>
    <w:rsid w:val="00F25D37"/>
    <w:rsid w:val="00F269BC"/>
    <w:rsid w:val="00F2725D"/>
    <w:rsid w:val="00F273D0"/>
    <w:rsid w:val="00F311A7"/>
    <w:rsid w:val="00F323A3"/>
    <w:rsid w:val="00F327AA"/>
    <w:rsid w:val="00F32DE9"/>
    <w:rsid w:val="00F3364D"/>
    <w:rsid w:val="00F35DBA"/>
    <w:rsid w:val="00F368B6"/>
    <w:rsid w:val="00F371C1"/>
    <w:rsid w:val="00F40594"/>
    <w:rsid w:val="00F40DD1"/>
    <w:rsid w:val="00F41279"/>
    <w:rsid w:val="00F42CC1"/>
    <w:rsid w:val="00F42E31"/>
    <w:rsid w:val="00F42F12"/>
    <w:rsid w:val="00F4325A"/>
    <w:rsid w:val="00F4341D"/>
    <w:rsid w:val="00F437CC"/>
    <w:rsid w:val="00F449CD"/>
    <w:rsid w:val="00F45472"/>
    <w:rsid w:val="00F45C1D"/>
    <w:rsid w:val="00F46792"/>
    <w:rsid w:val="00F46EA8"/>
    <w:rsid w:val="00F47067"/>
    <w:rsid w:val="00F5018B"/>
    <w:rsid w:val="00F501A6"/>
    <w:rsid w:val="00F515CB"/>
    <w:rsid w:val="00F516B1"/>
    <w:rsid w:val="00F51EC0"/>
    <w:rsid w:val="00F5251A"/>
    <w:rsid w:val="00F525EB"/>
    <w:rsid w:val="00F527BD"/>
    <w:rsid w:val="00F52952"/>
    <w:rsid w:val="00F53BD9"/>
    <w:rsid w:val="00F540C6"/>
    <w:rsid w:val="00F5640A"/>
    <w:rsid w:val="00F5749E"/>
    <w:rsid w:val="00F60985"/>
    <w:rsid w:val="00F6109F"/>
    <w:rsid w:val="00F6133A"/>
    <w:rsid w:val="00F61DF1"/>
    <w:rsid w:val="00F621C3"/>
    <w:rsid w:val="00F6238A"/>
    <w:rsid w:val="00F62AD8"/>
    <w:rsid w:val="00F63DDE"/>
    <w:rsid w:val="00F63F46"/>
    <w:rsid w:val="00F63FB7"/>
    <w:rsid w:val="00F649B5"/>
    <w:rsid w:val="00F649D2"/>
    <w:rsid w:val="00F64B87"/>
    <w:rsid w:val="00F64E97"/>
    <w:rsid w:val="00F6505B"/>
    <w:rsid w:val="00F65853"/>
    <w:rsid w:val="00F659EB"/>
    <w:rsid w:val="00F6602B"/>
    <w:rsid w:val="00F66ABA"/>
    <w:rsid w:val="00F67737"/>
    <w:rsid w:val="00F7045B"/>
    <w:rsid w:val="00F715BF"/>
    <w:rsid w:val="00F7260E"/>
    <w:rsid w:val="00F72B45"/>
    <w:rsid w:val="00F72B48"/>
    <w:rsid w:val="00F737C3"/>
    <w:rsid w:val="00F739D7"/>
    <w:rsid w:val="00F73A0C"/>
    <w:rsid w:val="00F73A5D"/>
    <w:rsid w:val="00F73E71"/>
    <w:rsid w:val="00F74551"/>
    <w:rsid w:val="00F748EF"/>
    <w:rsid w:val="00F756DB"/>
    <w:rsid w:val="00F76C15"/>
    <w:rsid w:val="00F77300"/>
    <w:rsid w:val="00F77E3B"/>
    <w:rsid w:val="00F8053B"/>
    <w:rsid w:val="00F80A26"/>
    <w:rsid w:val="00F81888"/>
    <w:rsid w:val="00F826BA"/>
    <w:rsid w:val="00F8293A"/>
    <w:rsid w:val="00F8297C"/>
    <w:rsid w:val="00F85066"/>
    <w:rsid w:val="00F8597B"/>
    <w:rsid w:val="00F878C2"/>
    <w:rsid w:val="00F87D7B"/>
    <w:rsid w:val="00F906E8"/>
    <w:rsid w:val="00F9071A"/>
    <w:rsid w:val="00F90B23"/>
    <w:rsid w:val="00F90FA8"/>
    <w:rsid w:val="00F910A9"/>
    <w:rsid w:val="00F9151E"/>
    <w:rsid w:val="00F92269"/>
    <w:rsid w:val="00F94398"/>
    <w:rsid w:val="00F94436"/>
    <w:rsid w:val="00F95781"/>
    <w:rsid w:val="00F959B6"/>
    <w:rsid w:val="00F96D4A"/>
    <w:rsid w:val="00F977B3"/>
    <w:rsid w:val="00F97D0B"/>
    <w:rsid w:val="00FA0878"/>
    <w:rsid w:val="00FA0D30"/>
    <w:rsid w:val="00FA1E74"/>
    <w:rsid w:val="00FA2642"/>
    <w:rsid w:val="00FA2D8E"/>
    <w:rsid w:val="00FA3B19"/>
    <w:rsid w:val="00FA436A"/>
    <w:rsid w:val="00FA5D4D"/>
    <w:rsid w:val="00FA6210"/>
    <w:rsid w:val="00FA6C3F"/>
    <w:rsid w:val="00FA7982"/>
    <w:rsid w:val="00FB09FE"/>
    <w:rsid w:val="00FB0EE2"/>
    <w:rsid w:val="00FB3A35"/>
    <w:rsid w:val="00FB3CD0"/>
    <w:rsid w:val="00FB4E48"/>
    <w:rsid w:val="00FB542E"/>
    <w:rsid w:val="00FB5965"/>
    <w:rsid w:val="00FB7EE1"/>
    <w:rsid w:val="00FC09CD"/>
    <w:rsid w:val="00FC0E5F"/>
    <w:rsid w:val="00FC1A95"/>
    <w:rsid w:val="00FC2D9F"/>
    <w:rsid w:val="00FC358D"/>
    <w:rsid w:val="00FC4659"/>
    <w:rsid w:val="00FC494B"/>
    <w:rsid w:val="00FC4C80"/>
    <w:rsid w:val="00FC56DE"/>
    <w:rsid w:val="00FC684B"/>
    <w:rsid w:val="00FC6D8D"/>
    <w:rsid w:val="00FC7652"/>
    <w:rsid w:val="00FD0EBD"/>
    <w:rsid w:val="00FD1136"/>
    <w:rsid w:val="00FD3265"/>
    <w:rsid w:val="00FD3E96"/>
    <w:rsid w:val="00FD6DDD"/>
    <w:rsid w:val="00FD7AEC"/>
    <w:rsid w:val="00FE049D"/>
    <w:rsid w:val="00FE0CF2"/>
    <w:rsid w:val="00FE13BF"/>
    <w:rsid w:val="00FE1E9C"/>
    <w:rsid w:val="00FE2407"/>
    <w:rsid w:val="00FE247E"/>
    <w:rsid w:val="00FE251F"/>
    <w:rsid w:val="00FE26A1"/>
    <w:rsid w:val="00FE2F78"/>
    <w:rsid w:val="00FE31A5"/>
    <w:rsid w:val="00FE3526"/>
    <w:rsid w:val="00FE3BCF"/>
    <w:rsid w:val="00FE4C49"/>
    <w:rsid w:val="00FE54D3"/>
    <w:rsid w:val="00FE5AE6"/>
    <w:rsid w:val="00FF0024"/>
    <w:rsid w:val="00FF00AC"/>
    <w:rsid w:val="00FF1661"/>
    <w:rsid w:val="00FF1901"/>
    <w:rsid w:val="00FF2BDB"/>
    <w:rsid w:val="00FF308E"/>
    <w:rsid w:val="00FF3B8F"/>
    <w:rsid w:val="00FF53D3"/>
    <w:rsid w:val="00FF5E69"/>
    <w:rsid w:val="00FF6F77"/>
    <w:rsid w:val="00FF7B96"/>
    <w:rsid w:val="00FF7F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162A3085"/>
  <w15:docId w15:val="{CAA5458B-ABAA-4B41-8786-E189B519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4900FF"/>
    <w:pPr>
      <w:keepNext/>
      <w:keepLines/>
      <w:spacing w:after="100" w:line="288" w:lineRule="auto"/>
      <w:contextualSpacing/>
      <w:outlineLvl w:val="0"/>
    </w:pPr>
    <w:rPr>
      <w:rFonts w:ascii="Arial" w:eastAsia="MS Gothic" w:hAnsi="Arial"/>
      <w:b/>
      <w:bCs/>
      <w:color w:val="C00000"/>
      <w:sz w:val="32"/>
      <w:szCs w:val="28"/>
      <w:lang w:eastAsia="cs-CZ"/>
    </w:rPr>
  </w:style>
  <w:style w:type="paragraph" w:styleId="Nadpis2">
    <w:name w:val="heading 2"/>
    <w:next w:val="Normln"/>
    <w:link w:val="Nadpis2Char"/>
    <w:uiPriority w:val="9"/>
    <w:qFormat/>
    <w:rsid w:val="004900FF"/>
    <w:pPr>
      <w:keepNext/>
      <w:keepLines/>
      <w:spacing w:line="288" w:lineRule="auto"/>
      <w:outlineLvl w:val="1"/>
    </w:pPr>
    <w:rPr>
      <w:rFonts w:ascii="Arial" w:eastAsia="MS Gothic" w:hAnsi="Arial"/>
      <w:b/>
      <w:bCs/>
      <w:color w:val="BC091B"/>
      <w:sz w:val="28"/>
      <w:szCs w:val="26"/>
      <w:lang w:eastAsia="cs-CZ"/>
    </w:rPr>
  </w:style>
  <w:style w:type="paragraph" w:styleId="Nadpis3">
    <w:name w:val="heading 3"/>
    <w:next w:val="Normln"/>
    <w:link w:val="Nadpis3Char"/>
    <w:uiPriority w:val="9"/>
    <w:qFormat/>
    <w:rsid w:val="004900FF"/>
    <w:pPr>
      <w:keepNext/>
      <w:keepLines/>
      <w:spacing w:line="288" w:lineRule="auto"/>
      <w:outlineLvl w:val="2"/>
    </w:pPr>
    <w:rPr>
      <w:rFonts w:ascii="Arial" w:eastAsia="MS Gothic" w:hAnsi="Arial"/>
      <w:b/>
      <w:bCs/>
      <w:color w:val="BC091B"/>
      <w:sz w:val="24"/>
      <w:szCs w:val="24"/>
      <w:lang w:eastAsia="cs-CZ"/>
    </w:rPr>
  </w:style>
  <w:style w:type="paragraph" w:styleId="Nadpis4">
    <w:name w:val="heading 4"/>
    <w:next w:val="Normln"/>
    <w:link w:val="Nadpis4Char"/>
    <w:uiPriority w:val="9"/>
    <w:qFormat/>
    <w:rsid w:val="004900FF"/>
    <w:pPr>
      <w:keepNext/>
      <w:keepLines/>
      <w:spacing w:line="288" w:lineRule="auto"/>
      <w:outlineLvl w:val="3"/>
    </w:pPr>
    <w:rPr>
      <w:rFonts w:ascii="Arial" w:eastAsia="MS Gothic" w:hAnsi="Arial"/>
      <w:b/>
      <w:bCs/>
      <w:iCs/>
      <w:color w:val="BC091B"/>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FF"/>
    <w:rPr>
      <w:rFonts w:ascii="Arial" w:eastAsia="MS Gothic" w:hAnsi="Arial"/>
      <w:b/>
      <w:bCs/>
      <w:color w:val="C00000"/>
      <w:sz w:val="32"/>
      <w:szCs w:val="28"/>
    </w:rPr>
  </w:style>
  <w:style w:type="character" w:customStyle="1" w:styleId="Nadpis2Char">
    <w:name w:val="Nadpis 2 Char"/>
    <w:link w:val="Nadpis2"/>
    <w:uiPriority w:val="9"/>
    <w:rsid w:val="004900FF"/>
    <w:rPr>
      <w:rFonts w:ascii="Arial" w:eastAsia="MS Gothic" w:hAnsi="Arial"/>
      <w:b/>
      <w:bCs/>
      <w:color w:val="BC091B"/>
      <w:sz w:val="28"/>
      <w:szCs w:val="26"/>
    </w:rPr>
  </w:style>
  <w:style w:type="character" w:customStyle="1" w:styleId="Nadpis3Char">
    <w:name w:val="Nadpis 3 Char"/>
    <w:link w:val="Nadpis3"/>
    <w:uiPriority w:val="9"/>
    <w:rsid w:val="004900FF"/>
    <w:rPr>
      <w:rFonts w:ascii="Arial" w:eastAsia="MS Gothic" w:hAnsi="Arial"/>
      <w:b/>
      <w:bCs/>
      <w:color w:val="BC091B"/>
      <w:sz w:val="24"/>
      <w:szCs w:val="24"/>
    </w:rPr>
  </w:style>
  <w:style w:type="character" w:customStyle="1" w:styleId="Nadpis4Char">
    <w:name w:val="Nadpis 4 Char"/>
    <w:link w:val="Nadpis4"/>
    <w:uiPriority w:val="9"/>
    <w:rsid w:val="004900FF"/>
    <w:rPr>
      <w:rFonts w:ascii="Arial" w:eastAsia="MS Gothic" w:hAnsi="Arial"/>
      <w:b/>
      <w:bCs/>
      <w:iCs/>
      <w:color w:val="BC091B"/>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lang w:eastAsia="cs-CZ"/>
    </w:rPr>
  </w:style>
  <w:style w:type="paragraph" w:customStyle="1" w:styleId="Box2">
    <w:name w:val="Box 2"/>
    <w:qFormat/>
    <w:rsid w:val="004900FF"/>
    <w:pPr>
      <w:spacing w:before="240" w:after="240" w:line="288" w:lineRule="auto"/>
      <w:ind w:left="709"/>
      <w:contextualSpacing/>
    </w:pPr>
    <w:rPr>
      <w:rFonts w:ascii="Arial" w:hAnsi="Arial" w:cs="Arial"/>
      <w:color w:val="BC091B"/>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lang w:eastAsia="cs-CZ"/>
    </w:rPr>
  </w:style>
  <w:style w:type="character" w:customStyle="1" w:styleId="NzevChar">
    <w:name w:val="Název Char"/>
    <w:link w:val="Nzev"/>
    <w:uiPriority w:val="10"/>
    <w:rsid w:val="004900FF"/>
    <w:rPr>
      <w:rFonts w:ascii="Arial" w:eastAsia="Times New Roman" w:hAnsi="Arial"/>
      <w:b/>
      <w:bCs/>
      <w:caps/>
      <w:color w:val="BC091B"/>
      <w:kern w:val="28"/>
      <w:sz w:val="56"/>
      <w:szCs w:val="32"/>
    </w:rPr>
  </w:style>
  <w:style w:type="paragraph" w:styleId="Podnadpis">
    <w:name w:val="Subtitle"/>
    <w:link w:val="PodnadpisChar"/>
    <w:uiPriority w:val="11"/>
    <w:qFormat/>
    <w:rsid w:val="004900FF"/>
    <w:pPr>
      <w:spacing w:line="288" w:lineRule="auto"/>
    </w:pPr>
    <w:rPr>
      <w:rFonts w:ascii="Arial" w:eastAsia="Times New Roman" w:hAnsi="Arial" w:cs="Arial"/>
      <w:b/>
      <w:color w:val="BC091B"/>
      <w:sz w:val="28"/>
      <w:szCs w:val="24"/>
      <w:lang w:eastAsia="cs-CZ"/>
    </w:rPr>
  </w:style>
  <w:style w:type="character" w:customStyle="1" w:styleId="PodnadpisChar">
    <w:name w:val="Podnadpis Char"/>
    <w:link w:val="Podnadpis"/>
    <w:uiPriority w:val="11"/>
    <w:rsid w:val="004900FF"/>
    <w:rPr>
      <w:rFonts w:ascii="Arial" w:eastAsia="Times New Roman" w:hAnsi="Arial" w:cs="Arial"/>
      <w:b/>
      <w:color w:val="BC091B"/>
      <w:sz w:val="28"/>
      <w:szCs w:val="24"/>
    </w:rPr>
  </w:style>
  <w:style w:type="paragraph" w:styleId="Obsah2">
    <w:name w:val="toc 2"/>
    <w:basedOn w:val="Obsahpoloky"/>
    <w:next w:val="Obsahpoloky"/>
    <w:autoRedefine/>
    <w:uiPriority w:val="39"/>
    <w:unhideWhenUsed/>
    <w:rsid w:val="00412F23"/>
    <w:pPr>
      <w:ind w:left="170"/>
    </w:pPr>
  </w:style>
  <w:style w:type="paragraph" w:styleId="Obsah3">
    <w:name w:val="toc 3"/>
    <w:basedOn w:val="Obsahpoloky"/>
    <w:next w:val="Obsahpoloky"/>
    <w:autoRedefine/>
    <w:uiPriority w:val="39"/>
    <w:unhideWhenUsed/>
    <w:rsid w:val="00412F23"/>
    <w:pPr>
      <w:ind w:left="34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styleId="Odkaznakoment">
    <w:name w:val="annotation reference"/>
    <w:basedOn w:val="Standardnpsmoodstavce"/>
    <w:uiPriority w:val="99"/>
    <w:semiHidden/>
    <w:unhideWhenUsed/>
    <w:rsid w:val="0089159B"/>
    <w:rPr>
      <w:sz w:val="16"/>
      <w:szCs w:val="16"/>
    </w:rPr>
  </w:style>
  <w:style w:type="paragraph" w:styleId="Textkomente">
    <w:name w:val="annotation text"/>
    <w:basedOn w:val="Normln"/>
    <w:link w:val="TextkomenteChar"/>
    <w:uiPriority w:val="99"/>
    <w:semiHidden/>
    <w:unhideWhenUsed/>
    <w:rsid w:val="0089159B"/>
    <w:pPr>
      <w:spacing w:line="240" w:lineRule="auto"/>
    </w:pPr>
    <w:rPr>
      <w:szCs w:val="20"/>
    </w:rPr>
  </w:style>
  <w:style w:type="character" w:customStyle="1" w:styleId="TextkomenteChar">
    <w:name w:val="Text komentáře Char"/>
    <w:basedOn w:val="Standardnpsmoodstavce"/>
    <w:link w:val="Textkomente"/>
    <w:uiPriority w:val="99"/>
    <w:semiHidden/>
    <w:rsid w:val="0089159B"/>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89159B"/>
    <w:rPr>
      <w:b/>
      <w:bCs/>
    </w:rPr>
  </w:style>
  <w:style w:type="character" w:customStyle="1" w:styleId="PedmtkomenteChar">
    <w:name w:val="Předmět komentáře Char"/>
    <w:basedOn w:val="TextkomenteChar"/>
    <w:link w:val="Pedmtkomente"/>
    <w:uiPriority w:val="99"/>
    <w:semiHidden/>
    <w:rsid w:val="0089159B"/>
    <w:rPr>
      <w:rFonts w:ascii="Arial" w:eastAsia="Times New Roman" w:hAnsi="Arial"/>
      <w:b/>
      <w:bCs/>
      <w:lang w:eastAsia="cs-CZ"/>
    </w:rPr>
  </w:style>
  <w:style w:type="character" w:styleId="Znakapoznpodarou">
    <w:name w:val="footnote reference"/>
    <w:uiPriority w:val="99"/>
    <w:rsid w:val="00A82D93"/>
    <w:rPr>
      <w:vertAlign w:val="superscript"/>
    </w:rPr>
  </w:style>
  <w:style w:type="paragraph" w:styleId="Odstavecseseznamem">
    <w:name w:val="List Paragraph"/>
    <w:basedOn w:val="Normln"/>
    <w:uiPriority w:val="99"/>
    <w:qFormat/>
    <w:rsid w:val="00A82D93"/>
    <w:pPr>
      <w:suppressAutoHyphens/>
      <w:spacing w:before="280" w:after="280" w:line="240" w:lineRule="auto"/>
      <w:ind w:left="720"/>
    </w:pPr>
    <w:rPr>
      <w:rFonts w:ascii="Times New Roman" w:hAnsi="Times New Roman"/>
      <w:sz w:val="24"/>
      <w:lang w:eastAsia="ar-SA"/>
    </w:rPr>
  </w:style>
  <w:style w:type="paragraph" w:styleId="Textpoznpodarou">
    <w:name w:val="footnote text"/>
    <w:basedOn w:val="Normln"/>
    <w:link w:val="TextpoznpodarouChar"/>
    <w:uiPriority w:val="99"/>
    <w:semiHidden/>
    <w:rsid w:val="00A82D93"/>
    <w:pPr>
      <w:spacing w:after="0"/>
    </w:pPr>
    <w:rPr>
      <w:szCs w:val="20"/>
    </w:rPr>
  </w:style>
  <w:style w:type="character" w:customStyle="1" w:styleId="TextpoznpodarouChar">
    <w:name w:val="Text pozn. pod čarou Char"/>
    <w:basedOn w:val="Standardnpsmoodstavce"/>
    <w:link w:val="Textpoznpodarou"/>
    <w:uiPriority w:val="99"/>
    <w:semiHidden/>
    <w:rsid w:val="00A82D93"/>
    <w:rPr>
      <w:rFonts w:ascii="Arial" w:eastAsia="Times New Roman" w:hAnsi="Arial"/>
      <w:lang w:eastAsia="cs-CZ"/>
    </w:rPr>
  </w:style>
  <w:style w:type="character" w:styleId="Sledovanodkaz">
    <w:name w:val="FollowedHyperlink"/>
    <w:basedOn w:val="Standardnpsmoodstavce"/>
    <w:uiPriority w:val="99"/>
    <w:semiHidden/>
    <w:unhideWhenUsed/>
    <w:rsid w:val="00494E37"/>
    <w:rPr>
      <w:color w:val="800080" w:themeColor="followedHyperlink"/>
      <w:u w:val="single"/>
    </w:rPr>
  </w:style>
  <w:style w:type="paragraph" w:styleId="Zkladntextodsazen">
    <w:name w:val="Body Text Indent"/>
    <w:basedOn w:val="Normln"/>
    <w:link w:val="ZkladntextodsazenChar"/>
    <w:uiPriority w:val="99"/>
    <w:rsid w:val="008E657B"/>
    <w:pPr>
      <w:spacing w:after="0" w:line="240" w:lineRule="auto"/>
      <w:ind w:left="360"/>
    </w:pPr>
    <w:rPr>
      <w:szCs w:val="20"/>
    </w:rPr>
  </w:style>
  <w:style w:type="character" w:customStyle="1" w:styleId="ZkladntextodsazenChar">
    <w:name w:val="Základní text odsazený Char"/>
    <w:basedOn w:val="Standardnpsmoodstavce"/>
    <w:link w:val="Zkladntextodsazen"/>
    <w:uiPriority w:val="99"/>
    <w:rsid w:val="008E657B"/>
    <w:rPr>
      <w:rFonts w:ascii="Arial" w:eastAsia="Times New Roman" w:hAnsi="Arial"/>
      <w:lang w:eastAsia="cs-CZ"/>
    </w:rPr>
  </w:style>
  <w:style w:type="paragraph" w:styleId="Normlnweb">
    <w:name w:val="Normal (Web)"/>
    <w:basedOn w:val="Normln"/>
    <w:uiPriority w:val="99"/>
    <w:unhideWhenUsed/>
    <w:rsid w:val="003E2CA0"/>
    <w:pPr>
      <w:spacing w:before="100" w:beforeAutospacing="1" w:after="100" w:afterAutospacing="1" w:line="240" w:lineRule="auto"/>
    </w:pPr>
    <w:rPr>
      <w:rFonts w:ascii="Times New Roman" w:hAnsi="Times New Roman"/>
      <w:sz w:val="24"/>
    </w:rPr>
  </w:style>
  <w:style w:type="character" w:customStyle="1" w:styleId="input-std">
    <w:name w:val="input-std"/>
    <w:basedOn w:val="Standardnpsmoodstavce"/>
    <w:rsid w:val="002F3B4C"/>
  </w:style>
  <w:style w:type="paragraph" w:customStyle="1" w:styleId="Default">
    <w:name w:val="Default"/>
    <w:rsid w:val="001C3015"/>
    <w:pPr>
      <w:autoSpaceDE w:val="0"/>
      <w:autoSpaceDN w:val="0"/>
      <w:adjustRightInd w:val="0"/>
    </w:pPr>
    <w:rPr>
      <w:rFonts w:ascii="Arial" w:hAnsi="Arial" w:cs="Arial"/>
      <w:color w:val="000000"/>
      <w:sz w:val="24"/>
      <w:szCs w:val="24"/>
    </w:rPr>
  </w:style>
  <w:style w:type="paragraph" w:styleId="Revize">
    <w:name w:val="Revision"/>
    <w:hidden/>
    <w:uiPriority w:val="99"/>
    <w:semiHidden/>
    <w:rsid w:val="00F1265A"/>
    <w:rPr>
      <w:rFonts w:ascii="Arial" w:eastAsia="Times New Roman" w:hAnsi="Arial"/>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37314992">
      <w:bodyDiv w:val="1"/>
      <w:marLeft w:val="0"/>
      <w:marRight w:val="0"/>
      <w:marTop w:val="0"/>
      <w:marBottom w:val="0"/>
      <w:divBdr>
        <w:top w:val="none" w:sz="0" w:space="0" w:color="auto"/>
        <w:left w:val="none" w:sz="0" w:space="0" w:color="auto"/>
        <w:bottom w:val="none" w:sz="0" w:space="0" w:color="auto"/>
        <w:right w:val="none" w:sz="0" w:space="0" w:color="auto"/>
      </w:divBdr>
    </w:div>
    <w:div w:id="64838206">
      <w:bodyDiv w:val="1"/>
      <w:marLeft w:val="0"/>
      <w:marRight w:val="0"/>
      <w:marTop w:val="0"/>
      <w:marBottom w:val="0"/>
      <w:divBdr>
        <w:top w:val="none" w:sz="0" w:space="0" w:color="auto"/>
        <w:left w:val="none" w:sz="0" w:space="0" w:color="auto"/>
        <w:bottom w:val="none" w:sz="0" w:space="0" w:color="auto"/>
        <w:right w:val="none" w:sz="0" w:space="0" w:color="auto"/>
      </w:divBdr>
    </w:div>
    <w:div w:id="91627299">
      <w:bodyDiv w:val="1"/>
      <w:marLeft w:val="0"/>
      <w:marRight w:val="0"/>
      <w:marTop w:val="0"/>
      <w:marBottom w:val="0"/>
      <w:divBdr>
        <w:top w:val="none" w:sz="0" w:space="0" w:color="auto"/>
        <w:left w:val="none" w:sz="0" w:space="0" w:color="auto"/>
        <w:bottom w:val="none" w:sz="0" w:space="0" w:color="auto"/>
        <w:right w:val="none" w:sz="0" w:space="0" w:color="auto"/>
      </w:divBdr>
    </w:div>
    <w:div w:id="95562307">
      <w:bodyDiv w:val="1"/>
      <w:marLeft w:val="0"/>
      <w:marRight w:val="0"/>
      <w:marTop w:val="0"/>
      <w:marBottom w:val="0"/>
      <w:divBdr>
        <w:top w:val="none" w:sz="0" w:space="0" w:color="auto"/>
        <w:left w:val="none" w:sz="0" w:space="0" w:color="auto"/>
        <w:bottom w:val="none" w:sz="0" w:space="0" w:color="auto"/>
        <w:right w:val="none" w:sz="0" w:space="0" w:color="auto"/>
      </w:divBdr>
      <w:divsChild>
        <w:div w:id="863444442">
          <w:marLeft w:val="0"/>
          <w:marRight w:val="0"/>
          <w:marTop w:val="0"/>
          <w:marBottom w:val="0"/>
          <w:divBdr>
            <w:top w:val="none" w:sz="0" w:space="0" w:color="auto"/>
            <w:left w:val="none" w:sz="0" w:space="0" w:color="auto"/>
            <w:bottom w:val="none" w:sz="0" w:space="0" w:color="auto"/>
            <w:right w:val="none" w:sz="0" w:space="0" w:color="auto"/>
          </w:divBdr>
        </w:div>
        <w:div w:id="1098452719">
          <w:marLeft w:val="0"/>
          <w:marRight w:val="0"/>
          <w:marTop w:val="0"/>
          <w:marBottom w:val="0"/>
          <w:divBdr>
            <w:top w:val="none" w:sz="0" w:space="0" w:color="auto"/>
            <w:left w:val="none" w:sz="0" w:space="0" w:color="auto"/>
            <w:bottom w:val="none" w:sz="0" w:space="0" w:color="auto"/>
            <w:right w:val="none" w:sz="0" w:space="0" w:color="auto"/>
          </w:divBdr>
        </w:div>
        <w:div w:id="2076663688">
          <w:marLeft w:val="0"/>
          <w:marRight w:val="0"/>
          <w:marTop w:val="0"/>
          <w:marBottom w:val="0"/>
          <w:divBdr>
            <w:top w:val="none" w:sz="0" w:space="0" w:color="auto"/>
            <w:left w:val="none" w:sz="0" w:space="0" w:color="auto"/>
            <w:bottom w:val="none" w:sz="0" w:space="0" w:color="auto"/>
            <w:right w:val="none" w:sz="0" w:space="0" w:color="auto"/>
          </w:divBdr>
        </w:div>
        <w:div w:id="228157269">
          <w:marLeft w:val="0"/>
          <w:marRight w:val="0"/>
          <w:marTop w:val="0"/>
          <w:marBottom w:val="0"/>
          <w:divBdr>
            <w:top w:val="none" w:sz="0" w:space="0" w:color="auto"/>
            <w:left w:val="none" w:sz="0" w:space="0" w:color="auto"/>
            <w:bottom w:val="none" w:sz="0" w:space="0" w:color="auto"/>
            <w:right w:val="none" w:sz="0" w:space="0" w:color="auto"/>
          </w:divBdr>
        </w:div>
        <w:div w:id="1002973247">
          <w:marLeft w:val="0"/>
          <w:marRight w:val="0"/>
          <w:marTop w:val="0"/>
          <w:marBottom w:val="0"/>
          <w:divBdr>
            <w:top w:val="none" w:sz="0" w:space="0" w:color="auto"/>
            <w:left w:val="none" w:sz="0" w:space="0" w:color="auto"/>
            <w:bottom w:val="none" w:sz="0" w:space="0" w:color="auto"/>
            <w:right w:val="none" w:sz="0" w:space="0" w:color="auto"/>
          </w:divBdr>
        </w:div>
        <w:div w:id="492377890">
          <w:marLeft w:val="0"/>
          <w:marRight w:val="0"/>
          <w:marTop w:val="0"/>
          <w:marBottom w:val="0"/>
          <w:divBdr>
            <w:top w:val="none" w:sz="0" w:space="0" w:color="auto"/>
            <w:left w:val="none" w:sz="0" w:space="0" w:color="auto"/>
            <w:bottom w:val="none" w:sz="0" w:space="0" w:color="auto"/>
            <w:right w:val="none" w:sz="0" w:space="0" w:color="auto"/>
          </w:divBdr>
        </w:div>
        <w:div w:id="175119462">
          <w:marLeft w:val="0"/>
          <w:marRight w:val="0"/>
          <w:marTop w:val="0"/>
          <w:marBottom w:val="0"/>
          <w:divBdr>
            <w:top w:val="none" w:sz="0" w:space="0" w:color="auto"/>
            <w:left w:val="none" w:sz="0" w:space="0" w:color="auto"/>
            <w:bottom w:val="none" w:sz="0" w:space="0" w:color="auto"/>
            <w:right w:val="none" w:sz="0" w:space="0" w:color="auto"/>
          </w:divBdr>
        </w:div>
      </w:divsChild>
    </w:div>
    <w:div w:id="122618438">
      <w:bodyDiv w:val="1"/>
      <w:marLeft w:val="0"/>
      <w:marRight w:val="0"/>
      <w:marTop w:val="0"/>
      <w:marBottom w:val="0"/>
      <w:divBdr>
        <w:top w:val="none" w:sz="0" w:space="0" w:color="auto"/>
        <w:left w:val="none" w:sz="0" w:space="0" w:color="auto"/>
        <w:bottom w:val="none" w:sz="0" w:space="0" w:color="auto"/>
        <w:right w:val="none" w:sz="0" w:space="0" w:color="auto"/>
      </w:divBdr>
    </w:div>
    <w:div w:id="128524121">
      <w:bodyDiv w:val="1"/>
      <w:marLeft w:val="0"/>
      <w:marRight w:val="0"/>
      <w:marTop w:val="0"/>
      <w:marBottom w:val="0"/>
      <w:divBdr>
        <w:top w:val="none" w:sz="0" w:space="0" w:color="auto"/>
        <w:left w:val="none" w:sz="0" w:space="0" w:color="auto"/>
        <w:bottom w:val="none" w:sz="0" w:space="0" w:color="auto"/>
        <w:right w:val="none" w:sz="0" w:space="0" w:color="auto"/>
      </w:divBdr>
    </w:div>
    <w:div w:id="156506043">
      <w:bodyDiv w:val="1"/>
      <w:marLeft w:val="0"/>
      <w:marRight w:val="0"/>
      <w:marTop w:val="0"/>
      <w:marBottom w:val="0"/>
      <w:divBdr>
        <w:top w:val="none" w:sz="0" w:space="0" w:color="auto"/>
        <w:left w:val="none" w:sz="0" w:space="0" w:color="auto"/>
        <w:bottom w:val="none" w:sz="0" w:space="0" w:color="auto"/>
        <w:right w:val="none" w:sz="0" w:space="0" w:color="auto"/>
      </w:divBdr>
    </w:div>
    <w:div w:id="161551492">
      <w:bodyDiv w:val="1"/>
      <w:marLeft w:val="0"/>
      <w:marRight w:val="0"/>
      <w:marTop w:val="0"/>
      <w:marBottom w:val="0"/>
      <w:divBdr>
        <w:top w:val="none" w:sz="0" w:space="0" w:color="auto"/>
        <w:left w:val="none" w:sz="0" w:space="0" w:color="auto"/>
        <w:bottom w:val="none" w:sz="0" w:space="0" w:color="auto"/>
        <w:right w:val="none" w:sz="0" w:space="0" w:color="auto"/>
      </w:divBdr>
    </w:div>
    <w:div w:id="170070272">
      <w:bodyDiv w:val="1"/>
      <w:marLeft w:val="0"/>
      <w:marRight w:val="0"/>
      <w:marTop w:val="0"/>
      <w:marBottom w:val="0"/>
      <w:divBdr>
        <w:top w:val="none" w:sz="0" w:space="0" w:color="auto"/>
        <w:left w:val="none" w:sz="0" w:space="0" w:color="auto"/>
        <w:bottom w:val="none" w:sz="0" w:space="0" w:color="auto"/>
        <w:right w:val="none" w:sz="0" w:space="0" w:color="auto"/>
      </w:divBdr>
    </w:div>
    <w:div w:id="170217429">
      <w:bodyDiv w:val="1"/>
      <w:marLeft w:val="0"/>
      <w:marRight w:val="0"/>
      <w:marTop w:val="0"/>
      <w:marBottom w:val="0"/>
      <w:divBdr>
        <w:top w:val="none" w:sz="0" w:space="0" w:color="auto"/>
        <w:left w:val="none" w:sz="0" w:space="0" w:color="auto"/>
        <w:bottom w:val="none" w:sz="0" w:space="0" w:color="auto"/>
        <w:right w:val="none" w:sz="0" w:space="0" w:color="auto"/>
      </w:divBdr>
    </w:div>
    <w:div w:id="170950127">
      <w:bodyDiv w:val="1"/>
      <w:marLeft w:val="0"/>
      <w:marRight w:val="0"/>
      <w:marTop w:val="0"/>
      <w:marBottom w:val="0"/>
      <w:divBdr>
        <w:top w:val="none" w:sz="0" w:space="0" w:color="auto"/>
        <w:left w:val="none" w:sz="0" w:space="0" w:color="auto"/>
        <w:bottom w:val="none" w:sz="0" w:space="0" w:color="auto"/>
        <w:right w:val="none" w:sz="0" w:space="0" w:color="auto"/>
      </w:divBdr>
    </w:div>
    <w:div w:id="196747102">
      <w:bodyDiv w:val="1"/>
      <w:marLeft w:val="0"/>
      <w:marRight w:val="0"/>
      <w:marTop w:val="0"/>
      <w:marBottom w:val="0"/>
      <w:divBdr>
        <w:top w:val="none" w:sz="0" w:space="0" w:color="auto"/>
        <w:left w:val="none" w:sz="0" w:space="0" w:color="auto"/>
        <w:bottom w:val="none" w:sz="0" w:space="0" w:color="auto"/>
        <w:right w:val="none" w:sz="0" w:space="0" w:color="auto"/>
      </w:divBdr>
    </w:div>
    <w:div w:id="207424309">
      <w:bodyDiv w:val="1"/>
      <w:marLeft w:val="0"/>
      <w:marRight w:val="0"/>
      <w:marTop w:val="0"/>
      <w:marBottom w:val="0"/>
      <w:divBdr>
        <w:top w:val="none" w:sz="0" w:space="0" w:color="auto"/>
        <w:left w:val="none" w:sz="0" w:space="0" w:color="auto"/>
        <w:bottom w:val="none" w:sz="0" w:space="0" w:color="auto"/>
        <w:right w:val="none" w:sz="0" w:space="0" w:color="auto"/>
      </w:divBdr>
    </w:div>
    <w:div w:id="239145239">
      <w:bodyDiv w:val="1"/>
      <w:marLeft w:val="0"/>
      <w:marRight w:val="0"/>
      <w:marTop w:val="0"/>
      <w:marBottom w:val="0"/>
      <w:divBdr>
        <w:top w:val="none" w:sz="0" w:space="0" w:color="auto"/>
        <w:left w:val="none" w:sz="0" w:space="0" w:color="auto"/>
        <w:bottom w:val="none" w:sz="0" w:space="0" w:color="auto"/>
        <w:right w:val="none" w:sz="0" w:space="0" w:color="auto"/>
      </w:divBdr>
    </w:div>
    <w:div w:id="248194766">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283998286">
      <w:bodyDiv w:val="1"/>
      <w:marLeft w:val="0"/>
      <w:marRight w:val="0"/>
      <w:marTop w:val="0"/>
      <w:marBottom w:val="0"/>
      <w:divBdr>
        <w:top w:val="none" w:sz="0" w:space="0" w:color="auto"/>
        <w:left w:val="none" w:sz="0" w:space="0" w:color="auto"/>
        <w:bottom w:val="none" w:sz="0" w:space="0" w:color="auto"/>
        <w:right w:val="none" w:sz="0" w:space="0" w:color="auto"/>
      </w:divBdr>
    </w:div>
    <w:div w:id="307327012">
      <w:bodyDiv w:val="1"/>
      <w:marLeft w:val="0"/>
      <w:marRight w:val="0"/>
      <w:marTop w:val="0"/>
      <w:marBottom w:val="0"/>
      <w:divBdr>
        <w:top w:val="none" w:sz="0" w:space="0" w:color="auto"/>
        <w:left w:val="none" w:sz="0" w:space="0" w:color="auto"/>
        <w:bottom w:val="none" w:sz="0" w:space="0" w:color="auto"/>
        <w:right w:val="none" w:sz="0" w:space="0" w:color="auto"/>
      </w:divBdr>
    </w:div>
    <w:div w:id="307906955">
      <w:bodyDiv w:val="1"/>
      <w:marLeft w:val="0"/>
      <w:marRight w:val="0"/>
      <w:marTop w:val="0"/>
      <w:marBottom w:val="0"/>
      <w:divBdr>
        <w:top w:val="none" w:sz="0" w:space="0" w:color="auto"/>
        <w:left w:val="none" w:sz="0" w:space="0" w:color="auto"/>
        <w:bottom w:val="none" w:sz="0" w:space="0" w:color="auto"/>
        <w:right w:val="none" w:sz="0" w:space="0" w:color="auto"/>
      </w:divBdr>
    </w:div>
    <w:div w:id="315959004">
      <w:bodyDiv w:val="1"/>
      <w:marLeft w:val="0"/>
      <w:marRight w:val="0"/>
      <w:marTop w:val="0"/>
      <w:marBottom w:val="0"/>
      <w:divBdr>
        <w:top w:val="none" w:sz="0" w:space="0" w:color="auto"/>
        <w:left w:val="none" w:sz="0" w:space="0" w:color="auto"/>
        <w:bottom w:val="none" w:sz="0" w:space="0" w:color="auto"/>
        <w:right w:val="none" w:sz="0" w:space="0" w:color="auto"/>
      </w:divBdr>
    </w:div>
    <w:div w:id="327443108">
      <w:bodyDiv w:val="1"/>
      <w:marLeft w:val="0"/>
      <w:marRight w:val="0"/>
      <w:marTop w:val="0"/>
      <w:marBottom w:val="0"/>
      <w:divBdr>
        <w:top w:val="none" w:sz="0" w:space="0" w:color="auto"/>
        <w:left w:val="none" w:sz="0" w:space="0" w:color="auto"/>
        <w:bottom w:val="none" w:sz="0" w:space="0" w:color="auto"/>
        <w:right w:val="none" w:sz="0" w:space="0" w:color="auto"/>
      </w:divBdr>
    </w:div>
    <w:div w:id="337922816">
      <w:bodyDiv w:val="1"/>
      <w:marLeft w:val="0"/>
      <w:marRight w:val="0"/>
      <w:marTop w:val="0"/>
      <w:marBottom w:val="0"/>
      <w:divBdr>
        <w:top w:val="none" w:sz="0" w:space="0" w:color="auto"/>
        <w:left w:val="none" w:sz="0" w:space="0" w:color="auto"/>
        <w:bottom w:val="none" w:sz="0" w:space="0" w:color="auto"/>
        <w:right w:val="none" w:sz="0" w:space="0" w:color="auto"/>
      </w:divBdr>
      <w:divsChild>
        <w:div w:id="1510213356">
          <w:marLeft w:val="0"/>
          <w:marRight w:val="0"/>
          <w:marTop w:val="0"/>
          <w:marBottom w:val="0"/>
          <w:divBdr>
            <w:top w:val="none" w:sz="0" w:space="0" w:color="auto"/>
            <w:left w:val="none" w:sz="0" w:space="0" w:color="auto"/>
            <w:bottom w:val="none" w:sz="0" w:space="0" w:color="auto"/>
            <w:right w:val="none" w:sz="0" w:space="0" w:color="auto"/>
          </w:divBdr>
        </w:div>
        <w:div w:id="603268121">
          <w:marLeft w:val="0"/>
          <w:marRight w:val="0"/>
          <w:marTop w:val="0"/>
          <w:marBottom w:val="0"/>
          <w:divBdr>
            <w:top w:val="none" w:sz="0" w:space="0" w:color="auto"/>
            <w:left w:val="none" w:sz="0" w:space="0" w:color="auto"/>
            <w:bottom w:val="none" w:sz="0" w:space="0" w:color="auto"/>
            <w:right w:val="none" w:sz="0" w:space="0" w:color="auto"/>
          </w:divBdr>
        </w:div>
        <w:div w:id="1617173120">
          <w:marLeft w:val="0"/>
          <w:marRight w:val="0"/>
          <w:marTop w:val="0"/>
          <w:marBottom w:val="0"/>
          <w:divBdr>
            <w:top w:val="none" w:sz="0" w:space="0" w:color="auto"/>
            <w:left w:val="none" w:sz="0" w:space="0" w:color="auto"/>
            <w:bottom w:val="none" w:sz="0" w:space="0" w:color="auto"/>
            <w:right w:val="none" w:sz="0" w:space="0" w:color="auto"/>
          </w:divBdr>
        </w:div>
        <w:div w:id="651101726">
          <w:marLeft w:val="0"/>
          <w:marRight w:val="0"/>
          <w:marTop w:val="0"/>
          <w:marBottom w:val="0"/>
          <w:divBdr>
            <w:top w:val="none" w:sz="0" w:space="0" w:color="auto"/>
            <w:left w:val="none" w:sz="0" w:space="0" w:color="auto"/>
            <w:bottom w:val="none" w:sz="0" w:space="0" w:color="auto"/>
            <w:right w:val="none" w:sz="0" w:space="0" w:color="auto"/>
          </w:divBdr>
        </w:div>
        <w:div w:id="1013528657">
          <w:marLeft w:val="0"/>
          <w:marRight w:val="0"/>
          <w:marTop w:val="0"/>
          <w:marBottom w:val="0"/>
          <w:divBdr>
            <w:top w:val="none" w:sz="0" w:space="0" w:color="auto"/>
            <w:left w:val="none" w:sz="0" w:space="0" w:color="auto"/>
            <w:bottom w:val="none" w:sz="0" w:space="0" w:color="auto"/>
            <w:right w:val="none" w:sz="0" w:space="0" w:color="auto"/>
          </w:divBdr>
        </w:div>
        <w:div w:id="459305170">
          <w:marLeft w:val="0"/>
          <w:marRight w:val="0"/>
          <w:marTop w:val="0"/>
          <w:marBottom w:val="0"/>
          <w:divBdr>
            <w:top w:val="none" w:sz="0" w:space="0" w:color="auto"/>
            <w:left w:val="none" w:sz="0" w:space="0" w:color="auto"/>
            <w:bottom w:val="none" w:sz="0" w:space="0" w:color="auto"/>
            <w:right w:val="none" w:sz="0" w:space="0" w:color="auto"/>
          </w:divBdr>
        </w:div>
        <w:div w:id="1274435138">
          <w:marLeft w:val="0"/>
          <w:marRight w:val="0"/>
          <w:marTop w:val="0"/>
          <w:marBottom w:val="0"/>
          <w:divBdr>
            <w:top w:val="none" w:sz="0" w:space="0" w:color="auto"/>
            <w:left w:val="none" w:sz="0" w:space="0" w:color="auto"/>
            <w:bottom w:val="none" w:sz="0" w:space="0" w:color="auto"/>
            <w:right w:val="none" w:sz="0" w:space="0" w:color="auto"/>
          </w:divBdr>
        </w:div>
        <w:div w:id="1235355156">
          <w:marLeft w:val="0"/>
          <w:marRight w:val="0"/>
          <w:marTop w:val="0"/>
          <w:marBottom w:val="0"/>
          <w:divBdr>
            <w:top w:val="none" w:sz="0" w:space="0" w:color="auto"/>
            <w:left w:val="none" w:sz="0" w:space="0" w:color="auto"/>
            <w:bottom w:val="none" w:sz="0" w:space="0" w:color="auto"/>
            <w:right w:val="none" w:sz="0" w:space="0" w:color="auto"/>
          </w:divBdr>
        </w:div>
        <w:div w:id="922639230">
          <w:marLeft w:val="0"/>
          <w:marRight w:val="0"/>
          <w:marTop w:val="0"/>
          <w:marBottom w:val="0"/>
          <w:divBdr>
            <w:top w:val="none" w:sz="0" w:space="0" w:color="auto"/>
            <w:left w:val="none" w:sz="0" w:space="0" w:color="auto"/>
            <w:bottom w:val="none" w:sz="0" w:space="0" w:color="auto"/>
            <w:right w:val="none" w:sz="0" w:space="0" w:color="auto"/>
          </w:divBdr>
        </w:div>
        <w:div w:id="494154961">
          <w:marLeft w:val="0"/>
          <w:marRight w:val="0"/>
          <w:marTop w:val="0"/>
          <w:marBottom w:val="0"/>
          <w:divBdr>
            <w:top w:val="none" w:sz="0" w:space="0" w:color="auto"/>
            <w:left w:val="none" w:sz="0" w:space="0" w:color="auto"/>
            <w:bottom w:val="none" w:sz="0" w:space="0" w:color="auto"/>
            <w:right w:val="none" w:sz="0" w:space="0" w:color="auto"/>
          </w:divBdr>
        </w:div>
        <w:div w:id="1180436136">
          <w:marLeft w:val="0"/>
          <w:marRight w:val="0"/>
          <w:marTop w:val="0"/>
          <w:marBottom w:val="0"/>
          <w:divBdr>
            <w:top w:val="none" w:sz="0" w:space="0" w:color="auto"/>
            <w:left w:val="none" w:sz="0" w:space="0" w:color="auto"/>
            <w:bottom w:val="none" w:sz="0" w:space="0" w:color="auto"/>
            <w:right w:val="none" w:sz="0" w:space="0" w:color="auto"/>
          </w:divBdr>
        </w:div>
        <w:div w:id="1913662701">
          <w:marLeft w:val="0"/>
          <w:marRight w:val="0"/>
          <w:marTop w:val="0"/>
          <w:marBottom w:val="0"/>
          <w:divBdr>
            <w:top w:val="none" w:sz="0" w:space="0" w:color="auto"/>
            <w:left w:val="none" w:sz="0" w:space="0" w:color="auto"/>
            <w:bottom w:val="none" w:sz="0" w:space="0" w:color="auto"/>
            <w:right w:val="none" w:sz="0" w:space="0" w:color="auto"/>
          </w:divBdr>
        </w:div>
        <w:div w:id="336277801">
          <w:marLeft w:val="0"/>
          <w:marRight w:val="0"/>
          <w:marTop w:val="0"/>
          <w:marBottom w:val="0"/>
          <w:divBdr>
            <w:top w:val="none" w:sz="0" w:space="0" w:color="auto"/>
            <w:left w:val="none" w:sz="0" w:space="0" w:color="auto"/>
            <w:bottom w:val="none" w:sz="0" w:space="0" w:color="auto"/>
            <w:right w:val="none" w:sz="0" w:space="0" w:color="auto"/>
          </w:divBdr>
        </w:div>
        <w:div w:id="193808912">
          <w:marLeft w:val="0"/>
          <w:marRight w:val="0"/>
          <w:marTop w:val="0"/>
          <w:marBottom w:val="0"/>
          <w:divBdr>
            <w:top w:val="none" w:sz="0" w:space="0" w:color="auto"/>
            <w:left w:val="none" w:sz="0" w:space="0" w:color="auto"/>
            <w:bottom w:val="none" w:sz="0" w:space="0" w:color="auto"/>
            <w:right w:val="none" w:sz="0" w:space="0" w:color="auto"/>
          </w:divBdr>
        </w:div>
        <w:div w:id="1419130565">
          <w:marLeft w:val="0"/>
          <w:marRight w:val="0"/>
          <w:marTop w:val="0"/>
          <w:marBottom w:val="0"/>
          <w:divBdr>
            <w:top w:val="none" w:sz="0" w:space="0" w:color="auto"/>
            <w:left w:val="none" w:sz="0" w:space="0" w:color="auto"/>
            <w:bottom w:val="none" w:sz="0" w:space="0" w:color="auto"/>
            <w:right w:val="none" w:sz="0" w:space="0" w:color="auto"/>
          </w:divBdr>
        </w:div>
        <w:div w:id="1089624056">
          <w:marLeft w:val="0"/>
          <w:marRight w:val="0"/>
          <w:marTop w:val="0"/>
          <w:marBottom w:val="0"/>
          <w:divBdr>
            <w:top w:val="none" w:sz="0" w:space="0" w:color="auto"/>
            <w:left w:val="none" w:sz="0" w:space="0" w:color="auto"/>
            <w:bottom w:val="none" w:sz="0" w:space="0" w:color="auto"/>
            <w:right w:val="none" w:sz="0" w:space="0" w:color="auto"/>
          </w:divBdr>
        </w:div>
        <w:div w:id="1841460128">
          <w:marLeft w:val="0"/>
          <w:marRight w:val="0"/>
          <w:marTop w:val="0"/>
          <w:marBottom w:val="0"/>
          <w:divBdr>
            <w:top w:val="none" w:sz="0" w:space="0" w:color="auto"/>
            <w:left w:val="none" w:sz="0" w:space="0" w:color="auto"/>
            <w:bottom w:val="none" w:sz="0" w:space="0" w:color="auto"/>
            <w:right w:val="none" w:sz="0" w:space="0" w:color="auto"/>
          </w:divBdr>
        </w:div>
        <w:div w:id="1701004991">
          <w:marLeft w:val="0"/>
          <w:marRight w:val="0"/>
          <w:marTop w:val="0"/>
          <w:marBottom w:val="0"/>
          <w:divBdr>
            <w:top w:val="none" w:sz="0" w:space="0" w:color="auto"/>
            <w:left w:val="none" w:sz="0" w:space="0" w:color="auto"/>
            <w:bottom w:val="none" w:sz="0" w:space="0" w:color="auto"/>
            <w:right w:val="none" w:sz="0" w:space="0" w:color="auto"/>
          </w:divBdr>
        </w:div>
        <w:div w:id="397633789">
          <w:marLeft w:val="0"/>
          <w:marRight w:val="0"/>
          <w:marTop w:val="0"/>
          <w:marBottom w:val="0"/>
          <w:divBdr>
            <w:top w:val="none" w:sz="0" w:space="0" w:color="auto"/>
            <w:left w:val="none" w:sz="0" w:space="0" w:color="auto"/>
            <w:bottom w:val="none" w:sz="0" w:space="0" w:color="auto"/>
            <w:right w:val="none" w:sz="0" w:space="0" w:color="auto"/>
          </w:divBdr>
        </w:div>
        <w:div w:id="1736512755">
          <w:marLeft w:val="0"/>
          <w:marRight w:val="0"/>
          <w:marTop w:val="0"/>
          <w:marBottom w:val="0"/>
          <w:divBdr>
            <w:top w:val="none" w:sz="0" w:space="0" w:color="auto"/>
            <w:left w:val="none" w:sz="0" w:space="0" w:color="auto"/>
            <w:bottom w:val="none" w:sz="0" w:space="0" w:color="auto"/>
            <w:right w:val="none" w:sz="0" w:space="0" w:color="auto"/>
          </w:divBdr>
        </w:div>
        <w:div w:id="740257467">
          <w:marLeft w:val="0"/>
          <w:marRight w:val="0"/>
          <w:marTop w:val="0"/>
          <w:marBottom w:val="0"/>
          <w:divBdr>
            <w:top w:val="none" w:sz="0" w:space="0" w:color="auto"/>
            <w:left w:val="none" w:sz="0" w:space="0" w:color="auto"/>
            <w:bottom w:val="none" w:sz="0" w:space="0" w:color="auto"/>
            <w:right w:val="none" w:sz="0" w:space="0" w:color="auto"/>
          </w:divBdr>
        </w:div>
        <w:div w:id="859514466">
          <w:marLeft w:val="0"/>
          <w:marRight w:val="0"/>
          <w:marTop w:val="0"/>
          <w:marBottom w:val="0"/>
          <w:divBdr>
            <w:top w:val="none" w:sz="0" w:space="0" w:color="auto"/>
            <w:left w:val="none" w:sz="0" w:space="0" w:color="auto"/>
            <w:bottom w:val="none" w:sz="0" w:space="0" w:color="auto"/>
            <w:right w:val="none" w:sz="0" w:space="0" w:color="auto"/>
          </w:divBdr>
        </w:div>
        <w:div w:id="282151775">
          <w:marLeft w:val="0"/>
          <w:marRight w:val="0"/>
          <w:marTop w:val="0"/>
          <w:marBottom w:val="0"/>
          <w:divBdr>
            <w:top w:val="none" w:sz="0" w:space="0" w:color="auto"/>
            <w:left w:val="none" w:sz="0" w:space="0" w:color="auto"/>
            <w:bottom w:val="none" w:sz="0" w:space="0" w:color="auto"/>
            <w:right w:val="none" w:sz="0" w:space="0" w:color="auto"/>
          </w:divBdr>
        </w:div>
      </w:divsChild>
    </w:div>
    <w:div w:id="353964847">
      <w:bodyDiv w:val="1"/>
      <w:marLeft w:val="0"/>
      <w:marRight w:val="0"/>
      <w:marTop w:val="0"/>
      <w:marBottom w:val="0"/>
      <w:divBdr>
        <w:top w:val="none" w:sz="0" w:space="0" w:color="auto"/>
        <w:left w:val="none" w:sz="0" w:space="0" w:color="auto"/>
        <w:bottom w:val="none" w:sz="0" w:space="0" w:color="auto"/>
        <w:right w:val="none" w:sz="0" w:space="0" w:color="auto"/>
      </w:divBdr>
    </w:div>
    <w:div w:id="369501658">
      <w:bodyDiv w:val="1"/>
      <w:marLeft w:val="0"/>
      <w:marRight w:val="0"/>
      <w:marTop w:val="0"/>
      <w:marBottom w:val="0"/>
      <w:divBdr>
        <w:top w:val="none" w:sz="0" w:space="0" w:color="auto"/>
        <w:left w:val="none" w:sz="0" w:space="0" w:color="auto"/>
        <w:bottom w:val="none" w:sz="0" w:space="0" w:color="auto"/>
        <w:right w:val="none" w:sz="0" w:space="0" w:color="auto"/>
      </w:divBdr>
    </w:div>
    <w:div w:id="385764642">
      <w:bodyDiv w:val="1"/>
      <w:marLeft w:val="0"/>
      <w:marRight w:val="0"/>
      <w:marTop w:val="0"/>
      <w:marBottom w:val="0"/>
      <w:divBdr>
        <w:top w:val="none" w:sz="0" w:space="0" w:color="auto"/>
        <w:left w:val="none" w:sz="0" w:space="0" w:color="auto"/>
        <w:bottom w:val="none" w:sz="0" w:space="0" w:color="auto"/>
        <w:right w:val="none" w:sz="0" w:space="0" w:color="auto"/>
      </w:divBdr>
    </w:div>
    <w:div w:id="386148165">
      <w:bodyDiv w:val="1"/>
      <w:marLeft w:val="0"/>
      <w:marRight w:val="0"/>
      <w:marTop w:val="0"/>
      <w:marBottom w:val="0"/>
      <w:divBdr>
        <w:top w:val="none" w:sz="0" w:space="0" w:color="auto"/>
        <w:left w:val="none" w:sz="0" w:space="0" w:color="auto"/>
        <w:bottom w:val="none" w:sz="0" w:space="0" w:color="auto"/>
        <w:right w:val="none" w:sz="0" w:space="0" w:color="auto"/>
      </w:divBdr>
    </w:div>
    <w:div w:id="388768179">
      <w:bodyDiv w:val="1"/>
      <w:marLeft w:val="0"/>
      <w:marRight w:val="0"/>
      <w:marTop w:val="0"/>
      <w:marBottom w:val="0"/>
      <w:divBdr>
        <w:top w:val="none" w:sz="0" w:space="0" w:color="auto"/>
        <w:left w:val="none" w:sz="0" w:space="0" w:color="auto"/>
        <w:bottom w:val="none" w:sz="0" w:space="0" w:color="auto"/>
        <w:right w:val="none" w:sz="0" w:space="0" w:color="auto"/>
      </w:divBdr>
    </w:div>
    <w:div w:id="453136204">
      <w:bodyDiv w:val="1"/>
      <w:marLeft w:val="0"/>
      <w:marRight w:val="0"/>
      <w:marTop w:val="0"/>
      <w:marBottom w:val="0"/>
      <w:divBdr>
        <w:top w:val="none" w:sz="0" w:space="0" w:color="auto"/>
        <w:left w:val="none" w:sz="0" w:space="0" w:color="auto"/>
        <w:bottom w:val="none" w:sz="0" w:space="0" w:color="auto"/>
        <w:right w:val="none" w:sz="0" w:space="0" w:color="auto"/>
      </w:divBdr>
    </w:div>
    <w:div w:id="464584722">
      <w:bodyDiv w:val="1"/>
      <w:marLeft w:val="0"/>
      <w:marRight w:val="0"/>
      <w:marTop w:val="0"/>
      <w:marBottom w:val="0"/>
      <w:divBdr>
        <w:top w:val="none" w:sz="0" w:space="0" w:color="auto"/>
        <w:left w:val="none" w:sz="0" w:space="0" w:color="auto"/>
        <w:bottom w:val="none" w:sz="0" w:space="0" w:color="auto"/>
        <w:right w:val="none" w:sz="0" w:space="0" w:color="auto"/>
      </w:divBdr>
    </w:div>
    <w:div w:id="476726314">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05369483">
      <w:bodyDiv w:val="1"/>
      <w:marLeft w:val="0"/>
      <w:marRight w:val="0"/>
      <w:marTop w:val="0"/>
      <w:marBottom w:val="0"/>
      <w:divBdr>
        <w:top w:val="none" w:sz="0" w:space="0" w:color="auto"/>
        <w:left w:val="none" w:sz="0" w:space="0" w:color="auto"/>
        <w:bottom w:val="none" w:sz="0" w:space="0" w:color="auto"/>
        <w:right w:val="none" w:sz="0" w:space="0" w:color="auto"/>
      </w:divBdr>
    </w:div>
    <w:div w:id="509806170">
      <w:bodyDiv w:val="1"/>
      <w:marLeft w:val="0"/>
      <w:marRight w:val="0"/>
      <w:marTop w:val="0"/>
      <w:marBottom w:val="0"/>
      <w:divBdr>
        <w:top w:val="none" w:sz="0" w:space="0" w:color="auto"/>
        <w:left w:val="none" w:sz="0" w:space="0" w:color="auto"/>
        <w:bottom w:val="none" w:sz="0" w:space="0" w:color="auto"/>
        <w:right w:val="none" w:sz="0" w:space="0" w:color="auto"/>
      </w:divBdr>
    </w:div>
    <w:div w:id="533541792">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535773494">
      <w:bodyDiv w:val="1"/>
      <w:marLeft w:val="0"/>
      <w:marRight w:val="0"/>
      <w:marTop w:val="0"/>
      <w:marBottom w:val="0"/>
      <w:divBdr>
        <w:top w:val="none" w:sz="0" w:space="0" w:color="auto"/>
        <w:left w:val="none" w:sz="0" w:space="0" w:color="auto"/>
        <w:bottom w:val="none" w:sz="0" w:space="0" w:color="auto"/>
        <w:right w:val="none" w:sz="0" w:space="0" w:color="auto"/>
      </w:divBdr>
    </w:div>
    <w:div w:id="655691827">
      <w:bodyDiv w:val="1"/>
      <w:marLeft w:val="0"/>
      <w:marRight w:val="0"/>
      <w:marTop w:val="0"/>
      <w:marBottom w:val="0"/>
      <w:divBdr>
        <w:top w:val="none" w:sz="0" w:space="0" w:color="auto"/>
        <w:left w:val="none" w:sz="0" w:space="0" w:color="auto"/>
        <w:bottom w:val="none" w:sz="0" w:space="0" w:color="auto"/>
        <w:right w:val="none" w:sz="0" w:space="0" w:color="auto"/>
      </w:divBdr>
    </w:div>
    <w:div w:id="675688729">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37215018">
      <w:bodyDiv w:val="1"/>
      <w:marLeft w:val="0"/>
      <w:marRight w:val="0"/>
      <w:marTop w:val="0"/>
      <w:marBottom w:val="0"/>
      <w:divBdr>
        <w:top w:val="none" w:sz="0" w:space="0" w:color="auto"/>
        <w:left w:val="none" w:sz="0" w:space="0" w:color="auto"/>
        <w:bottom w:val="none" w:sz="0" w:space="0" w:color="auto"/>
        <w:right w:val="none" w:sz="0" w:space="0" w:color="auto"/>
      </w:divBdr>
    </w:div>
    <w:div w:id="756484825">
      <w:bodyDiv w:val="1"/>
      <w:marLeft w:val="0"/>
      <w:marRight w:val="0"/>
      <w:marTop w:val="0"/>
      <w:marBottom w:val="0"/>
      <w:divBdr>
        <w:top w:val="none" w:sz="0" w:space="0" w:color="auto"/>
        <w:left w:val="none" w:sz="0" w:space="0" w:color="auto"/>
        <w:bottom w:val="none" w:sz="0" w:space="0" w:color="auto"/>
        <w:right w:val="none" w:sz="0" w:space="0" w:color="auto"/>
      </w:divBdr>
    </w:div>
    <w:div w:id="796488829">
      <w:bodyDiv w:val="1"/>
      <w:marLeft w:val="0"/>
      <w:marRight w:val="0"/>
      <w:marTop w:val="0"/>
      <w:marBottom w:val="0"/>
      <w:divBdr>
        <w:top w:val="none" w:sz="0" w:space="0" w:color="auto"/>
        <w:left w:val="none" w:sz="0" w:space="0" w:color="auto"/>
        <w:bottom w:val="none" w:sz="0" w:space="0" w:color="auto"/>
        <w:right w:val="none" w:sz="0" w:space="0" w:color="auto"/>
      </w:divBdr>
    </w:div>
    <w:div w:id="804278233">
      <w:bodyDiv w:val="1"/>
      <w:marLeft w:val="0"/>
      <w:marRight w:val="0"/>
      <w:marTop w:val="0"/>
      <w:marBottom w:val="0"/>
      <w:divBdr>
        <w:top w:val="none" w:sz="0" w:space="0" w:color="auto"/>
        <w:left w:val="none" w:sz="0" w:space="0" w:color="auto"/>
        <w:bottom w:val="none" w:sz="0" w:space="0" w:color="auto"/>
        <w:right w:val="none" w:sz="0" w:space="0" w:color="auto"/>
      </w:divBdr>
    </w:div>
    <w:div w:id="820344037">
      <w:bodyDiv w:val="1"/>
      <w:marLeft w:val="0"/>
      <w:marRight w:val="0"/>
      <w:marTop w:val="0"/>
      <w:marBottom w:val="0"/>
      <w:divBdr>
        <w:top w:val="none" w:sz="0" w:space="0" w:color="auto"/>
        <w:left w:val="none" w:sz="0" w:space="0" w:color="auto"/>
        <w:bottom w:val="none" w:sz="0" w:space="0" w:color="auto"/>
        <w:right w:val="none" w:sz="0" w:space="0" w:color="auto"/>
      </w:divBdr>
    </w:div>
    <w:div w:id="834490117">
      <w:bodyDiv w:val="1"/>
      <w:marLeft w:val="0"/>
      <w:marRight w:val="0"/>
      <w:marTop w:val="0"/>
      <w:marBottom w:val="0"/>
      <w:divBdr>
        <w:top w:val="none" w:sz="0" w:space="0" w:color="auto"/>
        <w:left w:val="none" w:sz="0" w:space="0" w:color="auto"/>
        <w:bottom w:val="none" w:sz="0" w:space="0" w:color="auto"/>
        <w:right w:val="none" w:sz="0" w:space="0" w:color="auto"/>
      </w:divBdr>
    </w:div>
    <w:div w:id="843324763">
      <w:bodyDiv w:val="1"/>
      <w:marLeft w:val="0"/>
      <w:marRight w:val="0"/>
      <w:marTop w:val="0"/>
      <w:marBottom w:val="0"/>
      <w:divBdr>
        <w:top w:val="none" w:sz="0" w:space="0" w:color="auto"/>
        <w:left w:val="none" w:sz="0" w:space="0" w:color="auto"/>
        <w:bottom w:val="none" w:sz="0" w:space="0" w:color="auto"/>
        <w:right w:val="none" w:sz="0" w:space="0" w:color="auto"/>
      </w:divBdr>
    </w:div>
    <w:div w:id="849687133">
      <w:bodyDiv w:val="1"/>
      <w:marLeft w:val="0"/>
      <w:marRight w:val="0"/>
      <w:marTop w:val="0"/>
      <w:marBottom w:val="0"/>
      <w:divBdr>
        <w:top w:val="none" w:sz="0" w:space="0" w:color="auto"/>
        <w:left w:val="none" w:sz="0" w:space="0" w:color="auto"/>
        <w:bottom w:val="none" w:sz="0" w:space="0" w:color="auto"/>
        <w:right w:val="none" w:sz="0" w:space="0" w:color="auto"/>
      </w:divBdr>
    </w:div>
    <w:div w:id="854613406">
      <w:bodyDiv w:val="1"/>
      <w:marLeft w:val="0"/>
      <w:marRight w:val="0"/>
      <w:marTop w:val="0"/>
      <w:marBottom w:val="0"/>
      <w:divBdr>
        <w:top w:val="none" w:sz="0" w:space="0" w:color="auto"/>
        <w:left w:val="none" w:sz="0" w:space="0" w:color="auto"/>
        <w:bottom w:val="none" w:sz="0" w:space="0" w:color="auto"/>
        <w:right w:val="none" w:sz="0" w:space="0" w:color="auto"/>
      </w:divBdr>
    </w:div>
    <w:div w:id="901524199">
      <w:bodyDiv w:val="1"/>
      <w:marLeft w:val="0"/>
      <w:marRight w:val="0"/>
      <w:marTop w:val="0"/>
      <w:marBottom w:val="0"/>
      <w:divBdr>
        <w:top w:val="none" w:sz="0" w:space="0" w:color="auto"/>
        <w:left w:val="none" w:sz="0" w:space="0" w:color="auto"/>
        <w:bottom w:val="none" w:sz="0" w:space="0" w:color="auto"/>
        <w:right w:val="none" w:sz="0" w:space="0" w:color="auto"/>
      </w:divBdr>
    </w:div>
    <w:div w:id="928925745">
      <w:bodyDiv w:val="1"/>
      <w:marLeft w:val="0"/>
      <w:marRight w:val="0"/>
      <w:marTop w:val="0"/>
      <w:marBottom w:val="0"/>
      <w:divBdr>
        <w:top w:val="none" w:sz="0" w:space="0" w:color="auto"/>
        <w:left w:val="none" w:sz="0" w:space="0" w:color="auto"/>
        <w:bottom w:val="none" w:sz="0" w:space="0" w:color="auto"/>
        <w:right w:val="none" w:sz="0" w:space="0" w:color="auto"/>
      </w:divBdr>
    </w:div>
    <w:div w:id="937640537">
      <w:bodyDiv w:val="1"/>
      <w:marLeft w:val="0"/>
      <w:marRight w:val="0"/>
      <w:marTop w:val="0"/>
      <w:marBottom w:val="0"/>
      <w:divBdr>
        <w:top w:val="none" w:sz="0" w:space="0" w:color="auto"/>
        <w:left w:val="none" w:sz="0" w:space="0" w:color="auto"/>
        <w:bottom w:val="none" w:sz="0" w:space="0" w:color="auto"/>
        <w:right w:val="none" w:sz="0" w:space="0" w:color="auto"/>
      </w:divBdr>
    </w:div>
    <w:div w:id="938102411">
      <w:bodyDiv w:val="1"/>
      <w:marLeft w:val="0"/>
      <w:marRight w:val="0"/>
      <w:marTop w:val="0"/>
      <w:marBottom w:val="0"/>
      <w:divBdr>
        <w:top w:val="none" w:sz="0" w:space="0" w:color="auto"/>
        <w:left w:val="none" w:sz="0" w:space="0" w:color="auto"/>
        <w:bottom w:val="none" w:sz="0" w:space="0" w:color="auto"/>
        <w:right w:val="none" w:sz="0" w:space="0" w:color="auto"/>
      </w:divBdr>
    </w:div>
    <w:div w:id="942303216">
      <w:bodyDiv w:val="1"/>
      <w:marLeft w:val="0"/>
      <w:marRight w:val="0"/>
      <w:marTop w:val="0"/>
      <w:marBottom w:val="0"/>
      <w:divBdr>
        <w:top w:val="none" w:sz="0" w:space="0" w:color="auto"/>
        <w:left w:val="none" w:sz="0" w:space="0" w:color="auto"/>
        <w:bottom w:val="none" w:sz="0" w:space="0" w:color="auto"/>
        <w:right w:val="none" w:sz="0" w:space="0" w:color="auto"/>
      </w:divBdr>
    </w:div>
    <w:div w:id="950554830">
      <w:bodyDiv w:val="1"/>
      <w:marLeft w:val="0"/>
      <w:marRight w:val="0"/>
      <w:marTop w:val="0"/>
      <w:marBottom w:val="0"/>
      <w:divBdr>
        <w:top w:val="none" w:sz="0" w:space="0" w:color="auto"/>
        <w:left w:val="none" w:sz="0" w:space="0" w:color="auto"/>
        <w:bottom w:val="none" w:sz="0" w:space="0" w:color="auto"/>
        <w:right w:val="none" w:sz="0" w:space="0" w:color="auto"/>
      </w:divBdr>
    </w:div>
    <w:div w:id="970744538">
      <w:bodyDiv w:val="1"/>
      <w:marLeft w:val="0"/>
      <w:marRight w:val="0"/>
      <w:marTop w:val="0"/>
      <w:marBottom w:val="0"/>
      <w:divBdr>
        <w:top w:val="none" w:sz="0" w:space="0" w:color="auto"/>
        <w:left w:val="none" w:sz="0" w:space="0" w:color="auto"/>
        <w:bottom w:val="none" w:sz="0" w:space="0" w:color="auto"/>
        <w:right w:val="none" w:sz="0" w:space="0" w:color="auto"/>
      </w:divBdr>
    </w:div>
    <w:div w:id="995524603">
      <w:bodyDiv w:val="1"/>
      <w:marLeft w:val="0"/>
      <w:marRight w:val="0"/>
      <w:marTop w:val="0"/>
      <w:marBottom w:val="0"/>
      <w:divBdr>
        <w:top w:val="none" w:sz="0" w:space="0" w:color="auto"/>
        <w:left w:val="none" w:sz="0" w:space="0" w:color="auto"/>
        <w:bottom w:val="none" w:sz="0" w:space="0" w:color="auto"/>
        <w:right w:val="none" w:sz="0" w:space="0" w:color="auto"/>
      </w:divBdr>
    </w:div>
    <w:div w:id="1019041289">
      <w:bodyDiv w:val="1"/>
      <w:marLeft w:val="0"/>
      <w:marRight w:val="0"/>
      <w:marTop w:val="0"/>
      <w:marBottom w:val="0"/>
      <w:divBdr>
        <w:top w:val="none" w:sz="0" w:space="0" w:color="auto"/>
        <w:left w:val="none" w:sz="0" w:space="0" w:color="auto"/>
        <w:bottom w:val="none" w:sz="0" w:space="0" w:color="auto"/>
        <w:right w:val="none" w:sz="0" w:space="0" w:color="auto"/>
      </w:divBdr>
    </w:div>
    <w:div w:id="1037703072">
      <w:bodyDiv w:val="1"/>
      <w:marLeft w:val="0"/>
      <w:marRight w:val="0"/>
      <w:marTop w:val="0"/>
      <w:marBottom w:val="0"/>
      <w:divBdr>
        <w:top w:val="none" w:sz="0" w:space="0" w:color="auto"/>
        <w:left w:val="none" w:sz="0" w:space="0" w:color="auto"/>
        <w:bottom w:val="none" w:sz="0" w:space="0" w:color="auto"/>
        <w:right w:val="none" w:sz="0" w:space="0" w:color="auto"/>
      </w:divBdr>
    </w:div>
    <w:div w:id="1087772334">
      <w:bodyDiv w:val="1"/>
      <w:marLeft w:val="0"/>
      <w:marRight w:val="0"/>
      <w:marTop w:val="0"/>
      <w:marBottom w:val="0"/>
      <w:divBdr>
        <w:top w:val="none" w:sz="0" w:space="0" w:color="auto"/>
        <w:left w:val="none" w:sz="0" w:space="0" w:color="auto"/>
        <w:bottom w:val="none" w:sz="0" w:space="0" w:color="auto"/>
        <w:right w:val="none" w:sz="0" w:space="0" w:color="auto"/>
      </w:divBdr>
    </w:div>
    <w:div w:id="1149131241">
      <w:bodyDiv w:val="1"/>
      <w:marLeft w:val="0"/>
      <w:marRight w:val="0"/>
      <w:marTop w:val="0"/>
      <w:marBottom w:val="0"/>
      <w:divBdr>
        <w:top w:val="none" w:sz="0" w:space="0" w:color="auto"/>
        <w:left w:val="none" w:sz="0" w:space="0" w:color="auto"/>
        <w:bottom w:val="none" w:sz="0" w:space="0" w:color="auto"/>
        <w:right w:val="none" w:sz="0" w:space="0" w:color="auto"/>
      </w:divBdr>
    </w:div>
    <w:div w:id="1150555817">
      <w:bodyDiv w:val="1"/>
      <w:marLeft w:val="0"/>
      <w:marRight w:val="0"/>
      <w:marTop w:val="0"/>
      <w:marBottom w:val="0"/>
      <w:divBdr>
        <w:top w:val="none" w:sz="0" w:space="0" w:color="auto"/>
        <w:left w:val="none" w:sz="0" w:space="0" w:color="auto"/>
        <w:bottom w:val="none" w:sz="0" w:space="0" w:color="auto"/>
        <w:right w:val="none" w:sz="0" w:space="0" w:color="auto"/>
      </w:divBdr>
    </w:div>
    <w:div w:id="1171410498">
      <w:bodyDiv w:val="1"/>
      <w:marLeft w:val="0"/>
      <w:marRight w:val="0"/>
      <w:marTop w:val="0"/>
      <w:marBottom w:val="0"/>
      <w:divBdr>
        <w:top w:val="none" w:sz="0" w:space="0" w:color="auto"/>
        <w:left w:val="none" w:sz="0" w:space="0" w:color="auto"/>
        <w:bottom w:val="none" w:sz="0" w:space="0" w:color="auto"/>
        <w:right w:val="none" w:sz="0" w:space="0" w:color="auto"/>
      </w:divBdr>
    </w:div>
    <w:div w:id="1185971857">
      <w:bodyDiv w:val="1"/>
      <w:marLeft w:val="0"/>
      <w:marRight w:val="0"/>
      <w:marTop w:val="0"/>
      <w:marBottom w:val="0"/>
      <w:divBdr>
        <w:top w:val="none" w:sz="0" w:space="0" w:color="auto"/>
        <w:left w:val="none" w:sz="0" w:space="0" w:color="auto"/>
        <w:bottom w:val="none" w:sz="0" w:space="0" w:color="auto"/>
        <w:right w:val="none" w:sz="0" w:space="0" w:color="auto"/>
      </w:divBdr>
    </w:div>
    <w:div w:id="1190532694">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18518436">
      <w:bodyDiv w:val="1"/>
      <w:marLeft w:val="0"/>
      <w:marRight w:val="0"/>
      <w:marTop w:val="0"/>
      <w:marBottom w:val="0"/>
      <w:divBdr>
        <w:top w:val="none" w:sz="0" w:space="0" w:color="auto"/>
        <w:left w:val="none" w:sz="0" w:space="0" w:color="auto"/>
        <w:bottom w:val="none" w:sz="0" w:space="0" w:color="auto"/>
        <w:right w:val="none" w:sz="0" w:space="0" w:color="auto"/>
      </w:divBdr>
    </w:div>
    <w:div w:id="1255211118">
      <w:bodyDiv w:val="1"/>
      <w:marLeft w:val="0"/>
      <w:marRight w:val="0"/>
      <w:marTop w:val="0"/>
      <w:marBottom w:val="0"/>
      <w:divBdr>
        <w:top w:val="none" w:sz="0" w:space="0" w:color="auto"/>
        <w:left w:val="none" w:sz="0" w:space="0" w:color="auto"/>
        <w:bottom w:val="none" w:sz="0" w:space="0" w:color="auto"/>
        <w:right w:val="none" w:sz="0" w:space="0" w:color="auto"/>
      </w:divBdr>
    </w:div>
    <w:div w:id="1264457586">
      <w:bodyDiv w:val="1"/>
      <w:marLeft w:val="0"/>
      <w:marRight w:val="0"/>
      <w:marTop w:val="0"/>
      <w:marBottom w:val="0"/>
      <w:divBdr>
        <w:top w:val="none" w:sz="0" w:space="0" w:color="auto"/>
        <w:left w:val="none" w:sz="0" w:space="0" w:color="auto"/>
        <w:bottom w:val="none" w:sz="0" w:space="0" w:color="auto"/>
        <w:right w:val="none" w:sz="0" w:space="0" w:color="auto"/>
      </w:divBdr>
    </w:div>
    <w:div w:id="1266497639">
      <w:bodyDiv w:val="1"/>
      <w:marLeft w:val="0"/>
      <w:marRight w:val="0"/>
      <w:marTop w:val="0"/>
      <w:marBottom w:val="0"/>
      <w:divBdr>
        <w:top w:val="none" w:sz="0" w:space="0" w:color="auto"/>
        <w:left w:val="none" w:sz="0" w:space="0" w:color="auto"/>
        <w:bottom w:val="none" w:sz="0" w:space="0" w:color="auto"/>
        <w:right w:val="none" w:sz="0" w:space="0" w:color="auto"/>
      </w:divBdr>
    </w:div>
    <w:div w:id="1275137038">
      <w:bodyDiv w:val="1"/>
      <w:marLeft w:val="0"/>
      <w:marRight w:val="0"/>
      <w:marTop w:val="0"/>
      <w:marBottom w:val="0"/>
      <w:divBdr>
        <w:top w:val="none" w:sz="0" w:space="0" w:color="auto"/>
        <w:left w:val="none" w:sz="0" w:space="0" w:color="auto"/>
        <w:bottom w:val="none" w:sz="0" w:space="0" w:color="auto"/>
        <w:right w:val="none" w:sz="0" w:space="0" w:color="auto"/>
      </w:divBdr>
    </w:div>
    <w:div w:id="1305966470">
      <w:bodyDiv w:val="1"/>
      <w:marLeft w:val="0"/>
      <w:marRight w:val="0"/>
      <w:marTop w:val="0"/>
      <w:marBottom w:val="0"/>
      <w:divBdr>
        <w:top w:val="none" w:sz="0" w:space="0" w:color="auto"/>
        <w:left w:val="none" w:sz="0" w:space="0" w:color="auto"/>
        <w:bottom w:val="none" w:sz="0" w:space="0" w:color="auto"/>
        <w:right w:val="none" w:sz="0" w:space="0" w:color="auto"/>
      </w:divBdr>
    </w:div>
    <w:div w:id="1327588401">
      <w:bodyDiv w:val="1"/>
      <w:marLeft w:val="0"/>
      <w:marRight w:val="0"/>
      <w:marTop w:val="0"/>
      <w:marBottom w:val="0"/>
      <w:divBdr>
        <w:top w:val="none" w:sz="0" w:space="0" w:color="auto"/>
        <w:left w:val="none" w:sz="0" w:space="0" w:color="auto"/>
        <w:bottom w:val="none" w:sz="0" w:space="0" w:color="auto"/>
        <w:right w:val="none" w:sz="0" w:space="0" w:color="auto"/>
      </w:divBdr>
    </w:div>
    <w:div w:id="1329362183">
      <w:bodyDiv w:val="1"/>
      <w:marLeft w:val="0"/>
      <w:marRight w:val="0"/>
      <w:marTop w:val="0"/>
      <w:marBottom w:val="0"/>
      <w:divBdr>
        <w:top w:val="none" w:sz="0" w:space="0" w:color="auto"/>
        <w:left w:val="none" w:sz="0" w:space="0" w:color="auto"/>
        <w:bottom w:val="none" w:sz="0" w:space="0" w:color="auto"/>
        <w:right w:val="none" w:sz="0" w:space="0" w:color="auto"/>
      </w:divBdr>
    </w:div>
    <w:div w:id="1330252014">
      <w:bodyDiv w:val="1"/>
      <w:marLeft w:val="0"/>
      <w:marRight w:val="0"/>
      <w:marTop w:val="0"/>
      <w:marBottom w:val="0"/>
      <w:divBdr>
        <w:top w:val="none" w:sz="0" w:space="0" w:color="auto"/>
        <w:left w:val="none" w:sz="0" w:space="0" w:color="auto"/>
        <w:bottom w:val="none" w:sz="0" w:space="0" w:color="auto"/>
        <w:right w:val="none" w:sz="0" w:space="0" w:color="auto"/>
      </w:divBdr>
    </w:div>
    <w:div w:id="1341932562">
      <w:bodyDiv w:val="1"/>
      <w:marLeft w:val="0"/>
      <w:marRight w:val="0"/>
      <w:marTop w:val="0"/>
      <w:marBottom w:val="0"/>
      <w:divBdr>
        <w:top w:val="none" w:sz="0" w:space="0" w:color="auto"/>
        <w:left w:val="none" w:sz="0" w:space="0" w:color="auto"/>
        <w:bottom w:val="none" w:sz="0" w:space="0" w:color="auto"/>
        <w:right w:val="none" w:sz="0" w:space="0" w:color="auto"/>
      </w:divBdr>
    </w:div>
    <w:div w:id="1348756887">
      <w:bodyDiv w:val="1"/>
      <w:marLeft w:val="0"/>
      <w:marRight w:val="0"/>
      <w:marTop w:val="0"/>
      <w:marBottom w:val="0"/>
      <w:divBdr>
        <w:top w:val="none" w:sz="0" w:space="0" w:color="auto"/>
        <w:left w:val="none" w:sz="0" w:space="0" w:color="auto"/>
        <w:bottom w:val="none" w:sz="0" w:space="0" w:color="auto"/>
        <w:right w:val="none" w:sz="0" w:space="0" w:color="auto"/>
      </w:divBdr>
    </w:div>
    <w:div w:id="1352607021">
      <w:bodyDiv w:val="1"/>
      <w:marLeft w:val="0"/>
      <w:marRight w:val="0"/>
      <w:marTop w:val="0"/>
      <w:marBottom w:val="0"/>
      <w:divBdr>
        <w:top w:val="none" w:sz="0" w:space="0" w:color="auto"/>
        <w:left w:val="none" w:sz="0" w:space="0" w:color="auto"/>
        <w:bottom w:val="none" w:sz="0" w:space="0" w:color="auto"/>
        <w:right w:val="none" w:sz="0" w:space="0" w:color="auto"/>
      </w:divBdr>
    </w:div>
    <w:div w:id="1357778231">
      <w:bodyDiv w:val="1"/>
      <w:marLeft w:val="0"/>
      <w:marRight w:val="0"/>
      <w:marTop w:val="0"/>
      <w:marBottom w:val="0"/>
      <w:divBdr>
        <w:top w:val="none" w:sz="0" w:space="0" w:color="auto"/>
        <w:left w:val="none" w:sz="0" w:space="0" w:color="auto"/>
        <w:bottom w:val="none" w:sz="0" w:space="0" w:color="auto"/>
        <w:right w:val="none" w:sz="0" w:space="0" w:color="auto"/>
      </w:divBdr>
    </w:div>
    <w:div w:id="1365324918">
      <w:bodyDiv w:val="1"/>
      <w:marLeft w:val="0"/>
      <w:marRight w:val="0"/>
      <w:marTop w:val="0"/>
      <w:marBottom w:val="0"/>
      <w:divBdr>
        <w:top w:val="none" w:sz="0" w:space="0" w:color="auto"/>
        <w:left w:val="none" w:sz="0" w:space="0" w:color="auto"/>
        <w:bottom w:val="none" w:sz="0" w:space="0" w:color="auto"/>
        <w:right w:val="none" w:sz="0" w:space="0" w:color="auto"/>
      </w:divBdr>
    </w:div>
    <w:div w:id="1370766345">
      <w:bodyDiv w:val="1"/>
      <w:marLeft w:val="0"/>
      <w:marRight w:val="0"/>
      <w:marTop w:val="0"/>
      <w:marBottom w:val="0"/>
      <w:divBdr>
        <w:top w:val="none" w:sz="0" w:space="0" w:color="auto"/>
        <w:left w:val="none" w:sz="0" w:space="0" w:color="auto"/>
        <w:bottom w:val="none" w:sz="0" w:space="0" w:color="auto"/>
        <w:right w:val="none" w:sz="0" w:space="0" w:color="auto"/>
      </w:divBdr>
    </w:div>
    <w:div w:id="1372147565">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11929446">
      <w:bodyDiv w:val="1"/>
      <w:marLeft w:val="0"/>
      <w:marRight w:val="0"/>
      <w:marTop w:val="0"/>
      <w:marBottom w:val="0"/>
      <w:divBdr>
        <w:top w:val="none" w:sz="0" w:space="0" w:color="auto"/>
        <w:left w:val="none" w:sz="0" w:space="0" w:color="auto"/>
        <w:bottom w:val="none" w:sz="0" w:space="0" w:color="auto"/>
        <w:right w:val="none" w:sz="0" w:space="0" w:color="auto"/>
      </w:divBdr>
    </w:div>
    <w:div w:id="1413237553">
      <w:bodyDiv w:val="1"/>
      <w:marLeft w:val="0"/>
      <w:marRight w:val="0"/>
      <w:marTop w:val="0"/>
      <w:marBottom w:val="0"/>
      <w:divBdr>
        <w:top w:val="none" w:sz="0" w:space="0" w:color="auto"/>
        <w:left w:val="none" w:sz="0" w:space="0" w:color="auto"/>
        <w:bottom w:val="none" w:sz="0" w:space="0" w:color="auto"/>
        <w:right w:val="none" w:sz="0" w:space="0" w:color="auto"/>
      </w:divBdr>
    </w:div>
    <w:div w:id="1443916108">
      <w:bodyDiv w:val="1"/>
      <w:marLeft w:val="0"/>
      <w:marRight w:val="0"/>
      <w:marTop w:val="0"/>
      <w:marBottom w:val="0"/>
      <w:divBdr>
        <w:top w:val="none" w:sz="0" w:space="0" w:color="auto"/>
        <w:left w:val="none" w:sz="0" w:space="0" w:color="auto"/>
        <w:bottom w:val="none" w:sz="0" w:space="0" w:color="auto"/>
        <w:right w:val="none" w:sz="0" w:space="0" w:color="auto"/>
      </w:divBdr>
    </w:div>
    <w:div w:id="1444423530">
      <w:bodyDiv w:val="1"/>
      <w:marLeft w:val="0"/>
      <w:marRight w:val="0"/>
      <w:marTop w:val="0"/>
      <w:marBottom w:val="0"/>
      <w:divBdr>
        <w:top w:val="none" w:sz="0" w:space="0" w:color="auto"/>
        <w:left w:val="none" w:sz="0" w:space="0" w:color="auto"/>
        <w:bottom w:val="none" w:sz="0" w:space="0" w:color="auto"/>
        <w:right w:val="none" w:sz="0" w:space="0" w:color="auto"/>
      </w:divBdr>
    </w:div>
    <w:div w:id="1453015761">
      <w:bodyDiv w:val="1"/>
      <w:marLeft w:val="0"/>
      <w:marRight w:val="0"/>
      <w:marTop w:val="0"/>
      <w:marBottom w:val="0"/>
      <w:divBdr>
        <w:top w:val="none" w:sz="0" w:space="0" w:color="auto"/>
        <w:left w:val="none" w:sz="0" w:space="0" w:color="auto"/>
        <w:bottom w:val="none" w:sz="0" w:space="0" w:color="auto"/>
        <w:right w:val="none" w:sz="0" w:space="0" w:color="auto"/>
      </w:divBdr>
    </w:div>
    <w:div w:id="1453477984">
      <w:bodyDiv w:val="1"/>
      <w:marLeft w:val="0"/>
      <w:marRight w:val="0"/>
      <w:marTop w:val="0"/>
      <w:marBottom w:val="0"/>
      <w:divBdr>
        <w:top w:val="none" w:sz="0" w:space="0" w:color="auto"/>
        <w:left w:val="none" w:sz="0" w:space="0" w:color="auto"/>
        <w:bottom w:val="none" w:sz="0" w:space="0" w:color="auto"/>
        <w:right w:val="none" w:sz="0" w:space="0" w:color="auto"/>
      </w:divBdr>
    </w:div>
    <w:div w:id="1467700967">
      <w:bodyDiv w:val="1"/>
      <w:marLeft w:val="0"/>
      <w:marRight w:val="0"/>
      <w:marTop w:val="0"/>
      <w:marBottom w:val="0"/>
      <w:divBdr>
        <w:top w:val="none" w:sz="0" w:space="0" w:color="auto"/>
        <w:left w:val="none" w:sz="0" w:space="0" w:color="auto"/>
        <w:bottom w:val="none" w:sz="0" w:space="0" w:color="auto"/>
        <w:right w:val="none" w:sz="0" w:space="0" w:color="auto"/>
      </w:divBdr>
    </w:div>
    <w:div w:id="1485969670">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494686140">
      <w:bodyDiv w:val="1"/>
      <w:marLeft w:val="0"/>
      <w:marRight w:val="0"/>
      <w:marTop w:val="0"/>
      <w:marBottom w:val="0"/>
      <w:divBdr>
        <w:top w:val="none" w:sz="0" w:space="0" w:color="auto"/>
        <w:left w:val="none" w:sz="0" w:space="0" w:color="auto"/>
        <w:bottom w:val="none" w:sz="0" w:space="0" w:color="auto"/>
        <w:right w:val="none" w:sz="0" w:space="0" w:color="auto"/>
      </w:divBdr>
    </w:div>
    <w:div w:id="1525631312">
      <w:bodyDiv w:val="1"/>
      <w:marLeft w:val="0"/>
      <w:marRight w:val="0"/>
      <w:marTop w:val="0"/>
      <w:marBottom w:val="0"/>
      <w:divBdr>
        <w:top w:val="none" w:sz="0" w:space="0" w:color="auto"/>
        <w:left w:val="none" w:sz="0" w:space="0" w:color="auto"/>
        <w:bottom w:val="none" w:sz="0" w:space="0" w:color="auto"/>
        <w:right w:val="none" w:sz="0" w:space="0" w:color="auto"/>
      </w:divBdr>
    </w:div>
    <w:div w:id="1562322362">
      <w:bodyDiv w:val="1"/>
      <w:marLeft w:val="0"/>
      <w:marRight w:val="0"/>
      <w:marTop w:val="0"/>
      <w:marBottom w:val="0"/>
      <w:divBdr>
        <w:top w:val="none" w:sz="0" w:space="0" w:color="auto"/>
        <w:left w:val="none" w:sz="0" w:space="0" w:color="auto"/>
        <w:bottom w:val="none" w:sz="0" w:space="0" w:color="auto"/>
        <w:right w:val="none" w:sz="0" w:space="0" w:color="auto"/>
      </w:divBdr>
    </w:div>
    <w:div w:id="1603756995">
      <w:bodyDiv w:val="1"/>
      <w:marLeft w:val="0"/>
      <w:marRight w:val="0"/>
      <w:marTop w:val="0"/>
      <w:marBottom w:val="0"/>
      <w:divBdr>
        <w:top w:val="none" w:sz="0" w:space="0" w:color="auto"/>
        <w:left w:val="none" w:sz="0" w:space="0" w:color="auto"/>
        <w:bottom w:val="none" w:sz="0" w:space="0" w:color="auto"/>
        <w:right w:val="none" w:sz="0" w:space="0" w:color="auto"/>
      </w:divBdr>
    </w:div>
    <w:div w:id="1614248048">
      <w:bodyDiv w:val="1"/>
      <w:marLeft w:val="0"/>
      <w:marRight w:val="0"/>
      <w:marTop w:val="0"/>
      <w:marBottom w:val="0"/>
      <w:divBdr>
        <w:top w:val="none" w:sz="0" w:space="0" w:color="auto"/>
        <w:left w:val="none" w:sz="0" w:space="0" w:color="auto"/>
        <w:bottom w:val="none" w:sz="0" w:space="0" w:color="auto"/>
        <w:right w:val="none" w:sz="0" w:space="0" w:color="auto"/>
      </w:divBdr>
    </w:div>
    <w:div w:id="1614285093">
      <w:bodyDiv w:val="1"/>
      <w:marLeft w:val="0"/>
      <w:marRight w:val="0"/>
      <w:marTop w:val="0"/>
      <w:marBottom w:val="0"/>
      <w:divBdr>
        <w:top w:val="none" w:sz="0" w:space="0" w:color="auto"/>
        <w:left w:val="none" w:sz="0" w:space="0" w:color="auto"/>
        <w:bottom w:val="none" w:sz="0" w:space="0" w:color="auto"/>
        <w:right w:val="none" w:sz="0" w:space="0" w:color="auto"/>
      </w:divBdr>
    </w:div>
    <w:div w:id="1621260028">
      <w:bodyDiv w:val="1"/>
      <w:marLeft w:val="0"/>
      <w:marRight w:val="0"/>
      <w:marTop w:val="0"/>
      <w:marBottom w:val="0"/>
      <w:divBdr>
        <w:top w:val="none" w:sz="0" w:space="0" w:color="auto"/>
        <w:left w:val="none" w:sz="0" w:space="0" w:color="auto"/>
        <w:bottom w:val="none" w:sz="0" w:space="0" w:color="auto"/>
        <w:right w:val="none" w:sz="0" w:space="0" w:color="auto"/>
      </w:divBdr>
    </w:div>
    <w:div w:id="1649245364">
      <w:bodyDiv w:val="1"/>
      <w:marLeft w:val="0"/>
      <w:marRight w:val="0"/>
      <w:marTop w:val="0"/>
      <w:marBottom w:val="0"/>
      <w:divBdr>
        <w:top w:val="none" w:sz="0" w:space="0" w:color="auto"/>
        <w:left w:val="none" w:sz="0" w:space="0" w:color="auto"/>
        <w:bottom w:val="none" w:sz="0" w:space="0" w:color="auto"/>
        <w:right w:val="none" w:sz="0" w:space="0" w:color="auto"/>
      </w:divBdr>
    </w:div>
    <w:div w:id="1662811878">
      <w:bodyDiv w:val="1"/>
      <w:marLeft w:val="0"/>
      <w:marRight w:val="0"/>
      <w:marTop w:val="0"/>
      <w:marBottom w:val="0"/>
      <w:divBdr>
        <w:top w:val="none" w:sz="0" w:space="0" w:color="auto"/>
        <w:left w:val="none" w:sz="0" w:space="0" w:color="auto"/>
        <w:bottom w:val="none" w:sz="0" w:space="0" w:color="auto"/>
        <w:right w:val="none" w:sz="0" w:space="0" w:color="auto"/>
      </w:divBdr>
    </w:div>
    <w:div w:id="1687629517">
      <w:bodyDiv w:val="1"/>
      <w:marLeft w:val="0"/>
      <w:marRight w:val="0"/>
      <w:marTop w:val="0"/>
      <w:marBottom w:val="0"/>
      <w:divBdr>
        <w:top w:val="none" w:sz="0" w:space="0" w:color="auto"/>
        <w:left w:val="none" w:sz="0" w:space="0" w:color="auto"/>
        <w:bottom w:val="none" w:sz="0" w:space="0" w:color="auto"/>
        <w:right w:val="none" w:sz="0" w:space="0" w:color="auto"/>
      </w:divBdr>
    </w:div>
    <w:div w:id="1692755238">
      <w:bodyDiv w:val="1"/>
      <w:marLeft w:val="0"/>
      <w:marRight w:val="0"/>
      <w:marTop w:val="0"/>
      <w:marBottom w:val="0"/>
      <w:divBdr>
        <w:top w:val="none" w:sz="0" w:space="0" w:color="auto"/>
        <w:left w:val="none" w:sz="0" w:space="0" w:color="auto"/>
        <w:bottom w:val="none" w:sz="0" w:space="0" w:color="auto"/>
        <w:right w:val="none" w:sz="0" w:space="0" w:color="auto"/>
      </w:divBdr>
    </w:div>
    <w:div w:id="1699700917">
      <w:bodyDiv w:val="1"/>
      <w:marLeft w:val="0"/>
      <w:marRight w:val="0"/>
      <w:marTop w:val="0"/>
      <w:marBottom w:val="0"/>
      <w:divBdr>
        <w:top w:val="none" w:sz="0" w:space="0" w:color="auto"/>
        <w:left w:val="none" w:sz="0" w:space="0" w:color="auto"/>
        <w:bottom w:val="none" w:sz="0" w:space="0" w:color="auto"/>
        <w:right w:val="none" w:sz="0" w:space="0" w:color="auto"/>
      </w:divBdr>
    </w:div>
    <w:div w:id="1709838590">
      <w:bodyDiv w:val="1"/>
      <w:marLeft w:val="0"/>
      <w:marRight w:val="0"/>
      <w:marTop w:val="0"/>
      <w:marBottom w:val="0"/>
      <w:divBdr>
        <w:top w:val="none" w:sz="0" w:space="0" w:color="auto"/>
        <w:left w:val="none" w:sz="0" w:space="0" w:color="auto"/>
        <w:bottom w:val="none" w:sz="0" w:space="0" w:color="auto"/>
        <w:right w:val="none" w:sz="0" w:space="0" w:color="auto"/>
      </w:divBdr>
    </w:div>
    <w:div w:id="1763260647">
      <w:bodyDiv w:val="1"/>
      <w:marLeft w:val="0"/>
      <w:marRight w:val="0"/>
      <w:marTop w:val="0"/>
      <w:marBottom w:val="0"/>
      <w:divBdr>
        <w:top w:val="none" w:sz="0" w:space="0" w:color="auto"/>
        <w:left w:val="none" w:sz="0" w:space="0" w:color="auto"/>
        <w:bottom w:val="none" w:sz="0" w:space="0" w:color="auto"/>
        <w:right w:val="none" w:sz="0" w:space="0" w:color="auto"/>
      </w:divBdr>
    </w:div>
    <w:div w:id="1798064231">
      <w:bodyDiv w:val="1"/>
      <w:marLeft w:val="0"/>
      <w:marRight w:val="0"/>
      <w:marTop w:val="0"/>
      <w:marBottom w:val="0"/>
      <w:divBdr>
        <w:top w:val="none" w:sz="0" w:space="0" w:color="auto"/>
        <w:left w:val="none" w:sz="0" w:space="0" w:color="auto"/>
        <w:bottom w:val="none" w:sz="0" w:space="0" w:color="auto"/>
        <w:right w:val="none" w:sz="0" w:space="0" w:color="auto"/>
      </w:divBdr>
    </w:div>
    <w:div w:id="1801454864">
      <w:bodyDiv w:val="1"/>
      <w:marLeft w:val="0"/>
      <w:marRight w:val="0"/>
      <w:marTop w:val="0"/>
      <w:marBottom w:val="0"/>
      <w:divBdr>
        <w:top w:val="none" w:sz="0" w:space="0" w:color="auto"/>
        <w:left w:val="none" w:sz="0" w:space="0" w:color="auto"/>
        <w:bottom w:val="none" w:sz="0" w:space="0" w:color="auto"/>
        <w:right w:val="none" w:sz="0" w:space="0" w:color="auto"/>
      </w:divBdr>
    </w:div>
    <w:div w:id="1836259990">
      <w:bodyDiv w:val="1"/>
      <w:marLeft w:val="0"/>
      <w:marRight w:val="0"/>
      <w:marTop w:val="0"/>
      <w:marBottom w:val="0"/>
      <w:divBdr>
        <w:top w:val="none" w:sz="0" w:space="0" w:color="auto"/>
        <w:left w:val="none" w:sz="0" w:space="0" w:color="auto"/>
        <w:bottom w:val="none" w:sz="0" w:space="0" w:color="auto"/>
        <w:right w:val="none" w:sz="0" w:space="0" w:color="auto"/>
      </w:divBdr>
    </w:div>
    <w:div w:id="1876964214">
      <w:bodyDiv w:val="1"/>
      <w:marLeft w:val="0"/>
      <w:marRight w:val="0"/>
      <w:marTop w:val="0"/>
      <w:marBottom w:val="0"/>
      <w:divBdr>
        <w:top w:val="none" w:sz="0" w:space="0" w:color="auto"/>
        <w:left w:val="none" w:sz="0" w:space="0" w:color="auto"/>
        <w:bottom w:val="none" w:sz="0" w:space="0" w:color="auto"/>
        <w:right w:val="none" w:sz="0" w:space="0" w:color="auto"/>
      </w:divBdr>
    </w:div>
    <w:div w:id="1891379432">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26839824">
      <w:bodyDiv w:val="1"/>
      <w:marLeft w:val="0"/>
      <w:marRight w:val="0"/>
      <w:marTop w:val="0"/>
      <w:marBottom w:val="0"/>
      <w:divBdr>
        <w:top w:val="none" w:sz="0" w:space="0" w:color="auto"/>
        <w:left w:val="none" w:sz="0" w:space="0" w:color="auto"/>
        <w:bottom w:val="none" w:sz="0" w:space="0" w:color="auto"/>
        <w:right w:val="none" w:sz="0" w:space="0" w:color="auto"/>
      </w:divBdr>
    </w:div>
    <w:div w:id="1953437670">
      <w:bodyDiv w:val="1"/>
      <w:marLeft w:val="0"/>
      <w:marRight w:val="0"/>
      <w:marTop w:val="0"/>
      <w:marBottom w:val="0"/>
      <w:divBdr>
        <w:top w:val="none" w:sz="0" w:space="0" w:color="auto"/>
        <w:left w:val="none" w:sz="0" w:space="0" w:color="auto"/>
        <w:bottom w:val="none" w:sz="0" w:space="0" w:color="auto"/>
        <w:right w:val="none" w:sz="0" w:space="0" w:color="auto"/>
      </w:divBdr>
      <w:divsChild>
        <w:div w:id="873805513">
          <w:marLeft w:val="0"/>
          <w:marRight w:val="0"/>
          <w:marTop w:val="0"/>
          <w:marBottom w:val="0"/>
          <w:divBdr>
            <w:top w:val="none" w:sz="0" w:space="0" w:color="auto"/>
            <w:left w:val="none" w:sz="0" w:space="0" w:color="auto"/>
            <w:bottom w:val="none" w:sz="0" w:space="0" w:color="auto"/>
            <w:right w:val="none" w:sz="0" w:space="0" w:color="auto"/>
          </w:divBdr>
        </w:div>
        <w:div w:id="1213230712">
          <w:marLeft w:val="0"/>
          <w:marRight w:val="0"/>
          <w:marTop w:val="0"/>
          <w:marBottom w:val="0"/>
          <w:divBdr>
            <w:top w:val="none" w:sz="0" w:space="0" w:color="auto"/>
            <w:left w:val="none" w:sz="0" w:space="0" w:color="auto"/>
            <w:bottom w:val="none" w:sz="0" w:space="0" w:color="auto"/>
            <w:right w:val="none" w:sz="0" w:space="0" w:color="auto"/>
          </w:divBdr>
        </w:div>
        <w:div w:id="335960360">
          <w:marLeft w:val="0"/>
          <w:marRight w:val="0"/>
          <w:marTop w:val="0"/>
          <w:marBottom w:val="0"/>
          <w:divBdr>
            <w:top w:val="none" w:sz="0" w:space="0" w:color="auto"/>
            <w:left w:val="none" w:sz="0" w:space="0" w:color="auto"/>
            <w:bottom w:val="none" w:sz="0" w:space="0" w:color="auto"/>
            <w:right w:val="none" w:sz="0" w:space="0" w:color="auto"/>
          </w:divBdr>
        </w:div>
        <w:div w:id="1894808074">
          <w:marLeft w:val="0"/>
          <w:marRight w:val="0"/>
          <w:marTop w:val="0"/>
          <w:marBottom w:val="0"/>
          <w:divBdr>
            <w:top w:val="none" w:sz="0" w:space="0" w:color="auto"/>
            <w:left w:val="none" w:sz="0" w:space="0" w:color="auto"/>
            <w:bottom w:val="none" w:sz="0" w:space="0" w:color="auto"/>
            <w:right w:val="none" w:sz="0" w:space="0" w:color="auto"/>
          </w:divBdr>
        </w:div>
      </w:divsChild>
    </w:div>
    <w:div w:id="1970819806">
      <w:bodyDiv w:val="1"/>
      <w:marLeft w:val="0"/>
      <w:marRight w:val="0"/>
      <w:marTop w:val="0"/>
      <w:marBottom w:val="0"/>
      <w:divBdr>
        <w:top w:val="none" w:sz="0" w:space="0" w:color="auto"/>
        <w:left w:val="none" w:sz="0" w:space="0" w:color="auto"/>
        <w:bottom w:val="none" w:sz="0" w:space="0" w:color="auto"/>
        <w:right w:val="none" w:sz="0" w:space="0" w:color="auto"/>
      </w:divBdr>
    </w:div>
    <w:div w:id="1974289017">
      <w:bodyDiv w:val="1"/>
      <w:marLeft w:val="0"/>
      <w:marRight w:val="0"/>
      <w:marTop w:val="0"/>
      <w:marBottom w:val="0"/>
      <w:divBdr>
        <w:top w:val="none" w:sz="0" w:space="0" w:color="auto"/>
        <w:left w:val="none" w:sz="0" w:space="0" w:color="auto"/>
        <w:bottom w:val="none" w:sz="0" w:space="0" w:color="auto"/>
        <w:right w:val="none" w:sz="0" w:space="0" w:color="auto"/>
      </w:divBdr>
    </w:div>
    <w:div w:id="2009865370">
      <w:bodyDiv w:val="1"/>
      <w:marLeft w:val="0"/>
      <w:marRight w:val="0"/>
      <w:marTop w:val="0"/>
      <w:marBottom w:val="0"/>
      <w:divBdr>
        <w:top w:val="none" w:sz="0" w:space="0" w:color="auto"/>
        <w:left w:val="none" w:sz="0" w:space="0" w:color="auto"/>
        <w:bottom w:val="none" w:sz="0" w:space="0" w:color="auto"/>
        <w:right w:val="none" w:sz="0" w:space="0" w:color="auto"/>
      </w:divBdr>
    </w:div>
    <w:div w:id="2037845227">
      <w:bodyDiv w:val="1"/>
      <w:marLeft w:val="0"/>
      <w:marRight w:val="0"/>
      <w:marTop w:val="0"/>
      <w:marBottom w:val="0"/>
      <w:divBdr>
        <w:top w:val="none" w:sz="0" w:space="0" w:color="auto"/>
        <w:left w:val="none" w:sz="0" w:space="0" w:color="auto"/>
        <w:bottom w:val="none" w:sz="0" w:space="0" w:color="auto"/>
        <w:right w:val="none" w:sz="0" w:space="0" w:color="auto"/>
      </w:divBdr>
    </w:div>
    <w:div w:id="2038432787">
      <w:bodyDiv w:val="1"/>
      <w:marLeft w:val="0"/>
      <w:marRight w:val="0"/>
      <w:marTop w:val="0"/>
      <w:marBottom w:val="0"/>
      <w:divBdr>
        <w:top w:val="none" w:sz="0" w:space="0" w:color="auto"/>
        <w:left w:val="none" w:sz="0" w:space="0" w:color="auto"/>
        <w:bottom w:val="none" w:sz="0" w:space="0" w:color="auto"/>
        <w:right w:val="none" w:sz="0" w:space="0" w:color="auto"/>
      </w:divBdr>
    </w:div>
    <w:div w:id="2052729352">
      <w:bodyDiv w:val="1"/>
      <w:marLeft w:val="0"/>
      <w:marRight w:val="0"/>
      <w:marTop w:val="0"/>
      <w:marBottom w:val="0"/>
      <w:divBdr>
        <w:top w:val="none" w:sz="0" w:space="0" w:color="auto"/>
        <w:left w:val="none" w:sz="0" w:space="0" w:color="auto"/>
        <w:bottom w:val="none" w:sz="0" w:space="0" w:color="auto"/>
        <w:right w:val="none" w:sz="0" w:space="0" w:color="auto"/>
      </w:divBdr>
    </w:div>
    <w:div w:id="2064015031">
      <w:bodyDiv w:val="1"/>
      <w:marLeft w:val="0"/>
      <w:marRight w:val="0"/>
      <w:marTop w:val="0"/>
      <w:marBottom w:val="0"/>
      <w:divBdr>
        <w:top w:val="none" w:sz="0" w:space="0" w:color="auto"/>
        <w:left w:val="none" w:sz="0" w:space="0" w:color="auto"/>
        <w:bottom w:val="none" w:sz="0" w:space="0" w:color="auto"/>
        <w:right w:val="none" w:sz="0" w:space="0" w:color="auto"/>
      </w:divBdr>
    </w:div>
    <w:div w:id="2071994726">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0772585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 w:id="2132433870">
      <w:bodyDiv w:val="1"/>
      <w:marLeft w:val="0"/>
      <w:marRight w:val="0"/>
      <w:marTop w:val="0"/>
      <w:marBottom w:val="0"/>
      <w:divBdr>
        <w:top w:val="none" w:sz="0" w:space="0" w:color="auto"/>
        <w:left w:val="none" w:sz="0" w:space="0" w:color="auto"/>
        <w:bottom w:val="none" w:sz="0" w:space="0" w:color="auto"/>
        <w:right w:val="none" w:sz="0" w:space="0" w:color="auto"/>
      </w:divBdr>
    </w:div>
    <w:div w:id="2143306692">
      <w:bodyDiv w:val="1"/>
      <w:marLeft w:val="0"/>
      <w:marRight w:val="0"/>
      <w:marTop w:val="0"/>
      <w:marBottom w:val="0"/>
      <w:divBdr>
        <w:top w:val="none" w:sz="0" w:space="0" w:color="auto"/>
        <w:left w:val="none" w:sz="0" w:space="0" w:color="auto"/>
        <w:bottom w:val="none" w:sz="0" w:space="0" w:color="auto"/>
        <w:right w:val="none" w:sz="0" w:space="0" w:color="auto"/>
      </w:divBdr>
    </w:div>
    <w:div w:id="2143960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6.xml"/><Relationship Id="rId39" Type="http://schemas.openxmlformats.org/officeDocument/2006/relationships/chart" Target="charts/chart16.xml"/><Relationship Id="rId34" Type="http://schemas.openxmlformats.org/officeDocument/2006/relationships/chart" Target="charts/chart14.xml"/><Relationship Id="rId42" Type="http://schemas.openxmlformats.org/officeDocument/2006/relationships/chart" Target="charts/chart19.xml"/><Relationship Id="rId47" Type="http://schemas.openxmlformats.org/officeDocument/2006/relationships/fontTable" Target="fontTable.xml"/><Relationship Id="rId7" Type="http://schemas.openxmlformats.org/officeDocument/2006/relationships/endnotes" Target="endnotes.xml"/><Relationship Id="rId25" Type="http://schemas.openxmlformats.org/officeDocument/2006/relationships/chart" Target="charts/chart5.xml"/><Relationship Id="rId33" Type="http://schemas.openxmlformats.org/officeDocument/2006/relationships/chart" Target="charts/chart13.xml"/><Relationship Id="rId38" Type="http://schemas.openxmlformats.org/officeDocument/2006/relationships/hyperlink" Target="https://www.mpsv.cz/web/cz/informace-o-vyplacenych-davkach" TargetMode="External"/><Relationship Id="rId46"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chart" Target="charts/chart9.xml"/><Relationship Id="rId41"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chart" Target="charts/chart4.xml"/><Relationship Id="rId32" Type="http://schemas.openxmlformats.org/officeDocument/2006/relationships/chart" Target="charts/chart12.xml"/><Relationship Id="rId37" Type="http://schemas.openxmlformats.org/officeDocument/2006/relationships/hyperlink" Target="https://www.mpsv.cz/documents/20142/225490/Analyza_vyvoje_nemocenskeho_pojisteni_2017.pdf/4b888822-ef45-0fc5-c8fc-112411536d6c" TargetMode="External"/><Relationship Id="rId40" Type="http://schemas.openxmlformats.org/officeDocument/2006/relationships/chart" Target="charts/chart17.xml"/><Relationship Id="rId45" Type="http://schemas.openxmlformats.org/officeDocument/2006/relationships/footer" Target="footer1.xml"/><Relationship Id="rId5" Type="http://schemas.openxmlformats.org/officeDocument/2006/relationships/webSettings" Target="webSettings.xml"/><Relationship Id="rId23" Type="http://schemas.openxmlformats.org/officeDocument/2006/relationships/image" Target="media/image3.png"/><Relationship Id="rId28" Type="http://schemas.openxmlformats.org/officeDocument/2006/relationships/chart" Target="charts/chart8.xml"/><Relationship Id="rId36" Type="http://schemas.openxmlformats.org/officeDocument/2006/relationships/hyperlink" Target="https://www.mpsv.cz/documents/20142/225490/Instrukce_-9_2017-Standardy_delek_DPN.pdf/d5ae2fe1-fc5e-4817-70d2-1c273f54e5a1" TargetMode="External"/><Relationship Id="rId10" Type="http://schemas.openxmlformats.org/officeDocument/2006/relationships/chart" Target="charts/chart3.xml"/><Relationship Id="rId31" Type="http://schemas.openxmlformats.org/officeDocument/2006/relationships/chart" Target="charts/chart11.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2.xml"/><Relationship Id="rId22" Type="http://schemas.openxmlformats.org/officeDocument/2006/relationships/image" Target="media/image2.png"/><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chart" Target="charts/chart15.xm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chart" Target="charts/chart1.xml"/><Relationship Id="rId51" Type="http://schemas.microsoft.com/office/2016/09/relationships/commentsIds" Target="commentsIds.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Odbor%2063\NEM_UR\tabulky_moje\Publikace%20bar%20CZ_lide%20a%20spolecnost_2017-08-14.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N\2019\1.%20pol\26000418p1_POMOCN&#201;%20TABULKY_PRO%20GRAFY_FINAL.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D:\PN\2019\1.%20pol\26000418p1_POMOCN&#201;%20TABULKY_PRO%20GRAFY_FINAL.xlsx" TargetMode="External"/><Relationship Id="rId2" Type="http://schemas.microsoft.com/office/2011/relationships/chartColorStyle" Target="colors6.xml"/><Relationship Id="rId1" Type="http://schemas.microsoft.com/office/2011/relationships/chartStyle" Target="style6.xml"/></Relationships>
</file>

<file path=word/charts/_rels/chart11.xml.rels><?xml version="1.0" encoding="UTF-8" standalone="yes"?>
<Relationships xmlns="http://schemas.openxmlformats.org/package/2006/relationships"><Relationship Id="rId3" Type="http://schemas.openxmlformats.org/officeDocument/2006/relationships/oleObject" Target="file:///D:\PN\2019\1.%20pol\26000418p1_POMOCN&#201;%20TABULKY_PRO%20GRAFY_FINAL.xlsx" TargetMode="External"/><Relationship Id="rId2" Type="http://schemas.microsoft.com/office/2011/relationships/chartColorStyle" Target="colors7.xml"/><Relationship Id="rId1" Type="http://schemas.microsoft.com/office/2011/relationships/chartStyle" Target="style7.xml"/></Relationships>
</file>

<file path=word/charts/_rels/chart12.xml.rels><?xml version="1.0" encoding="UTF-8" standalone="yes"?>
<Relationships xmlns="http://schemas.openxmlformats.org/package/2006/relationships"><Relationship Id="rId3" Type="http://schemas.openxmlformats.org/officeDocument/2006/relationships/oleObject" Target="file:///D:\PN\2019\1.%20pol\26000418p1_POMOCN&#201;%20TABULKY_PRO%20GRAFY_FINAL.xlsx" TargetMode="External"/><Relationship Id="rId2" Type="http://schemas.microsoft.com/office/2011/relationships/chartColorStyle" Target="colors8.xml"/><Relationship Id="rId1" Type="http://schemas.microsoft.com/office/2011/relationships/chartStyle" Target="style8.xml"/></Relationships>
</file>

<file path=word/charts/_rels/chart13.xml.rels><?xml version="1.0" encoding="UTF-8" standalone="yes"?>
<Relationships xmlns="http://schemas.openxmlformats.org/package/2006/relationships"><Relationship Id="rId3" Type="http://schemas.openxmlformats.org/officeDocument/2006/relationships/oleObject" Target="file:///D:\PN\2019\1.%20pol\26000418p1_POMOCN&#201;%20TABULKY_PRO%20GRAFY_FINAL.xlsx" TargetMode="External"/><Relationship Id="rId2" Type="http://schemas.microsoft.com/office/2011/relationships/chartColorStyle" Target="colors9.xml"/><Relationship Id="rId1" Type="http://schemas.microsoft.com/office/2011/relationships/chartStyle" Target="style9.xml"/></Relationships>
</file>

<file path=word/charts/_rels/chart14.xml.rels><?xml version="1.0" encoding="UTF-8" standalone="yes"?>
<Relationships xmlns="http://schemas.openxmlformats.org/package/2006/relationships"><Relationship Id="rId3" Type="http://schemas.openxmlformats.org/officeDocument/2006/relationships/oleObject" Target="file:///D:\PN\2019\1.%20pol\26000418p1_POMOCN&#201;%20TABULKY_PRO%20GRAFY_FINAL.xlsx" TargetMode="External"/><Relationship Id="rId2" Type="http://schemas.microsoft.com/office/2011/relationships/chartColorStyle" Target="colors10.xml"/><Relationship Id="rId1" Type="http://schemas.microsoft.com/office/2011/relationships/chartStyle" Target="style10.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kotrbata23070\AppData\Roaming\Microsoft\Excel\26000418p1_POMOCN&#201;%20TABULKY_PRO%20GRAFY_FINAL%20(version%201).xlsb" TargetMode="External"/><Relationship Id="rId2" Type="http://schemas.microsoft.com/office/2011/relationships/chartColorStyle" Target="colors11.xml"/><Relationship Id="rId1" Type="http://schemas.microsoft.com/office/2011/relationships/chartStyle" Target="style11.xml"/></Relationships>
</file>

<file path=word/charts/_rels/chart16.xml.rels><?xml version="1.0" encoding="UTF-8" standalone="yes"?>
<Relationships xmlns="http://schemas.openxmlformats.org/package/2006/relationships"><Relationship Id="rId3" Type="http://schemas.openxmlformats.org/officeDocument/2006/relationships/oleObject" Target="file:///\\ABFS2\DATA\DATA\ZPRAC\TECHNOL\oddeleni_6301\1_Zdravotnictv&#237;\ADMNEMUR_Statistika%20pracovn&#237;%20neschopnosti%20pro%20nemoc%20a%20&#250;raz_Hyky&#353;ov&#225;\E-PUBLIKACE_PRACOVN&#205;%20NESCHOPNOST%20PRO%20NEMOC%20A%20&#218;RAZ%20V%20&#268;R\ADMNEMUR_1.%20POL.%202019\PRO%20GRAFY_FINAL_s%20v&#253;po&#269;ty_1.xlsx" TargetMode="External"/><Relationship Id="rId2" Type="http://schemas.microsoft.com/office/2011/relationships/chartColorStyle" Target="colors12.xml"/><Relationship Id="rId1" Type="http://schemas.microsoft.com/office/2011/relationships/chartStyle" Target="style12.xml"/></Relationships>
</file>

<file path=word/charts/_rels/chart17.xml.rels><?xml version="1.0" encoding="UTF-8" standalone="yes"?>
<Relationships xmlns="http://schemas.openxmlformats.org/package/2006/relationships"><Relationship Id="rId3" Type="http://schemas.openxmlformats.org/officeDocument/2006/relationships/oleObject" Target="file:///D:\PN\2019\1.%20pol\26000418p1_POMOCN&#201;%20TABULKY_PRO%20GRAFY_FINAL.xlsx" TargetMode="External"/><Relationship Id="rId2" Type="http://schemas.microsoft.com/office/2011/relationships/chartColorStyle" Target="colors13.xml"/><Relationship Id="rId1" Type="http://schemas.microsoft.com/office/2011/relationships/chartStyle" Target="style13.xml"/></Relationships>
</file>

<file path=word/charts/_rels/chart18.xml.rels><?xml version="1.0" encoding="UTF-8" standalone="yes"?>
<Relationships xmlns="http://schemas.openxmlformats.org/package/2006/relationships"><Relationship Id="rId3" Type="http://schemas.openxmlformats.org/officeDocument/2006/relationships/oleObject" Target="file:///D:\PN\2019\1.%20pol\26000418p1_POMOCN&#201;%20TABULKY_PRO%20GRAFY_FINAL.xlsx" TargetMode="External"/><Relationship Id="rId2" Type="http://schemas.microsoft.com/office/2011/relationships/chartColorStyle" Target="colors14.xml"/><Relationship Id="rId1" Type="http://schemas.microsoft.com/office/2011/relationships/chartStyle" Target="style14.xml"/></Relationships>
</file>

<file path=word/charts/_rels/chart19.xml.rels><?xml version="1.0" encoding="UTF-8" standalone="yes"?>
<Relationships xmlns="http://schemas.openxmlformats.org/package/2006/relationships"><Relationship Id="rId1" Type="http://schemas.openxmlformats.org/officeDocument/2006/relationships/oleObject" Target="file:///\\ABFS2\DATA\DATA\ZPRAC\TECHNOL\oddeleni_6301\1_Zdravotnictv&#237;\ADMNEMUR_Statistika%20pracovn&#237;%20neschopnosti%20pro%20nemoc%20a%20&#250;raz_Hyky&#353;ov&#225;\E-PUBLIKACE_PRACOVN&#205;%20NESCHOPNOST%20PRO%20NEMOC%20A%20&#218;RAZ%20V%20&#268;R\ADMNEMUR_1.%20POL.%202019\PRO%20GRAFY_FINAL_s%20v&#253;po&#269;ty_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N\2019\1.%20pol\POMOCN&#201;%20TABULKY_PRO%20GRAFY_FINAL_s%20v&#253;po&#269;t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N\2019\1.%20pol\POMOCN&#201;%20TABULKY_PRO%20GRAFY_FINAL_s%20v&#253;po&#269;ty.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D:\PN\2019\1.%20pol\26000418p1_POMOCN&#201;%20TABULKY_PRO%20GRAFY_FINAL.xlsx" TargetMode="External"/><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3" Type="http://schemas.openxmlformats.org/officeDocument/2006/relationships/oleObject" Target="file:///D:\PN\2019\1.%20pol\26000418p1_POMOCN&#201;%20TABULKY_PRO%20GRAFY_FINAL.xlsx" TargetMode="External"/><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1" Type="http://schemas.openxmlformats.org/officeDocument/2006/relationships/oleObject" Target="file:///D:\PN\2019\1.%20pol\26000418p1_POMOCN&#201;%20TABULKY_PRO%20GRAFY_FINAL.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D:\PN\2019\1.%20pol\26000418p1_POMOCN&#201;%20TABULKY_PRO%20GRAFY_FINAL.xlsx" TargetMode="External"/><Relationship Id="rId2" Type="http://schemas.microsoft.com/office/2011/relationships/chartColorStyle" Target="colors3.xml"/><Relationship Id="rId1" Type="http://schemas.microsoft.com/office/2011/relationships/chartStyle" Target="style3.xml"/></Relationships>
</file>

<file path=word/charts/_rels/chart8.xml.rels><?xml version="1.0" encoding="UTF-8" standalone="yes"?>
<Relationships xmlns="http://schemas.openxmlformats.org/package/2006/relationships"><Relationship Id="rId3" Type="http://schemas.openxmlformats.org/officeDocument/2006/relationships/oleObject" Target="file:///\\ABFS2\DATA\DATA\ZPRAC\TECHNOL\oddeleni_6301\1_Zdravotnictv&#237;\ADMNEMUR_Statistika%20pracovn&#237;%20neschopnosti%20pro%20nemoc%20a%20&#250;raz_Hyky&#353;ov&#225;\E-PUBLIKACE_PRACOVN&#205;%20NESCHOPNOST%20PRO%20NEMOC%20A%20&#218;RAZ%20V%20&#268;R\ADMNEMUR_1.%20POL.%202019\PRO%20GRAFY_FINAL_s%20v&#253;po&#269;ty_1.xlsx" TargetMode="External"/><Relationship Id="rId2" Type="http://schemas.microsoft.com/office/2011/relationships/chartColorStyle" Target="colors4.xml"/><Relationship Id="rId1" Type="http://schemas.microsoft.com/office/2011/relationships/chartStyle" Target="style4.xml"/></Relationships>
</file>

<file path=word/charts/_rels/chart9.xml.rels><?xml version="1.0" encoding="UTF-8" standalone="yes"?>
<Relationships xmlns="http://schemas.openxmlformats.org/package/2006/relationships"><Relationship Id="rId3" Type="http://schemas.openxmlformats.org/officeDocument/2006/relationships/oleObject" Target="file:///\\ABFS2\DATA\DATA\ZPRAC\TECHNOL\oddeleni_6301\1_Zdravotnictv&#237;\ADMNEMUR_Statistika%20pracovn&#237;%20neschopnosti%20pro%20nemoc%20a%20&#250;raz_Hyky&#353;ov&#225;\E-PUBLIKACE_PRACOVN&#205;%20NESCHOPNOST%20PRO%20NEMOC%20A%20&#218;RAZ%20V%20&#268;R\ADMNEMUR_1.%20POL.%202019\PRO%20GRAFY_FINAL_s%20v&#253;po&#269;ty_1.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barChart>
        <c:barDir val="col"/>
        <c:grouping val="percentStacked"/>
        <c:varyColors val="0"/>
        <c:ser>
          <c:idx val="0"/>
          <c:order val="0"/>
          <c:tx>
            <c:strRef>
              <c:f>'1.1'!$A$30</c:f>
              <c:strCache>
                <c:ptCount val="1"/>
                <c:pt idx="0">
                  <c:v> OSVČ</c:v>
                </c:pt>
              </c:strCache>
            </c:strRef>
          </c:tx>
          <c:spPr>
            <a:solidFill>
              <a:srgbClr val="6F2D2B"/>
            </a:solidFill>
            <a:ln>
              <a:noFill/>
            </a:ln>
          </c:spPr>
          <c:invertIfNegative val="0"/>
          <c:dLbls>
            <c:dLbl>
              <c:idx val="1"/>
              <c:layout>
                <c:manualLayout>
                  <c:x val="0"/>
                  <c:y val="-2.742073693230505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4E7-494E-8700-EF9195696D37}"/>
                </c:ext>
              </c:extLst>
            </c:dLbl>
            <c:dLbl>
              <c:idx val="2"/>
              <c:layout>
                <c:manualLayout>
                  <c:x val="0"/>
                  <c:y val="-3.084832904884318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4E7-494E-8700-EF9195696D37}"/>
                </c:ext>
              </c:extLst>
            </c:dLbl>
            <c:numFmt formatCode="0.0%" sourceLinked="0"/>
            <c:spPr>
              <a:noFill/>
              <a:ln>
                <a:noFill/>
              </a:ln>
              <a:effectLst/>
            </c:spPr>
            <c:txPr>
              <a:bodyPr wrap="square" lIns="38100" tIns="19050" rIns="38100" bIns="19050" anchor="ctr">
                <a:spAutoFit/>
              </a:bodyPr>
              <a:lstStyle/>
              <a:p>
                <a:pPr>
                  <a:defRPr>
                    <a:solidFill>
                      <a:schemeClr val="bg1"/>
                    </a:solidFill>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'1.1'!$B$28:$L$28</c:f>
              <c:strCache>
                <c:ptCount val="3"/>
                <c:pt idx="0">
                  <c:v>1. pol. 
2009</c:v>
                </c:pt>
                <c:pt idx="1">
                  <c:v>1. pol. 
2014</c:v>
                </c:pt>
                <c:pt idx="2">
                  <c:v>1. pol. 
2019</c:v>
                </c:pt>
              </c:strCache>
            </c:strRef>
          </c:cat>
          <c:val>
            <c:numRef>
              <c:f>'1.1'!$B$30:$L$30</c:f>
              <c:numCache>
                <c:formatCode>#\ ##0.0</c:formatCode>
                <c:ptCount val="3"/>
                <c:pt idx="0">
                  <c:v>3.6143270012085726E-2</c:v>
                </c:pt>
                <c:pt idx="1">
                  <c:v>2.249528322513885E-2</c:v>
                </c:pt>
                <c:pt idx="2" formatCode="0.0">
                  <c:v>1.9543597790768169E-2</c:v>
                </c:pt>
              </c:numCache>
            </c:numRef>
          </c:val>
          <c:extLst>
            <c:ext xmlns:c16="http://schemas.microsoft.com/office/drawing/2014/chart" uri="{C3380CC4-5D6E-409C-BE32-E72D297353CC}">
              <c16:uniqueId val="{00000002-44E7-494E-8700-EF9195696D37}"/>
            </c:ext>
          </c:extLst>
        </c:ser>
        <c:ser>
          <c:idx val="1"/>
          <c:order val="1"/>
          <c:tx>
            <c:strRef>
              <c:f>'1.1'!$A$31</c:f>
              <c:strCache>
                <c:ptCount val="1"/>
                <c:pt idx="0">
                  <c:v>  1–49 zaměstnanců</c:v>
                </c:pt>
              </c:strCache>
            </c:strRef>
          </c:tx>
          <c:spPr>
            <a:ln>
              <a:noFill/>
            </a:ln>
          </c:spPr>
          <c:invertIfNegative val="0"/>
          <c:dLbls>
            <c:numFmt formatCode="0.0%" sourceLinked="0"/>
            <c:spPr>
              <a:noFill/>
              <a:ln>
                <a:noFill/>
              </a:ln>
              <a:effectLst/>
            </c:spPr>
            <c:txPr>
              <a:bodyPr wrap="square" lIns="38100" tIns="19050" rIns="38100" bIns="19050" anchor="ctr">
                <a:spAutoFit/>
              </a:bodyPr>
              <a:lstStyle/>
              <a:p>
                <a:pPr>
                  <a:defRPr>
                    <a:solidFill>
                      <a:schemeClr val="bg1"/>
                    </a:solidFill>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'1.1'!$B$28:$L$28</c:f>
              <c:strCache>
                <c:ptCount val="3"/>
                <c:pt idx="0">
                  <c:v>1. pol. 
2009</c:v>
                </c:pt>
                <c:pt idx="1">
                  <c:v>1. pol. 
2014</c:v>
                </c:pt>
                <c:pt idx="2">
                  <c:v>1. pol. 
2019</c:v>
                </c:pt>
              </c:strCache>
            </c:strRef>
          </c:cat>
          <c:val>
            <c:numRef>
              <c:f>'1.1'!$B$31:$L$31</c:f>
              <c:numCache>
                <c:formatCode>#\ ##0.0</c:formatCode>
                <c:ptCount val="3"/>
                <c:pt idx="0">
                  <c:v>0.34417444290956595</c:v>
                </c:pt>
                <c:pt idx="1">
                  <c:v>0.326028553736114</c:v>
                </c:pt>
                <c:pt idx="2" formatCode="0.0">
                  <c:v>0.31672261860472162</c:v>
                </c:pt>
              </c:numCache>
            </c:numRef>
          </c:val>
          <c:extLst>
            <c:ext xmlns:c16="http://schemas.microsoft.com/office/drawing/2014/chart" uri="{C3380CC4-5D6E-409C-BE32-E72D297353CC}">
              <c16:uniqueId val="{00000003-44E7-494E-8700-EF9195696D37}"/>
            </c:ext>
          </c:extLst>
        </c:ser>
        <c:ser>
          <c:idx val="2"/>
          <c:order val="2"/>
          <c:tx>
            <c:strRef>
              <c:f>'1.1'!$A$32</c:f>
              <c:strCache>
                <c:ptCount val="1"/>
                <c:pt idx="0">
                  <c:v>  50–249 zaměstnanců</c:v>
                </c:pt>
              </c:strCache>
            </c:strRef>
          </c:tx>
          <c:spPr>
            <a:ln>
              <a:noFill/>
            </a:ln>
          </c:spPr>
          <c:invertIfNegative val="0"/>
          <c:dLbls>
            <c:numFmt formatCode="0.0%" sourceLinked="0"/>
            <c:spPr>
              <a:noFill/>
              <a:ln>
                <a:noFill/>
              </a:ln>
              <a:effectLst/>
            </c:spPr>
            <c:txPr>
              <a:bodyPr wrap="square" lIns="38100" tIns="19050" rIns="38100" bIns="19050" anchor="ctr">
                <a:spAutoFit/>
              </a:bodyPr>
              <a:lstStyle/>
              <a:p>
                <a:pPr>
                  <a:defRPr>
                    <a:solidFill>
                      <a:schemeClr val="tx1">
                        <a:lumMod val="75000"/>
                        <a:lumOff val="25000"/>
                      </a:schemeClr>
                    </a:solidFill>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'1.1'!$B$28:$L$28</c:f>
              <c:strCache>
                <c:ptCount val="3"/>
                <c:pt idx="0">
                  <c:v>1. pol. 
2009</c:v>
                </c:pt>
                <c:pt idx="1">
                  <c:v>1. pol. 
2014</c:v>
                </c:pt>
                <c:pt idx="2">
                  <c:v>1. pol. 
2019</c:v>
                </c:pt>
              </c:strCache>
            </c:strRef>
          </c:cat>
          <c:val>
            <c:numRef>
              <c:f>'1.1'!$B$32:$L$32</c:f>
              <c:numCache>
                <c:formatCode>#\ ##0.0</c:formatCode>
                <c:ptCount val="3"/>
                <c:pt idx="0">
                  <c:v>0.2458843037377488</c:v>
                </c:pt>
                <c:pt idx="1">
                  <c:v>0.23521950704463099</c:v>
                </c:pt>
                <c:pt idx="2" formatCode="0.0">
                  <c:v>0.23503148511706551</c:v>
                </c:pt>
              </c:numCache>
            </c:numRef>
          </c:val>
          <c:extLst>
            <c:ext xmlns:c16="http://schemas.microsoft.com/office/drawing/2014/chart" uri="{C3380CC4-5D6E-409C-BE32-E72D297353CC}">
              <c16:uniqueId val="{00000004-44E7-494E-8700-EF9195696D37}"/>
            </c:ext>
          </c:extLst>
        </c:ser>
        <c:ser>
          <c:idx val="3"/>
          <c:order val="3"/>
          <c:tx>
            <c:strRef>
              <c:f>'1.1'!$A$33</c:f>
              <c:strCache>
                <c:ptCount val="1"/>
                <c:pt idx="0">
                  <c:v> 250 a více zaměstnanců</c:v>
                </c:pt>
              </c:strCache>
            </c:strRef>
          </c:tx>
          <c:spPr>
            <a:ln>
              <a:noFill/>
            </a:ln>
          </c:spPr>
          <c:invertIfNegative val="0"/>
          <c:dLbls>
            <c:numFmt formatCode="0.0%" sourceLinked="0"/>
            <c:spPr>
              <a:noFill/>
              <a:ln>
                <a:noFill/>
              </a:ln>
              <a:effectLst/>
            </c:spPr>
            <c:txPr>
              <a:bodyPr wrap="square" lIns="38100" tIns="19050" rIns="38100" bIns="19050" anchor="ctr">
                <a:spAutoFit/>
              </a:bodyPr>
              <a:lstStyle/>
              <a:p>
                <a:pPr>
                  <a:defRPr>
                    <a:solidFill>
                      <a:schemeClr val="tx1">
                        <a:lumMod val="75000"/>
                        <a:lumOff val="25000"/>
                      </a:schemeClr>
                    </a:solidFill>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'1.1'!$B$28:$L$28</c:f>
              <c:strCache>
                <c:ptCount val="3"/>
                <c:pt idx="0">
                  <c:v>1. pol. 
2009</c:v>
                </c:pt>
                <c:pt idx="1">
                  <c:v>1. pol. 
2014</c:v>
                </c:pt>
                <c:pt idx="2">
                  <c:v>1. pol. 
2019</c:v>
                </c:pt>
              </c:strCache>
            </c:strRef>
          </c:cat>
          <c:val>
            <c:numRef>
              <c:f>'1.1'!$B$33:$L$33</c:f>
              <c:numCache>
                <c:formatCode>#\ ##0.0</c:formatCode>
                <c:ptCount val="3"/>
                <c:pt idx="0">
                  <c:v>0.37379798334059955</c:v>
                </c:pt>
                <c:pt idx="1">
                  <c:v>0.41625665599411626</c:v>
                </c:pt>
                <c:pt idx="2" formatCode="0.0">
                  <c:v>0.42870229848744479</c:v>
                </c:pt>
              </c:numCache>
            </c:numRef>
          </c:val>
          <c:extLst>
            <c:ext xmlns:c16="http://schemas.microsoft.com/office/drawing/2014/chart" uri="{C3380CC4-5D6E-409C-BE32-E72D297353CC}">
              <c16:uniqueId val="{00000005-44E7-494E-8700-EF9195696D37}"/>
            </c:ext>
          </c:extLst>
        </c:ser>
        <c:dLbls>
          <c:showLegendKey val="0"/>
          <c:showVal val="0"/>
          <c:showCatName val="0"/>
          <c:showSerName val="0"/>
          <c:showPercent val="0"/>
          <c:showBubbleSize val="0"/>
        </c:dLbls>
        <c:gapWidth val="75"/>
        <c:overlap val="100"/>
        <c:axId val="95943680"/>
        <c:axId val="80618240"/>
      </c:barChart>
      <c:catAx>
        <c:axId val="95943680"/>
        <c:scaling>
          <c:orientation val="minMax"/>
        </c:scaling>
        <c:delete val="0"/>
        <c:axPos val="b"/>
        <c:numFmt formatCode="General" sourceLinked="1"/>
        <c:majorTickMark val="none"/>
        <c:minorTickMark val="none"/>
        <c:tickLblPos val="nextTo"/>
        <c:txPr>
          <a:bodyPr/>
          <a:lstStyle/>
          <a:p>
            <a:pPr>
              <a:defRPr>
                <a:solidFill>
                  <a:schemeClr val="tx1">
                    <a:lumMod val="65000"/>
                    <a:lumOff val="35000"/>
                  </a:schemeClr>
                </a:solidFill>
              </a:defRPr>
            </a:pPr>
            <a:endParaRPr lang="cs-CZ"/>
          </a:p>
        </c:txPr>
        <c:crossAx val="80618240"/>
        <c:crosses val="autoZero"/>
        <c:auto val="1"/>
        <c:lblAlgn val="ctr"/>
        <c:lblOffset val="100"/>
        <c:noMultiLvlLbl val="0"/>
      </c:catAx>
      <c:valAx>
        <c:axId val="80618240"/>
        <c:scaling>
          <c:orientation val="minMax"/>
        </c:scaling>
        <c:delete val="0"/>
        <c:axPos val="l"/>
        <c:majorGridlines>
          <c:spPr>
            <a:ln>
              <a:solidFill>
                <a:srgbClr val="D9D9D9"/>
              </a:solidFill>
            </a:ln>
          </c:spPr>
        </c:majorGridlines>
        <c:numFmt formatCode="0%" sourceLinked="1"/>
        <c:majorTickMark val="none"/>
        <c:minorTickMark val="none"/>
        <c:tickLblPos val="nextTo"/>
        <c:spPr>
          <a:ln w="9525">
            <a:noFill/>
          </a:ln>
        </c:spPr>
        <c:txPr>
          <a:bodyPr/>
          <a:lstStyle/>
          <a:p>
            <a:pPr>
              <a:defRPr>
                <a:solidFill>
                  <a:schemeClr val="tx1">
                    <a:lumMod val="65000"/>
                    <a:lumOff val="35000"/>
                  </a:schemeClr>
                </a:solidFill>
              </a:defRPr>
            </a:pPr>
            <a:endParaRPr lang="cs-CZ"/>
          </a:p>
        </c:txPr>
        <c:crossAx val="95943680"/>
        <c:crosses val="autoZero"/>
        <c:crossBetween val="between"/>
      </c:valAx>
    </c:plotArea>
    <c:legend>
      <c:legendPos val="r"/>
      <c:layout/>
      <c:overlay val="0"/>
      <c:txPr>
        <a:bodyPr/>
        <a:lstStyle/>
        <a:p>
          <a:pPr>
            <a:defRPr>
              <a:solidFill>
                <a:schemeClr val="tx1">
                  <a:lumMod val="65000"/>
                  <a:lumOff val="35000"/>
                </a:schemeClr>
              </a:solidFill>
            </a:defRPr>
          </a:pPr>
          <a:endParaRPr lang="cs-CZ"/>
        </a:p>
      </c:txPr>
    </c:legend>
    <c:plotVisOnly val="1"/>
    <c:dispBlanksAs val="gap"/>
    <c:showDLblsOverMax val="0"/>
  </c:chart>
  <c:spPr>
    <a:ln>
      <a:noFill/>
    </a:ln>
  </c:spPr>
  <c:txPr>
    <a:bodyPr/>
    <a:lstStyle/>
    <a:p>
      <a:pPr>
        <a:defRPr sz="800">
          <a:latin typeface="Arial" pitchFamily="34" charset="0"/>
          <a:cs typeface="Arial" pitchFamily="34" charset="0"/>
        </a:defRPr>
      </a:pPr>
      <a:endParaRPr lang="cs-C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'2.8'!$B$23</c:f>
              <c:strCache>
                <c:ptCount val="1"/>
                <c:pt idx="0">
                  <c:v>1. pol. 2019</c:v>
                </c:pt>
              </c:strCache>
            </c:strRef>
          </c:tx>
          <c:spPr>
            <a:solidFill>
              <a:srgbClr val="DA9896"/>
            </a:solidFill>
            <a:ln>
              <a:noFill/>
            </a:ln>
            <a:effectLst/>
          </c:spPr>
          <c:invertIfNegative val="0"/>
          <c:dPt>
            <c:idx val="8"/>
            <c:invertIfNegative val="0"/>
            <c:bubble3D val="0"/>
            <c:spPr>
              <a:solidFill>
                <a:srgbClr val="DA9896"/>
              </a:solidFill>
              <a:ln w="31750">
                <a:solidFill>
                  <a:srgbClr val="A50021"/>
                </a:solidFill>
              </a:ln>
              <a:effectLst/>
            </c:spPr>
            <c:extLst>
              <c:ext xmlns:c16="http://schemas.microsoft.com/office/drawing/2014/chart" uri="{C3380CC4-5D6E-409C-BE32-E72D297353CC}">
                <c16:uniqueId val="{00000001-E6E6-4833-85AA-40B864B59E60}"/>
              </c:ext>
            </c:extLst>
          </c:dPt>
          <c:cat>
            <c:strRef>
              <c:f>'2.8'!$A$24:$A$38</c:f>
              <c:strCache>
                <c:ptCount val="15"/>
                <c:pt idx="0">
                  <c:v>Liberecký kraj</c:v>
                </c:pt>
                <c:pt idx="1">
                  <c:v>Královéhradecký kraj</c:v>
                </c:pt>
                <c:pt idx="2">
                  <c:v>Plzeňský kraj</c:v>
                </c:pt>
                <c:pt idx="3">
                  <c:v>Hl. m. Praha</c:v>
                </c:pt>
                <c:pt idx="4">
                  <c:v>Karlovarský kraj</c:v>
                </c:pt>
                <c:pt idx="5">
                  <c:v>Středočeský kraj</c:v>
                </c:pt>
                <c:pt idx="6">
                  <c:v>Pardubický kraj</c:v>
                </c:pt>
                <c:pt idx="7">
                  <c:v>Ústecký kraj</c:v>
                </c:pt>
                <c:pt idx="8">
                  <c:v>ČR CELKEM</c:v>
                </c:pt>
                <c:pt idx="9">
                  <c:v>Jihomoravský kraj</c:v>
                </c:pt>
                <c:pt idx="10">
                  <c:v>Jihočeský kraj</c:v>
                </c:pt>
                <c:pt idx="11">
                  <c:v>Vysočina</c:v>
                </c:pt>
                <c:pt idx="12">
                  <c:v>Olomoucký kraj</c:v>
                </c:pt>
                <c:pt idx="13">
                  <c:v>Moravskoslezský kraj</c:v>
                </c:pt>
                <c:pt idx="14">
                  <c:v>Zlínský kraj</c:v>
                </c:pt>
              </c:strCache>
            </c:strRef>
          </c:cat>
          <c:val>
            <c:numRef>
              <c:f>'2.8'!$B$24:$B$38</c:f>
              <c:numCache>
                <c:formatCode>#,##0.00</c:formatCode>
                <c:ptCount val="15"/>
                <c:pt idx="0">
                  <c:v>38.556967234200002</c:v>
                </c:pt>
                <c:pt idx="1">
                  <c:v>38.719804721300001</c:v>
                </c:pt>
                <c:pt idx="2">
                  <c:v>39.247807658600003</c:v>
                </c:pt>
                <c:pt idx="3">
                  <c:v>39.468143992000002</c:v>
                </c:pt>
                <c:pt idx="4">
                  <c:v>40.346099789199997</c:v>
                </c:pt>
                <c:pt idx="5">
                  <c:v>40.629772793400001</c:v>
                </c:pt>
                <c:pt idx="6">
                  <c:v>41.872768899100002</c:v>
                </c:pt>
                <c:pt idx="7">
                  <c:v>42.215175127899997</c:v>
                </c:pt>
                <c:pt idx="8">
                  <c:v>42.645176179099998</c:v>
                </c:pt>
                <c:pt idx="9">
                  <c:v>43.984949430100002</c:v>
                </c:pt>
                <c:pt idx="10">
                  <c:v>44.670645706999998</c:v>
                </c:pt>
                <c:pt idx="11">
                  <c:v>45.244468201499998</c:v>
                </c:pt>
                <c:pt idx="12">
                  <c:v>46.328880262600002</c:v>
                </c:pt>
                <c:pt idx="13">
                  <c:v>48.9816142516</c:v>
                </c:pt>
                <c:pt idx="14">
                  <c:v>49.338880264899998</c:v>
                </c:pt>
              </c:numCache>
            </c:numRef>
          </c:val>
          <c:extLst>
            <c:ext xmlns:c16="http://schemas.microsoft.com/office/drawing/2014/chart" uri="{C3380CC4-5D6E-409C-BE32-E72D297353CC}">
              <c16:uniqueId val="{00000002-E6E6-4833-85AA-40B864B59E60}"/>
            </c:ext>
          </c:extLst>
        </c:ser>
        <c:dLbls>
          <c:showLegendKey val="0"/>
          <c:showVal val="0"/>
          <c:showCatName val="0"/>
          <c:showSerName val="0"/>
          <c:showPercent val="0"/>
          <c:showBubbleSize val="0"/>
        </c:dLbls>
        <c:gapWidth val="182"/>
        <c:axId val="972383344"/>
        <c:axId val="1073928400"/>
      </c:barChart>
      <c:catAx>
        <c:axId val="972383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073928400"/>
        <c:crosses val="autoZero"/>
        <c:auto val="1"/>
        <c:lblAlgn val="ctr"/>
        <c:lblOffset val="100"/>
        <c:noMultiLvlLbl val="0"/>
      </c:catAx>
      <c:valAx>
        <c:axId val="1073928400"/>
        <c:scaling>
          <c:orientation val="minMax"/>
          <c:max val="5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počet dnů</a:t>
                </a:r>
              </a:p>
            </c:rich>
          </c:tx>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9723833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'2.9'!$D$5</c:f>
              <c:strCache>
                <c:ptCount val="1"/>
                <c:pt idx="0">
                  <c:v> nemoc</c:v>
                </c:pt>
              </c:strCache>
            </c:strRef>
          </c:tx>
          <c:spPr>
            <a:solidFill>
              <a:srgbClr val="6F2D2B"/>
            </a:solidFill>
            <a:ln>
              <a:noFill/>
            </a:ln>
            <a:effectLst/>
          </c:spPr>
          <c:invertIfNegative val="0"/>
          <c:cat>
            <c:multiLvlStrRef>
              <c:f>'2.9'!$A$6:$B$10</c:f>
              <c:multiLvlStrCache>
                <c:ptCount val="5"/>
                <c:lvl>
                  <c:pt idx="2">
                    <c:v>1–49</c:v>
                  </c:pt>
                  <c:pt idx="3">
                    <c:v>50–249</c:v>
                  </c:pt>
                  <c:pt idx="4">
                    <c:v>250 a více</c:v>
                  </c:pt>
                </c:lvl>
                <c:lvl>
                  <c:pt idx="0">
                    <c:v>CELKEM</c:v>
                  </c:pt>
                  <c:pt idx="1">
                    <c:v>OSVČ</c:v>
                  </c:pt>
                  <c:pt idx="2">
                    <c:v>zaměstnanci (počet)</c:v>
                  </c:pt>
                </c:lvl>
              </c:multiLvlStrCache>
            </c:multiLvlStrRef>
          </c:cat>
          <c:val>
            <c:numRef>
              <c:f>'2.9'!$D$6:$D$10</c:f>
              <c:numCache>
                <c:formatCode>#,##0.00</c:formatCode>
                <c:ptCount val="5"/>
                <c:pt idx="0">
                  <c:v>41.090733046565084</c:v>
                </c:pt>
                <c:pt idx="1">
                  <c:v>115.19373167155425</c:v>
                </c:pt>
                <c:pt idx="2">
                  <c:v>45.878625536970198</c:v>
                </c:pt>
                <c:pt idx="3">
                  <c:v>38.749567433092011</c:v>
                </c:pt>
                <c:pt idx="4">
                  <c:v>38.865276404146606</c:v>
                </c:pt>
              </c:numCache>
            </c:numRef>
          </c:val>
          <c:extLst>
            <c:ext xmlns:c16="http://schemas.microsoft.com/office/drawing/2014/chart" uri="{C3380CC4-5D6E-409C-BE32-E72D297353CC}">
              <c16:uniqueId val="{00000000-6B48-406C-B962-0879FAC9C83C}"/>
            </c:ext>
          </c:extLst>
        </c:ser>
        <c:ser>
          <c:idx val="2"/>
          <c:order val="1"/>
          <c:tx>
            <c:strRef>
              <c:f>'2.9'!$E$5</c:f>
              <c:strCache>
                <c:ptCount val="1"/>
                <c:pt idx="0">
                  <c:v> pracovní úraz</c:v>
                </c:pt>
              </c:strCache>
            </c:strRef>
          </c:tx>
          <c:spPr>
            <a:solidFill>
              <a:srgbClr val="C05350"/>
            </a:solidFill>
            <a:ln>
              <a:noFill/>
            </a:ln>
            <a:effectLst/>
          </c:spPr>
          <c:invertIfNegative val="0"/>
          <c:cat>
            <c:multiLvlStrRef>
              <c:f>'2.9'!$A$6:$B$10</c:f>
              <c:multiLvlStrCache>
                <c:ptCount val="5"/>
                <c:lvl>
                  <c:pt idx="2">
                    <c:v>1–49</c:v>
                  </c:pt>
                  <c:pt idx="3">
                    <c:v>50–249</c:v>
                  </c:pt>
                  <c:pt idx="4">
                    <c:v>250 a více</c:v>
                  </c:pt>
                </c:lvl>
                <c:lvl>
                  <c:pt idx="0">
                    <c:v>CELKEM</c:v>
                  </c:pt>
                  <c:pt idx="1">
                    <c:v>OSVČ</c:v>
                  </c:pt>
                  <c:pt idx="2">
                    <c:v>zaměstnanci (počet)</c:v>
                  </c:pt>
                </c:lvl>
              </c:multiLvlStrCache>
            </c:multiLvlStrRef>
          </c:cat>
          <c:val>
            <c:numRef>
              <c:f>'2.9'!$E$6:$E$10</c:f>
              <c:numCache>
                <c:formatCode>#,##0.00</c:formatCode>
                <c:ptCount val="5"/>
                <c:pt idx="0">
                  <c:v>57.075329485743822</c:v>
                </c:pt>
                <c:pt idx="1">
                  <c:v>102.96116504854369</c:v>
                </c:pt>
                <c:pt idx="2">
                  <c:v>58.482900136798904</c:v>
                </c:pt>
                <c:pt idx="3">
                  <c:v>53.228284771852664</c:v>
                </c:pt>
                <c:pt idx="4">
                  <c:v>58.580022019817839</c:v>
                </c:pt>
              </c:numCache>
            </c:numRef>
          </c:val>
          <c:extLst>
            <c:ext xmlns:c16="http://schemas.microsoft.com/office/drawing/2014/chart" uri="{C3380CC4-5D6E-409C-BE32-E72D297353CC}">
              <c16:uniqueId val="{00000001-6B48-406C-B962-0879FAC9C83C}"/>
            </c:ext>
          </c:extLst>
        </c:ser>
        <c:ser>
          <c:idx val="3"/>
          <c:order val="2"/>
          <c:tx>
            <c:strRef>
              <c:f>'2.9'!$F$5</c:f>
              <c:strCache>
                <c:ptCount val="1"/>
                <c:pt idx="0">
                  <c:v> ostatní úraz</c:v>
                </c:pt>
              </c:strCache>
            </c:strRef>
          </c:tx>
          <c:spPr>
            <a:solidFill>
              <a:srgbClr val="DA9896"/>
            </a:solidFill>
            <a:ln>
              <a:noFill/>
            </a:ln>
            <a:effectLst/>
          </c:spPr>
          <c:invertIfNegative val="0"/>
          <c:cat>
            <c:multiLvlStrRef>
              <c:f>'2.9'!$A$6:$B$10</c:f>
              <c:multiLvlStrCache>
                <c:ptCount val="5"/>
                <c:lvl>
                  <c:pt idx="2">
                    <c:v>1–49</c:v>
                  </c:pt>
                  <c:pt idx="3">
                    <c:v>50–249</c:v>
                  </c:pt>
                  <c:pt idx="4">
                    <c:v>250 a více</c:v>
                  </c:pt>
                </c:lvl>
                <c:lvl>
                  <c:pt idx="0">
                    <c:v>CELKEM</c:v>
                  </c:pt>
                  <c:pt idx="1">
                    <c:v>OSVČ</c:v>
                  </c:pt>
                  <c:pt idx="2">
                    <c:v>zaměstnanci (počet)</c:v>
                  </c:pt>
                </c:lvl>
              </c:multiLvlStrCache>
            </c:multiLvlStrRef>
          </c:cat>
          <c:val>
            <c:numRef>
              <c:f>'2.9'!$F$6:$F$10</c:f>
              <c:numCache>
                <c:formatCode>#,##0.00</c:formatCode>
                <c:ptCount val="5"/>
                <c:pt idx="0">
                  <c:v>55.569254320487843</c:v>
                </c:pt>
                <c:pt idx="1">
                  <c:v>100.73526824978012</c:v>
                </c:pt>
                <c:pt idx="2">
                  <c:v>61.207678883071551</c:v>
                </c:pt>
                <c:pt idx="3">
                  <c:v>52.694126659856998</c:v>
                </c:pt>
                <c:pt idx="4">
                  <c:v>51.908187873220029</c:v>
                </c:pt>
              </c:numCache>
            </c:numRef>
          </c:val>
          <c:extLst>
            <c:ext xmlns:c16="http://schemas.microsoft.com/office/drawing/2014/chart" uri="{C3380CC4-5D6E-409C-BE32-E72D297353CC}">
              <c16:uniqueId val="{00000002-6B48-406C-B962-0879FAC9C83C}"/>
            </c:ext>
          </c:extLst>
        </c:ser>
        <c:dLbls>
          <c:showLegendKey val="0"/>
          <c:showVal val="0"/>
          <c:showCatName val="0"/>
          <c:showSerName val="0"/>
          <c:showPercent val="0"/>
          <c:showBubbleSize val="0"/>
        </c:dLbls>
        <c:gapWidth val="219"/>
        <c:axId val="976889184"/>
        <c:axId val="976890016"/>
      </c:barChart>
      <c:catAx>
        <c:axId val="976889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976890016"/>
        <c:crosses val="autoZero"/>
        <c:auto val="1"/>
        <c:lblAlgn val="ctr"/>
        <c:lblOffset val="100"/>
        <c:noMultiLvlLbl val="0"/>
      </c:catAx>
      <c:valAx>
        <c:axId val="976890016"/>
        <c:scaling>
          <c:orientation val="minMax"/>
          <c:max val="1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počet dnů</a:t>
                </a:r>
              </a:p>
            </c:rich>
          </c:tx>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9768891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9887246285767206"/>
          <c:y val="2.9451137884872823E-2"/>
          <c:w val="0.4875648725873229"/>
          <c:h val="0.85166450579219766"/>
        </c:manualLayout>
      </c:layout>
      <c:barChart>
        <c:barDir val="bar"/>
        <c:grouping val="clustered"/>
        <c:varyColors val="0"/>
        <c:ser>
          <c:idx val="0"/>
          <c:order val="0"/>
          <c:tx>
            <c:strRef>
              <c:f>'2.10'!$B$27</c:f>
              <c:strCache>
                <c:ptCount val="1"/>
                <c:pt idx="0">
                  <c:v>1. pol. 2019</c:v>
                </c:pt>
              </c:strCache>
            </c:strRef>
          </c:tx>
          <c:spPr>
            <a:solidFill>
              <a:srgbClr val="DA9896"/>
            </a:solidFill>
            <a:ln>
              <a:noFill/>
            </a:ln>
            <a:effectLst/>
          </c:spPr>
          <c:invertIfNegative val="0"/>
          <c:dPt>
            <c:idx val="11"/>
            <c:invertIfNegative val="0"/>
            <c:bubble3D val="0"/>
            <c:spPr>
              <a:solidFill>
                <a:srgbClr val="DA9896"/>
              </a:solidFill>
              <a:ln w="31750">
                <a:solidFill>
                  <a:srgbClr val="A50021"/>
                </a:solidFill>
              </a:ln>
              <a:effectLst/>
            </c:spPr>
            <c:extLst>
              <c:ext xmlns:c16="http://schemas.microsoft.com/office/drawing/2014/chart" uri="{C3380CC4-5D6E-409C-BE32-E72D297353CC}">
                <c16:uniqueId val="{00000002-0BEE-4363-BA9A-9E7B3882545C}"/>
              </c:ext>
            </c:extLst>
          </c:dPt>
          <c:dPt>
            <c:idx val="12"/>
            <c:invertIfNegative val="0"/>
            <c:bubble3D val="0"/>
            <c:spPr>
              <a:solidFill>
                <a:srgbClr val="DA9896"/>
              </a:solidFill>
              <a:ln w="31750">
                <a:noFill/>
              </a:ln>
              <a:effectLst/>
            </c:spPr>
            <c:extLst>
              <c:ext xmlns:c16="http://schemas.microsoft.com/office/drawing/2014/chart" uri="{C3380CC4-5D6E-409C-BE32-E72D297353CC}">
                <c16:uniqueId val="{00000001-4C54-4155-A3D7-B5D0BC98B069}"/>
              </c:ext>
            </c:extLst>
          </c:dPt>
          <c:cat>
            <c:strRef>
              <c:f>'2.10'!$A$29:$A$48</c:f>
              <c:strCache>
                <c:ptCount val="20"/>
                <c:pt idx="0">
                  <c:v>J – Informační a komunikační činnosti</c:v>
                </c:pt>
                <c:pt idx="1">
                  <c:v>M – Profesní, vědecké a technické činnosti</c:v>
                </c:pt>
                <c:pt idx="2">
                  <c:v>L – Činnosti v oblasti nemovitostí</c:v>
                </c:pt>
                <c:pt idx="3">
                  <c:v>K – Peněžnictví a pojišťovnictví</c:v>
                </c:pt>
                <c:pt idx="4">
                  <c:v>R – Kulturní, zábavní a rekreační činnosti</c:v>
                </c:pt>
                <c:pt idx="5">
                  <c:v>D – Výroba a rozvod elektřiny, plynu, 
tepla a klimatizovaného vzduchu</c:v>
                </c:pt>
                <c:pt idx="6">
                  <c:v>P – Vzdělávání</c:v>
                </c:pt>
                <c:pt idx="7">
                  <c:v>O – Veřejná správa a obrana; povinné sociální zabezpečení</c:v>
                </c:pt>
                <c:pt idx="8">
                  <c:v>S – Ostatní činnosti</c:v>
                </c:pt>
                <c:pt idx="9">
                  <c:v>Q – Zdravotní a sociální péče</c:v>
                </c:pt>
                <c:pt idx="10">
                  <c:v>I – Ubytování, stravování a pohostinství</c:v>
                </c:pt>
                <c:pt idx="11">
                  <c:v>CELKEM</c:v>
                </c:pt>
                <c:pt idx="12">
                  <c:v>G – Velkoobchod a maloobchod; 
opravy a údržba motorových vozidel</c:v>
                </c:pt>
                <c:pt idx="13">
                  <c:v>H – Doprava a skladování</c:v>
                </c:pt>
                <c:pt idx="14">
                  <c:v>F – Stavebnictví</c:v>
                </c:pt>
                <c:pt idx="15">
                  <c:v>E – Zásobování vodou; činnosti související 
s odpadními vodami, odpady a sanacemi</c:v>
                </c:pt>
                <c:pt idx="16">
                  <c:v>N – Administrativní a podpůrné činnosti</c:v>
                </c:pt>
                <c:pt idx="17">
                  <c:v>A – Zemědělství, lesnictví a rybářství</c:v>
                </c:pt>
                <c:pt idx="18">
                  <c:v>B – Těžba a dobývání</c:v>
                </c:pt>
                <c:pt idx="19">
                  <c:v>C – Zpracovatelský průmysl</c:v>
                </c:pt>
              </c:strCache>
            </c:strRef>
          </c:cat>
          <c:val>
            <c:numRef>
              <c:f>'2.10'!$B$29:$B$48</c:f>
              <c:numCache>
                <c:formatCode>0.00</c:formatCode>
                <c:ptCount val="20"/>
                <c:pt idx="0">
                  <c:v>1.9741945419</c:v>
                </c:pt>
                <c:pt idx="1">
                  <c:v>2.5708723614000002</c:v>
                </c:pt>
                <c:pt idx="2">
                  <c:v>2.6529413488000002</c:v>
                </c:pt>
                <c:pt idx="3">
                  <c:v>2.7386827023999998</c:v>
                </c:pt>
                <c:pt idx="4">
                  <c:v>3.2763502589</c:v>
                </c:pt>
                <c:pt idx="5">
                  <c:v>3.2836346989999998</c:v>
                </c:pt>
                <c:pt idx="6">
                  <c:v>3.4058745078000001</c:v>
                </c:pt>
                <c:pt idx="7">
                  <c:v>3.5378141331999999</c:v>
                </c:pt>
                <c:pt idx="8">
                  <c:v>4.1126522739000002</c:v>
                </c:pt>
                <c:pt idx="9">
                  <c:v>4.6903950022999998</c:v>
                </c:pt>
                <c:pt idx="10">
                  <c:v>4.7559733915000004</c:v>
                </c:pt>
                <c:pt idx="11">
                  <c:v>4.8494297227000001</c:v>
                </c:pt>
                <c:pt idx="12">
                  <c:v>5.0697209594999997</c:v>
                </c:pt>
                <c:pt idx="13">
                  <c:v>5.1128014719000001</c:v>
                </c:pt>
                <c:pt idx="14">
                  <c:v>5.2362668280999998</c:v>
                </c:pt>
                <c:pt idx="15">
                  <c:v>5.4187299150000001</c:v>
                </c:pt>
                <c:pt idx="16">
                  <c:v>5.6747788022999996</c:v>
                </c:pt>
                <c:pt idx="17">
                  <c:v>5.8364012365000004</c:v>
                </c:pt>
                <c:pt idx="18">
                  <c:v>6.1140866758000003</c:v>
                </c:pt>
                <c:pt idx="19">
                  <c:v>6.2743354580000004</c:v>
                </c:pt>
              </c:numCache>
            </c:numRef>
          </c:val>
          <c:extLst>
            <c:ext xmlns:c16="http://schemas.microsoft.com/office/drawing/2014/chart" uri="{C3380CC4-5D6E-409C-BE32-E72D297353CC}">
              <c16:uniqueId val="{00000002-4C54-4155-A3D7-B5D0BC98B069}"/>
            </c:ext>
          </c:extLst>
        </c:ser>
        <c:dLbls>
          <c:showLegendKey val="0"/>
          <c:showVal val="0"/>
          <c:showCatName val="0"/>
          <c:showSerName val="0"/>
          <c:showPercent val="0"/>
          <c:showBubbleSize val="0"/>
        </c:dLbls>
        <c:gapWidth val="182"/>
        <c:axId val="862625392"/>
        <c:axId val="862628304"/>
      </c:barChart>
      <c:catAx>
        <c:axId val="862625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862628304"/>
        <c:crosses val="autoZero"/>
        <c:auto val="1"/>
        <c:lblAlgn val="ctr"/>
        <c:lblOffset val="100"/>
        <c:noMultiLvlLbl val="0"/>
      </c:catAx>
      <c:valAx>
        <c:axId val="8626283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a:t>
                </a:r>
              </a:p>
            </c:rich>
          </c:tx>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8626253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989635150819765"/>
          <c:y val="4.1548630783758263E-2"/>
          <c:w val="0.73901205053822594"/>
          <c:h val="0.79073349542355365"/>
        </c:manualLayout>
      </c:layout>
      <c:barChart>
        <c:barDir val="bar"/>
        <c:grouping val="clustered"/>
        <c:varyColors val="0"/>
        <c:ser>
          <c:idx val="0"/>
          <c:order val="0"/>
          <c:tx>
            <c:strRef>
              <c:f>'2.11'!$B$21</c:f>
              <c:strCache>
                <c:ptCount val="1"/>
                <c:pt idx="0">
                  <c:v>1. pol. 2019</c:v>
                </c:pt>
              </c:strCache>
            </c:strRef>
          </c:tx>
          <c:spPr>
            <a:solidFill>
              <a:srgbClr val="DA9896"/>
            </a:solidFill>
            <a:ln>
              <a:noFill/>
            </a:ln>
            <a:effectLst/>
          </c:spPr>
          <c:invertIfNegative val="0"/>
          <c:dPt>
            <c:idx val="2"/>
            <c:invertIfNegative val="0"/>
            <c:bubble3D val="0"/>
            <c:spPr>
              <a:solidFill>
                <a:srgbClr val="DA9896"/>
              </a:solidFill>
              <a:ln w="31750">
                <a:solidFill>
                  <a:srgbClr val="A50021"/>
                </a:solidFill>
              </a:ln>
              <a:effectLst/>
            </c:spPr>
            <c:extLst>
              <c:ext xmlns:c16="http://schemas.microsoft.com/office/drawing/2014/chart" uri="{C3380CC4-5D6E-409C-BE32-E72D297353CC}">
                <c16:uniqueId val="{00000001-79D4-4F18-9D61-780B24F78E4B}"/>
              </c:ext>
            </c:extLst>
          </c:dPt>
          <c:cat>
            <c:strRef>
              <c:f>'2.11'!$A$22:$A$36</c:f>
              <c:strCache>
                <c:ptCount val="15"/>
                <c:pt idx="0">
                  <c:v>Hl. m. Praha</c:v>
                </c:pt>
                <c:pt idx="1">
                  <c:v>Jihomoravský kraj</c:v>
                </c:pt>
                <c:pt idx="2">
                  <c:v>ČR CELKEM</c:v>
                </c:pt>
                <c:pt idx="3">
                  <c:v>Středočeský kraj</c:v>
                </c:pt>
                <c:pt idx="4">
                  <c:v>Královéhradecký kraj</c:v>
                </c:pt>
                <c:pt idx="5">
                  <c:v>Pardubický kraj</c:v>
                </c:pt>
                <c:pt idx="6">
                  <c:v>Olomoucký kraj</c:v>
                </c:pt>
                <c:pt idx="7">
                  <c:v>Karlovarský kraj</c:v>
                </c:pt>
                <c:pt idx="8">
                  <c:v>Plzeňský kraj</c:v>
                </c:pt>
                <c:pt idx="9">
                  <c:v>Ústecký kraj</c:v>
                </c:pt>
                <c:pt idx="10">
                  <c:v>Liberecký kraj</c:v>
                </c:pt>
                <c:pt idx="11">
                  <c:v>Jihočeský kraj</c:v>
                </c:pt>
                <c:pt idx="12">
                  <c:v>Vysočina</c:v>
                </c:pt>
                <c:pt idx="13">
                  <c:v>Zlínský kraj</c:v>
                </c:pt>
                <c:pt idx="14">
                  <c:v>Moravskoslezský kraj</c:v>
                </c:pt>
              </c:strCache>
            </c:strRef>
          </c:cat>
          <c:val>
            <c:numRef>
              <c:f>'2.11'!$B$22:$B$36</c:f>
              <c:numCache>
                <c:formatCode>0.00</c:formatCode>
                <c:ptCount val="15"/>
                <c:pt idx="0">
                  <c:v>3.6241640477999999</c:v>
                </c:pt>
                <c:pt idx="1">
                  <c:v>4.7920895321000003</c:v>
                </c:pt>
                <c:pt idx="2">
                  <c:v>4.8494297227000001</c:v>
                </c:pt>
                <c:pt idx="3">
                  <c:v>4.9583657012</c:v>
                </c:pt>
                <c:pt idx="4">
                  <c:v>5.0450559291000001</c:v>
                </c:pt>
                <c:pt idx="5">
                  <c:v>5.1080595562999997</c:v>
                </c:pt>
                <c:pt idx="6">
                  <c:v>5.1866915991000004</c:v>
                </c:pt>
                <c:pt idx="7">
                  <c:v>5.2027732628000001</c:v>
                </c:pt>
                <c:pt idx="8">
                  <c:v>5.2230084662999996</c:v>
                </c:pt>
                <c:pt idx="9">
                  <c:v>5.2571320172</c:v>
                </c:pt>
                <c:pt idx="10">
                  <c:v>5.3561331828999998</c:v>
                </c:pt>
                <c:pt idx="11">
                  <c:v>5.5828888244000003</c:v>
                </c:pt>
                <c:pt idx="12">
                  <c:v>5.6252364033999998</c:v>
                </c:pt>
                <c:pt idx="13">
                  <c:v>5.8176758423999999</c:v>
                </c:pt>
                <c:pt idx="14">
                  <c:v>5.9648320808999999</c:v>
                </c:pt>
              </c:numCache>
            </c:numRef>
          </c:val>
          <c:extLst>
            <c:ext xmlns:c16="http://schemas.microsoft.com/office/drawing/2014/chart" uri="{C3380CC4-5D6E-409C-BE32-E72D297353CC}">
              <c16:uniqueId val="{00000002-79D4-4F18-9D61-780B24F78E4B}"/>
            </c:ext>
          </c:extLst>
        </c:ser>
        <c:dLbls>
          <c:showLegendKey val="0"/>
          <c:showVal val="0"/>
          <c:showCatName val="0"/>
          <c:showSerName val="0"/>
          <c:showPercent val="0"/>
          <c:showBubbleSize val="0"/>
        </c:dLbls>
        <c:gapWidth val="182"/>
        <c:axId val="831742672"/>
        <c:axId val="691316720"/>
      </c:barChart>
      <c:catAx>
        <c:axId val="831742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691316720"/>
        <c:crosses val="autoZero"/>
        <c:auto val="1"/>
        <c:lblAlgn val="ctr"/>
        <c:lblOffset val="100"/>
        <c:noMultiLvlLbl val="0"/>
      </c:catAx>
      <c:valAx>
        <c:axId val="691316720"/>
        <c:scaling>
          <c:orientation val="minMax"/>
          <c:max val="6"/>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a:t>
                </a:r>
              </a:p>
            </c:rich>
          </c:tx>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8317426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'3.1'!$B$3</c:f>
              <c:strCache>
                <c:ptCount val="1"/>
                <c:pt idx="0">
                  <c:v> muži</c:v>
                </c:pt>
              </c:strCache>
            </c:strRef>
          </c:tx>
          <c:spPr>
            <a:solidFill>
              <a:srgbClr val="6F2D2B"/>
            </a:solidFill>
            <a:ln>
              <a:noFill/>
            </a:ln>
            <a:effectLst/>
          </c:spPr>
          <c:invertIfNegative val="0"/>
          <c:cat>
            <c:strRef>
              <c:f>'3.1'!$A$4:$A$9</c:f>
              <c:strCache>
                <c:ptCount val="6"/>
                <c:pt idx="0">
                  <c:v>do 20 let</c:v>
                </c:pt>
                <c:pt idx="1">
                  <c:v>20–29 let</c:v>
                </c:pt>
                <c:pt idx="2">
                  <c:v>30–39 let</c:v>
                </c:pt>
                <c:pt idx="3">
                  <c:v>40–49 let</c:v>
                </c:pt>
                <c:pt idx="4">
                  <c:v>50–59 let</c:v>
                </c:pt>
                <c:pt idx="5">
                  <c:v>60 a více let</c:v>
                </c:pt>
              </c:strCache>
            </c:strRef>
          </c:cat>
          <c:val>
            <c:numRef>
              <c:f>'3.1'!$B$4:$B$9</c:f>
              <c:numCache>
                <c:formatCode>#,##0</c:formatCode>
                <c:ptCount val="6"/>
                <c:pt idx="0">
                  <c:v>6964</c:v>
                </c:pt>
                <c:pt idx="1">
                  <c:v>102993</c:v>
                </c:pt>
                <c:pt idx="2">
                  <c:v>102278</c:v>
                </c:pt>
                <c:pt idx="3">
                  <c:v>104107</c:v>
                </c:pt>
                <c:pt idx="4">
                  <c:v>91254</c:v>
                </c:pt>
                <c:pt idx="5">
                  <c:v>40698</c:v>
                </c:pt>
              </c:numCache>
            </c:numRef>
          </c:val>
          <c:extLst>
            <c:ext xmlns:c16="http://schemas.microsoft.com/office/drawing/2014/chart" uri="{C3380CC4-5D6E-409C-BE32-E72D297353CC}">
              <c16:uniqueId val="{00000000-ABF5-475F-91D2-02367A1A6CAE}"/>
            </c:ext>
          </c:extLst>
        </c:ser>
        <c:ser>
          <c:idx val="1"/>
          <c:order val="1"/>
          <c:tx>
            <c:strRef>
              <c:f>'3.1'!$C$3</c:f>
              <c:strCache>
                <c:ptCount val="1"/>
                <c:pt idx="0">
                  <c:v> ženy</c:v>
                </c:pt>
              </c:strCache>
            </c:strRef>
          </c:tx>
          <c:spPr>
            <a:solidFill>
              <a:schemeClr val="accent2"/>
            </a:solidFill>
            <a:ln>
              <a:noFill/>
            </a:ln>
            <a:effectLst/>
          </c:spPr>
          <c:invertIfNegative val="0"/>
          <c:cat>
            <c:strRef>
              <c:f>'3.1'!$A$4:$A$9</c:f>
              <c:strCache>
                <c:ptCount val="6"/>
                <c:pt idx="0">
                  <c:v>do 20 let</c:v>
                </c:pt>
                <c:pt idx="1">
                  <c:v>20–29 let</c:v>
                </c:pt>
                <c:pt idx="2">
                  <c:v>30–39 let</c:v>
                </c:pt>
                <c:pt idx="3">
                  <c:v>40–49 let</c:v>
                </c:pt>
                <c:pt idx="4">
                  <c:v>50–59 let</c:v>
                </c:pt>
                <c:pt idx="5">
                  <c:v>60 a více let</c:v>
                </c:pt>
              </c:strCache>
            </c:strRef>
          </c:cat>
          <c:val>
            <c:numRef>
              <c:f>'3.1'!$C$4:$C$9</c:f>
              <c:numCache>
                <c:formatCode>#,##0</c:formatCode>
                <c:ptCount val="6"/>
                <c:pt idx="0">
                  <c:v>5666</c:v>
                </c:pt>
                <c:pt idx="1">
                  <c:v>95148</c:v>
                </c:pt>
                <c:pt idx="2">
                  <c:v>101942</c:v>
                </c:pt>
                <c:pt idx="3">
                  <c:v>148126</c:v>
                </c:pt>
                <c:pt idx="4">
                  <c:v>135424</c:v>
                </c:pt>
                <c:pt idx="5">
                  <c:v>29288</c:v>
                </c:pt>
              </c:numCache>
            </c:numRef>
          </c:val>
          <c:extLst>
            <c:ext xmlns:c16="http://schemas.microsoft.com/office/drawing/2014/chart" uri="{C3380CC4-5D6E-409C-BE32-E72D297353CC}">
              <c16:uniqueId val="{00000001-ABF5-475F-91D2-02367A1A6CAE}"/>
            </c:ext>
          </c:extLst>
        </c:ser>
        <c:dLbls>
          <c:showLegendKey val="0"/>
          <c:showVal val="0"/>
          <c:showCatName val="0"/>
          <c:showSerName val="0"/>
          <c:showPercent val="0"/>
          <c:showBubbleSize val="0"/>
        </c:dLbls>
        <c:gapWidth val="219"/>
        <c:axId val="976748960"/>
        <c:axId val="874126480"/>
      </c:barChart>
      <c:catAx>
        <c:axId val="976748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874126480"/>
        <c:crosses val="autoZero"/>
        <c:auto val="1"/>
        <c:lblAlgn val="ctr"/>
        <c:lblOffset val="100"/>
        <c:noMultiLvlLbl val="0"/>
      </c:catAx>
      <c:valAx>
        <c:axId val="874126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počet případů</a:t>
                </a:r>
              </a:p>
            </c:rich>
          </c:tx>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97674896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rgbClr val="4E201E"/>
              </a:solidFill>
              <a:ln w="19050">
                <a:solidFill>
                  <a:schemeClr val="lt1"/>
                </a:solidFill>
              </a:ln>
              <a:effectLst/>
            </c:spPr>
            <c:extLst>
              <c:ext xmlns:c16="http://schemas.microsoft.com/office/drawing/2014/chart" uri="{C3380CC4-5D6E-409C-BE32-E72D297353CC}">
                <c16:uniqueId val="{00000001-8976-4AF1-B3C2-8F3DBE4F1F58}"/>
              </c:ext>
            </c:extLst>
          </c:dPt>
          <c:dPt>
            <c:idx val="1"/>
            <c:bubble3D val="0"/>
            <c:spPr>
              <a:solidFill>
                <a:srgbClr val="722F2C"/>
              </a:solidFill>
              <a:ln w="19050">
                <a:solidFill>
                  <a:schemeClr val="lt1"/>
                </a:solidFill>
              </a:ln>
              <a:effectLst/>
            </c:spPr>
            <c:extLst>
              <c:ext xmlns:c16="http://schemas.microsoft.com/office/drawing/2014/chart" uri="{C3380CC4-5D6E-409C-BE32-E72D297353CC}">
                <c16:uniqueId val="{00000003-8976-4AF1-B3C2-8F3DBE4F1F58}"/>
              </c:ext>
            </c:extLst>
          </c:dPt>
          <c:dPt>
            <c:idx val="2"/>
            <c:bubble3D val="0"/>
            <c:spPr>
              <a:solidFill>
                <a:srgbClr val="9A403C"/>
              </a:solidFill>
              <a:ln w="19050">
                <a:solidFill>
                  <a:schemeClr val="lt1"/>
                </a:solidFill>
              </a:ln>
              <a:effectLst/>
            </c:spPr>
            <c:extLst>
              <c:ext xmlns:c16="http://schemas.microsoft.com/office/drawing/2014/chart" uri="{C3380CC4-5D6E-409C-BE32-E72D297353CC}">
                <c16:uniqueId val="{00000005-8976-4AF1-B3C2-8F3DBE4F1F58}"/>
              </c:ext>
            </c:extLst>
          </c:dPt>
          <c:dPt>
            <c:idx val="3"/>
            <c:bubble3D val="0"/>
            <c:spPr>
              <a:solidFill>
                <a:srgbClr val="C36969"/>
              </a:solidFill>
              <a:ln w="19050">
                <a:solidFill>
                  <a:schemeClr val="lt1"/>
                </a:solidFill>
              </a:ln>
              <a:effectLst/>
            </c:spPr>
            <c:extLst>
              <c:ext xmlns:c16="http://schemas.microsoft.com/office/drawing/2014/chart" uri="{C3380CC4-5D6E-409C-BE32-E72D297353CC}">
                <c16:uniqueId val="{00000007-8976-4AF1-B3C2-8F3DBE4F1F58}"/>
              </c:ext>
            </c:extLst>
          </c:dPt>
          <c:dPt>
            <c:idx val="4"/>
            <c:bubble3D val="0"/>
            <c:spPr>
              <a:solidFill>
                <a:srgbClr val="F07373"/>
              </a:solidFill>
              <a:ln w="19050">
                <a:solidFill>
                  <a:schemeClr val="lt1"/>
                </a:solidFill>
              </a:ln>
              <a:effectLst/>
            </c:spPr>
            <c:extLst>
              <c:ext xmlns:c16="http://schemas.microsoft.com/office/drawing/2014/chart" uri="{C3380CC4-5D6E-409C-BE32-E72D297353CC}">
                <c16:uniqueId val="{00000009-8976-4AF1-B3C2-8F3DBE4F1F58}"/>
              </c:ext>
            </c:extLst>
          </c:dPt>
          <c:dPt>
            <c:idx val="5"/>
            <c:bubble3D val="0"/>
            <c:spPr>
              <a:solidFill>
                <a:srgbClr val="D79895"/>
              </a:solidFill>
              <a:ln w="19050">
                <a:solidFill>
                  <a:schemeClr val="lt1"/>
                </a:solidFill>
              </a:ln>
              <a:effectLst/>
            </c:spPr>
            <c:extLst>
              <c:ext xmlns:c16="http://schemas.microsoft.com/office/drawing/2014/chart" uri="{C3380CC4-5D6E-409C-BE32-E72D297353CC}">
                <c16:uniqueId val="{0000000B-8976-4AF1-B3C2-8F3DBE4F1F58}"/>
              </c:ext>
            </c:extLst>
          </c:dPt>
          <c:dPt>
            <c:idx val="6"/>
            <c:bubble3D val="0"/>
            <c:spPr>
              <a:solidFill>
                <a:srgbClr val="FA9696"/>
              </a:solidFill>
              <a:ln w="19050">
                <a:solidFill>
                  <a:schemeClr val="lt1"/>
                </a:solidFill>
              </a:ln>
              <a:effectLst/>
            </c:spPr>
            <c:extLst>
              <c:ext xmlns:c16="http://schemas.microsoft.com/office/drawing/2014/chart" uri="{C3380CC4-5D6E-409C-BE32-E72D297353CC}">
                <c16:uniqueId val="{0000000D-8976-4AF1-B3C2-8F3DBE4F1F58}"/>
              </c:ext>
            </c:extLst>
          </c:dPt>
          <c:dPt>
            <c:idx val="7"/>
            <c:bubble3D val="0"/>
            <c:spPr>
              <a:solidFill>
                <a:srgbClr val="E2B6B4"/>
              </a:solidFill>
              <a:ln w="19050">
                <a:solidFill>
                  <a:schemeClr val="lt1"/>
                </a:solidFill>
              </a:ln>
              <a:effectLst/>
            </c:spPr>
            <c:extLst>
              <c:ext xmlns:c16="http://schemas.microsoft.com/office/drawing/2014/chart" uri="{C3380CC4-5D6E-409C-BE32-E72D297353CC}">
                <c16:uniqueId val="{0000000F-8976-4AF1-B3C2-8F3DBE4F1F58}"/>
              </c:ext>
            </c:extLst>
          </c:dPt>
          <c:dPt>
            <c:idx val="8"/>
            <c:bubble3D val="0"/>
            <c:spPr>
              <a:solidFill>
                <a:srgbClr val="EBCDCB"/>
              </a:solidFill>
              <a:ln w="19050">
                <a:solidFill>
                  <a:schemeClr val="lt1"/>
                </a:solidFill>
              </a:ln>
              <a:effectLst/>
            </c:spPr>
            <c:extLst>
              <c:ext xmlns:c16="http://schemas.microsoft.com/office/drawing/2014/chart" uri="{C3380CC4-5D6E-409C-BE32-E72D297353CC}">
                <c16:uniqueId val="{00000011-8976-4AF1-B3C2-8F3DBE4F1F58}"/>
              </c:ext>
            </c:extLst>
          </c:dPt>
          <c:dPt>
            <c:idx val="9"/>
            <c:bubble3D val="0"/>
            <c:spPr>
              <a:solidFill>
                <a:srgbClr val="F6E7E6"/>
              </a:solidFill>
              <a:ln w="19050">
                <a:solidFill>
                  <a:schemeClr val="lt1"/>
                </a:solidFill>
              </a:ln>
              <a:effectLst/>
            </c:spPr>
            <c:extLst>
              <c:ext xmlns:c16="http://schemas.microsoft.com/office/drawing/2014/chart" uri="{C3380CC4-5D6E-409C-BE32-E72D297353CC}">
                <c16:uniqueId val="{00000013-8976-4AF1-B3C2-8F3DBE4F1F58}"/>
              </c:ext>
            </c:extLst>
          </c:dPt>
          <c:dPt>
            <c:idx val="10"/>
            <c:bubble3D val="0"/>
            <c:spPr>
              <a:solidFill>
                <a:srgbClr val="D9D9D9"/>
              </a:solidFill>
              <a:ln w="19050">
                <a:solidFill>
                  <a:schemeClr val="lt1"/>
                </a:solidFill>
              </a:ln>
              <a:effectLst/>
            </c:spPr>
            <c:extLst>
              <c:ext xmlns:c16="http://schemas.microsoft.com/office/drawing/2014/chart" uri="{C3380CC4-5D6E-409C-BE32-E72D297353CC}">
                <c16:uniqueId val="{00000015-8976-4AF1-B3C2-8F3DBE4F1F58}"/>
              </c:ext>
            </c:extLst>
          </c:dPt>
          <c:dPt>
            <c:idx val="11"/>
            <c:bubble3D val="0"/>
            <c:spPr>
              <a:solidFill>
                <a:srgbClr val="BFBFBF"/>
              </a:solidFill>
              <a:ln w="19050">
                <a:solidFill>
                  <a:schemeClr val="lt1"/>
                </a:solidFill>
              </a:ln>
              <a:effectLst/>
            </c:spPr>
            <c:extLst>
              <c:ext xmlns:c16="http://schemas.microsoft.com/office/drawing/2014/chart" uri="{C3380CC4-5D6E-409C-BE32-E72D297353CC}">
                <c16:uniqueId val="{00000017-8976-4AF1-B3C2-8F3DBE4F1F58}"/>
              </c:ext>
            </c:extLst>
          </c:dPt>
          <c:dLbls>
            <c:dLbl>
              <c:idx val="0"/>
              <c:numFmt formatCode="0%" sourceLinked="0"/>
              <c:spPr>
                <a:noFill/>
                <a:ln>
                  <a:noFill/>
                </a:ln>
                <a:effectLst/>
              </c:spPr>
              <c:txPr>
                <a:bodyPr rot="0" spcFirstLastPara="1" vertOverflow="overflow" horzOverflow="overflow" vert="horz" wrap="square" anchor="ctr" anchorCtr="1"/>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showLegendKey val="0"/>
              <c:showVal val="0"/>
              <c:showCatName val="1"/>
              <c:showSerName val="0"/>
              <c:showPercent val="1"/>
              <c:showBubbleSize val="0"/>
              <c:extLst>
                <c:ext xmlns:c16="http://schemas.microsoft.com/office/drawing/2014/chart" uri="{C3380CC4-5D6E-409C-BE32-E72D297353CC}">
                  <c16:uniqueId val="{00000001-8976-4AF1-B3C2-8F3DBE4F1F58}"/>
                </c:ext>
              </c:extLst>
            </c:dLbl>
            <c:dLbl>
              <c:idx val="1"/>
              <c:numFmt formatCode="0%" sourceLinked="0"/>
              <c:spPr>
                <a:noFill/>
                <a:ln>
                  <a:noFill/>
                </a:ln>
                <a:effectLst/>
              </c:spPr>
              <c:txPr>
                <a:bodyPr rot="0" spcFirstLastPara="1" vertOverflow="overflow" horzOverflow="overflow" vert="horz" wrap="square" anchor="ctr" anchorCtr="1"/>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showLegendKey val="0"/>
              <c:showVal val="0"/>
              <c:showCatName val="1"/>
              <c:showSerName val="0"/>
              <c:showPercent val="1"/>
              <c:showBubbleSize val="0"/>
              <c:extLst>
                <c:ext xmlns:c16="http://schemas.microsoft.com/office/drawing/2014/chart" uri="{C3380CC4-5D6E-409C-BE32-E72D297353CC}">
                  <c16:uniqueId val="{00000003-8976-4AF1-B3C2-8F3DBE4F1F58}"/>
                </c:ext>
              </c:extLst>
            </c:dLbl>
            <c:dLbl>
              <c:idx val="2"/>
              <c:numFmt formatCode="0%" sourceLinked="0"/>
              <c:spPr>
                <a:noFill/>
                <a:ln>
                  <a:noFill/>
                </a:ln>
                <a:effectLst/>
              </c:spPr>
              <c:txPr>
                <a:bodyPr rot="0" spcFirstLastPara="1" vertOverflow="overflow" horzOverflow="overflow" vert="horz" wrap="square" anchor="ctr" anchorCtr="1"/>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showLegendKey val="0"/>
              <c:showVal val="0"/>
              <c:showCatName val="1"/>
              <c:showSerName val="0"/>
              <c:showPercent val="1"/>
              <c:showBubbleSize val="0"/>
              <c:extLst>
                <c:ext xmlns:c16="http://schemas.microsoft.com/office/drawing/2014/chart" uri="{C3380CC4-5D6E-409C-BE32-E72D297353CC}">
                  <c16:uniqueId val="{00000005-8976-4AF1-B3C2-8F3DBE4F1F58}"/>
                </c:ext>
              </c:extLst>
            </c:dLbl>
            <c:dLbl>
              <c:idx val="4"/>
              <c:layout>
                <c:manualLayout>
                  <c:x val="-2.8318584070796449E-2"/>
                  <c:y val="4.8661800486618006E-3"/>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8976-4AF1-B3C2-8F3DBE4F1F58}"/>
                </c:ext>
              </c:extLst>
            </c:dLbl>
            <c:dLbl>
              <c:idx val="5"/>
              <c:layout>
                <c:manualLayout>
                  <c:x val="-0.13923303834808259"/>
                  <c:y val="-4.1362530413625351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8976-4AF1-B3C2-8F3DBE4F1F58}"/>
                </c:ext>
              </c:extLst>
            </c:dLbl>
            <c:dLbl>
              <c:idx val="6"/>
              <c:layout>
                <c:manualLayout>
                  <c:x val="-0.13923303834808259"/>
                  <c:y val="-6.569343065693431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8976-4AF1-B3C2-8F3DBE4F1F58}"/>
                </c:ext>
              </c:extLst>
            </c:dLbl>
            <c:dLbl>
              <c:idx val="7"/>
              <c:layout>
                <c:manualLayout>
                  <c:x val="-0.1501540958391854"/>
                  <c:y val="-0.1070560498303667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F-8976-4AF1-B3C2-8F3DBE4F1F58}"/>
                </c:ext>
              </c:extLst>
            </c:dLbl>
            <c:dLbl>
              <c:idx val="8"/>
              <c:layout>
                <c:manualLayout>
                  <c:x val="-0.20766961651917404"/>
                  <c:y val="-0.17603521275169071"/>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1-8976-4AF1-B3C2-8F3DBE4F1F58}"/>
                </c:ext>
              </c:extLst>
            </c:dLbl>
            <c:dLbl>
              <c:idx val="9"/>
              <c:layout>
                <c:manualLayout>
                  <c:x val="-6.6076696165191767E-2"/>
                  <c:y val="-0.11678832116788324"/>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3-8976-4AF1-B3C2-8F3DBE4F1F58}"/>
                </c:ext>
              </c:extLst>
            </c:dLbl>
            <c:dLbl>
              <c:idx val="10"/>
              <c:layout>
                <c:manualLayout>
                  <c:x val="2.359882005899705E-3"/>
                  <c:y val="-0.15699695384792228"/>
                </c:manualLayout>
              </c:layout>
              <c:numFmt formatCode="General" sourceLinked="0"/>
              <c:spPr>
                <a:noFill/>
                <a:ln>
                  <a:noFill/>
                </a:ln>
                <a:effectLst/>
              </c:spPr>
              <c:txPr>
                <a:bodyPr rot="0" spcFirstLastPara="1" vertOverflow="overflow" horzOverflow="overflow"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5-8976-4AF1-B3C2-8F3DBE4F1F58}"/>
                </c:ext>
              </c:extLst>
            </c:dLbl>
            <c:dLbl>
              <c:idx val="11"/>
              <c:layout/>
              <c:tx>
                <c:rich>
                  <a:bodyPr/>
                  <a:lstStyle/>
                  <a:p>
                    <a:r>
                      <a:rPr lang="en-US" baseline="0"/>
                      <a:t>ostatní nemoci
</a:t>
                    </a:r>
                    <a:fld id="{767B6084-3820-4DB6-AAAF-3775B0E4012D}"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7-8976-4AF1-B3C2-8F3DBE4F1F58}"/>
                </c:ext>
              </c:extLst>
            </c:dLbl>
            <c:numFmt formatCode="0%" sourceLinked="0"/>
            <c:spPr>
              <a:noFill/>
              <a:ln>
                <a:noFill/>
              </a:ln>
              <a:effectLst/>
            </c:spPr>
            <c:txPr>
              <a:bodyPr rot="0" spcFirstLastPara="1" vertOverflow="overflow" horzOverflow="overflow"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'3.2'!$E$2:$E$13</c:f>
              <c:strCache>
                <c:ptCount val="12"/>
                <c:pt idx="0">
                  <c:v> nemoci dýchací soustavy</c:v>
                </c:pt>
                <c:pt idx="1">
                  <c:v> nemoci pohybové soustavy</c:v>
                </c:pt>
                <c:pt idx="2">
                  <c:v> úrazy, otravy</c:v>
                </c:pt>
                <c:pt idx="3">
                  <c:v> nemoci trávicí soustavy</c:v>
                </c:pt>
                <c:pt idx="4">
                  <c:v> nemoci močové 
a pohlavní soustavy</c:v>
                </c:pt>
                <c:pt idx="5">
                  <c:v> nemoci oběhové soustavy</c:v>
                </c:pt>
                <c:pt idx="6">
                  <c:v> nemoci duševní</c:v>
                </c:pt>
                <c:pt idx="7">
                  <c:v> těhotenství, porod, šestinedělí</c:v>
                </c:pt>
                <c:pt idx="8">
                  <c:v> nemoci kůže</c:v>
                </c:pt>
                <c:pt idx="9">
                  <c:v> nemoci nervové soustavy</c:v>
                </c:pt>
                <c:pt idx="10">
                  <c:v> zhoubné novotvary</c:v>
                </c:pt>
                <c:pt idx="11">
                  <c:v> nemoci ostatní</c:v>
                </c:pt>
              </c:strCache>
            </c:strRef>
          </c:cat>
          <c:val>
            <c:numRef>
              <c:f>'3.2'!$F$2:$F$13</c:f>
              <c:numCache>
                <c:formatCode>General</c:formatCode>
                <c:ptCount val="12"/>
                <c:pt idx="0">
                  <c:v>389646</c:v>
                </c:pt>
                <c:pt idx="1">
                  <c:v>179523</c:v>
                </c:pt>
                <c:pt idx="2">
                  <c:v>98703</c:v>
                </c:pt>
                <c:pt idx="3">
                  <c:v>64438</c:v>
                </c:pt>
                <c:pt idx="4">
                  <c:v>36909</c:v>
                </c:pt>
                <c:pt idx="5">
                  <c:v>27256</c:v>
                </c:pt>
                <c:pt idx="6">
                  <c:v>25147</c:v>
                </c:pt>
                <c:pt idx="7">
                  <c:v>17563</c:v>
                </c:pt>
                <c:pt idx="8">
                  <c:v>14785</c:v>
                </c:pt>
                <c:pt idx="9">
                  <c:v>14608</c:v>
                </c:pt>
                <c:pt idx="10">
                  <c:v>7369</c:v>
                </c:pt>
                <c:pt idx="11">
                  <c:v>87941</c:v>
                </c:pt>
              </c:numCache>
            </c:numRef>
          </c:val>
          <c:extLst>
            <c:ext xmlns:c16="http://schemas.microsoft.com/office/drawing/2014/chart" uri="{C3380CC4-5D6E-409C-BE32-E72D297353CC}">
              <c16:uniqueId val="{00000018-8976-4AF1-B3C2-8F3DBE4F1F58}"/>
            </c:ext>
          </c:extLst>
        </c:ser>
        <c:dLbls>
          <c:showLegendKey val="0"/>
          <c:showVal val="0"/>
          <c:showCatName val="0"/>
          <c:showSerName val="0"/>
          <c:showPercent val="0"/>
          <c:showBubbleSize val="0"/>
          <c:showLeaderLines val="1"/>
        </c:dLbls>
        <c:firstSliceAng val="0"/>
        <c:holeSize val="53"/>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'4.1'!$O$5</c:f>
              <c:strCache>
                <c:ptCount val="1"/>
                <c:pt idx="0">
                  <c:v> výdaje na nemocenské </c:v>
                </c:pt>
              </c:strCache>
            </c:strRef>
          </c:tx>
          <c:spPr>
            <a:solidFill>
              <a:srgbClr val="6F2D2B"/>
            </a:solidFill>
            <a:ln>
              <a:noFill/>
            </a:ln>
            <a:effectLst/>
          </c:spPr>
          <c:invertIfNegative val="0"/>
          <c:cat>
            <c:strRef>
              <c:f>'4.1'!$P$4:$AB$4</c:f>
              <c:strCache>
                <c:ptCount val="12"/>
                <c:pt idx="0">
                  <c:v>1. pol. 2008</c:v>
                </c:pt>
                <c:pt idx="1">
                  <c:v>1. pol. 2009</c:v>
                </c:pt>
                <c:pt idx="2">
                  <c:v>1. pol. 2010</c:v>
                </c:pt>
                <c:pt idx="3">
                  <c:v>1. pol. 2011</c:v>
                </c:pt>
                <c:pt idx="4">
                  <c:v>1. pol. 2012</c:v>
                </c:pt>
                <c:pt idx="5">
                  <c:v>1. pol. 2013</c:v>
                </c:pt>
                <c:pt idx="6">
                  <c:v>1. pol. 2014</c:v>
                </c:pt>
                <c:pt idx="7">
                  <c:v>1. pol. 2015</c:v>
                </c:pt>
                <c:pt idx="8">
                  <c:v>1. pol. 2016</c:v>
                </c:pt>
                <c:pt idx="9">
                  <c:v>1. pol. 2017</c:v>
                </c:pt>
                <c:pt idx="10">
                  <c:v>1. pol. 2018</c:v>
                </c:pt>
                <c:pt idx="11">
                  <c:v>1. pol. 2019</c:v>
                </c:pt>
              </c:strCache>
            </c:strRef>
          </c:cat>
          <c:val>
            <c:numRef>
              <c:f>'4.1'!$P$5:$AB$5</c:f>
              <c:numCache>
                <c:formatCode>#,##0.00</c:formatCode>
                <c:ptCount val="12"/>
                <c:pt idx="0">
                  <c:v>13.067501752</c:v>
                </c:pt>
                <c:pt idx="1">
                  <c:v>10.28179731614</c:v>
                </c:pt>
                <c:pt idx="2">
                  <c:v>8.2339331569999992</c:v>
                </c:pt>
                <c:pt idx="3">
                  <c:v>7.5798220235400002</c:v>
                </c:pt>
                <c:pt idx="4">
                  <c:v>6.2087213491500002</c:v>
                </c:pt>
                <c:pt idx="5">
                  <c:v>6.4451856920499999</c:v>
                </c:pt>
                <c:pt idx="6">
                  <c:v>7.0990587236899998</c:v>
                </c:pt>
                <c:pt idx="7">
                  <c:v>8.0224034105699999</c:v>
                </c:pt>
                <c:pt idx="8">
                  <c:v>8.8471537781199991</c:v>
                </c:pt>
                <c:pt idx="9">
                  <c:v>9.6800929760399992</c:v>
                </c:pt>
                <c:pt idx="10">
                  <c:v>11.60475287349</c:v>
                </c:pt>
                <c:pt idx="11">
                  <c:v>13.78</c:v>
                </c:pt>
              </c:numCache>
            </c:numRef>
          </c:val>
          <c:extLst>
            <c:ext xmlns:c16="http://schemas.microsoft.com/office/drawing/2014/chart" uri="{C3380CC4-5D6E-409C-BE32-E72D297353CC}">
              <c16:uniqueId val="{00000000-0005-4F30-AA13-FA6DC2449A5D}"/>
            </c:ext>
          </c:extLst>
        </c:ser>
        <c:dLbls>
          <c:showLegendKey val="0"/>
          <c:showVal val="0"/>
          <c:showCatName val="0"/>
          <c:showSerName val="0"/>
          <c:showPercent val="0"/>
          <c:showBubbleSize val="0"/>
        </c:dLbls>
        <c:gapWidth val="100"/>
        <c:axId val="855991664"/>
        <c:axId val="855990832"/>
      </c:barChart>
      <c:lineChart>
        <c:grouping val="standard"/>
        <c:varyColors val="0"/>
        <c:ser>
          <c:idx val="1"/>
          <c:order val="1"/>
          <c:tx>
            <c:strRef>
              <c:f>'4.1'!$O$6</c:f>
              <c:strCache>
                <c:ptCount val="1"/>
                <c:pt idx="0">
                  <c:v> průměrné procento DPN</c:v>
                </c:pt>
              </c:strCache>
            </c:strRef>
          </c:tx>
          <c:spPr>
            <a:ln w="28575" cap="rnd">
              <a:solidFill>
                <a:srgbClr val="DA9896"/>
              </a:solidFill>
              <a:round/>
            </a:ln>
            <a:effectLst/>
          </c:spPr>
          <c:marker>
            <c:symbol val="circle"/>
            <c:size val="5"/>
            <c:spPr>
              <a:solidFill>
                <a:srgbClr val="DA9896"/>
              </a:solidFill>
              <a:ln w="9525">
                <a:solidFill>
                  <a:srgbClr val="DA9896"/>
                </a:solidFill>
              </a:ln>
              <a:effectLst/>
            </c:spPr>
          </c:marker>
          <c:cat>
            <c:strRef>
              <c:f>'4.1'!$P$4:$AB$4</c:f>
              <c:strCache>
                <c:ptCount val="12"/>
                <c:pt idx="0">
                  <c:v>1. pol. 2008</c:v>
                </c:pt>
                <c:pt idx="1">
                  <c:v>1. pol. 2009</c:v>
                </c:pt>
                <c:pt idx="2">
                  <c:v>1. pol. 2010</c:v>
                </c:pt>
                <c:pt idx="3">
                  <c:v>1. pol. 2011</c:v>
                </c:pt>
                <c:pt idx="4">
                  <c:v>1. pol. 2012</c:v>
                </c:pt>
                <c:pt idx="5">
                  <c:v>1. pol. 2013</c:v>
                </c:pt>
                <c:pt idx="6">
                  <c:v>1. pol. 2014</c:v>
                </c:pt>
                <c:pt idx="7">
                  <c:v>1. pol. 2015</c:v>
                </c:pt>
                <c:pt idx="8">
                  <c:v>1. pol. 2016</c:v>
                </c:pt>
                <c:pt idx="9">
                  <c:v>1. pol. 2017</c:v>
                </c:pt>
                <c:pt idx="10">
                  <c:v>1. pol. 2018</c:v>
                </c:pt>
                <c:pt idx="11">
                  <c:v>1. pol. 2019</c:v>
                </c:pt>
              </c:strCache>
            </c:strRef>
          </c:cat>
          <c:val>
            <c:numRef>
              <c:f>'4.1'!$P$6:$AB$6</c:f>
              <c:numCache>
                <c:formatCode>#,##0.00</c:formatCode>
                <c:ptCount val="12"/>
                <c:pt idx="0">
                  <c:v>5.157</c:v>
                </c:pt>
                <c:pt idx="1">
                  <c:v>4.3659999999999997</c:v>
                </c:pt>
                <c:pt idx="2">
                  <c:v>4.0869999999999997</c:v>
                </c:pt>
                <c:pt idx="3">
                  <c:v>4.0149999999999997</c:v>
                </c:pt>
                <c:pt idx="4">
                  <c:v>3.57</c:v>
                </c:pt>
                <c:pt idx="5">
                  <c:v>3.988</c:v>
                </c:pt>
                <c:pt idx="6">
                  <c:v>3.82</c:v>
                </c:pt>
                <c:pt idx="7">
                  <c:v>4.3310000000000004</c:v>
                </c:pt>
                <c:pt idx="8">
                  <c:v>4.4525679656000001</c:v>
                </c:pt>
                <c:pt idx="9">
                  <c:v>4.6169128301000004</c:v>
                </c:pt>
                <c:pt idx="10" formatCode="#\ ##0.0">
                  <c:v>4.7644071572</c:v>
                </c:pt>
                <c:pt idx="11" formatCode="0.00">
                  <c:v>4.8494297227000001</c:v>
                </c:pt>
              </c:numCache>
            </c:numRef>
          </c:val>
          <c:smooth val="0"/>
          <c:extLst>
            <c:ext xmlns:c16="http://schemas.microsoft.com/office/drawing/2014/chart" uri="{C3380CC4-5D6E-409C-BE32-E72D297353CC}">
              <c16:uniqueId val="{00000001-0005-4F30-AA13-FA6DC2449A5D}"/>
            </c:ext>
          </c:extLst>
        </c:ser>
        <c:dLbls>
          <c:showLegendKey val="0"/>
          <c:showVal val="0"/>
          <c:showCatName val="0"/>
          <c:showSerName val="0"/>
          <c:showPercent val="0"/>
          <c:showBubbleSize val="0"/>
        </c:dLbls>
        <c:marker val="1"/>
        <c:smooth val="0"/>
        <c:axId val="865365952"/>
        <c:axId val="72822416"/>
      </c:lineChart>
      <c:catAx>
        <c:axId val="855991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855990832"/>
        <c:crosses val="autoZero"/>
        <c:auto val="1"/>
        <c:lblAlgn val="ctr"/>
        <c:lblOffset val="100"/>
        <c:noMultiLvlLbl val="0"/>
      </c:catAx>
      <c:valAx>
        <c:axId val="855990832"/>
        <c:scaling>
          <c:orientation val="minMax"/>
          <c:max val="1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a:t>mld Kč.</a:t>
                </a:r>
              </a:p>
            </c:rich>
          </c:tx>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855991664"/>
        <c:crosses val="autoZero"/>
        <c:crossBetween val="between"/>
      </c:valAx>
      <c:valAx>
        <c:axId val="72822416"/>
        <c:scaling>
          <c:orientation val="minMax"/>
          <c:max val="7"/>
        </c:scaling>
        <c:delete val="0"/>
        <c:axPos val="r"/>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a:t>
                </a:r>
              </a:p>
            </c:rich>
          </c:tx>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865365952"/>
        <c:crosses val="max"/>
        <c:crossBetween val="between"/>
      </c:valAx>
      <c:catAx>
        <c:axId val="865365952"/>
        <c:scaling>
          <c:orientation val="minMax"/>
        </c:scaling>
        <c:delete val="1"/>
        <c:axPos val="b"/>
        <c:numFmt formatCode="General" sourceLinked="1"/>
        <c:majorTickMark val="out"/>
        <c:minorTickMark val="none"/>
        <c:tickLblPos val="nextTo"/>
        <c:crossAx val="72822416"/>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869467203763967"/>
          <c:y val="3.9855072463768113E-2"/>
          <c:w val="0.47900507911624168"/>
          <c:h val="0.81935723460099408"/>
        </c:manualLayout>
      </c:layout>
      <c:barChart>
        <c:barDir val="bar"/>
        <c:grouping val="clustered"/>
        <c:varyColors val="0"/>
        <c:ser>
          <c:idx val="0"/>
          <c:order val="0"/>
          <c:spPr>
            <a:solidFill>
              <a:srgbClr val="DA9896"/>
            </a:solidFill>
            <a:ln>
              <a:noFill/>
            </a:ln>
            <a:effectLst/>
          </c:spPr>
          <c:invertIfNegative val="0"/>
          <c:dPt>
            <c:idx val="13"/>
            <c:invertIfNegative val="0"/>
            <c:bubble3D val="0"/>
            <c:spPr>
              <a:solidFill>
                <a:srgbClr val="DA9896"/>
              </a:solidFill>
              <a:ln w="31750">
                <a:solidFill>
                  <a:srgbClr val="C00000"/>
                </a:solidFill>
              </a:ln>
              <a:effectLst/>
            </c:spPr>
            <c:extLst>
              <c:ext xmlns:c16="http://schemas.microsoft.com/office/drawing/2014/chart" uri="{C3380CC4-5D6E-409C-BE32-E72D297353CC}">
                <c16:uniqueId val="{00000001-56C5-43B4-9D45-45726681A8C1}"/>
              </c:ext>
            </c:extLst>
          </c:dPt>
          <c:cat>
            <c:strRef>
              <c:f>'5.1'!$A$27:$A$46</c:f>
              <c:strCache>
                <c:ptCount val="20"/>
                <c:pt idx="0">
                  <c:v>K – Peněžnictví a pojišťovnictví</c:v>
                </c:pt>
                <c:pt idx="1">
                  <c:v>J – Informační a komunikační činnosti</c:v>
                </c:pt>
                <c:pt idx="2">
                  <c:v>M – Profesní, vědecké a technické činnosti</c:v>
                </c:pt>
                <c:pt idx="3">
                  <c:v>L – Činnosti v oblasti nemovitostí</c:v>
                </c:pt>
                <c:pt idx="4">
                  <c:v>S – Ostatní činnosti</c:v>
                </c:pt>
                <c:pt idx="5">
                  <c:v>D – Výroba a rozvod elektřiny, plynu, tepla a klimatiz. vzduchu</c:v>
                </c:pt>
                <c:pt idx="6">
                  <c:v>P – Vzdělávání</c:v>
                </c:pt>
                <c:pt idx="7">
                  <c:v>O – Veřejná správa a obrana; povinné sociální zabezpečení</c:v>
                </c:pt>
                <c:pt idx="8">
                  <c:v>R – Kulturní, zábavní a rekreační činnosti</c:v>
                </c:pt>
                <c:pt idx="9">
                  <c:v>Q – Zdravotní a sociální péče</c:v>
                </c:pt>
                <c:pt idx="10">
                  <c:v>I – Ubytování, stravování a pohostinství</c:v>
                </c:pt>
                <c:pt idx="11">
                  <c:v>N – Administrativní a podpůrné činnosti</c:v>
                </c:pt>
                <c:pt idx="12">
                  <c:v>G – Velkoobchod a maloobchod; 
opravy a údržba motorových vozidel</c:v>
                </c:pt>
                <c:pt idx="13">
                  <c:v>CELKEM</c:v>
                </c:pt>
                <c:pt idx="14">
                  <c:v>F – Stavebnictví</c:v>
                </c:pt>
                <c:pt idx="15">
                  <c:v>C – Zpracovatelský průmysl</c:v>
                </c:pt>
                <c:pt idx="16">
                  <c:v>B – Těžba a dobývání</c:v>
                </c:pt>
                <c:pt idx="17">
                  <c:v>H – Doprava a skladování</c:v>
                </c:pt>
                <c:pt idx="18">
                  <c:v>E – Zásobování vodou; činnosti 
související s odpady a sanacemi</c:v>
                </c:pt>
                <c:pt idx="19">
                  <c:v>A – Zemědělství, lesnictví, rybářství</c:v>
                </c:pt>
              </c:strCache>
            </c:strRef>
          </c:cat>
          <c:val>
            <c:numRef>
              <c:f>'5.1'!$B$27:$B$46</c:f>
              <c:numCache>
                <c:formatCode>General</c:formatCode>
                <c:ptCount val="20"/>
                <c:pt idx="0">
                  <c:v>41.890745456822195</c:v>
                </c:pt>
                <c:pt idx="1">
                  <c:v>51.523343951412272</c:v>
                </c:pt>
                <c:pt idx="2">
                  <c:v>107.7691281044191</c:v>
                </c:pt>
                <c:pt idx="3">
                  <c:v>161.97465311508287</c:v>
                </c:pt>
                <c:pt idx="4">
                  <c:v>180.8280723489444</c:v>
                </c:pt>
                <c:pt idx="5">
                  <c:v>186.98854008268816</c:v>
                </c:pt>
                <c:pt idx="6">
                  <c:v>212.81547529259851</c:v>
                </c:pt>
                <c:pt idx="7">
                  <c:v>221.49452105772502</c:v>
                </c:pt>
                <c:pt idx="8">
                  <c:v>265.16086568786062</c:v>
                </c:pt>
                <c:pt idx="9">
                  <c:v>306.84465135483202</c:v>
                </c:pt>
                <c:pt idx="10">
                  <c:v>346.57569132374158</c:v>
                </c:pt>
                <c:pt idx="11">
                  <c:v>419.92510161561609</c:v>
                </c:pt>
                <c:pt idx="12">
                  <c:v>429.81917877644054</c:v>
                </c:pt>
                <c:pt idx="13">
                  <c:v>481.91912473895519</c:v>
                </c:pt>
                <c:pt idx="14">
                  <c:v>570.06169395811037</c:v>
                </c:pt>
                <c:pt idx="15">
                  <c:v>754.57819810540843</c:v>
                </c:pt>
                <c:pt idx="16">
                  <c:v>770.31435669700022</c:v>
                </c:pt>
                <c:pt idx="17">
                  <c:v>799.54441040784479</c:v>
                </c:pt>
                <c:pt idx="18">
                  <c:v>949.1055210237796</c:v>
                </c:pt>
                <c:pt idx="19">
                  <c:v>1181.8104411479121</c:v>
                </c:pt>
              </c:numCache>
            </c:numRef>
          </c:val>
          <c:extLst>
            <c:ext xmlns:c16="http://schemas.microsoft.com/office/drawing/2014/chart" uri="{C3380CC4-5D6E-409C-BE32-E72D297353CC}">
              <c16:uniqueId val="{00000002-56C5-43B4-9D45-45726681A8C1}"/>
            </c:ext>
          </c:extLst>
        </c:ser>
        <c:dLbls>
          <c:showLegendKey val="0"/>
          <c:showVal val="0"/>
          <c:showCatName val="0"/>
          <c:showSerName val="0"/>
          <c:showPercent val="0"/>
          <c:showBubbleSize val="0"/>
        </c:dLbls>
        <c:gapWidth val="182"/>
        <c:axId val="1074218848"/>
        <c:axId val="1074218432"/>
      </c:barChart>
      <c:catAx>
        <c:axId val="10742188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074218432"/>
        <c:crosses val="autoZero"/>
        <c:auto val="1"/>
        <c:lblAlgn val="ctr"/>
        <c:lblOffset val="100"/>
        <c:noMultiLvlLbl val="0"/>
      </c:catAx>
      <c:valAx>
        <c:axId val="1074218432"/>
        <c:scaling>
          <c:orientation val="minMax"/>
          <c:max val="12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počet pracovních úrazů s </a:t>
                </a:r>
                <a:r>
                  <a:rPr lang="cs-CZ"/>
                  <a:t>D</a:t>
                </a:r>
                <a:r>
                  <a:rPr lang="en-US"/>
                  <a:t>PN delší než 3 dny</a:t>
                </a:r>
              </a:p>
            </c:rich>
          </c:tx>
          <c:layout>
            <c:manualLayout>
              <c:xMode val="edge"/>
              <c:yMode val="edge"/>
              <c:x val="0.57302771475599446"/>
              <c:y val="0.9290528331017445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0742188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DA9896"/>
            </a:solidFill>
            <a:ln>
              <a:noFill/>
            </a:ln>
            <a:effectLst/>
          </c:spPr>
          <c:invertIfNegative val="0"/>
          <c:dPt>
            <c:idx val="3"/>
            <c:invertIfNegative val="0"/>
            <c:bubble3D val="0"/>
            <c:spPr>
              <a:solidFill>
                <a:srgbClr val="DA9896"/>
              </a:solidFill>
              <a:ln w="31750">
                <a:solidFill>
                  <a:srgbClr val="C00000"/>
                </a:solidFill>
              </a:ln>
              <a:effectLst/>
            </c:spPr>
            <c:extLst>
              <c:ext xmlns:c16="http://schemas.microsoft.com/office/drawing/2014/chart" uri="{C3380CC4-5D6E-409C-BE32-E72D297353CC}">
                <c16:uniqueId val="{00000001-91A7-4F26-9C0F-01F880D6EECC}"/>
              </c:ext>
            </c:extLst>
          </c:dPt>
          <c:cat>
            <c:strRef>
              <c:f>'5.2'!$A$25:$A$39</c:f>
              <c:strCache>
                <c:ptCount val="15"/>
                <c:pt idx="0">
                  <c:v>Hlavní město Praha</c:v>
                </c:pt>
                <c:pt idx="1">
                  <c:v>Jihomoravský kraj</c:v>
                </c:pt>
                <c:pt idx="2">
                  <c:v>Moravskoslezský kraj</c:v>
                </c:pt>
                <c:pt idx="3">
                  <c:v>ČR CELKEM</c:v>
                </c:pt>
                <c:pt idx="4">
                  <c:v>Olomoucký kraj</c:v>
                </c:pt>
                <c:pt idx="5">
                  <c:v>Středočeský kraj</c:v>
                </c:pt>
                <c:pt idx="6">
                  <c:v>Liberecký kraj</c:v>
                </c:pt>
                <c:pt idx="7">
                  <c:v>Zlínský kraj</c:v>
                </c:pt>
                <c:pt idx="8">
                  <c:v>Pardubický kraj</c:v>
                </c:pt>
                <c:pt idx="9">
                  <c:v>Karlovarský kraj</c:v>
                </c:pt>
                <c:pt idx="10">
                  <c:v>Královéhradecký kraj</c:v>
                </c:pt>
                <c:pt idx="11">
                  <c:v>Ústecký kraj</c:v>
                </c:pt>
                <c:pt idx="12">
                  <c:v>Plzeňský kraj</c:v>
                </c:pt>
                <c:pt idx="13">
                  <c:v>Jihočeský kraj</c:v>
                </c:pt>
                <c:pt idx="14">
                  <c:v>Kraj Vysočina</c:v>
                </c:pt>
              </c:strCache>
            </c:strRef>
          </c:cat>
          <c:val>
            <c:numRef>
              <c:f>'5.2'!$B$25:$B$39</c:f>
              <c:numCache>
                <c:formatCode>General</c:formatCode>
                <c:ptCount val="15"/>
                <c:pt idx="0">
                  <c:v>279.99625712118558</c:v>
                </c:pt>
                <c:pt idx="1">
                  <c:v>430.94213930594356</c:v>
                </c:pt>
                <c:pt idx="2">
                  <c:v>471.56961621885387</c:v>
                </c:pt>
                <c:pt idx="3">
                  <c:v>481.91912473895519</c:v>
                </c:pt>
                <c:pt idx="4">
                  <c:v>485.34632947989127</c:v>
                </c:pt>
                <c:pt idx="5">
                  <c:v>493.44534055254269</c:v>
                </c:pt>
                <c:pt idx="6">
                  <c:v>518.62428400643853</c:v>
                </c:pt>
                <c:pt idx="7">
                  <c:v>533.60974860166277</c:v>
                </c:pt>
                <c:pt idx="8">
                  <c:v>574.22535995274973</c:v>
                </c:pt>
                <c:pt idx="9">
                  <c:v>612.74626030559398</c:v>
                </c:pt>
                <c:pt idx="10">
                  <c:v>639.47100358831995</c:v>
                </c:pt>
                <c:pt idx="11">
                  <c:v>665.29684069669622</c:v>
                </c:pt>
                <c:pt idx="12">
                  <c:v>686.0518827365604</c:v>
                </c:pt>
                <c:pt idx="13">
                  <c:v>735.27768866764006</c:v>
                </c:pt>
                <c:pt idx="14">
                  <c:v>739.0826741280963</c:v>
                </c:pt>
              </c:numCache>
            </c:numRef>
          </c:val>
          <c:extLst>
            <c:ext xmlns:c16="http://schemas.microsoft.com/office/drawing/2014/chart" uri="{C3380CC4-5D6E-409C-BE32-E72D297353CC}">
              <c16:uniqueId val="{00000002-91A7-4F26-9C0F-01F880D6EECC}"/>
            </c:ext>
          </c:extLst>
        </c:ser>
        <c:dLbls>
          <c:showLegendKey val="0"/>
          <c:showVal val="0"/>
          <c:showCatName val="0"/>
          <c:showSerName val="0"/>
          <c:showPercent val="0"/>
          <c:showBubbleSize val="0"/>
        </c:dLbls>
        <c:gapWidth val="182"/>
        <c:axId val="1100393472"/>
        <c:axId val="1100394304"/>
      </c:barChart>
      <c:catAx>
        <c:axId val="1100393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100394304"/>
        <c:crosses val="autoZero"/>
        <c:auto val="1"/>
        <c:lblAlgn val="ctr"/>
        <c:lblOffset val="100"/>
        <c:noMultiLvlLbl val="0"/>
      </c:catAx>
      <c:valAx>
        <c:axId val="11003943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800" b="0" i="0" baseline="0">
                    <a:effectLst/>
                  </a:rPr>
                  <a:t>počet pracovních úrazů s </a:t>
                </a:r>
                <a:r>
                  <a:rPr lang="cs-CZ" sz="800" b="0" i="0" baseline="0">
                    <a:effectLst/>
                  </a:rPr>
                  <a:t>D</a:t>
                </a:r>
                <a:r>
                  <a:rPr lang="en-US" sz="800" b="0" i="0" baseline="0">
                    <a:effectLst/>
                  </a:rPr>
                  <a:t>PN delší než 3 dny</a:t>
                </a:r>
                <a:endParaRPr lang="cs-CZ" sz="800">
                  <a:effectLst/>
                </a:endParaRPr>
              </a:p>
            </c:rich>
          </c:tx>
          <c:layout>
            <c:manualLayout>
              <c:xMode val="edge"/>
              <c:yMode val="edge"/>
              <c:x val="0.38770557432360109"/>
              <c:y val="0.9322651523378598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1003934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č.ř.!$B$4</c:f>
              <c:strCache>
                <c:ptCount val="1"/>
                <c:pt idx="0">
                  <c:v> počet případů DPN na 100 pojištěnců</c:v>
                </c:pt>
              </c:strCache>
            </c:strRef>
          </c:tx>
          <c:spPr>
            <a:solidFill>
              <a:srgbClr val="B44946"/>
            </a:solidFill>
            <a:ln w="19050">
              <a:solidFill>
                <a:srgbClr val="B44946"/>
              </a:solidFill>
            </a:ln>
          </c:spPr>
          <c:invertIfNegative val="0"/>
          <c:cat>
            <c:strRef>
              <c:f>č.ř.!$G$51:$G$66</c:f>
              <c:strCache>
                <c:ptCount val="16"/>
                <c:pt idx="0">
                  <c:v>1. pol. 2004</c:v>
                </c:pt>
                <c:pt idx="1">
                  <c:v>1. pol. 2005</c:v>
                </c:pt>
                <c:pt idx="2">
                  <c:v>1. pol. 2006</c:v>
                </c:pt>
                <c:pt idx="3">
                  <c:v>1. pol. 2007</c:v>
                </c:pt>
                <c:pt idx="4">
                  <c:v>1. pol. 2008</c:v>
                </c:pt>
                <c:pt idx="5">
                  <c:v>1. pol. 2009</c:v>
                </c:pt>
                <c:pt idx="6">
                  <c:v>1. pol. 2010</c:v>
                </c:pt>
                <c:pt idx="7">
                  <c:v>1. pol. 2011</c:v>
                </c:pt>
                <c:pt idx="8">
                  <c:v>1. pol. 2012</c:v>
                </c:pt>
                <c:pt idx="9">
                  <c:v>1. pol. 2013</c:v>
                </c:pt>
                <c:pt idx="10">
                  <c:v>1. pol. 2014</c:v>
                </c:pt>
                <c:pt idx="11">
                  <c:v>1. pol. 2015</c:v>
                </c:pt>
                <c:pt idx="12">
                  <c:v>1. pol. 2016</c:v>
                </c:pt>
                <c:pt idx="13">
                  <c:v>1. pol. 2017</c:v>
                </c:pt>
                <c:pt idx="14">
                  <c:v>1. pol. 2018</c:v>
                </c:pt>
                <c:pt idx="15">
                  <c:v>1. pol. 2019</c:v>
                </c:pt>
              </c:strCache>
            </c:strRef>
          </c:cat>
          <c:val>
            <c:numRef>
              <c:f>č.ř.!$H$51:$H$66</c:f>
              <c:numCache>
                <c:formatCode>#,##0.00</c:formatCode>
                <c:ptCount val="16"/>
                <c:pt idx="0">
                  <c:v>33.340000000000003</c:v>
                </c:pt>
                <c:pt idx="1">
                  <c:v>40.340000000000003</c:v>
                </c:pt>
                <c:pt idx="2">
                  <c:v>33.31</c:v>
                </c:pt>
                <c:pt idx="3">
                  <c:v>32.67</c:v>
                </c:pt>
                <c:pt idx="4">
                  <c:v>24.611568903471774</c:v>
                </c:pt>
                <c:pt idx="5">
                  <c:v>17.738012641145477</c:v>
                </c:pt>
                <c:pt idx="6">
                  <c:v>16.59989248104246</c:v>
                </c:pt>
                <c:pt idx="7">
                  <c:v>16.992403733629139</c:v>
                </c:pt>
                <c:pt idx="8">
                  <c:v>13.621003548314897</c:v>
                </c:pt>
                <c:pt idx="9">
                  <c:v>17.089557224696492</c:v>
                </c:pt>
                <c:pt idx="10">
                  <c:v>15.047435109934218</c:v>
                </c:pt>
                <c:pt idx="11">
                  <c:v>19.543493575765709</c:v>
                </c:pt>
                <c:pt idx="12">
                  <c:v>19.307439316405002</c:v>
                </c:pt>
                <c:pt idx="13">
                  <c:v>20.39509873258568</c:v>
                </c:pt>
                <c:pt idx="14">
                  <c:v>22.081868256436078</c:v>
                </c:pt>
                <c:pt idx="15">
                  <c:v>20.582558951076379</c:v>
                </c:pt>
              </c:numCache>
            </c:numRef>
          </c:val>
          <c:extLst>
            <c:ext xmlns:c16="http://schemas.microsoft.com/office/drawing/2014/chart" uri="{C3380CC4-5D6E-409C-BE32-E72D297353CC}">
              <c16:uniqueId val="{00000000-9FED-440C-9C08-B80653313E18}"/>
            </c:ext>
          </c:extLst>
        </c:ser>
        <c:dLbls>
          <c:showLegendKey val="0"/>
          <c:showVal val="0"/>
          <c:showCatName val="0"/>
          <c:showSerName val="0"/>
          <c:showPercent val="0"/>
          <c:showBubbleSize val="0"/>
        </c:dLbls>
        <c:gapWidth val="150"/>
        <c:axId val="95981952"/>
        <c:axId val="95983872"/>
      </c:barChart>
      <c:lineChart>
        <c:grouping val="standard"/>
        <c:varyColors val="0"/>
        <c:ser>
          <c:idx val="1"/>
          <c:order val="1"/>
          <c:tx>
            <c:strRef>
              <c:f>č.ř.!$C$4</c:f>
              <c:strCache>
                <c:ptCount val="1"/>
                <c:pt idx="0">
                  <c:v> průměrná délka trvání případu DPN</c:v>
                </c:pt>
              </c:strCache>
            </c:strRef>
          </c:tx>
          <c:spPr>
            <a:ln w="38100">
              <a:solidFill>
                <a:srgbClr val="D08886"/>
              </a:solidFill>
            </a:ln>
          </c:spPr>
          <c:marker>
            <c:symbol val="circle"/>
            <c:size val="9"/>
            <c:spPr>
              <a:solidFill>
                <a:srgbClr val="F5DADD"/>
              </a:solidFill>
              <a:ln>
                <a:solidFill>
                  <a:srgbClr val="D08886"/>
                </a:solidFill>
              </a:ln>
            </c:spPr>
          </c:marker>
          <c:cat>
            <c:numRef>
              <c:f>č.ř.!$A$34:$A$64</c:f>
              <c:numCache>
                <c:formatCode>General</c:formatCode>
                <c:ptCount val="31"/>
                <c:pt idx="0">
                  <c:v>1987</c:v>
                </c:pt>
                <c:pt idx="1">
                  <c:v>1988</c:v>
                </c:pt>
                <c:pt idx="2">
                  <c:v>1989</c:v>
                </c:pt>
                <c:pt idx="3">
                  <c:v>1990</c:v>
                </c:pt>
                <c:pt idx="4">
                  <c:v>1991</c:v>
                </c:pt>
                <c:pt idx="5">
                  <c:v>1992</c:v>
                </c:pt>
                <c:pt idx="6">
                  <c:v>1993</c:v>
                </c:pt>
                <c:pt idx="7">
                  <c:v>1994</c:v>
                </c:pt>
                <c:pt idx="8">
                  <c:v>1995</c:v>
                </c:pt>
                <c:pt idx="9">
                  <c:v>1996</c:v>
                </c:pt>
                <c:pt idx="10">
                  <c:v>1997</c:v>
                </c:pt>
                <c:pt idx="11">
                  <c:v>1998</c:v>
                </c:pt>
                <c:pt idx="12">
                  <c:v>1999</c:v>
                </c:pt>
                <c:pt idx="13">
                  <c:v>2000</c:v>
                </c:pt>
                <c:pt idx="14">
                  <c:v>2001</c:v>
                </c:pt>
                <c:pt idx="15">
                  <c:v>2002</c:v>
                </c:pt>
                <c:pt idx="16">
                  <c:v>2003</c:v>
                </c:pt>
                <c:pt idx="17">
                  <c:v>2004</c:v>
                </c:pt>
                <c:pt idx="18">
                  <c:v>2005</c:v>
                </c:pt>
                <c:pt idx="19">
                  <c:v>2006</c:v>
                </c:pt>
                <c:pt idx="20">
                  <c:v>2007</c:v>
                </c:pt>
                <c:pt idx="21">
                  <c:v>2008</c:v>
                </c:pt>
                <c:pt idx="22">
                  <c:v>2009</c:v>
                </c:pt>
                <c:pt idx="23">
                  <c:v>2010</c:v>
                </c:pt>
                <c:pt idx="24">
                  <c:v>2011</c:v>
                </c:pt>
                <c:pt idx="25">
                  <c:v>2012</c:v>
                </c:pt>
                <c:pt idx="26">
                  <c:v>2013</c:v>
                </c:pt>
                <c:pt idx="27">
                  <c:v>2014</c:v>
                </c:pt>
                <c:pt idx="28">
                  <c:v>2015</c:v>
                </c:pt>
                <c:pt idx="29">
                  <c:v>2016</c:v>
                </c:pt>
                <c:pt idx="30">
                  <c:v>2017</c:v>
                </c:pt>
              </c:numCache>
            </c:numRef>
          </c:cat>
          <c:val>
            <c:numRef>
              <c:f>č.ř.!$I$51:$I$66</c:f>
              <c:numCache>
                <c:formatCode>#,##0.00</c:formatCode>
                <c:ptCount val="16"/>
                <c:pt idx="0">
                  <c:v>34.020000000000003</c:v>
                </c:pt>
                <c:pt idx="1">
                  <c:v>30.12</c:v>
                </c:pt>
                <c:pt idx="2">
                  <c:v>34.43</c:v>
                </c:pt>
                <c:pt idx="3">
                  <c:v>32.909999999999997</c:v>
                </c:pt>
                <c:pt idx="4">
                  <c:v>38.138214350759824</c:v>
                </c:pt>
                <c:pt idx="5">
                  <c:v>44.54927612683899</c:v>
                </c:pt>
                <c:pt idx="6">
                  <c:v>44.566607141586687</c:v>
                </c:pt>
                <c:pt idx="7">
                  <c:v>42.770763221788243</c:v>
                </c:pt>
                <c:pt idx="8">
                  <c:v>47.702537033042844</c:v>
                </c:pt>
                <c:pt idx="9">
                  <c:v>42.242599856874023</c:v>
                </c:pt>
                <c:pt idx="10">
                  <c:v>45.943850424396835</c:v>
                </c:pt>
                <c:pt idx="11">
                  <c:v>40.111737833835704</c:v>
                </c:pt>
                <c:pt idx="12">
                  <c:v>41.971770756913834</c:v>
                </c:pt>
                <c:pt idx="13">
                  <c:v>40.973631424237581</c:v>
                </c:pt>
                <c:pt idx="14">
                  <c:v>39.052748911298465</c:v>
                </c:pt>
                <c:pt idx="15">
                  <c:v>42.645176179057081</c:v>
                </c:pt>
              </c:numCache>
            </c:numRef>
          </c:val>
          <c:smooth val="0"/>
          <c:extLst>
            <c:ext xmlns:c16="http://schemas.microsoft.com/office/drawing/2014/chart" uri="{C3380CC4-5D6E-409C-BE32-E72D297353CC}">
              <c16:uniqueId val="{00000001-9FED-440C-9C08-B80653313E18}"/>
            </c:ext>
          </c:extLst>
        </c:ser>
        <c:dLbls>
          <c:showLegendKey val="0"/>
          <c:showVal val="0"/>
          <c:showCatName val="0"/>
          <c:showSerName val="0"/>
          <c:showPercent val="0"/>
          <c:showBubbleSize val="0"/>
        </c:dLbls>
        <c:marker val="1"/>
        <c:smooth val="0"/>
        <c:axId val="95981952"/>
        <c:axId val="95983872"/>
      </c:lineChart>
      <c:lineChart>
        <c:grouping val="standard"/>
        <c:varyColors val="0"/>
        <c:ser>
          <c:idx val="2"/>
          <c:order val="2"/>
          <c:tx>
            <c:strRef>
              <c:f>č.ř.!$D$4</c:f>
              <c:strCache>
                <c:ptCount val="1"/>
                <c:pt idx="0">
                  <c:v> průměrné procento pracovní neschopnosti</c:v>
                </c:pt>
              </c:strCache>
            </c:strRef>
          </c:tx>
          <c:spPr>
            <a:ln w="38100">
              <a:solidFill>
                <a:srgbClr val="632827"/>
              </a:solidFill>
            </a:ln>
          </c:spPr>
          <c:marker>
            <c:spPr>
              <a:solidFill>
                <a:srgbClr val="632827"/>
              </a:solidFill>
              <a:ln>
                <a:solidFill>
                  <a:srgbClr val="632827"/>
                </a:solidFill>
              </a:ln>
            </c:spPr>
          </c:marker>
          <c:val>
            <c:numRef>
              <c:f>č.ř.!$J$51:$J$66</c:f>
              <c:numCache>
                <c:formatCode>#\ ##0.000</c:formatCode>
                <c:ptCount val="16"/>
                <c:pt idx="0">
                  <c:v>6.2329999999999997</c:v>
                </c:pt>
                <c:pt idx="1">
                  <c:v>6.7119999999999997</c:v>
                </c:pt>
                <c:pt idx="2">
                  <c:v>6.3360000000000003</c:v>
                </c:pt>
                <c:pt idx="3">
                  <c:v>5.9409999999999998</c:v>
                </c:pt>
                <c:pt idx="4" formatCode="###0.000">
                  <c:v>5.157</c:v>
                </c:pt>
                <c:pt idx="5" formatCode="###0.000">
                  <c:v>4.3659999999999997</c:v>
                </c:pt>
                <c:pt idx="6" formatCode="###0.000">
                  <c:v>4.0869999999999997</c:v>
                </c:pt>
                <c:pt idx="7" formatCode="###0.000">
                  <c:v>4.0149999999999997</c:v>
                </c:pt>
                <c:pt idx="8" formatCode="###0.000">
                  <c:v>3.57</c:v>
                </c:pt>
                <c:pt idx="9" formatCode="###0.000">
                  <c:v>3.988</c:v>
                </c:pt>
                <c:pt idx="10" formatCode="###0.000">
                  <c:v>3.82</c:v>
                </c:pt>
                <c:pt idx="11" formatCode="###0.000">
                  <c:v>4.3310000000000004</c:v>
                </c:pt>
                <c:pt idx="12" formatCode="###0.000">
                  <c:v>4.4525679656000001</c:v>
                </c:pt>
                <c:pt idx="13" formatCode="###0.000">
                  <c:v>4.6169128301000004</c:v>
                </c:pt>
                <c:pt idx="14" formatCode="#,##0.00">
                  <c:v>4.7644071571705542</c:v>
                </c:pt>
                <c:pt idx="15" formatCode="0.00">
                  <c:v>4.8494297227000001</c:v>
                </c:pt>
              </c:numCache>
            </c:numRef>
          </c:val>
          <c:smooth val="0"/>
          <c:extLst>
            <c:ext xmlns:c16="http://schemas.microsoft.com/office/drawing/2014/chart" uri="{C3380CC4-5D6E-409C-BE32-E72D297353CC}">
              <c16:uniqueId val="{00000002-9FED-440C-9C08-B80653313E18}"/>
            </c:ext>
          </c:extLst>
        </c:ser>
        <c:dLbls>
          <c:showLegendKey val="0"/>
          <c:showVal val="0"/>
          <c:showCatName val="0"/>
          <c:showSerName val="0"/>
          <c:showPercent val="0"/>
          <c:showBubbleSize val="0"/>
        </c:dLbls>
        <c:marker val="1"/>
        <c:smooth val="0"/>
        <c:axId val="95996160"/>
        <c:axId val="95994240"/>
      </c:lineChart>
      <c:catAx>
        <c:axId val="95981952"/>
        <c:scaling>
          <c:orientation val="minMax"/>
        </c:scaling>
        <c:delete val="0"/>
        <c:axPos val="b"/>
        <c:numFmt formatCode="General" sourceLinked="1"/>
        <c:majorTickMark val="out"/>
        <c:minorTickMark val="none"/>
        <c:tickLblPos val="nextTo"/>
        <c:txPr>
          <a:bodyPr rot="-3600000"/>
          <a:lstStyle/>
          <a:p>
            <a:pPr>
              <a:defRPr/>
            </a:pPr>
            <a:endParaRPr lang="cs-CZ"/>
          </a:p>
        </c:txPr>
        <c:crossAx val="95983872"/>
        <c:crosses val="autoZero"/>
        <c:auto val="1"/>
        <c:lblAlgn val="ctr"/>
        <c:lblOffset val="100"/>
        <c:noMultiLvlLbl val="0"/>
      </c:catAx>
      <c:valAx>
        <c:axId val="95983872"/>
        <c:scaling>
          <c:orientation val="minMax"/>
          <c:max val="70"/>
        </c:scaling>
        <c:delete val="0"/>
        <c:axPos val="l"/>
        <c:majorGridlines/>
        <c:title>
          <c:tx>
            <c:rich>
              <a:bodyPr rot="-5400000" vert="horz"/>
              <a:lstStyle/>
              <a:p>
                <a:pPr>
                  <a:defRPr/>
                </a:pPr>
                <a:r>
                  <a:rPr lang="cs-CZ" b="0"/>
                  <a:t>případy, dny</a:t>
                </a:r>
              </a:p>
            </c:rich>
          </c:tx>
          <c:layout/>
          <c:overlay val="0"/>
        </c:title>
        <c:numFmt formatCode="#,##0" sourceLinked="0"/>
        <c:majorTickMark val="out"/>
        <c:minorTickMark val="none"/>
        <c:tickLblPos val="nextTo"/>
        <c:crossAx val="95981952"/>
        <c:crosses val="autoZero"/>
        <c:crossBetween val="between"/>
        <c:majorUnit val="10"/>
      </c:valAx>
      <c:valAx>
        <c:axId val="95994240"/>
        <c:scaling>
          <c:orientation val="minMax"/>
          <c:max val="7"/>
        </c:scaling>
        <c:delete val="0"/>
        <c:axPos val="r"/>
        <c:title>
          <c:tx>
            <c:rich>
              <a:bodyPr rot="-5400000" vert="horz"/>
              <a:lstStyle/>
              <a:p>
                <a:pPr>
                  <a:defRPr/>
                </a:pPr>
                <a:r>
                  <a:rPr lang="cs-CZ" b="0"/>
                  <a:t>%</a:t>
                </a:r>
              </a:p>
            </c:rich>
          </c:tx>
          <c:layout/>
          <c:overlay val="0"/>
        </c:title>
        <c:numFmt formatCode="#,##0" sourceLinked="0"/>
        <c:majorTickMark val="out"/>
        <c:minorTickMark val="none"/>
        <c:tickLblPos val="nextTo"/>
        <c:crossAx val="95996160"/>
        <c:crosses val="max"/>
        <c:crossBetween val="between"/>
      </c:valAx>
      <c:catAx>
        <c:axId val="95996160"/>
        <c:scaling>
          <c:orientation val="minMax"/>
        </c:scaling>
        <c:delete val="1"/>
        <c:axPos val="b"/>
        <c:numFmt formatCode="General" sourceLinked="1"/>
        <c:majorTickMark val="out"/>
        <c:minorTickMark val="none"/>
        <c:tickLblPos val="none"/>
        <c:crossAx val="95994240"/>
        <c:crosses val="autoZero"/>
        <c:auto val="1"/>
        <c:lblAlgn val="ctr"/>
        <c:lblOffset val="100"/>
        <c:noMultiLvlLbl val="0"/>
      </c:catAx>
    </c:plotArea>
    <c:legend>
      <c:legendPos val="b"/>
      <c:layout/>
      <c:overlay val="0"/>
    </c:legend>
    <c:plotVisOnly val="1"/>
    <c:dispBlanksAs val="gap"/>
    <c:showDLblsOverMax val="0"/>
  </c:chart>
  <c:spPr>
    <a:ln>
      <a:noFill/>
    </a:ln>
  </c:spPr>
  <c:txPr>
    <a:bodyPr/>
    <a:lstStyle/>
    <a:p>
      <a:pPr>
        <a:defRPr sz="800">
          <a:latin typeface="Arial" pitchFamily="34" charset="0"/>
          <a:cs typeface="Arial"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solidFill>
                  <a:schemeClr val="tx1">
                    <a:lumMod val="65000"/>
                    <a:lumOff val="35000"/>
                  </a:schemeClr>
                </a:solidFill>
              </a:defRPr>
            </a:pPr>
            <a:r>
              <a:rPr lang="cs-CZ" sz="1000">
                <a:solidFill>
                  <a:sysClr val="windowText" lastClr="000000"/>
                </a:solidFill>
                <a:latin typeface="Arial" panose="020B0604020202020204" pitchFamily="34" charset="0"/>
                <a:cs typeface="Arial" panose="020B0604020202020204" pitchFamily="34" charset="0"/>
              </a:rPr>
              <a:t>muži</a:t>
            </a:r>
            <a:endParaRPr lang="en-US" sz="10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44979548286875137"/>
          <c:y val="2.7862802113243698E-2"/>
        </c:manualLayout>
      </c:layout>
      <c:overlay val="0"/>
    </c:title>
    <c:autoTitleDeleted val="0"/>
    <c:plotArea>
      <c:layout>
        <c:manualLayout>
          <c:layoutTarget val="inner"/>
          <c:xMode val="edge"/>
          <c:yMode val="edge"/>
          <c:x val="0.22179261289057772"/>
          <c:y val="0.20240157480314958"/>
          <c:w val="0.49059099415025853"/>
          <c:h val="0.69010425780110818"/>
        </c:manualLayout>
      </c:layout>
      <c:doughnutChart>
        <c:varyColors val="1"/>
        <c:ser>
          <c:idx val="0"/>
          <c:order val="0"/>
          <c:tx>
            <c:strRef>
              <c:f>'2.1'!$A$14</c:f>
              <c:strCache>
                <c:ptCount val="1"/>
                <c:pt idx="0">
                  <c:v>muži</c:v>
                </c:pt>
              </c:strCache>
            </c:strRef>
          </c:tx>
          <c:spPr>
            <a:ln>
              <a:solidFill>
                <a:schemeClr val="bg1"/>
              </a:solidFill>
            </a:ln>
          </c:spPr>
          <c:dLbls>
            <c:dLbl>
              <c:idx val="0"/>
              <c:layout/>
              <c:tx>
                <c:rich>
                  <a:bodyPr wrap="square" lIns="38100" tIns="19050" rIns="38100" bIns="19050" anchor="ctr">
                    <a:spAutoFit/>
                  </a:bodyPr>
                  <a:lstStyle/>
                  <a:p>
                    <a:pPr>
                      <a:defRPr sz="800">
                        <a:solidFill>
                          <a:srgbClr val="D9D9D9"/>
                        </a:solidFill>
                        <a:latin typeface="Arial" panose="020B0604020202020204" pitchFamily="34" charset="0"/>
                        <a:cs typeface="Arial" panose="020B0604020202020204" pitchFamily="34" charset="0"/>
                      </a:defRPr>
                    </a:pPr>
                    <a:fld id="{9F4F5C3A-E6E9-4E23-8AED-78362DF7F101}" type="CELLRANGE">
                      <a:rPr lang="en-US"/>
                      <a:pPr>
                        <a:defRPr sz="800">
                          <a:solidFill>
                            <a:srgbClr val="D9D9D9"/>
                          </a:solidFill>
                          <a:latin typeface="Arial" panose="020B0604020202020204" pitchFamily="34" charset="0"/>
                          <a:cs typeface="Arial" panose="020B0604020202020204" pitchFamily="34" charset="0"/>
                        </a:defRPr>
                      </a:pPr>
                      <a:t>[OBLAST BUNĚK]</a:t>
                    </a:fld>
                    <a:endParaRPr lang="en-US" baseline="0"/>
                  </a:p>
                  <a:p>
                    <a:pPr>
                      <a:defRPr sz="800">
                        <a:solidFill>
                          <a:srgbClr val="D9D9D9"/>
                        </a:solidFill>
                        <a:latin typeface="Arial" panose="020B0604020202020204" pitchFamily="34" charset="0"/>
                        <a:cs typeface="Arial" panose="020B0604020202020204" pitchFamily="34" charset="0"/>
                      </a:defRPr>
                    </a:pPr>
                    <a:fld id="{18E89FB6-7EB3-4183-B2EF-4C7E78EC4690}" type="PERCENTAGE">
                      <a:rPr lang="en-US"/>
                      <a:pPr>
                        <a:defRPr sz="800">
                          <a:solidFill>
                            <a:srgbClr val="D9D9D9"/>
                          </a:solidFill>
                          <a:latin typeface="Arial" panose="020B0604020202020204" pitchFamily="34" charset="0"/>
                          <a:cs typeface="Arial" panose="020B0604020202020204" pitchFamily="34" charset="0"/>
                        </a:defRPr>
                      </a:pPr>
                      <a:t>[PROCENTO]</a:t>
                    </a:fld>
                    <a:endParaRPr lang="cs-CZ"/>
                  </a:p>
                </c:rich>
              </c:tx>
              <c:numFmt formatCode="0.0%" sourceLinked="0"/>
              <c:spPr>
                <a:noFill/>
                <a:ln>
                  <a:noFill/>
                </a:ln>
                <a:effectLst/>
              </c:spPr>
              <c:showLegendKey val="0"/>
              <c:showVal val="0"/>
              <c:showCatName val="0"/>
              <c:showSerName val="0"/>
              <c:showPercent val="1"/>
              <c:showBubbleSize val="0"/>
              <c:separator>
</c:separator>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0-ED3E-42BF-81ED-036085269D98}"/>
                </c:ext>
              </c:extLst>
            </c:dLbl>
            <c:dLbl>
              <c:idx val="1"/>
              <c:layout>
                <c:manualLayout>
                  <c:x val="-8.722110536474359E-2"/>
                  <c:y val="-8.9495863458909419E-2"/>
                </c:manualLayout>
              </c:layout>
              <c:tx>
                <c:rich>
                  <a:bodyPr wrap="square" lIns="38100" tIns="19050" rIns="38100" bIns="19050" anchor="ctr">
                    <a:spAutoFit/>
                  </a:bodyPr>
                  <a:lstStyle/>
                  <a:p>
                    <a:pPr>
                      <a:defRPr sz="800">
                        <a:solidFill>
                          <a:schemeClr val="tx1"/>
                        </a:solidFill>
                        <a:latin typeface="Arial" panose="020B0604020202020204" pitchFamily="34" charset="0"/>
                        <a:cs typeface="Arial" panose="020B0604020202020204" pitchFamily="34" charset="0"/>
                      </a:defRPr>
                    </a:pPr>
                    <a:fld id="{91110122-4CF4-44B6-B718-4B160238FC05}" type="CELLRANGE">
                      <a:rPr lang="en-US"/>
                      <a:pPr>
                        <a:defRPr sz="800">
                          <a:solidFill>
                            <a:schemeClr val="tx1"/>
                          </a:solidFill>
                          <a:latin typeface="Arial" panose="020B0604020202020204" pitchFamily="34" charset="0"/>
                          <a:cs typeface="Arial" panose="020B0604020202020204" pitchFamily="34" charset="0"/>
                        </a:defRPr>
                      </a:pPr>
                      <a:t>[OBLAST BUNĚK]</a:t>
                    </a:fld>
                    <a:endParaRPr lang="en-US" baseline="0"/>
                  </a:p>
                  <a:p>
                    <a:pPr>
                      <a:defRPr sz="800">
                        <a:solidFill>
                          <a:schemeClr val="tx1"/>
                        </a:solidFill>
                        <a:latin typeface="Arial" panose="020B0604020202020204" pitchFamily="34" charset="0"/>
                        <a:cs typeface="Arial" panose="020B0604020202020204" pitchFamily="34" charset="0"/>
                      </a:defRPr>
                    </a:pPr>
                    <a:fld id="{61373358-6CD3-4DC6-9DAF-B23CE2D0AF33}" type="PERCENTAGE">
                      <a:rPr lang="en-US"/>
                      <a:pPr>
                        <a:defRPr sz="800">
                          <a:solidFill>
                            <a:schemeClr val="tx1"/>
                          </a:solidFill>
                          <a:latin typeface="Arial" panose="020B0604020202020204" pitchFamily="34" charset="0"/>
                          <a:cs typeface="Arial" panose="020B0604020202020204" pitchFamily="34" charset="0"/>
                        </a:defRPr>
                      </a:pPr>
                      <a:t>[PROCENTO]</a:t>
                    </a:fld>
                    <a:endParaRPr lang="cs-CZ"/>
                  </a:p>
                </c:rich>
              </c:tx>
              <c:numFmt formatCode="0.0%" sourceLinked="0"/>
              <c:spPr>
                <a:noFill/>
                <a:ln>
                  <a:noFill/>
                </a:ln>
                <a:effectLst/>
              </c:spPr>
              <c:showLegendKey val="0"/>
              <c:showVal val="0"/>
              <c:showCatName val="0"/>
              <c:showSerName val="0"/>
              <c:showPercent val="1"/>
              <c:showBubbleSize val="0"/>
              <c:separator>
</c:separator>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1-ED3E-42BF-81ED-036085269D98}"/>
                </c:ext>
              </c:extLst>
            </c:dLbl>
            <c:dLbl>
              <c:idx val="2"/>
              <c:layout/>
              <c:tx>
                <c:rich>
                  <a:bodyPr wrap="square" lIns="38100" tIns="19050" rIns="38100" bIns="19050" anchor="ctr">
                    <a:spAutoFit/>
                  </a:bodyPr>
                  <a:lstStyle/>
                  <a:p>
                    <a:pPr>
                      <a:defRPr sz="800">
                        <a:solidFill>
                          <a:sysClr val="windowText" lastClr="000000"/>
                        </a:solidFill>
                        <a:latin typeface="Arial" panose="020B0604020202020204" pitchFamily="34" charset="0"/>
                        <a:cs typeface="Arial" panose="020B0604020202020204" pitchFamily="34" charset="0"/>
                      </a:defRPr>
                    </a:pPr>
                    <a:fld id="{231563E0-3C4A-48F5-A590-26EC93E91EC2}" type="CELLRANGE">
                      <a:rPr lang="en-US">
                        <a:solidFill>
                          <a:sysClr val="windowText" lastClr="000000"/>
                        </a:solidFill>
                      </a:rPr>
                      <a:pPr>
                        <a:defRPr sz="800">
                          <a:solidFill>
                            <a:sysClr val="windowText" lastClr="000000"/>
                          </a:solidFill>
                          <a:latin typeface="Arial" panose="020B0604020202020204" pitchFamily="34" charset="0"/>
                          <a:cs typeface="Arial" panose="020B0604020202020204" pitchFamily="34" charset="0"/>
                        </a:defRPr>
                      </a:pPr>
                      <a:t>[OBLAST BUNĚK]</a:t>
                    </a:fld>
                    <a:endParaRPr lang="en-US" baseline="0">
                      <a:solidFill>
                        <a:sysClr val="windowText" lastClr="000000"/>
                      </a:solidFill>
                    </a:endParaRPr>
                  </a:p>
                  <a:p>
                    <a:pPr>
                      <a:defRPr sz="800">
                        <a:solidFill>
                          <a:sysClr val="windowText" lastClr="000000"/>
                        </a:solidFill>
                        <a:latin typeface="Arial" panose="020B0604020202020204" pitchFamily="34" charset="0"/>
                        <a:cs typeface="Arial" panose="020B0604020202020204" pitchFamily="34" charset="0"/>
                      </a:defRPr>
                    </a:pPr>
                    <a:fld id="{42CDD9D7-84FD-48C6-AB15-C27AC260B5B7}" type="PERCENTAGE">
                      <a:rPr lang="en-US">
                        <a:solidFill>
                          <a:sysClr val="windowText" lastClr="000000"/>
                        </a:solidFill>
                      </a:rPr>
                      <a:pPr>
                        <a:defRPr sz="800">
                          <a:solidFill>
                            <a:sysClr val="windowText" lastClr="000000"/>
                          </a:solidFill>
                          <a:latin typeface="Arial" panose="020B0604020202020204" pitchFamily="34" charset="0"/>
                          <a:cs typeface="Arial" panose="020B0604020202020204" pitchFamily="34" charset="0"/>
                        </a:defRPr>
                      </a:pPr>
                      <a:t>[PROCENTO]</a:t>
                    </a:fld>
                    <a:endParaRPr lang="cs-CZ"/>
                  </a:p>
                </c:rich>
              </c:tx>
              <c:numFmt formatCode="0.0%" sourceLinked="0"/>
              <c:spPr>
                <a:noFill/>
                <a:ln>
                  <a:noFill/>
                </a:ln>
                <a:effectLst/>
              </c:spPr>
              <c:showLegendKey val="0"/>
              <c:showVal val="0"/>
              <c:showCatName val="0"/>
              <c:showSerName val="0"/>
              <c:showPercent val="1"/>
              <c:showBubbleSize val="0"/>
              <c:separator>
</c:separator>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2-ED3E-42BF-81ED-036085269D98}"/>
                </c:ext>
              </c:extLst>
            </c:dLbl>
            <c:numFmt formatCode="0.0%" sourceLinked="0"/>
            <c:spPr>
              <a:noFill/>
              <a:ln>
                <a:noFill/>
              </a:ln>
              <a:effectLst/>
            </c:spPr>
            <c:txPr>
              <a:bodyPr wrap="square" lIns="38100" tIns="19050" rIns="38100" bIns="19050" anchor="ctr">
                <a:spAutoFit/>
              </a:bodyPr>
              <a:lstStyle/>
              <a:p>
                <a:pPr>
                  <a:defRPr sz="800">
                    <a:solidFill>
                      <a:schemeClr val="tx1">
                        <a:lumMod val="65000"/>
                        <a:lumOff val="35000"/>
                      </a:schemeClr>
                    </a:solidFill>
                    <a:latin typeface="Arial" panose="020B0604020202020204" pitchFamily="34" charset="0"/>
                    <a:cs typeface="Arial" panose="020B0604020202020204" pitchFamily="34" charset="0"/>
                  </a:defRPr>
                </a:pPr>
                <a:endParaRPr lang="cs-CZ"/>
              </a:p>
            </c:txPr>
            <c:showLegendKey val="0"/>
            <c:showVal val="0"/>
            <c:showCatName val="0"/>
            <c:showSerName val="0"/>
            <c:showPercent val="1"/>
            <c:showBubbleSize val="0"/>
            <c:separator>
</c:separator>
            <c:showLeaderLines val="1"/>
            <c:extLst>
              <c:ext xmlns:c15="http://schemas.microsoft.com/office/drawing/2012/chart" uri="{CE6537A1-D6FC-4f65-9D91-7224C49458BB}">
                <c15:showDataLabelsRange val="1"/>
              </c:ext>
            </c:extLst>
          </c:dLbls>
          <c:cat>
            <c:strRef>
              <c:f>'2.1'!$B$15:$B$17</c:f>
              <c:strCache>
                <c:ptCount val="3"/>
                <c:pt idx="0">
                  <c:v> nemoc</c:v>
                </c:pt>
                <c:pt idx="1">
                  <c:v> pracovní úrazy</c:v>
                </c:pt>
                <c:pt idx="2">
                  <c:v> ostatní úrazy</c:v>
                </c:pt>
              </c:strCache>
            </c:strRef>
          </c:cat>
          <c:val>
            <c:numRef>
              <c:f>'2.1'!$N$15:$N$17</c:f>
              <c:numCache>
                <c:formatCode>#,##0</c:formatCode>
                <c:ptCount val="3"/>
                <c:pt idx="0">
                  <c:v>389753</c:v>
                </c:pt>
                <c:pt idx="1">
                  <c:v>15602</c:v>
                </c:pt>
                <c:pt idx="2">
                  <c:v>48589</c:v>
                </c:pt>
              </c:numCache>
            </c:numRef>
          </c:val>
          <c:extLst>
            <c:ext xmlns:c15="http://schemas.microsoft.com/office/drawing/2012/chart" uri="{02D57815-91ED-43cb-92C2-25804820EDAC}">
              <c15:datalabelsRange>
                <c15:f>'2.1'!$N$23:$N$25</c15:f>
                <c15:dlblRangeCache>
                  <c:ptCount val="3"/>
                  <c:pt idx="0">
                    <c:v>389,8 tis.</c:v>
                  </c:pt>
                  <c:pt idx="1">
                    <c:v>15,6 tis.</c:v>
                  </c:pt>
                  <c:pt idx="2">
                    <c:v>48,6 tis.</c:v>
                  </c:pt>
                </c15:dlblRangeCache>
              </c15:datalabelsRange>
            </c:ext>
            <c:ext xmlns:c16="http://schemas.microsoft.com/office/drawing/2014/chart" uri="{C3380CC4-5D6E-409C-BE32-E72D297353CC}">
              <c16:uniqueId val="{00000003-ED3E-42BF-81ED-036085269D98}"/>
            </c:ext>
          </c:extLst>
        </c:ser>
        <c:dLbls>
          <c:showLegendKey val="0"/>
          <c:showVal val="0"/>
          <c:showCatName val="0"/>
          <c:showSerName val="0"/>
          <c:showPercent val="0"/>
          <c:showBubbleSize val="0"/>
          <c:showLeaderLines val="1"/>
        </c:dLbls>
        <c:firstSliceAng val="0"/>
        <c:holeSize val="50"/>
      </c:doughnutChart>
    </c:plotArea>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000">
                <a:solidFill>
                  <a:schemeClr val="tx1">
                    <a:lumMod val="65000"/>
                    <a:lumOff val="35000"/>
                  </a:schemeClr>
                </a:solidFill>
                <a:latin typeface="Arial" pitchFamily="34" charset="0"/>
                <a:cs typeface="Arial" pitchFamily="34" charset="0"/>
              </a:defRPr>
            </a:pPr>
            <a:r>
              <a:rPr lang="en-US">
                <a:solidFill>
                  <a:sysClr val="windowText" lastClr="000000"/>
                </a:solidFill>
              </a:rPr>
              <a:t>ženy</a:t>
            </a:r>
          </a:p>
        </c:rich>
      </c:tx>
      <c:layout>
        <c:manualLayout>
          <c:xMode val="edge"/>
          <c:yMode val="edge"/>
          <c:x val="0.51702784140587188"/>
          <c:y val="1.8518518518518517E-2"/>
        </c:manualLayout>
      </c:layout>
      <c:overlay val="0"/>
    </c:title>
    <c:autoTitleDeleted val="0"/>
    <c:plotArea>
      <c:layout>
        <c:manualLayout>
          <c:layoutTarget val="inner"/>
          <c:xMode val="edge"/>
          <c:yMode val="edge"/>
          <c:x val="0.33971681684502603"/>
          <c:y val="0.20240157480314958"/>
          <c:w val="0.48854694308155877"/>
          <c:h val="0.69010425780110818"/>
        </c:manualLayout>
      </c:layout>
      <c:doughnutChart>
        <c:varyColors val="1"/>
        <c:ser>
          <c:idx val="0"/>
          <c:order val="0"/>
          <c:tx>
            <c:strRef>
              <c:f>'2.1'!$A$9</c:f>
              <c:strCache>
                <c:ptCount val="1"/>
                <c:pt idx="0">
                  <c:v>ženy</c:v>
                </c:pt>
              </c:strCache>
            </c:strRef>
          </c:tx>
          <c:spPr>
            <a:ln>
              <a:solidFill>
                <a:prstClr val="white"/>
              </a:solidFill>
            </a:ln>
          </c:spPr>
          <c:dLbls>
            <c:dLbl>
              <c:idx val="0"/>
              <c:layout/>
              <c:tx>
                <c:rich>
                  <a:bodyPr wrap="square" lIns="38100" tIns="19050" rIns="38100" bIns="19050" anchor="ctr">
                    <a:spAutoFit/>
                  </a:bodyPr>
                  <a:lstStyle/>
                  <a:p>
                    <a:pPr>
                      <a:defRPr sz="800">
                        <a:solidFill>
                          <a:srgbClr val="D9D9D9"/>
                        </a:solidFill>
                        <a:latin typeface="Arial" panose="020B0604020202020204" pitchFamily="34" charset="0"/>
                        <a:cs typeface="Arial" panose="020B0604020202020204" pitchFamily="34" charset="0"/>
                      </a:defRPr>
                    </a:pPr>
                    <a:fld id="{37C0F659-2F72-4AE4-B4F3-2A10DE9D3179}" type="CELLRANGE">
                      <a:rPr lang="en-US"/>
                      <a:pPr>
                        <a:defRPr sz="800">
                          <a:solidFill>
                            <a:srgbClr val="D9D9D9"/>
                          </a:solidFill>
                          <a:latin typeface="Arial" panose="020B0604020202020204" pitchFamily="34" charset="0"/>
                          <a:cs typeface="Arial" panose="020B0604020202020204" pitchFamily="34" charset="0"/>
                        </a:defRPr>
                      </a:pPr>
                      <a:t>[OBLAST BUNĚK]</a:t>
                    </a:fld>
                    <a:endParaRPr lang="en-US" baseline="0"/>
                  </a:p>
                  <a:p>
                    <a:pPr>
                      <a:defRPr sz="800">
                        <a:solidFill>
                          <a:srgbClr val="D9D9D9"/>
                        </a:solidFill>
                        <a:latin typeface="Arial" panose="020B0604020202020204" pitchFamily="34" charset="0"/>
                        <a:cs typeface="Arial" panose="020B0604020202020204" pitchFamily="34" charset="0"/>
                      </a:defRPr>
                    </a:pPr>
                    <a:fld id="{B8358D7A-3733-4338-816C-3D2181D99008}" type="PERCENTAGE">
                      <a:rPr lang="en-US"/>
                      <a:pPr>
                        <a:defRPr sz="800">
                          <a:solidFill>
                            <a:srgbClr val="D9D9D9"/>
                          </a:solidFill>
                          <a:latin typeface="Arial" panose="020B0604020202020204" pitchFamily="34" charset="0"/>
                          <a:cs typeface="Arial" panose="020B0604020202020204" pitchFamily="34" charset="0"/>
                        </a:defRPr>
                      </a:pPr>
                      <a:t>[PROCENTO]</a:t>
                    </a:fld>
                    <a:endParaRPr lang="cs-CZ"/>
                  </a:p>
                </c:rich>
              </c:tx>
              <c:numFmt formatCode="0.0%" sourceLinked="0"/>
              <c:spPr>
                <a:noFill/>
                <a:ln>
                  <a:noFill/>
                </a:ln>
                <a:effectLst/>
              </c:spPr>
              <c:showLegendKey val="0"/>
              <c:showVal val="0"/>
              <c:showCatName val="0"/>
              <c:showSerName val="0"/>
              <c:showPercent val="1"/>
              <c:showBubbleSize val="0"/>
              <c:separator>
</c:separator>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0-9CD8-4A50-8AFF-533B19EA35D8}"/>
                </c:ext>
              </c:extLst>
            </c:dLbl>
            <c:dLbl>
              <c:idx val="1"/>
              <c:layout>
                <c:manualLayout>
                  <c:x val="-6.5970255005943251E-2"/>
                  <c:y val="-0.1120400124025764"/>
                </c:manualLayout>
              </c:layout>
              <c:tx>
                <c:rich>
                  <a:bodyPr wrap="square" lIns="38100" tIns="19050" rIns="38100" bIns="19050" anchor="ctr">
                    <a:spAutoFit/>
                  </a:bodyPr>
                  <a:lstStyle/>
                  <a:p>
                    <a:pPr>
                      <a:defRPr sz="800">
                        <a:solidFill>
                          <a:schemeClr val="tx1"/>
                        </a:solidFill>
                        <a:latin typeface="Arial" panose="020B0604020202020204" pitchFamily="34" charset="0"/>
                        <a:cs typeface="Arial" panose="020B0604020202020204" pitchFamily="34" charset="0"/>
                      </a:defRPr>
                    </a:pPr>
                    <a:fld id="{7BEE64F1-4E60-45E8-A4F3-F15F5D4C90FC}" type="CELLRANGE">
                      <a:rPr lang="en-US"/>
                      <a:pPr>
                        <a:defRPr sz="800">
                          <a:solidFill>
                            <a:schemeClr val="tx1"/>
                          </a:solidFill>
                          <a:latin typeface="Arial" panose="020B0604020202020204" pitchFamily="34" charset="0"/>
                          <a:cs typeface="Arial" panose="020B0604020202020204" pitchFamily="34" charset="0"/>
                        </a:defRPr>
                      </a:pPr>
                      <a:t>[OBLAST BUNĚK]</a:t>
                    </a:fld>
                    <a:endParaRPr lang="en-US" baseline="0"/>
                  </a:p>
                  <a:p>
                    <a:pPr>
                      <a:defRPr sz="800">
                        <a:solidFill>
                          <a:schemeClr val="tx1"/>
                        </a:solidFill>
                        <a:latin typeface="Arial" panose="020B0604020202020204" pitchFamily="34" charset="0"/>
                        <a:cs typeface="Arial" panose="020B0604020202020204" pitchFamily="34" charset="0"/>
                      </a:defRPr>
                    </a:pPr>
                    <a:fld id="{2066802F-D28F-4860-B6DE-13477CB52077}" type="PERCENTAGE">
                      <a:rPr lang="en-US"/>
                      <a:pPr>
                        <a:defRPr sz="800">
                          <a:solidFill>
                            <a:schemeClr val="tx1"/>
                          </a:solidFill>
                          <a:latin typeface="Arial" panose="020B0604020202020204" pitchFamily="34" charset="0"/>
                          <a:cs typeface="Arial" panose="020B0604020202020204" pitchFamily="34" charset="0"/>
                        </a:defRPr>
                      </a:pPr>
                      <a:t>[PROCENTO]</a:t>
                    </a:fld>
                    <a:endParaRPr lang="cs-CZ"/>
                  </a:p>
                </c:rich>
              </c:tx>
              <c:numFmt formatCode="0.0%" sourceLinked="0"/>
              <c:spPr>
                <a:noFill/>
                <a:ln>
                  <a:noFill/>
                </a:ln>
                <a:effectLst/>
              </c:spPr>
              <c:showLegendKey val="0"/>
              <c:showVal val="0"/>
              <c:showCatName val="0"/>
              <c:showSerName val="0"/>
              <c:showPercent val="1"/>
              <c:showBubbleSize val="0"/>
              <c:separator>
</c:separator>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1-9CD8-4A50-8AFF-533B19EA35D8}"/>
                </c:ext>
              </c:extLst>
            </c:dLbl>
            <c:dLbl>
              <c:idx val="2"/>
              <c:layout>
                <c:manualLayout>
                  <c:x val="1.3888888888888888E-2"/>
                  <c:y val="-0.14351851851851852"/>
                </c:manualLayout>
              </c:layout>
              <c:tx>
                <c:rich>
                  <a:bodyPr wrap="square" lIns="38100" tIns="19050" rIns="38100" bIns="19050" anchor="ctr">
                    <a:spAutoFit/>
                  </a:bodyPr>
                  <a:lstStyle/>
                  <a:p>
                    <a:pPr>
                      <a:defRPr sz="800">
                        <a:solidFill>
                          <a:schemeClr val="tx1"/>
                        </a:solidFill>
                        <a:latin typeface="Arial" panose="020B0604020202020204" pitchFamily="34" charset="0"/>
                        <a:cs typeface="Arial" panose="020B0604020202020204" pitchFamily="34" charset="0"/>
                      </a:defRPr>
                    </a:pPr>
                    <a:fld id="{10A6194F-BFCC-4E7B-B0DB-A7302FE2D65E}" type="CELLRANGE">
                      <a:rPr lang="en-US"/>
                      <a:pPr>
                        <a:defRPr sz="800">
                          <a:solidFill>
                            <a:schemeClr val="tx1"/>
                          </a:solidFill>
                          <a:latin typeface="Arial" panose="020B0604020202020204" pitchFamily="34" charset="0"/>
                          <a:cs typeface="Arial" panose="020B0604020202020204" pitchFamily="34" charset="0"/>
                        </a:defRPr>
                      </a:pPr>
                      <a:t>[OBLAST BUNĚK]</a:t>
                    </a:fld>
                    <a:endParaRPr lang="en-US" baseline="0"/>
                  </a:p>
                  <a:p>
                    <a:pPr>
                      <a:defRPr sz="800">
                        <a:solidFill>
                          <a:schemeClr val="tx1"/>
                        </a:solidFill>
                        <a:latin typeface="Arial" panose="020B0604020202020204" pitchFamily="34" charset="0"/>
                        <a:cs typeface="Arial" panose="020B0604020202020204" pitchFamily="34" charset="0"/>
                      </a:defRPr>
                    </a:pPr>
                    <a:fld id="{F28D6552-B558-42D2-9908-186ADFE8E883}" type="PERCENTAGE">
                      <a:rPr lang="en-US"/>
                      <a:pPr>
                        <a:defRPr sz="800">
                          <a:solidFill>
                            <a:schemeClr val="tx1"/>
                          </a:solidFill>
                          <a:latin typeface="Arial" panose="020B0604020202020204" pitchFamily="34" charset="0"/>
                          <a:cs typeface="Arial" panose="020B0604020202020204" pitchFamily="34" charset="0"/>
                        </a:defRPr>
                      </a:pPr>
                      <a:t>[PROCENTO]</a:t>
                    </a:fld>
                    <a:endParaRPr lang="cs-CZ"/>
                  </a:p>
                </c:rich>
              </c:tx>
              <c:numFmt formatCode="0.0%" sourceLinked="0"/>
              <c:spPr>
                <a:noFill/>
                <a:ln>
                  <a:noFill/>
                </a:ln>
                <a:effectLst/>
              </c:spPr>
              <c:showLegendKey val="0"/>
              <c:showVal val="0"/>
              <c:showCatName val="0"/>
              <c:showSerName val="0"/>
              <c:showPercent val="1"/>
              <c:showBubbleSize val="0"/>
              <c:separator>
</c:separator>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2-9CD8-4A50-8AFF-533B19EA35D8}"/>
                </c:ext>
              </c:extLst>
            </c:dLbl>
            <c:numFmt formatCode="0.0%" sourceLinked="0"/>
            <c:spPr>
              <a:noFill/>
              <a:ln>
                <a:noFill/>
              </a:ln>
              <a:effectLst/>
            </c:spPr>
            <c:txPr>
              <a:bodyPr wrap="square" lIns="38100" tIns="19050" rIns="38100" bIns="19050" anchor="ctr">
                <a:spAutoFit/>
              </a:bodyPr>
              <a:lstStyle/>
              <a:p>
                <a:pPr>
                  <a:defRPr sz="800">
                    <a:solidFill>
                      <a:schemeClr val="tx1">
                        <a:lumMod val="65000"/>
                        <a:lumOff val="35000"/>
                      </a:schemeClr>
                    </a:solidFill>
                    <a:latin typeface="Arial" panose="020B0604020202020204" pitchFamily="34" charset="0"/>
                    <a:cs typeface="Arial" panose="020B0604020202020204" pitchFamily="34" charset="0"/>
                  </a:defRPr>
                </a:pPr>
                <a:endParaRPr lang="cs-CZ"/>
              </a:p>
            </c:txPr>
            <c:showLegendKey val="0"/>
            <c:showVal val="0"/>
            <c:showCatName val="0"/>
            <c:showSerName val="0"/>
            <c:showPercent val="1"/>
            <c:showBubbleSize val="0"/>
            <c:separator>
</c:separator>
            <c:showLeaderLines val="1"/>
            <c:extLst>
              <c:ext xmlns:c15="http://schemas.microsoft.com/office/drawing/2012/chart" uri="{CE6537A1-D6FC-4f65-9D91-7224C49458BB}">
                <c15:showDataLabelsRange val="1"/>
              </c:ext>
            </c:extLst>
          </c:dLbls>
          <c:cat>
            <c:strRef>
              <c:f>'2.1'!$B$10:$B$12</c:f>
              <c:strCache>
                <c:ptCount val="3"/>
                <c:pt idx="0">
                  <c:v> nemoc</c:v>
                </c:pt>
                <c:pt idx="1">
                  <c:v> pracovní úrazy</c:v>
                </c:pt>
                <c:pt idx="2">
                  <c:v> ostatní úrazy</c:v>
                </c:pt>
              </c:strCache>
            </c:strRef>
          </c:cat>
          <c:val>
            <c:numRef>
              <c:f>'2.1'!$N$10:$N$12</c:f>
              <c:numCache>
                <c:formatCode>#,##0</c:formatCode>
                <c:ptCount val="3"/>
                <c:pt idx="0">
                  <c:v>482961</c:v>
                </c:pt>
                <c:pt idx="1">
                  <c:v>7616</c:v>
                </c:pt>
                <c:pt idx="2">
                  <c:v>30453</c:v>
                </c:pt>
              </c:numCache>
            </c:numRef>
          </c:val>
          <c:extLst>
            <c:ext xmlns:c15="http://schemas.microsoft.com/office/drawing/2012/chart" uri="{02D57815-91ED-43cb-92C2-25804820EDAC}">
              <c15:datalabelsRange>
                <c15:f>'2.1'!$N$19:$N$21</c15:f>
                <c15:dlblRangeCache>
                  <c:ptCount val="3"/>
                  <c:pt idx="0">
                    <c:v>483,0 tis.</c:v>
                  </c:pt>
                  <c:pt idx="1">
                    <c:v>7,6 tis. </c:v>
                  </c:pt>
                  <c:pt idx="2">
                    <c:v>30,5 tis.</c:v>
                  </c:pt>
                </c15:dlblRangeCache>
              </c15:datalabelsRange>
            </c:ext>
            <c:ext xmlns:c16="http://schemas.microsoft.com/office/drawing/2014/chart" uri="{C3380CC4-5D6E-409C-BE32-E72D297353CC}">
              <c16:uniqueId val="{00000003-9CD8-4A50-8AFF-533B19EA35D8}"/>
            </c:ext>
          </c:extLst>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
          <c:y val="0.35710228929717125"/>
          <c:w val="0.24377617454479392"/>
          <c:h val="0.34044801691455229"/>
        </c:manualLayout>
      </c:layout>
      <c:overlay val="0"/>
      <c:txPr>
        <a:bodyPr/>
        <a:lstStyle/>
        <a:p>
          <a:pPr rtl="0">
            <a:defRPr sz="800">
              <a:latin typeface="Arial" pitchFamily="34" charset="0"/>
              <a:cs typeface="Arial" pitchFamily="34" charset="0"/>
            </a:defRPr>
          </a:pPr>
          <a:endParaRPr lang="cs-CZ"/>
        </a:p>
      </c:txPr>
    </c:legend>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'2.2'!$I$4</c:f>
              <c:strCache>
                <c:ptCount val="1"/>
                <c:pt idx="0">
                  <c:v>  nemoc</c:v>
                </c:pt>
              </c:strCache>
            </c:strRef>
          </c:tx>
          <c:spPr>
            <a:solidFill>
              <a:srgbClr val="6F2D2B"/>
            </a:solidFill>
            <a:ln>
              <a:noFill/>
            </a:ln>
            <a:effectLst/>
          </c:spPr>
          <c:invertIfNegative val="0"/>
          <c:cat>
            <c:strRef>
              <c:f>'2.2'!$H$5:$H$16</c:f>
              <c:strCache>
                <c:ptCount val="12"/>
                <c:pt idx="0">
                  <c:v>1. pol. 
2008</c:v>
                </c:pt>
                <c:pt idx="1">
                  <c:v>1. pol.
 2009</c:v>
                </c:pt>
                <c:pt idx="2">
                  <c:v>1. pol. 
2010</c:v>
                </c:pt>
                <c:pt idx="3">
                  <c:v>1. pol.
2011</c:v>
                </c:pt>
                <c:pt idx="4">
                  <c:v>1. pol. 
2012</c:v>
                </c:pt>
                <c:pt idx="5">
                  <c:v>1. pol. 
2013</c:v>
                </c:pt>
                <c:pt idx="6">
                  <c:v>1. pol. 
2014</c:v>
                </c:pt>
                <c:pt idx="7">
                  <c:v>1. pol. 
2015</c:v>
                </c:pt>
                <c:pt idx="8">
                  <c:v>1. pol. 
2016</c:v>
                </c:pt>
                <c:pt idx="9">
                  <c:v>1. pol. 
2017</c:v>
                </c:pt>
                <c:pt idx="10">
                  <c:v>1. pol. 
2018</c:v>
                </c:pt>
                <c:pt idx="11">
                  <c:v>1. pol. 
2019</c:v>
                </c:pt>
              </c:strCache>
            </c:strRef>
          </c:cat>
          <c:val>
            <c:numRef>
              <c:f>'2.2'!$I$5:$I$16</c:f>
              <c:numCache>
                <c:formatCode>#,##0.00</c:formatCode>
                <c:ptCount val="12"/>
                <c:pt idx="0">
                  <c:v>22.705371367197866</c:v>
                </c:pt>
                <c:pt idx="1">
                  <c:v>16.110979803139699</c:v>
                </c:pt>
                <c:pt idx="2">
                  <c:v>14.952929749871979</c:v>
                </c:pt>
                <c:pt idx="3">
                  <c:v>15.489533578577863</c:v>
                </c:pt>
                <c:pt idx="4">
                  <c:v>11.93368136212951</c:v>
                </c:pt>
                <c:pt idx="5">
                  <c:v>15.22353919027414</c:v>
                </c:pt>
                <c:pt idx="6">
                  <c:v>13.124563413687495</c:v>
                </c:pt>
                <c:pt idx="7">
                  <c:v>17.529538058975476</c:v>
                </c:pt>
                <c:pt idx="8">
                  <c:v>17.118336039193487</c:v>
                </c:pt>
                <c:pt idx="9">
                  <c:v>18.168811341669436</c:v>
                </c:pt>
                <c:pt idx="10">
                  <c:v>19.906457263625533</c:v>
                </c:pt>
                <c:pt idx="11">
                  <c:v>18.423758849983905</c:v>
                </c:pt>
              </c:numCache>
            </c:numRef>
          </c:val>
          <c:extLst>
            <c:ext xmlns:c16="http://schemas.microsoft.com/office/drawing/2014/chart" uri="{C3380CC4-5D6E-409C-BE32-E72D297353CC}">
              <c16:uniqueId val="{00000000-D98F-41DC-BA1A-CC99C0A89195}"/>
            </c:ext>
          </c:extLst>
        </c:ser>
        <c:ser>
          <c:idx val="1"/>
          <c:order val="1"/>
          <c:tx>
            <c:strRef>
              <c:f>'2.2'!$J$4</c:f>
              <c:strCache>
                <c:ptCount val="1"/>
                <c:pt idx="0">
                  <c:v> pracovní úrazy</c:v>
                </c:pt>
              </c:strCache>
            </c:strRef>
          </c:tx>
          <c:spPr>
            <a:solidFill>
              <a:schemeClr val="accent2"/>
            </a:solidFill>
            <a:ln>
              <a:noFill/>
            </a:ln>
            <a:effectLst/>
          </c:spPr>
          <c:invertIfNegative val="0"/>
          <c:cat>
            <c:strRef>
              <c:f>'2.2'!$H$5:$H$16</c:f>
              <c:strCache>
                <c:ptCount val="12"/>
                <c:pt idx="0">
                  <c:v>1. pol. 
2008</c:v>
                </c:pt>
                <c:pt idx="1">
                  <c:v>1. pol.
 2009</c:v>
                </c:pt>
                <c:pt idx="2">
                  <c:v>1. pol. 
2010</c:v>
                </c:pt>
                <c:pt idx="3">
                  <c:v>1. pol.
2011</c:v>
                </c:pt>
                <c:pt idx="4">
                  <c:v>1. pol. 
2012</c:v>
                </c:pt>
                <c:pt idx="5">
                  <c:v>1. pol. 
2013</c:v>
                </c:pt>
                <c:pt idx="6">
                  <c:v>1. pol. 
2014</c:v>
                </c:pt>
                <c:pt idx="7">
                  <c:v>1. pol. 
2015</c:v>
                </c:pt>
                <c:pt idx="8">
                  <c:v>1. pol. 
2016</c:v>
                </c:pt>
                <c:pt idx="9">
                  <c:v>1. pol. 
2017</c:v>
                </c:pt>
                <c:pt idx="10">
                  <c:v>1. pol. 
2018</c:v>
                </c:pt>
                <c:pt idx="11">
                  <c:v>1. pol. 
2019</c:v>
                </c:pt>
              </c:strCache>
            </c:strRef>
          </c:cat>
          <c:val>
            <c:numRef>
              <c:f>'2.2'!$J$5:$J$16</c:f>
              <c:numCache>
                <c:formatCode>#,##0.00</c:formatCode>
                <c:ptCount val="12"/>
                <c:pt idx="0">
                  <c:v>0.7683346168428814</c:v>
                </c:pt>
                <c:pt idx="1">
                  <c:v>0.60153683465846575</c:v>
                </c:pt>
                <c:pt idx="2">
                  <c:v>0.62057240145197834</c:v>
                </c:pt>
                <c:pt idx="3">
                  <c:v>0.58113434803437247</c:v>
                </c:pt>
                <c:pt idx="4">
                  <c:v>0.48925570607698826</c:v>
                </c:pt>
                <c:pt idx="5">
                  <c:v>0.49677892035797072</c:v>
                </c:pt>
                <c:pt idx="6">
                  <c:v>0.5035229385818929</c:v>
                </c:pt>
                <c:pt idx="7">
                  <c:v>0.52469612085835371</c:v>
                </c:pt>
                <c:pt idx="8">
                  <c:v>0.54785407299874656</c:v>
                </c:pt>
                <c:pt idx="9">
                  <c:v>0.53392535174372657</c:v>
                </c:pt>
                <c:pt idx="10">
                  <c:v>0.51078503214324233</c:v>
                </c:pt>
                <c:pt idx="11">
                  <c:v>0.49015236718893734</c:v>
                </c:pt>
              </c:numCache>
            </c:numRef>
          </c:val>
          <c:extLst>
            <c:ext xmlns:c16="http://schemas.microsoft.com/office/drawing/2014/chart" uri="{C3380CC4-5D6E-409C-BE32-E72D297353CC}">
              <c16:uniqueId val="{00000001-D98F-41DC-BA1A-CC99C0A89195}"/>
            </c:ext>
          </c:extLst>
        </c:ser>
        <c:ser>
          <c:idx val="2"/>
          <c:order val="2"/>
          <c:tx>
            <c:strRef>
              <c:f>'2.2'!$K$4</c:f>
              <c:strCache>
                <c:ptCount val="1"/>
                <c:pt idx="0">
                  <c:v> ostatní úrazy</c:v>
                </c:pt>
              </c:strCache>
            </c:strRef>
          </c:tx>
          <c:spPr>
            <a:solidFill>
              <a:srgbClr val="DA9896"/>
            </a:solidFill>
            <a:ln>
              <a:noFill/>
            </a:ln>
            <a:effectLst/>
          </c:spPr>
          <c:invertIfNegative val="0"/>
          <c:cat>
            <c:strRef>
              <c:f>'2.2'!$H$5:$H$16</c:f>
              <c:strCache>
                <c:ptCount val="12"/>
                <c:pt idx="0">
                  <c:v>1. pol. 
2008</c:v>
                </c:pt>
                <c:pt idx="1">
                  <c:v>1. pol.
 2009</c:v>
                </c:pt>
                <c:pt idx="2">
                  <c:v>1. pol. 
2010</c:v>
                </c:pt>
                <c:pt idx="3">
                  <c:v>1. pol.
2011</c:v>
                </c:pt>
                <c:pt idx="4">
                  <c:v>1. pol. 
2012</c:v>
                </c:pt>
                <c:pt idx="5">
                  <c:v>1. pol. 
2013</c:v>
                </c:pt>
                <c:pt idx="6">
                  <c:v>1. pol. 
2014</c:v>
                </c:pt>
                <c:pt idx="7">
                  <c:v>1. pol. 
2015</c:v>
                </c:pt>
                <c:pt idx="8">
                  <c:v>1. pol. 
2016</c:v>
                </c:pt>
                <c:pt idx="9">
                  <c:v>1. pol. 
2017</c:v>
                </c:pt>
                <c:pt idx="10">
                  <c:v>1. pol. 
2018</c:v>
                </c:pt>
                <c:pt idx="11">
                  <c:v>1. pol. 
2019</c:v>
                </c:pt>
              </c:strCache>
            </c:strRef>
          </c:cat>
          <c:val>
            <c:numRef>
              <c:f>'2.2'!$K$5:$K$16</c:f>
              <c:numCache>
                <c:formatCode>#,##0.00</c:formatCode>
                <c:ptCount val="12"/>
                <c:pt idx="0">
                  <c:v>1.1378629194310226</c:v>
                </c:pt>
                <c:pt idx="1">
                  <c:v>1.0247335699649303</c:v>
                </c:pt>
                <c:pt idx="2">
                  <c:v>1.0263903297185044</c:v>
                </c:pt>
                <c:pt idx="3">
                  <c:v>0.92173580701690183</c:v>
                </c:pt>
                <c:pt idx="4">
                  <c:v>1.1980664801084004</c:v>
                </c:pt>
                <c:pt idx="5">
                  <c:v>1.3692391140643809</c:v>
                </c:pt>
                <c:pt idx="6">
                  <c:v>1.41934875766483</c:v>
                </c:pt>
                <c:pt idx="7">
                  <c:v>1.4892593959318774</c:v>
                </c:pt>
                <c:pt idx="8">
                  <c:v>1.6412271755005474</c:v>
                </c:pt>
                <c:pt idx="9">
                  <c:v>1.6923611585756999</c:v>
                </c:pt>
                <c:pt idx="10">
                  <c:v>1.6646259606673024</c:v>
                </c:pt>
                <c:pt idx="11">
                  <c:v>1.6686460249525363</c:v>
                </c:pt>
              </c:numCache>
            </c:numRef>
          </c:val>
          <c:extLst>
            <c:ext xmlns:c16="http://schemas.microsoft.com/office/drawing/2014/chart" uri="{C3380CC4-5D6E-409C-BE32-E72D297353CC}">
              <c16:uniqueId val="{00000002-D98F-41DC-BA1A-CC99C0A89195}"/>
            </c:ext>
          </c:extLst>
        </c:ser>
        <c:dLbls>
          <c:showLegendKey val="0"/>
          <c:showVal val="0"/>
          <c:showCatName val="0"/>
          <c:showSerName val="0"/>
          <c:showPercent val="0"/>
          <c:showBubbleSize val="0"/>
        </c:dLbls>
        <c:gapWidth val="150"/>
        <c:overlap val="100"/>
        <c:axId val="1035109184"/>
        <c:axId val="1035110016"/>
      </c:barChart>
      <c:catAx>
        <c:axId val="1035109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035110016"/>
        <c:crosses val="autoZero"/>
        <c:auto val="1"/>
        <c:lblAlgn val="ctr"/>
        <c:lblOffset val="100"/>
        <c:noMultiLvlLbl val="0"/>
      </c:catAx>
      <c:valAx>
        <c:axId val="1035110016"/>
        <c:scaling>
          <c:orientation val="minMax"/>
          <c:max val="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počet případů</a:t>
                </a:r>
              </a:p>
            </c:rich>
          </c:tx>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0351091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74411127481259"/>
          <c:y val="3.036576949620428E-2"/>
          <c:w val="0.49510109277501901"/>
          <c:h val="0.86983497752436123"/>
        </c:manualLayout>
      </c:layout>
      <c:barChart>
        <c:barDir val="bar"/>
        <c:grouping val="clustered"/>
        <c:varyColors val="0"/>
        <c:ser>
          <c:idx val="3"/>
          <c:order val="3"/>
          <c:spPr>
            <a:solidFill>
              <a:schemeClr val="accent4"/>
            </a:solidFill>
            <a:ln>
              <a:noFill/>
            </a:ln>
            <a:effectLst/>
          </c:spPr>
          <c:invertIfNegative val="0"/>
          <c:cat>
            <c:strRef>
              <c:f>'2.3'!$A$35:$A$55</c:f>
              <c:strCache>
                <c:ptCount val="21"/>
                <c:pt idx="0">
                  <c:v>U – Činnosti exteritoriálních organizací a orgánů</c:v>
                </c:pt>
                <c:pt idx="1">
                  <c:v>L – Činnosti v oblasti nemovitostí</c:v>
                </c:pt>
                <c:pt idx="2">
                  <c:v>M – Profesní, vědecké a technické činnosti</c:v>
                </c:pt>
                <c:pt idx="3">
                  <c:v>J – Informační a komunikační činnosti</c:v>
                </c:pt>
                <c:pt idx="4">
                  <c:v>R – Kulturní, zábavní a rekreační činnosti</c:v>
                </c:pt>
                <c:pt idx="5">
                  <c:v>K – Peněžnictví a pojišťovnictví</c:v>
                </c:pt>
                <c:pt idx="6">
                  <c:v>D – Výroba a rozvod elektřiny, plynu, tepla a klimatizovaného vzduchu</c:v>
                </c:pt>
                <c:pt idx="7">
                  <c:v>I – Ubytování, stravování a pohostinství</c:v>
                </c:pt>
                <c:pt idx="8">
                  <c:v>S – Ostatní činnosti</c:v>
                </c:pt>
                <c:pt idx="9">
                  <c:v>F – Stavebnictví</c:v>
                </c:pt>
                <c:pt idx="10">
                  <c:v>O – Veřejná správa a obrana; povinné sociální zabezpečení</c:v>
                </c:pt>
                <c:pt idx="11">
                  <c:v>A – Zemědělství, lesnictví a rybářství</c:v>
                </c:pt>
                <c:pt idx="12">
                  <c:v>Q – Zdravotní a sociální péče</c:v>
                </c:pt>
                <c:pt idx="13">
                  <c:v>H – Doprava a skladování</c:v>
                </c:pt>
                <c:pt idx="14">
                  <c:v>P – Vzdělávání</c:v>
                </c:pt>
                <c:pt idx="15">
                  <c:v>G – Velkoobchod a maloobchod; opravy a údržba  motorových vozidel</c:v>
                </c:pt>
                <c:pt idx="16">
                  <c:v>CELKEM</c:v>
                </c:pt>
                <c:pt idx="17">
                  <c:v>E – Zásobování vodou; činnosti související s odpadními vodami, 
odpady a sanacemi</c:v>
                </c:pt>
                <c:pt idx="18">
                  <c:v>B – Těžba a dobývání</c:v>
                </c:pt>
                <c:pt idx="19">
                  <c:v>N – Administrativní a podpůrné činnosti</c:v>
                </c:pt>
                <c:pt idx="20">
                  <c:v>C – Zpracovatelský průmysl</c:v>
                </c:pt>
              </c:strCache>
            </c:strRef>
          </c:cat>
          <c:val>
            <c:numRef>
              <c:f>'2.3'!$E$35:$E$55</c:f>
            </c:numRef>
          </c:val>
          <c:extLst>
            <c:ext xmlns:c16="http://schemas.microsoft.com/office/drawing/2014/chart" uri="{C3380CC4-5D6E-409C-BE32-E72D297353CC}">
              <c16:uniqueId val="{00000000-3417-4103-BABB-041216D28F62}"/>
            </c:ext>
          </c:extLst>
        </c:ser>
        <c:ser>
          <c:idx val="4"/>
          <c:order val="4"/>
          <c:spPr>
            <a:solidFill>
              <a:schemeClr val="accent5"/>
            </a:solidFill>
            <a:ln>
              <a:noFill/>
            </a:ln>
            <a:effectLst/>
          </c:spPr>
          <c:invertIfNegative val="0"/>
          <c:cat>
            <c:strRef>
              <c:f>'2.3'!$A$35:$A$55</c:f>
              <c:strCache>
                <c:ptCount val="21"/>
                <c:pt idx="0">
                  <c:v>U – Činnosti exteritoriálních organizací a orgánů</c:v>
                </c:pt>
                <c:pt idx="1">
                  <c:v>L – Činnosti v oblasti nemovitostí</c:v>
                </c:pt>
                <c:pt idx="2">
                  <c:v>M – Profesní, vědecké a technické činnosti</c:v>
                </c:pt>
                <c:pt idx="3">
                  <c:v>J – Informační a komunikační činnosti</c:v>
                </c:pt>
                <c:pt idx="4">
                  <c:v>R – Kulturní, zábavní a rekreační činnosti</c:v>
                </c:pt>
                <c:pt idx="5">
                  <c:v>K – Peněžnictví a pojišťovnictví</c:v>
                </c:pt>
                <c:pt idx="6">
                  <c:v>D – Výroba a rozvod elektřiny, plynu, tepla a klimatizovaného vzduchu</c:v>
                </c:pt>
                <c:pt idx="7">
                  <c:v>I – Ubytování, stravování a pohostinství</c:v>
                </c:pt>
                <c:pt idx="8">
                  <c:v>S – Ostatní činnosti</c:v>
                </c:pt>
                <c:pt idx="9">
                  <c:v>F – Stavebnictví</c:v>
                </c:pt>
                <c:pt idx="10">
                  <c:v>O – Veřejná správa a obrana; povinné sociální zabezpečení</c:v>
                </c:pt>
                <c:pt idx="11">
                  <c:v>A – Zemědělství, lesnictví a rybářství</c:v>
                </c:pt>
                <c:pt idx="12">
                  <c:v>Q – Zdravotní a sociální péče</c:v>
                </c:pt>
                <c:pt idx="13">
                  <c:v>H – Doprava a skladování</c:v>
                </c:pt>
                <c:pt idx="14">
                  <c:v>P – Vzdělávání</c:v>
                </c:pt>
                <c:pt idx="15">
                  <c:v>G – Velkoobchod a maloobchod; opravy a údržba  motorových vozidel</c:v>
                </c:pt>
                <c:pt idx="16">
                  <c:v>CELKEM</c:v>
                </c:pt>
                <c:pt idx="17">
                  <c:v>E – Zásobování vodou; činnosti související s odpadními vodami, 
odpady a sanacemi</c:v>
                </c:pt>
                <c:pt idx="18">
                  <c:v>B – Těžba a dobývání</c:v>
                </c:pt>
                <c:pt idx="19">
                  <c:v>N – Administrativní a podpůrné činnosti</c:v>
                </c:pt>
                <c:pt idx="20">
                  <c:v>C – Zpracovatelský průmysl</c:v>
                </c:pt>
              </c:strCache>
            </c:strRef>
          </c:cat>
          <c:val>
            <c:numRef>
              <c:f>'2.3'!$F$35:$F$55</c:f>
            </c:numRef>
          </c:val>
          <c:extLst>
            <c:ext xmlns:c16="http://schemas.microsoft.com/office/drawing/2014/chart" uri="{C3380CC4-5D6E-409C-BE32-E72D297353CC}">
              <c16:uniqueId val="{00000001-3417-4103-BABB-041216D28F62}"/>
            </c:ext>
          </c:extLst>
        </c:ser>
        <c:ser>
          <c:idx val="5"/>
          <c:order val="5"/>
          <c:spPr>
            <a:solidFill>
              <a:schemeClr val="accent6"/>
            </a:solidFill>
            <a:ln>
              <a:noFill/>
            </a:ln>
            <a:effectLst/>
          </c:spPr>
          <c:invertIfNegative val="0"/>
          <c:cat>
            <c:strRef>
              <c:f>'2.3'!$A$35:$A$55</c:f>
              <c:strCache>
                <c:ptCount val="21"/>
                <c:pt idx="0">
                  <c:v>U – Činnosti exteritoriálních organizací a orgánů</c:v>
                </c:pt>
                <c:pt idx="1">
                  <c:v>L – Činnosti v oblasti nemovitostí</c:v>
                </c:pt>
                <c:pt idx="2">
                  <c:v>M – Profesní, vědecké a technické činnosti</c:v>
                </c:pt>
                <c:pt idx="3">
                  <c:v>J – Informační a komunikační činnosti</c:v>
                </c:pt>
                <c:pt idx="4">
                  <c:v>R – Kulturní, zábavní a rekreační činnosti</c:v>
                </c:pt>
                <c:pt idx="5">
                  <c:v>K – Peněžnictví a pojišťovnictví</c:v>
                </c:pt>
                <c:pt idx="6">
                  <c:v>D – Výroba a rozvod elektřiny, plynu, tepla a klimatizovaného vzduchu</c:v>
                </c:pt>
                <c:pt idx="7">
                  <c:v>I – Ubytování, stravování a pohostinství</c:v>
                </c:pt>
                <c:pt idx="8">
                  <c:v>S – Ostatní činnosti</c:v>
                </c:pt>
                <c:pt idx="9">
                  <c:v>F – Stavebnictví</c:v>
                </c:pt>
                <c:pt idx="10">
                  <c:v>O – Veřejná správa a obrana; povinné sociální zabezpečení</c:v>
                </c:pt>
                <c:pt idx="11">
                  <c:v>A – Zemědělství, lesnictví a rybářství</c:v>
                </c:pt>
                <c:pt idx="12">
                  <c:v>Q – Zdravotní a sociální péče</c:v>
                </c:pt>
                <c:pt idx="13">
                  <c:v>H – Doprava a skladování</c:v>
                </c:pt>
                <c:pt idx="14">
                  <c:v>P – Vzdělávání</c:v>
                </c:pt>
                <c:pt idx="15">
                  <c:v>G – Velkoobchod a maloobchod; opravy a údržba  motorových vozidel</c:v>
                </c:pt>
                <c:pt idx="16">
                  <c:v>CELKEM</c:v>
                </c:pt>
                <c:pt idx="17">
                  <c:v>E – Zásobování vodou; činnosti související s odpadními vodami, 
odpady a sanacemi</c:v>
                </c:pt>
                <c:pt idx="18">
                  <c:v>B – Těžba a dobývání</c:v>
                </c:pt>
                <c:pt idx="19">
                  <c:v>N – Administrativní a podpůrné činnosti</c:v>
                </c:pt>
                <c:pt idx="20">
                  <c:v>C – Zpracovatelský průmysl</c:v>
                </c:pt>
              </c:strCache>
            </c:strRef>
          </c:cat>
          <c:val>
            <c:numRef>
              <c:f>'2.3'!$G$35:$G$55</c:f>
            </c:numRef>
          </c:val>
          <c:extLst>
            <c:ext xmlns:c16="http://schemas.microsoft.com/office/drawing/2014/chart" uri="{C3380CC4-5D6E-409C-BE32-E72D297353CC}">
              <c16:uniqueId val="{00000002-3417-4103-BABB-041216D28F62}"/>
            </c:ext>
          </c:extLst>
        </c:ser>
        <c:ser>
          <c:idx val="6"/>
          <c:order val="6"/>
          <c:spPr>
            <a:solidFill>
              <a:schemeClr val="accent1">
                <a:lumMod val="60000"/>
              </a:schemeClr>
            </a:solidFill>
            <a:ln>
              <a:noFill/>
            </a:ln>
            <a:effectLst/>
          </c:spPr>
          <c:invertIfNegative val="0"/>
          <c:cat>
            <c:strRef>
              <c:f>'2.3'!$A$35:$A$55</c:f>
              <c:strCache>
                <c:ptCount val="21"/>
                <c:pt idx="0">
                  <c:v>U – Činnosti exteritoriálních organizací a orgánů</c:v>
                </c:pt>
                <c:pt idx="1">
                  <c:v>L – Činnosti v oblasti nemovitostí</c:v>
                </c:pt>
                <c:pt idx="2">
                  <c:v>M – Profesní, vědecké a technické činnosti</c:v>
                </c:pt>
                <c:pt idx="3">
                  <c:v>J – Informační a komunikační činnosti</c:v>
                </c:pt>
                <c:pt idx="4">
                  <c:v>R – Kulturní, zábavní a rekreační činnosti</c:v>
                </c:pt>
                <c:pt idx="5">
                  <c:v>K – Peněžnictví a pojišťovnictví</c:v>
                </c:pt>
                <c:pt idx="6">
                  <c:v>D – Výroba a rozvod elektřiny, plynu, tepla a klimatizovaného vzduchu</c:v>
                </c:pt>
                <c:pt idx="7">
                  <c:v>I – Ubytování, stravování a pohostinství</c:v>
                </c:pt>
                <c:pt idx="8">
                  <c:v>S – Ostatní činnosti</c:v>
                </c:pt>
                <c:pt idx="9">
                  <c:v>F – Stavebnictví</c:v>
                </c:pt>
                <c:pt idx="10">
                  <c:v>O – Veřejná správa a obrana; povinné sociální zabezpečení</c:v>
                </c:pt>
                <c:pt idx="11">
                  <c:v>A – Zemědělství, lesnictví a rybářství</c:v>
                </c:pt>
                <c:pt idx="12">
                  <c:v>Q – Zdravotní a sociální péče</c:v>
                </c:pt>
                <c:pt idx="13">
                  <c:v>H – Doprava a skladování</c:v>
                </c:pt>
                <c:pt idx="14">
                  <c:v>P – Vzdělávání</c:v>
                </c:pt>
                <c:pt idx="15">
                  <c:v>G – Velkoobchod a maloobchod; opravy a údržba  motorových vozidel</c:v>
                </c:pt>
                <c:pt idx="16">
                  <c:v>CELKEM</c:v>
                </c:pt>
                <c:pt idx="17">
                  <c:v>E – Zásobování vodou; činnosti související s odpadními vodami, 
odpady a sanacemi</c:v>
                </c:pt>
                <c:pt idx="18">
                  <c:v>B – Těžba a dobývání</c:v>
                </c:pt>
                <c:pt idx="19">
                  <c:v>N – Administrativní a podpůrné činnosti</c:v>
                </c:pt>
                <c:pt idx="20">
                  <c:v>C – Zpracovatelský průmysl</c:v>
                </c:pt>
              </c:strCache>
            </c:strRef>
          </c:cat>
          <c:val>
            <c:numRef>
              <c:f>'2.3'!$H$35:$H$55</c:f>
            </c:numRef>
          </c:val>
          <c:extLst>
            <c:ext xmlns:c16="http://schemas.microsoft.com/office/drawing/2014/chart" uri="{C3380CC4-5D6E-409C-BE32-E72D297353CC}">
              <c16:uniqueId val="{00000003-3417-4103-BABB-041216D28F62}"/>
            </c:ext>
          </c:extLst>
        </c:ser>
        <c:ser>
          <c:idx val="8"/>
          <c:order val="8"/>
          <c:spPr>
            <a:solidFill>
              <a:srgbClr val="DA9896"/>
            </a:solidFill>
            <a:ln>
              <a:noFill/>
            </a:ln>
            <a:effectLst/>
          </c:spPr>
          <c:invertIfNegative val="0"/>
          <c:dPt>
            <c:idx val="15"/>
            <c:invertIfNegative val="0"/>
            <c:bubble3D val="0"/>
            <c:spPr>
              <a:solidFill>
                <a:srgbClr val="DA9896"/>
              </a:solidFill>
              <a:ln w="31750">
                <a:solidFill>
                  <a:srgbClr val="A50021"/>
                </a:solidFill>
              </a:ln>
              <a:effectLst/>
            </c:spPr>
            <c:extLst>
              <c:ext xmlns:c16="http://schemas.microsoft.com/office/drawing/2014/chart" uri="{C3380CC4-5D6E-409C-BE32-E72D297353CC}">
                <c16:uniqueId val="{00000005-3417-4103-BABB-041216D28F62}"/>
              </c:ext>
            </c:extLst>
          </c:dPt>
          <c:cat>
            <c:strRef>
              <c:f>'2.3'!$A$35:$A$55</c:f>
              <c:strCache>
                <c:ptCount val="20"/>
                <c:pt idx="0">
                  <c:v>L – Činnosti v oblasti nemovitostí</c:v>
                </c:pt>
                <c:pt idx="1">
                  <c:v>M – Profesní, vědecké a technické činnosti</c:v>
                </c:pt>
                <c:pt idx="2">
                  <c:v>J – Informační a komunikační činnosti</c:v>
                </c:pt>
                <c:pt idx="3">
                  <c:v>R – Kulturní, zábavní a rekreační činnosti</c:v>
                </c:pt>
                <c:pt idx="4">
                  <c:v>K – Peněžnictví a pojišťovnictví</c:v>
                </c:pt>
                <c:pt idx="5">
                  <c:v>D – Výroba a rozvod elektřiny, plynu, tepla a klimatizovaného vzduchu</c:v>
                </c:pt>
                <c:pt idx="6">
                  <c:v>I – Ubytování, stravování a pohostinství</c:v>
                </c:pt>
                <c:pt idx="7">
                  <c:v>S – Ostatní činnosti</c:v>
                </c:pt>
                <c:pt idx="8">
                  <c:v>F – Stavebnictví</c:v>
                </c:pt>
                <c:pt idx="9">
                  <c:v>O – Veřejná správa a obrana; povinné sociální zabezpečení</c:v>
                </c:pt>
                <c:pt idx="10">
                  <c:v>A – Zemědělství, lesnictví a rybářství</c:v>
                </c:pt>
                <c:pt idx="11">
                  <c:v>Q – Zdravotní a sociální péče</c:v>
                </c:pt>
                <c:pt idx="12">
                  <c:v>H – Doprava a skladování</c:v>
                </c:pt>
                <c:pt idx="13">
                  <c:v>P – Vzdělávání</c:v>
                </c:pt>
                <c:pt idx="14">
                  <c:v>G – Velkoobchod a maloobchod; opravy a údržba  motorových vozidel</c:v>
                </c:pt>
                <c:pt idx="15">
                  <c:v>CELKEM</c:v>
                </c:pt>
                <c:pt idx="16">
                  <c:v>E – Zásobování vodou; činnosti související s odpadními vodami, 
odpady a sanacemi</c:v>
                </c:pt>
                <c:pt idx="17">
                  <c:v>B – Těžba a dobývání</c:v>
                </c:pt>
                <c:pt idx="18">
                  <c:v>N – Administrativní a podpůrné činnosti</c:v>
                </c:pt>
                <c:pt idx="19">
                  <c:v>C – Zpracovatelský průmysl</c:v>
                </c:pt>
              </c:strCache>
            </c:strRef>
          </c:cat>
          <c:val>
            <c:numRef>
              <c:f>'2.3'!$J$35:$J$55</c:f>
              <c:numCache>
                <c:formatCode>0.00</c:formatCode>
                <c:ptCount val="20"/>
                <c:pt idx="0">
                  <c:v>9.2297135669999992</c:v>
                </c:pt>
                <c:pt idx="1">
                  <c:v>11.5954346093</c:v>
                </c:pt>
                <c:pt idx="2">
                  <c:v>13.5372292738</c:v>
                </c:pt>
                <c:pt idx="3">
                  <c:v>14.6777903195</c:v>
                </c:pt>
                <c:pt idx="4">
                  <c:v>14.970705157599999</c:v>
                </c:pt>
                <c:pt idx="5">
                  <c:v>15.7330079975</c:v>
                </c:pt>
                <c:pt idx="6">
                  <c:v>15.7685325512</c:v>
                </c:pt>
                <c:pt idx="7">
                  <c:v>16.151619930999999</c:v>
                </c:pt>
                <c:pt idx="8">
                  <c:v>17.238029836799999</c:v>
                </c:pt>
                <c:pt idx="9">
                  <c:v>18.008724815600001</c:v>
                </c:pt>
                <c:pt idx="10">
                  <c:v>18.106071715900001</c:v>
                </c:pt>
                <c:pt idx="11">
                  <c:v>18.4770092959</c:v>
                </c:pt>
                <c:pt idx="12">
                  <c:v>20.1726852223</c:v>
                </c:pt>
                <c:pt idx="13">
                  <c:v>20.262612829399998</c:v>
                </c:pt>
                <c:pt idx="14">
                  <c:v>20.408255940499998</c:v>
                </c:pt>
                <c:pt idx="15">
                  <c:v>20.582557242099998</c:v>
                </c:pt>
                <c:pt idx="16">
                  <c:v>21.308281770200001</c:v>
                </c:pt>
                <c:pt idx="17">
                  <c:v>22.000516627</c:v>
                </c:pt>
                <c:pt idx="18">
                  <c:v>23.525716510199999</c:v>
                </c:pt>
                <c:pt idx="19">
                  <c:v>27.048496434400001</c:v>
                </c:pt>
              </c:numCache>
            </c:numRef>
          </c:val>
          <c:extLst>
            <c:ext xmlns:c16="http://schemas.microsoft.com/office/drawing/2014/chart" uri="{C3380CC4-5D6E-409C-BE32-E72D297353CC}">
              <c16:uniqueId val="{00000006-3417-4103-BABB-041216D28F62}"/>
            </c:ext>
          </c:extLst>
        </c:ser>
        <c:dLbls>
          <c:showLegendKey val="0"/>
          <c:showVal val="0"/>
          <c:showCatName val="0"/>
          <c:showSerName val="0"/>
          <c:showPercent val="0"/>
          <c:showBubbleSize val="0"/>
        </c:dLbls>
        <c:gapWidth val="182"/>
        <c:axId val="836964832"/>
        <c:axId val="874188576"/>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'2.3'!$A$35:$A$55</c15:sqref>
                        </c15:formulaRef>
                      </c:ext>
                    </c:extLst>
                    <c:strCache>
                      <c:ptCount val="20"/>
                      <c:pt idx="0">
                        <c:v>L – Činnosti v oblasti nemovitostí</c:v>
                      </c:pt>
                      <c:pt idx="1">
                        <c:v>M – Profesní, vědecké a technické činnosti</c:v>
                      </c:pt>
                      <c:pt idx="2">
                        <c:v>J – Informační a komunikační činnosti</c:v>
                      </c:pt>
                      <c:pt idx="3">
                        <c:v>R – Kulturní, zábavní a rekreační činnosti</c:v>
                      </c:pt>
                      <c:pt idx="4">
                        <c:v>K – Peněžnictví a pojišťovnictví</c:v>
                      </c:pt>
                      <c:pt idx="5">
                        <c:v>D – Výroba a rozvod elektřiny, plynu, tepla a klimatizovaného vzduchu</c:v>
                      </c:pt>
                      <c:pt idx="6">
                        <c:v>I – Ubytování, stravování a pohostinství</c:v>
                      </c:pt>
                      <c:pt idx="7">
                        <c:v>S – Ostatní činnosti</c:v>
                      </c:pt>
                      <c:pt idx="8">
                        <c:v>F – Stavebnictví</c:v>
                      </c:pt>
                      <c:pt idx="9">
                        <c:v>O – Veřejná správa a obrana; povinné sociální zabezpečení</c:v>
                      </c:pt>
                      <c:pt idx="10">
                        <c:v>A – Zemědělství, lesnictví a rybářství</c:v>
                      </c:pt>
                      <c:pt idx="11">
                        <c:v>Q – Zdravotní a sociální péče</c:v>
                      </c:pt>
                      <c:pt idx="12">
                        <c:v>H – Doprava a skladování</c:v>
                      </c:pt>
                      <c:pt idx="13">
                        <c:v>P – Vzdělávání</c:v>
                      </c:pt>
                      <c:pt idx="14">
                        <c:v>G – Velkoobchod a maloobchod; opravy a údržba  motorových vozidel</c:v>
                      </c:pt>
                      <c:pt idx="15">
                        <c:v>CELKEM</c:v>
                      </c:pt>
                      <c:pt idx="16">
                        <c:v>E – Zásobování vodou; činnosti související s odpadními vodami, 
odpady a sanacemi</c:v>
                      </c:pt>
                      <c:pt idx="17">
                        <c:v>B – Těžba a dobývání</c:v>
                      </c:pt>
                      <c:pt idx="18">
                        <c:v>N – Administrativní a podpůrné činnosti</c:v>
                      </c:pt>
                      <c:pt idx="19">
                        <c:v>C – Zpracovatelský průmysl</c:v>
                      </c:pt>
                    </c:strCache>
                  </c:strRef>
                </c:cat>
                <c:val>
                  <c:numRef>
                    <c:extLst>
                      <c:ext uri="{02D57815-91ED-43cb-92C2-25804820EDAC}">
                        <c15:formulaRef>
                          <c15:sqref>'2.3'!$B$35:$B$55</c15:sqref>
                        </c15:formulaRef>
                      </c:ext>
                    </c:extLst>
                    <c:numCache>
                      <c:formatCode>General</c:formatCode>
                      <c:ptCount val="20"/>
                    </c:numCache>
                  </c:numRef>
                </c:val>
                <c:extLst>
                  <c:ext xmlns:c16="http://schemas.microsoft.com/office/drawing/2014/chart" uri="{C3380CC4-5D6E-409C-BE32-E72D297353CC}">
                    <c16:uniqueId val="{00000007-3417-4103-BABB-041216D28F62}"/>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'2.3'!$A$35:$A$55</c15:sqref>
                        </c15:formulaRef>
                      </c:ext>
                    </c:extLst>
                    <c:strCache>
                      <c:ptCount val="20"/>
                      <c:pt idx="0">
                        <c:v>L – Činnosti v oblasti nemovitostí</c:v>
                      </c:pt>
                      <c:pt idx="1">
                        <c:v>M – Profesní, vědecké a technické činnosti</c:v>
                      </c:pt>
                      <c:pt idx="2">
                        <c:v>J – Informační a komunikační činnosti</c:v>
                      </c:pt>
                      <c:pt idx="3">
                        <c:v>R – Kulturní, zábavní a rekreační činnosti</c:v>
                      </c:pt>
                      <c:pt idx="4">
                        <c:v>K – Peněžnictví a pojišťovnictví</c:v>
                      </c:pt>
                      <c:pt idx="5">
                        <c:v>D – Výroba a rozvod elektřiny, plynu, tepla a klimatizovaného vzduchu</c:v>
                      </c:pt>
                      <c:pt idx="6">
                        <c:v>I – Ubytování, stravování a pohostinství</c:v>
                      </c:pt>
                      <c:pt idx="7">
                        <c:v>S – Ostatní činnosti</c:v>
                      </c:pt>
                      <c:pt idx="8">
                        <c:v>F – Stavebnictví</c:v>
                      </c:pt>
                      <c:pt idx="9">
                        <c:v>O – Veřejná správa a obrana; povinné sociální zabezpečení</c:v>
                      </c:pt>
                      <c:pt idx="10">
                        <c:v>A – Zemědělství, lesnictví a rybářství</c:v>
                      </c:pt>
                      <c:pt idx="11">
                        <c:v>Q – Zdravotní a sociální péče</c:v>
                      </c:pt>
                      <c:pt idx="12">
                        <c:v>H – Doprava a skladování</c:v>
                      </c:pt>
                      <c:pt idx="13">
                        <c:v>P – Vzdělávání</c:v>
                      </c:pt>
                      <c:pt idx="14">
                        <c:v>G – Velkoobchod a maloobchod; opravy a údržba  motorových vozidel</c:v>
                      </c:pt>
                      <c:pt idx="15">
                        <c:v>CELKEM</c:v>
                      </c:pt>
                      <c:pt idx="16">
                        <c:v>E – Zásobování vodou; činnosti související s odpadními vodami, 
odpady a sanacemi</c:v>
                      </c:pt>
                      <c:pt idx="17">
                        <c:v>B – Těžba a dobývání</c:v>
                      </c:pt>
                      <c:pt idx="18">
                        <c:v>N – Administrativní a podpůrné činnosti</c:v>
                      </c:pt>
                      <c:pt idx="19">
                        <c:v>C – Zpracovatelský průmysl</c:v>
                      </c:pt>
                    </c:strCache>
                  </c:strRef>
                </c:cat>
                <c:val>
                  <c:numRef>
                    <c:extLst xmlns:c15="http://schemas.microsoft.com/office/drawing/2012/chart">
                      <c:ext xmlns:c15="http://schemas.microsoft.com/office/drawing/2012/chart" uri="{02D57815-91ED-43cb-92C2-25804820EDAC}">
                        <c15:formulaRef>
                          <c15:sqref>'2.3'!$C$35:$C$55</c15:sqref>
                        </c15:formulaRef>
                      </c:ext>
                    </c:extLst>
                    <c:numCache>
                      <c:formatCode>General</c:formatCode>
                      <c:ptCount val="20"/>
                    </c:numCache>
                  </c:numRef>
                </c:val>
                <c:extLst xmlns:c15="http://schemas.microsoft.com/office/drawing/2012/chart">
                  <c:ext xmlns:c16="http://schemas.microsoft.com/office/drawing/2014/chart" uri="{C3380CC4-5D6E-409C-BE32-E72D297353CC}">
                    <c16:uniqueId val="{00000008-3417-4103-BABB-041216D28F62}"/>
                  </c:ext>
                </c:extLst>
              </c15:ser>
            </c15:filteredBarSeries>
            <c15:filteredBarSeries>
              <c15:ser>
                <c:idx val="2"/>
                <c:order val="2"/>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'2.3'!$A$35:$A$55</c15:sqref>
                        </c15:formulaRef>
                      </c:ext>
                    </c:extLst>
                    <c:strCache>
                      <c:ptCount val="20"/>
                      <c:pt idx="0">
                        <c:v>L – Činnosti v oblasti nemovitostí</c:v>
                      </c:pt>
                      <c:pt idx="1">
                        <c:v>M – Profesní, vědecké a technické činnosti</c:v>
                      </c:pt>
                      <c:pt idx="2">
                        <c:v>J – Informační a komunikační činnosti</c:v>
                      </c:pt>
                      <c:pt idx="3">
                        <c:v>R – Kulturní, zábavní a rekreační činnosti</c:v>
                      </c:pt>
                      <c:pt idx="4">
                        <c:v>K – Peněžnictví a pojišťovnictví</c:v>
                      </c:pt>
                      <c:pt idx="5">
                        <c:v>D – Výroba a rozvod elektřiny, plynu, tepla a klimatizovaného vzduchu</c:v>
                      </c:pt>
                      <c:pt idx="6">
                        <c:v>I – Ubytování, stravování a pohostinství</c:v>
                      </c:pt>
                      <c:pt idx="7">
                        <c:v>S – Ostatní činnosti</c:v>
                      </c:pt>
                      <c:pt idx="8">
                        <c:v>F – Stavebnictví</c:v>
                      </c:pt>
                      <c:pt idx="9">
                        <c:v>O – Veřejná správa a obrana; povinné sociální zabezpečení</c:v>
                      </c:pt>
                      <c:pt idx="10">
                        <c:v>A – Zemědělství, lesnictví a rybářství</c:v>
                      </c:pt>
                      <c:pt idx="11">
                        <c:v>Q – Zdravotní a sociální péče</c:v>
                      </c:pt>
                      <c:pt idx="12">
                        <c:v>H – Doprava a skladování</c:v>
                      </c:pt>
                      <c:pt idx="13">
                        <c:v>P – Vzdělávání</c:v>
                      </c:pt>
                      <c:pt idx="14">
                        <c:v>G – Velkoobchod a maloobchod; opravy a údržba  motorových vozidel</c:v>
                      </c:pt>
                      <c:pt idx="15">
                        <c:v>CELKEM</c:v>
                      </c:pt>
                      <c:pt idx="16">
                        <c:v>E – Zásobování vodou; činnosti související s odpadními vodami, 
odpady a sanacemi</c:v>
                      </c:pt>
                      <c:pt idx="17">
                        <c:v>B – Těžba a dobývání</c:v>
                      </c:pt>
                      <c:pt idx="18">
                        <c:v>N – Administrativní a podpůrné činnosti</c:v>
                      </c:pt>
                      <c:pt idx="19">
                        <c:v>C – Zpracovatelský průmysl</c:v>
                      </c:pt>
                    </c:strCache>
                  </c:strRef>
                </c:cat>
                <c:val>
                  <c:numRef>
                    <c:extLst xmlns:c15="http://schemas.microsoft.com/office/drawing/2012/chart">
                      <c:ext xmlns:c15="http://schemas.microsoft.com/office/drawing/2012/chart" uri="{02D57815-91ED-43cb-92C2-25804820EDAC}">
                        <c15:formulaRef>
                          <c15:sqref>'2.3'!$D$35:$D$55</c15:sqref>
                        </c15:formulaRef>
                      </c:ext>
                    </c:extLst>
                    <c:numCache>
                      <c:formatCode>General</c:formatCode>
                      <c:ptCount val="20"/>
                    </c:numCache>
                  </c:numRef>
                </c:val>
                <c:extLst xmlns:c15="http://schemas.microsoft.com/office/drawing/2012/chart">
                  <c:ext xmlns:c16="http://schemas.microsoft.com/office/drawing/2014/chart" uri="{C3380CC4-5D6E-409C-BE32-E72D297353CC}">
                    <c16:uniqueId val="{00000009-3417-4103-BABB-041216D28F62}"/>
                  </c:ext>
                </c:extLst>
              </c15:ser>
            </c15:filteredBarSeries>
            <c15:filteredBarSeries>
              <c15:ser>
                <c:idx val="7"/>
                <c:order val="7"/>
                <c:spPr>
                  <a:solidFill>
                    <a:schemeClr val="accent2">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'2.3'!$A$35:$A$55</c15:sqref>
                        </c15:formulaRef>
                      </c:ext>
                    </c:extLst>
                    <c:strCache>
                      <c:ptCount val="20"/>
                      <c:pt idx="0">
                        <c:v>L – Činnosti v oblasti nemovitostí</c:v>
                      </c:pt>
                      <c:pt idx="1">
                        <c:v>M – Profesní, vědecké a technické činnosti</c:v>
                      </c:pt>
                      <c:pt idx="2">
                        <c:v>J – Informační a komunikační činnosti</c:v>
                      </c:pt>
                      <c:pt idx="3">
                        <c:v>R – Kulturní, zábavní a rekreační činnosti</c:v>
                      </c:pt>
                      <c:pt idx="4">
                        <c:v>K – Peněžnictví a pojišťovnictví</c:v>
                      </c:pt>
                      <c:pt idx="5">
                        <c:v>D – Výroba a rozvod elektřiny, plynu, tepla a klimatizovaného vzduchu</c:v>
                      </c:pt>
                      <c:pt idx="6">
                        <c:v>I – Ubytování, stravování a pohostinství</c:v>
                      </c:pt>
                      <c:pt idx="7">
                        <c:v>S – Ostatní činnosti</c:v>
                      </c:pt>
                      <c:pt idx="8">
                        <c:v>F – Stavebnictví</c:v>
                      </c:pt>
                      <c:pt idx="9">
                        <c:v>O – Veřejná správa a obrana; povinné sociální zabezpečení</c:v>
                      </c:pt>
                      <c:pt idx="10">
                        <c:v>A – Zemědělství, lesnictví a rybářství</c:v>
                      </c:pt>
                      <c:pt idx="11">
                        <c:v>Q – Zdravotní a sociální péče</c:v>
                      </c:pt>
                      <c:pt idx="12">
                        <c:v>H – Doprava a skladování</c:v>
                      </c:pt>
                      <c:pt idx="13">
                        <c:v>P – Vzdělávání</c:v>
                      </c:pt>
                      <c:pt idx="14">
                        <c:v>G – Velkoobchod a maloobchod; opravy a údržba  motorových vozidel</c:v>
                      </c:pt>
                      <c:pt idx="15">
                        <c:v>CELKEM</c:v>
                      </c:pt>
                      <c:pt idx="16">
                        <c:v>E – Zásobování vodou; činnosti související s odpadními vodami, 
odpady a sanacemi</c:v>
                      </c:pt>
                      <c:pt idx="17">
                        <c:v>B – Těžba a dobývání</c:v>
                      </c:pt>
                      <c:pt idx="18">
                        <c:v>N – Administrativní a podpůrné činnosti</c:v>
                      </c:pt>
                      <c:pt idx="19">
                        <c:v>C – Zpracovatelský průmysl</c:v>
                      </c:pt>
                    </c:strCache>
                  </c:strRef>
                </c:cat>
                <c:val>
                  <c:numRef>
                    <c:extLst xmlns:c15="http://schemas.microsoft.com/office/drawing/2012/chart">
                      <c:ext xmlns:c15="http://schemas.microsoft.com/office/drawing/2012/chart" uri="{02D57815-91ED-43cb-92C2-25804820EDAC}">
                        <c15:formulaRef>
                          <c15:sqref>'2.3'!$I$35:$I$55</c15:sqref>
                        </c15:formulaRef>
                      </c:ext>
                    </c:extLst>
                    <c:numCache>
                      <c:formatCode>General</c:formatCode>
                      <c:ptCount val="20"/>
                    </c:numCache>
                  </c:numRef>
                </c:val>
                <c:extLst xmlns:c15="http://schemas.microsoft.com/office/drawing/2012/chart">
                  <c:ext xmlns:c16="http://schemas.microsoft.com/office/drawing/2014/chart" uri="{C3380CC4-5D6E-409C-BE32-E72D297353CC}">
                    <c16:uniqueId val="{0000000A-3417-4103-BABB-041216D28F62}"/>
                  </c:ext>
                </c:extLst>
              </c15:ser>
            </c15:filteredBarSeries>
          </c:ext>
        </c:extLst>
      </c:barChart>
      <c:catAx>
        <c:axId val="836964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t"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874188576"/>
        <c:crosses val="autoZero"/>
        <c:auto val="1"/>
        <c:lblAlgn val="ctr"/>
        <c:lblOffset val="100"/>
        <c:noMultiLvlLbl val="0"/>
      </c:catAx>
      <c:valAx>
        <c:axId val="8741885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sz="800"/>
                  <a:t>počet</a:t>
                </a:r>
                <a:r>
                  <a:rPr lang="cs-CZ" sz="800" baseline="0"/>
                  <a:t> případů</a:t>
                </a:r>
                <a:endParaRPr lang="cs-CZ" sz="800"/>
              </a:p>
            </c:rich>
          </c:tx>
          <c:layout>
            <c:manualLayout>
              <c:xMode val="edge"/>
              <c:yMode val="edge"/>
              <c:x val="0.70300727038577826"/>
              <c:y val="0.9537894832111500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8369648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nchor="t" anchorCtr="0"/>
    <a:lstStyle/>
    <a:p>
      <a:pPr>
        <a:defRPr>
          <a:latin typeface="Arial" panose="020B0604020202020204" pitchFamily="34" charset="0"/>
          <a:cs typeface="Arial" panose="020B0604020202020204" pitchFamily="34" charset="0"/>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021125408104475"/>
          <c:y val="3.1473533619456366E-2"/>
          <c:w val="0.7464014559155715"/>
          <c:h val="0.86159713837066254"/>
        </c:manualLayout>
      </c:layout>
      <c:barChart>
        <c:barDir val="bar"/>
        <c:grouping val="clustered"/>
        <c:varyColors val="0"/>
        <c:ser>
          <c:idx val="0"/>
          <c:order val="0"/>
          <c:spPr>
            <a:solidFill>
              <a:srgbClr val="DA9896"/>
            </a:solidFill>
          </c:spPr>
          <c:invertIfNegative val="0"/>
          <c:dPt>
            <c:idx val="3"/>
            <c:invertIfNegative val="0"/>
            <c:bubble3D val="0"/>
            <c:spPr>
              <a:solidFill>
                <a:srgbClr val="DA9896"/>
              </a:solidFill>
              <a:ln w="31750" cmpd="sng">
                <a:solidFill>
                  <a:srgbClr val="A50021"/>
                </a:solidFill>
              </a:ln>
            </c:spPr>
            <c:extLst>
              <c:ext xmlns:c16="http://schemas.microsoft.com/office/drawing/2014/chart" uri="{C3380CC4-5D6E-409C-BE32-E72D297353CC}">
                <c16:uniqueId val="{00000001-0020-4C0E-9AA4-16A30D84B44C}"/>
              </c:ext>
            </c:extLst>
          </c:dPt>
          <c:cat>
            <c:strRef>
              <c:f>'2.4'!$A$26:$A$40</c:f>
              <c:strCache>
                <c:ptCount val="15"/>
                <c:pt idx="0">
                  <c:v>Hl. m. Praha</c:v>
                </c:pt>
                <c:pt idx="1">
                  <c:v>Jihomoravský kraj</c:v>
                </c:pt>
                <c:pt idx="2">
                  <c:v>Olomoucký kraj</c:v>
                </c:pt>
                <c:pt idx="3">
                  <c:v>ČR CELKEM</c:v>
                </c:pt>
                <c:pt idx="4">
                  <c:v>Zlínský kraj</c:v>
                </c:pt>
                <c:pt idx="5">
                  <c:v>Moravskoslezský kraj</c:v>
                </c:pt>
                <c:pt idx="6">
                  <c:v>Pardubický kraj</c:v>
                </c:pt>
                <c:pt idx="7">
                  <c:v>Středočeský kraj</c:v>
                </c:pt>
                <c:pt idx="8">
                  <c:v>Vysočina</c:v>
                </c:pt>
                <c:pt idx="9">
                  <c:v>Ústecký kraj</c:v>
                </c:pt>
                <c:pt idx="10">
                  <c:v>Jihočeský kraj</c:v>
                </c:pt>
                <c:pt idx="11">
                  <c:v>Karlovarský kraj</c:v>
                </c:pt>
                <c:pt idx="12">
                  <c:v>Královéhradecký kraj</c:v>
                </c:pt>
                <c:pt idx="13">
                  <c:v>Plzeňský kraj</c:v>
                </c:pt>
                <c:pt idx="14">
                  <c:v>Liberecký kraj</c:v>
                </c:pt>
              </c:strCache>
            </c:strRef>
          </c:cat>
          <c:val>
            <c:numRef>
              <c:f>'2.4'!$B$26:$B$40</c:f>
              <c:numCache>
                <c:formatCode>#,##0.00</c:formatCode>
                <c:ptCount val="15"/>
                <c:pt idx="0">
                  <c:v>16.6203329143</c:v>
                </c:pt>
                <c:pt idx="1">
                  <c:v>19.719659031999999</c:v>
                </c:pt>
                <c:pt idx="2">
                  <c:v>20.263627657800001</c:v>
                </c:pt>
                <c:pt idx="3">
                  <c:v>20.582557242099998</c:v>
                </c:pt>
                <c:pt idx="4">
                  <c:v>21.3421812944</c:v>
                </c:pt>
                <c:pt idx="5">
                  <c:v>22.041629765300002</c:v>
                </c:pt>
                <c:pt idx="6">
                  <c:v>22.080192067399999</c:v>
                </c:pt>
                <c:pt idx="7">
                  <c:v>22.088831174999999</c:v>
                </c:pt>
                <c:pt idx="8">
                  <c:v>22.503696683400001</c:v>
                </c:pt>
                <c:pt idx="9">
                  <c:v>22.540256962800001</c:v>
                </c:pt>
                <c:pt idx="10">
                  <c:v>22.6211835808</c:v>
                </c:pt>
                <c:pt idx="11">
                  <c:v>23.340594642100001</c:v>
                </c:pt>
                <c:pt idx="12">
                  <c:v>23.583670675600001</c:v>
                </c:pt>
                <c:pt idx="13">
                  <c:v>24.087065974000001</c:v>
                </c:pt>
                <c:pt idx="14">
                  <c:v>25.143577818899999</c:v>
                </c:pt>
              </c:numCache>
            </c:numRef>
          </c:val>
          <c:extLst>
            <c:ext xmlns:c16="http://schemas.microsoft.com/office/drawing/2014/chart" uri="{C3380CC4-5D6E-409C-BE32-E72D297353CC}">
              <c16:uniqueId val="{00000002-0020-4C0E-9AA4-16A30D84B44C}"/>
            </c:ext>
          </c:extLst>
        </c:ser>
        <c:dLbls>
          <c:showLegendKey val="0"/>
          <c:showVal val="0"/>
          <c:showCatName val="0"/>
          <c:showSerName val="0"/>
          <c:showPercent val="0"/>
          <c:showBubbleSize val="0"/>
        </c:dLbls>
        <c:gapWidth val="150"/>
        <c:axId val="80210560"/>
        <c:axId val="80216448"/>
      </c:barChart>
      <c:catAx>
        <c:axId val="80210560"/>
        <c:scaling>
          <c:orientation val="minMax"/>
        </c:scaling>
        <c:delete val="0"/>
        <c:axPos val="l"/>
        <c:numFmt formatCode="General" sourceLinked="0"/>
        <c:majorTickMark val="none"/>
        <c:minorTickMark val="none"/>
        <c:tickLblPos val="nextTo"/>
        <c:txPr>
          <a:bodyPr/>
          <a:lstStyle/>
          <a:p>
            <a:pPr>
              <a:defRPr>
                <a:solidFill>
                  <a:schemeClr val="tx1">
                    <a:lumMod val="65000"/>
                    <a:lumOff val="35000"/>
                  </a:schemeClr>
                </a:solidFill>
              </a:defRPr>
            </a:pPr>
            <a:endParaRPr lang="cs-CZ"/>
          </a:p>
        </c:txPr>
        <c:crossAx val="80216448"/>
        <c:crosses val="autoZero"/>
        <c:auto val="1"/>
        <c:lblAlgn val="ctr"/>
        <c:lblOffset val="100"/>
        <c:noMultiLvlLbl val="0"/>
      </c:catAx>
      <c:valAx>
        <c:axId val="80216448"/>
        <c:scaling>
          <c:orientation val="minMax"/>
          <c:max val="26"/>
        </c:scaling>
        <c:delete val="0"/>
        <c:axPos val="b"/>
        <c:majorGridlines/>
        <c:title>
          <c:tx>
            <c:rich>
              <a:bodyPr/>
              <a:lstStyle/>
              <a:p>
                <a:pPr>
                  <a:defRPr>
                    <a:solidFill>
                      <a:schemeClr val="tx1">
                        <a:lumMod val="65000"/>
                        <a:lumOff val="35000"/>
                      </a:schemeClr>
                    </a:solidFill>
                  </a:defRPr>
                </a:pPr>
                <a:r>
                  <a:rPr lang="cs-CZ" b="0">
                    <a:solidFill>
                      <a:schemeClr val="tx1">
                        <a:lumMod val="65000"/>
                        <a:lumOff val="35000"/>
                      </a:schemeClr>
                    </a:solidFill>
                  </a:rPr>
                  <a:t>počet případů</a:t>
                </a:r>
              </a:p>
            </c:rich>
          </c:tx>
          <c:layout>
            <c:manualLayout>
              <c:xMode val="edge"/>
              <c:yMode val="edge"/>
              <c:x val="0.52960245822930674"/>
              <c:y val="0.9456601078212955"/>
            </c:manualLayout>
          </c:layout>
          <c:overlay val="0"/>
        </c:title>
        <c:numFmt formatCode="0" sourceLinked="0"/>
        <c:majorTickMark val="none"/>
        <c:minorTickMark val="none"/>
        <c:tickLblPos val="nextTo"/>
        <c:spPr>
          <a:ln>
            <a:noFill/>
          </a:ln>
        </c:spPr>
        <c:txPr>
          <a:bodyPr/>
          <a:lstStyle/>
          <a:p>
            <a:pPr>
              <a:defRPr>
                <a:solidFill>
                  <a:schemeClr val="tx1">
                    <a:lumMod val="65000"/>
                    <a:lumOff val="35000"/>
                  </a:schemeClr>
                </a:solidFill>
              </a:defRPr>
            </a:pPr>
            <a:endParaRPr lang="cs-CZ"/>
          </a:p>
        </c:txPr>
        <c:crossAx val="80210560"/>
        <c:crosses val="autoZero"/>
        <c:crossBetween val="between"/>
        <c:majorUnit val="2"/>
      </c:valAx>
    </c:plotArea>
    <c:plotVisOnly val="1"/>
    <c:dispBlanksAs val="gap"/>
    <c:showDLblsOverMax val="0"/>
  </c:chart>
  <c:spPr>
    <a:ln>
      <a:noFill/>
    </a:ln>
  </c:spPr>
  <c:txPr>
    <a:bodyPr/>
    <a:lstStyle/>
    <a:p>
      <a:pPr>
        <a:defRPr sz="800">
          <a:latin typeface="Arial" pitchFamily="34" charset="0"/>
          <a:cs typeface="Arial" pitchFamily="34" charset="0"/>
        </a:defRPr>
      </a:pPr>
      <a:endParaRPr lang="cs-CZ"/>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'2.5'!$P$5</c:f>
              <c:strCache>
                <c:ptCount val="1"/>
                <c:pt idx="0">
                  <c:v> muži</c:v>
                </c:pt>
              </c:strCache>
            </c:strRef>
          </c:tx>
          <c:spPr>
            <a:solidFill>
              <a:srgbClr val="6F2D2B"/>
            </a:solidFill>
            <a:ln>
              <a:noFill/>
            </a:ln>
            <a:effectLst/>
          </c:spPr>
          <c:invertIfNegative val="0"/>
          <c:cat>
            <c:strRef>
              <c:f>'2.5'!$N$6:$N$17</c:f>
              <c:strCache>
                <c:ptCount val="12"/>
                <c:pt idx="0">
                  <c:v>1. pol. 2008</c:v>
                </c:pt>
                <c:pt idx="1">
                  <c:v>1. pol. 2009</c:v>
                </c:pt>
                <c:pt idx="2">
                  <c:v>1. pol. 2010</c:v>
                </c:pt>
                <c:pt idx="3">
                  <c:v>1. pol. 2011</c:v>
                </c:pt>
                <c:pt idx="4">
                  <c:v>1. pol. 2012</c:v>
                </c:pt>
                <c:pt idx="5">
                  <c:v>1. pol. 2013</c:v>
                </c:pt>
                <c:pt idx="6">
                  <c:v>1. pol. 2014</c:v>
                </c:pt>
                <c:pt idx="7">
                  <c:v>1. pol. 2015</c:v>
                </c:pt>
                <c:pt idx="8">
                  <c:v>1. pol. 2016</c:v>
                </c:pt>
                <c:pt idx="9">
                  <c:v>1. pol. 2017</c:v>
                </c:pt>
                <c:pt idx="10">
                  <c:v>1. pol. 2018</c:v>
                </c:pt>
                <c:pt idx="11">
                  <c:v>1. pol. 2019</c:v>
                </c:pt>
              </c:strCache>
            </c:strRef>
          </c:cat>
          <c:val>
            <c:numRef>
              <c:f>'2.5'!$P$6:$P$17</c:f>
              <c:numCache>
                <c:formatCode>0.00</c:formatCode>
                <c:ptCount val="12"/>
                <c:pt idx="0">
                  <c:v>36.368904903879574</c:v>
                </c:pt>
                <c:pt idx="1">
                  <c:v>43.395023967506134</c:v>
                </c:pt>
                <c:pt idx="2">
                  <c:v>44.651743318004065</c:v>
                </c:pt>
                <c:pt idx="3">
                  <c:v>42.916446369227529</c:v>
                </c:pt>
                <c:pt idx="4">
                  <c:v>46.309226338471746</c:v>
                </c:pt>
                <c:pt idx="5">
                  <c:v>41.648443843031124</c:v>
                </c:pt>
                <c:pt idx="6">
                  <c:v>44.369332844223997</c:v>
                </c:pt>
                <c:pt idx="7">
                  <c:v>38.512040612976669</c:v>
                </c:pt>
                <c:pt idx="8">
                  <c:v>40.213732148761729</c:v>
                </c:pt>
                <c:pt idx="9">
                  <c:v>39.560644848976111</c:v>
                </c:pt>
                <c:pt idx="10">
                  <c:v>38.078554728484917</c:v>
                </c:pt>
                <c:pt idx="11">
                  <c:v>41.476622667113126</c:v>
                </c:pt>
              </c:numCache>
            </c:numRef>
          </c:val>
          <c:extLst>
            <c:ext xmlns:c16="http://schemas.microsoft.com/office/drawing/2014/chart" uri="{C3380CC4-5D6E-409C-BE32-E72D297353CC}">
              <c16:uniqueId val="{00000000-C32E-42F4-B4E9-03B52593A61C}"/>
            </c:ext>
          </c:extLst>
        </c:ser>
        <c:ser>
          <c:idx val="1"/>
          <c:order val="1"/>
          <c:tx>
            <c:strRef>
              <c:f>'2.5'!$Q$5</c:f>
              <c:strCache>
                <c:ptCount val="1"/>
                <c:pt idx="0">
                  <c:v> ženy</c:v>
                </c:pt>
              </c:strCache>
            </c:strRef>
          </c:tx>
          <c:spPr>
            <a:solidFill>
              <a:srgbClr val="DA9896"/>
            </a:solidFill>
            <a:ln>
              <a:noFill/>
            </a:ln>
            <a:effectLst/>
          </c:spPr>
          <c:invertIfNegative val="0"/>
          <c:cat>
            <c:strRef>
              <c:f>'2.5'!$N$6:$N$17</c:f>
              <c:strCache>
                <c:ptCount val="12"/>
                <c:pt idx="0">
                  <c:v>1. pol. 2008</c:v>
                </c:pt>
                <c:pt idx="1">
                  <c:v>1. pol. 2009</c:v>
                </c:pt>
                <c:pt idx="2">
                  <c:v>1. pol. 2010</c:v>
                </c:pt>
                <c:pt idx="3">
                  <c:v>1. pol. 2011</c:v>
                </c:pt>
                <c:pt idx="4">
                  <c:v>1. pol. 2012</c:v>
                </c:pt>
                <c:pt idx="5">
                  <c:v>1. pol. 2013</c:v>
                </c:pt>
                <c:pt idx="6">
                  <c:v>1. pol. 2014</c:v>
                </c:pt>
                <c:pt idx="7">
                  <c:v>1. pol. 2015</c:v>
                </c:pt>
                <c:pt idx="8">
                  <c:v>1. pol. 2016</c:v>
                </c:pt>
                <c:pt idx="9">
                  <c:v>1. pol. 2017</c:v>
                </c:pt>
                <c:pt idx="10">
                  <c:v>1. pol. 2018</c:v>
                </c:pt>
                <c:pt idx="11">
                  <c:v>1. pol. 2019</c:v>
                </c:pt>
              </c:strCache>
            </c:strRef>
          </c:cat>
          <c:val>
            <c:numRef>
              <c:f>'2.5'!$Q$6:$Q$17</c:f>
              <c:numCache>
                <c:formatCode>0.00</c:formatCode>
                <c:ptCount val="12"/>
                <c:pt idx="0">
                  <c:v>39.809212697041673</c:v>
                </c:pt>
                <c:pt idx="1">
                  <c:v>45.597013813903267</c:v>
                </c:pt>
                <c:pt idx="2">
                  <c:v>44.489404882707575</c:v>
                </c:pt>
                <c:pt idx="3">
                  <c:v>42.642603910363256</c:v>
                </c:pt>
                <c:pt idx="4">
                  <c:v>48.972225980949027</c:v>
                </c:pt>
                <c:pt idx="5">
                  <c:v>42.769681888661033</c:v>
                </c:pt>
                <c:pt idx="6">
                  <c:v>47.351635940494653</c:v>
                </c:pt>
                <c:pt idx="7">
                  <c:v>41.541888555829374</c:v>
                </c:pt>
                <c:pt idx="8">
                  <c:v>43.54792270740468</c:v>
                </c:pt>
                <c:pt idx="9">
                  <c:v>42.227270729621964</c:v>
                </c:pt>
                <c:pt idx="10">
                  <c:v>39.901001334393172</c:v>
                </c:pt>
                <c:pt idx="11">
                  <c:v>43.663270828934991</c:v>
                </c:pt>
              </c:numCache>
            </c:numRef>
          </c:val>
          <c:extLst>
            <c:ext xmlns:c16="http://schemas.microsoft.com/office/drawing/2014/chart" uri="{C3380CC4-5D6E-409C-BE32-E72D297353CC}">
              <c16:uniqueId val="{00000001-C32E-42F4-B4E9-03B52593A61C}"/>
            </c:ext>
          </c:extLst>
        </c:ser>
        <c:dLbls>
          <c:showLegendKey val="0"/>
          <c:showVal val="0"/>
          <c:showCatName val="0"/>
          <c:showSerName val="0"/>
          <c:showPercent val="0"/>
          <c:showBubbleSize val="0"/>
        </c:dLbls>
        <c:gapWidth val="73"/>
        <c:axId val="965705648"/>
        <c:axId val="965704816"/>
      </c:barChart>
      <c:catAx>
        <c:axId val="965705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965704816"/>
        <c:crosses val="autoZero"/>
        <c:auto val="1"/>
        <c:lblAlgn val="ctr"/>
        <c:lblOffset val="100"/>
        <c:noMultiLvlLbl val="0"/>
      </c:catAx>
      <c:valAx>
        <c:axId val="965704816"/>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a:t>počet dnů</a:t>
                </a:r>
              </a:p>
            </c:rich>
          </c:tx>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9657056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'2.6'!$B$3</c:f>
              <c:strCache>
                <c:ptCount val="1"/>
                <c:pt idx="0">
                  <c:v> nově hlášené případy DPN na 100 pojištěnců</c:v>
                </c:pt>
              </c:strCache>
            </c:strRef>
          </c:tx>
          <c:spPr>
            <a:solidFill>
              <a:srgbClr val="6F2D2B"/>
            </a:solidFill>
            <a:ln>
              <a:noFill/>
            </a:ln>
            <a:effectLst/>
          </c:spPr>
          <c:invertIfNegative val="0"/>
          <c:cat>
            <c:strRef>
              <c:f>'2.6'!$C$2:$O$2</c:f>
              <c:strCache>
                <c:ptCount val="12"/>
                <c:pt idx="0">
                  <c:v>1. pol. 
2008</c:v>
                </c:pt>
                <c:pt idx="1">
                  <c:v>1. pol. 
2009</c:v>
                </c:pt>
                <c:pt idx="2">
                  <c:v>1. pol. 
2010</c:v>
                </c:pt>
                <c:pt idx="3">
                  <c:v>1. pol. 
2011</c:v>
                </c:pt>
                <c:pt idx="4">
                  <c:v>1. pol. 
2012</c:v>
                </c:pt>
                <c:pt idx="5">
                  <c:v>1. pol. 
2013</c:v>
                </c:pt>
                <c:pt idx="6">
                  <c:v>1. pol. 
2014</c:v>
                </c:pt>
                <c:pt idx="7">
                  <c:v>1. pol. 
2015</c:v>
                </c:pt>
                <c:pt idx="8">
                  <c:v>1. pol. 
2016</c:v>
                </c:pt>
                <c:pt idx="9">
                  <c:v>1. pol. 
2017</c:v>
                </c:pt>
                <c:pt idx="10">
                  <c:v>1. pol. 
2018</c:v>
                </c:pt>
                <c:pt idx="11">
                  <c:v>1. pol. 2019</c:v>
                </c:pt>
              </c:strCache>
            </c:strRef>
          </c:cat>
          <c:val>
            <c:numRef>
              <c:f>'2.6'!$C$3:$O$3</c:f>
              <c:numCache>
                <c:formatCode>0.00</c:formatCode>
                <c:ptCount val="12"/>
                <c:pt idx="0">
                  <c:v>24.61</c:v>
                </c:pt>
                <c:pt idx="1">
                  <c:v>17.739999999999998</c:v>
                </c:pt>
                <c:pt idx="2">
                  <c:v>16.600000000000001</c:v>
                </c:pt>
                <c:pt idx="3">
                  <c:v>16.989999999999998</c:v>
                </c:pt>
                <c:pt idx="4">
                  <c:v>13.62</c:v>
                </c:pt>
                <c:pt idx="5">
                  <c:v>17.09</c:v>
                </c:pt>
                <c:pt idx="6">
                  <c:v>15.05</c:v>
                </c:pt>
                <c:pt idx="7">
                  <c:v>19.54</c:v>
                </c:pt>
                <c:pt idx="8">
                  <c:v>19.307438193100001</c:v>
                </c:pt>
                <c:pt idx="9">
                  <c:v>20.395097851999999</c:v>
                </c:pt>
                <c:pt idx="10" formatCode="#,##0.00">
                  <c:v>22.081869253499999</c:v>
                </c:pt>
                <c:pt idx="11" formatCode="#,##0.00">
                  <c:v>20.582557242099998</c:v>
                </c:pt>
              </c:numCache>
            </c:numRef>
          </c:val>
          <c:extLst>
            <c:ext xmlns:c16="http://schemas.microsoft.com/office/drawing/2014/chart" uri="{C3380CC4-5D6E-409C-BE32-E72D297353CC}">
              <c16:uniqueId val="{00000000-3368-4561-B1A1-DC4B57D35E3E}"/>
            </c:ext>
          </c:extLst>
        </c:ser>
        <c:dLbls>
          <c:showLegendKey val="0"/>
          <c:showVal val="0"/>
          <c:showCatName val="0"/>
          <c:showSerName val="0"/>
          <c:showPercent val="0"/>
          <c:showBubbleSize val="0"/>
        </c:dLbls>
        <c:gapWidth val="105"/>
        <c:overlap val="-27"/>
        <c:axId val="988871248"/>
        <c:axId val="965701488"/>
      </c:barChart>
      <c:lineChart>
        <c:grouping val="standard"/>
        <c:varyColors val="0"/>
        <c:ser>
          <c:idx val="1"/>
          <c:order val="1"/>
          <c:tx>
            <c:strRef>
              <c:f>'2.6'!$B$4</c:f>
              <c:strCache>
                <c:ptCount val="1"/>
                <c:pt idx="0">
                  <c:v> průměrná délka trvání případu DPN </c:v>
                </c:pt>
              </c:strCache>
            </c:strRef>
          </c:tx>
          <c:spPr>
            <a:ln w="28575" cap="rnd">
              <a:solidFill>
                <a:srgbClr val="DA9896"/>
              </a:solidFill>
              <a:round/>
            </a:ln>
            <a:effectLst/>
          </c:spPr>
          <c:marker>
            <c:symbol val="circle"/>
            <c:size val="5"/>
            <c:spPr>
              <a:solidFill>
                <a:srgbClr val="DA9896"/>
              </a:solidFill>
              <a:ln w="9525">
                <a:noFill/>
              </a:ln>
              <a:effectLst/>
            </c:spPr>
          </c:marker>
          <c:cat>
            <c:strRef>
              <c:f>'2.6'!$C$2:$O$2</c:f>
              <c:strCache>
                <c:ptCount val="12"/>
                <c:pt idx="0">
                  <c:v>1. pol. 
2008</c:v>
                </c:pt>
                <c:pt idx="1">
                  <c:v>1. pol. 
2009</c:v>
                </c:pt>
                <c:pt idx="2">
                  <c:v>1. pol. 
2010</c:v>
                </c:pt>
                <c:pt idx="3">
                  <c:v>1. pol. 
2011</c:v>
                </c:pt>
                <c:pt idx="4">
                  <c:v>1. pol. 
2012</c:v>
                </c:pt>
                <c:pt idx="5">
                  <c:v>1. pol. 
2013</c:v>
                </c:pt>
                <c:pt idx="6">
                  <c:v>1. pol. 
2014</c:v>
                </c:pt>
                <c:pt idx="7">
                  <c:v>1. pol. 
2015</c:v>
                </c:pt>
                <c:pt idx="8">
                  <c:v>1. pol. 
2016</c:v>
                </c:pt>
                <c:pt idx="9">
                  <c:v>1. pol. 
2017</c:v>
                </c:pt>
                <c:pt idx="10">
                  <c:v>1. pol. 
2018</c:v>
                </c:pt>
                <c:pt idx="11">
                  <c:v>1. pol. 2019</c:v>
                </c:pt>
              </c:strCache>
            </c:strRef>
          </c:cat>
          <c:val>
            <c:numRef>
              <c:f>'2.6'!$C$4:$O$4</c:f>
              <c:numCache>
                <c:formatCode>0.00</c:formatCode>
                <c:ptCount val="12"/>
                <c:pt idx="0">
                  <c:v>38.14</c:v>
                </c:pt>
                <c:pt idx="1">
                  <c:v>44.55</c:v>
                </c:pt>
                <c:pt idx="2">
                  <c:v>44.57</c:v>
                </c:pt>
                <c:pt idx="3">
                  <c:v>42.77</c:v>
                </c:pt>
                <c:pt idx="4">
                  <c:v>47.7</c:v>
                </c:pt>
                <c:pt idx="5">
                  <c:v>42.2</c:v>
                </c:pt>
                <c:pt idx="6">
                  <c:v>45.94</c:v>
                </c:pt>
                <c:pt idx="7">
                  <c:v>40.11</c:v>
                </c:pt>
                <c:pt idx="8">
                  <c:v>41.9717707569</c:v>
                </c:pt>
                <c:pt idx="9">
                  <c:v>40.973631424200001</c:v>
                </c:pt>
                <c:pt idx="10">
                  <c:v>39.049999999999997</c:v>
                </c:pt>
                <c:pt idx="11">
                  <c:v>42.645176179057081</c:v>
                </c:pt>
              </c:numCache>
            </c:numRef>
          </c:val>
          <c:smooth val="0"/>
          <c:extLst>
            <c:ext xmlns:c16="http://schemas.microsoft.com/office/drawing/2014/chart" uri="{C3380CC4-5D6E-409C-BE32-E72D297353CC}">
              <c16:uniqueId val="{00000001-3368-4561-B1A1-DC4B57D35E3E}"/>
            </c:ext>
          </c:extLst>
        </c:ser>
        <c:dLbls>
          <c:showLegendKey val="0"/>
          <c:showVal val="0"/>
          <c:showCatName val="0"/>
          <c:showSerName val="0"/>
          <c:showPercent val="0"/>
          <c:showBubbleSize val="0"/>
        </c:dLbls>
        <c:marker val="1"/>
        <c:smooth val="0"/>
        <c:axId val="983070112"/>
        <c:axId val="983069696"/>
      </c:lineChart>
      <c:catAx>
        <c:axId val="98887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965701488"/>
        <c:crosses val="autoZero"/>
        <c:auto val="1"/>
        <c:lblAlgn val="ctr"/>
        <c:lblOffset val="100"/>
        <c:noMultiLvlLbl val="0"/>
      </c:catAx>
      <c:valAx>
        <c:axId val="965701488"/>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počet případů</a:t>
                </a:r>
              </a:p>
            </c:rich>
          </c:tx>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988871248"/>
        <c:crosses val="autoZero"/>
        <c:crossBetween val="between"/>
        <c:majorUnit val="5"/>
      </c:valAx>
      <c:valAx>
        <c:axId val="983069696"/>
        <c:scaling>
          <c:orientation val="minMax"/>
          <c:max val="50"/>
        </c:scaling>
        <c:delete val="0"/>
        <c:axPos val="r"/>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a:t>počet dnů</a:t>
                </a:r>
              </a:p>
            </c:rich>
          </c:tx>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983070112"/>
        <c:crosses val="max"/>
        <c:crossBetween val="between"/>
        <c:majorUnit val="5"/>
      </c:valAx>
      <c:catAx>
        <c:axId val="983070112"/>
        <c:scaling>
          <c:orientation val="minMax"/>
        </c:scaling>
        <c:delete val="1"/>
        <c:axPos val="b"/>
        <c:numFmt formatCode="General" sourceLinked="1"/>
        <c:majorTickMark val="out"/>
        <c:minorTickMark val="none"/>
        <c:tickLblPos val="nextTo"/>
        <c:crossAx val="983069696"/>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4381026497835074"/>
          <c:y val="2.9100529100529099E-2"/>
          <c:w val="0.53850135011791211"/>
          <c:h val="0.88257905293006345"/>
        </c:manualLayout>
      </c:layout>
      <c:barChart>
        <c:barDir val="bar"/>
        <c:grouping val="clustered"/>
        <c:varyColors val="0"/>
        <c:ser>
          <c:idx val="0"/>
          <c:order val="0"/>
          <c:spPr>
            <a:solidFill>
              <a:srgbClr val="DA9896"/>
            </a:solidFill>
            <a:ln>
              <a:noFill/>
            </a:ln>
            <a:effectLst/>
          </c:spPr>
          <c:invertIfNegative val="0"/>
          <c:dPt>
            <c:idx val="8"/>
            <c:invertIfNegative val="0"/>
            <c:bubble3D val="0"/>
            <c:spPr>
              <a:solidFill>
                <a:srgbClr val="DA9896"/>
              </a:solidFill>
              <a:ln w="31750">
                <a:solidFill>
                  <a:srgbClr val="A50021"/>
                </a:solidFill>
              </a:ln>
              <a:effectLst/>
            </c:spPr>
            <c:extLst>
              <c:ext xmlns:c16="http://schemas.microsoft.com/office/drawing/2014/chart" uri="{C3380CC4-5D6E-409C-BE32-E72D297353CC}">
                <c16:uniqueId val="{00000001-7BA5-4319-B696-ED4C6620558D}"/>
              </c:ext>
            </c:extLst>
          </c:dPt>
          <c:cat>
            <c:strRef>
              <c:f>'2.7'!$A$58:$A$78</c:f>
              <c:strCache>
                <c:ptCount val="20"/>
                <c:pt idx="0">
                  <c:v>J – Informační a komunikační činnosti</c:v>
                </c:pt>
                <c:pt idx="1">
                  <c:v>P – Vzdělávání</c:v>
                </c:pt>
                <c:pt idx="2">
                  <c:v>K – Peněžnictví a pojišťovnictví</c:v>
                </c:pt>
                <c:pt idx="3">
                  <c:v>O – Veřejná správa a obrana; povinné sociální zabezpečení</c:v>
                </c:pt>
                <c:pt idx="4">
                  <c:v>D – Výroba a rozvod elektřiny, plynu, tepla 
a klimatizovaného vzduchu</c:v>
                </c:pt>
                <c:pt idx="5">
                  <c:v>M – Profesní, vědecké a technické činnosti</c:v>
                </c:pt>
                <c:pt idx="6">
                  <c:v>R – Kulturní, zábavní a rekreační činnosti</c:v>
                </c:pt>
                <c:pt idx="7">
                  <c:v>C – Zpracovatelský průmysl</c:v>
                </c:pt>
                <c:pt idx="8">
                  <c:v>CELKEM</c:v>
                </c:pt>
                <c:pt idx="9">
                  <c:v>N – Administrativní a podpůrné činnosti</c:v>
                </c:pt>
                <c:pt idx="10">
                  <c:v>G – Velkoobchod a maloobchod; 
opravy a údržba motorových vozidel</c:v>
                </c:pt>
                <c:pt idx="11">
                  <c:v>H – Doprava a skladování</c:v>
                </c:pt>
                <c:pt idx="12">
                  <c:v>Q – Zdravotní a sociální péče</c:v>
                </c:pt>
                <c:pt idx="13">
                  <c:v>E – Zásobování vodou; činnosti související 
s odpadními vodami, odpady a sanacemi</c:v>
                </c:pt>
                <c:pt idx="14">
                  <c:v>S – Ostatní činnosti</c:v>
                </c:pt>
                <c:pt idx="15">
                  <c:v>B – Těžba a dobývání</c:v>
                </c:pt>
                <c:pt idx="16">
                  <c:v>L – Činnosti v oblasti nemovitostí</c:v>
                </c:pt>
                <c:pt idx="17">
                  <c:v>I – Ubytování, stravování a pohostinství</c:v>
                </c:pt>
                <c:pt idx="18">
                  <c:v>F – Stavebnictví</c:v>
                </c:pt>
                <c:pt idx="19">
                  <c:v>A – Zemědělství, lesnictví a rybářství</c:v>
                </c:pt>
              </c:strCache>
            </c:strRef>
          </c:cat>
          <c:val>
            <c:numRef>
              <c:f>'2.7'!$B$58:$B$78</c:f>
              <c:numCache>
                <c:formatCode>0.00</c:formatCode>
                <c:ptCount val="20"/>
                <c:pt idx="0">
                  <c:v>26.3960375391</c:v>
                </c:pt>
                <c:pt idx="1">
                  <c:v>30.423681837499998</c:v>
                </c:pt>
                <c:pt idx="2">
                  <c:v>33.111437565599999</c:v>
                </c:pt>
                <c:pt idx="3">
                  <c:v>35.557451439399998</c:v>
                </c:pt>
                <c:pt idx="4">
                  <c:v>37.776493892399998</c:v>
                </c:pt>
                <c:pt idx="5">
                  <c:v>40.130267910900002</c:v>
                </c:pt>
                <c:pt idx="6">
                  <c:v>40.402498193500001</c:v>
                </c:pt>
                <c:pt idx="7">
                  <c:v>41.985872325700001</c:v>
                </c:pt>
                <c:pt idx="8">
                  <c:v>42.645176179099998</c:v>
                </c:pt>
                <c:pt idx="9">
                  <c:v>43.660092680699996</c:v>
                </c:pt>
                <c:pt idx="10">
                  <c:v>44.963151007999997</c:v>
                </c:pt>
                <c:pt idx="11">
                  <c:v>45.874758675300001</c:v>
                </c:pt>
                <c:pt idx="12">
                  <c:v>45.9469106616</c:v>
                </c:pt>
                <c:pt idx="13">
                  <c:v>46.028587625500002</c:v>
                </c:pt>
                <c:pt idx="14">
                  <c:v>46.087641039099999</c:v>
                </c:pt>
                <c:pt idx="15">
                  <c:v>50.301077337400002</c:v>
                </c:pt>
                <c:pt idx="16">
                  <c:v>52.0257081281</c:v>
                </c:pt>
                <c:pt idx="17">
                  <c:v>54.591711757100001</c:v>
                </c:pt>
                <c:pt idx="18">
                  <c:v>54.981010292299999</c:v>
                </c:pt>
                <c:pt idx="19">
                  <c:v>58.344440493699999</c:v>
                </c:pt>
              </c:numCache>
            </c:numRef>
          </c:val>
          <c:extLst>
            <c:ext xmlns:c16="http://schemas.microsoft.com/office/drawing/2014/chart" uri="{C3380CC4-5D6E-409C-BE32-E72D297353CC}">
              <c16:uniqueId val="{00000002-7BA5-4319-B696-ED4C6620558D}"/>
            </c:ext>
          </c:extLst>
        </c:ser>
        <c:dLbls>
          <c:showLegendKey val="0"/>
          <c:showVal val="0"/>
          <c:showCatName val="0"/>
          <c:showSerName val="0"/>
          <c:showPercent val="0"/>
          <c:showBubbleSize val="0"/>
        </c:dLbls>
        <c:gapWidth val="182"/>
        <c:axId val="976691072"/>
        <c:axId val="976691488"/>
      </c:barChart>
      <c:catAx>
        <c:axId val="976691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976691488"/>
        <c:crosses val="autoZero"/>
        <c:auto val="1"/>
        <c:lblAlgn val="ctr"/>
        <c:lblOffset val="100"/>
        <c:noMultiLvlLbl val="0"/>
      </c:catAx>
      <c:valAx>
        <c:axId val="976691488"/>
        <c:scaling>
          <c:orientation val="minMax"/>
          <c:max val="6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počet dnů</a:t>
                </a:r>
              </a:p>
            </c:rich>
          </c:tx>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9766910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61AC7-A715-4ADA-84EB-4C432C0B8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CZ_lide a spolecnost_2017-08-14.dotx</Template>
  <TotalTime>0</TotalTime>
  <Pages>34</Pages>
  <Words>13456</Words>
  <Characters>79395</Characters>
  <Application>Microsoft Office Word</Application>
  <DocSecurity>0</DocSecurity>
  <Lines>661</Lines>
  <Paragraphs>185</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92666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Alena Hykyšová</dc:creator>
  <cp:lastModifiedBy>Alena Kotrbatá</cp:lastModifiedBy>
  <cp:revision>3</cp:revision>
  <cp:lastPrinted>2019-10-23T11:36:00Z</cp:lastPrinted>
  <dcterms:created xsi:type="dcterms:W3CDTF">2019-10-30T08:16:00Z</dcterms:created>
  <dcterms:modified xsi:type="dcterms:W3CDTF">2019-10-30T09:36:00Z</dcterms:modified>
</cp:coreProperties>
</file>