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C5D9" w14:textId="37B1CCCE" w:rsidR="00E41131" w:rsidRDefault="00E41131" w:rsidP="00D21B36">
      <w:pPr>
        <w:pStyle w:val="Nadpis11"/>
        <w:spacing w:after="120"/>
      </w:pPr>
      <w:bookmarkStart w:id="0" w:name="_Toc114134050"/>
      <w:bookmarkStart w:id="1" w:name="_Toc121993823"/>
      <w:r>
        <w:t>7. Měnové podmínky</w:t>
      </w:r>
      <w:bookmarkEnd w:id="0"/>
      <w:bookmarkEnd w:id="1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E41131" w:rsidRPr="0037004A" w14:paraId="49759FD2" w14:textId="77777777" w:rsidTr="002036E6">
        <w:trPr>
          <w:trHeight w:val="145"/>
        </w:trPr>
        <w:tc>
          <w:tcPr>
            <w:tcW w:w="1802" w:type="dxa"/>
          </w:tcPr>
          <w:p w14:paraId="5ED5EBEC" w14:textId="77777777" w:rsidR="00E41131" w:rsidRDefault="00E41131" w:rsidP="002036E6">
            <w:pPr>
              <w:pStyle w:val="Marginli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Měnověpolitické</w:t>
            </w:r>
            <w:proofErr w:type="spellEnd"/>
            <w:r>
              <w:rPr>
                <w:lang w:eastAsia="en-US"/>
              </w:rPr>
              <w:t xml:space="preserve"> sazby ve 3. čtvrtletí setrvávaly na konstantní úrovni.</w:t>
            </w:r>
          </w:p>
        </w:tc>
        <w:tc>
          <w:tcPr>
            <w:tcW w:w="229" w:type="dxa"/>
          </w:tcPr>
          <w:p w14:paraId="4FC8B19F" w14:textId="77777777" w:rsidR="00E41131" w:rsidRDefault="00E41131" w:rsidP="002036E6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61530863" w14:textId="77777777" w:rsidR="00E41131" w:rsidRPr="0037004A" w:rsidRDefault="00E41131" w:rsidP="002036E6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Ve 3. čtvrtletí 2022 se již dál nezvyšovaly </w:t>
            </w:r>
            <w:proofErr w:type="spellStart"/>
            <w:r>
              <w:rPr>
                <w:spacing w:val="-2"/>
                <w:lang w:eastAsia="en-US"/>
              </w:rPr>
              <w:t>měnověpolitické</w:t>
            </w:r>
            <w:proofErr w:type="spellEnd"/>
            <w:r>
              <w:rPr>
                <w:spacing w:val="-2"/>
                <w:lang w:eastAsia="en-US"/>
              </w:rPr>
              <w:t xml:space="preserve"> úrokové sazby. Dvoutýdenní </w:t>
            </w:r>
            <w:proofErr w:type="spellStart"/>
            <w:r>
              <w:rPr>
                <w:spacing w:val="-2"/>
                <w:lang w:eastAsia="en-US"/>
              </w:rPr>
              <w:t>repo</w:t>
            </w:r>
            <w:proofErr w:type="spellEnd"/>
            <w:r>
              <w:rPr>
                <w:spacing w:val="-2"/>
                <w:lang w:eastAsia="en-US"/>
              </w:rPr>
              <w:t xml:space="preserve"> sazba tak setrvala na 7,00 %</w:t>
            </w:r>
            <w:r w:rsidRPr="0037004A"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 xml:space="preserve">, diskontní sazba na 6,00 % a lombardní na 8,00 %. Na vývoji kurzu koruny vůči euru byly patrné intervence proti oslabení, které ČNB provádí od poloviny letošního května. Kurz vůči euru se tak výrazněji nevychyloval (jen slabě posílil oproti 2. čtvrtletí o </w:t>
            </w:r>
            <w:proofErr w:type="gramStart"/>
            <w:r>
              <w:rPr>
                <w:spacing w:val="-2"/>
                <w:lang w:eastAsia="en-US"/>
              </w:rPr>
              <w:t>0,3%</w:t>
            </w:r>
            <w:proofErr w:type="gramEnd"/>
            <w:r>
              <w:rPr>
                <w:spacing w:val="-2"/>
                <w:lang w:eastAsia="en-US"/>
              </w:rPr>
              <w:t xml:space="preserve">) a dosáhl průměru 24,57 CZK/EUR za 3. čtvrtletí. Meziročně byl kurz silnější o 3,6 %. Naopak kurz koruny vůči dolaru pokračoval v trendu výrazného oslabování. Průměrný kurz koruny vůči dolaru ve 3. čtvrtletí dosáhl 24,4 CZK/USD a mezičtvrtletně tak oslabil o 5,4 %. Meziročně byl slabší o 12,8 %. Kurz koruny vůči dolaru oslaboval v průběhu celého čtvrtletí a v srpnu poprvé od prosince 2002 překonal nominální kurz vůči euru. Na počátku července dolarový kurz dosahoval 23,75 CZK/USD a kvartál zakončil na 25,18 CZK/USD.   </w:t>
            </w:r>
          </w:p>
        </w:tc>
      </w:tr>
      <w:tr w:rsidR="00E41131" w14:paraId="5F63245C" w14:textId="77777777" w:rsidTr="002036E6">
        <w:trPr>
          <w:trHeight w:val="145"/>
        </w:trPr>
        <w:tc>
          <w:tcPr>
            <w:tcW w:w="1802" w:type="dxa"/>
          </w:tcPr>
          <w:p w14:paraId="40811DAC" w14:textId="77777777" w:rsidR="00E41131" w:rsidRDefault="00E41131" w:rsidP="002036E6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Rostly úrokové sazby mezibankovního trhu.</w:t>
            </w:r>
          </w:p>
        </w:tc>
        <w:tc>
          <w:tcPr>
            <w:tcW w:w="229" w:type="dxa"/>
          </w:tcPr>
          <w:p w14:paraId="345C15EB" w14:textId="77777777" w:rsidR="00E41131" w:rsidRDefault="00E41131" w:rsidP="002036E6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BC1A852" w14:textId="77777777" w:rsidR="00E41131" w:rsidRDefault="00E41131" w:rsidP="002036E6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Spolu s </w:t>
            </w:r>
            <w:proofErr w:type="spellStart"/>
            <w:r>
              <w:rPr>
                <w:spacing w:val="-1"/>
                <w:lang w:eastAsia="en-US"/>
              </w:rPr>
              <w:t>měnověpolitickými</w:t>
            </w:r>
            <w:proofErr w:type="spellEnd"/>
            <w:r>
              <w:rPr>
                <w:spacing w:val="-1"/>
                <w:lang w:eastAsia="en-US"/>
              </w:rPr>
              <w:t xml:space="preserve"> sazbami stagnovaly i úrokové sazby mezibankovního trhu. Ty po zvýšení </w:t>
            </w:r>
            <w:proofErr w:type="spellStart"/>
            <w:r>
              <w:rPr>
                <w:spacing w:val="-1"/>
                <w:lang w:eastAsia="en-US"/>
              </w:rPr>
              <w:t>repo</w:t>
            </w:r>
            <w:proofErr w:type="spellEnd"/>
            <w:r>
              <w:rPr>
                <w:spacing w:val="-1"/>
                <w:lang w:eastAsia="en-US"/>
              </w:rPr>
              <w:t xml:space="preserve"> sazby na konci června reagovaly v červenci navýšením, ale následně se už nehýbaly. Tříměsíční sazba PRIBOR tak ke konci září dosahovala 7,25 % a zvýšila se v průběhu 3. kvartálu o 0,61 p. b.</w:t>
            </w:r>
            <w:r>
              <w:rPr>
                <w:rStyle w:val="Znakapoznpodarou"/>
                <w:spacing w:val="-1"/>
                <w:lang w:eastAsia="en-US"/>
              </w:rPr>
              <w:footnoteReference w:id="2"/>
            </w:r>
            <w:r>
              <w:rPr>
                <w:spacing w:val="-1"/>
                <w:lang w:eastAsia="en-US"/>
              </w:rPr>
              <w:t xml:space="preserve"> Obdobný byl vývoj u dalších typů sazeb. Výnosy dluhopisů se z červnových maxim během letních měsíců snižovaly a přes opětovné zářijové navýšení končily 3. čtvrtletí níže, než začínaly. Úrokové sazby na dluhopisech s krátkodobou splatností ke konci září dosahovaly 5,9 % a byly nižší o 0,36 p. b., ty se střednědobou splatností byly úročeny 5,06 % (−0,43 p. b.) a dlouhodobé dluhopisy měly průměrnou sazbu 4,72 % (−0,4 p. b.).</w:t>
            </w:r>
          </w:p>
        </w:tc>
      </w:tr>
      <w:tr w:rsidR="00E41131" w14:paraId="40871959" w14:textId="77777777" w:rsidTr="002036E6">
        <w:trPr>
          <w:trHeight w:val="145"/>
        </w:trPr>
        <w:tc>
          <w:tcPr>
            <w:tcW w:w="1802" w:type="dxa"/>
            <w:hideMark/>
          </w:tcPr>
          <w:p w14:paraId="7976BDB4" w14:textId="77777777" w:rsidR="00E41131" w:rsidRDefault="00E41131" w:rsidP="002036E6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Zvyšovalo se úročení klientských vkladů včetně běžných účtů.</w:t>
            </w:r>
          </w:p>
        </w:tc>
        <w:tc>
          <w:tcPr>
            <w:tcW w:w="229" w:type="dxa"/>
          </w:tcPr>
          <w:p w14:paraId="5B588BE3" w14:textId="77777777" w:rsidR="00E41131" w:rsidRDefault="00E41131" w:rsidP="002036E6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6EFB7A13" w14:textId="77777777" w:rsidR="00E41131" w:rsidRDefault="00E41131" w:rsidP="002036E6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 xml:space="preserve">Úrokové sazby klientských účtů se dál zvyšovaly. Nejmarkantnější to bylo u vkladů s dohodnutou splatností, kde se úročení celkově zvýšilo o 0,74 p. b., a ke konci září dosahovalo průměru 6,08 %. Posun vzhůru se ale dotkl i úrokových sazeb jednodenních vkladů, které zahrnují některé typy spořicích účtů (o 0,3 p. b. na průměrnou hodnotu 1,07 %). U běžných účtů se průměrné úročení zdvojnásobilo na 0,16 %, což je nejvíce od konce června 2014. Nefinanční podniky už dříve mohly využít vyšších sazeb na běžných účtech, než měly domácnosti, a také v průběhu 3. čtvrtletí zde úročení vzrostlo o 0,18 p. b. na 0,88 %. Vklady s dohodnutou splatností nefinančních podniků byly ke konci září v průměru úročeny 6,45 %, což představuje nárůst o 0,65 p. b. Dál pokračoval velmi netypický odliv finančních prostředků z netermínovaných vkladů. Meziročně poklesl jejich objem o více než desetinu a za 3. čtvrtletí se snížil o 3,2 %, což je 139,6 mld. korun. Naopak se navyšoval objem termínovaných vkladů (meziročně o 79,2 %, za 3. čtvrtletí došlo k </w:t>
            </w:r>
            <w:proofErr w:type="gramStart"/>
            <w:r>
              <w:rPr>
                <w:spacing w:val="-3"/>
                <w:lang w:eastAsia="en-US"/>
              </w:rPr>
              <w:t>11,0%</w:t>
            </w:r>
            <w:proofErr w:type="gramEnd"/>
            <w:r>
              <w:rPr>
                <w:spacing w:val="-3"/>
                <w:lang w:eastAsia="en-US"/>
              </w:rPr>
              <w:t xml:space="preserve"> přírůstku, což odpovídá 216,4 mld. korun). Z pohledu jednotlivých sektorů je patrné prudké zpomalování meziročního nárůstu objemu vkladů domácností</w:t>
            </w:r>
            <w:r>
              <w:rPr>
                <w:rStyle w:val="Znakapoznpodarou"/>
                <w:spacing w:val="-3"/>
                <w:lang w:eastAsia="en-US"/>
              </w:rPr>
              <w:footnoteReference w:id="3"/>
            </w:r>
            <w:r>
              <w:rPr>
                <w:spacing w:val="-3"/>
                <w:lang w:eastAsia="en-US"/>
              </w:rPr>
              <w:t>. O více než čtvrtinu meziročně vzrostly vklady finančních institucí a také vládních institucí. To souvisí s navýšením vládního dluhu nad skutečnou potřebu financování, ke kterému došlo ve 2. čtvrtletí. Vládní instituce získané prostředky uložily ve formě oběživa a vkladů.</w:t>
            </w:r>
          </w:p>
        </w:tc>
      </w:tr>
      <w:tr w:rsidR="00E41131" w14:paraId="0D979AB3" w14:textId="77777777" w:rsidTr="002036E6">
        <w:trPr>
          <w:trHeight w:val="145"/>
        </w:trPr>
        <w:tc>
          <w:tcPr>
            <w:tcW w:w="1802" w:type="dxa"/>
          </w:tcPr>
          <w:p w14:paraId="19E43B48" w14:textId="77777777" w:rsidR="00E41131" w:rsidRDefault="00E41131" w:rsidP="002036E6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Na hypotečním trhu dál pokračovalo zpomalování.</w:t>
            </w:r>
          </w:p>
        </w:tc>
        <w:tc>
          <w:tcPr>
            <w:tcW w:w="229" w:type="dxa"/>
          </w:tcPr>
          <w:p w14:paraId="63C30BBA" w14:textId="77777777" w:rsidR="00E41131" w:rsidRDefault="00E41131" w:rsidP="002036E6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4CA5BEDA" w14:textId="77777777" w:rsidR="00E41131" w:rsidRDefault="00E41131" w:rsidP="002036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Náklady na úvěry pro domácnosti se také dál zvyšovaly. Průměrná úroková sazba úvěrů na spotřebu do konce září navýšila o 0,86 p. b. a dosáhla 9,7 %, což je nejvíce od prosince 2016. Také se zdražovaly úvěry na bydlení. Průměrné úročení úvěru na nákup bytové nemovitosti vzrostlo o 0,46 p. b. na 4,89 %. V závislosti na fixaci se přitom sazba pohybovala od 4,19 % pro fixace mezi 5 a 10 lety přes 5,13 % u nejoblíbenější fixace mezi 1 a 5 lety až po 6,25 % u krátkodobých úvěrů s fixací do 1 roku. Zvyšující se úrokové sazby i všeobecná nejistota ohledně dalšího ekonomického vývoje se podepsaly i na růstu objemu poskytnutých úvěrů. Objem úvěrů na spotřebu byl ke konci </w:t>
            </w:r>
            <w:r>
              <w:rPr>
                <w:lang w:eastAsia="en-US"/>
              </w:rPr>
              <w:lastRenderedPageBreak/>
              <w:t>září meziročně vyšší o 6,1 %. Přírůstek tak zpomalil. Jeho výše je srovnatelná s konjunkturním obdobím 2018–2019 s tím rozdílem, že aktuálně výrazně zaostává za prudkým růstem cenové hladiny. Objem úvěrů poskytnutých na bydlení byl ke konci září meziročně vyšší o 6,8 %. Z toho samotné hypoteční úvěry vzrostly o 7,0 %, což bylo nejméně od března 2015. Nové hypoteční úvěry</w:t>
            </w:r>
            <w:r>
              <w:rPr>
                <w:rStyle w:val="Znakapoznpodarou"/>
                <w:lang w:eastAsia="en-US"/>
              </w:rPr>
              <w:footnoteReference w:id="4"/>
            </w:r>
            <w:r>
              <w:rPr>
                <w:lang w:eastAsia="en-US"/>
              </w:rPr>
              <w:t xml:space="preserve"> ke konci 3. čtvrtletí dosahovaly přibližně třetiny úrovně ze září 2021. Zatímco nové úvěry se propadly na 18 % loňské úrovně a refinancované úvěry na 14,9 %, ostatní nová ujednání dosahovala dvou třetin loňského objemu. To ukazuje na pokračující aktualizace smluv uzavřených během hypotečního boomu v posledních letech, tentokrát ale s výrazně vyššími sazbami.  </w:t>
            </w:r>
          </w:p>
        </w:tc>
      </w:tr>
      <w:tr w:rsidR="00E41131" w14:paraId="58ED442A" w14:textId="77777777" w:rsidTr="002036E6">
        <w:trPr>
          <w:trHeight w:val="145"/>
        </w:trPr>
        <w:tc>
          <w:tcPr>
            <w:tcW w:w="1802" w:type="dxa"/>
          </w:tcPr>
          <w:p w14:paraId="0C166EEA" w14:textId="77777777" w:rsidR="00E41131" w:rsidRDefault="00E41131" w:rsidP="002036E6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Klesl objem korunových úvěrů a pohledávek týkajících se nefinančních podniků. </w:t>
            </w:r>
          </w:p>
        </w:tc>
        <w:tc>
          <w:tcPr>
            <w:tcW w:w="229" w:type="dxa"/>
          </w:tcPr>
          <w:p w14:paraId="53A9CF17" w14:textId="77777777" w:rsidR="00E41131" w:rsidRDefault="00E41131" w:rsidP="002036E6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</w:tcPr>
          <w:p w14:paraId="347A7528" w14:textId="77777777" w:rsidR="00E41131" w:rsidRDefault="00E41131" w:rsidP="002036E6">
            <w:pPr>
              <w:rPr>
                <w:lang w:eastAsia="en-US"/>
              </w:rPr>
            </w:pPr>
            <w:r>
              <w:rPr>
                <w:lang w:eastAsia="en-US"/>
              </w:rPr>
              <w:t>Úvěry pro nefinanční podniky do 7,5 milionu korun byly ke konci září průměrně úročeny 8,2 %. To je mezičtvrtletně více o 1,2 p. b. a meziročně o 4,43 p. b. Úvěry mezi 7,5 a 30 miliony byly v září úročeny 7,21 % (+0,65 p. b. mezičtvrtletně a +4,27 p. b. meziročně). Největší úvěry nad 30 milionů měly průměrnou úrokovou sazbu ve výši 8,53 % (+0,38 p. b. mezičtvrtletně a +6,79 p. b. meziročně). Celkový objem úvěrů a pohledávek týkajících se nefinančních podniků byl ke konci září meziročně vyšší o 7,9 %. Zatímco úvěry v korunách se ale propadly o 10,8 %, ty denominované v cizích měnách se zvýšily o 45,5 %</w:t>
            </w:r>
            <w:r>
              <w:rPr>
                <w:rStyle w:val="Znakapoznpodarou"/>
                <w:lang w:eastAsia="en-US"/>
              </w:rPr>
              <w:footnoteReference w:id="5"/>
            </w:r>
            <w:r>
              <w:rPr>
                <w:lang w:eastAsia="en-US"/>
              </w:rPr>
              <w:t xml:space="preserve">. Půjčky v cizí měně tvořily ke konci září 44,8 % úvěrů a pohledávek. Z hlediska jednotlivých odvětví nejvíce meziročně narůstal objem úvěrů poskytnutých v peněžnictví a pojišťovnictví (19,8 %), ve velkoobchodě, maloobchodě a opravách a údržbě motorových vozidel (19,0 %) a ve veřejné správě a obraně, povinném sociálním zabezpečení, vzdělávání, zdravotní a sociální péči (10,7 %). </w:t>
            </w:r>
          </w:p>
        </w:tc>
      </w:tr>
      <w:tr w:rsidR="00E41131" w14:paraId="28A168D5" w14:textId="77777777" w:rsidTr="002036E6">
        <w:trPr>
          <w:trHeight w:val="304"/>
        </w:trPr>
        <w:tc>
          <w:tcPr>
            <w:tcW w:w="1802" w:type="dxa"/>
            <w:vMerge w:val="restart"/>
          </w:tcPr>
          <w:p w14:paraId="215CE7C9" w14:textId="77777777" w:rsidR="00E41131" w:rsidRDefault="00E41131" w:rsidP="002036E6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0434CC69" w14:textId="77777777" w:rsidR="00E41131" w:rsidRDefault="00E41131" w:rsidP="002036E6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78928912" w14:textId="77777777" w:rsidR="00E41131" w:rsidRPr="00D721B4" w:rsidRDefault="00E41131" w:rsidP="002036E6">
            <w:pPr>
              <w:spacing w:after="0"/>
              <w:rPr>
                <w:szCs w:val="2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>Graf č. 16</w:t>
            </w:r>
            <w:r w:rsidRPr="00D721B4"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  <w:r w:rsidRPr="00D721B4">
              <w:rPr>
                <w:b/>
                <w:spacing w:val="-4"/>
                <w:szCs w:val="20"/>
                <w:lang w:eastAsia="en-US"/>
              </w:rPr>
              <w:t xml:space="preserve">Tržní úrokové sazby </w:t>
            </w:r>
            <w:r w:rsidRPr="00D721B4">
              <w:rPr>
                <w:bCs/>
                <w:spacing w:val="-4"/>
                <w:szCs w:val="20"/>
                <w:lang w:eastAsia="en-US"/>
              </w:rPr>
              <w:t>(v</w:t>
            </w:r>
            <w:r>
              <w:rPr>
                <w:bCs/>
                <w:spacing w:val="-4"/>
                <w:szCs w:val="20"/>
                <w:lang w:eastAsia="en-US"/>
              </w:rPr>
              <w:t> %</w:t>
            </w:r>
            <w:r w:rsidRPr="00D721B4">
              <w:rPr>
                <w:bCs/>
                <w:spacing w:val="-4"/>
                <w:szCs w:val="20"/>
                <w:lang w:eastAsia="en-US"/>
              </w:rPr>
              <w:t>)</w:t>
            </w:r>
          </w:p>
        </w:tc>
      </w:tr>
      <w:tr w:rsidR="00E41131" w14:paraId="430D1863" w14:textId="77777777" w:rsidTr="002036E6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2" w:type="dxa"/>
            <w:vMerge/>
            <w:vAlign w:val="center"/>
            <w:hideMark/>
          </w:tcPr>
          <w:p w14:paraId="533F7F6E" w14:textId="77777777" w:rsidR="00E41131" w:rsidRDefault="00E41131" w:rsidP="002036E6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229" w:type="dxa"/>
            <w:vMerge/>
            <w:vAlign w:val="center"/>
            <w:hideMark/>
          </w:tcPr>
          <w:p w14:paraId="460886D0" w14:textId="77777777" w:rsidR="00E41131" w:rsidRDefault="00E41131" w:rsidP="002036E6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5028A9F6" w14:textId="77777777" w:rsidR="00E41131" w:rsidRDefault="00E41131" w:rsidP="002036E6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A847A2" wp14:editId="5AD0D5BC">
                  <wp:extent cx="4737600" cy="3553200"/>
                  <wp:effectExtent l="0" t="0" r="6350" b="0"/>
                  <wp:docPr id="34" name="Graf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E41131" w14:paraId="6B76C125" w14:textId="77777777" w:rsidTr="002036E6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686D5585" w14:textId="77777777" w:rsidR="00E41131" w:rsidRDefault="00E41131" w:rsidP="002036E6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76BB10" w14:textId="77777777" w:rsidR="00E41131" w:rsidRDefault="00E41131" w:rsidP="002036E6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76F3364B" w14:textId="77777777" w:rsidR="00E41131" w:rsidRDefault="00E41131" w:rsidP="002036E6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ČNB</w:t>
            </w:r>
          </w:p>
        </w:tc>
      </w:tr>
    </w:tbl>
    <w:p w14:paraId="5BAB8EA3" w14:textId="6926CA10" w:rsidR="000663F0" w:rsidRPr="00E42054" w:rsidRDefault="000663F0" w:rsidP="0003603F">
      <w:pPr>
        <w:pStyle w:val="Nadpis11"/>
        <w:rPr>
          <w:b w:val="0"/>
          <w:sz w:val="2"/>
          <w:szCs w:val="2"/>
        </w:rPr>
      </w:pPr>
    </w:p>
    <w:sectPr w:rsidR="000663F0" w:rsidRPr="00E42054" w:rsidSect="0003603F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9558" w14:textId="77777777" w:rsidR="00665501" w:rsidRDefault="00665501" w:rsidP="00E71A58">
      <w:r>
        <w:separator/>
      </w:r>
    </w:p>
  </w:endnote>
  <w:endnote w:type="continuationSeparator" w:id="0">
    <w:p w14:paraId="1D4B7205" w14:textId="77777777" w:rsidR="00665501" w:rsidRDefault="0066550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6C8" w14:textId="1E100CD2" w:rsidR="00275E43" w:rsidRPr="00932443" w:rsidRDefault="00275E4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42902">
      <w:rPr>
        <w:szCs w:val="16"/>
      </w:rPr>
      <w:t>20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FAF" w14:textId="720FC4B9" w:rsidR="00275E43" w:rsidRPr="00932443" w:rsidRDefault="00275E4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42902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C823" w14:textId="77777777" w:rsidR="00665501" w:rsidRDefault="00665501" w:rsidP="00A21B4D">
      <w:pPr>
        <w:spacing w:after="0"/>
      </w:pPr>
      <w:r>
        <w:separator/>
      </w:r>
    </w:p>
  </w:footnote>
  <w:footnote w:type="continuationSeparator" w:id="0">
    <w:p w14:paraId="01B4EBFF" w14:textId="77777777" w:rsidR="00665501" w:rsidRDefault="00665501" w:rsidP="00E71A58">
      <w:r>
        <w:continuationSeparator/>
      </w:r>
    </w:p>
  </w:footnote>
  <w:footnote w:id="1">
    <w:p w14:paraId="18A47CDE" w14:textId="77777777" w:rsidR="00275E43" w:rsidRDefault="00275E43" w:rsidP="00E41131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Není-li uvedeno jinak, je zdrojem údajů v této kapitole databáze ARAD České národní banky. Hodnoty směnných kurzů jsou rovněž převzaty od ČNB.</w:t>
      </w:r>
    </w:p>
  </w:footnote>
  <w:footnote w:id="2">
    <w:p w14:paraId="795715E1" w14:textId="77777777" w:rsidR="00275E43" w:rsidRPr="001F5F82" w:rsidRDefault="00275E43" w:rsidP="00E41131">
      <w:pPr>
        <w:pStyle w:val="Textpoznpodarou"/>
        <w:rPr>
          <w:sz w:val="16"/>
          <w:szCs w:val="16"/>
        </w:rPr>
      </w:pPr>
      <w:r w:rsidRPr="001F5F82">
        <w:rPr>
          <w:rStyle w:val="Znakapoznpodarou"/>
          <w:sz w:val="16"/>
          <w:szCs w:val="16"/>
        </w:rPr>
        <w:footnoteRef/>
      </w:r>
      <w:r w:rsidRPr="001F5F82">
        <w:rPr>
          <w:sz w:val="16"/>
          <w:szCs w:val="16"/>
        </w:rPr>
        <w:t xml:space="preserve"> Není-li uvedeno jinak, je změnou úrokových sazeb myšlen rozdíl mezi hodnotou ke dni 3</w:t>
      </w:r>
      <w:r>
        <w:rPr>
          <w:sz w:val="16"/>
          <w:szCs w:val="16"/>
        </w:rPr>
        <w:t>0. 9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2022</w:t>
      </w:r>
      <w:r w:rsidRPr="001F5F82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1F5F82">
        <w:rPr>
          <w:sz w:val="16"/>
          <w:szCs w:val="16"/>
        </w:rPr>
        <w:t>3</w:t>
      </w:r>
      <w:r>
        <w:rPr>
          <w:sz w:val="16"/>
          <w:szCs w:val="16"/>
        </w:rPr>
        <w:t>0. 6</w:t>
      </w:r>
      <w:r w:rsidRPr="001F5F82">
        <w:rPr>
          <w:sz w:val="16"/>
          <w:szCs w:val="16"/>
        </w:rPr>
        <w:t>.</w:t>
      </w:r>
      <w:r>
        <w:rPr>
          <w:sz w:val="16"/>
          <w:szCs w:val="16"/>
        </w:rPr>
        <w:t xml:space="preserve"> 2022.</w:t>
      </w:r>
    </w:p>
  </w:footnote>
  <w:footnote w:id="3">
    <w:p w14:paraId="1CEF52A6" w14:textId="77777777" w:rsidR="00275E43" w:rsidRPr="00651A71" w:rsidRDefault="00275E43" w:rsidP="00E41131">
      <w:pPr>
        <w:pStyle w:val="Textpoznpodarou"/>
        <w:rPr>
          <w:sz w:val="16"/>
          <w:szCs w:val="16"/>
        </w:rPr>
      </w:pPr>
      <w:r w:rsidRPr="00651A71">
        <w:rPr>
          <w:rStyle w:val="Znakapoznpodarou"/>
          <w:sz w:val="16"/>
          <w:szCs w:val="16"/>
        </w:rPr>
        <w:footnoteRef/>
      </w:r>
      <w:r w:rsidRPr="00651A71">
        <w:rPr>
          <w:sz w:val="16"/>
          <w:szCs w:val="16"/>
        </w:rPr>
        <w:t xml:space="preserve"> O</w:t>
      </w:r>
      <w:r w:rsidRPr="00651A71">
        <w:rPr>
          <w:spacing w:val="-3"/>
          <w:sz w:val="16"/>
          <w:szCs w:val="16"/>
          <w:lang w:eastAsia="en-US"/>
        </w:rPr>
        <w:t>byvatelstvo</w:t>
      </w:r>
      <w:r>
        <w:rPr>
          <w:spacing w:val="-3"/>
          <w:sz w:val="16"/>
          <w:szCs w:val="16"/>
          <w:lang w:eastAsia="en-US"/>
        </w:rPr>
        <w:t xml:space="preserve"> včetně </w:t>
      </w:r>
      <w:r w:rsidRPr="00651A71">
        <w:rPr>
          <w:spacing w:val="-3"/>
          <w:sz w:val="16"/>
          <w:szCs w:val="16"/>
          <w:lang w:eastAsia="en-US"/>
        </w:rPr>
        <w:t>živnostníků.</w:t>
      </w:r>
    </w:p>
  </w:footnote>
  <w:footnote w:id="4">
    <w:p w14:paraId="2442722A" w14:textId="77777777" w:rsidR="00275E43" w:rsidRPr="00284DA5" w:rsidRDefault="00275E43" w:rsidP="00E41131">
      <w:pPr>
        <w:pStyle w:val="Textpoznpodarou"/>
        <w:rPr>
          <w:sz w:val="16"/>
          <w:szCs w:val="16"/>
        </w:rPr>
      </w:pPr>
      <w:r w:rsidRPr="00284DA5">
        <w:rPr>
          <w:rStyle w:val="Znakapoznpodarou"/>
          <w:sz w:val="16"/>
          <w:szCs w:val="16"/>
        </w:rPr>
        <w:footnoteRef/>
      </w:r>
      <w:r w:rsidRPr="00284DA5">
        <w:rPr>
          <w:sz w:val="16"/>
          <w:szCs w:val="16"/>
        </w:rPr>
        <w:t xml:space="preserve"> V nových smlouvách jsou zahrnuty i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refinancované úvěry a</w:t>
      </w:r>
      <w:r>
        <w:rPr>
          <w:sz w:val="16"/>
          <w:szCs w:val="16"/>
        </w:rPr>
        <w:t> </w:t>
      </w:r>
      <w:r w:rsidRPr="00284DA5">
        <w:rPr>
          <w:sz w:val="16"/>
          <w:szCs w:val="16"/>
        </w:rPr>
        <w:t>ostatní ujednání (v</w:t>
      </w:r>
      <w:r>
        <w:rPr>
          <w:sz w:val="16"/>
          <w:szCs w:val="16"/>
        </w:rPr>
        <w:t xml:space="preserve"> roce 2020 to byly odklady splátek, v loňském roce impuls k růstu dodávala možnost předčasného refinancování bez sankce</w:t>
      </w:r>
      <w:r w:rsidRPr="00284DA5">
        <w:rPr>
          <w:sz w:val="16"/>
          <w:szCs w:val="16"/>
        </w:rPr>
        <w:t>).</w:t>
      </w:r>
      <w:r>
        <w:rPr>
          <w:sz w:val="16"/>
          <w:szCs w:val="16"/>
        </w:rPr>
        <w:t xml:space="preserve"> Refinancované úvěry zahrnují stávající smlouvy sjednané nově u jiné banky, zatímco ostatní nová ujednání jsou stávající smlouvy sjednané s novými podmínkami u stejné banky.</w:t>
      </w:r>
    </w:p>
  </w:footnote>
  <w:footnote w:id="5">
    <w:p w14:paraId="24227027" w14:textId="77777777" w:rsidR="00275E43" w:rsidRPr="00724B7B" w:rsidRDefault="00275E43" w:rsidP="00E41131">
      <w:pPr>
        <w:pStyle w:val="Textpoznpodarou"/>
        <w:rPr>
          <w:sz w:val="16"/>
          <w:szCs w:val="16"/>
        </w:rPr>
      </w:pPr>
      <w:r w:rsidRPr="00724B7B">
        <w:rPr>
          <w:rStyle w:val="Znakapoznpodarou"/>
          <w:sz w:val="16"/>
          <w:szCs w:val="16"/>
        </w:rPr>
        <w:footnoteRef/>
      </w:r>
      <w:r w:rsidRPr="00724B7B">
        <w:rPr>
          <w:sz w:val="16"/>
          <w:szCs w:val="16"/>
        </w:rPr>
        <w:t xml:space="preserve"> Úvěry v cizí měně začaly prudce</w:t>
      </w:r>
      <w:r>
        <w:rPr>
          <w:sz w:val="16"/>
          <w:szCs w:val="16"/>
        </w:rPr>
        <w:t xml:space="preserve"> růst</w:t>
      </w:r>
      <w:r w:rsidRPr="00724B7B">
        <w:rPr>
          <w:sz w:val="16"/>
          <w:szCs w:val="16"/>
        </w:rPr>
        <w:t xml:space="preserve"> po začátku opětovného zvyšování </w:t>
      </w:r>
      <w:proofErr w:type="spellStart"/>
      <w:r w:rsidRPr="00724B7B">
        <w:rPr>
          <w:sz w:val="16"/>
          <w:szCs w:val="16"/>
        </w:rPr>
        <w:t>měnověpolitických</w:t>
      </w:r>
      <w:proofErr w:type="spellEnd"/>
      <w:r w:rsidRPr="00724B7B">
        <w:rPr>
          <w:sz w:val="16"/>
          <w:szCs w:val="16"/>
        </w:rPr>
        <w:t xml:space="preserve"> sazeb v červnu 2021. Do konce září 2022 narostl jejich objem o 209,9 mld. korun (57,9 %).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A67" w14:textId="77777777" w:rsidR="00275E43" w:rsidRDefault="00275E43" w:rsidP="00937AE2">
    <w:pPr>
      <w:pStyle w:val="Zhlav"/>
    </w:pPr>
    <w:r>
      <w:t>Vývoj ekonomiky České republiky</w:t>
    </w:r>
  </w:p>
  <w:p w14:paraId="3E881AB3" w14:textId="77777777" w:rsidR="00275E43" w:rsidRPr="006F5416" w:rsidRDefault="00275E4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3DB" w14:textId="77777777" w:rsidR="00275E43" w:rsidRDefault="00275E43" w:rsidP="00937AE2">
    <w:pPr>
      <w:pStyle w:val="Zhlav"/>
    </w:pPr>
    <w:r>
      <w:t>Vývoj ekonomiky České republiky</w:t>
    </w:r>
  </w:p>
  <w:p w14:paraId="57266714" w14:textId="77777777" w:rsidR="00275E43" w:rsidRPr="006F5416" w:rsidRDefault="00275E4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337598">
    <w:abstractNumId w:val="24"/>
  </w:num>
  <w:num w:numId="2" w16cid:durableId="352264853">
    <w:abstractNumId w:val="8"/>
  </w:num>
  <w:num w:numId="3" w16cid:durableId="1115095472">
    <w:abstractNumId w:val="3"/>
  </w:num>
  <w:num w:numId="4" w16cid:durableId="1962372938">
    <w:abstractNumId w:val="2"/>
  </w:num>
  <w:num w:numId="5" w16cid:durableId="1958753753">
    <w:abstractNumId w:val="1"/>
  </w:num>
  <w:num w:numId="6" w16cid:durableId="125127467">
    <w:abstractNumId w:val="0"/>
  </w:num>
  <w:num w:numId="7" w16cid:durableId="113912191">
    <w:abstractNumId w:val="9"/>
  </w:num>
  <w:num w:numId="8" w16cid:durableId="625045448">
    <w:abstractNumId w:val="7"/>
  </w:num>
  <w:num w:numId="9" w16cid:durableId="1352488717">
    <w:abstractNumId w:val="6"/>
  </w:num>
  <w:num w:numId="10" w16cid:durableId="987368208">
    <w:abstractNumId w:val="5"/>
  </w:num>
  <w:num w:numId="11" w16cid:durableId="1039932949">
    <w:abstractNumId w:val="4"/>
  </w:num>
  <w:num w:numId="12" w16cid:durableId="1043288693">
    <w:abstractNumId w:val="14"/>
  </w:num>
  <w:num w:numId="13" w16cid:durableId="72968187">
    <w:abstractNumId w:val="26"/>
  </w:num>
  <w:num w:numId="14" w16cid:durableId="1649672820">
    <w:abstractNumId w:val="13"/>
  </w:num>
  <w:num w:numId="15" w16cid:durableId="1176924891">
    <w:abstractNumId w:val="19"/>
  </w:num>
  <w:num w:numId="16" w16cid:durableId="752629986">
    <w:abstractNumId w:val="15"/>
  </w:num>
  <w:num w:numId="17" w16cid:durableId="22023024">
    <w:abstractNumId w:val="27"/>
  </w:num>
  <w:num w:numId="18" w16cid:durableId="1387415516">
    <w:abstractNumId w:val="20"/>
  </w:num>
  <w:num w:numId="19" w16cid:durableId="676268872">
    <w:abstractNumId w:val="28"/>
  </w:num>
  <w:num w:numId="20" w16cid:durableId="429356725">
    <w:abstractNumId w:val="29"/>
  </w:num>
  <w:num w:numId="21" w16cid:durableId="909655302">
    <w:abstractNumId w:val="25"/>
  </w:num>
  <w:num w:numId="22" w16cid:durableId="1461801755">
    <w:abstractNumId w:val="18"/>
  </w:num>
  <w:num w:numId="23" w16cid:durableId="103696176">
    <w:abstractNumId w:val="16"/>
  </w:num>
  <w:num w:numId="24" w16cid:durableId="1816952523">
    <w:abstractNumId w:val="17"/>
  </w:num>
  <w:num w:numId="25" w16cid:durableId="1339426053">
    <w:abstractNumId w:val="12"/>
  </w:num>
  <w:num w:numId="26" w16cid:durableId="230043571">
    <w:abstractNumId w:val="22"/>
  </w:num>
  <w:num w:numId="27" w16cid:durableId="1841390614">
    <w:abstractNumId w:val="21"/>
  </w:num>
  <w:num w:numId="28" w16cid:durableId="347297665">
    <w:abstractNumId w:val="10"/>
  </w:num>
  <w:num w:numId="29" w16cid:durableId="1643383695">
    <w:abstractNumId w:val="29"/>
  </w:num>
  <w:num w:numId="30" w16cid:durableId="1728843360">
    <w:abstractNumId w:val="23"/>
  </w:num>
  <w:num w:numId="31" w16cid:durableId="1247303207">
    <w:abstractNumId w:val="11"/>
  </w:num>
  <w:num w:numId="32" w16cid:durableId="1867449779">
    <w:abstractNumId w:val="30"/>
  </w:num>
  <w:num w:numId="33" w16cid:durableId="4588386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03F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6077F"/>
    <w:rsid w:val="00360A35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8A9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730A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26E-2"/>
          <c:y val="2.1711264016309895E-2"/>
          <c:w val="0.93508633063154345"/>
          <c:h val="0.731303613644050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1'!$A$66:$B$134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1'!$C$66:$C$134</c:f>
              <c:numCache>
                <c:formatCode>General</c:formatCode>
                <c:ptCount val="69"/>
                <c:pt idx="0">
                  <c:v>5.0000000000000017E-2</c:v>
                </c:pt>
                <c:pt idx="1">
                  <c:v>5.0000000000000017E-2</c:v>
                </c:pt>
                <c:pt idx="2">
                  <c:v>5.0000000000000017E-2</c:v>
                </c:pt>
                <c:pt idx="3">
                  <c:v>5.0000000000000017E-2</c:v>
                </c:pt>
                <c:pt idx="4">
                  <c:v>5.0000000000000017E-2</c:v>
                </c:pt>
                <c:pt idx="5">
                  <c:v>5.0000000000000017E-2</c:v>
                </c:pt>
                <c:pt idx="6">
                  <c:v>5.0000000000000017E-2</c:v>
                </c:pt>
                <c:pt idx="7">
                  <c:v>0.25</c:v>
                </c:pt>
                <c:pt idx="8">
                  <c:v>0.25</c:v>
                </c:pt>
                <c:pt idx="9">
                  <c:v>0.25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0.75000000000000022</c:v>
                </c:pt>
                <c:pt idx="14">
                  <c:v>0.75000000000000022</c:v>
                </c:pt>
                <c:pt idx="15">
                  <c:v>0.75000000000000022</c:v>
                </c:pt>
                <c:pt idx="16">
                  <c:v>0.75000000000000022</c:v>
                </c:pt>
                <c:pt idx="17">
                  <c:v>1</c:v>
                </c:pt>
                <c:pt idx="18">
                  <c:v>1</c:v>
                </c:pt>
                <c:pt idx="19">
                  <c:v>1.25</c:v>
                </c:pt>
                <c:pt idx="20">
                  <c:v>1.5</c:v>
                </c:pt>
                <c:pt idx="21">
                  <c:v>1.5</c:v>
                </c:pt>
                <c:pt idx="22">
                  <c:v>1.7500000000000002</c:v>
                </c:pt>
                <c:pt idx="23">
                  <c:v>1.7500000000000002</c:v>
                </c:pt>
                <c:pt idx="24">
                  <c:v>1.7500000000000002</c:v>
                </c:pt>
                <c:pt idx="25">
                  <c:v>1.7500000000000002</c:v>
                </c:pt>
                <c:pt idx="26">
                  <c:v>1.7500000000000002</c:v>
                </c:pt>
                <c:pt idx="27">
                  <c:v>1.7500000000000002</c:v>
                </c:pt>
                <c:pt idx="28">
                  <c:v>2</c:v>
                </c:pt>
                <c:pt idx="29">
                  <c:v>2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2.25</c:v>
                </c:pt>
                <c:pt idx="38">
                  <c:v>1</c:v>
                </c:pt>
                <c:pt idx="39">
                  <c:v>1</c:v>
                </c:pt>
                <c:pt idx="40">
                  <c:v>0.25</c:v>
                </c:pt>
                <c:pt idx="41">
                  <c:v>0.25</c:v>
                </c:pt>
                <c:pt idx="42">
                  <c:v>0.25</c:v>
                </c:pt>
                <c:pt idx="43">
                  <c:v>0.25</c:v>
                </c:pt>
                <c:pt idx="44">
                  <c:v>0.25</c:v>
                </c:pt>
                <c:pt idx="45">
                  <c:v>0.25</c:v>
                </c:pt>
                <c:pt idx="46">
                  <c:v>0.25</c:v>
                </c:pt>
                <c:pt idx="47">
                  <c:v>0.25</c:v>
                </c:pt>
                <c:pt idx="48">
                  <c:v>0.25</c:v>
                </c:pt>
                <c:pt idx="49">
                  <c:v>0.25</c:v>
                </c:pt>
                <c:pt idx="50">
                  <c:v>0.25</c:v>
                </c:pt>
                <c:pt idx="51">
                  <c:v>0.25</c:v>
                </c:pt>
                <c:pt idx="52">
                  <c:v>0.25</c:v>
                </c:pt>
                <c:pt idx="53">
                  <c:v>0.5</c:v>
                </c:pt>
                <c:pt idx="54">
                  <c:v>0.5</c:v>
                </c:pt>
                <c:pt idx="55">
                  <c:v>0.75000000000000022</c:v>
                </c:pt>
                <c:pt idx="56">
                  <c:v>0.75000000000000022</c:v>
                </c:pt>
                <c:pt idx="57">
                  <c:v>1.5</c:v>
                </c:pt>
                <c:pt idx="58">
                  <c:v>2.75</c:v>
                </c:pt>
                <c:pt idx="59">
                  <c:v>3.75</c:v>
                </c:pt>
                <c:pt idx="60">
                  <c:v>3.75</c:v>
                </c:pt>
                <c:pt idx="61">
                  <c:v>4.5</c:v>
                </c:pt>
                <c:pt idx="62">
                  <c:v>4.5</c:v>
                </c:pt>
                <c:pt idx="63">
                  <c:v>5</c:v>
                </c:pt>
                <c:pt idx="64">
                  <c:v>5.75</c:v>
                </c:pt>
                <c:pt idx="65">
                  <c:v>7</c:v>
                </c:pt>
                <c:pt idx="66">
                  <c:v>7</c:v>
                </c:pt>
                <c:pt idx="67">
                  <c:v>7</c:v>
                </c:pt>
                <c:pt idx="6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D0-4531-8880-99F8CDA8B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80279424"/>
        <c:axId val="88504576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1'!$A$66:$B$134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1'!$F$66:$F$134</c:f>
              <c:numCache>
                <c:formatCode>General</c:formatCode>
                <c:ptCount val="69"/>
                <c:pt idx="0">
                  <c:v>-0.88000000000000012</c:v>
                </c:pt>
                <c:pt idx="1">
                  <c:v>-0.53</c:v>
                </c:pt>
                <c:pt idx="2">
                  <c:v>-0.44000000000000006</c:v>
                </c:pt>
                <c:pt idx="3">
                  <c:v>-0.23</c:v>
                </c:pt>
                <c:pt idx="4">
                  <c:v>-0.24000000000000005</c:v>
                </c:pt>
                <c:pt idx="5">
                  <c:v>-0.25</c:v>
                </c:pt>
                <c:pt idx="6">
                  <c:v>-0.29000000000000009</c:v>
                </c:pt>
                <c:pt idx="7">
                  <c:v>-0.33000000000000013</c:v>
                </c:pt>
                <c:pt idx="8">
                  <c:v>-0.29000000000000009</c:v>
                </c:pt>
                <c:pt idx="9">
                  <c:v>0.12000000000000002</c:v>
                </c:pt>
                <c:pt idx="10">
                  <c:v>0.31000000000000011</c:v>
                </c:pt>
                <c:pt idx="11">
                  <c:v>0.19000000000000003</c:v>
                </c:pt>
                <c:pt idx="12">
                  <c:v>0.46</c:v>
                </c:pt>
                <c:pt idx="13">
                  <c:v>0.55000000000000004</c:v>
                </c:pt>
                <c:pt idx="14">
                  <c:v>0.62000000000000022</c:v>
                </c:pt>
                <c:pt idx="15">
                  <c:v>0.6000000000000002</c:v>
                </c:pt>
                <c:pt idx="16">
                  <c:v>0.70000000000000018</c:v>
                </c:pt>
                <c:pt idx="17">
                  <c:v>0.89000000000000012</c:v>
                </c:pt>
                <c:pt idx="18">
                  <c:v>1.0900000000000001</c:v>
                </c:pt>
                <c:pt idx="19">
                  <c:v>1.26</c:v>
                </c:pt>
                <c:pt idx="20">
                  <c:v>1.34</c:v>
                </c:pt>
                <c:pt idx="21">
                  <c:v>1.44</c:v>
                </c:pt>
                <c:pt idx="22">
                  <c:v>1.49</c:v>
                </c:pt>
                <c:pt idx="23">
                  <c:v>1.52</c:v>
                </c:pt>
                <c:pt idx="24">
                  <c:v>1.6600000000000001</c:v>
                </c:pt>
                <c:pt idx="25">
                  <c:v>1.7400000000000002</c:v>
                </c:pt>
                <c:pt idx="26">
                  <c:v>1.7100000000000002</c:v>
                </c:pt>
                <c:pt idx="27">
                  <c:v>1.6300000000000001</c:v>
                </c:pt>
                <c:pt idx="28">
                  <c:v>1.62</c:v>
                </c:pt>
                <c:pt idx="29">
                  <c:v>1.52</c:v>
                </c:pt>
                <c:pt idx="30">
                  <c:v>1.35</c:v>
                </c:pt>
                <c:pt idx="31">
                  <c:v>0.8500000000000002</c:v>
                </c:pt>
                <c:pt idx="32">
                  <c:v>1.07</c:v>
                </c:pt>
                <c:pt idx="33">
                  <c:v>1.1700000000000004</c:v>
                </c:pt>
                <c:pt idx="34">
                  <c:v>1.33</c:v>
                </c:pt>
                <c:pt idx="35">
                  <c:v>1.36</c:v>
                </c:pt>
                <c:pt idx="36">
                  <c:v>1.55</c:v>
                </c:pt>
                <c:pt idx="37">
                  <c:v>1.57</c:v>
                </c:pt>
                <c:pt idx="38">
                  <c:v>1.27</c:v>
                </c:pt>
                <c:pt idx="39">
                  <c:v>0.71000000000000019</c:v>
                </c:pt>
                <c:pt idx="40">
                  <c:v>0.13</c:v>
                </c:pt>
                <c:pt idx="41">
                  <c:v>8.0000000000000029E-2</c:v>
                </c:pt>
                <c:pt idx="42">
                  <c:v>2.0000000000000007E-2</c:v>
                </c:pt>
                <c:pt idx="43">
                  <c:v>4.0000000000000015E-2</c:v>
                </c:pt>
                <c:pt idx="44">
                  <c:v>5.0000000000000017E-2</c:v>
                </c:pt>
                <c:pt idx="45">
                  <c:v>0</c:v>
                </c:pt>
                <c:pt idx="46">
                  <c:v>6.0000000000000019E-2</c:v>
                </c:pt>
                <c:pt idx="47">
                  <c:v>0.16000000000000003</c:v>
                </c:pt>
                <c:pt idx="48">
                  <c:v>0.26</c:v>
                </c:pt>
                <c:pt idx="49">
                  <c:v>0.45</c:v>
                </c:pt>
                <c:pt idx="50">
                  <c:v>0.75000000000000022</c:v>
                </c:pt>
                <c:pt idx="51">
                  <c:v>0.76000000000000023</c:v>
                </c:pt>
                <c:pt idx="52">
                  <c:v>0.76000000000000023</c:v>
                </c:pt>
                <c:pt idx="53">
                  <c:v>0.69000000000000028</c:v>
                </c:pt>
                <c:pt idx="54">
                  <c:v>0.84000000000000019</c:v>
                </c:pt>
                <c:pt idx="55">
                  <c:v>1.24</c:v>
                </c:pt>
                <c:pt idx="56">
                  <c:v>1.6</c:v>
                </c:pt>
                <c:pt idx="57">
                  <c:v>2.29</c:v>
                </c:pt>
                <c:pt idx="58">
                  <c:v>3</c:v>
                </c:pt>
                <c:pt idx="59">
                  <c:v>3.07</c:v>
                </c:pt>
                <c:pt idx="60">
                  <c:v>3.8099999999999992</c:v>
                </c:pt>
                <c:pt idx="61">
                  <c:v>3.77</c:v>
                </c:pt>
                <c:pt idx="62">
                  <c:v>4.54</c:v>
                </c:pt>
                <c:pt idx="63">
                  <c:v>5.13</c:v>
                </c:pt>
                <c:pt idx="64">
                  <c:v>5.6499999999999995</c:v>
                </c:pt>
                <c:pt idx="65">
                  <c:v>6.26</c:v>
                </c:pt>
                <c:pt idx="66">
                  <c:v>6.38</c:v>
                </c:pt>
                <c:pt idx="67">
                  <c:v>5.8599999999999985</c:v>
                </c:pt>
                <c:pt idx="68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D0-4531-8880-99F8CDA8BA5D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1'!$A$66:$B$134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1'!$D$66:$D$134</c:f>
              <c:numCache>
                <c:formatCode>General</c:formatCode>
                <c:ptCount val="69"/>
                <c:pt idx="0">
                  <c:v>0.28000000000000008</c:v>
                </c:pt>
                <c:pt idx="1">
                  <c:v>0.28000000000000008</c:v>
                </c:pt>
                <c:pt idx="2">
                  <c:v>0.28000000000000008</c:v>
                </c:pt>
                <c:pt idx="3">
                  <c:v>0.29000000000000009</c:v>
                </c:pt>
                <c:pt idx="4">
                  <c:v>0.3000000000000001</c:v>
                </c:pt>
                <c:pt idx="5">
                  <c:v>0.3000000000000001</c:v>
                </c:pt>
                <c:pt idx="6">
                  <c:v>0.3000000000000001</c:v>
                </c:pt>
                <c:pt idx="7">
                  <c:v>0.4300000000000001</c:v>
                </c:pt>
                <c:pt idx="8">
                  <c:v>0.46</c:v>
                </c:pt>
                <c:pt idx="9">
                  <c:v>0.51</c:v>
                </c:pt>
                <c:pt idx="10">
                  <c:v>0.71000000000000019</c:v>
                </c:pt>
                <c:pt idx="11">
                  <c:v>0.75000000000000022</c:v>
                </c:pt>
                <c:pt idx="12">
                  <c:v>0.77000000000000013</c:v>
                </c:pt>
                <c:pt idx="13">
                  <c:v>0.9</c:v>
                </c:pt>
                <c:pt idx="14">
                  <c:v>0.9</c:v>
                </c:pt>
                <c:pt idx="15">
                  <c:v>0.9</c:v>
                </c:pt>
                <c:pt idx="16">
                  <c:v>0.9</c:v>
                </c:pt>
                <c:pt idx="17">
                  <c:v>0.93</c:v>
                </c:pt>
                <c:pt idx="18">
                  <c:v>1.1800000000000004</c:v>
                </c:pt>
                <c:pt idx="19">
                  <c:v>1.45</c:v>
                </c:pt>
                <c:pt idx="20">
                  <c:v>1.54</c:v>
                </c:pt>
                <c:pt idx="21">
                  <c:v>1.7600000000000002</c:v>
                </c:pt>
                <c:pt idx="22">
                  <c:v>1.9900000000000002</c:v>
                </c:pt>
                <c:pt idx="23">
                  <c:v>2.0099999999999998</c:v>
                </c:pt>
                <c:pt idx="24">
                  <c:v>2.0099999999999998</c:v>
                </c:pt>
                <c:pt idx="25">
                  <c:v>2.0099999999999998</c:v>
                </c:pt>
                <c:pt idx="26">
                  <c:v>2.0299999999999998</c:v>
                </c:pt>
                <c:pt idx="27">
                  <c:v>2.02</c:v>
                </c:pt>
                <c:pt idx="28">
                  <c:v>2.19</c:v>
                </c:pt>
                <c:pt idx="29">
                  <c:v>2.17</c:v>
                </c:pt>
                <c:pt idx="30">
                  <c:v>2.16</c:v>
                </c:pt>
                <c:pt idx="31">
                  <c:v>2.14</c:v>
                </c:pt>
                <c:pt idx="32">
                  <c:v>2.14</c:v>
                </c:pt>
                <c:pt idx="33">
                  <c:v>2.17</c:v>
                </c:pt>
                <c:pt idx="34">
                  <c:v>2.1800000000000002</c:v>
                </c:pt>
                <c:pt idx="35">
                  <c:v>2.1800000000000002</c:v>
                </c:pt>
                <c:pt idx="36">
                  <c:v>2.17</c:v>
                </c:pt>
                <c:pt idx="37">
                  <c:v>2.34</c:v>
                </c:pt>
                <c:pt idx="38">
                  <c:v>2</c:v>
                </c:pt>
                <c:pt idx="39">
                  <c:v>0.97000000000000008</c:v>
                </c:pt>
                <c:pt idx="40">
                  <c:v>0.46</c:v>
                </c:pt>
                <c:pt idx="41">
                  <c:v>0.34000000000000008</c:v>
                </c:pt>
                <c:pt idx="42">
                  <c:v>0.34000000000000008</c:v>
                </c:pt>
                <c:pt idx="43">
                  <c:v>0.34000000000000008</c:v>
                </c:pt>
                <c:pt idx="44">
                  <c:v>0.34000000000000008</c:v>
                </c:pt>
                <c:pt idx="45">
                  <c:v>0.35000000000000009</c:v>
                </c:pt>
                <c:pt idx="46">
                  <c:v>0.35000000000000009</c:v>
                </c:pt>
                <c:pt idx="47">
                  <c:v>0.35000000000000009</c:v>
                </c:pt>
                <c:pt idx="48">
                  <c:v>0.3600000000000001</c:v>
                </c:pt>
                <c:pt idx="49">
                  <c:v>0.3600000000000001</c:v>
                </c:pt>
                <c:pt idx="50">
                  <c:v>0.3600000000000001</c:v>
                </c:pt>
                <c:pt idx="51">
                  <c:v>0.3600000000000001</c:v>
                </c:pt>
                <c:pt idx="52">
                  <c:v>0.37000000000000011</c:v>
                </c:pt>
                <c:pt idx="53">
                  <c:v>0.48000000000000009</c:v>
                </c:pt>
                <c:pt idx="54">
                  <c:v>0.69000000000000028</c:v>
                </c:pt>
                <c:pt idx="55">
                  <c:v>0.94000000000000017</c:v>
                </c:pt>
                <c:pt idx="56">
                  <c:v>1.1100000000000001</c:v>
                </c:pt>
                <c:pt idx="57">
                  <c:v>2.02</c:v>
                </c:pt>
                <c:pt idx="58">
                  <c:v>2.9699999999999998</c:v>
                </c:pt>
                <c:pt idx="59">
                  <c:v>3.5</c:v>
                </c:pt>
                <c:pt idx="60">
                  <c:v>4.21</c:v>
                </c:pt>
                <c:pt idx="61">
                  <c:v>4.6899999999999995</c:v>
                </c:pt>
                <c:pt idx="62">
                  <c:v>4.8599999999999985</c:v>
                </c:pt>
                <c:pt idx="63">
                  <c:v>5.3599999999999985</c:v>
                </c:pt>
                <c:pt idx="64">
                  <c:v>5.9700000000000015</c:v>
                </c:pt>
                <c:pt idx="65">
                  <c:v>6.64</c:v>
                </c:pt>
                <c:pt idx="66">
                  <c:v>7.3</c:v>
                </c:pt>
                <c:pt idx="67">
                  <c:v>7.2700000000000014</c:v>
                </c:pt>
                <c:pt idx="68">
                  <c:v>7.25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D0-4531-8880-99F8CDA8BA5D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1'!$A$66:$B$134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1'!$G$66:$G$134</c:f>
              <c:numCache>
                <c:formatCode>General</c:formatCode>
                <c:ptCount val="69"/>
                <c:pt idx="0">
                  <c:v>-0.22000000000000003</c:v>
                </c:pt>
                <c:pt idx="1">
                  <c:v>9.0000000000000024E-2</c:v>
                </c:pt>
                <c:pt idx="2">
                  <c:v>0.1</c:v>
                </c:pt>
                <c:pt idx="3">
                  <c:v>0.16000000000000003</c:v>
                </c:pt>
                <c:pt idx="4">
                  <c:v>4.0000000000000015E-2</c:v>
                </c:pt>
                <c:pt idx="5">
                  <c:v>-3.0000000000000009E-2</c:v>
                </c:pt>
                <c:pt idx="6">
                  <c:v>0.14000000000000001</c:v>
                </c:pt>
                <c:pt idx="7">
                  <c:v>9.0000000000000024E-2</c:v>
                </c:pt>
                <c:pt idx="8">
                  <c:v>0.1</c:v>
                </c:pt>
                <c:pt idx="9">
                  <c:v>0.63000000000000023</c:v>
                </c:pt>
                <c:pt idx="10">
                  <c:v>0.87000000000000022</c:v>
                </c:pt>
                <c:pt idx="11">
                  <c:v>0.68000000000000027</c:v>
                </c:pt>
                <c:pt idx="12">
                  <c:v>0.99</c:v>
                </c:pt>
                <c:pt idx="13">
                  <c:v>1.07</c:v>
                </c:pt>
                <c:pt idx="14">
                  <c:v>1.0900000000000001</c:v>
                </c:pt>
                <c:pt idx="15">
                  <c:v>1.05</c:v>
                </c:pt>
                <c:pt idx="16">
                  <c:v>1.21</c:v>
                </c:pt>
                <c:pt idx="17">
                  <c:v>1.41</c:v>
                </c:pt>
                <c:pt idx="18">
                  <c:v>1.44</c:v>
                </c:pt>
                <c:pt idx="19">
                  <c:v>1.55</c:v>
                </c:pt>
                <c:pt idx="20">
                  <c:v>1.7000000000000002</c:v>
                </c:pt>
                <c:pt idx="21">
                  <c:v>1.81</c:v>
                </c:pt>
                <c:pt idx="22">
                  <c:v>1.7900000000000003</c:v>
                </c:pt>
                <c:pt idx="23">
                  <c:v>1.7100000000000002</c:v>
                </c:pt>
                <c:pt idx="24">
                  <c:v>1.6</c:v>
                </c:pt>
                <c:pt idx="25">
                  <c:v>1.61</c:v>
                </c:pt>
                <c:pt idx="26">
                  <c:v>1.7000000000000002</c:v>
                </c:pt>
                <c:pt idx="27">
                  <c:v>1.6300000000000001</c:v>
                </c:pt>
                <c:pt idx="28">
                  <c:v>1.57</c:v>
                </c:pt>
                <c:pt idx="29">
                  <c:v>1.43</c:v>
                </c:pt>
                <c:pt idx="30">
                  <c:v>1.31</c:v>
                </c:pt>
                <c:pt idx="31">
                  <c:v>0.89000000000000012</c:v>
                </c:pt>
                <c:pt idx="32">
                  <c:v>1.1299999999999994</c:v>
                </c:pt>
                <c:pt idx="33">
                  <c:v>1.23</c:v>
                </c:pt>
                <c:pt idx="34">
                  <c:v>1.32</c:v>
                </c:pt>
                <c:pt idx="35">
                  <c:v>1.31</c:v>
                </c:pt>
                <c:pt idx="36">
                  <c:v>1.51</c:v>
                </c:pt>
                <c:pt idx="37">
                  <c:v>1.52</c:v>
                </c:pt>
                <c:pt idx="38">
                  <c:v>1.23</c:v>
                </c:pt>
                <c:pt idx="39">
                  <c:v>1.06</c:v>
                </c:pt>
                <c:pt idx="40">
                  <c:v>0.56999999999999995</c:v>
                </c:pt>
                <c:pt idx="41">
                  <c:v>0.52</c:v>
                </c:pt>
                <c:pt idx="42">
                  <c:v>0.52</c:v>
                </c:pt>
                <c:pt idx="43">
                  <c:v>0.58000000000000007</c:v>
                </c:pt>
                <c:pt idx="44">
                  <c:v>0.58000000000000007</c:v>
                </c:pt>
                <c:pt idx="45">
                  <c:v>0.54</c:v>
                </c:pt>
                <c:pt idx="46">
                  <c:v>0.66000000000000025</c:v>
                </c:pt>
                <c:pt idx="47">
                  <c:v>0.8</c:v>
                </c:pt>
                <c:pt idx="48">
                  <c:v>0.82000000000000017</c:v>
                </c:pt>
                <c:pt idx="49">
                  <c:v>1.06</c:v>
                </c:pt>
                <c:pt idx="50">
                  <c:v>1.4</c:v>
                </c:pt>
                <c:pt idx="51">
                  <c:v>1.43</c:v>
                </c:pt>
                <c:pt idx="52">
                  <c:v>1.47</c:v>
                </c:pt>
                <c:pt idx="53">
                  <c:v>1.55</c:v>
                </c:pt>
                <c:pt idx="54">
                  <c:v>1.6300000000000001</c:v>
                </c:pt>
                <c:pt idx="55">
                  <c:v>1.6800000000000004</c:v>
                </c:pt>
                <c:pt idx="56">
                  <c:v>1.87</c:v>
                </c:pt>
                <c:pt idx="57">
                  <c:v>2.3699999999999997</c:v>
                </c:pt>
                <c:pt idx="58">
                  <c:v>2.84</c:v>
                </c:pt>
                <c:pt idx="59">
                  <c:v>2.84</c:v>
                </c:pt>
                <c:pt idx="60">
                  <c:v>3.36</c:v>
                </c:pt>
                <c:pt idx="61">
                  <c:v>3.2</c:v>
                </c:pt>
                <c:pt idx="62">
                  <c:v>3.8499999999999992</c:v>
                </c:pt>
                <c:pt idx="63">
                  <c:v>4.54</c:v>
                </c:pt>
                <c:pt idx="64">
                  <c:v>4.99</c:v>
                </c:pt>
                <c:pt idx="65">
                  <c:v>5.49</c:v>
                </c:pt>
                <c:pt idx="66">
                  <c:v>5.1199999999999983</c:v>
                </c:pt>
                <c:pt idx="67">
                  <c:v>4.67</c:v>
                </c:pt>
                <c:pt idx="68">
                  <c:v>5.0599999999999996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AD0-4531-8880-99F8CDA8BA5D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1'!$A$66:$B$134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1'!$E$66:$E$134</c:f>
              <c:numCache>
                <c:formatCode>General</c:formatCode>
                <c:ptCount val="69"/>
                <c:pt idx="0">
                  <c:v>0.44000000000000006</c:v>
                </c:pt>
                <c:pt idx="1">
                  <c:v>0.44000000000000006</c:v>
                </c:pt>
                <c:pt idx="2">
                  <c:v>0.44000000000000006</c:v>
                </c:pt>
                <c:pt idx="3">
                  <c:v>0.45</c:v>
                </c:pt>
                <c:pt idx="4">
                  <c:v>0.46</c:v>
                </c:pt>
                <c:pt idx="5">
                  <c:v>0.46</c:v>
                </c:pt>
                <c:pt idx="6">
                  <c:v>0.47000000000000008</c:v>
                </c:pt>
                <c:pt idx="7">
                  <c:v>0.6000000000000002</c:v>
                </c:pt>
                <c:pt idx="8">
                  <c:v>0.64000000000000024</c:v>
                </c:pt>
                <c:pt idx="9">
                  <c:v>0.69000000000000028</c:v>
                </c:pt>
                <c:pt idx="10">
                  <c:v>0.91</c:v>
                </c:pt>
                <c:pt idx="11">
                  <c:v>0.96000000000000019</c:v>
                </c:pt>
                <c:pt idx="12">
                  <c:v>0.98</c:v>
                </c:pt>
                <c:pt idx="13">
                  <c:v>1.1100000000000001</c:v>
                </c:pt>
                <c:pt idx="14">
                  <c:v>1.1200000000000001</c:v>
                </c:pt>
                <c:pt idx="15">
                  <c:v>1.1200000000000001</c:v>
                </c:pt>
                <c:pt idx="16">
                  <c:v>1.1200000000000001</c:v>
                </c:pt>
                <c:pt idx="17">
                  <c:v>1.1499999999999995</c:v>
                </c:pt>
                <c:pt idx="18">
                  <c:v>1.3900000000000001</c:v>
                </c:pt>
                <c:pt idx="19">
                  <c:v>1.6700000000000004</c:v>
                </c:pt>
                <c:pt idx="20">
                  <c:v>1.7900000000000003</c:v>
                </c:pt>
                <c:pt idx="21">
                  <c:v>1.9500000000000002</c:v>
                </c:pt>
                <c:pt idx="22">
                  <c:v>2.1800000000000002</c:v>
                </c:pt>
                <c:pt idx="23">
                  <c:v>2.21</c:v>
                </c:pt>
                <c:pt idx="24">
                  <c:v>2.21</c:v>
                </c:pt>
                <c:pt idx="25">
                  <c:v>2.2000000000000002</c:v>
                </c:pt>
                <c:pt idx="26">
                  <c:v>2.2000000000000002</c:v>
                </c:pt>
                <c:pt idx="27">
                  <c:v>2.21</c:v>
                </c:pt>
                <c:pt idx="28">
                  <c:v>2.319999999999999</c:v>
                </c:pt>
                <c:pt idx="29">
                  <c:v>2.29</c:v>
                </c:pt>
                <c:pt idx="30">
                  <c:v>2.2799999999999998</c:v>
                </c:pt>
                <c:pt idx="31">
                  <c:v>2.2200000000000002</c:v>
                </c:pt>
                <c:pt idx="32">
                  <c:v>2.2000000000000002</c:v>
                </c:pt>
                <c:pt idx="33">
                  <c:v>2.2799999999999998</c:v>
                </c:pt>
                <c:pt idx="34">
                  <c:v>2.2799999999999998</c:v>
                </c:pt>
                <c:pt idx="35">
                  <c:v>2.27</c:v>
                </c:pt>
                <c:pt idx="36">
                  <c:v>2.27</c:v>
                </c:pt>
                <c:pt idx="37">
                  <c:v>2.42</c:v>
                </c:pt>
                <c:pt idx="38">
                  <c:v>2.0099999999999998</c:v>
                </c:pt>
                <c:pt idx="39">
                  <c:v>0.92</c:v>
                </c:pt>
                <c:pt idx="40">
                  <c:v>0.51</c:v>
                </c:pt>
                <c:pt idx="41">
                  <c:v>0.4300000000000001</c:v>
                </c:pt>
                <c:pt idx="42">
                  <c:v>0.4300000000000001</c:v>
                </c:pt>
                <c:pt idx="43">
                  <c:v>0.4300000000000001</c:v>
                </c:pt>
                <c:pt idx="44">
                  <c:v>0.44000000000000006</c:v>
                </c:pt>
                <c:pt idx="45">
                  <c:v>0.4300000000000001</c:v>
                </c:pt>
                <c:pt idx="46">
                  <c:v>0.44000000000000006</c:v>
                </c:pt>
                <c:pt idx="47">
                  <c:v>0.4900000000000001</c:v>
                </c:pt>
                <c:pt idx="48">
                  <c:v>0.4900000000000001</c:v>
                </c:pt>
                <c:pt idx="49">
                  <c:v>0.54</c:v>
                </c:pt>
                <c:pt idx="50">
                  <c:v>0.56000000000000005</c:v>
                </c:pt>
                <c:pt idx="51">
                  <c:v>0.56000000000000005</c:v>
                </c:pt>
                <c:pt idx="52">
                  <c:v>0.67000000000000026</c:v>
                </c:pt>
                <c:pt idx="53">
                  <c:v>0.78</c:v>
                </c:pt>
                <c:pt idx="54">
                  <c:v>1</c:v>
                </c:pt>
                <c:pt idx="55">
                  <c:v>1.3</c:v>
                </c:pt>
                <c:pt idx="56">
                  <c:v>1.52</c:v>
                </c:pt>
                <c:pt idx="57">
                  <c:v>2.44</c:v>
                </c:pt>
                <c:pt idx="58">
                  <c:v>3.5</c:v>
                </c:pt>
                <c:pt idx="59">
                  <c:v>3.96</c:v>
                </c:pt>
                <c:pt idx="60">
                  <c:v>4.55</c:v>
                </c:pt>
                <c:pt idx="61">
                  <c:v>4.87</c:v>
                </c:pt>
                <c:pt idx="62">
                  <c:v>5.1199999999999983</c:v>
                </c:pt>
                <c:pt idx="63">
                  <c:v>5.74</c:v>
                </c:pt>
                <c:pt idx="64">
                  <c:v>6.33</c:v>
                </c:pt>
                <c:pt idx="65">
                  <c:v>7.02</c:v>
                </c:pt>
                <c:pt idx="66">
                  <c:v>7.55</c:v>
                </c:pt>
                <c:pt idx="67">
                  <c:v>7.48</c:v>
                </c:pt>
                <c:pt idx="68">
                  <c:v>7.44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AD0-4531-8880-99F8CDA8BA5D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1'!$A$66:$B$134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'Měnové podmínky 1'!$H$66:$H$134</c:f>
              <c:numCache>
                <c:formatCode>General</c:formatCode>
                <c:ptCount val="69"/>
                <c:pt idx="0">
                  <c:v>0.47000000000000008</c:v>
                </c:pt>
                <c:pt idx="1">
                  <c:v>0.63000000000000023</c:v>
                </c:pt>
                <c:pt idx="2">
                  <c:v>0.87000000000000022</c:v>
                </c:pt>
                <c:pt idx="3">
                  <c:v>0.96000000000000019</c:v>
                </c:pt>
                <c:pt idx="4">
                  <c:v>0.74000000000000021</c:v>
                </c:pt>
                <c:pt idx="5">
                  <c:v>0.77000000000000013</c:v>
                </c:pt>
                <c:pt idx="6">
                  <c:v>0.9</c:v>
                </c:pt>
                <c:pt idx="7">
                  <c:v>0.83000000000000018</c:v>
                </c:pt>
                <c:pt idx="8">
                  <c:v>0.97000000000000008</c:v>
                </c:pt>
                <c:pt idx="9">
                  <c:v>1.45</c:v>
                </c:pt>
                <c:pt idx="10">
                  <c:v>1.6800000000000004</c:v>
                </c:pt>
                <c:pt idx="11">
                  <c:v>1.5</c:v>
                </c:pt>
                <c:pt idx="12">
                  <c:v>1.7700000000000002</c:v>
                </c:pt>
                <c:pt idx="13">
                  <c:v>1.82</c:v>
                </c:pt>
                <c:pt idx="14">
                  <c:v>1.81</c:v>
                </c:pt>
                <c:pt idx="15">
                  <c:v>1.7400000000000002</c:v>
                </c:pt>
                <c:pt idx="16">
                  <c:v>1.8900000000000001</c:v>
                </c:pt>
                <c:pt idx="17">
                  <c:v>2.14</c:v>
                </c:pt>
                <c:pt idx="18">
                  <c:v>2.11</c:v>
                </c:pt>
                <c:pt idx="19">
                  <c:v>2.14</c:v>
                </c:pt>
                <c:pt idx="20">
                  <c:v>2.14</c:v>
                </c:pt>
                <c:pt idx="21">
                  <c:v>2.14</c:v>
                </c:pt>
                <c:pt idx="22">
                  <c:v>2.0699999999999998</c:v>
                </c:pt>
                <c:pt idx="23">
                  <c:v>2.0099999999999998</c:v>
                </c:pt>
                <c:pt idx="24">
                  <c:v>1.85</c:v>
                </c:pt>
                <c:pt idx="25">
                  <c:v>1.7600000000000002</c:v>
                </c:pt>
                <c:pt idx="26">
                  <c:v>1.82</c:v>
                </c:pt>
                <c:pt idx="27">
                  <c:v>1.82</c:v>
                </c:pt>
                <c:pt idx="28">
                  <c:v>1.86</c:v>
                </c:pt>
                <c:pt idx="29">
                  <c:v>1.58</c:v>
                </c:pt>
                <c:pt idx="30">
                  <c:v>1.36</c:v>
                </c:pt>
                <c:pt idx="31">
                  <c:v>0.99</c:v>
                </c:pt>
                <c:pt idx="32">
                  <c:v>1.24</c:v>
                </c:pt>
                <c:pt idx="33">
                  <c:v>1.32</c:v>
                </c:pt>
                <c:pt idx="34">
                  <c:v>1.47</c:v>
                </c:pt>
                <c:pt idx="35">
                  <c:v>1.51</c:v>
                </c:pt>
                <c:pt idx="36">
                  <c:v>1.62</c:v>
                </c:pt>
                <c:pt idx="37">
                  <c:v>1.47</c:v>
                </c:pt>
                <c:pt idx="38">
                  <c:v>1.28</c:v>
                </c:pt>
                <c:pt idx="39">
                  <c:v>1.28</c:v>
                </c:pt>
                <c:pt idx="40">
                  <c:v>0.92</c:v>
                </c:pt>
                <c:pt idx="41">
                  <c:v>0.86000000000000021</c:v>
                </c:pt>
                <c:pt idx="42">
                  <c:v>0.86000000000000021</c:v>
                </c:pt>
                <c:pt idx="43">
                  <c:v>0.95000000000000018</c:v>
                </c:pt>
                <c:pt idx="44">
                  <c:v>0.98</c:v>
                </c:pt>
                <c:pt idx="45">
                  <c:v>0.94000000000000017</c:v>
                </c:pt>
                <c:pt idx="46">
                  <c:v>1.1200000000000001</c:v>
                </c:pt>
                <c:pt idx="47">
                  <c:v>1.26</c:v>
                </c:pt>
                <c:pt idx="48">
                  <c:v>1.28</c:v>
                </c:pt>
                <c:pt idx="49">
                  <c:v>1.49</c:v>
                </c:pt>
                <c:pt idx="50">
                  <c:v>1.87</c:v>
                </c:pt>
                <c:pt idx="51">
                  <c:v>1.86</c:v>
                </c:pt>
                <c:pt idx="52">
                  <c:v>1.7400000000000002</c:v>
                </c:pt>
                <c:pt idx="53">
                  <c:v>1.6700000000000004</c:v>
                </c:pt>
                <c:pt idx="54">
                  <c:v>1.7200000000000002</c:v>
                </c:pt>
                <c:pt idx="55">
                  <c:v>1.7400000000000002</c:v>
                </c:pt>
                <c:pt idx="56">
                  <c:v>1.9000000000000001</c:v>
                </c:pt>
                <c:pt idx="57">
                  <c:v>2.34</c:v>
                </c:pt>
                <c:pt idx="58">
                  <c:v>2.62</c:v>
                </c:pt>
                <c:pt idx="59">
                  <c:v>2.62</c:v>
                </c:pt>
                <c:pt idx="60">
                  <c:v>3.12</c:v>
                </c:pt>
                <c:pt idx="61">
                  <c:v>3.03</c:v>
                </c:pt>
                <c:pt idx="62">
                  <c:v>3.53</c:v>
                </c:pt>
                <c:pt idx="63">
                  <c:v>4.01</c:v>
                </c:pt>
                <c:pt idx="64">
                  <c:v>4.6099999999999985</c:v>
                </c:pt>
                <c:pt idx="65">
                  <c:v>5.1199999999999983</c:v>
                </c:pt>
                <c:pt idx="66">
                  <c:v>4.4000000000000004</c:v>
                </c:pt>
                <c:pt idx="67">
                  <c:v>4.1099999999999985</c:v>
                </c:pt>
                <c:pt idx="68">
                  <c:v>4.72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AD0-4531-8880-99F8CDA8B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279424"/>
        <c:axId val="88504576"/>
      </c:lineChart>
      <c:catAx>
        <c:axId val="80279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88504576"/>
        <c:crosses val="autoZero"/>
        <c:auto val="1"/>
        <c:lblAlgn val="ctr"/>
        <c:lblOffset val="100"/>
        <c:noMultiLvlLbl val="0"/>
      </c:catAx>
      <c:valAx>
        <c:axId val="88504576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8027942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02EAB-49C7-4DE4-9ED7-50D36407C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79350-D56E-4794-82D9-60659CC7F9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9FE680-9861-4D0F-84D6-1948B76D316A}"/>
</file>

<file path=customXml/itemProps4.xml><?xml version="1.0" encoding="utf-8"?>
<ds:datastoreItem xmlns:ds="http://schemas.openxmlformats.org/officeDocument/2006/customXml" ds:itemID="{BDF0655F-C32F-4058-8908-36A08FEA8D27}"/>
</file>

<file path=customXml/itemProps5.xml><?xml version="1.0" encoding="utf-8"?>
<ds:datastoreItem xmlns:ds="http://schemas.openxmlformats.org/officeDocument/2006/customXml" ds:itemID="{CF88691C-0DA9-4B3A-8F38-536A8391FDD0}"/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2</TotalTime>
  <Pages>2</Pages>
  <Words>852</Words>
  <Characters>5028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5869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3</cp:revision>
  <cp:lastPrinted>2019-04-08T10:52:00Z</cp:lastPrinted>
  <dcterms:created xsi:type="dcterms:W3CDTF">2022-12-15T09:52:00Z</dcterms:created>
  <dcterms:modified xsi:type="dcterms:W3CDTF">2022-12-15T10:01:00Z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