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:rsidR="005C7437" w:rsidRPr="009A6943" w:rsidRDefault="009A6943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(Aktualizováno ke dni 2</w:t>
      </w:r>
      <w:r w:rsidR="00985C14">
        <w:rPr>
          <w:b w:val="0"/>
          <w:sz w:val="22"/>
          <w:szCs w:val="22"/>
        </w:rPr>
        <w:t>4</w:t>
      </w:r>
      <w:bookmarkStart w:id="0" w:name="_GoBack"/>
      <w:bookmarkEnd w:id="0"/>
      <w:r>
        <w:rPr>
          <w:b w:val="0"/>
          <w:sz w:val="22"/>
          <w:szCs w:val="22"/>
        </w:rPr>
        <w:t>. 3. 2023)</w:t>
      </w:r>
    </w:p>
    <w:p w:rsidR="003770A0" w:rsidRDefault="003770A0" w:rsidP="00222387">
      <w:r w:rsidRPr="003770A0">
        <w:rPr>
          <w:rStyle w:val="Nadpis2Char"/>
        </w:rPr>
        <w:t>Název DS:</w:t>
      </w:r>
      <w:r>
        <w:t xml:space="preserve"> </w:t>
      </w:r>
    </w:p>
    <w:p w:rsidR="00DA719B" w:rsidRPr="009A6943" w:rsidRDefault="00436E75" w:rsidP="00DA719B">
      <w:pPr>
        <w:rPr>
          <w:sz w:val="28"/>
          <w:szCs w:val="28"/>
          <w:u w:val="single"/>
        </w:rPr>
      </w:pPr>
      <w:r w:rsidRPr="009A6943">
        <w:rPr>
          <w:b/>
          <w:i/>
          <w:sz w:val="28"/>
          <w:szCs w:val="28"/>
          <w:u w:val="single"/>
        </w:rPr>
        <w:t>Zemřelí podle příčin smrti a pohlaví v ČR, krajích a okresech</w:t>
      </w:r>
    </w:p>
    <w:p w:rsidR="00E07E81" w:rsidRDefault="00E07E81" w:rsidP="00222387">
      <w:pPr>
        <w:pStyle w:val="Nadpis2"/>
      </w:pPr>
    </w:p>
    <w:p w:rsidR="003770A0" w:rsidRDefault="003770A0" w:rsidP="00222387">
      <w:pPr>
        <w:pStyle w:val="Nadpis2"/>
      </w:pPr>
      <w:r>
        <w:t>Popis datové sady:</w:t>
      </w:r>
    </w:p>
    <w:p w:rsidR="000E4AC3" w:rsidRDefault="003770A0" w:rsidP="00347443">
      <w:r w:rsidRPr="00222387">
        <w:t xml:space="preserve">Datová sada obsahuje </w:t>
      </w:r>
      <w:r w:rsidR="00436E75">
        <w:t xml:space="preserve">časovou řadu </w:t>
      </w:r>
      <w:r w:rsidR="00DA719B">
        <w:t>statistick</w:t>
      </w:r>
      <w:r w:rsidR="00436E75">
        <w:t>ých</w:t>
      </w:r>
      <w:r w:rsidR="00DA719B">
        <w:t xml:space="preserve"> údaj</w:t>
      </w:r>
      <w:r w:rsidR="00436E75">
        <w:t>ů</w:t>
      </w:r>
      <w:r w:rsidR="00DA719B">
        <w:t xml:space="preserve"> </w:t>
      </w:r>
      <w:r w:rsidR="00183100">
        <w:t xml:space="preserve">o </w:t>
      </w:r>
      <w:r w:rsidR="00436E75">
        <w:t xml:space="preserve">zemřelých podle příčin smrti a pohlaví za </w:t>
      </w:r>
      <w:r w:rsidR="000E4AC3">
        <w:t>o</w:t>
      </w:r>
      <w:r w:rsidR="00183100">
        <w:t>kresy, kraje i republiku</w:t>
      </w:r>
      <w:r w:rsidR="00271FF8">
        <w:t xml:space="preserve"> od roku 2006</w:t>
      </w:r>
      <w:r w:rsidR="00183100">
        <w:t xml:space="preserve">. </w:t>
      </w:r>
    </w:p>
    <w:p w:rsidR="005B027B" w:rsidRDefault="005B027B" w:rsidP="00347443">
      <w:pPr>
        <w:rPr>
          <w:i/>
        </w:rPr>
      </w:pPr>
      <w:r w:rsidRPr="005B027B">
        <w:rPr>
          <w:i/>
        </w:rPr>
        <w:t>Metodick</w:t>
      </w:r>
      <w:r w:rsidR="00573AFB">
        <w:rPr>
          <w:i/>
        </w:rPr>
        <w:t>é</w:t>
      </w:r>
      <w:r w:rsidRPr="005B027B">
        <w:rPr>
          <w:i/>
        </w:rPr>
        <w:t xml:space="preserve"> poznámk</w:t>
      </w:r>
      <w:r w:rsidR="00573AFB">
        <w:rPr>
          <w:i/>
        </w:rPr>
        <w:t>y</w:t>
      </w:r>
    </w:p>
    <w:p w:rsidR="00436E75" w:rsidRDefault="00436E75" w:rsidP="00436E75">
      <w:pPr>
        <w:pStyle w:val="A-Metodpozn"/>
        <w:ind w:firstLine="0"/>
      </w:pPr>
      <w:r>
        <w:t>Údaje o zemřelých podle příčin smrti jsou tříděny a uvedeny podle Mezinárodní klasifikace nemocí a přidružených zdravotních problémů ve znění 10. decenální revize (MKN-10) zveřejněné v publikací ÚZIS Praha v roce 1992. Tato klasifikace byla v dalších letech aktualizována a doplněna</w:t>
      </w:r>
      <w:r w:rsidRPr="003901AD">
        <w:t xml:space="preserve">. Názvy příčin nemocí jsou uvedeny podle </w:t>
      </w:r>
      <w:r>
        <w:t>aktualizované verze k </w:t>
      </w:r>
      <w:r w:rsidRPr="003901AD">
        <w:t>1.</w:t>
      </w:r>
      <w:r>
        <w:t> </w:t>
      </w:r>
      <w:r w:rsidRPr="003901AD">
        <w:t>1.</w:t>
      </w:r>
      <w:r>
        <w:t> </w:t>
      </w:r>
      <w:r w:rsidRPr="003901AD">
        <w:t>2013 Příčiny úmrtí jsou v souladu s 10</w:t>
      </w:r>
      <w:r>
        <w:t xml:space="preserve">. revizí MKN členěny do kapitol (označené římskými číslicemi I. až XX.). Kapitoly I. - XVIII. zahrnují zemřelé na vnitřní příčiny (zemřelé následkem nemoci či tělesné vady) a kapitoly XIX. a XX. zemřelé na vnější příčiny (zemřelé následkem úrazu, otravy, sebepoškození apod.). </w:t>
      </w:r>
    </w:p>
    <w:p w:rsidR="00436E75" w:rsidRDefault="00436E75" w:rsidP="00436E75">
      <w:pPr>
        <w:pStyle w:val="A-Metodpozn"/>
        <w:ind w:firstLine="0"/>
      </w:pPr>
      <w:r>
        <w:t>Úmrtí na vnější příčiny jsou</w:t>
      </w:r>
      <w:r>
        <w:rPr>
          <w:rFonts w:ascii="Times New Roman" w:hAnsi="Times New Roman"/>
          <w:sz w:val="24"/>
          <w:szCs w:val="24"/>
        </w:rPr>
        <w:t xml:space="preserve"> </w:t>
      </w:r>
      <w: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hlášení „List o prohlídce zemřelého“ vyznačeny jednak z hlediska lokalizace úrazu na těle, eventuelně poškození životních funkcí (kapitola XIX. Poranění, otravy a některé jiné následky vnějších příčin, kódy S00-T98), jednak z hlediska klasifikace vnějších příhod, okolností a stavů jako příčin poranění a otrav event. jiných nepříznivých účinků (kapitola XX. Vnější příčiny nemocnosti a úmrtnosti, kódy V01-Y89). Úhrnné počty zemřelých v kapitole XIX. a XX. jsou shodné, kapitola XIX. předmětem zájmu této publikace není. Data za kapitolu XIX jsou uvedena v publikaci Demografická ročenka České republiky. </w:t>
      </w:r>
    </w:p>
    <w:p w:rsidR="00436E75" w:rsidRPr="00CF24B7" w:rsidRDefault="00436E75" w:rsidP="00436E75">
      <w:pPr>
        <w:pStyle w:val="A-Metodpozn"/>
        <w:ind w:firstLine="0"/>
        <w:rPr>
          <w:color w:val="auto"/>
        </w:rPr>
      </w:pPr>
      <w:r>
        <w:t xml:space="preserve">Počet zemřelých v roce 2007 na diagnózu A16 je včetně zemřelých na diagnózu A15. </w:t>
      </w:r>
      <w:r w:rsidRPr="00CF24B7">
        <w:rPr>
          <w:color w:val="auto"/>
        </w:rPr>
        <w:t>Některé diagnózy i skupiny diagnóz roku 2011</w:t>
      </w:r>
      <w:r>
        <w:rPr>
          <w:color w:val="auto"/>
        </w:rPr>
        <w:t xml:space="preserve"> a následujících</w:t>
      </w:r>
      <w:r w:rsidRPr="00CF24B7">
        <w:rPr>
          <w:color w:val="auto"/>
        </w:rPr>
        <w:t xml:space="preserve"> nejsou srovnatelné s předchozími roky. Důvodem byly změny metodiky uvádění příčin smrti na LPZ(List o prohlídce zemřelého), implementace aktualizací MKN10, které se v České republice uskutečnily v letech 2009 a 2011 a přechod na automatizované kódování zpracování statistiky příčin smrti v ČSÚ.</w:t>
      </w:r>
    </w:p>
    <w:p w:rsidR="00D50F39" w:rsidRDefault="00D50F39" w:rsidP="00436E75">
      <w:r>
        <w:t>Další informace viz např.</w:t>
      </w:r>
      <w:r w:rsidR="008C2490">
        <w:t xml:space="preserve"> metodické poznámky k publikaci zveřejněné na webu </w:t>
      </w:r>
      <w:hyperlink r:id="rId5" w:history="1">
        <w:r w:rsidR="008C2490" w:rsidRPr="00D722B8">
          <w:rPr>
            <w:rStyle w:val="Hypertextovodkaz"/>
          </w:rPr>
          <w:t>https://www.czso.cz/csu/czso/zemreli-podle-seznamu-pricin-smrti-pohlavi-a-veku-v-cr-krajich-a-okresech-2007-az-2016</w:t>
        </w:r>
      </w:hyperlink>
      <w:r>
        <w:t xml:space="preserve">. </w:t>
      </w:r>
    </w:p>
    <w:p w:rsidR="00905870" w:rsidRDefault="00905870" w:rsidP="00436E75">
      <w:r>
        <w:t>Veškeré údaje jsou uvedeny v osobách.</w:t>
      </w:r>
    </w:p>
    <w:p w:rsidR="00E556E4" w:rsidRDefault="00E556E4" w:rsidP="00905870">
      <w:pPr>
        <w:spacing w:after="0" w:line="240" w:lineRule="auto"/>
      </w:pPr>
    </w:p>
    <w:p w:rsidR="00905870" w:rsidRDefault="00905870" w:rsidP="00905870">
      <w:pPr>
        <w:spacing w:after="0" w:line="240" w:lineRule="auto"/>
      </w:pPr>
      <w:r>
        <w:t>Území krajů pokrývá území celé republiky beze zbytku.</w:t>
      </w:r>
      <w:r w:rsidR="00E07E81">
        <w:t xml:space="preserve"> </w:t>
      </w:r>
      <w:r>
        <w:t>Území okresů pokrýv</w:t>
      </w:r>
      <w:r w:rsidR="00436E75">
        <w:t>á</w:t>
      </w:r>
      <w:r>
        <w:t xml:space="preserve"> území republiky </w:t>
      </w:r>
      <w:r w:rsidR="006B5FD8">
        <w:t>rovněž, Praha je pro tyto účely považována jako neoficiální okres.</w:t>
      </w:r>
    </w:p>
    <w:p w:rsidR="00436E75" w:rsidRDefault="00436E75" w:rsidP="00905870">
      <w:pPr>
        <w:spacing w:after="0" w:line="240" w:lineRule="auto"/>
      </w:pPr>
    </w:p>
    <w:p w:rsidR="00E07E81" w:rsidRDefault="00E07E81" w:rsidP="00905870">
      <w:pPr>
        <w:spacing w:after="0" w:line="240" w:lineRule="auto"/>
      </w:pPr>
      <w:r>
        <w:t>Uvedeny jsou jak údaje za jednotlivá pohlaví (muži, ženy), tak údaje za obě pohlaví. Uvedeny jsou stejně tak jednotlivé příčiny smrti</w:t>
      </w:r>
      <w:r w:rsidR="00073937">
        <w:t xml:space="preserve"> podle podrobnější klasifikace (číselník 5121)</w:t>
      </w:r>
      <w:r>
        <w:t xml:space="preserve">, </w:t>
      </w:r>
      <w:r w:rsidR="00073937">
        <w:t>ale také podle hierarchického začlenění do kapitol mezinárodní klasifikace (číselník 5120). Je uveden rovněž</w:t>
      </w:r>
      <w:r>
        <w:t xml:space="preserve"> souhrnný údaj za všechny příčiny smrti.</w:t>
      </w:r>
      <w:r w:rsidR="00073937">
        <w:t xml:space="preserve"> </w:t>
      </w:r>
    </w:p>
    <w:p w:rsidR="00E07E81" w:rsidRDefault="00E07E81" w:rsidP="00905870">
      <w:pPr>
        <w:spacing w:after="0" w:line="240" w:lineRule="auto"/>
      </w:pPr>
    </w:p>
    <w:p w:rsidR="00905870" w:rsidRDefault="00905870" w:rsidP="00905870">
      <w:pPr>
        <w:spacing w:after="0" w:line="240" w:lineRule="auto"/>
      </w:pPr>
    </w:p>
    <w:p w:rsidR="003770A0" w:rsidRDefault="003770A0" w:rsidP="00222387">
      <w:pPr>
        <w:pStyle w:val="Nadpis2"/>
      </w:pPr>
      <w:r>
        <w:t>Struktura dat:</w:t>
      </w:r>
    </w:p>
    <w:p w:rsidR="00222387" w:rsidRDefault="00222387" w:rsidP="00222387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:rsidR="003E0ED7" w:rsidRDefault="003E0ED7" w:rsidP="00222387">
      <w:r>
        <w:t>Statistický údaj je definován z hlediska věcného (statistická proměnná=ukazatel</w:t>
      </w:r>
      <w:r w:rsidR="00347443">
        <w:t>)</w:t>
      </w:r>
      <w:r>
        <w:t>, časového (</w:t>
      </w:r>
      <w:r w:rsidR="00905870">
        <w:t>referenční období)</w:t>
      </w:r>
      <w:r>
        <w:t xml:space="preserve"> a územního (území).  </w:t>
      </w:r>
    </w:p>
    <w:p w:rsidR="002531AE" w:rsidRPr="00222387" w:rsidRDefault="002531AE" w:rsidP="00222387"/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7443" w:rsidRPr="00222387" w:rsidTr="00563BE9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bookmarkStart w:id="1" w:name="RANGE!A1:C28"/>
            <w:r w:rsidRPr="00222387">
              <w:rPr>
                <w:lang w:eastAsia="cs-CZ"/>
              </w:rPr>
              <w:t>SLOUPEC</w:t>
            </w:r>
            <w:bookmarkEnd w:id="1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POZNAMKA</w:t>
            </w:r>
          </w:p>
        </w:tc>
      </w:tr>
      <w:tr w:rsidR="00347443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5B027B" w:rsidP="00222387">
            <w:pPr>
              <w:rPr>
                <w:lang w:eastAsia="cs-CZ"/>
              </w:rPr>
            </w:pPr>
            <w:proofErr w:type="spellStart"/>
            <w:r w:rsidRPr="00222387">
              <w:rPr>
                <w:lang w:eastAsia="cs-CZ"/>
              </w:rPr>
              <w:t>idhod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 numerickém formátu</w:t>
            </w:r>
          </w:p>
          <w:p w:rsidR="00D127CC" w:rsidRPr="00222387" w:rsidRDefault="00D127CC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 případě, že se jedná o důvěrný údaj, je sloupec prázdný</w:t>
            </w:r>
          </w:p>
        </w:tc>
      </w:tr>
      <w:tr w:rsidR="0036737E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E" w:rsidRPr="001447CB" w:rsidRDefault="00563BE9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E" w:rsidRPr="00222387" w:rsidRDefault="00563BE9" w:rsidP="00563BE9">
            <w:pPr>
              <w:rPr>
                <w:lang w:eastAsia="cs-CZ"/>
              </w:rPr>
            </w:pPr>
            <w:r>
              <w:rPr>
                <w:lang w:eastAsia="cs-CZ"/>
              </w:rPr>
              <w:t>kód statistické proměnné ze systému SMS UKAZ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E" w:rsidRDefault="00563BE9" w:rsidP="000F0464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 této datové sadě </w:t>
            </w:r>
            <w:r w:rsidR="000F0464">
              <w:rPr>
                <w:lang w:eastAsia="cs-CZ"/>
              </w:rPr>
              <w:t>5393 – počet zemřelých</w:t>
            </w:r>
          </w:p>
        </w:tc>
      </w:tr>
      <w:tr w:rsidR="000F0464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4" w:rsidRDefault="000F0464" w:rsidP="000F046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pohlavi_cis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F0464" w:rsidP="000F0464">
            <w:pPr>
              <w:rPr>
                <w:lang w:eastAsia="cs-CZ"/>
              </w:rPr>
            </w:pPr>
            <w:r>
              <w:rPr>
                <w:lang w:eastAsia="cs-CZ"/>
              </w:rPr>
              <w:t>kód číselníku pro 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73937" w:rsidP="0007393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v této datové sadě číselník 102, pokud není uveden, jedná se o úhrn za obě pohlaví</w:t>
            </w:r>
          </w:p>
        </w:tc>
      </w:tr>
      <w:tr w:rsidR="000F0464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4" w:rsidRDefault="000F0464" w:rsidP="000F046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pohlavi_kod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F0464" w:rsidP="000F0464">
            <w:pPr>
              <w:rPr>
                <w:lang w:eastAsia="cs-CZ"/>
              </w:rPr>
            </w:pPr>
            <w:r>
              <w:rPr>
                <w:lang w:eastAsia="cs-CZ"/>
              </w:rPr>
              <w:t>kód položky z číselníku 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F0464" w:rsidP="0007393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pokud není uveden, jedná se o úhrn za </w:t>
            </w:r>
            <w:r w:rsidR="00073937">
              <w:rPr>
                <w:lang w:eastAsia="cs-CZ"/>
              </w:rPr>
              <w:t>obě</w:t>
            </w:r>
            <w:r>
              <w:rPr>
                <w:lang w:eastAsia="cs-CZ"/>
              </w:rPr>
              <w:t xml:space="preserve"> pohlaví</w:t>
            </w:r>
          </w:p>
        </w:tc>
      </w:tr>
      <w:tr w:rsidR="000F0464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4" w:rsidRDefault="000F0464" w:rsidP="000F046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ps_cis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F0464" w:rsidP="00BC4407">
            <w:pPr>
              <w:rPr>
                <w:lang w:eastAsia="cs-CZ"/>
              </w:rPr>
            </w:pPr>
            <w:r>
              <w:rPr>
                <w:lang w:eastAsia="cs-CZ"/>
              </w:rPr>
              <w:t>kód číselníku pro příčiny smrti</w:t>
            </w:r>
            <w:r w:rsidR="00BC4407">
              <w:rPr>
                <w:lang w:eastAsia="cs-CZ"/>
              </w:rPr>
              <w:t xml:space="preserve"> (třímístná klasifikace)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Pr="00222387" w:rsidRDefault="00073937" w:rsidP="0007393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v datové sadě použit číselník 5121 (t</w:t>
            </w:r>
            <w:r w:rsidRPr="00073937">
              <w:rPr>
                <w:lang w:eastAsia="cs-CZ"/>
              </w:rPr>
              <w:t>římístné kategorie</w:t>
            </w:r>
            <w:r>
              <w:rPr>
                <w:lang w:eastAsia="cs-CZ"/>
              </w:rPr>
              <w:t xml:space="preserve"> MKN-10), pokud údaj není vyplněn, jedná se o úhrn za všechny příčiny smrti</w:t>
            </w:r>
          </w:p>
        </w:tc>
      </w:tr>
      <w:tr w:rsidR="000F0464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4" w:rsidRDefault="000F0464" w:rsidP="000F046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ps_kod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F0464" w:rsidP="00BC4407">
            <w:pPr>
              <w:rPr>
                <w:lang w:eastAsia="cs-CZ"/>
              </w:rPr>
            </w:pPr>
            <w:r>
              <w:rPr>
                <w:lang w:eastAsia="cs-CZ"/>
              </w:rPr>
              <w:t>kód položky z</w:t>
            </w:r>
            <w:r w:rsidR="00073937">
              <w:rPr>
                <w:lang w:eastAsia="cs-CZ"/>
              </w:rPr>
              <w:t xml:space="preserve">  číselníku </w:t>
            </w:r>
            <w:r>
              <w:rPr>
                <w:lang w:eastAsia="cs-CZ"/>
              </w:rPr>
              <w:t>pro příčiny smrti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Default="000F0464" w:rsidP="000F046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není uveden, jedná se o úhrn za všechny příčiny smrti</w:t>
            </w:r>
          </w:p>
          <w:p w:rsidR="00073937" w:rsidRPr="00222387" w:rsidRDefault="00073937" w:rsidP="000F0464">
            <w:pPr>
              <w:spacing w:after="0"/>
              <w:rPr>
                <w:lang w:eastAsia="cs-CZ"/>
              </w:rPr>
            </w:pPr>
          </w:p>
        </w:tc>
      </w:tr>
      <w:tr w:rsidR="00073937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37" w:rsidRDefault="00073937" w:rsidP="0040107A">
            <w:pPr>
              <w:rPr>
                <w:lang w:eastAsia="cs-CZ"/>
              </w:rPr>
            </w:pPr>
            <w:r>
              <w:rPr>
                <w:lang w:eastAsia="cs-CZ"/>
              </w:rPr>
              <w:t>ps0_cis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Pr="00222387" w:rsidRDefault="00073937" w:rsidP="00BC4407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</w:t>
            </w:r>
            <w:r w:rsidR="00BC4407">
              <w:rPr>
                <w:lang w:eastAsia="cs-CZ"/>
              </w:rPr>
              <w:t xml:space="preserve">vazebního </w:t>
            </w:r>
            <w:r>
              <w:rPr>
                <w:lang w:eastAsia="cs-CZ"/>
              </w:rPr>
              <w:t xml:space="preserve">číselníku </w:t>
            </w:r>
            <w:r w:rsidR="00BC4407">
              <w:rPr>
                <w:lang w:eastAsia="cs-CZ"/>
              </w:rPr>
              <w:t xml:space="preserve">(kapitoly </w:t>
            </w:r>
            <w:r>
              <w:rPr>
                <w:lang w:eastAsia="cs-CZ"/>
              </w:rPr>
              <w:t>příčin smrti</w:t>
            </w:r>
            <w:r w:rsidR="00BC4407">
              <w:rPr>
                <w:lang w:eastAsia="cs-CZ"/>
              </w:rPr>
              <w:t>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Pr="00222387" w:rsidRDefault="00073937" w:rsidP="00BC440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v datové sadě použit číselník 512</w:t>
            </w:r>
            <w:r w:rsidR="00BC4407">
              <w:rPr>
                <w:lang w:eastAsia="cs-CZ"/>
              </w:rPr>
              <w:t>0 (</w:t>
            </w:r>
            <w:r w:rsidRPr="00073937">
              <w:rPr>
                <w:lang w:eastAsia="cs-CZ"/>
              </w:rPr>
              <w:t xml:space="preserve">Mezinárodní statistická klasifikace nemocí a přidružených zdravotních problémů (MKN-10) - úroveň 1 </w:t>
            </w:r>
            <w:r w:rsidR="00BC4407">
              <w:rPr>
                <w:lang w:eastAsia="cs-CZ"/>
              </w:rPr>
              <w:t>–</w:t>
            </w:r>
            <w:r w:rsidRPr="00073937">
              <w:rPr>
                <w:lang w:eastAsia="cs-CZ"/>
              </w:rPr>
              <w:t xml:space="preserve"> Kapitoly</w:t>
            </w:r>
            <w:r w:rsidR="00BC4407">
              <w:rPr>
                <w:lang w:eastAsia="cs-CZ"/>
              </w:rPr>
              <w:t>)</w:t>
            </w:r>
          </w:p>
        </w:tc>
      </w:tr>
      <w:tr w:rsidR="00073937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37" w:rsidRDefault="00073937" w:rsidP="0040107A">
            <w:pPr>
              <w:rPr>
                <w:lang w:eastAsia="cs-CZ"/>
              </w:rPr>
            </w:pPr>
            <w:r>
              <w:rPr>
                <w:lang w:eastAsia="cs-CZ"/>
              </w:rPr>
              <w:t>ps0_kod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Pr="00222387" w:rsidRDefault="00073937" w:rsidP="0040107A">
            <w:pPr>
              <w:rPr>
                <w:lang w:eastAsia="cs-CZ"/>
              </w:rPr>
            </w:pPr>
            <w:r>
              <w:rPr>
                <w:lang w:eastAsia="cs-CZ"/>
              </w:rPr>
              <w:t>kód položky z</w:t>
            </w:r>
            <w:r w:rsidR="00BC4407">
              <w:rPr>
                <w:lang w:eastAsia="cs-CZ"/>
              </w:rPr>
              <w:t xml:space="preserve"> vazebního </w:t>
            </w:r>
            <w:r>
              <w:rPr>
                <w:lang w:eastAsia="cs-CZ"/>
              </w:rPr>
              <w:t>číselníku pro příčiny smrti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07" w:rsidRDefault="00BC4407" w:rsidP="0040107A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uvedena kód položky </w:t>
            </w:r>
            <w:proofErr w:type="spellStart"/>
            <w:r>
              <w:rPr>
                <w:lang w:eastAsia="cs-CZ"/>
              </w:rPr>
              <w:t>hierachicky</w:t>
            </w:r>
            <w:proofErr w:type="spellEnd"/>
            <w:r>
              <w:rPr>
                <w:lang w:eastAsia="cs-CZ"/>
              </w:rPr>
              <w:t xml:space="preserve"> nadřízeného číselníku (zařazení příčiny smrti do kapitoly),</w:t>
            </w:r>
          </w:p>
          <w:p w:rsidR="00073937" w:rsidRPr="00222387" w:rsidRDefault="00073937" w:rsidP="0040107A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není uveden, jedná se o úhrn za všechny příčiny smrti</w:t>
            </w:r>
          </w:p>
        </w:tc>
      </w:tr>
      <w:tr w:rsidR="00073937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37" w:rsidRPr="001447CB" w:rsidRDefault="00073937" w:rsidP="0034744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</w:t>
            </w:r>
            <w:r w:rsidRPr="001447CB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Pr="00222387" w:rsidRDefault="0007393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Default="00073937" w:rsidP="007E3C0B">
            <w:pPr>
              <w:spacing w:after="0"/>
              <w:rPr>
                <w:lang w:eastAsia="cs-CZ"/>
              </w:rPr>
            </w:pPr>
            <w:r w:rsidRPr="00222387">
              <w:rPr>
                <w:lang w:eastAsia="cs-CZ"/>
              </w:rPr>
              <w:t>číselník odpovídá typ</w:t>
            </w:r>
            <w:r>
              <w:rPr>
                <w:lang w:eastAsia="cs-CZ"/>
              </w:rPr>
              <w:t>ologii úze</w:t>
            </w:r>
            <w:r w:rsidRPr="00222387">
              <w:rPr>
                <w:lang w:eastAsia="cs-CZ"/>
              </w:rPr>
              <w:t>mí</w:t>
            </w:r>
            <w:r>
              <w:rPr>
                <w:lang w:eastAsia="cs-CZ"/>
              </w:rPr>
              <w:t>,</w:t>
            </w:r>
          </w:p>
          <w:p w:rsidR="00073937" w:rsidRPr="00222387" w:rsidRDefault="00073937" w:rsidP="007E3C0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okresy mají kód 101, kraje 100 a republika 97</w:t>
            </w:r>
          </w:p>
        </w:tc>
      </w:tr>
      <w:tr w:rsidR="00073937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37" w:rsidRPr="001447CB" w:rsidRDefault="00073937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</w:t>
            </w:r>
            <w:r w:rsidRPr="001447CB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Pr="00222387" w:rsidRDefault="00073937" w:rsidP="0058334C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položky číselníku pro referenční území</w:t>
            </w:r>
            <w:r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Default="00073937" w:rsidP="003469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kód území v příslušném číselníku, údaje za ČR mají kód 19, údaje za neoficiální okres Praha kód 40924</w:t>
            </w:r>
          </w:p>
          <w:p w:rsidR="00073937" w:rsidRPr="00222387" w:rsidRDefault="00073937" w:rsidP="003469AC">
            <w:pPr>
              <w:spacing w:after="0"/>
              <w:rPr>
                <w:lang w:eastAsia="cs-CZ"/>
              </w:rPr>
            </w:pPr>
          </w:p>
        </w:tc>
      </w:tr>
      <w:tr w:rsidR="00073937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37" w:rsidRPr="001447CB" w:rsidRDefault="00073937" w:rsidP="0011581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Pr="00222387" w:rsidRDefault="00073937" w:rsidP="00115817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rok (součást </w:t>
            </w:r>
            <w:r w:rsidRPr="00222387">
              <w:rPr>
                <w:lang w:eastAsia="cs-CZ"/>
              </w:rPr>
              <w:t>referenční</w:t>
            </w:r>
            <w:r>
              <w:rPr>
                <w:lang w:eastAsia="cs-CZ"/>
              </w:rPr>
              <w:t>ho</w:t>
            </w:r>
            <w:r w:rsidRPr="00222387">
              <w:rPr>
                <w:lang w:eastAsia="cs-CZ"/>
              </w:rPr>
              <w:t xml:space="preserve"> období</w:t>
            </w:r>
            <w:r>
              <w:rPr>
                <w:lang w:eastAsia="cs-CZ"/>
              </w:rPr>
              <w:t>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Pr="00222387" w:rsidRDefault="00073937" w:rsidP="00BC4407">
            <w:pPr>
              <w:rPr>
                <w:lang w:eastAsia="cs-CZ"/>
              </w:rPr>
            </w:pPr>
            <w:r>
              <w:rPr>
                <w:lang w:eastAsia="cs-CZ"/>
              </w:rPr>
              <w:t>ve formátu RRRR</w:t>
            </w:r>
          </w:p>
        </w:tc>
      </w:tr>
      <w:tr w:rsidR="00073937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37" w:rsidRDefault="00073937" w:rsidP="000F046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pohlavi_txt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Default="00073937" w:rsidP="000F0464">
            <w:pPr>
              <w:rPr>
                <w:lang w:eastAsia="cs-CZ"/>
              </w:rPr>
            </w:pPr>
            <w:r>
              <w:rPr>
                <w:lang w:eastAsia="cs-CZ"/>
              </w:rPr>
              <w:t>text položky z číselníku 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Default="00073937" w:rsidP="00115817">
            <w:pPr>
              <w:rPr>
                <w:lang w:eastAsia="cs-CZ"/>
              </w:rPr>
            </w:pPr>
          </w:p>
        </w:tc>
      </w:tr>
      <w:tr w:rsidR="00073937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37" w:rsidRDefault="00073937" w:rsidP="000F046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ps_txt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Default="00073937" w:rsidP="000F0464">
            <w:pPr>
              <w:rPr>
                <w:lang w:eastAsia="cs-CZ"/>
              </w:rPr>
            </w:pPr>
            <w:r>
              <w:rPr>
                <w:lang w:eastAsia="cs-CZ"/>
              </w:rPr>
              <w:t>text položky z číselníku příčin smrti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37" w:rsidRDefault="00073937" w:rsidP="00115817">
            <w:pPr>
              <w:rPr>
                <w:lang w:eastAsia="cs-CZ"/>
              </w:rPr>
            </w:pPr>
          </w:p>
        </w:tc>
      </w:tr>
      <w:tr w:rsidR="00BC4407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407" w:rsidRDefault="00BC4407" w:rsidP="0040107A">
            <w:pPr>
              <w:rPr>
                <w:lang w:eastAsia="cs-CZ"/>
              </w:rPr>
            </w:pPr>
            <w:r>
              <w:rPr>
                <w:lang w:eastAsia="cs-CZ"/>
              </w:rPr>
              <w:t>ps0_txt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07" w:rsidRDefault="00BC4407" w:rsidP="0040107A">
            <w:pPr>
              <w:rPr>
                <w:lang w:eastAsia="cs-CZ"/>
              </w:rPr>
            </w:pPr>
            <w:r>
              <w:rPr>
                <w:lang w:eastAsia="cs-CZ"/>
              </w:rPr>
              <w:t>text položky z hierarchicky nadřízeného číselníku příčin smrti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07" w:rsidRDefault="00BC4407" w:rsidP="00BC4407">
            <w:pPr>
              <w:rPr>
                <w:lang w:eastAsia="cs-CZ"/>
              </w:rPr>
            </w:pPr>
            <w:r>
              <w:rPr>
                <w:lang w:eastAsia="cs-CZ"/>
              </w:rPr>
              <w:t>text hierarchicky nadřízené kapitoly příčin smrti</w:t>
            </w:r>
          </w:p>
        </w:tc>
      </w:tr>
      <w:tr w:rsidR="00BC4407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407" w:rsidRPr="001447CB" w:rsidRDefault="00BC4407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</w:t>
            </w:r>
            <w:r w:rsidRPr="001447CB">
              <w:rPr>
                <w:lang w:eastAsia="cs-CZ"/>
              </w:rPr>
              <w:t>uzemi_txt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07" w:rsidRPr="00222387" w:rsidRDefault="00BC440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07" w:rsidRPr="00222387" w:rsidRDefault="00BC4407" w:rsidP="008C2490">
            <w:pPr>
              <w:rPr>
                <w:lang w:eastAsia="cs-CZ"/>
              </w:rPr>
            </w:pPr>
            <w:r>
              <w:rPr>
                <w:lang w:eastAsia="cs-CZ"/>
              </w:rPr>
              <w:t>název území (okresu, kraje, ČR)</w:t>
            </w:r>
          </w:p>
        </w:tc>
      </w:tr>
    </w:tbl>
    <w:p w:rsidR="003770A0" w:rsidRDefault="003770A0" w:rsidP="00222387">
      <w:pPr>
        <w:pStyle w:val="Nadpis2"/>
      </w:pPr>
    </w:p>
    <w:p w:rsidR="003770A0" w:rsidRDefault="003770A0" w:rsidP="00222387">
      <w:pPr>
        <w:pStyle w:val="Nadpis2"/>
      </w:pPr>
      <w:r>
        <w:t>Použité číselníky a referenční údaje:</w:t>
      </w:r>
    </w:p>
    <w:p w:rsidR="00717972" w:rsidRDefault="00717972" w:rsidP="00717972"/>
    <w:p w:rsidR="00717972" w:rsidRPr="00717972" w:rsidRDefault="00717972" w:rsidP="00717972">
      <w:r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  <w:r w:rsidR="00EC4A30">
        <w:t>Prozatím mimo SMS je pouze seznam výstupních ukazatelů (VUK).</w:t>
      </w:r>
    </w:p>
    <w:p w:rsidR="003770A0" w:rsidRDefault="00717972" w:rsidP="00222387">
      <w:r>
        <w:t>V datové sadě jsou použity:</w:t>
      </w:r>
    </w:p>
    <w:p w:rsidR="00BE04CB" w:rsidRDefault="00BE04CB" w:rsidP="00BE04CB">
      <w:r w:rsidRPr="00EC14FF">
        <w:rPr>
          <w:b/>
        </w:rPr>
        <w:t>Seznam statistických proměnných</w:t>
      </w:r>
      <w:r>
        <w:t xml:space="preserve"> - </w:t>
      </w:r>
      <w:hyperlink r:id="rId6" w:history="1">
        <w:r w:rsidRPr="001F5AC0">
          <w:rPr>
            <w:rStyle w:val="Hypertextovodkaz"/>
          </w:rPr>
          <w:t>https://www.czso.cz/csu/czso/statisticke-promenne-ukazatele</w:t>
        </w:r>
      </w:hyperlink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7078"/>
      </w:tblGrid>
      <w:tr w:rsidR="000E4AC3" w:rsidRPr="000E4AC3" w:rsidTr="00BE04CB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0E4AC3" w:rsidRPr="000E4AC3" w:rsidRDefault="000E4AC3" w:rsidP="000E4AC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KÓD</w:t>
            </w:r>
          </w:p>
        </w:tc>
        <w:tc>
          <w:tcPr>
            <w:tcW w:w="7078" w:type="dxa"/>
            <w:shd w:val="clear" w:color="auto" w:fill="auto"/>
            <w:noWrap/>
            <w:vAlign w:val="bottom"/>
            <w:hideMark/>
          </w:tcPr>
          <w:p w:rsidR="000E4AC3" w:rsidRPr="000E4AC3" w:rsidRDefault="000E4AC3" w:rsidP="000E4AC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0E4AC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TEXT</w:t>
            </w:r>
          </w:p>
        </w:tc>
      </w:tr>
      <w:tr w:rsidR="000E4AC3" w:rsidRPr="000E4AC3" w:rsidTr="00BE04CB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0E4AC3" w:rsidRPr="000E4AC3" w:rsidRDefault="00BE04CB" w:rsidP="00BE04C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5393</w:t>
            </w:r>
          </w:p>
        </w:tc>
        <w:tc>
          <w:tcPr>
            <w:tcW w:w="7078" w:type="dxa"/>
            <w:shd w:val="clear" w:color="auto" w:fill="auto"/>
            <w:noWrap/>
            <w:vAlign w:val="bottom"/>
            <w:hideMark/>
          </w:tcPr>
          <w:p w:rsidR="000E4AC3" w:rsidRPr="000E4AC3" w:rsidRDefault="00BE04CB" w:rsidP="000E4AC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BE04CB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Počet zemřelých osob s trvalým nebo dlouhodobým pobytem</w:t>
            </w:r>
          </w:p>
        </w:tc>
      </w:tr>
    </w:tbl>
    <w:p w:rsidR="000E4AC3" w:rsidRDefault="000E4AC3" w:rsidP="00EC14FF"/>
    <w:p w:rsidR="00D86B84" w:rsidRDefault="00D86B84" w:rsidP="002531AE">
      <w:pPr>
        <w:rPr>
          <w:b/>
        </w:rPr>
      </w:pPr>
      <w:r>
        <w:rPr>
          <w:b/>
        </w:rPr>
        <w:t xml:space="preserve">Číselník pohlaví - </w:t>
      </w:r>
      <w:r w:rsidRPr="00070FB5">
        <w:t>kód číselníku</w:t>
      </w:r>
      <w:r>
        <w:t xml:space="preserve"> ČSÚ 102</w:t>
      </w:r>
    </w:p>
    <w:p w:rsidR="006D3B46" w:rsidRDefault="006D3B46" w:rsidP="006D3B46">
      <w:r>
        <w:t xml:space="preserve">CSV: </w:t>
      </w:r>
      <w:hyperlink r:id="rId7" w:history="1">
        <w:r w:rsidR="00F4044F" w:rsidRPr="000F4240">
          <w:rPr>
            <w:rStyle w:val="Hypertextovodkaz"/>
          </w:rPr>
          <w:t>https://apl.czso.cz/iSMS/do_cis_export?kodcis=102&amp;typdat=0&amp;cisjaz=203&amp;format=2</w:t>
        </w:r>
      </w:hyperlink>
      <w:r>
        <w:t xml:space="preserve"> </w:t>
      </w:r>
    </w:p>
    <w:p w:rsidR="006D3B46" w:rsidRPr="00070FB5" w:rsidRDefault="006D3B46" w:rsidP="006D3B46">
      <w:r>
        <w:t xml:space="preserve">XML: </w:t>
      </w:r>
      <w:hyperlink r:id="rId8" w:history="1">
        <w:r w:rsidR="006C5F65" w:rsidRPr="000F4240">
          <w:rPr>
            <w:rStyle w:val="Hypertextovodkaz"/>
          </w:rPr>
          <w:t>https://apl.czso.cz/iSMS/do_cis_export?kodcis=102&amp;typdat=0&amp;cisjaz=203&amp;format=0</w:t>
        </w:r>
      </w:hyperlink>
      <w:r>
        <w:t xml:space="preserve"> </w:t>
      </w:r>
    </w:p>
    <w:p w:rsidR="00D86B84" w:rsidRDefault="00D86B84" w:rsidP="00D86B84"/>
    <w:p w:rsidR="00E556E4" w:rsidRDefault="00606CC1" w:rsidP="00D86B84">
      <w:r w:rsidRPr="00E556E4">
        <w:rPr>
          <w:b/>
        </w:rPr>
        <w:t>Pro stanovení příčiny smrti</w:t>
      </w:r>
      <w:r w:rsidRPr="00606CC1">
        <w:t xml:space="preserve"> </w:t>
      </w:r>
      <w:r w:rsidR="00E556E4">
        <w:rPr>
          <w:b/>
        </w:rPr>
        <w:t>–</w:t>
      </w:r>
      <w:r>
        <w:rPr>
          <w:b/>
        </w:rPr>
        <w:t xml:space="preserve"> </w:t>
      </w:r>
      <w:r w:rsidR="00E556E4" w:rsidRPr="00E556E4">
        <w:t>používá se třímístná kategorie Mezinárodní klasifikace nemocí MKN-10. Zároveň se uvádí příslušnost (vazba) příčiny smrti do hierarchicky nadřazené prvního úrovně klasifikace (kapitoly).</w:t>
      </w:r>
    </w:p>
    <w:p w:rsidR="00F4044F" w:rsidRPr="00E556E4" w:rsidRDefault="00F4044F" w:rsidP="00D86B84"/>
    <w:p w:rsidR="00D86B84" w:rsidRPr="00606CC1" w:rsidRDefault="00606CC1" w:rsidP="00D86B84">
      <w:pPr>
        <w:rPr>
          <w:rFonts w:eastAsia="Times New Roman" w:cs="Arial"/>
          <w:b/>
          <w:color w:val="000000"/>
          <w:szCs w:val="20"/>
          <w:lang w:eastAsia="cs-CZ"/>
        </w:rPr>
      </w:pPr>
      <w:r w:rsidRPr="00606CC1">
        <w:rPr>
          <w:b/>
        </w:rPr>
        <w:t>Mezinárodní statistická klasifikace nemocí a přidružených zdravotních problémů (MKN-10) - úroveň 2 - Třímístné kategorie</w:t>
      </w:r>
      <w:r>
        <w:rPr>
          <w:b/>
        </w:rPr>
        <w:t xml:space="preserve"> -  </w:t>
      </w:r>
      <w:r w:rsidRPr="00070FB5">
        <w:t>kód číselníku</w:t>
      </w:r>
      <w:r>
        <w:t xml:space="preserve"> ČSÚ 5121 </w:t>
      </w:r>
    </w:p>
    <w:p w:rsidR="006D3B46" w:rsidRDefault="006D3B46" w:rsidP="006D3B46">
      <w:r>
        <w:t xml:space="preserve">CSV: </w:t>
      </w:r>
      <w:hyperlink r:id="rId9" w:history="1">
        <w:r w:rsidRPr="000F4240">
          <w:rPr>
            <w:rStyle w:val="Hypertextovodkaz"/>
          </w:rPr>
          <w:t>https://apl.czso.cz/iSMS/do_cis_export?kodcis=5121&amp;typdat=0&amp;cisjaz=203&amp;format=2</w:t>
        </w:r>
      </w:hyperlink>
      <w:r>
        <w:t xml:space="preserve"> </w:t>
      </w:r>
    </w:p>
    <w:p w:rsidR="006D3B46" w:rsidRPr="00070FB5" w:rsidRDefault="006D3B46" w:rsidP="006D3B46">
      <w:r>
        <w:t xml:space="preserve">XML: </w:t>
      </w:r>
      <w:hyperlink r:id="rId10" w:history="1">
        <w:r w:rsidRPr="000F4240">
          <w:rPr>
            <w:rStyle w:val="Hypertextovodkaz"/>
          </w:rPr>
          <w:t>https://apl.czso.cz/iSMS/do_cis_export?kodcis=5121&amp;typdat=0&amp;cisjaz=203&amp;format=0</w:t>
        </w:r>
      </w:hyperlink>
      <w:r>
        <w:t xml:space="preserve"> </w:t>
      </w:r>
    </w:p>
    <w:p w:rsidR="006D3B46" w:rsidRDefault="006D3B46" w:rsidP="00606CC1"/>
    <w:p w:rsidR="00BC4407" w:rsidRDefault="00BC4407" w:rsidP="002531AE">
      <w:r w:rsidRPr="00BC4407">
        <w:rPr>
          <w:b/>
        </w:rPr>
        <w:t xml:space="preserve">Mezinárodní statistická klasifikace nemocí a přidružených zdravotních problémů (MKN-10) - úroveň 1 </w:t>
      </w:r>
      <w:r>
        <w:rPr>
          <w:b/>
        </w:rPr>
        <w:t>–</w:t>
      </w:r>
      <w:r w:rsidRPr="00BC4407">
        <w:rPr>
          <w:b/>
        </w:rPr>
        <w:t xml:space="preserve"> Kapitoly</w:t>
      </w:r>
      <w:r>
        <w:rPr>
          <w:b/>
        </w:rPr>
        <w:t xml:space="preserve"> </w:t>
      </w:r>
      <w:r>
        <w:t>– kód číselníku ČSÚ 5120</w:t>
      </w:r>
    </w:p>
    <w:p w:rsidR="006D3B46" w:rsidRDefault="006D3B46" w:rsidP="006D3B46">
      <w:r>
        <w:t xml:space="preserve">CSV: </w:t>
      </w:r>
      <w:hyperlink r:id="rId11" w:history="1">
        <w:r w:rsidRPr="000F4240">
          <w:rPr>
            <w:rStyle w:val="Hypertextovodkaz"/>
          </w:rPr>
          <w:t>https://apl.czso.cz/iSMS/do_cis_export?kodcis=5120&amp;typdat=0&amp;cisjaz=203&amp;format=2</w:t>
        </w:r>
      </w:hyperlink>
      <w:r>
        <w:t xml:space="preserve"> </w:t>
      </w:r>
    </w:p>
    <w:p w:rsidR="006D3B46" w:rsidRPr="00070FB5" w:rsidRDefault="006D3B46" w:rsidP="006D3B46">
      <w:r>
        <w:t xml:space="preserve">XML: </w:t>
      </w:r>
      <w:hyperlink r:id="rId12" w:history="1">
        <w:r w:rsidRPr="000F4240">
          <w:rPr>
            <w:rStyle w:val="Hypertextovodkaz"/>
          </w:rPr>
          <w:t>https://apl.czso.cz/iSMS/do_cis_export?kodcis=5120&amp;typdat=0&amp;cisjaz=203&amp;format=0</w:t>
        </w:r>
      </w:hyperlink>
      <w:r>
        <w:t xml:space="preserve"> </w:t>
      </w:r>
    </w:p>
    <w:p w:rsidR="00BC4407" w:rsidRDefault="00BC4407" w:rsidP="002531AE">
      <w:pPr>
        <w:rPr>
          <w:b/>
        </w:rPr>
      </w:pPr>
    </w:p>
    <w:p w:rsidR="002531AE" w:rsidRDefault="002531AE" w:rsidP="002531AE">
      <w:r>
        <w:rPr>
          <w:b/>
        </w:rPr>
        <w:t>Č</w:t>
      </w:r>
      <w:r w:rsidRPr="00EC14FF">
        <w:rPr>
          <w:b/>
        </w:rPr>
        <w:t xml:space="preserve">íselník </w:t>
      </w:r>
      <w:r>
        <w:rPr>
          <w:b/>
        </w:rPr>
        <w:t>okresů</w:t>
      </w:r>
      <w:r>
        <w:t xml:space="preserve"> – </w:t>
      </w:r>
      <w:r w:rsidRPr="00070FB5">
        <w:t>kód číselníku</w:t>
      </w:r>
      <w:r>
        <w:t xml:space="preserve"> ČSÚ 101 </w:t>
      </w:r>
    </w:p>
    <w:p w:rsidR="006D3B46" w:rsidRDefault="006D3B46" w:rsidP="006D3B46">
      <w:r>
        <w:t xml:space="preserve">CSV: </w:t>
      </w:r>
      <w:hyperlink r:id="rId13" w:history="1">
        <w:r w:rsidRPr="000F4240">
          <w:rPr>
            <w:rStyle w:val="Hypertextovodkaz"/>
          </w:rPr>
          <w:t>https://apl.czso.cz/iSMS/do_cis_export?kodcis=101&amp;typdat=0&amp;cisjaz=203&amp;format=2</w:t>
        </w:r>
      </w:hyperlink>
      <w:r>
        <w:t xml:space="preserve"> </w:t>
      </w:r>
    </w:p>
    <w:p w:rsidR="006D3B46" w:rsidRPr="00070FB5" w:rsidRDefault="006D3B46" w:rsidP="006D3B46">
      <w:r>
        <w:t xml:space="preserve">XML: </w:t>
      </w:r>
      <w:hyperlink r:id="rId14" w:history="1">
        <w:r w:rsidRPr="000F4240">
          <w:rPr>
            <w:rStyle w:val="Hypertextovodkaz"/>
          </w:rPr>
          <w:t>https://apl.czso.cz/iSMS/do_cis_export?kodcis=101&amp;typdat=0&amp;cisjaz=203&amp;format=0</w:t>
        </w:r>
      </w:hyperlink>
      <w:r>
        <w:t xml:space="preserve"> </w:t>
      </w:r>
    </w:p>
    <w:p w:rsidR="002531AE" w:rsidRDefault="002531AE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8C7634" w:rsidRDefault="008C7634" w:rsidP="008C7634">
      <w:r>
        <w:rPr>
          <w:b/>
        </w:rPr>
        <w:t>Č</w:t>
      </w:r>
      <w:r w:rsidRPr="00EC14FF">
        <w:rPr>
          <w:b/>
        </w:rPr>
        <w:t>íselník krajů</w:t>
      </w:r>
      <w:r>
        <w:t xml:space="preserve"> – </w:t>
      </w:r>
      <w:r w:rsidRPr="00070FB5">
        <w:t>kód číselníku</w:t>
      </w:r>
      <w:r>
        <w:t xml:space="preserve"> ČSÚ 100 </w:t>
      </w:r>
    </w:p>
    <w:p w:rsidR="006D3B46" w:rsidRDefault="006D3B46" w:rsidP="006D3B46">
      <w:r>
        <w:t xml:space="preserve">CSV: </w:t>
      </w:r>
      <w:hyperlink r:id="rId15" w:history="1">
        <w:r w:rsidRPr="000E62C1">
          <w:rPr>
            <w:rStyle w:val="Hypertextovodkaz"/>
          </w:rPr>
          <w:t>https://apl.czso.cz/iSMS/do_cis_export?kodcis=100&amp;typdat=0&amp;cisjaz=203&amp;format=2</w:t>
        </w:r>
      </w:hyperlink>
      <w:r>
        <w:t xml:space="preserve"> </w:t>
      </w:r>
    </w:p>
    <w:p w:rsidR="006D3B46" w:rsidRPr="00070FB5" w:rsidRDefault="006D3B46" w:rsidP="006D3B46">
      <w:r>
        <w:t xml:space="preserve">XML: </w:t>
      </w:r>
      <w:hyperlink r:id="rId16" w:history="1">
        <w:r w:rsidRPr="000E62C1">
          <w:rPr>
            <w:rStyle w:val="Hypertextovodkaz"/>
          </w:rPr>
          <w:t>https://apl.czso.cz/iSMS/do_cis_export?kodcis=100&amp;typdat=0&amp;cisjaz=203&amp;format=0</w:t>
        </w:r>
      </w:hyperlink>
      <w:r>
        <w:t xml:space="preserve"> </w:t>
      </w:r>
    </w:p>
    <w:p w:rsidR="008C7634" w:rsidRDefault="008C7634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C27DAA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C27DAA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0E4AC3" w:rsidRDefault="005C7437" w:rsidP="00DA59DF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údaje </w:t>
      </w:r>
      <w:r w:rsidR="00E556E4">
        <w:rPr>
          <w:rFonts w:eastAsia="Times New Roman" w:cs="Arial"/>
          <w:color w:val="000000"/>
          <w:szCs w:val="20"/>
          <w:lang w:eastAsia="cs-CZ"/>
        </w:rPr>
        <w:t xml:space="preserve">vždy 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za </w:t>
      </w:r>
      <w:r w:rsidR="00E556E4">
        <w:rPr>
          <w:rFonts w:eastAsia="Times New Roman" w:cs="Arial"/>
          <w:color w:val="000000"/>
          <w:szCs w:val="20"/>
          <w:lang w:eastAsia="cs-CZ"/>
        </w:rPr>
        <w:t xml:space="preserve">celý </w:t>
      </w:r>
      <w:r w:rsidR="000E4AC3">
        <w:rPr>
          <w:rFonts w:eastAsia="Times New Roman" w:cs="Arial"/>
          <w:color w:val="000000"/>
          <w:szCs w:val="20"/>
          <w:lang w:eastAsia="cs-CZ"/>
        </w:rPr>
        <w:t xml:space="preserve">kalendářní rok, tedy jako interval </w:t>
      </w:r>
      <w:proofErr w:type="gramStart"/>
      <w:r w:rsidR="000E4AC3">
        <w:rPr>
          <w:rFonts w:eastAsia="Times New Roman" w:cs="Arial"/>
          <w:color w:val="000000"/>
          <w:szCs w:val="20"/>
          <w:lang w:eastAsia="cs-CZ"/>
        </w:rPr>
        <w:t>1.1.RRRR</w:t>
      </w:r>
      <w:proofErr w:type="gramEnd"/>
      <w:r w:rsidR="000E4AC3">
        <w:rPr>
          <w:rFonts w:eastAsia="Times New Roman" w:cs="Arial"/>
          <w:color w:val="000000"/>
          <w:szCs w:val="20"/>
          <w:lang w:eastAsia="cs-CZ"/>
        </w:rPr>
        <w:t xml:space="preserve"> – 31.12.RRRR.</w:t>
      </w:r>
    </w:p>
    <w:sectPr w:rsidR="000E4AC3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70FB5"/>
    <w:rsid w:val="00073937"/>
    <w:rsid w:val="000A6AD0"/>
    <w:rsid w:val="000E4AC3"/>
    <w:rsid w:val="000E69C3"/>
    <w:rsid w:val="000F0464"/>
    <w:rsid w:val="00116DCD"/>
    <w:rsid w:val="0013212B"/>
    <w:rsid w:val="001447CB"/>
    <w:rsid w:val="00161AC3"/>
    <w:rsid w:val="00182F1F"/>
    <w:rsid w:val="00183100"/>
    <w:rsid w:val="001911A8"/>
    <w:rsid w:val="00207716"/>
    <w:rsid w:val="00222387"/>
    <w:rsid w:val="002531AE"/>
    <w:rsid w:val="00271FF8"/>
    <w:rsid w:val="003469AC"/>
    <w:rsid w:val="00347443"/>
    <w:rsid w:val="0036737E"/>
    <w:rsid w:val="003721AA"/>
    <w:rsid w:val="003727F5"/>
    <w:rsid w:val="003770A0"/>
    <w:rsid w:val="0039075C"/>
    <w:rsid w:val="003A0180"/>
    <w:rsid w:val="003B5F9C"/>
    <w:rsid w:val="003C6D65"/>
    <w:rsid w:val="003E0ED7"/>
    <w:rsid w:val="0041591F"/>
    <w:rsid w:val="00427BC7"/>
    <w:rsid w:val="00436E75"/>
    <w:rsid w:val="00493CEF"/>
    <w:rsid w:val="00496D34"/>
    <w:rsid w:val="004C3390"/>
    <w:rsid w:val="004E47F3"/>
    <w:rsid w:val="00526A21"/>
    <w:rsid w:val="00563BE9"/>
    <w:rsid w:val="00573AFB"/>
    <w:rsid w:val="0058334C"/>
    <w:rsid w:val="00590469"/>
    <w:rsid w:val="005B027B"/>
    <w:rsid w:val="005C7437"/>
    <w:rsid w:val="005F1D35"/>
    <w:rsid w:val="00603920"/>
    <w:rsid w:val="00606CC1"/>
    <w:rsid w:val="006505BC"/>
    <w:rsid w:val="00683EB8"/>
    <w:rsid w:val="006B5FD8"/>
    <w:rsid w:val="006C0492"/>
    <w:rsid w:val="006C5F65"/>
    <w:rsid w:val="006C6333"/>
    <w:rsid w:val="006D3B46"/>
    <w:rsid w:val="00717972"/>
    <w:rsid w:val="00757006"/>
    <w:rsid w:val="007E3C0B"/>
    <w:rsid w:val="00804D77"/>
    <w:rsid w:val="008207F9"/>
    <w:rsid w:val="00844906"/>
    <w:rsid w:val="00885388"/>
    <w:rsid w:val="008954BC"/>
    <w:rsid w:val="008A20ED"/>
    <w:rsid w:val="008C2490"/>
    <w:rsid w:val="008C7634"/>
    <w:rsid w:val="008C7F12"/>
    <w:rsid w:val="008E54F2"/>
    <w:rsid w:val="00905870"/>
    <w:rsid w:val="00911D3A"/>
    <w:rsid w:val="00981B0F"/>
    <w:rsid w:val="00985C14"/>
    <w:rsid w:val="009A6943"/>
    <w:rsid w:val="009F0AD8"/>
    <w:rsid w:val="00B46285"/>
    <w:rsid w:val="00BB766E"/>
    <w:rsid w:val="00BC4407"/>
    <w:rsid w:val="00BD411F"/>
    <w:rsid w:val="00BE04CB"/>
    <w:rsid w:val="00C27DAA"/>
    <w:rsid w:val="00C71A7A"/>
    <w:rsid w:val="00C74D82"/>
    <w:rsid w:val="00C94754"/>
    <w:rsid w:val="00CB3541"/>
    <w:rsid w:val="00CB6999"/>
    <w:rsid w:val="00D127CC"/>
    <w:rsid w:val="00D50F39"/>
    <w:rsid w:val="00D86B84"/>
    <w:rsid w:val="00DA59DF"/>
    <w:rsid w:val="00DA719B"/>
    <w:rsid w:val="00E07E81"/>
    <w:rsid w:val="00E13299"/>
    <w:rsid w:val="00E556E4"/>
    <w:rsid w:val="00EC14FF"/>
    <w:rsid w:val="00EC4A30"/>
    <w:rsid w:val="00EE78D1"/>
    <w:rsid w:val="00F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14D"/>
  <w15:docId w15:val="{794720DE-EBBD-416D-9A35-0FDB15CE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odsazen">
    <w:name w:val="Body Text Indent"/>
    <w:basedOn w:val="Normln"/>
    <w:link w:val="ZkladntextodsazenChar"/>
    <w:semiHidden/>
    <w:rsid w:val="00905870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05870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A-Metodpozn">
    <w:name w:val="A-Metod pozn"/>
    <w:basedOn w:val="Normln"/>
    <w:rsid w:val="00436E75"/>
    <w:pPr>
      <w:tabs>
        <w:tab w:val="left" w:pos="180"/>
      </w:tabs>
      <w:autoSpaceDE w:val="0"/>
      <w:autoSpaceDN w:val="0"/>
      <w:adjustRightInd w:val="0"/>
      <w:spacing w:after="360" w:line="240" w:lineRule="auto"/>
      <w:ind w:firstLine="709"/>
    </w:pPr>
    <w:rPr>
      <w:rFonts w:eastAsia="Times New Roman" w:cs="Arial"/>
      <w:bC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102&amp;typdat=0&amp;cisjaz=203&amp;format=0" TargetMode="External"/><Relationship Id="rId13" Type="http://schemas.openxmlformats.org/officeDocument/2006/relationships/hyperlink" Target="https://apl.czso.cz/iSMS/do_cis_export?kodcis=101&amp;typdat=0&amp;cisjaz=203&amp;format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l.czso.cz/iSMS/do_cis_export?kodcis=102&amp;typdat=0&amp;cisjaz=203&amp;format=2" TargetMode="External"/><Relationship Id="rId12" Type="http://schemas.openxmlformats.org/officeDocument/2006/relationships/hyperlink" Target="https://apl.czso.cz/iSMS/do_cis_export?kodcis=5120&amp;typdat=0&amp;cisjaz=203&amp;format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l.czso.cz/iSMS/do_cis_export?kodcis=100&amp;typdat=0&amp;cisjaz=203&amp;format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statisticke-promenne-ukazatele" TargetMode="External"/><Relationship Id="rId11" Type="http://schemas.openxmlformats.org/officeDocument/2006/relationships/hyperlink" Target="https://apl.czso.cz/iSMS/do_cis_export?kodcis=5120&amp;typdat=0&amp;cisjaz=203&amp;format=2" TargetMode="External"/><Relationship Id="rId5" Type="http://schemas.openxmlformats.org/officeDocument/2006/relationships/hyperlink" Target="https://www.czso.cz/csu/czso/zemreli-podle-seznamu-pricin-smrti-pohlavi-a-veku-v-cr-krajich-a-okresech-2007-az-2016" TargetMode="External"/><Relationship Id="rId15" Type="http://schemas.openxmlformats.org/officeDocument/2006/relationships/hyperlink" Target="https://apl.czso.cz/iSMS/do_cis_export?kodcis=100&amp;typdat=0&amp;cisjaz=203&amp;format=2" TargetMode="External"/><Relationship Id="rId10" Type="http://schemas.openxmlformats.org/officeDocument/2006/relationships/hyperlink" Target="https://apl.czso.cz/iSMS/do_cis_export?kodcis=5121&amp;typdat=0&amp;cisjaz=203&amp;form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5121&amp;typdat=0&amp;cisjaz=203&amp;format=2" TargetMode="External"/><Relationship Id="rId14" Type="http://schemas.openxmlformats.org/officeDocument/2006/relationships/hyperlink" Target="https://apl.czso.cz/iSMS/do_cis_export?kodcis=101&amp;typdat=0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8</cp:revision>
  <dcterms:created xsi:type="dcterms:W3CDTF">2023-03-21T07:45:00Z</dcterms:created>
  <dcterms:modified xsi:type="dcterms:W3CDTF">2023-03-23T09:35:00Z</dcterms:modified>
</cp:coreProperties>
</file>