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4E37" w14:textId="77777777" w:rsidR="00CA5127" w:rsidRDefault="00CA5127" w:rsidP="00CA5127">
      <w:pPr>
        <w:spacing w:after="240" w:line="288" w:lineRule="auto"/>
        <w:rPr>
          <w:rFonts w:eastAsia="MS Gothic"/>
          <w:b/>
          <w:bCs w:val="0"/>
          <w:sz w:val="28"/>
          <w:szCs w:val="26"/>
        </w:rPr>
      </w:pPr>
      <w:r w:rsidRPr="007036F2">
        <w:rPr>
          <w:rFonts w:eastAsia="MS Gothic"/>
          <w:b/>
          <w:sz w:val="28"/>
          <w:szCs w:val="26"/>
        </w:rPr>
        <w:t>Metodické poznámky</w:t>
      </w:r>
    </w:p>
    <w:p w14:paraId="64D2D2C0" w14:textId="77777777" w:rsidR="00831874" w:rsidRPr="00831874" w:rsidRDefault="00831874" w:rsidP="00831874">
      <w:pPr>
        <w:spacing w:line="288" w:lineRule="auto"/>
        <w:rPr>
          <w:bCs w:val="0"/>
          <w:sz w:val="20"/>
          <w:szCs w:val="20"/>
        </w:rPr>
      </w:pPr>
      <w:r w:rsidRPr="00831874">
        <w:rPr>
          <w:rFonts w:cs="Arial"/>
          <w:bCs w:val="0"/>
          <w:sz w:val="20"/>
        </w:rPr>
        <w:t xml:space="preserve">Veškeré údaje se týkají občanů České republiky a cizinců s trvalým pobytem v Česku, občanů třetích zemí s přechodným pobytem na území Česka na základě dlouhodobého víza (nad 90 dnů) nebo povolení k dlouhodobému pobytu, občanů zemí EU, Norska, Švýcarska, Islandu, Lichtenštejnska a jejich rodinných příslušníků s hlášeným přechodným pobytem na území Česka a cizinců s udělenou mezinárodní ochranou v České republice. </w:t>
      </w:r>
      <w:r w:rsidRPr="00831874">
        <w:rPr>
          <w:bCs w:val="0"/>
          <w:sz w:val="20"/>
          <w:szCs w:val="20"/>
        </w:rPr>
        <w:t>Od roku 2022 jsou do obyvatelstva zahrnovány také osoby s udělenou dočasnou ochranou v České republice s obvyklým pobytem v Česku.</w:t>
      </w:r>
    </w:p>
    <w:p w14:paraId="06EC04A4" w14:textId="77777777" w:rsidR="00831874" w:rsidRPr="00831874" w:rsidRDefault="00831874" w:rsidP="00831874">
      <w:pPr>
        <w:spacing w:after="240" w:line="288" w:lineRule="auto"/>
        <w:rPr>
          <w:rFonts w:cs="Arial"/>
          <w:bCs w:val="0"/>
          <w:sz w:val="20"/>
        </w:rPr>
      </w:pPr>
      <w:r w:rsidRPr="00831874">
        <w:rPr>
          <w:rFonts w:cs="Arial"/>
          <w:bCs w:val="0"/>
          <w:sz w:val="20"/>
          <w:szCs w:val="20"/>
        </w:rPr>
        <w:t xml:space="preserve">Podrobnější informace jsou uvedeny na </w:t>
      </w:r>
      <w:hyperlink r:id="rId7" w:history="1">
        <w:r w:rsidRPr="00831874">
          <w:rPr>
            <w:rFonts w:cs="Arial"/>
            <w:bCs w:val="0"/>
            <w:color w:val="0000FF"/>
            <w:sz w:val="20"/>
            <w:szCs w:val="20"/>
            <w:u w:val="single"/>
          </w:rPr>
          <w:t>https://csu.gov.cz/pocet_obyvatel_m</w:t>
        </w:r>
      </w:hyperlink>
      <w:r w:rsidRPr="00831874">
        <w:rPr>
          <w:rFonts w:cs="Arial"/>
          <w:bCs w:val="0"/>
          <w:sz w:val="20"/>
          <w:szCs w:val="20"/>
        </w:rPr>
        <w:t>.</w:t>
      </w:r>
    </w:p>
    <w:p w14:paraId="277AC8D8" w14:textId="77777777" w:rsidR="00831874" w:rsidRPr="00831874" w:rsidRDefault="00831874" w:rsidP="00831874">
      <w:pPr>
        <w:spacing w:after="240" w:line="288" w:lineRule="auto"/>
        <w:rPr>
          <w:rFonts w:cs="Arial"/>
          <w:bCs w:val="0"/>
          <w:color w:val="0000FF"/>
          <w:sz w:val="20"/>
          <w:u w:val="single"/>
        </w:rPr>
      </w:pPr>
      <w:r w:rsidRPr="00831874">
        <w:rPr>
          <w:rFonts w:cs="Arial"/>
          <w:bCs w:val="0"/>
          <w:sz w:val="20"/>
        </w:rPr>
        <w:t xml:space="preserve">Definice demografických událostí a nejpoužívanějších z nich odvozených souhrnných ukazatelů jsou uvedeny na </w:t>
      </w:r>
      <w:hyperlink r:id="rId8" w:history="1">
        <w:r w:rsidRPr="00831874">
          <w:rPr>
            <w:rFonts w:eastAsia="MS Gothic"/>
            <w:bCs w:val="0"/>
            <w:color w:val="0000FF"/>
            <w:sz w:val="20"/>
            <w:u w:val="single"/>
          </w:rPr>
          <w:t>https://csu.gov.cz/pohyb-obyvatelstva-metodika</w:t>
        </w:r>
      </w:hyperlink>
      <w:r w:rsidRPr="00831874">
        <w:rPr>
          <w:rFonts w:cs="Arial"/>
          <w:bCs w:val="0"/>
          <w:color w:val="0000FF"/>
          <w:sz w:val="20"/>
          <w:u w:val="single"/>
        </w:rPr>
        <w:t>.</w:t>
      </w:r>
    </w:p>
    <w:p w14:paraId="0451019A" w14:textId="77777777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 xml:space="preserve">Věkem (v letech, dnech) se rozumí dokončený věk. </w:t>
      </w:r>
    </w:p>
    <w:p w14:paraId="32B724CC" w14:textId="77777777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b/>
          <w:sz w:val="20"/>
          <w:szCs w:val="20"/>
        </w:rPr>
        <w:t>Území krajů</w:t>
      </w:r>
      <w:r w:rsidRPr="00CA5127">
        <w:rPr>
          <w:sz w:val="20"/>
          <w:szCs w:val="20"/>
        </w:rPr>
        <w:t xml:space="preserve"> vymezuje od roku 2021 zákon č. 51/2020 Sb., o územně správním členění státu. Kraje jsou vymezeny konkrétními správními obvody obcí s rozšířenou působností (viz Vyhláška č. 346/2020 Sb., o stanovení správních obvodů obcí s rozšířenou působností, území obvodů hlavního města Prahy a příslušnosti některých obcí do jiného okresu). </w:t>
      </w:r>
    </w:p>
    <w:p w14:paraId="370B7443" w14:textId="7E7635E0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 xml:space="preserve">Publikace obsahuje údaje o počtu a pohybu obyvatel jednotlivých krajů (a celé České republiky) v desetileté časové řadě let </w:t>
      </w:r>
      <w:r w:rsidR="00762AEE" w:rsidRPr="00CA5127">
        <w:rPr>
          <w:rFonts w:cs="Arial"/>
          <w:sz w:val="20"/>
          <w:szCs w:val="20"/>
        </w:rPr>
        <w:t>201</w:t>
      </w:r>
      <w:r w:rsidR="000546FE">
        <w:rPr>
          <w:rFonts w:cs="Arial"/>
          <w:sz w:val="20"/>
          <w:szCs w:val="20"/>
        </w:rPr>
        <w:t>6</w:t>
      </w:r>
      <w:r w:rsidR="00996ACB">
        <w:rPr>
          <w:rFonts w:cs="Arial"/>
          <w:sz w:val="20"/>
          <w:szCs w:val="20"/>
        </w:rPr>
        <w:t>–</w:t>
      </w:r>
      <w:r w:rsidRPr="00CA5127">
        <w:rPr>
          <w:rFonts w:cs="Arial"/>
          <w:sz w:val="20"/>
          <w:szCs w:val="20"/>
        </w:rPr>
        <w:t>202</w:t>
      </w:r>
      <w:r w:rsidR="000546FE">
        <w:rPr>
          <w:rFonts w:cs="Arial"/>
          <w:sz w:val="20"/>
          <w:szCs w:val="20"/>
        </w:rPr>
        <w:t>5</w:t>
      </w:r>
      <w:r w:rsidRPr="00CA5127">
        <w:rPr>
          <w:rFonts w:cs="Arial"/>
          <w:sz w:val="20"/>
          <w:szCs w:val="20"/>
        </w:rPr>
        <w:t>, přičemž všechny uvedené údaje se vztahují k </w:t>
      </w:r>
      <w:r w:rsidRPr="00CA5127">
        <w:rPr>
          <w:rFonts w:cs="Arial"/>
          <w:b/>
          <w:sz w:val="20"/>
          <w:szCs w:val="20"/>
        </w:rPr>
        <w:t>území daného kraje</w:t>
      </w:r>
      <w:r w:rsidRPr="00CA5127">
        <w:rPr>
          <w:rFonts w:cs="Arial"/>
          <w:sz w:val="20"/>
          <w:szCs w:val="20"/>
        </w:rPr>
        <w:t xml:space="preserve"> platnému </w:t>
      </w:r>
      <w:r w:rsidRPr="00CA5127">
        <w:rPr>
          <w:rFonts w:cs="Arial"/>
          <w:b/>
          <w:sz w:val="20"/>
          <w:szCs w:val="20"/>
        </w:rPr>
        <w:t>k 1. 1. 202</w:t>
      </w:r>
      <w:r w:rsidR="000546FE">
        <w:rPr>
          <w:rFonts w:cs="Arial"/>
          <w:b/>
          <w:sz w:val="20"/>
          <w:szCs w:val="20"/>
        </w:rPr>
        <w:t>6</w:t>
      </w:r>
      <w:r w:rsidRPr="00CA5127">
        <w:rPr>
          <w:rFonts w:cs="Arial"/>
          <w:sz w:val="20"/>
          <w:szCs w:val="20"/>
        </w:rPr>
        <w:t>. Údaje za jednotlivé kraje jsou tak v čase plně srovnatelné</w:t>
      </w:r>
      <w:r w:rsidRPr="00CA5127">
        <w:rPr>
          <w:rStyle w:val="Znakapoznpodarou"/>
          <w:rFonts w:cs="Arial"/>
          <w:sz w:val="20"/>
          <w:szCs w:val="20"/>
        </w:rPr>
        <w:footnoteReference w:id="1"/>
      </w:r>
      <w:r w:rsidRPr="00CA5127">
        <w:rPr>
          <w:rFonts w:cs="Arial"/>
          <w:sz w:val="20"/>
          <w:szCs w:val="20"/>
        </w:rPr>
        <w:t xml:space="preserve">. </w:t>
      </w:r>
    </w:p>
    <w:p w14:paraId="3C24B3B7" w14:textId="77777777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>Sňatky jsou tříděny podle místa pobytu ženicha, pokud není uvedeno jinak. Průměrný věk ženicha/nevěsty při sňatku vychází z rozložení absolutních počtů sňatků podle věku ženicha/nevěsty.</w:t>
      </w:r>
    </w:p>
    <w:p w14:paraId="670F4B85" w14:textId="48A05E12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>Rozvody jsou územně tříděny podle posledního společného bydliště manželů. Délka trvání manželství vychází z data uzavření manželství a data nabytí právní moci rozvodu. Průměrný věk muže/ženy při rozvodu vychází z rozložení absolutních počtů rozvodů podle věku muže/ženy.</w:t>
      </w:r>
    </w:p>
    <w:p w14:paraId="50D11790" w14:textId="703422E6" w:rsidR="00CA5127" w:rsidRP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 xml:space="preserve">Narození jsou tříděni podle místa pobytu matky v době porodu. </w:t>
      </w:r>
      <w:r w:rsidR="00762AEE">
        <w:rPr>
          <w:rFonts w:cs="Arial"/>
          <w:sz w:val="20"/>
          <w:szCs w:val="20"/>
        </w:rPr>
        <w:t>P</w:t>
      </w:r>
      <w:r w:rsidRPr="00CA5127">
        <w:rPr>
          <w:rFonts w:cs="Arial"/>
          <w:sz w:val="20"/>
          <w:szCs w:val="20"/>
        </w:rPr>
        <w:t xml:space="preserve">ořadí zjišťováno pouze u živě narozených dětí a ze živě narozených dětí. </w:t>
      </w:r>
      <w:r w:rsidR="00F12C68" w:rsidRPr="006B6ED7">
        <w:rPr>
          <w:rFonts w:cs="Arial"/>
          <w:sz w:val="20"/>
          <w:szCs w:val="20"/>
        </w:rPr>
        <w:t>P</w:t>
      </w:r>
      <w:r w:rsidRPr="006B6ED7">
        <w:rPr>
          <w:rFonts w:cs="Arial"/>
          <w:sz w:val="20"/>
          <w:szCs w:val="20"/>
        </w:rPr>
        <w:t xml:space="preserve">růměrný věk matky při narození dítěte vychází z rozložení </w:t>
      </w:r>
      <w:r w:rsidR="00F428F2" w:rsidRPr="006B6ED7">
        <w:rPr>
          <w:rFonts w:cs="Arial"/>
          <w:sz w:val="20"/>
          <w:szCs w:val="20"/>
        </w:rPr>
        <w:t>měr plodnosti</w:t>
      </w:r>
      <w:r w:rsidRPr="006B6ED7">
        <w:rPr>
          <w:rFonts w:cs="Arial"/>
          <w:sz w:val="20"/>
          <w:szCs w:val="20"/>
        </w:rPr>
        <w:t xml:space="preserve"> podle věku matek</w:t>
      </w:r>
      <w:r w:rsidR="00F428F2" w:rsidRPr="006B6ED7">
        <w:rPr>
          <w:rFonts w:cs="Arial"/>
          <w:sz w:val="20"/>
          <w:szCs w:val="20"/>
        </w:rPr>
        <w:t>.</w:t>
      </w:r>
      <w:r w:rsidRPr="006B6ED7">
        <w:rPr>
          <w:rFonts w:cs="Arial"/>
          <w:sz w:val="20"/>
          <w:szCs w:val="20"/>
        </w:rPr>
        <w:t xml:space="preserve"> </w:t>
      </w:r>
      <w:r w:rsidR="00F24DD5" w:rsidRPr="006B6ED7">
        <w:rPr>
          <w:rFonts w:cs="Arial"/>
          <w:sz w:val="20"/>
          <w:szCs w:val="20"/>
        </w:rPr>
        <w:t>Oproti ostatním výstupům ČSÚ</w:t>
      </w:r>
      <w:r w:rsidR="00F12C68" w:rsidRPr="006B6ED7">
        <w:rPr>
          <w:rFonts w:cs="Arial"/>
          <w:sz w:val="20"/>
          <w:szCs w:val="20"/>
        </w:rPr>
        <w:t xml:space="preserve"> zde </w:t>
      </w:r>
      <w:r w:rsidR="006B6ED7" w:rsidRPr="006B6ED7">
        <w:rPr>
          <w:rFonts w:cs="Arial"/>
          <w:sz w:val="20"/>
          <w:szCs w:val="20"/>
        </w:rPr>
        <w:t>uvažované</w:t>
      </w:r>
      <w:r w:rsidR="00F24DD5" w:rsidRPr="006B6ED7">
        <w:rPr>
          <w:rFonts w:cs="Arial"/>
          <w:sz w:val="20"/>
          <w:szCs w:val="20"/>
        </w:rPr>
        <w:t xml:space="preserve"> míry plodnosti podle věku </w:t>
      </w:r>
      <w:r w:rsidR="00F12C68" w:rsidRPr="006B6ED7">
        <w:rPr>
          <w:rFonts w:cs="Arial"/>
          <w:sz w:val="20"/>
          <w:szCs w:val="20"/>
        </w:rPr>
        <w:t xml:space="preserve">na úrovni krajů </w:t>
      </w:r>
      <w:r w:rsidR="00F24DD5" w:rsidRPr="006B6ED7">
        <w:rPr>
          <w:rFonts w:cs="Arial"/>
          <w:sz w:val="20"/>
          <w:szCs w:val="20"/>
        </w:rPr>
        <w:t>vychází ze středního stavu žen v příslušném věku vypočtené</w:t>
      </w:r>
      <w:r w:rsidR="00F12C68" w:rsidRPr="006B6ED7">
        <w:rPr>
          <w:rFonts w:cs="Arial"/>
          <w:sz w:val="20"/>
          <w:szCs w:val="20"/>
        </w:rPr>
        <w:t>ho</w:t>
      </w:r>
      <w:r w:rsidR="00F24DD5" w:rsidRPr="006B6ED7">
        <w:rPr>
          <w:rFonts w:cs="Arial"/>
          <w:sz w:val="20"/>
          <w:szCs w:val="20"/>
        </w:rPr>
        <w:t xml:space="preserve"> prostým průměrem počátečního a koncového stavu příslušného roku (tj. úhrn</w:t>
      </w:r>
      <w:r w:rsidR="000872C3" w:rsidRPr="006B6ED7">
        <w:rPr>
          <w:rFonts w:cs="Arial"/>
          <w:sz w:val="20"/>
          <w:szCs w:val="20"/>
        </w:rPr>
        <w:t xml:space="preserve"> těchto </w:t>
      </w:r>
      <w:r w:rsidR="00F12C68" w:rsidRPr="006B6ED7">
        <w:rPr>
          <w:rFonts w:cs="Arial"/>
          <w:sz w:val="20"/>
          <w:szCs w:val="20"/>
        </w:rPr>
        <w:t xml:space="preserve">středních </w:t>
      </w:r>
      <w:r w:rsidR="000872C3" w:rsidRPr="006B6ED7">
        <w:rPr>
          <w:rFonts w:cs="Arial"/>
          <w:sz w:val="20"/>
          <w:szCs w:val="20"/>
        </w:rPr>
        <w:t xml:space="preserve">stavů podle věku </w:t>
      </w:r>
      <w:r w:rsidR="00F12C68" w:rsidRPr="006B6ED7">
        <w:rPr>
          <w:rFonts w:cs="Arial"/>
          <w:sz w:val="20"/>
          <w:szCs w:val="20"/>
        </w:rPr>
        <w:t>neodpovídá</w:t>
      </w:r>
      <w:r w:rsidR="000872C3" w:rsidRPr="006B6ED7">
        <w:rPr>
          <w:rFonts w:cs="Arial"/>
          <w:sz w:val="20"/>
          <w:szCs w:val="20"/>
        </w:rPr>
        <w:t xml:space="preserve"> </w:t>
      </w:r>
      <w:r w:rsidR="00F12C68" w:rsidRPr="006B6ED7">
        <w:rPr>
          <w:rFonts w:cs="Arial"/>
          <w:sz w:val="20"/>
          <w:szCs w:val="20"/>
        </w:rPr>
        <w:t xml:space="preserve">na úrovni krajů </w:t>
      </w:r>
      <w:r w:rsidR="000872C3" w:rsidRPr="006B6ED7">
        <w:rPr>
          <w:rFonts w:cs="Arial"/>
          <w:sz w:val="20"/>
          <w:szCs w:val="20"/>
        </w:rPr>
        <w:t>střednímu stavu bilancovanému k 1.7.).</w:t>
      </w:r>
      <w:r w:rsidR="00F05ED1" w:rsidRPr="006B6ED7">
        <w:rPr>
          <w:rFonts w:cs="Arial"/>
          <w:sz w:val="20"/>
          <w:szCs w:val="20"/>
        </w:rPr>
        <w:t xml:space="preserve"> Z takto vypočtených měr je pak získána i úhrnná plodnost.</w:t>
      </w:r>
    </w:p>
    <w:p w14:paraId="501A3BCA" w14:textId="006A93D8" w:rsidR="00CA5127" w:rsidRPr="00CA5127" w:rsidRDefault="00831874" w:rsidP="00CA5127">
      <w:pPr>
        <w:spacing w:after="240" w:line="288" w:lineRule="auto"/>
        <w:rPr>
          <w:rFonts w:cs="Arial"/>
          <w:sz w:val="20"/>
          <w:szCs w:val="20"/>
        </w:rPr>
      </w:pPr>
      <w:r w:rsidRPr="00831874">
        <w:rPr>
          <w:rFonts w:cs="Arial"/>
          <w:sz w:val="20"/>
          <w:szCs w:val="20"/>
        </w:rPr>
        <w:t>Potraty jsou územně tříděny podle místa pobytu ženy v době potratu. Časová řada končí rokem 2023, neboť od roku 2024 již potraty nejsou součástí běžné demografické statistiky zpracovávané ČSÚ.</w:t>
      </w:r>
    </w:p>
    <w:p w14:paraId="31D2EC07" w14:textId="1C0C3918" w:rsidR="00CA5127" w:rsidRDefault="00CA5127" w:rsidP="00CA5127">
      <w:pPr>
        <w:spacing w:after="240" w:line="288" w:lineRule="auto"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 xml:space="preserve">Naděje dožití je výsledným ukazatelem tzv. úmrtnostních tabulek, které ČSÚ zpracovává pro jednotlivé kraje, s ohledem na eliminaci náhodných výkyvů, za dvouletá kalendářní období. Údaj u roku </w:t>
      </w:r>
      <w:r w:rsidR="00762AEE" w:rsidRPr="00CA5127">
        <w:rPr>
          <w:rFonts w:cs="Arial"/>
          <w:sz w:val="20"/>
          <w:szCs w:val="20"/>
        </w:rPr>
        <w:t>202</w:t>
      </w:r>
      <w:r w:rsidR="000546FE">
        <w:rPr>
          <w:rFonts w:cs="Arial"/>
          <w:sz w:val="20"/>
          <w:szCs w:val="20"/>
        </w:rPr>
        <w:t>5</w:t>
      </w:r>
      <w:r w:rsidR="00762AEE" w:rsidRPr="00CA5127">
        <w:rPr>
          <w:rFonts w:cs="Arial"/>
          <w:sz w:val="20"/>
          <w:szCs w:val="20"/>
        </w:rPr>
        <w:t xml:space="preserve"> </w:t>
      </w:r>
      <w:r w:rsidRPr="00CA5127">
        <w:rPr>
          <w:rFonts w:cs="Arial"/>
          <w:sz w:val="20"/>
          <w:szCs w:val="20"/>
        </w:rPr>
        <w:t xml:space="preserve">přitom odpovídá úmrtnostní tabulce za období </w:t>
      </w:r>
      <w:r w:rsidR="00762AEE" w:rsidRPr="00CA5127">
        <w:rPr>
          <w:rFonts w:cs="Arial"/>
          <w:sz w:val="20"/>
          <w:szCs w:val="20"/>
        </w:rPr>
        <w:t>20</w:t>
      </w:r>
      <w:r w:rsidR="00762AEE">
        <w:rPr>
          <w:rFonts w:cs="Arial"/>
          <w:sz w:val="20"/>
          <w:szCs w:val="20"/>
        </w:rPr>
        <w:t>2</w:t>
      </w:r>
      <w:r w:rsidR="000546FE">
        <w:rPr>
          <w:rFonts w:cs="Arial"/>
          <w:sz w:val="20"/>
          <w:szCs w:val="20"/>
        </w:rPr>
        <w:t>4</w:t>
      </w:r>
      <w:r w:rsidR="00996ACB">
        <w:rPr>
          <w:rFonts w:cs="Arial"/>
          <w:sz w:val="20"/>
          <w:szCs w:val="20"/>
        </w:rPr>
        <w:t>–</w:t>
      </w:r>
      <w:r w:rsidRPr="00CA5127">
        <w:rPr>
          <w:rFonts w:cs="Arial"/>
          <w:sz w:val="20"/>
          <w:szCs w:val="20"/>
        </w:rPr>
        <w:t>202</w:t>
      </w:r>
      <w:r w:rsidR="000546FE">
        <w:rPr>
          <w:rFonts w:cs="Arial"/>
          <w:sz w:val="20"/>
          <w:szCs w:val="20"/>
        </w:rPr>
        <w:t>5</w:t>
      </w:r>
      <w:r w:rsidRPr="00CA5127">
        <w:rPr>
          <w:rFonts w:cs="Arial"/>
          <w:sz w:val="20"/>
          <w:szCs w:val="20"/>
        </w:rPr>
        <w:t xml:space="preserve"> apod. V tabulce za Českou republiku vychází uvedené hodnoty naděje dožití z jednoletých úmrtnostních tabulek. </w:t>
      </w:r>
    </w:p>
    <w:p w14:paraId="007E5E57" w14:textId="77777777" w:rsidR="000546FE" w:rsidRDefault="000546FE" w:rsidP="00CA5127">
      <w:pPr>
        <w:spacing w:after="240" w:line="288" w:lineRule="auto"/>
        <w:rPr>
          <w:rFonts w:cs="Arial"/>
          <w:sz w:val="20"/>
          <w:szCs w:val="20"/>
        </w:rPr>
      </w:pPr>
    </w:p>
    <w:p w14:paraId="161E0DEB" w14:textId="77777777" w:rsidR="000546FE" w:rsidRPr="00CA5127" w:rsidRDefault="000546FE" w:rsidP="00CA5127">
      <w:pPr>
        <w:spacing w:after="240" w:line="288" w:lineRule="auto"/>
        <w:rPr>
          <w:rFonts w:cs="Arial"/>
          <w:sz w:val="20"/>
          <w:szCs w:val="20"/>
        </w:rPr>
      </w:pPr>
    </w:p>
    <w:p w14:paraId="682F31C6" w14:textId="77777777" w:rsidR="00CA5127" w:rsidRPr="00CA5127" w:rsidRDefault="00CA5127" w:rsidP="00CA5127">
      <w:pPr>
        <w:rPr>
          <w:rFonts w:cs="Arial"/>
          <w:sz w:val="20"/>
          <w:szCs w:val="20"/>
        </w:rPr>
      </w:pPr>
    </w:p>
    <w:p w14:paraId="75956CD7" w14:textId="77777777" w:rsidR="00CA5127" w:rsidRPr="00CA5127" w:rsidRDefault="00CA5127" w:rsidP="00CA5127">
      <w:pPr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>Použité značky v tabulkách:</w:t>
      </w:r>
    </w:p>
    <w:p w14:paraId="007D743D" w14:textId="77777777" w:rsidR="00CA5127" w:rsidRPr="00CA5127" w:rsidRDefault="00CA5127" w:rsidP="00CA5127">
      <w:pPr>
        <w:ind w:left="357"/>
        <w:contextualSpacing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>Pomlčka (-)</w:t>
      </w:r>
      <w:r w:rsidRPr="00CA5127">
        <w:rPr>
          <w:rFonts w:cs="Arial"/>
          <w:sz w:val="20"/>
          <w:szCs w:val="20"/>
        </w:rPr>
        <w:tab/>
      </w:r>
      <w:r w:rsidRPr="00CA5127">
        <w:rPr>
          <w:rFonts w:cs="Arial"/>
          <w:sz w:val="20"/>
          <w:szCs w:val="20"/>
        </w:rPr>
        <w:tab/>
        <w:t>na místě čísla značí, že se jev nevyskytoval</w:t>
      </w:r>
    </w:p>
    <w:p w14:paraId="67E0ECA6" w14:textId="77777777" w:rsidR="00CA5127" w:rsidRPr="00CA5127" w:rsidRDefault="00CA5127" w:rsidP="00CA5127">
      <w:pPr>
        <w:ind w:left="357"/>
        <w:contextualSpacing/>
        <w:rPr>
          <w:rFonts w:cs="Arial"/>
          <w:sz w:val="20"/>
          <w:szCs w:val="20"/>
        </w:rPr>
      </w:pPr>
      <w:r w:rsidRPr="00CA5127">
        <w:rPr>
          <w:rFonts w:cs="Arial"/>
          <w:sz w:val="20"/>
          <w:szCs w:val="20"/>
        </w:rPr>
        <w:t>Tečka (.)</w:t>
      </w:r>
      <w:r w:rsidRPr="00CA5127">
        <w:rPr>
          <w:rFonts w:cs="Arial"/>
          <w:sz w:val="20"/>
          <w:szCs w:val="20"/>
        </w:rPr>
        <w:tab/>
      </w:r>
      <w:r w:rsidRPr="00CA5127">
        <w:rPr>
          <w:rFonts w:cs="Arial"/>
          <w:sz w:val="20"/>
          <w:szCs w:val="20"/>
        </w:rPr>
        <w:tab/>
        <w:t>na místě čísla značí, že údaj není k dispozici nebo je nespolehlivý</w:t>
      </w:r>
    </w:p>
    <w:p w14:paraId="3AE387C1" w14:textId="77777777" w:rsidR="00CA5127" w:rsidRPr="00CA5127" w:rsidRDefault="00CA5127" w:rsidP="00CA5127">
      <w:pPr>
        <w:ind w:left="357"/>
        <w:contextualSpacing/>
        <w:rPr>
          <w:sz w:val="20"/>
          <w:szCs w:val="20"/>
        </w:rPr>
      </w:pPr>
      <w:r w:rsidRPr="00CA5127">
        <w:rPr>
          <w:rFonts w:cs="Arial"/>
          <w:sz w:val="20"/>
          <w:szCs w:val="20"/>
        </w:rPr>
        <w:t>Písmeno (x)</w:t>
      </w:r>
      <w:r w:rsidRPr="00CA5127">
        <w:rPr>
          <w:rFonts w:cs="Arial"/>
          <w:sz w:val="20"/>
          <w:szCs w:val="20"/>
        </w:rPr>
        <w:tab/>
        <w:t>ležatý křížek na místě čísla značí, že zápis není možný z logických důvodů</w:t>
      </w:r>
    </w:p>
    <w:p w14:paraId="5F92434B" w14:textId="567ED9D1" w:rsidR="00206735" w:rsidRPr="00CA5127" w:rsidRDefault="00206735" w:rsidP="00CA5127">
      <w:pPr>
        <w:rPr>
          <w:sz w:val="20"/>
          <w:szCs w:val="20"/>
        </w:rPr>
      </w:pPr>
    </w:p>
    <w:sectPr w:rsidR="00206735" w:rsidRPr="00CA5127" w:rsidSect="007E723F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7" w:h="16840" w:code="9"/>
      <w:pgMar w:top="1134" w:right="1134" w:bottom="1418" w:left="1134" w:header="510" w:footer="680" w:gutter="0"/>
      <w:pgNumType w:start="3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6C210" w14:textId="77777777" w:rsidR="009549AF" w:rsidRDefault="009549AF" w:rsidP="00152720">
      <w:r>
        <w:separator/>
      </w:r>
    </w:p>
  </w:endnote>
  <w:endnote w:type="continuationSeparator" w:id="0">
    <w:p w14:paraId="6DC32B74" w14:textId="77777777" w:rsidR="009549AF" w:rsidRDefault="009549AF" w:rsidP="0015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F9CE" w14:textId="40939098" w:rsidR="00F37084" w:rsidRDefault="007E723F" w:rsidP="007E723F">
    <w:pPr>
      <w:pStyle w:val="Zpat"/>
      <w:tabs>
        <w:tab w:val="left" w:pos="240"/>
        <w:tab w:val="center" w:pos="4819"/>
      </w:tabs>
    </w:pPr>
    <w:r>
      <w:t>4</w:t>
    </w:r>
    <w:r>
      <w:tab/>
    </w:r>
    <w:r>
      <w:tab/>
    </w:r>
    <w:r w:rsidR="005779C7">
      <w:t>201</w:t>
    </w:r>
    <w:r w:rsidR="000546FE">
      <w:t>6</w:t>
    </w:r>
    <w:r w:rsidR="00996ACB">
      <w:t>–</w:t>
    </w:r>
    <w:r w:rsidR="00F37084">
      <w:t>202</w:t>
    </w:r>
    <w:r w:rsidR="000546FE">
      <w:t>5</w:t>
    </w:r>
    <w:r w:rsidR="00B85E5E">
      <w:tab/>
    </w:r>
    <w:r w:rsidR="00B85E5E">
      <w:t xml:space="preserve">ČSÚ / </w:t>
    </w:r>
    <w:r w:rsidR="00B85E5E" w:rsidRPr="00B85E5E">
      <w:rPr>
        <w:i/>
        <w:iCs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6FC2" w14:textId="0111D376" w:rsidR="00F37084" w:rsidRDefault="00B85E5E" w:rsidP="007E723F">
    <w:pPr>
      <w:pStyle w:val="Zpat"/>
      <w:tabs>
        <w:tab w:val="center" w:pos="4819"/>
        <w:tab w:val="right" w:pos="9639"/>
      </w:tabs>
    </w:pPr>
    <w:r>
      <w:t xml:space="preserve">ČSÚ / </w:t>
    </w:r>
    <w:r w:rsidRPr="00B85E5E">
      <w:rPr>
        <w:i/>
        <w:iCs/>
      </w:rPr>
      <w:t>CZSO</w:t>
    </w:r>
    <w:r w:rsidR="007E723F">
      <w:tab/>
    </w:r>
    <w:r w:rsidR="00490B5F">
      <w:t>201</w:t>
    </w:r>
    <w:r w:rsidR="000546FE">
      <w:t>6</w:t>
    </w:r>
    <w:r w:rsidR="00996ACB">
      <w:t>–</w:t>
    </w:r>
    <w:r w:rsidR="00F37084">
      <w:t>202</w:t>
    </w:r>
    <w:r w:rsidR="000546FE">
      <w:t>5</w:t>
    </w:r>
    <w:r w:rsidR="007E723F">
      <w:tab/>
    </w:r>
    <w:r w:rsidR="007E723F">
      <w:tab/>
    </w:r>
    <w:r w:rsidR="007E723F">
      <w:fldChar w:fldCharType="begin"/>
    </w:r>
    <w:r w:rsidR="007E723F">
      <w:instrText>PAGE   \* MERGEFORMAT</w:instrText>
    </w:r>
    <w:r w:rsidR="007E723F">
      <w:fldChar w:fldCharType="separate"/>
    </w:r>
    <w:r w:rsidR="006B6ED7">
      <w:rPr>
        <w:noProof/>
      </w:rPr>
      <w:t>3</w:t>
    </w:r>
    <w:r w:rsidR="007E723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1E730" w14:textId="77777777" w:rsidR="009549AF" w:rsidRDefault="009549AF" w:rsidP="00152720">
      <w:r>
        <w:separator/>
      </w:r>
    </w:p>
  </w:footnote>
  <w:footnote w:type="continuationSeparator" w:id="0">
    <w:p w14:paraId="3F0CD148" w14:textId="77777777" w:rsidR="009549AF" w:rsidRDefault="009549AF" w:rsidP="00152720">
      <w:r>
        <w:continuationSeparator/>
      </w:r>
    </w:p>
  </w:footnote>
  <w:footnote w:id="1">
    <w:p w14:paraId="45DBC830" w14:textId="77777777" w:rsidR="00CA5127" w:rsidRPr="00667D84" w:rsidRDefault="00CA5127" w:rsidP="00CA5127">
      <w:pPr>
        <w:rPr>
          <w:rFonts w:cs="Arial"/>
          <w:i/>
          <w:sz w:val="18"/>
          <w:szCs w:val="18"/>
        </w:rPr>
      </w:pPr>
      <w:r w:rsidRPr="00667D84">
        <w:rPr>
          <w:rStyle w:val="Znakapoznpodarou"/>
          <w:i/>
          <w:sz w:val="18"/>
          <w:szCs w:val="18"/>
        </w:rPr>
        <w:footnoteRef/>
      </w:r>
      <w:r w:rsidRPr="00667D84">
        <w:rPr>
          <w:i/>
          <w:sz w:val="18"/>
          <w:szCs w:val="18"/>
        </w:rPr>
        <w:t xml:space="preserve"> V</w:t>
      </w:r>
      <w:r w:rsidRPr="00667D84">
        <w:rPr>
          <w:rFonts w:cs="Arial"/>
          <w:i/>
          <w:sz w:val="18"/>
          <w:szCs w:val="18"/>
        </w:rPr>
        <w:t xml:space="preserve"> případě změny územního vymezení kraje v dané časové řadě se proto zde prezentované údaje v letech před touto změnou liší od údajů uváděných v ostatních výstupech demografické statistiky </w:t>
      </w:r>
      <w:r>
        <w:rPr>
          <w:rFonts w:cs="Arial"/>
          <w:i/>
          <w:sz w:val="18"/>
          <w:szCs w:val="18"/>
        </w:rPr>
        <w:t xml:space="preserve">Českého statistického úřadu </w:t>
      </w:r>
      <w:r w:rsidRPr="00667D84">
        <w:rPr>
          <w:rFonts w:cs="Arial"/>
          <w:i/>
          <w:sz w:val="18"/>
          <w:szCs w:val="18"/>
        </w:rPr>
        <w:t>a veřejné databázi pro daný kraj a rok.</w:t>
      </w:r>
    </w:p>
    <w:p w14:paraId="1B9BA172" w14:textId="69D85718" w:rsidR="00CA5127" w:rsidRDefault="00CA5127" w:rsidP="00CA5127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4D58" w14:textId="77777777" w:rsidR="00F05ED1" w:rsidRDefault="00F05ED1" w:rsidP="00F05ED1">
    <w:pPr>
      <w:pStyle w:val="Zhlav"/>
    </w:pPr>
    <w:r w:rsidRPr="00E97C22">
      <w:t>Demografická ročenka krajů</w:t>
    </w:r>
  </w:p>
  <w:p w14:paraId="71ACD6F9" w14:textId="77777777" w:rsidR="00F05ED1" w:rsidRPr="003C31BE" w:rsidRDefault="00F05ED1" w:rsidP="00F05ED1">
    <w:pPr>
      <w:pStyle w:val="Zhlav"/>
      <w:rPr>
        <w:i/>
        <w:lang w:val="en-US"/>
      </w:rPr>
    </w:pPr>
    <w:r w:rsidRPr="003C31BE">
      <w:rPr>
        <w:i/>
        <w:lang w:val="en-US"/>
      </w:rPr>
      <w:t>Demographic Yearbook of the Regions of the Czech Republic</w:t>
    </w:r>
  </w:p>
  <w:p w14:paraId="718FE1D1" w14:textId="0059EB1C" w:rsidR="00F37084" w:rsidRPr="00F05ED1" w:rsidRDefault="00F37084" w:rsidP="00F05E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3468" w14:textId="77777777" w:rsidR="00CA5127" w:rsidRDefault="00CA5127" w:rsidP="00CA5127">
    <w:pPr>
      <w:pStyle w:val="Zhlav"/>
    </w:pPr>
    <w:r w:rsidRPr="00E97C22">
      <w:t>Demografická ročenka krajů</w:t>
    </w:r>
  </w:p>
  <w:p w14:paraId="22903E91" w14:textId="77777777" w:rsidR="00CA5127" w:rsidRPr="003C31BE" w:rsidRDefault="00CA5127" w:rsidP="00CA5127">
    <w:pPr>
      <w:pStyle w:val="Zhlav"/>
      <w:rPr>
        <w:i/>
        <w:lang w:val="en-US"/>
      </w:rPr>
    </w:pPr>
    <w:r w:rsidRPr="003C31BE">
      <w:rPr>
        <w:i/>
        <w:lang w:val="en-US"/>
      </w:rPr>
      <w:t>Demographic Yearbook of the Regions of the Czech Republic</w:t>
    </w:r>
  </w:p>
  <w:p w14:paraId="475FBD55" w14:textId="5138F935" w:rsidR="00F37084" w:rsidRPr="00CA5127" w:rsidRDefault="00F37084" w:rsidP="00CA5127">
    <w:pPr>
      <w:pStyle w:val="Zhlav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458C"/>
    <w:multiLevelType w:val="hybridMultilevel"/>
    <w:tmpl w:val="EB7CAF24"/>
    <w:lvl w:ilvl="0" w:tplc="E2A2F6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4C57E6"/>
    <w:multiLevelType w:val="hybridMultilevel"/>
    <w:tmpl w:val="A2BEEBDE"/>
    <w:lvl w:ilvl="0" w:tplc="38E642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6009913">
    <w:abstractNumId w:val="1"/>
  </w:num>
  <w:num w:numId="2" w16cid:durableId="144889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C75"/>
    <w:rsid w:val="0000233A"/>
    <w:rsid w:val="000141E4"/>
    <w:rsid w:val="00023455"/>
    <w:rsid w:val="00045DE7"/>
    <w:rsid w:val="000546FE"/>
    <w:rsid w:val="00063818"/>
    <w:rsid w:val="00067E17"/>
    <w:rsid w:val="00070148"/>
    <w:rsid w:val="00087006"/>
    <w:rsid w:val="000872C3"/>
    <w:rsid w:val="000A6604"/>
    <w:rsid w:val="000C5743"/>
    <w:rsid w:val="000E72AE"/>
    <w:rsid w:val="000F4355"/>
    <w:rsid w:val="00102254"/>
    <w:rsid w:val="00104A48"/>
    <w:rsid w:val="001057EE"/>
    <w:rsid w:val="001132DD"/>
    <w:rsid w:val="0013163A"/>
    <w:rsid w:val="0014058E"/>
    <w:rsid w:val="00140FEA"/>
    <w:rsid w:val="00152720"/>
    <w:rsid w:val="00155509"/>
    <w:rsid w:val="00163D39"/>
    <w:rsid w:val="00185C4C"/>
    <w:rsid w:val="00187E16"/>
    <w:rsid w:val="00190E15"/>
    <w:rsid w:val="0019371A"/>
    <w:rsid w:val="001A0FB3"/>
    <w:rsid w:val="001C09C5"/>
    <w:rsid w:val="001C5912"/>
    <w:rsid w:val="001C6FB8"/>
    <w:rsid w:val="001D09C2"/>
    <w:rsid w:val="001D15E1"/>
    <w:rsid w:val="001D2059"/>
    <w:rsid w:val="001D5625"/>
    <w:rsid w:val="001E2D7F"/>
    <w:rsid w:val="001E732F"/>
    <w:rsid w:val="00206735"/>
    <w:rsid w:val="002337FE"/>
    <w:rsid w:val="00234749"/>
    <w:rsid w:val="00241985"/>
    <w:rsid w:val="00243B6E"/>
    <w:rsid w:val="002455A1"/>
    <w:rsid w:val="00247E09"/>
    <w:rsid w:val="00254D2D"/>
    <w:rsid w:val="002601DE"/>
    <w:rsid w:val="00294D4C"/>
    <w:rsid w:val="002A15AC"/>
    <w:rsid w:val="002A18C0"/>
    <w:rsid w:val="002C1B9C"/>
    <w:rsid w:val="003013C4"/>
    <w:rsid w:val="003066EC"/>
    <w:rsid w:val="00324DF2"/>
    <w:rsid w:val="00330E79"/>
    <w:rsid w:val="00336315"/>
    <w:rsid w:val="00342C82"/>
    <w:rsid w:val="00350953"/>
    <w:rsid w:val="003537F4"/>
    <w:rsid w:val="00362011"/>
    <w:rsid w:val="00391EDB"/>
    <w:rsid w:val="003931A3"/>
    <w:rsid w:val="003955AD"/>
    <w:rsid w:val="00395752"/>
    <w:rsid w:val="003D01C3"/>
    <w:rsid w:val="003D0495"/>
    <w:rsid w:val="003D7850"/>
    <w:rsid w:val="003E12C3"/>
    <w:rsid w:val="003E19A7"/>
    <w:rsid w:val="003F6FC3"/>
    <w:rsid w:val="004054E1"/>
    <w:rsid w:val="00412F87"/>
    <w:rsid w:val="00415088"/>
    <w:rsid w:val="00422C96"/>
    <w:rsid w:val="00432F86"/>
    <w:rsid w:val="00434EB8"/>
    <w:rsid w:val="00435C8C"/>
    <w:rsid w:val="00441DB4"/>
    <w:rsid w:val="00451B79"/>
    <w:rsid w:val="00453BAB"/>
    <w:rsid w:val="00475B9D"/>
    <w:rsid w:val="004831C9"/>
    <w:rsid w:val="00485D4D"/>
    <w:rsid w:val="00490B5F"/>
    <w:rsid w:val="00495566"/>
    <w:rsid w:val="0049754C"/>
    <w:rsid w:val="004B1137"/>
    <w:rsid w:val="004C4E07"/>
    <w:rsid w:val="004C657F"/>
    <w:rsid w:val="004E0B9D"/>
    <w:rsid w:val="005148D3"/>
    <w:rsid w:val="0052521E"/>
    <w:rsid w:val="00544127"/>
    <w:rsid w:val="00546A4C"/>
    <w:rsid w:val="0055314D"/>
    <w:rsid w:val="00557F83"/>
    <w:rsid w:val="00560082"/>
    <w:rsid w:val="00563184"/>
    <w:rsid w:val="005655DF"/>
    <w:rsid w:val="005779C7"/>
    <w:rsid w:val="00582119"/>
    <w:rsid w:val="00583213"/>
    <w:rsid w:val="005A4B57"/>
    <w:rsid w:val="005A7BDC"/>
    <w:rsid w:val="005C3AE0"/>
    <w:rsid w:val="005D6AC1"/>
    <w:rsid w:val="005D7A7E"/>
    <w:rsid w:val="005E2B7A"/>
    <w:rsid w:val="005E55BD"/>
    <w:rsid w:val="005F5DCB"/>
    <w:rsid w:val="005F63F9"/>
    <w:rsid w:val="00610D40"/>
    <w:rsid w:val="00612A9B"/>
    <w:rsid w:val="00625035"/>
    <w:rsid w:val="006325F7"/>
    <w:rsid w:val="0064207F"/>
    <w:rsid w:val="00642F14"/>
    <w:rsid w:val="0065294A"/>
    <w:rsid w:val="006738B6"/>
    <w:rsid w:val="006A0DDE"/>
    <w:rsid w:val="006B6ED7"/>
    <w:rsid w:val="006C396D"/>
    <w:rsid w:val="006D2E83"/>
    <w:rsid w:val="006D4F22"/>
    <w:rsid w:val="006D7769"/>
    <w:rsid w:val="006E1273"/>
    <w:rsid w:val="00702EB7"/>
    <w:rsid w:val="007039FA"/>
    <w:rsid w:val="00750E81"/>
    <w:rsid w:val="007510D3"/>
    <w:rsid w:val="00762AEE"/>
    <w:rsid w:val="007749CC"/>
    <w:rsid w:val="00792326"/>
    <w:rsid w:val="007A7622"/>
    <w:rsid w:val="007B1794"/>
    <w:rsid w:val="007C30BF"/>
    <w:rsid w:val="007C7E92"/>
    <w:rsid w:val="007D374C"/>
    <w:rsid w:val="007E723F"/>
    <w:rsid w:val="007F08BC"/>
    <w:rsid w:val="007F4914"/>
    <w:rsid w:val="008049F0"/>
    <w:rsid w:val="00806FC3"/>
    <w:rsid w:val="00810BC8"/>
    <w:rsid w:val="00825461"/>
    <w:rsid w:val="00831874"/>
    <w:rsid w:val="0084530A"/>
    <w:rsid w:val="00845C4D"/>
    <w:rsid w:val="008472FC"/>
    <w:rsid w:val="00853149"/>
    <w:rsid w:val="00860F8C"/>
    <w:rsid w:val="00870DC7"/>
    <w:rsid w:val="00880991"/>
    <w:rsid w:val="008846E8"/>
    <w:rsid w:val="00884B15"/>
    <w:rsid w:val="008A289F"/>
    <w:rsid w:val="008A35DB"/>
    <w:rsid w:val="008D0A6F"/>
    <w:rsid w:val="008D2195"/>
    <w:rsid w:val="008D54E4"/>
    <w:rsid w:val="008E5339"/>
    <w:rsid w:val="008F3BE5"/>
    <w:rsid w:val="008F578F"/>
    <w:rsid w:val="0090194E"/>
    <w:rsid w:val="00927B0A"/>
    <w:rsid w:val="00934B3C"/>
    <w:rsid w:val="0094460D"/>
    <w:rsid w:val="00953D15"/>
    <w:rsid w:val="009549AF"/>
    <w:rsid w:val="0096260F"/>
    <w:rsid w:val="00966497"/>
    <w:rsid w:val="00971335"/>
    <w:rsid w:val="00974F4D"/>
    <w:rsid w:val="00976FC4"/>
    <w:rsid w:val="00983EA5"/>
    <w:rsid w:val="00996ACB"/>
    <w:rsid w:val="009A5D2D"/>
    <w:rsid w:val="009A6788"/>
    <w:rsid w:val="009C2D9D"/>
    <w:rsid w:val="009D1C08"/>
    <w:rsid w:val="009D25A7"/>
    <w:rsid w:val="009D470E"/>
    <w:rsid w:val="009E2EF3"/>
    <w:rsid w:val="009E6556"/>
    <w:rsid w:val="009F0157"/>
    <w:rsid w:val="009F143B"/>
    <w:rsid w:val="00A23E64"/>
    <w:rsid w:val="00A30079"/>
    <w:rsid w:val="00A343A4"/>
    <w:rsid w:val="00A41A93"/>
    <w:rsid w:val="00A561C2"/>
    <w:rsid w:val="00A82B67"/>
    <w:rsid w:val="00A934C8"/>
    <w:rsid w:val="00AB3C75"/>
    <w:rsid w:val="00AF78BF"/>
    <w:rsid w:val="00B01D2E"/>
    <w:rsid w:val="00B33C18"/>
    <w:rsid w:val="00B355C2"/>
    <w:rsid w:val="00B42DAD"/>
    <w:rsid w:val="00B43237"/>
    <w:rsid w:val="00B45607"/>
    <w:rsid w:val="00B50A77"/>
    <w:rsid w:val="00B56010"/>
    <w:rsid w:val="00B64920"/>
    <w:rsid w:val="00B839CC"/>
    <w:rsid w:val="00B84473"/>
    <w:rsid w:val="00B85E5E"/>
    <w:rsid w:val="00BA5DC2"/>
    <w:rsid w:val="00BA6589"/>
    <w:rsid w:val="00BB7924"/>
    <w:rsid w:val="00BC21F1"/>
    <w:rsid w:val="00BD6B63"/>
    <w:rsid w:val="00BD6D22"/>
    <w:rsid w:val="00BF35A4"/>
    <w:rsid w:val="00C04DFA"/>
    <w:rsid w:val="00C0701D"/>
    <w:rsid w:val="00C12C67"/>
    <w:rsid w:val="00C16A64"/>
    <w:rsid w:val="00C42B69"/>
    <w:rsid w:val="00C47785"/>
    <w:rsid w:val="00C513EA"/>
    <w:rsid w:val="00C51EC4"/>
    <w:rsid w:val="00C5645C"/>
    <w:rsid w:val="00C73AEE"/>
    <w:rsid w:val="00C92999"/>
    <w:rsid w:val="00C947BB"/>
    <w:rsid w:val="00CA5127"/>
    <w:rsid w:val="00CB037A"/>
    <w:rsid w:val="00CB5162"/>
    <w:rsid w:val="00CC740A"/>
    <w:rsid w:val="00CC7B4E"/>
    <w:rsid w:val="00CC7CA3"/>
    <w:rsid w:val="00CE0FC8"/>
    <w:rsid w:val="00CF5FB2"/>
    <w:rsid w:val="00D04E4E"/>
    <w:rsid w:val="00D06BE1"/>
    <w:rsid w:val="00D327E0"/>
    <w:rsid w:val="00D354FF"/>
    <w:rsid w:val="00D45CDF"/>
    <w:rsid w:val="00D53B3F"/>
    <w:rsid w:val="00D62190"/>
    <w:rsid w:val="00D733DB"/>
    <w:rsid w:val="00D831C3"/>
    <w:rsid w:val="00D918FD"/>
    <w:rsid w:val="00DA12D2"/>
    <w:rsid w:val="00DA2F09"/>
    <w:rsid w:val="00DC4C5C"/>
    <w:rsid w:val="00DF2799"/>
    <w:rsid w:val="00E0740C"/>
    <w:rsid w:val="00E109C6"/>
    <w:rsid w:val="00E1599C"/>
    <w:rsid w:val="00E20BEA"/>
    <w:rsid w:val="00E27CBB"/>
    <w:rsid w:val="00E304D3"/>
    <w:rsid w:val="00E6373C"/>
    <w:rsid w:val="00E72BB2"/>
    <w:rsid w:val="00E7768A"/>
    <w:rsid w:val="00E93362"/>
    <w:rsid w:val="00E96B27"/>
    <w:rsid w:val="00EA3FF7"/>
    <w:rsid w:val="00EA560C"/>
    <w:rsid w:val="00EB084D"/>
    <w:rsid w:val="00ED2054"/>
    <w:rsid w:val="00F02235"/>
    <w:rsid w:val="00F05ED1"/>
    <w:rsid w:val="00F066A2"/>
    <w:rsid w:val="00F12C68"/>
    <w:rsid w:val="00F21228"/>
    <w:rsid w:val="00F24DD5"/>
    <w:rsid w:val="00F37084"/>
    <w:rsid w:val="00F415A1"/>
    <w:rsid w:val="00F428F2"/>
    <w:rsid w:val="00F551E6"/>
    <w:rsid w:val="00F55741"/>
    <w:rsid w:val="00F73653"/>
    <w:rsid w:val="00F87C60"/>
    <w:rsid w:val="00F94E75"/>
    <w:rsid w:val="00FA6D0B"/>
    <w:rsid w:val="00FB11D9"/>
    <w:rsid w:val="00FB2382"/>
    <w:rsid w:val="00FC3786"/>
    <w:rsid w:val="00FC4355"/>
    <w:rsid w:val="00FC49B4"/>
    <w:rsid w:val="00FE10E6"/>
    <w:rsid w:val="00FF3DA7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2C2AF"/>
  <w15:docId w15:val="{3E80D10F-9BE3-4953-A954-9F396FB3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0148"/>
    <w:rPr>
      <w:rFonts w:ascii="Arial" w:hAnsi="Arial"/>
      <w:bCs/>
      <w:sz w:val="16"/>
      <w:szCs w:val="24"/>
    </w:rPr>
  </w:style>
  <w:style w:type="paragraph" w:styleId="Nadpis1">
    <w:name w:val="heading 1"/>
    <w:basedOn w:val="Normln"/>
    <w:next w:val="Normln"/>
    <w:qFormat/>
    <w:rsid w:val="00070148"/>
    <w:pPr>
      <w:keepNext/>
      <w:outlineLvl w:val="0"/>
    </w:pPr>
    <w:rPr>
      <w:rFonts w:cs="Arial"/>
      <w:b/>
      <w:sz w:val="28"/>
    </w:rPr>
  </w:style>
  <w:style w:type="paragraph" w:styleId="Nadpis2">
    <w:name w:val="heading 2"/>
    <w:basedOn w:val="Normln"/>
    <w:next w:val="Normln"/>
    <w:qFormat/>
    <w:rsid w:val="00070148"/>
    <w:pPr>
      <w:keepNext/>
      <w:outlineLvl w:val="1"/>
    </w:pPr>
    <w:rPr>
      <w:rFonts w:cs="Arial"/>
      <w:b/>
      <w:sz w:val="20"/>
    </w:rPr>
  </w:style>
  <w:style w:type="paragraph" w:styleId="Nadpis3">
    <w:name w:val="heading 3"/>
    <w:basedOn w:val="Normln"/>
    <w:next w:val="Normln"/>
    <w:qFormat/>
    <w:rsid w:val="00070148"/>
    <w:pPr>
      <w:keepNext/>
      <w:pageBreakBefore/>
      <w:jc w:val="both"/>
      <w:outlineLvl w:val="2"/>
    </w:pPr>
    <w:rPr>
      <w:b/>
      <w:bCs w:val="0"/>
      <w:sz w:val="20"/>
      <w:szCs w:val="22"/>
    </w:rPr>
  </w:style>
  <w:style w:type="paragraph" w:styleId="Nadpis4">
    <w:name w:val="heading 4"/>
    <w:basedOn w:val="Normln"/>
    <w:next w:val="Normln"/>
    <w:qFormat/>
    <w:rsid w:val="00070148"/>
    <w:pPr>
      <w:keepNext/>
      <w:jc w:val="both"/>
      <w:outlineLvl w:val="3"/>
    </w:pPr>
    <w:rPr>
      <w:b/>
      <w:bCs w:val="0"/>
      <w:sz w:val="22"/>
      <w:szCs w:val="22"/>
    </w:rPr>
  </w:style>
  <w:style w:type="paragraph" w:styleId="Nadpis5">
    <w:name w:val="heading 5"/>
    <w:basedOn w:val="Normln"/>
    <w:next w:val="Normln"/>
    <w:qFormat/>
    <w:rsid w:val="00070148"/>
    <w:pPr>
      <w:keepNext/>
      <w:ind w:firstLine="708"/>
      <w:jc w:val="both"/>
      <w:outlineLvl w:val="4"/>
    </w:pPr>
    <w:rPr>
      <w:b/>
      <w:bCs w:val="0"/>
      <w:sz w:val="20"/>
      <w:szCs w:val="22"/>
      <w:lang w:val="en-US"/>
    </w:rPr>
  </w:style>
  <w:style w:type="paragraph" w:styleId="Nadpis6">
    <w:name w:val="heading 6"/>
    <w:basedOn w:val="Normln"/>
    <w:next w:val="Normln"/>
    <w:qFormat/>
    <w:rsid w:val="00070148"/>
    <w:pPr>
      <w:keepNext/>
      <w:jc w:val="both"/>
      <w:outlineLvl w:val="5"/>
    </w:pPr>
    <w:rPr>
      <w:color w:val="FF0000"/>
      <w:sz w:val="20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070148"/>
    <w:rPr>
      <w:sz w:val="22"/>
      <w:szCs w:val="22"/>
      <w:lang w:val="en-US"/>
    </w:rPr>
  </w:style>
  <w:style w:type="paragraph" w:styleId="Zkladntext2">
    <w:name w:val="Body Text 2"/>
    <w:basedOn w:val="Normln"/>
    <w:semiHidden/>
    <w:rsid w:val="00070148"/>
    <w:pPr>
      <w:jc w:val="both"/>
    </w:pPr>
    <w:rPr>
      <w:sz w:val="22"/>
    </w:rPr>
  </w:style>
  <w:style w:type="paragraph" w:styleId="Normlnweb">
    <w:name w:val="Normal (Web)"/>
    <w:basedOn w:val="Normln"/>
    <w:semiHidden/>
    <w:rsid w:val="00070148"/>
    <w:pPr>
      <w:spacing w:before="100" w:beforeAutospacing="1" w:after="100" w:afterAutospacing="1"/>
    </w:pPr>
    <w:rPr>
      <w:rFonts w:ascii="Times New Roman" w:hAnsi="Times New Roman"/>
      <w:bCs w:val="0"/>
      <w:sz w:val="24"/>
    </w:rPr>
  </w:style>
  <w:style w:type="paragraph" w:styleId="Zkladntextodsazen">
    <w:name w:val="Body Text Indent"/>
    <w:basedOn w:val="Normln"/>
    <w:semiHidden/>
    <w:rsid w:val="00070148"/>
    <w:pPr>
      <w:ind w:firstLine="708"/>
      <w:jc w:val="both"/>
    </w:pPr>
    <w:rPr>
      <w:sz w:val="22"/>
    </w:rPr>
  </w:style>
  <w:style w:type="paragraph" w:styleId="Zkladntext3">
    <w:name w:val="Body Text 3"/>
    <w:basedOn w:val="Normln"/>
    <w:semiHidden/>
    <w:rsid w:val="00070148"/>
    <w:pPr>
      <w:jc w:val="both"/>
    </w:pPr>
    <w:rPr>
      <w:sz w:val="20"/>
      <w:szCs w:val="22"/>
    </w:rPr>
  </w:style>
  <w:style w:type="paragraph" w:styleId="Zkladntextodsazen2">
    <w:name w:val="Body Text Indent 2"/>
    <w:basedOn w:val="Normln"/>
    <w:semiHidden/>
    <w:rsid w:val="00070148"/>
    <w:pPr>
      <w:ind w:firstLine="540"/>
      <w:jc w:val="both"/>
    </w:pPr>
    <w:rPr>
      <w:bCs w:val="0"/>
      <w:sz w:val="24"/>
    </w:rPr>
  </w:style>
  <w:style w:type="paragraph" w:styleId="Zkladntextodsazen3">
    <w:name w:val="Body Text Indent 3"/>
    <w:basedOn w:val="Normln"/>
    <w:semiHidden/>
    <w:rsid w:val="00070148"/>
    <w:pPr>
      <w:ind w:firstLine="708"/>
      <w:jc w:val="both"/>
    </w:pPr>
    <w:rPr>
      <w:color w:val="3366FF"/>
      <w:sz w:val="20"/>
    </w:rPr>
  </w:style>
  <w:style w:type="character" w:styleId="Odkaznakoment">
    <w:name w:val="annotation reference"/>
    <w:semiHidden/>
    <w:rsid w:val="0007014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70148"/>
    <w:rPr>
      <w:sz w:val="20"/>
      <w:szCs w:val="20"/>
    </w:rPr>
  </w:style>
  <w:style w:type="paragraph" w:styleId="Textbubliny">
    <w:name w:val="Balloon Text"/>
    <w:basedOn w:val="Normln"/>
    <w:semiHidden/>
    <w:unhideWhenUsed/>
    <w:rsid w:val="00070148"/>
    <w:rPr>
      <w:rFonts w:ascii="Tahoma" w:hAnsi="Tahoma" w:cs="Tahoma"/>
      <w:szCs w:val="16"/>
    </w:rPr>
  </w:style>
  <w:style w:type="character" w:customStyle="1" w:styleId="TextbublinyChar">
    <w:name w:val="Text bubliny Char"/>
    <w:semiHidden/>
    <w:rsid w:val="00070148"/>
    <w:rPr>
      <w:rFonts w:ascii="Tahoma" w:hAnsi="Tahoma" w:cs="Tahoma"/>
      <w:bCs/>
      <w:sz w:val="16"/>
      <w:szCs w:val="16"/>
    </w:rPr>
  </w:style>
  <w:style w:type="character" w:styleId="Zdraznn">
    <w:name w:val="Emphasis"/>
    <w:qFormat/>
    <w:rsid w:val="00070148"/>
    <w:rPr>
      <w:i/>
      <w:iCs/>
    </w:rPr>
  </w:style>
  <w:style w:type="character" w:styleId="Siln">
    <w:name w:val="Strong"/>
    <w:qFormat/>
    <w:rsid w:val="00070148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2195"/>
    <w:rPr>
      <w:b/>
    </w:rPr>
  </w:style>
  <w:style w:type="character" w:customStyle="1" w:styleId="TextkomenteChar">
    <w:name w:val="Text komentáře Char"/>
    <w:link w:val="Textkomente"/>
    <w:semiHidden/>
    <w:rsid w:val="008D2195"/>
    <w:rPr>
      <w:rFonts w:ascii="Arial" w:hAnsi="Arial"/>
      <w:bCs/>
    </w:rPr>
  </w:style>
  <w:style w:type="character" w:customStyle="1" w:styleId="PedmtkomenteChar">
    <w:name w:val="Předmět komentáře Char"/>
    <w:link w:val="Pedmtkomente"/>
    <w:rsid w:val="008D2195"/>
    <w:rPr>
      <w:rFonts w:ascii="Arial" w:hAnsi="Arial"/>
      <w:bCs/>
    </w:rPr>
  </w:style>
  <w:style w:type="character" w:styleId="Hypertextovodkaz">
    <w:name w:val="Hyperlink"/>
    <w:uiPriority w:val="99"/>
    <w:unhideWhenUsed/>
    <w:rsid w:val="00495566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CB5162"/>
    <w:rPr>
      <w:color w:val="808080"/>
    </w:rPr>
  </w:style>
  <w:style w:type="paragraph" w:styleId="Zhlav">
    <w:name w:val="header"/>
    <w:basedOn w:val="Normln"/>
    <w:link w:val="ZhlavChar"/>
    <w:uiPriority w:val="99"/>
    <w:unhideWhenUsed/>
    <w:qFormat/>
    <w:rsid w:val="001527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720"/>
    <w:rPr>
      <w:rFonts w:ascii="Arial" w:hAnsi="Arial"/>
      <w:bCs/>
      <w:sz w:val="16"/>
      <w:szCs w:val="24"/>
    </w:rPr>
  </w:style>
  <w:style w:type="paragraph" w:styleId="Zpat">
    <w:name w:val="footer"/>
    <w:basedOn w:val="Normln"/>
    <w:link w:val="ZpatChar"/>
    <w:uiPriority w:val="99"/>
    <w:unhideWhenUsed/>
    <w:rsid w:val="001527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720"/>
    <w:rPr>
      <w:rFonts w:ascii="Arial" w:hAnsi="Arial"/>
      <w:bCs/>
      <w:sz w:val="16"/>
      <w:szCs w:val="24"/>
    </w:rPr>
  </w:style>
  <w:style w:type="paragraph" w:styleId="Revize">
    <w:name w:val="Revision"/>
    <w:hidden/>
    <w:uiPriority w:val="99"/>
    <w:semiHidden/>
    <w:rsid w:val="00A23E64"/>
    <w:rPr>
      <w:rFonts w:ascii="Arial" w:hAnsi="Arial"/>
      <w:bCs/>
      <w:sz w:val="16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A5127"/>
    <w:rPr>
      <w:bCs w:val="0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A5127"/>
    <w:rPr>
      <w:rFonts w:ascii="Arial" w:hAnsi="Arial"/>
    </w:rPr>
  </w:style>
  <w:style w:type="character" w:styleId="Znakapoznpodarou">
    <w:name w:val="footnote reference"/>
    <w:basedOn w:val="Standardnpsmoodstavce"/>
    <w:uiPriority w:val="99"/>
    <w:semiHidden/>
    <w:unhideWhenUsed/>
    <w:rsid w:val="00CA512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0E72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pohyb-obyvatelstva-metodik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su.gov.cz/pocet_obyvatel_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501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METODICKÉ POZNÁMKY</vt:lpstr>
    </vt:vector>
  </TitlesOfParts>
  <Company>CSU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POZNÁMKY</dc:title>
  <dc:creator>ČSÚ</dc:creator>
  <cp:lastModifiedBy>Bílík Jan</cp:lastModifiedBy>
  <cp:revision>6</cp:revision>
  <cp:lastPrinted>2022-10-31T12:25:00Z</cp:lastPrinted>
  <dcterms:created xsi:type="dcterms:W3CDTF">2025-06-10T10:18:00Z</dcterms:created>
  <dcterms:modified xsi:type="dcterms:W3CDTF">2026-09-17T07:22:00Z</dcterms:modified>
</cp:coreProperties>
</file>