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838" w:rsidRPr="00CB09D5" w:rsidRDefault="00220838" w:rsidP="00220838">
      <w:pPr>
        <w:pStyle w:val="Odstavecseseznamem"/>
        <w:ind w:left="0"/>
        <w:rPr>
          <w:sz w:val="2"/>
          <w:lang w:val="en-GB"/>
        </w:rPr>
      </w:pPr>
    </w:p>
    <w:p w:rsidR="00960769" w:rsidRPr="00CB09D5" w:rsidRDefault="00381479" w:rsidP="00C46600">
      <w:pPr>
        <w:pStyle w:val="Nadpis1"/>
        <w:numPr>
          <w:ilvl w:val="0"/>
          <w:numId w:val="21"/>
        </w:numPr>
        <w:jc w:val="both"/>
        <w:rPr>
          <w:lang w:val="en-GB"/>
        </w:rPr>
      </w:pPr>
      <w:bookmarkStart w:id="0" w:name="_Toc469299930"/>
      <w:bookmarkStart w:id="1" w:name="_Toc469327799"/>
      <w:r w:rsidRPr="00CB09D5">
        <w:rPr>
          <w:lang w:val="en-GB"/>
        </w:rPr>
        <w:t>Overall Economic Performance</w:t>
      </w:r>
      <w:bookmarkEnd w:id="0"/>
      <w:bookmarkEnd w:id="1"/>
    </w:p>
    <w:tbl>
      <w:tblPr>
        <w:tblW w:w="5000" w:type="pct"/>
        <w:tblInd w:w="108" w:type="dxa"/>
        <w:tblLayout w:type="fixed"/>
        <w:tblLook w:val="00A0"/>
      </w:tblPr>
      <w:tblGrid>
        <w:gridCol w:w="987"/>
        <w:gridCol w:w="1129"/>
        <w:gridCol w:w="280"/>
        <w:gridCol w:w="2529"/>
        <w:gridCol w:w="887"/>
        <w:gridCol w:w="4042"/>
      </w:tblGrid>
      <w:tr w:rsidR="003875C2" w:rsidRPr="00CB09D5" w:rsidTr="00EF6DDD">
        <w:tc>
          <w:tcPr>
            <w:tcW w:w="1074" w:type="pct"/>
            <w:gridSpan w:val="2"/>
          </w:tcPr>
          <w:p w:rsidR="003875C2" w:rsidRPr="00CB09D5" w:rsidRDefault="001536DD" w:rsidP="00A9497A">
            <w:pPr>
              <w:spacing w:line="240" w:lineRule="auto"/>
              <w:rPr>
                <w:sz w:val="16"/>
                <w:szCs w:val="16"/>
                <w:highlight w:val="yellow"/>
                <w:lang w:val="en-GB"/>
              </w:rPr>
            </w:pPr>
            <w:r w:rsidRPr="00CB09D5">
              <w:rPr>
                <w:rFonts w:cs="Arial"/>
                <w:sz w:val="16"/>
                <w:szCs w:val="16"/>
                <w:lang w:val="en-GB"/>
              </w:rPr>
              <w:t>Gross Do</w:t>
            </w:r>
            <w:r w:rsidR="00094D55" w:rsidRPr="00CB09D5">
              <w:rPr>
                <w:rFonts w:cs="Arial"/>
                <w:sz w:val="16"/>
                <w:szCs w:val="16"/>
                <w:lang w:val="en-GB"/>
              </w:rPr>
              <w:t>mestic Product increased by 2.3</w:t>
            </w:r>
            <w:r w:rsidRPr="00CB09D5">
              <w:rPr>
                <w:rFonts w:cs="Arial"/>
                <w:sz w:val="16"/>
                <w:szCs w:val="16"/>
                <w:lang w:val="en-GB"/>
              </w:rPr>
              <w:t xml:space="preserve">% in </w:t>
            </w:r>
            <w:r w:rsidR="003875C2" w:rsidRPr="00CB09D5">
              <w:rPr>
                <w:rFonts w:cs="Arial"/>
                <w:sz w:val="16"/>
                <w:szCs w:val="16"/>
                <w:lang w:val="en-GB"/>
              </w:rPr>
              <w:t>2016</w:t>
            </w:r>
            <w:r w:rsidRPr="00CB09D5">
              <w:rPr>
                <w:rFonts w:cs="Arial"/>
                <w:sz w:val="16"/>
                <w:szCs w:val="16"/>
                <w:lang w:val="en-GB"/>
              </w:rPr>
              <w:t>. The growth slowed down compared to</w:t>
            </w:r>
            <w:r w:rsidR="004966D7" w:rsidRPr="00CB09D5">
              <w:rPr>
                <w:rFonts w:cs="Arial"/>
                <w:sz w:val="16"/>
                <w:szCs w:val="16"/>
                <w:lang w:val="en-GB"/>
              </w:rPr>
              <w:t xml:space="preserve"> the</w:t>
            </w:r>
            <w:r w:rsidRPr="00CB09D5">
              <w:rPr>
                <w:rFonts w:cs="Arial"/>
                <w:sz w:val="16"/>
                <w:szCs w:val="16"/>
                <w:lang w:val="en-GB"/>
              </w:rPr>
              <w:t xml:space="preserve"> year 2015, mostly due to the year-on-year fall of the investment a</w:t>
            </w:r>
            <w:r w:rsidR="000B1F3D" w:rsidRPr="00CB09D5">
              <w:rPr>
                <w:rFonts w:cs="Arial"/>
                <w:sz w:val="16"/>
                <w:szCs w:val="16"/>
                <w:lang w:val="en-GB"/>
              </w:rPr>
              <w:t>c</w:t>
            </w:r>
            <w:r w:rsidRPr="00CB09D5">
              <w:rPr>
                <w:rFonts w:cs="Arial"/>
                <w:sz w:val="16"/>
                <w:szCs w:val="16"/>
                <w:lang w:val="en-GB"/>
              </w:rPr>
              <w:t xml:space="preserve">tivity.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1536DD" w:rsidP="00A9497A">
            <w:pPr>
              <w:pStyle w:val="Textpoznpodarou"/>
              <w:jc w:val="both"/>
              <w:rPr>
                <w:rFonts w:cs="Arial"/>
                <w:lang w:val="en-GB"/>
              </w:rPr>
            </w:pPr>
            <w:r w:rsidRPr="0051412B">
              <w:rPr>
                <w:rFonts w:cs="Arial"/>
                <w:lang w:val="en-GB"/>
              </w:rPr>
              <w:t xml:space="preserve">The Gross Domestic Product </w:t>
            </w:r>
            <w:r w:rsidR="003875C2" w:rsidRPr="0051412B">
              <w:rPr>
                <w:rFonts w:cs="Arial"/>
                <w:lang w:val="en-GB"/>
              </w:rPr>
              <w:t>(</w:t>
            </w:r>
            <w:r w:rsidRPr="0051412B">
              <w:rPr>
                <w:rFonts w:cs="Arial"/>
                <w:lang w:val="en-GB"/>
              </w:rPr>
              <w:t>GDP</w:t>
            </w:r>
            <w:r w:rsidR="003875C2" w:rsidRPr="0051412B">
              <w:rPr>
                <w:rFonts w:cs="Arial"/>
                <w:lang w:val="en-GB"/>
              </w:rPr>
              <w:t xml:space="preserve">) </w:t>
            </w:r>
            <w:r w:rsidR="00094D55" w:rsidRPr="0051412B">
              <w:rPr>
                <w:rFonts w:cs="Arial"/>
                <w:lang w:val="en-GB"/>
              </w:rPr>
              <w:t>increased by 2.3</w:t>
            </w:r>
            <w:r w:rsidRPr="0051412B">
              <w:rPr>
                <w:rFonts w:cs="Arial"/>
                <w:lang w:val="en-GB"/>
              </w:rPr>
              <w:t xml:space="preserve">% in </w:t>
            </w:r>
            <w:r w:rsidR="00EB6063" w:rsidRPr="00EB6063">
              <w:rPr>
                <w:rFonts w:cs="Arial"/>
                <w:lang w:val="en-GB"/>
              </w:rPr>
              <w:t>2016</w:t>
            </w:r>
            <w:r w:rsidR="00434C84">
              <w:rPr>
                <w:rStyle w:val="Znakapoznpodarou"/>
                <w:rFonts w:cs="Arial"/>
                <w:lang w:val="en-GB"/>
              </w:rPr>
              <w:footnoteReference w:id="1"/>
            </w:r>
            <w:r w:rsidR="00EB6063" w:rsidRPr="00EB6063">
              <w:rPr>
                <w:rFonts w:cs="Arial"/>
                <w:lang w:val="en-GB"/>
              </w:rPr>
              <w:t xml:space="preserve">. The Czech economy enlarged by a halved pace in 2016 in comparison to the year 2015, when the significant growth was supported by an extraordinary combination of factors, which did not recur in the year 2016. Moderation of the growth dynamics started already in the final quarter of 2015 and the year-on-year additions recorded further fall (3.0%, 2.6%, </w:t>
            </w:r>
            <w:proofErr w:type="gramStart"/>
            <w:r w:rsidR="00EB6063" w:rsidRPr="00EB6063">
              <w:rPr>
                <w:rFonts w:cs="Arial"/>
                <w:lang w:val="en-GB"/>
              </w:rPr>
              <w:t>1.8</w:t>
            </w:r>
            <w:proofErr w:type="gramEnd"/>
            <w:r w:rsidR="00EB6063" w:rsidRPr="00EB6063">
              <w:rPr>
                <w:rFonts w:cs="Arial"/>
                <w:lang w:val="en-GB"/>
              </w:rPr>
              <w:t xml:space="preserve">%). The year-on-year growth went up somewhat to 1.9% at the end of the year. The year-on-year growth of the gross value added (GVA) corresponded to the GDP and it was decreasing during the year (2.7%, 2.6%, 1.6% and 1.6% in the individual quarters). In total, the GVA rose by 2.1%. The domestic demand (final consumption expenditure of households), whose significance was strengthening for throughout the whole year as well as the growing surplus of the foreign trade balance, which held key meaning for the economic growth especially in the first half of 2016, supported the GDP growth. On the contrary, the investment activity, which stood behind the exceptional results of the year 2015, was subdued the whole last year. A number of indicators signalled a favourable development of the economy.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082637" w:rsidP="00A9497A">
            <w:pPr>
              <w:spacing w:line="240" w:lineRule="auto"/>
              <w:rPr>
                <w:rFonts w:cs="Arial"/>
                <w:sz w:val="16"/>
                <w:szCs w:val="16"/>
                <w:lang w:val="en-GB"/>
              </w:rPr>
            </w:pPr>
            <w:r w:rsidRPr="00CB09D5">
              <w:rPr>
                <w:rFonts w:cs="Arial"/>
                <w:sz w:val="16"/>
                <w:szCs w:val="16"/>
                <w:lang w:val="en-GB"/>
              </w:rPr>
              <w:t>Quarter-on-quarter growth of</w:t>
            </w:r>
            <w:r w:rsidR="009030F3" w:rsidRPr="00CB09D5">
              <w:rPr>
                <w:rFonts w:cs="Arial"/>
                <w:sz w:val="16"/>
                <w:szCs w:val="16"/>
                <w:lang w:val="en-GB"/>
              </w:rPr>
              <w:t xml:space="preserve"> the</w:t>
            </w:r>
            <w:r w:rsidRPr="00CB09D5">
              <w:rPr>
                <w:rFonts w:cs="Arial"/>
                <w:sz w:val="16"/>
                <w:szCs w:val="16"/>
                <w:lang w:val="en-GB"/>
              </w:rPr>
              <w:t xml:space="preserve"> GDP was strongest in Q2. </w:t>
            </w:r>
            <w:r w:rsidR="003875C2" w:rsidRPr="00CB09D5">
              <w:rPr>
                <w:rFonts w:cs="Arial"/>
                <w:sz w:val="16"/>
                <w:szCs w:val="16"/>
                <w:lang w:val="en-GB"/>
              </w:rPr>
              <w:t>E</w:t>
            </w:r>
            <w:r w:rsidR="00835606" w:rsidRPr="00CB09D5">
              <w:rPr>
                <w:rFonts w:cs="Arial"/>
                <w:sz w:val="16"/>
                <w:szCs w:val="16"/>
                <w:lang w:val="en-GB"/>
              </w:rPr>
              <w:t>conomic growth was supported by exceptionally favourable results in both industry and foreign trade</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EB6063" w:rsidP="00A9497A">
            <w:pPr>
              <w:pStyle w:val="Textpoznpodarou"/>
              <w:jc w:val="both"/>
              <w:rPr>
                <w:sz w:val="16"/>
                <w:lang w:val="en-GB"/>
              </w:rPr>
            </w:pPr>
            <w:r w:rsidRPr="00EB6063">
              <w:rPr>
                <w:lang w:val="en-GB"/>
              </w:rPr>
              <w:t xml:space="preserve">The quarter-on-quarter dynamics of the GDP growth lagged behind the two preceding years. The quarter-on-quarter additions to the GDP arrived at 0.4% and 0.9%. Notable slowdown manifested in Q3 (0.2%). The growth gained pace to 0.4% at the end of the year. The quarter-on-quarter additions to the GVA amounted to 0.4%, 0.7%, 0.2% and 0.3% in individual quarters.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7F12B6" w:rsidP="00A9497A">
            <w:pPr>
              <w:spacing w:line="240" w:lineRule="auto"/>
              <w:rPr>
                <w:rFonts w:cs="Arial"/>
                <w:sz w:val="16"/>
                <w:szCs w:val="16"/>
                <w:lang w:val="en-GB"/>
              </w:rPr>
            </w:pPr>
            <w:r w:rsidRPr="00CB09D5">
              <w:rPr>
                <w:rFonts w:cs="Arial"/>
                <w:sz w:val="16"/>
                <w:szCs w:val="16"/>
                <w:lang w:val="en-GB"/>
              </w:rPr>
              <w:t>Year-on-year pace of the Czech economic growth aligned with the EU average i</w:t>
            </w:r>
            <w:r w:rsidR="00802259" w:rsidRPr="00CB09D5">
              <w:rPr>
                <w:rFonts w:cs="Arial"/>
                <w:sz w:val="16"/>
                <w:szCs w:val="16"/>
                <w:lang w:val="en-GB"/>
              </w:rPr>
              <w:t>n the second half of the year. The y</w:t>
            </w:r>
            <w:r w:rsidRPr="00CB09D5">
              <w:rPr>
                <w:rFonts w:cs="Arial"/>
                <w:sz w:val="16"/>
                <w:szCs w:val="16"/>
                <w:lang w:val="en-GB"/>
              </w:rPr>
              <w:t xml:space="preserve">ear 2016 was successful for most European countries. </w:t>
            </w:r>
            <w:r w:rsidR="003875C2" w:rsidRPr="00CB09D5">
              <w:rPr>
                <w:rFonts w:cs="Arial"/>
                <w:sz w:val="16"/>
                <w:szCs w:val="16"/>
                <w:lang w:val="en-GB"/>
              </w:rPr>
              <w:t>S</w:t>
            </w:r>
            <w:r w:rsidRPr="00CB09D5">
              <w:rPr>
                <w:rFonts w:cs="Arial"/>
                <w:sz w:val="16"/>
                <w:szCs w:val="16"/>
                <w:lang w:val="en-GB"/>
              </w:rPr>
              <w:t xml:space="preserve">trong growth continued in Slovakia, the German economy expanded by a stable rate of growth. </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lang w:val="en-GB"/>
              </w:rPr>
            </w:pPr>
          </w:p>
        </w:tc>
        <w:tc>
          <w:tcPr>
            <w:tcW w:w="3784" w:type="pct"/>
            <w:gridSpan w:val="3"/>
          </w:tcPr>
          <w:p w:rsidR="003875C2" w:rsidRPr="0051412B" w:rsidRDefault="003C486D" w:rsidP="00A9497A">
            <w:pPr>
              <w:pStyle w:val="Textpoznpodarou"/>
              <w:jc w:val="both"/>
              <w:rPr>
                <w:rFonts w:cs="Arial"/>
                <w:sz w:val="18"/>
                <w:szCs w:val="18"/>
                <w:lang w:val="en-GB"/>
              </w:rPr>
            </w:pPr>
            <w:r w:rsidRPr="0051412B">
              <w:rPr>
                <w:rFonts w:cs="Arial"/>
                <w:lang w:val="en-GB"/>
              </w:rPr>
              <w:t xml:space="preserve">Year-on-year rate of growth of the economic growth in the Czech Republic moved closer from above to the growth in the EU and they were equal in the second half of the year. </w:t>
            </w:r>
            <w:r w:rsidR="004E230C" w:rsidRPr="0051412B">
              <w:rPr>
                <w:rFonts w:cs="Arial"/>
                <w:lang w:val="en-GB"/>
              </w:rPr>
              <w:t>Growth of the EU economy quarter-on-quarter flu</w:t>
            </w:r>
            <w:r w:rsidR="008B051B" w:rsidRPr="0051412B">
              <w:rPr>
                <w:rFonts w:cs="Arial"/>
                <w:lang w:val="en-GB"/>
              </w:rPr>
              <w:t>ctuates quite stably around 0.5</w:t>
            </w:r>
            <w:r w:rsidR="00EB6063" w:rsidRPr="00EB6063">
              <w:rPr>
                <w:rFonts w:cs="Arial"/>
                <w:lang w:val="en-GB"/>
              </w:rPr>
              <w:t>% in the last three years and the Czech Republic (except for Q2) did not overtake it in 2016. The year 2016 was from the view of the economic development favourable for most of the European countries</w:t>
            </w:r>
            <w:r w:rsidR="00434C84">
              <w:rPr>
                <w:rStyle w:val="Znakapoznpodarou"/>
                <w:rFonts w:cs="Arial"/>
                <w:lang w:val="en-GB"/>
              </w:rPr>
              <w:footnoteReference w:id="2"/>
            </w:r>
            <w:r w:rsidR="00EB6063" w:rsidRPr="00EB6063">
              <w:rPr>
                <w:rFonts w:cs="Arial"/>
                <w:lang w:val="en-GB"/>
              </w:rPr>
              <w:t xml:space="preserve">. The GDP fell only in Greece year-on-year; other economies experienced at least a mild year-on-year growth. The largest GDP growth was recorded in Romania (4.8%) in 2016, followed by Spain (3.3%). Neighbours of the Czech Republic and </w:t>
            </w:r>
            <w:proofErr w:type="gramStart"/>
            <w:r w:rsidR="00EB6063" w:rsidRPr="00EB6063">
              <w:rPr>
                <w:rFonts w:cs="Arial"/>
                <w:lang w:val="en-GB"/>
              </w:rPr>
              <w:t>its</w:t>
            </w:r>
            <w:proofErr w:type="gramEnd"/>
            <w:r w:rsidR="00EB6063" w:rsidRPr="00EB6063">
              <w:rPr>
                <w:rFonts w:cs="Arial"/>
                <w:lang w:val="en-GB"/>
              </w:rPr>
              <w:t xml:space="preserve"> nearest economic partners also prospered. The German economy expanded by 1.8% year-on-year, the Austrian GDP rose by 1.5%. The year-on-year growth decreased its pace somewhat in Slovakia during the year, still the Slovak economy expanded by 3.3% for the year 2016 and ranked among the fastest growing in the EU. The growth of the Polish economy accelerated in the last quarter and increased by 2.9% for the whole year.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073461" w:rsidP="00A9497A">
            <w:pPr>
              <w:spacing w:line="240" w:lineRule="auto"/>
              <w:rPr>
                <w:rFonts w:cs="Arial"/>
                <w:sz w:val="16"/>
                <w:szCs w:val="16"/>
                <w:lang w:val="en-GB"/>
              </w:rPr>
            </w:pPr>
            <w:r w:rsidRPr="00CB09D5">
              <w:rPr>
                <w:rFonts w:cs="Arial"/>
                <w:sz w:val="16"/>
                <w:szCs w:val="16"/>
                <w:lang w:val="en-GB"/>
              </w:rPr>
              <w:t>Growth of the final consumption expenditure of households shared significantly in the GDP growth in 2</w:t>
            </w:r>
            <w:r w:rsidR="003875C2" w:rsidRPr="00CB09D5">
              <w:rPr>
                <w:rFonts w:cs="Arial"/>
                <w:sz w:val="16"/>
                <w:szCs w:val="16"/>
                <w:lang w:val="en-GB"/>
              </w:rPr>
              <w:t xml:space="preserve">016. </w:t>
            </w:r>
            <w:r w:rsidR="005C591E" w:rsidRPr="00CB09D5">
              <w:rPr>
                <w:rFonts w:cs="Arial"/>
                <w:sz w:val="16"/>
                <w:szCs w:val="16"/>
                <w:lang w:val="en-GB"/>
              </w:rPr>
              <w:t xml:space="preserve">Growth of the trade balance surplus also manifested </w:t>
            </w:r>
            <w:r w:rsidR="00DA41E0" w:rsidRPr="00CB09D5">
              <w:rPr>
                <w:rFonts w:cs="Arial"/>
                <w:sz w:val="16"/>
                <w:szCs w:val="16"/>
                <w:lang w:val="en-GB"/>
              </w:rPr>
              <w:t>notably</w:t>
            </w:r>
            <w:r w:rsidR="005C591E" w:rsidRPr="00CB09D5">
              <w:rPr>
                <w:rFonts w:cs="Arial"/>
                <w:sz w:val="16"/>
                <w:szCs w:val="16"/>
                <w:lang w:val="en-GB"/>
              </w:rPr>
              <w:t xml:space="preserve">. Gross fixed capital formation lagged behind </w:t>
            </w:r>
            <w:r w:rsidR="00802D68" w:rsidRPr="00CB09D5">
              <w:rPr>
                <w:rFonts w:cs="Arial"/>
                <w:sz w:val="16"/>
                <w:szCs w:val="16"/>
                <w:lang w:val="en-GB"/>
              </w:rPr>
              <w:t xml:space="preserve">the </w:t>
            </w:r>
            <w:r w:rsidR="005C591E" w:rsidRPr="00CB09D5">
              <w:rPr>
                <w:rFonts w:cs="Arial"/>
                <w:sz w:val="16"/>
                <w:szCs w:val="16"/>
                <w:lang w:val="en-GB"/>
              </w:rPr>
              <w:t xml:space="preserve">year 2015.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1E29AF" w:rsidRPr="0051412B" w:rsidRDefault="003C7B97" w:rsidP="001E29AF">
            <w:pPr>
              <w:pStyle w:val="Textpoznpodarou"/>
              <w:jc w:val="both"/>
              <w:rPr>
                <w:rFonts w:cs="Arial"/>
                <w:sz w:val="18"/>
                <w:szCs w:val="18"/>
                <w:lang w:val="en-GB"/>
              </w:rPr>
            </w:pPr>
            <w:r w:rsidRPr="0051412B">
              <w:rPr>
                <w:rFonts w:cs="Arial"/>
                <w:lang w:val="en-GB"/>
              </w:rPr>
              <w:t xml:space="preserve">The year-on-year </w:t>
            </w:r>
            <w:r w:rsidR="00643145" w:rsidRPr="0051412B">
              <w:rPr>
                <w:rFonts w:cs="Arial"/>
                <w:vanish/>
                <w:lang w:val="en-GB"/>
              </w:rPr>
              <w:t xml:space="preserve">GDP growth was driven by the final consumption expenditure of households through the whole last year. Their contribution to the total GDP growth amounted to +1.1 p. p. and their importance grew in the course of the year. </w:t>
            </w:r>
            <w:r w:rsidR="00EB6063" w:rsidRPr="00EB6063">
              <w:rPr>
                <w:rFonts w:cs="Arial"/>
                <w:lang w:val="en-GB"/>
              </w:rPr>
              <w:t>GDP growth was driven by the final consumption expenditure of households through the whole last year. Their contribution to the total GDP</w:t>
            </w:r>
            <w:r w:rsidR="00434C84">
              <w:rPr>
                <w:rStyle w:val="Znakapoznpodarou"/>
                <w:rFonts w:cs="Arial"/>
                <w:lang w:val="en-GB"/>
              </w:rPr>
              <w:footnoteReference w:id="3"/>
            </w:r>
            <w:r w:rsidR="00EB6063" w:rsidRPr="00EB6063">
              <w:rPr>
                <w:rFonts w:cs="Arial"/>
                <w:lang w:val="en-GB"/>
              </w:rPr>
              <w:t xml:space="preserve"> growth amounted to +1.1 p.p. and their importance grew in the course of the year. It attained +0.9 p.p. and +1.0 p.p. in the first half of the year and it strengthened to +1.3 p.p. and +1.4 p.p. in Q3 and Q4. On the contrary, the contribution of final consumption expenditure of government institutions, which reached +0.4 p.p. and +0.5 p.p., in the first two quarters weakened to +0.2 in the third quarter and it was zero in the final quarter. The export and import balance contributed more strongly and substantially to the GDP growth than in the preceding year </w:t>
            </w:r>
            <w:proofErr w:type="gramStart"/>
            <w:r w:rsidR="00EB6063" w:rsidRPr="00EB6063">
              <w:rPr>
                <w:rFonts w:cs="Arial"/>
                <w:lang w:val="en-GB"/>
              </w:rPr>
              <w:t>(in total +1.2 p.p.)</w:t>
            </w:r>
            <w:proofErr w:type="gramEnd"/>
            <w:r w:rsidR="00EB6063" w:rsidRPr="00EB6063">
              <w:rPr>
                <w:rFonts w:cs="Arial"/>
                <w:lang w:val="en-GB"/>
              </w:rPr>
              <w:t>. Its addition even exceeded the above-mentioned household consumption in the first half of the year, when it reached +1.2 p.p. and </w:t>
            </w:r>
            <w:proofErr w:type="gramStart"/>
            <w:r w:rsidR="00EB6063" w:rsidRPr="00EB6063">
              <w:rPr>
                <w:rFonts w:cs="Arial"/>
                <w:lang w:val="en-GB"/>
              </w:rPr>
              <w:t>+2.0 p.p</w:t>
            </w:r>
            <w:proofErr w:type="gramEnd"/>
            <w:r w:rsidR="00EB6063" w:rsidRPr="00EB6063">
              <w:rPr>
                <w:rFonts w:cs="Arial"/>
                <w:lang w:val="en-GB"/>
              </w:rPr>
              <w:t xml:space="preserve">. It lowered to +0.5 p.p. in the third quarter, which was from the view of the foreign trade results less successful and increased to +0.9 p.p. at the end of the year.  The positive </w:t>
            </w:r>
            <w:r w:rsidR="00EB6063" w:rsidRPr="00EB6063">
              <w:rPr>
                <w:rFonts w:cs="Arial"/>
                <w:lang w:val="en-GB"/>
              </w:rPr>
              <w:lastRenderedPageBreak/>
              <w:t>addition of changes in inventories to the growth strengthened especially in the second half of the year (+0.9 p.p. and +1.0 p.p. in Q3 and Q4). The contribution of the already mentioned investment activity represented by gross fixed capital formation was negative (in total -</w:t>
            </w:r>
            <w:proofErr w:type="gramStart"/>
            <w:r w:rsidR="00EB6063" w:rsidRPr="00EB6063">
              <w:rPr>
                <w:rFonts w:cs="Arial"/>
                <w:lang w:val="en-GB"/>
              </w:rPr>
              <w:t>0.9 p.p</w:t>
            </w:r>
            <w:proofErr w:type="gramEnd"/>
            <w:r w:rsidR="00EB6063" w:rsidRPr="00EB6063">
              <w:rPr>
                <w:rFonts w:cs="Arial"/>
                <w:lang w:val="en-GB"/>
              </w:rPr>
              <w:t>.).</w:t>
            </w:r>
          </w:p>
          <w:p w:rsidR="003875C2" w:rsidRPr="0051412B" w:rsidRDefault="00EB6063" w:rsidP="001E29AF">
            <w:pPr>
              <w:pStyle w:val="Textpoznpodarou"/>
              <w:jc w:val="both"/>
              <w:rPr>
                <w:rFonts w:cs="Arial"/>
                <w:sz w:val="14"/>
                <w:szCs w:val="14"/>
                <w:highlight w:val="yellow"/>
                <w:lang w:val="en-GB"/>
              </w:rPr>
            </w:pPr>
            <w:r w:rsidRPr="00EB6063">
              <w:rPr>
                <w:rFonts w:cs="Arial"/>
                <w:lang w:val="en-GB"/>
              </w:rPr>
              <w:t xml:space="preserve"> </w:t>
            </w:r>
          </w:p>
        </w:tc>
      </w:tr>
      <w:tr w:rsidR="003875C2" w:rsidRPr="00CB09D5" w:rsidTr="00EF6DDD">
        <w:tc>
          <w:tcPr>
            <w:tcW w:w="1074" w:type="pct"/>
            <w:gridSpan w:val="2"/>
          </w:tcPr>
          <w:p w:rsidR="003875C2" w:rsidRPr="00CB09D5" w:rsidRDefault="00191461" w:rsidP="00A9497A">
            <w:pPr>
              <w:spacing w:line="240" w:lineRule="auto"/>
              <w:rPr>
                <w:rFonts w:cs="Arial"/>
                <w:sz w:val="16"/>
                <w:szCs w:val="16"/>
                <w:lang w:val="en-GB"/>
              </w:rPr>
            </w:pPr>
            <w:r w:rsidRPr="00CB09D5">
              <w:rPr>
                <w:rFonts w:cs="Arial"/>
                <w:sz w:val="16"/>
                <w:szCs w:val="16"/>
                <w:lang w:val="en-GB"/>
              </w:rPr>
              <w:lastRenderedPageBreak/>
              <w:t xml:space="preserve">Households acquired durable assets in a larger extent in </w:t>
            </w:r>
            <w:r w:rsidR="003875C2" w:rsidRPr="00CB09D5">
              <w:rPr>
                <w:rFonts w:cs="Arial"/>
                <w:sz w:val="16"/>
                <w:szCs w:val="16"/>
                <w:lang w:val="en-GB"/>
              </w:rPr>
              <w:t>2016.</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191461" w:rsidP="00A9497A">
            <w:pPr>
              <w:pStyle w:val="Textpoznpodarou"/>
              <w:jc w:val="both"/>
              <w:rPr>
                <w:rFonts w:cs="Arial"/>
                <w:sz w:val="18"/>
                <w:szCs w:val="18"/>
                <w:lang w:val="en-GB"/>
              </w:rPr>
            </w:pPr>
            <w:r w:rsidRPr="0051412B">
              <w:rPr>
                <w:rFonts w:cs="Arial"/>
                <w:lang w:val="en-GB"/>
              </w:rPr>
              <w:t>Growth of th</w:t>
            </w:r>
            <w:r w:rsidR="008B051B" w:rsidRPr="0051412B">
              <w:rPr>
                <w:rFonts w:cs="Arial"/>
                <w:lang w:val="en-GB"/>
              </w:rPr>
              <w:t>e household consumption was 2.9</w:t>
            </w:r>
            <w:r w:rsidRPr="0051412B">
              <w:rPr>
                <w:rFonts w:cs="Arial"/>
                <w:lang w:val="en-GB"/>
              </w:rPr>
              <w:t>% in 2016 and was driven mainly by the large inc</w:t>
            </w:r>
            <w:r w:rsidR="00EB6063" w:rsidRPr="00EB6063">
              <w:rPr>
                <w:rFonts w:cs="Arial"/>
                <w:lang w:val="en-GB"/>
              </w:rPr>
              <w:t>rease in the category of durable goods (6.2%). The year-on-year growth of expenditure on consumption of these goods slowed down to 3.4% in the final quarter of the year, but it was replaced by a relatively strong year-on-year rise for semi-durable goods (8.4%). In the last quarter of 2016, the growth of expenditure on non-durable goods also accelerated to 3.1%. Expenditure on services grew more notably compared to the preceding years (total year-on-year growth of 2.5%).</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D7128B" w:rsidP="00A9497A">
            <w:pPr>
              <w:spacing w:line="240" w:lineRule="auto"/>
              <w:rPr>
                <w:rFonts w:cs="Arial"/>
                <w:sz w:val="16"/>
                <w:szCs w:val="16"/>
                <w:lang w:val="en-GB"/>
              </w:rPr>
            </w:pPr>
            <w:r w:rsidRPr="00CB09D5">
              <w:rPr>
                <w:rFonts w:cs="Arial"/>
                <w:sz w:val="16"/>
                <w:szCs w:val="16"/>
                <w:lang w:val="en-GB"/>
              </w:rPr>
              <w:t xml:space="preserve">Favourable economic situation led to the enlarged volume of paid </w:t>
            </w:r>
            <w:proofErr w:type="gramStart"/>
            <w:r w:rsidRPr="00CB09D5">
              <w:rPr>
                <w:rFonts w:cs="Arial"/>
                <w:sz w:val="16"/>
                <w:szCs w:val="16"/>
                <w:lang w:val="en-GB"/>
              </w:rPr>
              <w:t>wages,</w:t>
            </w:r>
            <w:proofErr w:type="gramEnd"/>
            <w:r w:rsidRPr="00CB09D5">
              <w:rPr>
                <w:rFonts w:cs="Arial"/>
                <w:sz w:val="16"/>
                <w:szCs w:val="16"/>
                <w:lang w:val="en-GB"/>
              </w:rPr>
              <w:t xml:space="preserve"> however the real wage grow</w:t>
            </w:r>
            <w:r w:rsidR="00191461" w:rsidRPr="00CB09D5">
              <w:rPr>
                <w:rFonts w:cs="Arial"/>
                <w:sz w:val="16"/>
                <w:szCs w:val="16"/>
                <w:lang w:val="en-GB"/>
              </w:rPr>
              <w:t>th</w:t>
            </w:r>
            <w:r w:rsidRPr="00CB09D5">
              <w:rPr>
                <w:rFonts w:cs="Arial"/>
                <w:sz w:val="16"/>
                <w:szCs w:val="16"/>
                <w:lang w:val="en-GB"/>
              </w:rPr>
              <w:t xml:space="preserve"> subdued towards the end of the year</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EB6063" w:rsidP="00A9497A">
            <w:pPr>
              <w:pStyle w:val="Textpoznpodarou"/>
              <w:jc w:val="both"/>
              <w:rPr>
                <w:sz w:val="18"/>
                <w:highlight w:val="yellow"/>
                <w:lang w:val="en-GB"/>
              </w:rPr>
            </w:pPr>
            <w:r w:rsidRPr="00EB6063">
              <w:rPr>
                <w:lang w:val="en-GB"/>
              </w:rPr>
              <w:t>The growth of consumption was supported by the positive expectations of consumers as well as the growth of earnings. The increase of the volume of paid out wages fastened compared to the year 2015 and attained 5.5%. The growth was stronger in the first three quarters of the year (6.0%, 5.4% and 5.7%) and it mildly eased up to 5.0% in the final quarter. The increase of the price level manifested especially at the end of the year and the volume of paid out wages declined in the real terms (5.9%, 5.4%, 4.8% and 3.6% in individual quarters</w:t>
            </w:r>
            <w:r w:rsidRPr="00EB6063">
              <w:rPr>
                <w:rFonts w:cs="Arial"/>
                <w:lang w:val="en-GB"/>
              </w:rPr>
              <w:t>)</w:t>
            </w:r>
            <w:r w:rsidRPr="00EB6063">
              <w:rPr>
                <w:rStyle w:val="Znakapoznpodarou"/>
                <w:rFonts w:cs="Arial"/>
                <w:lang w:val="en-GB"/>
              </w:rPr>
              <w:footnoteReference w:id="4"/>
            </w:r>
            <w:r w:rsidRPr="00EB6063">
              <w:rPr>
                <w:rFonts w:cs="Arial"/>
                <w:lang w:val="en-GB"/>
              </w:rPr>
              <w:t>. The continuous increase of the minimal wages</w:t>
            </w:r>
            <w:r w:rsidRPr="00EB6063">
              <w:rPr>
                <w:lang w:val="en-GB"/>
              </w:rPr>
              <w:t xml:space="preserve">, which is apparent mostly by rise of 6.2% in branch trade, transportation, accommodation and restaurants, was partially projected into the growth of the volume of paid out salaries and wages. The volume of paid out wages significantly rose also in manufacturing (6.6%). Compared to the previous year, the dynamics fastened in branch information and communication activities (7.6%) or professional, scientific, technical and administrative activities (6.5%), partially also due to the rise of employment. The volume of paid out wages grew less than in the previous year in real estate activities (3.2%). The volume of paid out wages grew by 2.1% accompanied by a simultaneous fall of employment of 0.8% in construction, which experiences a long-term downturn. </w:t>
            </w:r>
            <w:r w:rsidRPr="00EB6063">
              <w:rPr>
                <w:highlight w:val="yellow"/>
                <w:lang w:val="en-GB"/>
              </w:rPr>
              <w:t xml:space="preserve">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810A42" w:rsidP="00A9497A">
            <w:pPr>
              <w:spacing w:line="240" w:lineRule="auto"/>
              <w:rPr>
                <w:rFonts w:cs="Arial"/>
                <w:sz w:val="16"/>
                <w:szCs w:val="16"/>
                <w:lang w:val="en-GB"/>
              </w:rPr>
            </w:pPr>
            <w:r w:rsidRPr="00CB09D5">
              <w:rPr>
                <w:rFonts w:cs="Arial"/>
                <w:sz w:val="16"/>
                <w:szCs w:val="16"/>
                <w:lang w:val="en-GB"/>
              </w:rPr>
              <w:t>Year-on-year growth of g</w:t>
            </w:r>
            <w:r w:rsidR="00596AC6" w:rsidRPr="00CB09D5">
              <w:rPr>
                <w:rFonts w:cs="Arial"/>
                <w:sz w:val="16"/>
                <w:szCs w:val="16"/>
                <w:lang w:val="en-GB"/>
              </w:rPr>
              <w:t>overnment</w:t>
            </w:r>
            <w:r w:rsidRPr="00CB09D5">
              <w:rPr>
                <w:rFonts w:cs="Arial"/>
                <w:sz w:val="16"/>
                <w:szCs w:val="16"/>
                <w:lang w:val="en-GB"/>
              </w:rPr>
              <w:t xml:space="preserve"> final consumption expenditure slowed down during the year</w:t>
            </w:r>
            <w:r w:rsidR="00B74B99" w:rsidRPr="00CB09D5">
              <w:rPr>
                <w:rFonts w:cs="Arial"/>
                <w:sz w:val="16"/>
                <w:szCs w:val="16"/>
                <w:lang w:val="en-GB"/>
              </w:rPr>
              <w:t>.</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5867AE" w:rsidP="00A9497A">
            <w:pPr>
              <w:pStyle w:val="Textpoznpodarou"/>
              <w:jc w:val="both"/>
              <w:rPr>
                <w:rFonts w:cs="Arial"/>
                <w:lang w:val="en-GB"/>
              </w:rPr>
            </w:pPr>
            <w:r w:rsidRPr="0051412B">
              <w:rPr>
                <w:rFonts w:cs="Arial"/>
                <w:lang w:val="en-GB"/>
              </w:rPr>
              <w:t xml:space="preserve">Total year-on-year growth of consumption expenditure of government institutions </w:t>
            </w:r>
            <w:r w:rsidR="00E42CB0" w:rsidRPr="0051412B">
              <w:rPr>
                <w:rFonts w:cs="Arial"/>
                <w:lang w:val="en-GB"/>
              </w:rPr>
              <w:t>am</w:t>
            </w:r>
            <w:r w:rsidR="009E22F0" w:rsidRPr="0051412B">
              <w:rPr>
                <w:rFonts w:cs="Arial"/>
                <w:lang w:val="en-GB"/>
              </w:rPr>
              <w:t>o</w:t>
            </w:r>
            <w:r w:rsidR="00EB6063" w:rsidRPr="00EB6063">
              <w:rPr>
                <w:rFonts w:cs="Arial"/>
                <w:lang w:val="en-GB"/>
              </w:rPr>
              <w:t xml:space="preserve">unted to 1.5%, which was by 0.5 p.p. less compared to the year 2015. The growth was concentrated especially into the first two quarters, when it reached 2.3% and 2.7%. Such high rate of growth was not sustained in the second half of the year. The year-on-year increase arrived at 1.0% in Q3 and the value of final consumption expenditure of government institutions did not differ from the level of the same period of the previous year in the final quarter.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387507" w:rsidP="00A9497A">
            <w:pPr>
              <w:spacing w:line="240" w:lineRule="auto"/>
              <w:rPr>
                <w:rFonts w:cs="Arial"/>
                <w:sz w:val="16"/>
                <w:szCs w:val="16"/>
                <w:lang w:val="en-GB"/>
              </w:rPr>
            </w:pPr>
            <w:r w:rsidRPr="00CB09D5">
              <w:rPr>
                <w:rFonts w:cs="Arial"/>
                <w:sz w:val="16"/>
                <w:szCs w:val="16"/>
                <w:lang w:val="en-GB"/>
              </w:rPr>
              <w:t xml:space="preserve">Expenditure on gross fixed capital formation decreased year-on-year. It was caused mainly by the </w:t>
            </w:r>
            <w:r w:rsidR="00AE7C46" w:rsidRPr="00CB09D5">
              <w:rPr>
                <w:rFonts w:cs="Arial"/>
                <w:sz w:val="16"/>
                <w:szCs w:val="16"/>
                <w:lang w:val="en-GB"/>
              </w:rPr>
              <w:t>slump of investment into other</w:t>
            </w:r>
            <w:r w:rsidR="00C4216C" w:rsidRPr="00CB09D5">
              <w:rPr>
                <w:rFonts w:cs="Arial"/>
                <w:sz w:val="16"/>
                <w:szCs w:val="16"/>
                <w:lang w:val="en-GB"/>
              </w:rPr>
              <w:t xml:space="preserve"> buildings and structures.</w:t>
            </w:r>
            <w:r w:rsidR="003875C2" w:rsidRPr="00CB09D5">
              <w:rPr>
                <w:rFonts w:cs="Arial"/>
                <w:sz w:val="16"/>
                <w:szCs w:val="16"/>
                <w:lang w:val="en-GB"/>
              </w:rPr>
              <w:t xml:space="preserve">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3C0122" w:rsidP="00A9497A">
            <w:pPr>
              <w:pStyle w:val="Textpoznpodarou"/>
              <w:jc w:val="both"/>
              <w:rPr>
                <w:rFonts w:cs="Arial"/>
                <w:sz w:val="18"/>
                <w:szCs w:val="18"/>
                <w:lang w:val="en-GB"/>
              </w:rPr>
            </w:pPr>
            <w:r w:rsidRPr="0051412B">
              <w:rPr>
                <w:rFonts w:cs="Arial"/>
                <w:lang w:val="en-GB"/>
              </w:rPr>
              <w:t>Expenditu</w:t>
            </w:r>
            <w:r w:rsidR="0063252F" w:rsidRPr="0051412B">
              <w:rPr>
                <w:rFonts w:cs="Arial"/>
                <w:lang w:val="en-GB"/>
              </w:rPr>
              <w:t>r</w:t>
            </w:r>
            <w:r w:rsidRPr="0051412B">
              <w:rPr>
                <w:rFonts w:cs="Arial"/>
                <w:lang w:val="en-GB"/>
              </w:rPr>
              <w:t>e on gross fixed capital formation, which represent</w:t>
            </w:r>
            <w:r w:rsidR="00EB6063" w:rsidRPr="00EB6063">
              <w:rPr>
                <w:rFonts w:cs="Arial"/>
                <w:lang w:val="en-GB"/>
              </w:rPr>
              <w:t xml:space="preserve">s the investment activity in the economy, fell by 3.6% in 2016. This decrease is the result of combination of finalisation of drawing on the European funds in the year 2015 and a slow pace of preparation as well as realization of projects for the subsequent programme period. The investment activity was rising still by 1.8% in Q1 year-on-year, but a decline occurred in the three following quarters, which deepened down to -5.0% in Q4. Year-on-year slump was caused especially by the cut of investment into other buildings and structures by 13.4%. This category includes large infrastructure projects often financed by the help of subsidies (investment rose markedly in this area in the previous year). Investments into the ICT, machinery and equipment and weapon systems, which recorded year-on-year decrease of 5.4%, had a similar development.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FD594D" w:rsidP="001F6A2E">
            <w:pPr>
              <w:spacing w:line="240" w:lineRule="auto"/>
              <w:rPr>
                <w:rFonts w:cs="Arial"/>
                <w:sz w:val="16"/>
                <w:szCs w:val="16"/>
                <w:lang w:val="en-GB"/>
              </w:rPr>
            </w:pPr>
            <w:r w:rsidRPr="00CB09D5">
              <w:rPr>
                <w:rFonts w:cs="Arial"/>
                <w:sz w:val="16"/>
                <w:szCs w:val="16"/>
                <w:lang w:val="en-GB"/>
              </w:rPr>
              <w:t>Investment into</w:t>
            </w:r>
            <w:r w:rsidR="00E17F8F" w:rsidRPr="00CB09D5">
              <w:rPr>
                <w:rFonts w:cs="Arial"/>
                <w:sz w:val="16"/>
                <w:szCs w:val="16"/>
                <w:lang w:val="en-GB"/>
              </w:rPr>
              <w:t xml:space="preserve"> </w:t>
            </w:r>
            <w:r w:rsidR="002E5958" w:rsidRPr="00CB09D5">
              <w:rPr>
                <w:rFonts w:cs="Arial"/>
                <w:sz w:val="16"/>
                <w:szCs w:val="16"/>
                <w:lang w:val="en-GB"/>
              </w:rPr>
              <w:t>transport equipment</w:t>
            </w:r>
            <w:r w:rsidR="00E17F8F" w:rsidRPr="00CB09D5">
              <w:rPr>
                <w:rFonts w:cs="Arial"/>
                <w:sz w:val="16"/>
                <w:szCs w:val="16"/>
                <w:lang w:val="en-GB"/>
              </w:rPr>
              <w:t xml:space="preserve"> </w:t>
            </w:r>
            <w:r w:rsidR="003875C2" w:rsidRPr="00CB09D5">
              <w:rPr>
                <w:rFonts w:cs="Arial"/>
                <w:sz w:val="16"/>
                <w:szCs w:val="16"/>
                <w:lang w:val="en-GB"/>
              </w:rPr>
              <w:t>a</w:t>
            </w:r>
            <w:r w:rsidRPr="00CB09D5">
              <w:rPr>
                <w:rFonts w:cs="Arial"/>
                <w:sz w:val="16"/>
                <w:szCs w:val="16"/>
                <w:lang w:val="en-GB"/>
              </w:rPr>
              <w:t xml:space="preserve">nd projects of </w:t>
            </w:r>
            <w:r w:rsidR="001F6A2E" w:rsidRPr="00CB09D5">
              <w:rPr>
                <w:rFonts w:cs="Arial"/>
                <w:sz w:val="16"/>
                <w:szCs w:val="16"/>
                <w:lang w:val="en-GB"/>
              </w:rPr>
              <w:t xml:space="preserve">intellectual </w:t>
            </w:r>
            <w:r w:rsidRPr="00CB09D5">
              <w:rPr>
                <w:rFonts w:cs="Arial"/>
                <w:sz w:val="16"/>
                <w:szCs w:val="16"/>
                <w:lang w:val="en-GB"/>
              </w:rPr>
              <w:t>property increased.</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FD594D" w:rsidP="00A9497A">
            <w:pPr>
              <w:pStyle w:val="Textpoznpodarou"/>
              <w:jc w:val="both"/>
              <w:rPr>
                <w:rFonts w:cs="Arial"/>
                <w:sz w:val="18"/>
                <w:szCs w:val="18"/>
                <w:lang w:val="en-GB"/>
              </w:rPr>
            </w:pPr>
            <w:r w:rsidRPr="0051412B">
              <w:rPr>
                <w:rFonts w:cs="Arial"/>
                <w:lang w:val="en-GB"/>
              </w:rPr>
              <w:t xml:space="preserve">Aforementioned investment categories present more than one half of the gross fixed capital formation volume, </w:t>
            </w:r>
            <w:r w:rsidR="001C78A2" w:rsidRPr="0051412B">
              <w:rPr>
                <w:rFonts w:cs="Arial"/>
                <w:lang w:val="en-GB"/>
              </w:rPr>
              <w:t xml:space="preserve">that is why even the strong growth of investment into </w:t>
            </w:r>
            <w:r w:rsidR="00EB6063" w:rsidRPr="00EB6063">
              <w:rPr>
                <w:rFonts w:cs="Arial"/>
                <w:lang w:val="en-GB"/>
              </w:rPr>
              <w:t>transport equipment, which followed in the year 2015 and attained 7.2%, did not offset their decrease. Investment into the projects of intellectual property markedly increased (8.1% in 2016, 4.0% in 2015). Investment into dwellings weakened compared to the previous year (2.5% in 2016, 8.4% in 2015).</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AA0243" w:rsidP="00AA0243">
            <w:pPr>
              <w:spacing w:line="240" w:lineRule="auto"/>
              <w:rPr>
                <w:rFonts w:cs="Arial"/>
                <w:sz w:val="16"/>
                <w:szCs w:val="16"/>
                <w:lang w:val="en-GB"/>
              </w:rPr>
            </w:pPr>
            <w:r w:rsidRPr="00CB09D5">
              <w:rPr>
                <w:rFonts w:cs="Arial"/>
                <w:sz w:val="16"/>
                <w:szCs w:val="16"/>
                <w:lang w:val="en-GB"/>
              </w:rPr>
              <w:lastRenderedPageBreak/>
              <w:t>Foreign trade balance was positive in 2</w:t>
            </w:r>
            <w:r w:rsidR="003875C2" w:rsidRPr="00CB09D5">
              <w:rPr>
                <w:rFonts w:cs="Arial"/>
                <w:sz w:val="16"/>
                <w:szCs w:val="16"/>
                <w:lang w:val="en-GB"/>
              </w:rPr>
              <w:t>016</w:t>
            </w:r>
            <w:r w:rsidRPr="00CB09D5">
              <w:rPr>
                <w:rFonts w:cs="Arial"/>
                <w:sz w:val="16"/>
                <w:szCs w:val="16"/>
                <w:lang w:val="en-GB"/>
              </w:rPr>
              <w:t xml:space="preserve"> and exceeded the preceding year by </w:t>
            </w:r>
            <w:r w:rsidR="003875C2" w:rsidRPr="00CB09D5">
              <w:rPr>
                <w:rFonts w:cs="Arial"/>
                <w:sz w:val="16"/>
                <w:szCs w:val="16"/>
                <w:lang w:val="en-GB"/>
              </w:rPr>
              <w:t>67</w:t>
            </w:r>
            <w:r w:rsidRPr="00CB09D5">
              <w:rPr>
                <w:rFonts w:cs="Arial"/>
                <w:sz w:val="16"/>
                <w:szCs w:val="16"/>
                <w:lang w:val="en-GB"/>
              </w:rPr>
              <w:t>.</w:t>
            </w:r>
            <w:r w:rsidR="003875C2" w:rsidRPr="00CB09D5">
              <w:rPr>
                <w:rFonts w:cs="Arial"/>
                <w:sz w:val="16"/>
                <w:szCs w:val="16"/>
                <w:lang w:val="en-GB"/>
              </w:rPr>
              <w:t>4</w:t>
            </w:r>
            <w:r w:rsidRPr="00CB09D5">
              <w:rPr>
                <w:rFonts w:cs="Arial"/>
                <w:sz w:val="16"/>
                <w:szCs w:val="16"/>
                <w:lang w:val="en-GB"/>
              </w:rPr>
              <w:t xml:space="preserve"> bn</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AA0243" w:rsidP="00A9497A">
            <w:pPr>
              <w:pStyle w:val="Textpoznpodarou"/>
              <w:jc w:val="both"/>
              <w:rPr>
                <w:rFonts w:cs="Arial"/>
                <w:sz w:val="18"/>
                <w:szCs w:val="18"/>
                <w:lang w:val="en-GB"/>
              </w:rPr>
            </w:pPr>
            <w:r w:rsidRPr="0051412B">
              <w:rPr>
                <w:rFonts w:cs="Arial"/>
                <w:lang w:val="en-GB"/>
              </w:rPr>
              <w:t xml:space="preserve">Surplus of the foreign trade with goods and surplus balance (in current prices) arrived at </w:t>
            </w:r>
            <w:r w:rsidR="003875C2" w:rsidRPr="0051412B">
              <w:rPr>
                <w:rFonts w:cs="Arial"/>
                <w:lang w:val="en-GB"/>
              </w:rPr>
              <w:t>347</w:t>
            </w:r>
            <w:r w:rsidRPr="0051412B">
              <w:rPr>
                <w:rFonts w:cs="Arial"/>
                <w:lang w:val="en-GB"/>
              </w:rPr>
              <w:t>.</w:t>
            </w:r>
            <w:r w:rsidR="00EB6063" w:rsidRPr="00EB6063">
              <w:rPr>
                <w:rFonts w:cs="Arial"/>
                <w:lang w:val="en-GB"/>
              </w:rPr>
              <w:t xml:space="preserve">2 CZK bn in 2016, resulting in excess over the year 2015 of 67.4 bn. Positive balance of the trade with goods reached 248 CZK bn (year-on-year increase by 43 bn) and 99.3 CZK bn for services (increase of 24.3 bn). The terms of trade had a value of 100.9 for the year 2016. They were positive in the first three quarters of the </w:t>
            </w:r>
            <w:proofErr w:type="gramStart"/>
            <w:r w:rsidR="00EB6063" w:rsidRPr="00EB6063">
              <w:rPr>
                <w:rFonts w:cs="Arial"/>
                <w:lang w:val="en-GB"/>
              </w:rPr>
              <w:t>year,</w:t>
            </w:r>
            <w:proofErr w:type="gramEnd"/>
            <w:r w:rsidR="00EB6063" w:rsidRPr="00EB6063">
              <w:rPr>
                <w:rFonts w:cs="Arial"/>
                <w:lang w:val="en-GB"/>
              </w:rPr>
              <w:t xml:space="preserve"> however they fell into negative values (99.8) in the last quarter for the first time since Q2 2015. </w:t>
            </w:r>
          </w:p>
          <w:p w:rsidR="003875C2" w:rsidRPr="0051412B" w:rsidRDefault="003875C2" w:rsidP="00A9497A">
            <w:pPr>
              <w:pStyle w:val="Textpoznpodarou"/>
              <w:jc w:val="both"/>
              <w:rPr>
                <w:rFonts w:cs="Arial"/>
                <w:sz w:val="14"/>
                <w:szCs w:val="14"/>
                <w:highlight w:val="yellow"/>
                <w:lang w:val="en-GB"/>
              </w:rPr>
            </w:pPr>
          </w:p>
        </w:tc>
      </w:tr>
      <w:tr w:rsidR="003875C2" w:rsidRPr="00CB09D5" w:rsidTr="00EF6DDD">
        <w:tc>
          <w:tcPr>
            <w:tcW w:w="1074" w:type="pct"/>
            <w:gridSpan w:val="2"/>
          </w:tcPr>
          <w:p w:rsidR="003875C2" w:rsidRPr="00CB09D5" w:rsidRDefault="003119B7" w:rsidP="00E63EC6">
            <w:pPr>
              <w:spacing w:line="240" w:lineRule="auto"/>
              <w:rPr>
                <w:rFonts w:cs="Arial"/>
                <w:sz w:val="16"/>
                <w:szCs w:val="16"/>
                <w:lang w:val="en-GB"/>
              </w:rPr>
            </w:pPr>
            <w:r w:rsidRPr="00CB09D5">
              <w:rPr>
                <w:rFonts w:cs="Arial"/>
                <w:sz w:val="16"/>
                <w:szCs w:val="16"/>
                <w:lang w:val="en-GB"/>
              </w:rPr>
              <w:t>Profits from terms of trade were decreasing during the year</w:t>
            </w:r>
            <w:r w:rsidR="003875C2" w:rsidRPr="00CB09D5">
              <w:rPr>
                <w:rFonts w:cs="Arial"/>
                <w:sz w:val="16"/>
                <w:szCs w:val="16"/>
                <w:lang w:val="en-GB"/>
              </w:rPr>
              <w:t>.</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443646" w:rsidP="00A9497A">
            <w:pPr>
              <w:pStyle w:val="Textpoznpodarou"/>
              <w:jc w:val="both"/>
              <w:rPr>
                <w:sz w:val="18"/>
                <w:szCs w:val="18"/>
                <w:lang w:val="en-GB"/>
              </w:rPr>
            </w:pPr>
            <w:r w:rsidRPr="0051412B">
              <w:rPr>
                <w:lang w:val="en-GB"/>
              </w:rPr>
              <w:t xml:space="preserve">Real gross domestic income </w:t>
            </w:r>
            <w:r w:rsidR="003875C2" w:rsidRPr="0051412B">
              <w:rPr>
                <w:lang w:val="en-GB"/>
              </w:rPr>
              <w:t>(</w:t>
            </w:r>
            <w:r w:rsidRPr="0051412B">
              <w:rPr>
                <w:lang w:val="en-GB"/>
              </w:rPr>
              <w:t>RGDI</w:t>
            </w:r>
            <w:r w:rsidR="003875C2" w:rsidRPr="0051412B">
              <w:rPr>
                <w:lang w:val="en-GB"/>
              </w:rPr>
              <w:t xml:space="preserve">), </w:t>
            </w:r>
            <w:r w:rsidRPr="0051412B">
              <w:rPr>
                <w:lang w:val="en-GB"/>
              </w:rPr>
              <w:t xml:space="preserve">which in contrast to the GDP reflects the additional profits or losses from the development of prices in the foreign trade, respectively the profits or losses from </w:t>
            </w:r>
            <w:r w:rsidR="00EB6063" w:rsidRPr="00EB6063">
              <w:rPr>
                <w:lang w:val="en-GB"/>
              </w:rPr>
              <w:t xml:space="preserve">the terms of trade, rose by 3.1% in 2016 (before adjustment for seasonal and calendar effects). The RGDI exceeded the GDP growth during the first three quarters, however its dynamics weakened and it lagged by 0.6 p.p. behind the GDP growth in Q4. Profit from the terms of trade was shrinking during the year and a mild loss occurred in the last quarter. </w:t>
            </w:r>
          </w:p>
          <w:p w:rsidR="003875C2" w:rsidRPr="0051412B" w:rsidRDefault="00EB6063" w:rsidP="00A9497A">
            <w:pPr>
              <w:pStyle w:val="Textpoznpodarou"/>
              <w:jc w:val="both"/>
              <w:rPr>
                <w:rFonts w:cs="Arial"/>
                <w:sz w:val="14"/>
                <w:szCs w:val="14"/>
                <w:highlight w:val="yellow"/>
                <w:lang w:val="en-GB"/>
              </w:rPr>
            </w:pPr>
            <w:r w:rsidRPr="00EB6063">
              <w:rPr>
                <w:lang w:val="en-GB"/>
              </w:rPr>
              <w:t xml:space="preserve">  </w:t>
            </w:r>
          </w:p>
        </w:tc>
      </w:tr>
      <w:tr w:rsidR="003875C2" w:rsidRPr="00CB09D5" w:rsidTr="00EF6DDD">
        <w:tc>
          <w:tcPr>
            <w:tcW w:w="1074" w:type="pct"/>
            <w:gridSpan w:val="2"/>
          </w:tcPr>
          <w:p w:rsidR="003875C2" w:rsidRPr="00CB09D5" w:rsidRDefault="00791D4B" w:rsidP="00A9497A">
            <w:pPr>
              <w:spacing w:line="240" w:lineRule="auto"/>
              <w:rPr>
                <w:rFonts w:cs="Arial"/>
                <w:sz w:val="16"/>
                <w:szCs w:val="16"/>
                <w:lang w:val="en-GB"/>
              </w:rPr>
            </w:pPr>
            <w:r w:rsidRPr="00CB09D5">
              <w:rPr>
                <w:rFonts w:cs="Arial"/>
                <w:sz w:val="16"/>
                <w:szCs w:val="16"/>
                <w:lang w:val="en-GB"/>
              </w:rPr>
              <w:t xml:space="preserve">Manufacturing contributed to the overall GVA growth by more than half and it is thus the most significant source of growth.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373689" w:rsidP="00A9497A">
            <w:pPr>
              <w:pStyle w:val="Textpoznpodarou"/>
              <w:jc w:val="both"/>
              <w:rPr>
                <w:rFonts w:cs="Arial"/>
                <w:sz w:val="18"/>
                <w:szCs w:val="18"/>
                <w:lang w:val="en-GB"/>
              </w:rPr>
            </w:pPr>
            <w:r w:rsidRPr="0051412B">
              <w:rPr>
                <w:rFonts w:cs="Arial"/>
                <w:lang w:val="en-GB"/>
              </w:rPr>
              <w:t xml:space="preserve">Manufacturing shared the most on the GDP growth in </w:t>
            </w:r>
            <w:r w:rsidR="0032279C" w:rsidRPr="0051412B">
              <w:rPr>
                <w:rFonts w:cs="Arial"/>
                <w:lang w:val="en-GB"/>
              </w:rPr>
              <w:t xml:space="preserve">the </w:t>
            </w:r>
            <w:r w:rsidRPr="0051412B">
              <w:rPr>
                <w:rFonts w:cs="Arial"/>
                <w:lang w:val="en-GB"/>
              </w:rPr>
              <w:t xml:space="preserve">year </w:t>
            </w:r>
            <w:r w:rsidR="003875C2" w:rsidRPr="0051412B">
              <w:rPr>
                <w:rFonts w:cs="Arial"/>
                <w:lang w:val="en-GB"/>
              </w:rPr>
              <w:t>2016</w:t>
            </w:r>
            <w:r w:rsidR="00EB6063" w:rsidRPr="00EB6063">
              <w:rPr>
                <w:rFonts w:cs="Arial"/>
                <w:lang w:val="en-GB"/>
              </w:rPr>
              <w:t xml:space="preserve">. Even though its gross value added did not increase as much as in the two previous years (4.8%, it was 8.2% in 2015), its additions to the total GVA growth was +1.3 p.p., that is more than one half (similarly to 2015). Manufacturing contributed to the GVA evenly in all quarters of the year. Real estate activities was another branch that grew more markedly (increase by 3.2%), growing slower compared to 2015, nevertheless its additions to the GVA arrived at +0.3 p.p. and it was also stable throughout the year.   </w:t>
            </w:r>
          </w:p>
          <w:p w:rsidR="003875C2" w:rsidRPr="0051412B" w:rsidRDefault="003875C2" w:rsidP="00A9497A">
            <w:pPr>
              <w:pStyle w:val="Textpoznpodarou"/>
              <w:jc w:val="both"/>
              <w:rPr>
                <w:rFonts w:cs="Arial"/>
                <w:sz w:val="14"/>
                <w:szCs w:val="14"/>
                <w:lang w:val="en-GB"/>
              </w:rPr>
            </w:pPr>
          </w:p>
        </w:tc>
      </w:tr>
      <w:tr w:rsidR="003875C2" w:rsidRPr="00CB09D5" w:rsidTr="00EF6DDD">
        <w:tc>
          <w:tcPr>
            <w:tcW w:w="1074" w:type="pct"/>
            <w:gridSpan w:val="2"/>
          </w:tcPr>
          <w:p w:rsidR="003875C2" w:rsidRPr="00CB09D5" w:rsidRDefault="008C46D8" w:rsidP="007468BC">
            <w:pPr>
              <w:spacing w:line="240" w:lineRule="auto"/>
              <w:rPr>
                <w:rFonts w:cs="Arial"/>
                <w:sz w:val="16"/>
                <w:szCs w:val="16"/>
                <w:lang w:val="en-GB"/>
              </w:rPr>
            </w:pPr>
            <w:r w:rsidRPr="00CB09D5">
              <w:rPr>
                <w:rFonts w:cs="Arial"/>
                <w:sz w:val="16"/>
                <w:szCs w:val="16"/>
                <w:lang w:val="en-GB"/>
              </w:rPr>
              <w:t xml:space="preserve">The contribution of branch trade, transportation, accommodation and food service reduced year-on-year. </w:t>
            </w:r>
            <w:r w:rsidR="00AA29BB" w:rsidRPr="00CB09D5">
              <w:rPr>
                <w:rFonts w:cs="Arial"/>
                <w:sz w:val="16"/>
                <w:szCs w:val="16"/>
                <w:lang w:val="en-GB"/>
              </w:rPr>
              <w:t xml:space="preserve">The </w:t>
            </w:r>
            <w:r w:rsidRPr="00CB09D5">
              <w:rPr>
                <w:rFonts w:cs="Arial"/>
                <w:sz w:val="16"/>
                <w:szCs w:val="16"/>
                <w:lang w:val="en-GB"/>
              </w:rPr>
              <w:t>GVA fell not</w:t>
            </w:r>
            <w:r w:rsidR="007468BC" w:rsidRPr="00CB09D5">
              <w:rPr>
                <w:rFonts w:cs="Arial"/>
                <w:sz w:val="16"/>
                <w:szCs w:val="16"/>
                <w:lang w:val="en-GB"/>
              </w:rPr>
              <w:t>a</w:t>
            </w:r>
            <w:r w:rsidRPr="00CB09D5">
              <w:rPr>
                <w:rFonts w:cs="Arial"/>
                <w:sz w:val="16"/>
                <w:szCs w:val="16"/>
                <w:lang w:val="en-GB"/>
              </w:rPr>
              <w:t xml:space="preserve">bly in construction. </w:t>
            </w:r>
          </w:p>
        </w:tc>
        <w:tc>
          <w:tcPr>
            <w:tcW w:w="142" w:type="pct"/>
          </w:tcPr>
          <w:p w:rsidR="003875C2" w:rsidRPr="00CB09D5" w:rsidRDefault="003875C2" w:rsidP="00D94859">
            <w:pPr>
              <w:pStyle w:val="Textpoznpodarou"/>
              <w:jc w:val="both"/>
              <w:rPr>
                <w:rFonts w:cs="Arial"/>
                <w:lang w:val="en-GB"/>
              </w:rPr>
            </w:pPr>
          </w:p>
        </w:tc>
        <w:tc>
          <w:tcPr>
            <w:tcW w:w="3784" w:type="pct"/>
            <w:gridSpan w:val="3"/>
          </w:tcPr>
          <w:p w:rsidR="003875C2" w:rsidRPr="0051412B" w:rsidRDefault="008A6103" w:rsidP="00A9497A">
            <w:pPr>
              <w:pStyle w:val="Textpoznpodarou"/>
              <w:jc w:val="both"/>
              <w:rPr>
                <w:rFonts w:cs="Arial"/>
                <w:sz w:val="18"/>
                <w:szCs w:val="18"/>
                <w:lang w:val="en-GB"/>
              </w:rPr>
            </w:pPr>
            <w:r w:rsidRPr="0051412B">
              <w:rPr>
                <w:rFonts w:cs="Arial"/>
                <w:lang w:val="en-GB"/>
              </w:rPr>
              <w:t xml:space="preserve">The growth slowed down in branch trade, </w:t>
            </w:r>
            <w:r w:rsidR="009632E3" w:rsidRPr="0051412B">
              <w:rPr>
                <w:rFonts w:cs="Arial"/>
                <w:lang w:val="en-GB"/>
              </w:rPr>
              <w:t>t</w:t>
            </w:r>
            <w:r w:rsidRPr="0051412B">
              <w:rPr>
                <w:rFonts w:cs="Arial"/>
                <w:lang w:val="en-GB"/>
              </w:rPr>
              <w:t>ransportation, accommodation and food service during the year 20</w:t>
            </w:r>
            <w:r w:rsidR="003875C2" w:rsidRPr="0051412B">
              <w:rPr>
                <w:rFonts w:cs="Arial"/>
                <w:lang w:val="en-GB"/>
              </w:rPr>
              <w:t>16</w:t>
            </w:r>
            <w:r w:rsidR="00EB6063" w:rsidRPr="00EB6063">
              <w:rPr>
                <w:rFonts w:cs="Arial"/>
                <w:lang w:val="en-GB"/>
              </w:rPr>
              <w:t xml:space="preserve">, its contribution to the GVA was +0.7 p.p. in 2015. The mentioned branch still added +0.5 p.p. in Q1 2016, but the additions subsequently shrank to -0.1 p.p. at the end of the year. The total contribution was +0.2 p.p. in 2016. Another branches, which did not sustain the growth from the previous year are information and communication and professional, scientific, technical and administrative activities. Both branches contributed to the GVA increase similarly only by 0.1 p.p. in 2016. The year 2016 was not successful for construction, whose GVA fell by 5.8%. The negative impact on the total growth of the GVA on the part of this branch deepened during the year and it arrived in total </w:t>
            </w:r>
            <w:proofErr w:type="gramStart"/>
            <w:r w:rsidR="00EB6063" w:rsidRPr="00EB6063">
              <w:rPr>
                <w:rFonts w:cs="Arial"/>
                <w:lang w:val="en-GB"/>
              </w:rPr>
              <w:t>at -0.3 p.p</w:t>
            </w:r>
            <w:proofErr w:type="gramEnd"/>
            <w:r w:rsidR="00EB6063" w:rsidRPr="00EB6063">
              <w:rPr>
                <w:rFonts w:cs="Arial"/>
                <w:lang w:val="en-GB"/>
              </w:rPr>
              <w:t xml:space="preserve">. </w:t>
            </w:r>
          </w:p>
          <w:p w:rsidR="003875C2" w:rsidRPr="0051412B" w:rsidRDefault="003875C2" w:rsidP="00A9497A">
            <w:pPr>
              <w:pStyle w:val="Textpoznpodarou"/>
              <w:jc w:val="both"/>
              <w:rPr>
                <w:rFonts w:cs="Arial"/>
                <w:sz w:val="18"/>
                <w:szCs w:val="18"/>
                <w:highlight w:val="yellow"/>
                <w:lang w:val="en-GB"/>
              </w:rPr>
            </w:pPr>
          </w:p>
        </w:tc>
      </w:tr>
      <w:tr w:rsidR="00701382" w:rsidRPr="00CB09D5" w:rsidTr="00EF6DDD">
        <w:tc>
          <w:tcPr>
            <w:tcW w:w="501" w:type="pct"/>
          </w:tcPr>
          <w:p w:rsidR="00701382" w:rsidRPr="00CB09D5" w:rsidRDefault="00596AC6" w:rsidP="00BE2C15">
            <w:pPr>
              <w:pStyle w:val="Textpoznpodarou"/>
              <w:rPr>
                <w:rFonts w:cs="Arial"/>
                <w:lang w:val="en-GB" w:eastAsia="en-US"/>
              </w:rPr>
            </w:pPr>
            <w:r w:rsidRPr="00CB09D5">
              <w:rPr>
                <w:rFonts w:cs="Arial"/>
                <w:lang w:val="en-GB" w:eastAsia="en-US"/>
              </w:rPr>
              <w:t xml:space="preserve">Chart </w:t>
            </w:r>
          </w:p>
          <w:p w:rsidR="00701382" w:rsidRPr="00CB09D5" w:rsidRDefault="00701382" w:rsidP="00BE2C15">
            <w:pPr>
              <w:pStyle w:val="Textpoznpodarou"/>
              <w:rPr>
                <w:rFonts w:cs="Arial"/>
                <w:lang w:val="en-GB" w:eastAsia="en-US"/>
              </w:rPr>
            </w:pPr>
            <w:r w:rsidRPr="00CB09D5">
              <w:rPr>
                <w:rFonts w:cs="Arial"/>
                <w:lang w:val="en-GB" w:eastAsia="en-US"/>
              </w:rPr>
              <w:t>1</w:t>
            </w:r>
          </w:p>
        </w:tc>
        <w:tc>
          <w:tcPr>
            <w:tcW w:w="1998" w:type="pct"/>
            <w:gridSpan w:val="3"/>
          </w:tcPr>
          <w:p w:rsidR="00701382" w:rsidRPr="00CB09D5" w:rsidRDefault="001468CC" w:rsidP="00AD4FEF">
            <w:pPr>
              <w:pStyle w:val="Textpoznpodarou"/>
              <w:jc w:val="both"/>
              <w:rPr>
                <w:rFonts w:cs="Arial"/>
                <w:lang w:val="en-GB" w:eastAsia="en-US"/>
              </w:rPr>
            </w:pPr>
            <w:r w:rsidRPr="00CB09D5">
              <w:rPr>
                <w:rFonts w:cs="Arial"/>
                <w:b/>
                <w:lang w:val="en-GB" w:eastAsia="en-US"/>
              </w:rPr>
              <w:t>GDP</w:t>
            </w:r>
            <w:r w:rsidR="00701382" w:rsidRPr="00CB09D5">
              <w:rPr>
                <w:rFonts w:cs="Arial"/>
                <w:b/>
                <w:lang w:val="en-GB" w:eastAsia="en-US"/>
              </w:rPr>
              <w:t> </w:t>
            </w:r>
            <w:r w:rsidR="00701382" w:rsidRPr="00CB09D5">
              <w:rPr>
                <w:rFonts w:cs="Arial"/>
                <w:lang w:val="en-GB" w:eastAsia="en-US"/>
              </w:rPr>
              <w:t>(</w:t>
            </w:r>
            <w:r w:rsidRPr="00CB09D5">
              <w:rPr>
                <w:rFonts w:cs="Arial"/>
                <w:lang w:val="en-GB" w:eastAsia="en-US"/>
              </w:rPr>
              <w:t xml:space="preserve">constant </w:t>
            </w:r>
            <w:r w:rsidR="00416F9E" w:rsidRPr="00CB09D5">
              <w:rPr>
                <w:rFonts w:cs="Arial"/>
                <w:lang w:val="en-GB" w:eastAsia="en-US"/>
              </w:rPr>
              <w:t>prices</w:t>
            </w:r>
            <w:r w:rsidRPr="00CB09D5">
              <w:rPr>
                <w:rFonts w:cs="Arial"/>
                <w:lang w:val="en-GB" w:eastAsia="en-US"/>
              </w:rPr>
              <w:t xml:space="preserve"> adjusted for seasonal and calendar effects</w:t>
            </w:r>
            <w:r w:rsidR="00701382" w:rsidRPr="00CB09D5">
              <w:rPr>
                <w:rFonts w:cs="Arial"/>
                <w:lang w:val="en-GB" w:eastAsia="en-US"/>
              </w:rPr>
              <w:t xml:space="preserve">, </w:t>
            </w:r>
            <w:r w:rsidRPr="00CB09D5">
              <w:rPr>
                <w:rFonts w:cs="Arial"/>
                <w:lang w:val="en-GB" w:eastAsia="en-US"/>
              </w:rPr>
              <w:t>in</w:t>
            </w:r>
            <w:r w:rsidR="00701382" w:rsidRPr="00CB09D5">
              <w:rPr>
                <w:rFonts w:cs="Arial"/>
                <w:lang w:val="en-GB" w:eastAsia="en-US"/>
              </w:rPr>
              <w:t xml:space="preserve"> %)</w:t>
            </w:r>
          </w:p>
        </w:tc>
        <w:tc>
          <w:tcPr>
            <w:tcW w:w="450" w:type="pct"/>
          </w:tcPr>
          <w:p w:rsidR="00701382" w:rsidRPr="00CB09D5" w:rsidRDefault="001468CC" w:rsidP="001468CC">
            <w:pPr>
              <w:pStyle w:val="Textpoznpodarou"/>
              <w:ind w:left="-71" w:right="-250"/>
              <w:rPr>
                <w:rFonts w:cs="Arial"/>
                <w:lang w:val="en-GB" w:eastAsia="en-US"/>
              </w:rPr>
            </w:pPr>
            <w:r w:rsidRPr="00CB09D5">
              <w:rPr>
                <w:rFonts w:cs="Arial"/>
                <w:lang w:val="en-GB" w:eastAsia="en-US"/>
              </w:rPr>
              <w:t xml:space="preserve">Chart </w:t>
            </w:r>
            <w:r w:rsidR="00701382" w:rsidRPr="00CB09D5">
              <w:rPr>
                <w:rFonts w:cs="Arial"/>
                <w:lang w:val="en-GB" w:eastAsia="en-US"/>
              </w:rPr>
              <w:t>2</w:t>
            </w:r>
          </w:p>
        </w:tc>
        <w:tc>
          <w:tcPr>
            <w:tcW w:w="2051" w:type="pct"/>
          </w:tcPr>
          <w:p w:rsidR="00701382" w:rsidRPr="00CB09D5" w:rsidRDefault="001468CC" w:rsidP="00853421">
            <w:pPr>
              <w:pStyle w:val="Textpoznpodarou"/>
              <w:ind w:right="34"/>
              <w:jc w:val="both"/>
              <w:rPr>
                <w:rFonts w:cs="Arial"/>
                <w:lang w:val="en-GB" w:eastAsia="en-US"/>
              </w:rPr>
            </w:pPr>
            <w:r w:rsidRPr="00CB09D5">
              <w:rPr>
                <w:rFonts w:cs="Arial"/>
                <w:b/>
                <w:lang w:val="en-GB" w:eastAsia="en-US"/>
              </w:rPr>
              <w:t>GDP</w:t>
            </w:r>
            <w:r w:rsidR="00701382" w:rsidRPr="00CB09D5">
              <w:rPr>
                <w:rFonts w:cs="Arial"/>
                <w:b/>
                <w:lang w:val="en-GB" w:eastAsia="en-US"/>
              </w:rPr>
              <w:t xml:space="preserve"> </w:t>
            </w:r>
            <w:r w:rsidR="00853421" w:rsidRPr="00CB09D5">
              <w:rPr>
                <w:rFonts w:cs="Arial"/>
                <w:lang w:val="en-GB" w:eastAsia="en-US"/>
              </w:rPr>
              <w:t xml:space="preserve">(constant prices, adjusted for seasonal and calendar effects, </w:t>
            </w:r>
            <w:r w:rsidR="00701382" w:rsidRPr="00CB09D5">
              <w:rPr>
                <w:rFonts w:cs="Arial"/>
                <w:lang w:val="en-GB" w:eastAsia="en-US"/>
              </w:rPr>
              <w:t xml:space="preserve">y/y </w:t>
            </w:r>
            <w:r w:rsidR="00853421" w:rsidRPr="00CB09D5">
              <w:rPr>
                <w:rFonts w:cs="Arial"/>
                <w:lang w:val="en-GB" w:eastAsia="en-US"/>
              </w:rPr>
              <w:t>in</w:t>
            </w:r>
            <w:r w:rsidR="00701382" w:rsidRPr="00CB09D5">
              <w:rPr>
                <w:rFonts w:cs="Arial"/>
                <w:lang w:val="en-GB" w:eastAsia="en-US"/>
              </w:rPr>
              <w:t xml:space="preserve"> %, </w:t>
            </w:r>
            <w:r w:rsidR="00853421" w:rsidRPr="00CB09D5">
              <w:rPr>
                <w:rFonts w:cs="Arial"/>
                <w:lang w:val="en-GB" w:eastAsia="en-US"/>
              </w:rPr>
              <w:t>right axis</w:t>
            </w:r>
            <w:r w:rsidR="00701382" w:rsidRPr="00CB09D5">
              <w:rPr>
                <w:rFonts w:cs="Arial"/>
                <w:lang w:val="en-GB" w:eastAsia="en-US"/>
              </w:rPr>
              <w:t xml:space="preserve"> </w:t>
            </w:r>
            <w:r w:rsidR="00701382" w:rsidRPr="00CB09D5">
              <w:rPr>
                <w:rFonts w:cs="Arial"/>
                <w:b/>
                <w:lang w:val="en-GB" w:eastAsia="en-US"/>
              </w:rPr>
              <w:t>a</w:t>
            </w:r>
            <w:r w:rsidR="00853421" w:rsidRPr="00CB09D5">
              <w:rPr>
                <w:rFonts w:cs="Arial"/>
                <w:b/>
                <w:lang w:val="en-GB" w:eastAsia="en-US"/>
              </w:rPr>
              <w:t>nd</w:t>
            </w:r>
            <w:r w:rsidR="00701382" w:rsidRPr="00CB09D5">
              <w:rPr>
                <w:rFonts w:cs="Arial"/>
                <w:b/>
                <w:lang w:val="en-GB" w:eastAsia="en-US"/>
              </w:rPr>
              <w:t> </w:t>
            </w:r>
            <w:r w:rsidR="0078337E" w:rsidRPr="00CB09D5">
              <w:rPr>
                <w:rFonts w:cs="Arial"/>
                <w:b/>
                <w:lang w:val="en-GB" w:eastAsia="en-US"/>
              </w:rPr>
              <w:t>confidence indicators</w:t>
            </w:r>
            <w:r w:rsidR="00701382" w:rsidRPr="00CB09D5">
              <w:rPr>
                <w:rFonts w:cs="Arial"/>
                <w:lang w:val="en-GB" w:eastAsia="en-US"/>
              </w:rPr>
              <w:t xml:space="preserve"> (2005=100, le</w:t>
            </w:r>
            <w:r w:rsidR="00853421" w:rsidRPr="00CB09D5">
              <w:rPr>
                <w:rFonts w:cs="Arial"/>
                <w:lang w:val="en-GB" w:eastAsia="en-US"/>
              </w:rPr>
              <w:t>ft axis</w:t>
            </w:r>
            <w:r w:rsidR="00701382" w:rsidRPr="00CB09D5">
              <w:rPr>
                <w:rFonts w:cs="Arial"/>
                <w:lang w:val="en-GB" w:eastAsia="en-US"/>
              </w:rPr>
              <w:t>)</w:t>
            </w:r>
          </w:p>
        </w:tc>
      </w:tr>
      <w:tr w:rsidR="00701382" w:rsidRPr="00CB09D5" w:rsidTr="00EF6DDD">
        <w:tc>
          <w:tcPr>
            <w:tcW w:w="2499" w:type="pct"/>
            <w:gridSpan w:val="4"/>
          </w:tcPr>
          <w:p w:rsidR="00701382" w:rsidRPr="00CB09D5" w:rsidRDefault="0029191C" w:rsidP="00BE2C15">
            <w:pPr>
              <w:pStyle w:val="Textpoznpodarou"/>
              <w:ind w:left="-108"/>
              <w:jc w:val="both"/>
              <w:rPr>
                <w:rFonts w:cs="Arial"/>
                <w:color w:val="FF0000"/>
                <w:lang w:val="en-GB" w:eastAsia="en-US"/>
              </w:rPr>
            </w:pPr>
            <w:r>
              <w:rPr>
                <w:rFonts w:cs="Arial"/>
                <w:noProof/>
                <w:color w:val="FF0000"/>
              </w:rPr>
              <w:drawing>
                <wp:inline distT="0" distB="0" distL="0" distR="0">
                  <wp:extent cx="3089384" cy="2469600"/>
                  <wp:effectExtent l="19050" t="0" r="0" b="0"/>
                  <wp:docPr id="1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89384" cy="2469600"/>
                          </a:xfrm>
                          <a:prstGeom prst="rect">
                            <a:avLst/>
                          </a:prstGeom>
                          <a:noFill/>
                          <a:ln w="9525">
                            <a:noFill/>
                            <a:miter lim="800000"/>
                            <a:headEnd/>
                            <a:tailEnd/>
                          </a:ln>
                        </pic:spPr>
                      </pic:pic>
                    </a:graphicData>
                  </a:graphic>
                </wp:inline>
              </w:drawing>
            </w:r>
          </w:p>
        </w:tc>
        <w:tc>
          <w:tcPr>
            <w:tcW w:w="2501" w:type="pct"/>
            <w:gridSpan w:val="2"/>
          </w:tcPr>
          <w:p w:rsidR="00701382" w:rsidRPr="00CB09D5" w:rsidRDefault="0029191C" w:rsidP="00701382">
            <w:pPr>
              <w:pStyle w:val="Textpoznpodarou"/>
              <w:ind w:left="-71"/>
              <w:jc w:val="both"/>
              <w:rPr>
                <w:rFonts w:cs="Arial"/>
                <w:color w:val="FF0000"/>
                <w:sz w:val="6"/>
                <w:szCs w:val="6"/>
                <w:lang w:val="en-GB" w:eastAsia="en-US"/>
              </w:rPr>
            </w:pPr>
            <w:r>
              <w:rPr>
                <w:rFonts w:cs="Arial"/>
                <w:noProof/>
                <w:color w:val="FF0000"/>
                <w:sz w:val="6"/>
                <w:szCs w:val="6"/>
              </w:rPr>
              <w:drawing>
                <wp:inline distT="0" distB="0" distL="0" distR="0">
                  <wp:extent cx="3114862" cy="2469600"/>
                  <wp:effectExtent l="19050" t="0" r="9338"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114862" cy="2469600"/>
                          </a:xfrm>
                          <a:prstGeom prst="rect">
                            <a:avLst/>
                          </a:prstGeom>
                          <a:noFill/>
                          <a:ln w="9525">
                            <a:noFill/>
                            <a:miter lim="800000"/>
                            <a:headEnd/>
                            <a:tailEnd/>
                          </a:ln>
                        </pic:spPr>
                      </pic:pic>
                    </a:graphicData>
                  </a:graphic>
                </wp:inline>
              </w:drawing>
            </w:r>
          </w:p>
        </w:tc>
      </w:tr>
    </w:tbl>
    <w:p w:rsidR="00EB6063" w:rsidRDefault="00EB6063" w:rsidP="00EB6063">
      <w:pPr>
        <w:rPr>
          <w:lang w:val="en-GB"/>
        </w:rPr>
      </w:pPr>
    </w:p>
    <w:p w:rsidR="00416F9E" w:rsidRDefault="00416F9E" w:rsidP="00EB6063">
      <w:pPr>
        <w:rPr>
          <w:lang w:val="en-GB"/>
        </w:rPr>
      </w:pPr>
    </w:p>
    <w:p w:rsidR="00416F9E" w:rsidRDefault="00416F9E" w:rsidP="00EB6063">
      <w:pPr>
        <w:rPr>
          <w:lang w:val="en-GB"/>
        </w:rPr>
      </w:pPr>
    </w:p>
    <w:p w:rsidR="00416F9E" w:rsidRPr="00EB6063" w:rsidRDefault="00416F9E" w:rsidP="00EB6063">
      <w:pPr>
        <w:rPr>
          <w:lang w:val="en-GB"/>
        </w:rPr>
      </w:pPr>
    </w:p>
    <w:p w:rsidR="00EB6063" w:rsidRDefault="00EB6063" w:rsidP="00EB6063">
      <w:pPr>
        <w:pStyle w:val="Nadpis1"/>
        <w:jc w:val="both"/>
        <w:rPr>
          <w:rFonts w:eastAsia="Calibri"/>
          <w:b w:val="0"/>
          <w:bCs w:val="0"/>
          <w:color w:val="auto"/>
          <w:sz w:val="2"/>
          <w:szCs w:val="2"/>
          <w:lang w:val="en-GB"/>
        </w:rPr>
      </w:pPr>
    </w:p>
    <w:tbl>
      <w:tblPr>
        <w:tblW w:w="5000" w:type="pct"/>
        <w:tblInd w:w="108" w:type="dxa"/>
        <w:tblLayout w:type="fixed"/>
        <w:tblLook w:val="00A0"/>
      </w:tblPr>
      <w:tblGrid>
        <w:gridCol w:w="987"/>
        <w:gridCol w:w="3938"/>
        <w:gridCol w:w="887"/>
        <w:gridCol w:w="4042"/>
      </w:tblGrid>
      <w:tr w:rsidR="0051412B" w:rsidRPr="00CB09D5" w:rsidTr="00327200">
        <w:tc>
          <w:tcPr>
            <w:tcW w:w="501" w:type="pct"/>
          </w:tcPr>
          <w:p w:rsidR="0051412B" w:rsidRPr="00CB09D5" w:rsidRDefault="0051412B" w:rsidP="00327200">
            <w:pPr>
              <w:pStyle w:val="Textpoznpodarou"/>
              <w:rPr>
                <w:rFonts w:cs="Arial"/>
                <w:lang w:val="en-GB" w:eastAsia="en-US"/>
              </w:rPr>
            </w:pPr>
            <w:r w:rsidRPr="00CB09D5">
              <w:rPr>
                <w:rFonts w:cs="Arial"/>
                <w:lang w:val="en-GB" w:eastAsia="en-US"/>
              </w:rPr>
              <w:t xml:space="preserve">Chart </w:t>
            </w:r>
          </w:p>
          <w:p w:rsidR="0051412B" w:rsidRPr="00CB09D5" w:rsidRDefault="0051412B" w:rsidP="00327200">
            <w:pPr>
              <w:pStyle w:val="Textpoznpodarou"/>
              <w:rPr>
                <w:rFonts w:cs="Arial"/>
                <w:lang w:val="en-GB" w:eastAsia="en-US"/>
              </w:rPr>
            </w:pPr>
            <w:r w:rsidRPr="00CB09D5">
              <w:rPr>
                <w:rFonts w:cs="Arial"/>
                <w:lang w:val="en-GB" w:eastAsia="en-US"/>
              </w:rPr>
              <w:t>3</w:t>
            </w:r>
          </w:p>
        </w:tc>
        <w:tc>
          <w:tcPr>
            <w:tcW w:w="1998" w:type="pct"/>
          </w:tcPr>
          <w:p w:rsidR="0051412B" w:rsidRPr="009D6A6F" w:rsidRDefault="00EB6063" w:rsidP="00327200">
            <w:pPr>
              <w:pStyle w:val="Textpoznpodarou"/>
              <w:ind w:right="139"/>
              <w:rPr>
                <w:rFonts w:cs="Arial"/>
                <w:lang w:val="en-GB" w:eastAsia="en-US"/>
              </w:rPr>
            </w:pPr>
            <w:r w:rsidRPr="00EB6063">
              <w:rPr>
                <w:b/>
                <w:lang w:val="en-GB" w:eastAsia="en-US"/>
              </w:rPr>
              <w:t>Contributions of expenditure items to GDP change</w:t>
            </w:r>
            <w:r w:rsidRPr="00EB6063">
              <w:rPr>
                <w:rFonts w:cs="Arial"/>
                <w:b/>
                <w:lang w:val="en-GB" w:eastAsia="en-US"/>
              </w:rPr>
              <w:t xml:space="preserve"> *</w:t>
            </w:r>
            <w:r w:rsidRPr="00EB6063">
              <w:rPr>
                <w:rFonts w:cs="Arial"/>
                <w:lang w:val="en-GB" w:eastAsia="en-US"/>
              </w:rPr>
              <w:t xml:space="preserve"> (constant prices, y/y, additions in p.p., GDP in %)</w:t>
            </w:r>
          </w:p>
        </w:tc>
        <w:tc>
          <w:tcPr>
            <w:tcW w:w="450" w:type="pct"/>
          </w:tcPr>
          <w:p w:rsidR="0051412B" w:rsidRPr="009D6A6F" w:rsidRDefault="00EB6063" w:rsidP="00327200">
            <w:pPr>
              <w:pStyle w:val="Textpoznpodarou"/>
              <w:ind w:left="-71" w:right="-108"/>
              <w:rPr>
                <w:rFonts w:cs="Arial"/>
                <w:lang w:val="en-GB" w:eastAsia="en-US"/>
              </w:rPr>
            </w:pPr>
            <w:r w:rsidRPr="00EB6063">
              <w:rPr>
                <w:rFonts w:cs="Arial"/>
                <w:lang w:val="en-GB" w:eastAsia="en-US"/>
              </w:rPr>
              <w:t xml:space="preserve">Chart </w:t>
            </w:r>
          </w:p>
          <w:p w:rsidR="0051412B" w:rsidRPr="009D6A6F" w:rsidRDefault="00EB6063" w:rsidP="00327200">
            <w:pPr>
              <w:pStyle w:val="Textpoznpodarou"/>
              <w:ind w:left="-71" w:right="-108"/>
              <w:rPr>
                <w:rFonts w:cs="Arial"/>
                <w:lang w:val="en-GB" w:eastAsia="en-US"/>
              </w:rPr>
            </w:pPr>
            <w:r w:rsidRPr="00EB6063">
              <w:rPr>
                <w:rFonts w:cs="Arial"/>
                <w:lang w:val="en-GB" w:eastAsia="en-US"/>
              </w:rPr>
              <w:t>4</w:t>
            </w:r>
          </w:p>
        </w:tc>
        <w:tc>
          <w:tcPr>
            <w:tcW w:w="2051" w:type="pct"/>
          </w:tcPr>
          <w:p w:rsidR="0051412B" w:rsidRPr="009D6A6F" w:rsidRDefault="00EB6063" w:rsidP="00327200">
            <w:pPr>
              <w:pStyle w:val="Textpoznpodarou"/>
              <w:rPr>
                <w:rFonts w:cs="Arial"/>
                <w:lang w:val="en-GB" w:eastAsia="en-US"/>
              </w:rPr>
            </w:pPr>
            <w:r w:rsidRPr="00EB6063">
              <w:rPr>
                <w:b/>
                <w:lang w:val="en-GB" w:eastAsia="en-US"/>
              </w:rPr>
              <w:t>Contributions of branches to change in GVA</w:t>
            </w:r>
            <w:r w:rsidRPr="00EB6063">
              <w:rPr>
                <w:lang w:val="en-GB" w:eastAsia="en-US"/>
              </w:rPr>
              <w:t xml:space="preserve"> </w:t>
            </w:r>
            <w:r w:rsidRPr="00EB6063">
              <w:rPr>
                <w:rFonts w:cs="Arial"/>
                <w:lang w:val="en-GB" w:eastAsia="en-US"/>
              </w:rPr>
              <w:t>(constant prices, y/y, additions in p.p., GVA in %)</w:t>
            </w:r>
          </w:p>
        </w:tc>
      </w:tr>
      <w:tr w:rsidR="0051412B" w:rsidRPr="00CB09D5" w:rsidTr="00327200">
        <w:tc>
          <w:tcPr>
            <w:tcW w:w="2499" w:type="pct"/>
            <w:gridSpan w:val="2"/>
          </w:tcPr>
          <w:p w:rsidR="0051412B" w:rsidRPr="00CB09D5" w:rsidRDefault="0029191C" w:rsidP="00327200">
            <w:pPr>
              <w:pStyle w:val="Textpoznpodarou"/>
              <w:ind w:left="-108"/>
              <w:jc w:val="both"/>
              <w:rPr>
                <w:rFonts w:cs="Arial"/>
                <w:color w:val="FF0000"/>
                <w:sz w:val="22"/>
                <w:lang w:val="en-GB" w:eastAsia="en-US"/>
              </w:rPr>
            </w:pPr>
            <w:r>
              <w:rPr>
                <w:rFonts w:cs="Arial"/>
                <w:noProof/>
                <w:color w:val="FF0000"/>
                <w:sz w:val="22"/>
              </w:rPr>
              <w:drawing>
                <wp:inline distT="0" distB="0" distL="0" distR="0">
                  <wp:extent cx="3077502" cy="2469600"/>
                  <wp:effectExtent l="19050" t="0" r="8598" b="0"/>
                  <wp:docPr id="1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077502" cy="2469600"/>
                          </a:xfrm>
                          <a:prstGeom prst="rect">
                            <a:avLst/>
                          </a:prstGeom>
                          <a:noFill/>
                          <a:ln w="9525">
                            <a:noFill/>
                            <a:miter lim="800000"/>
                            <a:headEnd/>
                            <a:tailEnd/>
                          </a:ln>
                        </pic:spPr>
                      </pic:pic>
                    </a:graphicData>
                  </a:graphic>
                </wp:inline>
              </w:drawing>
            </w:r>
          </w:p>
        </w:tc>
        <w:tc>
          <w:tcPr>
            <w:tcW w:w="2501" w:type="pct"/>
            <w:gridSpan w:val="2"/>
          </w:tcPr>
          <w:p w:rsidR="0051412B" w:rsidRPr="00CB09D5" w:rsidRDefault="0029191C" w:rsidP="00327200">
            <w:pPr>
              <w:pStyle w:val="Textpoznpodarou"/>
              <w:ind w:left="-109"/>
              <w:jc w:val="both"/>
              <w:rPr>
                <w:rFonts w:cs="Arial"/>
                <w:color w:val="FF0000"/>
                <w:sz w:val="22"/>
                <w:lang w:val="en-GB" w:eastAsia="en-US"/>
              </w:rPr>
            </w:pPr>
            <w:r>
              <w:rPr>
                <w:rFonts w:cs="Arial"/>
                <w:noProof/>
                <w:color w:val="FF0000"/>
                <w:sz w:val="22"/>
              </w:rPr>
              <w:drawing>
                <wp:inline distT="0" distB="0" distL="0" distR="0">
                  <wp:extent cx="3091852" cy="2469600"/>
                  <wp:effectExtent l="19050" t="0" r="0" b="0"/>
                  <wp:docPr id="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3091852" cy="2469600"/>
                          </a:xfrm>
                          <a:prstGeom prst="rect">
                            <a:avLst/>
                          </a:prstGeom>
                          <a:noFill/>
                          <a:ln w="9525">
                            <a:noFill/>
                            <a:miter lim="800000"/>
                            <a:headEnd/>
                            <a:tailEnd/>
                          </a:ln>
                        </pic:spPr>
                      </pic:pic>
                    </a:graphicData>
                  </a:graphic>
                </wp:inline>
              </w:drawing>
            </w:r>
          </w:p>
        </w:tc>
      </w:tr>
      <w:tr w:rsidR="0051412B" w:rsidRPr="00CB09D5" w:rsidTr="00327200">
        <w:tc>
          <w:tcPr>
            <w:tcW w:w="2499" w:type="pct"/>
            <w:gridSpan w:val="2"/>
          </w:tcPr>
          <w:p w:rsidR="0051412B" w:rsidRPr="00CB09D5" w:rsidRDefault="0051412B" w:rsidP="00327200">
            <w:pPr>
              <w:pStyle w:val="Textpoznpodarou"/>
              <w:ind w:left="-108"/>
              <w:jc w:val="both"/>
              <w:rPr>
                <w:rFonts w:cs="Arial"/>
                <w:sz w:val="18"/>
                <w:szCs w:val="18"/>
                <w:lang w:val="en-GB" w:eastAsia="en-US"/>
              </w:rPr>
            </w:pPr>
            <w:r w:rsidRPr="00CB09D5">
              <w:rPr>
                <w:rFonts w:cs="Arial"/>
                <w:sz w:val="18"/>
                <w:szCs w:val="18"/>
                <w:lang w:val="en-GB" w:eastAsia="en-US"/>
              </w:rPr>
              <w:t>*after exclusion of imports for final use</w:t>
            </w:r>
          </w:p>
        </w:tc>
        <w:tc>
          <w:tcPr>
            <w:tcW w:w="2501" w:type="pct"/>
            <w:gridSpan w:val="2"/>
          </w:tcPr>
          <w:p w:rsidR="0051412B" w:rsidRPr="00CB09D5" w:rsidRDefault="0051412B" w:rsidP="00327200">
            <w:pPr>
              <w:pStyle w:val="Textpoznpodarou"/>
              <w:ind w:left="-109"/>
              <w:jc w:val="right"/>
              <w:rPr>
                <w:rFonts w:cs="Arial"/>
                <w:sz w:val="18"/>
                <w:szCs w:val="18"/>
                <w:lang w:val="en-GB" w:eastAsia="en-US"/>
              </w:rPr>
            </w:pPr>
            <w:r w:rsidRPr="00CB09D5">
              <w:rPr>
                <w:rFonts w:cs="Arial"/>
                <w:sz w:val="18"/>
                <w:szCs w:val="18"/>
                <w:lang w:val="en-GB" w:eastAsia="en-US"/>
              </w:rPr>
              <w:t xml:space="preserve">Source: CZSO, </w:t>
            </w:r>
            <w:proofErr w:type="spellStart"/>
            <w:r w:rsidRPr="00CB09D5">
              <w:rPr>
                <w:rFonts w:cs="Arial"/>
                <w:sz w:val="18"/>
                <w:szCs w:val="18"/>
                <w:lang w:val="en-GB" w:eastAsia="en-US"/>
              </w:rPr>
              <w:t>Eurostat</w:t>
            </w:r>
            <w:proofErr w:type="spellEnd"/>
          </w:p>
        </w:tc>
      </w:tr>
    </w:tbl>
    <w:p w:rsidR="00EB6063" w:rsidRPr="00EB6063" w:rsidRDefault="00EB6063" w:rsidP="00EB6063">
      <w:pPr>
        <w:rPr>
          <w:lang w:val="en-GB"/>
        </w:rPr>
      </w:pPr>
    </w:p>
    <w:sectPr w:rsidR="00EB6063" w:rsidRPr="00EB6063" w:rsidSect="00C46600">
      <w:headerReference w:type="even" r:id="rId13"/>
      <w:headerReference w:type="default" r:id="rId14"/>
      <w:footerReference w:type="even" r:id="rId15"/>
      <w:footerReference w:type="default" r:id="rId16"/>
      <w:type w:val="continuous"/>
      <w:pgSz w:w="11906" w:h="16838" w:code="9"/>
      <w:pgMar w:top="1134" w:right="1134" w:bottom="1418" w:left="1134" w:header="680" w:footer="680"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97B" w:rsidRDefault="007C297B" w:rsidP="00E71A58">
      <w:r>
        <w:separator/>
      </w:r>
    </w:p>
  </w:endnote>
  <w:endnote w:type="continuationSeparator" w:id="0">
    <w:p w:rsidR="007C297B" w:rsidRDefault="007C297B"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0A7C02" w:rsidP="00357449">
    <w:pPr>
      <w:pStyle w:val="Zpat"/>
      <w:tabs>
        <w:tab w:val="clear" w:pos="4536"/>
        <w:tab w:val="clear" w:pos="9072"/>
        <w:tab w:val="center" w:pos="4820"/>
        <w:tab w:val="right" w:pos="9639"/>
      </w:tabs>
    </w:pPr>
    <w:r>
      <w:rPr>
        <w:noProof/>
        <w:lang w:eastAsia="cs-CZ"/>
      </w:rPr>
      <w:drawing>
        <wp:anchor distT="0" distB="0" distL="114300" distR="114300" simplePos="0" relativeHeight="251657728"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a:ln w="9525">
                    <a:noFill/>
                    <a:miter lim="800000"/>
                    <a:headEnd/>
                    <a:tailEnd/>
                  </a:ln>
                </pic:spPr>
              </pic:pic>
            </a:graphicData>
          </a:graphic>
        </wp:anchor>
      </w:drawing>
    </w:r>
    <w:r w:rsidR="00655B45" w:rsidRPr="005A21E0">
      <w:rPr>
        <w:rFonts w:ascii="Arial" w:hAnsi="Arial" w:cs="Arial"/>
        <w:sz w:val="16"/>
        <w:szCs w:val="16"/>
      </w:rPr>
      <w:fldChar w:fldCharType="begin"/>
    </w:r>
    <w:r w:rsidRPr="005A21E0">
      <w:rPr>
        <w:rFonts w:ascii="Arial" w:hAnsi="Arial" w:cs="Arial"/>
        <w:sz w:val="16"/>
        <w:szCs w:val="16"/>
      </w:rPr>
      <w:instrText>PAGE   \* MERGEFORMAT</w:instrText>
    </w:r>
    <w:r w:rsidR="00655B45" w:rsidRPr="005A21E0">
      <w:rPr>
        <w:rFonts w:ascii="Arial" w:hAnsi="Arial" w:cs="Arial"/>
        <w:sz w:val="16"/>
        <w:szCs w:val="16"/>
      </w:rPr>
      <w:fldChar w:fldCharType="separate"/>
    </w:r>
    <w:r w:rsidR="007B22B6">
      <w:rPr>
        <w:rFonts w:ascii="Arial" w:hAnsi="Arial" w:cs="Arial"/>
        <w:noProof/>
        <w:sz w:val="16"/>
        <w:szCs w:val="16"/>
      </w:rPr>
      <w:t>8</w:t>
    </w:r>
    <w:r w:rsidR="00655B45" w:rsidRPr="005A21E0">
      <w:rPr>
        <w:rFonts w:ascii="Arial" w:hAnsi="Arial" w:cs="Arial"/>
        <w:sz w:val="16"/>
        <w:szCs w:val="16"/>
      </w:rPr>
      <w:fldChar w:fldCharType="end"/>
    </w:r>
    <w:r>
      <w:rPr>
        <w:rFonts w:ascii="Arial" w:hAnsi="Arial" w:cs="Arial"/>
        <w:sz w:val="16"/>
        <w:szCs w:val="16"/>
      </w:rPr>
      <w:tab/>
      <w:t>2017</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Default="00C46600" w:rsidP="00357449">
    <w:pPr>
      <w:pStyle w:val="Zpat"/>
      <w:tabs>
        <w:tab w:val="clear" w:pos="4536"/>
        <w:tab w:val="clear" w:pos="9072"/>
        <w:tab w:val="left" w:pos="1134"/>
        <w:tab w:val="left" w:pos="1920"/>
        <w:tab w:val="center" w:pos="4820"/>
        <w:tab w:val="right" w:pos="9639"/>
      </w:tabs>
    </w:pPr>
    <w:r w:rsidRPr="00C46600">
      <w:rPr>
        <w:noProof/>
        <w:lang w:eastAsia="cs-CZ"/>
      </w:rPr>
      <w:drawing>
        <wp:anchor distT="0" distB="0" distL="114300" distR="114300" simplePos="0" relativeHeight="251659776" behindDoc="0" locked="0" layoutInCell="1" allowOverlap="1">
          <wp:simplePos x="0" y="0"/>
          <wp:positionH relativeFrom="column">
            <wp:posOffset>70059</wp:posOffset>
          </wp:positionH>
          <wp:positionV relativeFrom="paragraph">
            <wp:posOffset>156523</wp:posOffset>
          </wp:positionV>
          <wp:extent cx="690633" cy="204716"/>
          <wp:effectExtent l="19050" t="0" r="0" b="0"/>
          <wp:wrapNone/>
          <wp:docPr id="5" name="obrázek 7" descr="CSU RGB EN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U RGB EN logo-02"/>
                  <pic:cNvPicPr>
                    <a:picLocks noChangeAspect="1" noChangeArrowheads="1"/>
                  </pic:cNvPicPr>
                </pic:nvPicPr>
                <pic:blipFill>
                  <a:blip r:embed="rId1"/>
                  <a:srcRect/>
                  <a:stretch>
                    <a:fillRect/>
                  </a:stretch>
                </pic:blipFill>
                <pic:spPr bwMode="auto">
                  <a:xfrm>
                    <a:off x="0" y="0"/>
                    <a:ext cx="687787" cy="201954"/>
                  </a:xfrm>
                  <a:prstGeom prst="rect">
                    <a:avLst/>
                  </a:prstGeom>
                  <a:noFill/>
                  <a:ln w="9525">
                    <a:noFill/>
                    <a:miter lim="800000"/>
                    <a:headEnd/>
                    <a:tailEnd/>
                  </a:ln>
                </pic:spPr>
              </pic:pic>
            </a:graphicData>
          </a:graphic>
        </wp:anchor>
      </w:drawing>
    </w:r>
    <w:r w:rsidR="000A7C02">
      <w:tab/>
    </w:r>
    <w:r w:rsidR="000A7C02">
      <w:tab/>
    </w:r>
    <w:r w:rsidR="000A7C02" w:rsidRPr="00DC5B3B">
      <w:t xml:space="preserve">                              </w:t>
    </w:r>
  </w:p>
  <w:p w:rsidR="000A7C02" w:rsidRPr="00223E00" w:rsidRDefault="000A7C02" w:rsidP="00357449">
    <w:pPr>
      <w:pStyle w:val="Zpat"/>
      <w:tabs>
        <w:tab w:val="clear" w:pos="4536"/>
        <w:tab w:val="clear" w:pos="9072"/>
        <w:tab w:val="left" w:pos="1134"/>
        <w:tab w:val="left" w:pos="1920"/>
        <w:tab w:val="center" w:pos="4820"/>
        <w:tab w:val="left" w:pos="9262"/>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2017</w:t>
    </w:r>
    <w:r>
      <w:rPr>
        <w:rFonts w:ascii="Arial" w:hAnsi="Arial" w:cs="Arial"/>
        <w:sz w:val="16"/>
        <w:szCs w:val="16"/>
      </w:rPr>
      <w:tab/>
    </w:r>
    <w:r w:rsidR="00655B45" w:rsidRPr="00223E00">
      <w:rPr>
        <w:rFonts w:ascii="Arial" w:hAnsi="Arial" w:cs="Arial"/>
        <w:sz w:val="16"/>
        <w:szCs w:val="16"/>
      </w:rPr>
      <w:fldChar w:fldCharType="begin"/>
    </w:r>
    <w:r w:rsidRPr="00223E00">
      <w:rPr>
        <w:rFonts w:ascii="Arial" w:hAnsi="Arial" w:cs="Arial"/>
        <w:sz w:val="16"/>
        <w:szCs w:val="16"/>
      </w:rPr>
      <w:instrText xml:space="preserve"> PAGE   \* MERGEFORMAT </w:instrText>
    </w:r>
    <w:r w:rsidR="00655B45" w:rsidRPr="00223E00">
      <w:rPr>
        <w:rFonts w:ascii="Arial" w:hAnsi="Arial" w:cs="Arial"/>
        <w:sz w:val="16"/>
        <w:szCs w:val="16"/>
      </w:rPr>
      <w:fldChar w:fldCharType="separate"/>
    </w:r>
    <w:r w:rsidR="007B22B6">
      <w:rPr>
        <w:rFonts w:ascii="Arial" w:hAnsi="Arial" w:cs="Arial"/>
        <w:noProof/>
        <w:sz w:val="16"/>
        <w:szCs w:val="16"/>
      </w:rPr>
      <w:t>5</w:t>
    </w:r>
    <w:r w:rsidR="00655B45" w:rsidRPr="00223E00">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97B" w:rsidRDefault="007C297B" w:rsidP="00E71A58">
      <w:r>
        <w:separator/>
      </w:r>
    </w:p>
  </w:footnote>
  <w:footnote w:type="continuationSeparator" w:id="0">
    <w:p w:rsidR="007C297B" w:rsidRDefault="007C297B" w:rsidP="00E71A58">
      <w:r>
        <w:continuationSeparator/>
      </w:r>
    </w:p>
  </w:footnote>
  <w:footnote w:id="1">
    <w:p w:rsidR="000A7C02" w:rsidRPr="00361CEF" w:rsidRDefault="000A7C02" w:rsidP="00361CEF">
      <w:pPr>
        <w:pStyle w:val="Textpoznpodarou"/>
        <w:jc w:val="both"/>
        <w:rPr>
          <w:sz w:val="16"/>
          <w:szCs w:val="16"/>
          <w:lang w:val="en-GB"/>
        </w:rPr>
      </w:pPr>
      <w:r w:rsidRPr="00EF1EE3">
        <w:rPr>
          <w:rStyle w:val="Znakapoznpodarou"/>
          <w:sz w:val="16"/>
          <w:szCs w:val="16"/>
        </w:rPr>
        <w:footnoteRef/>
      </w:r>
      <w:r w:rsidRPr="00EF1EE3">
        <w:rPr>
          <w:sz w:val="16"/>
          <w:szCs w:val="16"/>
        </w:rPr>
        <w:t xml:space="preserve"> </w:t>
      </w:r>
      <w:r w:rsidRPr="00361CEF">
        <w:rPr>
          <w:sz w:val="16"/>
          <w:szCs w:val="16"/>
          <w:lang w:val="en-GB"/>
        </w:rPr>
        <w:t>Data regarding the GDP, gross value added and their components are expressed in constant prices and adjusted for seasonal and calendar effec</w:t>
      </w:r>
      <w:r>
        <w:rPr>
          <w:sz w:val="16"/>
          <w:szCs w:val="16"/>
          <w:lang w:val="en-GB"/>
        </w:rPr>
        <w:t>ts. Data were published on 3</w:t>
      </w:r>
      <w:r w:rsidRPr="00C2299F">
        <w:rPr>
          <w:sz w:val="16"/>
          <w:szCs w:val="16"/>
          <w:vertAlign w:val="superscript"/>
          <w:lang w:val="en-GB"/>
        </w:rPr>
        <w:t>rd</w:t>
      </w:r>
      <w:r>
        <w:rPr>
          <w:sz w:val="16"/>
          <w:szCs w:val="16"/>
          <w:lang w:val="en-GB"/>
        </w:rPr>
        <w:t xml:space="preserve"> March</w:t>
      </w:r>
      <w:r w:rsidRPr="00361CEF">
        <w:rPr>
          <w:sz w:val="16"/>
          <w:szCs w:val="16"/>
          <w:lang w:val="en-GB"/>
        </w:rPr>
        <w:t xml:space="preserve"> 2017 and more precise</w:t>
      </w:r>
      <w:r>
        <w:rPr>
          <w:sz w:val="16"/>
          <w:szCs w:val="16"/>
          <w:lang w:val="en-GB"/>
        </w:rPr>
        <w:t xml:space="preserve"> values will be published on 31</w:t>
      </w:r>
      <w:r w:rsidRPr="005501E1">
        <w:rPr>
          <w:sz w:val="16"/>
          <w:szCs w:val="16"/>
          <w:vertAlign w:val="superscript"/>
          <w:lang w:val="en-GB"/>
        </w:rPr>
        <w:t>st</w:t>
      </w:r>
      <w:r>
        <w:rPr>
          <w:sz w:val="16"/>
          <w:szCs w:val="16"/>
          <w:lang w:val="en-GB"/>
        </w:rPr>
        <w:t xml:space="preserve"> March</w:t>
      </w:r>
      <w:r w:rsidRPr="00361CEF">
        <w:rPr>
          <w:sz w:val="16"/>
          <w:szCs w:val="16"/>
          <w:lang w:val="en-GB"/>
        </w:rPr>
        <w:t xml:space="preserve"> 2017.</w:t>
      </w:r>
    </w:p>
  </w:footnote>
  <w:footnote w:id="2">
    <w:p w:rsidR="000A7C02" w:rsidRPr="00361CEF" w:rsidRDefault="000A7C02" w:rsidP="00361CEF">
      <w:pPr>
        <w:pStyle w:val="Textpoznpodarou"/>
        <w:jc w:val="both"/>
        <w:rPr>
          <w:sz w:val="16"/>
          <w:szCs w:val="16"/>
          <w:lang w:val="en-GB"/>
        </w:rPr>
      </w:pPr>
      <w:r w:rsidRPr="00361CEF">
        <w:rPr>
          <w:rStyle w:val="Znakapoznpodarou"/>
          <w:sz w:val="16"/>
          <w:szCs w:val="16"/>
          <w:lang w:val="en-GB"/>
        </w:rPr>
        <w:footnoteRef/>
      </w:r>
      <w:r w:rsidRPr="00361CEF">
        <w:rPr>
          <w:sz w:val="16"/>
          <w:szCs w:val="16"/>
          <w:lang w:val="en-GB"/>
        </w:rPr>
        <w:t xml:space="preserve"> </w:t>
      </w:r>
      <w:proofErr w:type="gramStart"/>
      <w:r>
        <w:rPr>
          <w:sz w:val="16"/>
          <w:szCs w:val="16"/>
          <w:lang w:val="en-GB"/>
        </w:rPr>
        <w:t>Data for Ireland and Luxembourg not available.</w:t>
      </w:r>
      <w:proofErr w:type="gramEnd"/>
      <w:r>
        <w:rPr>
          <w:sz w:val="16"/>
          <w:szCs w:val="16"/>
          <w:lang w:val="en-GB"/>
        </w:rPr>
        <w:t xml:space="preserve"> Data for Slovakia not adjusted for calendar effects. </w:t>
      </w:r>
    </w:p>
  </w:footnote>
  <w:footnote w:id="3">
    <w:p w:rsidR="000A7C02" w:rsidRPr="00361CEF" w:rsidRDefault="000A7C02" w:rsidP="00643145">
      <w:pPr>
        <w:pStyle w:val="Textpoznpodarou"/>
        <w:jc w:val="both"/>
        <w:rPr>
          <w:sz w:val="16"/>
          <w:szCs w:val="16"/>
          <w:lang w:val="en-GB"/>
        </w:rPr>
      </w:pPr>
      <w:r w:rsidRPr="00361CEF">
        <w:rPr>
          <w:rStyle w:val="Znakapoznpodarou"/>
          <w:sz w:val="16"/>
          <w:szCs w:val="16"/>
          <w:lang w:val="en-GB"/>
        </w:rPr>
        <w:footnoteRef/>
      </w:r>
      <w:r w:rsidRPr="00361CEF">
        <w:rPr>
          <w:sz w:val="16"/>
          <w:szCs w:val="16"/>
          <w:lang w:val="en-GB"/>
        </w:rPr>
        <w:t xml:space="preserve"> </w:t>
      </w:r>
      <w:r>
        <w:rPr>
          <w:sz w:val="16"/>
          <w:szCs w:val="16"/>
          <w:lang w:val="en-GB"/>
        </w:rPr>
        <w:t xml:space="preserve">Contributions to GDP change excluding the import for final use. </w:t>
      </w:r>
    </w:p>
  </w:footnote>
  <w:footnote w:id="4">
    <w:p w:rsidR="000A7C02" w:rsidRPr="00DD57B7" w:rsidRDefault="000A7C02" w:rsidP="00E372FD">
      <w:pPr>
        <w:pStyle w:val="Textpoznpodarou"/>
        <w:rPr>
          <w:sz w:val="16"/>
          <w:szCs w:val="16"/>
          <w:lang w:val="en-GB"/>
        </w:rPr>
      </w:pPr>
      <w:r w:rsidRPr="00DC26D7">
        <w:rPr>
          <w:rStyle w:val="Znakapoznpodarou"/>
          <w:sz w:val="16"/>
          <w:szCs w:val="16"/>
        </w:rPr>
        <w:footnoteRef/>
      </w:r>
      <w:r w:rsidRPr="00DC26D7">
        <w:rPr>
          <w:sz w:val="16"/>
          <w:szCs w:val="16"/>
        </w:rPr>
        <w:t xml:space="preserve"> </w:t>
      </w:r>
      <w:proofErr w:type="gramStart"/>
      <w:r w:rsidRPr="00DD57B7">
        <w:rPr>
          <w:sz w:val="16"/>
          <w:szCs w:val="16"/>
          <w:lang w:val="en-GB"/>
        </w:rPr>
        <w:t>Converted into the real expression using the deflator of final consumption expenditure of households.</w:t>
      </w:r>
      <w:proofErr w:type="gramEnd"/>
      <w:r w:rsidRPr="00DD57B7">
        <w:rPr>
          <w:sz w:val="16"/>
          <w:szCs w:val="16"/>
          <w:lang w:val="en-GB"/>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F7A39" w:rsidRDefault="000A7C02" w:rsidP="007F7A39">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p w:rsidR="000A7C02" w:rsidRPr="007F7A39" w:rsidRDefault="000A7C02" w:rsidP="007F7A39">
    <w:pPr>
      <w:pStyle w:val="Zhlav"/>
      <w:rPr>
        <w:szCs w:val="16"/>
        <w:lang w:val="en-GB"/>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C02" w:rsidRPr="007859BB" w:rsidRDefault="000A7C02" w:rsidP="007859BB">
    <w:pPr>
      <w:pStyle w:val="Zhlav"/>
      <w:tabs>
        <w:tab w:val="clear" w:pos="4536"/>
        <w:tab w:val="clear" w:pos="9072"/>
        <w:tab w:val="left" w:pos="-6379"/>
        <w:tab w:val="center" w:pos="4820"/>
        <w:tab w:val="right" w:pos="9639"/>
      </w:tabs>
      <w:rPr>
        <w:rFonts w:ascii="Arial" w:hAnsi="Arial" w:cs="Arial"/>
        <w:sz w:val="16"/>
        <w:szCs w:val="16"/>
        <w:lang w:val="en-GB"/>
      </w:rPr>
    </w:pPr>
    <w:r w:rsidRPr="007F7A39">
      <w:rPr>
        <w:rFonts w:ascii="Arial" w:hAnsi="Arial" w:cs="Arial"/>
        <w:sz w:val="16"/>
        <w:szCs w:val="16"/>
        <w:lang w:val="en-GB"/>
      </w:rPr>
      <w:t>The Czech Economy Development 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5BAB"/>
    <w:multiLevelType w:val="hybridMultilevel"/>
    <w:tmpl w:val="4150E6B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16FB457C"/>
    <w:multiLevelType w:val="hybridMultilevel"/>
    <w:tmpl w:val="286E7B2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19714A0B"/>
    <w:multiLevelType w:val="hybridMultilevel"/>
    <w:tmpl w:val="11CE6D6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9CF62C9"/>
    <w:multiLevelType w:val="hybridMultilevel"/>
    <w:tmpl w:val="FFCA852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4">
    <w:nsid w:val="23A7708B"/>
    <w:multiLevelType w:val="hybridMultilevel"/>
    <w:tmpl w:val="9CF6FB5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nsid w:val="26320703"/>
    <w:multiLevelType w:val="hybridMultilevel"/>
    <w:tmpl w:val="9CB2DAE6"/>
    <w:lvl w:ilvl="0" w:tplc="45ECC748">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6">
    <w:nsid w:val="31AD014E"/>
    <w:multiLevelType w:val="hybridMultilevel"/>
    <w:tmpl w:val="5A5AB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33B18EA"/>
    <w:multiLevelType w:val="hybridMultilevel"/>
    <w:tmpl w:val="CFC2F5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81562C"/>
    <w:multiLevelType w:val="hybridMultilevel"/>
    <w:tmpl w:val="662AE29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C534B5E"/>
    <w:multiLevelType w:val="hybridMultilevel"/>
    <w:tmpl w:val="1180B77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5D4D0FE2"/>
    <w:multiLevelType w:val="hybridMultilevel"/>
    <w:tmpl w:val="ECDE86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0393E7F"/>
    <w:multiLevelType w:val="hybridMultilevel"/>
    <w:tmpl w:val="CEA2AC42"/>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3690D45"/>
    <w:multiLevelType w:val="hybridMultilevel"/>
    <w:tmpl w:val="7810A3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6255FDC"/>
    <w:multiLevelType w:val="hybridMultilevel"/>
    <w:tmpl w:val="14EC1500"/>
    <w:lvl w:ilvl="0" w:tplc="DAC09A1E">
      <w:start w:val="6"/>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4">
    <w:nsid w:val="696F0669"/>
    <w:multiLevelType w:val="hybridMultilevel"/>
    <w:tmpl w:val="6B980916"/>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9C501C8"/>
    <w:multiLevelType w:val="hybridMultilevel"/>
    <w:tmpl w:val="0C043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6F805D16"/>
    <w:multiLevelType w:val="hybridMultilevel"/>
    <w:tmpl w:val="A12480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735261EC"/>
    <w:multiLevelType w:val="hybridMultilevel"/>
    <w:tmpl w:val="BFC0B07E"/>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76C940DA"/>
    <w:multiLevelType w:val="hybridMultilevel"/>
    <w:tmpl w:val="D2C67D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ABC47DB"/>
    <w:multiLevelType w:val="hybridMultilevel"/>
    <w:tmpl w:val="AA506508"/>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7C550A0F"/>
    <w:multiLevelType w:val="hybridMultilevel"/>
    <w:tmpl w:val="A6E66A4C"/>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hint="default"/>
      </w:rPr>
    </w:lvl>
    <w:lvl w:ilvl="8" w:tplc="04050005" w:tentative="1">
      <w:start w:val="1"/>
      <w:numFmt w:val="bullet"/>
      <w:lvlText w:val=""/>
      <w:lvlJc w:val="left"/>
      <w:pPr>
        <w:ind w:left="6262" w:hanging="360"/>
      </w:pPr>
      <w:rPr>
        <w:rFonts w:ascii="Wingdings" w:hAnsi="Wingdings" w:hint="default"/>
      </w:rPr>
    </w:lvl>
  </w:abstractNum>
  <w:num w:numId="1">
    <w:abstractNumId w:val="14"/>
  </w:num>
  <w:num w:numId="2">
    <w:abstractNumId w:val="20"/>
  </w:num>
  <w:num w:numId="3">
    <w:abstractNumId w:val="10"/>
  </w:num>
  <w:num w:numId="4">
    <w:abstractNumId w:val="18"/>
  </w:num>
  <w:num w:numId="5">
    <w:abstractNumId w:val="11"/>
  </w:num>
  <w:num w:numId="6">
    <w:abstractNumId w:val="15"/>
  </w:num>
  <w:num w:numId="7">
    <w:abstractNumId w:val="3"/>
  </w:num>
  <w:num w:numId="8">
    <w:abstractNumId w:val="9"/>
  </w:num>
  <w:num w:numId="9">
    <w:abstractNumId w:val="17"/>
  </w:num>
  <w:num w:numId="10">
    <w:abstractNumId w:val="2"/>
  </w:num>
  <w:num w:numId="11">
    <w:abstractNumId w:val="7"/>
  </w:num>
  <w:num w:numId="12">
    <w:abstractNumId w:val="1"/>
  </w:num>
  <w:num w:numId="13">
    <w:abstractNumId w:val="6"/>
  </w:num>
  <w:num w:numId="14">
    <w:abstractNumId w:val="0"/>
  </w:num>
  <w:num w:numId="15">
    <w:abstractNumId w:val="16"/>
  </w:num>
  <w:num w:numId="16">
    <w:abstractNumId w:val="12"/>
  </w:num>
  <w:num w:numId="17">
    <w:abstractNumId w:val="4"/>
  </w:num>
  <w:num w:numId="18">
    <w:abstractNumId w:val="19"/>
  </w:num>
  <w:num w:numId="19">
    <w:abstractNumId w:val="13"/>
  </w:num>
  <w:num w:numId="20">
    <w:abstractNumId w:val="5"/>
  </w:num>
  <w:num w:numId="21">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stylePaneFormatFilter w:val="1024"/>
  <w:defaultTabStop w:val="708"/>
  <w:hyphenationZone w:val="425"/>
  <w:evenAndOddHeaders/>
  <w:drawingGridHorizontalSpacing w:val="10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9B70BD"/>
    <w:rsid w:val="00000FA7"/>
    <w:rsid w:val="00001EFF"/>
    <w:rsid w:val="00003687"/>
    <w:rsid w:val="00003C43"/>
    <w:rsid w:val="00004CAA"/>
    <w:rsid w:val="00004EB0"/>
    <w:rsid w:val="00005BC0"/>
    <w:rsid w:val="000065B8"/>
    <w:rsid w:val="000065F9"/>
    <w:rsid w:val="00006FF3"/>
    <w:rsid w:val="00007498"/>
    <w:rsid w:val="0000767A"/>
    <w:rsid w:val="00007C85"/>
    <w:rsid w:val="000101F5"/>
    <w:rsid w:val="000104B9"/>
    <w:rsid w:val="00010702"/>
    <w:rsid w:val="00010770"/>
    <w:rsid w:val="00011191"/>
    <w:rsid w:val="0001159B"/>
    <w:rsid w:val="000117CA"/>
    <w:rsid w:val="00011C90"/>
    <w:rsid w:val="00012986"/>
    <w:rsid w:val="00013E59"/>
    <w:rsid w:val="00014028"/>
    <w:rsid w:val="00015195"/>
    <w:rsid w:val="0001519F"/>
    <w:rsid w:val="0001572B"/>
    <w:rsid w:val="0001573E"/>
    <w:rsid w:val="000157DA"/>
    <w:rsid w:val="0001589D"/>
    <w:rsid w:val="00016033"/>
    <w:rsid w:val="000162DB"/>
    <w:rsid w:val="00016315"/>
    <w:rsid w:val="00017F05"/>
    <w:rsid w:val="00020137"/>
    <w:rsid w:val="000202C6"/>
    <w:rsid w:val="00020946"/>
    <w:rsid w:val="00021E93"/>
    <w:rsid w:val="0002203C"/>
    <w:rsid w:val="00022081"/>
    <w:rsid w:val="0002292C"/>
    <w:rsid w:val="00022B41"/>
    <w:rsid w:val="00023FB5"/>
    <w:rsid w:val="0002434F"/>
    <w:rsid w:val="00024887"/>
    <w:rsid w:val="00024CBA"/>
    <w:rsid w:val="00025501"/>
    <w:rsid w:val="00025532"/>
    <w:rsid w:val="00026998"/>
    <w:rsid w:val="00026B06"/>
    <w:rsid w:val="000304C4"/>
    <w:rsid w:val="0003066A"/>
    <w:rsid w:val="00030BF0"/>
    <w:rsid w:val="00030F14"/>
    <w:rsid w:val="000311C5"/>
    <w:rsid w:val="00032838"/>
    <w:rsid w:val="00032C12"/>
    <w:rsid w:val="00032E0C"/>
    <w:rsid w:val="00035CCF"/>
    <w:rsid w:val="00035FC6"/>
    <w:rsid w:val="0003705E"/>
    <w:rsid w:val="00037667"/>
    <w:rsid w:val="00037961"/>
    <w:rsid w:val="00040682"/>
    <w:rsid w:val="0004075D"/>
    <w:rsid w:val="000411E1"/>
    <w:rsid w:val="00041E9C"/>
    <w:rsid w:val="00043C68"/>
    <w:rsid w:val="00043E05"/>
    <w:rsid w:val="0004694F"/>
    <w:rsid w:val="000500DC"/>
    <w:rsid w:val="0005025B"/>
    <w:rsid w:val="000509FD"/>
    <w:rsid w:val="0005171C"/>
    <w:rsid w:val="00051ADE"/>
    <w:rsid w:val="00052052"/>
    <w:rsid w:val="00052172"/>
    <w:rsid w:val="000534FD"/>
    <w:rsid w:val="00053CBA"/>
    <w:rsid w:val="000541D1"/>
    <w:rsid w:val="00054BB5"/>
    <w:rsid w:val="00054E43"/>
    <w:rsid w:val="00055059"/>
    <w:rsid w:val="000553E4"/>
    <w:rsid w:val="0005599E"/>
    <w:rsid w:val="0005670F"/>
    <w:rsid w:val="000567FA"/>
    <w:rsid w:val="00056A90"/>
    <w:rsid w:val="00056B26"/>
    <w:rsid w:val="00057708"/>
    <w:rsid w:val="00057C16"/>
    <w:rsid w:val="00060F26"/>
    <w:rsid w:val="00062D43"/>
    <w:rsid w:val="00062EC5"/>
    <w:rsid w:val="00064256"/>
    <w:rsid w:val="0006708D"/>
    <w:rsid w:val="000671C7"/>
    <w:rsid w:val="00067531"/>
    <w:rsid w:val="00067684"/>
    <w:rsid w:val="000706A4"/>
    <w:rsid w:val="00070A0C"/>
    <w:rsid w:val="0007104B"/>
    <w:rsid w:val="00071F80"/>
    <w:rsid w:val="00072118"/>
    <w:rsid w:val="00073173"/>
    <w:rsid w:val="00073192"/>
    <w:rsid w:val="00073461"/>
    <w:rsid w:val="000760AE"/>
    <w:rsid w:val="0007651D"/>
    <w:rsid w:val="00076FFF"/>
    <w:rsid w:val="000779AC"/>
    <w:rsid w:val="00080A41"/>
    <w:rsid w:val="00080AA8"/>
    <w:rsid w:val="00081C84"/>
    <w:rsid w:val="00082637"/>
    <w:rsid w:val="00082D56"/>
    <w:rsid w:val="00083803"/>
    <w:rsid w:val="00083D7F"/>
    <w:rsid w:val="00084393"/>
    <w:rsid w:val="00084807"/>
    <w:rsid w:val="00085070"/>
    <w:rsid w:val="000870F1"/>
    <w:rsid w:val="0008716A"/>
    <w:rsid w:val="00087634"/>
    <w:rsid w:val="000879B9"/>
    <w:rsid w:val="00091237"/>
    <w:rsid w:val="000916B1"/>
    <w:rsid w:val="0009191B"/>
    <w:rsid w:val="000920EC"/>
    <w:rsid w:val="00092208"/>
    <w:rsid w:val="00092505"/>
    <w:rsid w:val="000927EB"/>
    <w:rsid w:val="00092BD9"/>
    <w:rsid w:val="00092C9A"/>
    <w:rsid w:val="00094D55"/>
    <w:rsid w:val="000973B6"/>
    <w:rsid w:val="000976A6"/>
    <w:rsid w:val="00097BFC"/>
    <w:rsid w:val="00097D02"/>
    <w:rsid w:val="000A0BBE"/>
    <w:rsid w:val="000A1183"/>
    <w:rsid w:val="000A2121"/>
    <w:rsid w:val="000A2484"/>
    <w:rsid w:val="000A36CE"/>
    <w:rsid w:val="000A4021"/>
    <w:rsid w:val="000A59BF"/>
    <w:rsid w:val="000A66C2"/>
    <w:rsid w:val="000A68A2"/>
    <w:rsid w:val="000A68A7"/>
    <w:rsid w:val="000A742D"/>
    <w:rsid w:val="000A7C02"/>
    <w:rsid w:val="000B1458"/>
    <w:rsid w:val="000B1CFE"/>
    <w:rsid w:val="000B1F3D"/>
    <w:rsid w:val="000B210A"/>
    <w:rsid w:val="000B21AC"/>
    <w:rsid w:val="000B249B"/>
    <w:rsid w:val="000B2ADE"/>
    <w:rsid w:val="000B2C3D"/>
    <w:rsid w:val="000B3B01"/>
    <w:rsid w:val="000B3DB9"/>
    <w:rsid w:val="000B3F02"/>
    <w:rsid w:val="000B48A2"/>
    <w:rsid w:val="000B48E7"/>
    <w:rsid w:val="000B4F41"/>
    <w:rsid w:val="000B6E11"/>
    <w:rsid w:val="000B7663"/>
    <w:rsid w:val="000C09C1"/>
    <w:rsid w:val="000C1106"/>
    <w:rsid w:val="000C11D3"/>
    <w:rsid w:val="000C12F5"/>
    <w:rsid w:val="000C2C94"/>
    <w:rsid w:val="000C3408"/>
    <w:rsid w:val="000C3DFC"/>
    <w:rsid w:val="000C4AC8"/>
    <w:rsid w:val="000C54AF"/>
    <w:rsid w:val="000C5C0F"/>
    <w:rsid w:val="000C5D56"/>
    <w:rsid w:val="000C6498"/>
    <w:rsid w:val="000D0B22"/>
    <w:rsid w:val="000D0D51"/>
    <w:rsid w:val="000D14B3"/>
    <w:rsid w:val="000D1BFB"/>
    <w:rsid w:val="000D1F52"/>
    <w:rsid w:val="000D208B"/>
    <w:rsid w:val="000D263E"/>
    <w:rsid w:val="000D2B48"/>
    <w:rsid w:val="000D2B8D"/>
    <w:rsid w:val="000D2E41"/>
    <w:rsid w:val="000D342A"/>
    <w:rsid w:val="000D3DC0"/>
    <w:rsid w:val="000D43CB"/>
    <w:rsid w:val="000D5E7A"/>
    <w:rsid w:val="000D5FAA"/>
    <w:rsid w:val="000D65A4"/>
    <w:rsid w:val="000D6AEF"/>
    <w:rsid w:val="000D7D11"/>
    <w:rsid w:val="000E0098"/>
    <w:rsid w:val="000E025B"/>
    <w:rsid w:val="000E0ECB"/>
    <w:rsid w:val="000E153A"/>
    <w:rsid w:val="000E19A8"/>
    <w:rsid w:val="000E1EEA"/>
    <w:rsid w:val="000E4241"/>
    <w:rsid w:val="000E4A42"/>
    <w:rsid w:val="000E6476"/>
    <w:rsid w:val="000E77CC"/>
    <w:rsid w:val="000E78D2"/>
    <w:rsid w:val="000F06EF"/>
    <w:rsid w:val="000F3332"/>
    <w:rsid w:val="000F338D"/>
    <w:rsid w:val="000F33EE"/>
    <w:rsid w:val="000F401E"/>
    <w:rsid w:val="000F4191"/>
    <w:rsid w:val="000F43EB"/>
    <w:rsid w:val="000F5445"/>
    <w:rsid w:val="000F5673"/>
    <w:rsid w:val="000F67B2"/>
    <w:rsid w:val="000F6CFB"/>
    <w:rsid w:val="000F74B6"/>
    <w:rsid w:val="000F790F"/>
    <w:rsid w:val="000F7E1B"/>
    <w:rsid w:val="00100014"/>
    <w:rsid w:val="0010039A"/>
    <w:rsid w:val="001010CD"/>
    <w:rsid w:val="00101E94"/>
    <w:rsid w:val="00101FB2"/>
    <w:rsid w:val="00102CB8"/>
    <w:rsid w:val="00102F02"/>
    <w:rsid w:val="0010385D"/>
    <w:rsid w:val="00103B42"/>
    <w:rsid w:val="00103CE1"/>
    <w:rsid w:val="00103E41"/>
    <w:rsid w:val="001041B6"/>
    <w:rsid w:val="001048E0"/>
    <w:rsid w:val="001070EA"/>
    <w:rsid w:val="0011002A"/>
    <w:rsid w:val="001107CE"/>
    <w:rsid w:val="0011110A"/>
    <w:rsid w:val="001118AF"/>
    <w:rsid w:val="00111CA5"/>
    <w:rsid w:val="00112488"/>
    <w:rsid w:val="0011256E"/>
    <w:rsid w:val="0011274D"/>
    <w:rsid w:val="00112E13"/>
    <w:rsid w:val="0011352E"/>
    <w:rsid w:val="00113F43"/>
    <w:rsid w:val="00114A13"/>
    <w:rsid w:val="00114FC0"/>
    <w:rsid w:val="00115496"/>
    <w:rsid w:val="00116DB9"/>
    <w:rsid w:val="00116F28"/>
    <w:rsid w:val="00121C39"/>
    <w:rsid w:val="00123255"/>
    <w:rsid w:val="00123A5C"/>
    <w:rsid w:val="00124430"/>
    <w:rsid w:val="00124D2D"/>
    <w:rsid w:val="00124DA1"/>
    <w:rsid w:val="00124E9C"/>
    <w:rsid w:val="00125326"/>
    <w:rsid w:val="00125CB5"/>
    <w:rsid w:val="0012678C"/>
    <w:rsid w:val="00127535"/>
    <w:rsid w:val="00127965"/>
    <w:rsid w:val="001307BE"/>
    <w:rsid w:val="00130C8F"/>
    <w:rsid w:val="001314F2"/>
    <w:rsid w:val="001317DA"/>
    <w:rsid w:val="001322B4"/>
    <w:rsid w:val="001323BA"/>
    <w:rsid w:val="0013254D"/>
    <w:rsid w:val="00133AAC"/>
    <w:rsid w:val="00133FBD"/>
    <w:rsid w:val="00135008"/>
    <w:rsid w:val="001364C1"/>
    <w:rsid w:val="00136561"/>
    <w:rsid w:val="001400E1"/>
    <w:rsid w:val="001405FA"/>
    <w:rsid w:val="001413B3"/>
    <w:rsid w:val="001425C3"/>
    <w:rsid w:val="00142F16"/>
    <w:rsid w:val="00143E03"/>
    <w:rsid w:val="00143E93"/>
    <w:rsid w:val="00143FA3"/>
    <w:rsid w:val="0014428D"/>
    <w:rsid w:val="00144BEA"/>
    <w:rsid w:val="001468CC"/>
    <w:rsid w:val="001500FC"/>
    <w:rsid w:val="00151AAB"/>
    <w:rsid w:val="00151AC0"/>
    <w:rsid w:val="00151B27"/>
    <w:rsid w:val="00152046"/>
    <w:rsid w:val="001524FC"/>
    <w:rsid w:val="001528DF"/>
    <w:rsid w:val="00152E53"/>
    <w:rsid w:val="001536DD"/>
    <w:rsid w:val="00153ECF"/>
    <w:rsid w:val="00154147"/>
    <w:rsid w:val="00155089"/>
    <w:rsid w:val="001550F3"/>
    <w:rsid w:val="00155746"/>
    <w:rsid w:val="00156318"/>
    <w:rsid w:val="0015639A"/>
    <w:rsid w:val="00157410"/>
    <w:rsid w:val="0016081D"/>
    <w:rsid w:val="00160CF3"/>
    <w:rsid w:val="00160E61"/>
    <w:rsid w:val="00161300"/>
    <w:rsid w:val="00161CCF"/>
    <w:rsid w:val="001620FA"/>
    <w:rsid w:val="00162853"/>
    <w:rsid w:val="00163793"/>
    <w:rsid w:val="001640FB"/>
    <w:rsid w:val="00164B83"/>
    <w:rsid w:val="00165E1B"/>
    <w:rsid w:val="00167FB2"/>
    <w:rsid w:val="001707DE"/>
    <w:rsid w:val="00170B04"/>
    <w:rsid w:val="00170F47"/>
    <w:rsid w:val="001711F2"/>
    <w:rsid w:val="001714F2"/>
    <w:rsid w:val="00172F26"/>
    <w:rsid w:val="00173642"/>
    <w:rsid w:val="00173AF4"/>
    <w:rsid w:val="00173CB0"/>
    <w:rsid w:val="00174853"/>
    <w:rsid w:val="00174CE8"/>
    <w:rsid w:val="00174E7D"/>
    <w:rsid w:val="001752CB"/>
    <w:rsid w:val="00175351"/>
    <w:rsid w:val="00175F60"/>
    <w:rsid w:val="00176050"/>
    <w:rsid w:val="001764D8"/>
    <w:rsid w:val="00176A8F"/>
    <w:rsid w:val="00176C72"/>
    <w:rsid w:val="00180D58"/>
    <w:rsid w:val="00181938"/>
    <w:rsid w:val="00182981"/>
    <w:rsid w:val="00184CF9"/>
    <w:rsid w:val="00185010"/>
    <w:rsid w:val="001852EC"/>
    <w:rsid w:val="001857D6"/>
    <w:rsid w:val="00185D70"/>
    <w:rsid w:val="00186447"/>
    <w:rsid w:val="001874CF"/>
    <w:rsid w:val="00190214"/>
    <w:rsid w:val="00190D9B"/>
    <w:rsid w:val="00191461"/>
    <w:rsid w:val="00191BAE"/>
    <w:rsid w:val="00193432"/>
    <w:rsid w:val="0019346C"/>
    <w:rsid w:val="00194AE3"/>
    <w:rsid w:val="00194D9B"/>
    <w:rsid w:val="00195335"/>
    <w:rsid w:val="00195444"/>
    <w:rsid w:val="0019579E"/>
    <w:rsid w:val="0019797A"/>
    <w:rsid w:val="001A0A79"/>
    <w:rsid w:val="001A199D"/>
    <w:rsid w:val="001A2BDB"/>
    <w:rsid w:val="001A30F4"/>
    <w:rsid w:val="001A44F9"/>
    <w:rsid w:val="001A47AB"/>
    <w:rsid w:val="001A4930"/>
    <w:rsid w:val="001A4A37"/>
    <w:rsid w:val="001A4C0D"/>
    <w:rsid w:val="001A552F"/>
    <w:rsid w:val="001A56F3"/>
    <w:rsid w:val="001A737B"/>
    <w:rsid w:val="001A750C"/>
    <w:rsid w:val="001A7769"/>
    <w:rsid w:val="001A7A4E"/>
    <w:rsid w:val="001A7BBB"/>
    <w:rsid w:val="001B1D89"/>
    <w:rsid w:val="001B2143"/>
    <w:rsid w:val="001B2B24"/>
    <w:rsid w:val="001B3110"/>
    <w:rsid w:val="001B4198"/>
    <w:rsid w:val="001B44BC"/>
    <w:rsid w:val="001B46D6"/>
    <w:rsid w:val="001B5215"/>
    <w:rsid w:val="001B5888"/>
    <w:rsid w:val="001B618F"/>
    <w:rsid w:val="001B6277"/>
    <w:rsid w:val="001B6545"/>
    <w:rsid w:val="001B681B"/>
    <w:rsid w:val="001B6A49"/>
    <w:rsid w:val="001B7231"/>
    <w:rsid w:val="001B74FB"/>
    <w:rsid w:val="001B77A1"/>
    <w:rsid w:val="001C0422"/>
    <w:rsid w:val="001C049B"/>
    <w:rsid w:val="001C0E0E"/>
    <w:rsid w:val="001C0EB9"/>
    <w:rsid w:val="001C1219"/>
    <w:rsid w:val="001C24D7"/>
    <w:rsid w:val="001C2816"/>
    <w:rsid w:val="001C357A"/>
    <w:rsid w:val="001C3A37"/>
    <w:rsid w:val="001C4384"/>
    <w:rsid w:val="001C55F5"/>
    <w:rsid w:val="001C6024"/>
    <w:rsid w:val="001C65FF"/>
    <w:rsid w:val="001C78A2"/>
    <w:rsid w:val="001D05CF"/>
    <w:rsid w:val="001D3787"/>
    <w:rsid w:val="001D47E5"/>
    <w:rsid w:val="001D48A5"/>
    <w:rsid w:val="001D584C"/>
    <w:rsid w:val="001D5E1B"/>
    <w:rsid w:val="001D66C1"/>
    <w:rsid w:val="001D74E8"/>
    <w:rsid w:val="001D7C6F"/>
    <w:rsid w:val="001E0024"/>
    <w:rsid w:val="001E0C65"/>
    <w:rsid w:val="001E2377"/>
    <w:rsid w:val="001E23E3"/>
    <w:rsid w:val="001E29AF"/>
    <w:rsid w:val="001E387A"/>
    <w:rsid w:val="001E3DA4"/>
    <w:rsid w:val="001E5469"/>
    <w:rsid w:val="001E5830"/>
    <w:rsid w:val="001E59D5"/>
    <w:rsid w:val="001E684C"/>
    <w:rsid w:val="001E701C"/>
    <w:rsid w:val="001E7552"/>
    <w:rsid w:val="001E7C03"/>
    <w:rsid w:val="001F02AF"/>
    <w:rsid w:val="001F0649"/>
    <w:rsid w:val="001F1C99"/>
    <w:rsid w:val="001F21A6"/>
    <w:rsid w:val="001F28F4"/>
    <w:rsid w:val="001F2CC6"/>
    <w:rsid w:val="001F3055"/>
    <w:rsid w:val="001F31BC"/>
    <w:rsid w:val="001F378E"/>
    <w:rsid w:val="001F3C79"/>
    <w:rsid w:val="001F3E68"/>
    <w:rsid w:val="001F4597"/>
    <w:rsid w:val="001F56A9"/>
    <w:rsid w:val="001F5C6A"/>
    <w:rsid w:val="001F63A7"/>
    <w:rsid w:val="001F670A"/>
    <w:rsid w:val="001F6A2E"/>
    <w:rsid w:val="001F6CC0"/>
    <w:rsid w:val="00200D15"/>
    <w:rsid w:val="002012FC"/>
    <w:rsid w:val="0020223B"/>
    <w:rsid w:val="0020294A"/>
    <w:rsid w:val="00203074"/>
    <w:rsid w:val="00203B46"/>
    <w:rsid w:val="002048E1"/>
    <w:rsid w:val="00207DB6"/>
    <w:rsid w:val="00210278"/>
    <w:rsid w:val="00210CC2"/>
    <w:rsid w:val="00210F5B"/>
    <w:rsid w:val="00210FFA"/>
    <w:rsid w:val="00211262"/>
    <w:rsid w:val="002115F5"/>
    <w:rsid w:val="00211AC9"/>
    <w:rsid w:val="00212292"/>
    <w:rsid w:val="002131D4"/>
    <w:rsid w:val="0021329E"/>
    <w:rsid w:val="0021355B"/>
    <w:rsid w:val="00215A2C"/>
    <w:rsid w:val="00215CC3"/>
    <w:rsid w:val="002169D2"/>
    <w:rsid w:val="00217980"/>
    <w:rsid w:val="002179F9"/>
    <w:rsid w:val="00217B00"/>
    <w:rsid w:val="00217F7E"/>
    <w:rsid w:val="002205F2"/>
    <w:rsid w:val="0022080E"/>
    <w:rsid w:val="00220838"/>
    <w:rsid w:val="00220B20"/>
    <w:rsid w:val="00220CF8"/>
    <w:rsid w:val="0022139E"/>
    <w:rsid w:val="0022272B"/>
    <w:rsid w:val="00222A99"/>
    <w:rsid w:val="002234CA"/>
    <w:rsid w:val="00223678"/>
    <w:rsid w:val="002236F7"/>
    <w:rsid w:val="00223E00"/>
    <w:rsid w:val="00223ECF"/>
    <w:rsid w:val="00224546"/>
    <w:rsid w:val="002252E0"/>
    <w:rsid w:val="002255F6"/>
    <w:rsid w:val="002261DD"/>
    <w:rsid w:val="00226466"/>
    <w:rsid w:val="002266D0"/>
    <w:rsid w:val="00226887"/>
    <w:rsid w:val="00227771"/>
    <w:rsid w:val="00227991"/>
    <w:rsid w:val="0023093E"/>
    <w:rsid w:val="00230DAD"/>
    <w:rsid w:val="00231EE1"/>
    <w:rsid w:val="0023229C"/>
    <w:rsid w:val="0023301B"/>
    <w:rsid w:val="002334DF"/>
    <w:rsid w:val="0023355C"/>
    <w:rsid w:val="002340A2"/>
    <w:rsid w:val="00234280"/>
    <w:rsid w:val="00234DD5"/>
    <w:rsid w:val="00235000"/>
    <w:rsid w:val="002350E3"/>
    <w:rsid w:val="00235330"/>
    <w:rsid w:val="00236443"/>
    <w:rsid w:val="0024074D"/>
    <w:rsid w:val="00240773"/>
    <w:rsid w:val="00240815"/>
    <w:rsid w:val="00240A5B"/>
    <w:rsid w:val="00240C76"/>
    <w:rsid w:val="002411EF"/>
    <w:rsid w:val="00241446"/>
    <w:rsid w:val="00241FAA"/>
    <w:rsid w:val="00242730"/>
    <w:rsid w:val="00242C0B"/>
    <w:rsid w:val="002436BA"/>
    <w:rsid w:val="002444ED"/>
    <w:rsid w:val="00244A15"/>
    <w:rsid w:val="00244D40"/>
    <w:rsid w:val="00246AE9"/>
    <w:rsid w:val="0024799E"/>
    <w:rsid w:val="00250C59"/>
    <w:rsid w:val="00250E0D"/>
    <w:rsid w:val="002518F6"/>
    <w:rsid w:val="00251D59"/>
    <w:rsid w:val="00252602"/>
    <w:rsid w:val="00252FDC"/>
    <w:rsid w:val="002532E2"/>
    <w:rsid w:val="002550D8"/>
    <w:rsid w:val="00257613"/>
    <w:rsid w:val="0026117D"/>
    <w:rsid w:val="0026138C"/>
    <w:rsid w:val="00261A0F"/>
    <w:rsid w:val="00261E5B"/>
    <w:rsid w:val="00262F34"/>
    <w:rsid w:val="00263470"/>
    <w:rsid w:val="00263733"/>
    <w:rsid w:val="00264000"/>
    <w:rsid w:val="00264676"/>
    <w:rsid w:val="0026507C"/>
    <w:rsid w:val="00265536"/>
    <w:rsid w:val="00265772"/>
    <w:rsid w:val="00265E54"/>
    <w:rsid w:val="00266040"/>
    <w:rsid w:val="00266F3E"/>
    <w:rsid w:val="00270785"/>
    <w:rsid w:val="00270B56"/>
    <w:rsid w:val="00271BEF"/>
    <w:rsid w:val="00272464"/>
    <w:rsid w:val="002726B8"/>
    <w:rsid w:val="00272B0B"/>
    <w:rsid w:val="00272CC5"/>
    <w:rsid w:val="00273C60"/>
    <w:rsid w:val="00273CBE"/>
    <w:rsid w:val="00273DCD"/>
    <w:rsid w:val="00274291"/>
    <w:rsid w:val="00275D3C"/>
    <w:rsid w:val="00276C09"/>
    <w:rsid w:val="00276CFE"/>
    <w:rsid w:val="00277071"/>
    <w:rsid w:val="0027786C"/>
    <w:rsid w:val="00277BF7"/>
    <w:rsid w:val="00277C94"/>
    <w:rsid w:val="00280E67"/>
    <w:rsid w:val="00281416"/>
    <w:rsid w:val="00283C61"/>
    <w:rsid w:val="00285CD3"/>
    <w:rsid w:val="0028633E"/>
    <w:rsid w:val="0028686A"/>
    <w:rsid w:val="00286E66"/>
    <w:rsid w:val="002870B7"/>
    <w:rsid w:val="002879DE"/>
    <w:rsid w:val="002903C9"/>
    <w:rsid w:val="00290423"/>
    <w:rsid w:val="002907F1"/>
    <w:rsid w:val="00290870"/>
    <w:rsid w:val="0029191C"/>
    <w:rsid w:val="002919B5"/>
    <w:rsid w:val="00292137"/>
    <w:rsid w:val="002926EF"/>
    <w:rsid w:val="00293441"/>
    <w:rsid w:val="00293EA0"/>
    <w:rsid w:val="00294238"/>
    <w:rsid w:val="0029493E"/>
    <w:rsid w:val="00294A5F"/>
    <w:rsid w:val="002962E0"/>
    <w:rsid w:val="00296C2E"/>
    <w:rsid w:val="00297C8C"/>
    <w:rsid w:val="002A01B2"/>
    <w:rsid w:val="002A1B05"/>
    <w:rsid w:val="002A267F"/>
    <w:rsid w:val="002A3354"/>
    <w:rsid w:val="002A35EA"/>
    <w:rsid w:val="002A37B6"/>
    <w:rsid w:val="002A3A75"/>
    <w:rsid w:val="002A3BD5"/>
    <w:rsid w:val="002A43A2"/>
    <w:rsid w:val="002A44ED"/>
    <w:rsid w:val="002A4612"/>
    <w:rsid w:val="002A4F70"/>
    <w:rsid w:val="002A51BD"/>
    <w:rsid w:val="002A5263"/>
    <w:rsid w:val="002A66AF"/>
    <w:rsid w:val="002A6821"/>
    <w:rsid w:val="002A74D2"/>
    <w:rsid w:val="002A7CDA"/>
    <w:rsid w:val="002A7F47"/>
    <w:rsid w:val="002B05A0"/>
    <w:rsid w:val="002B1544"/>
    <w:rsid w:val="002B195A"/>
    <w:rsid w:val="002B1AA2"/>
    <w:rsid w:val="002B1DC1"/>
    <w:rsid w:val="002B36C8"/>
    <w:rsid w:val="002B385B"/>
    <w:rsid w:val="002B3A9C"/>
    <w:rsid w:val="002B556B"/>
    <w:rsid w:val="002B6D1E"/>
    <w:rsid w:val="002B71B4"/>
    <w:rsid w:val="002B7240"/>
    <w:rsid w:val="002C0FF4"/>
    <w:rsid w:val="002C125A"/>
    <w:rsid w:val="002C2668"/>
    <w:rsid w:val="002C43BD"/>
    <w:rsid w:val="002C493D"/>
    <w:rsid w:val="002C4E5A"/>
    <w:rsid w:val="002C5261"/>
    <w:rsid w:val="002C6091"/>
    <w:rsid w:val="002C7FC5"/>
    <w:rsid w:val="002D0562"/>
    <w:rsid w:val="002D1B5A"/>
    <w:rsid w:val="002D1BFF"/>
    <w:rsid w:val="002D2500"/>
    <w:rsid w:val="002D338A"/>
    <w:rsid w:val="002D3A1A"/>
    <w:rsid w:val="002D3F00"/>
    <w:rsid w:val="002D4D59"/>
    <w:rsid w:val="002D549A"/>
    <w:rsid w:val="002D54BF"/>
    <w:rsid w:val="002D58F6"/>
    <w:rsid w:val="002D5C3D"/>
    <w:rsid w:val="002D5E94"/>
    <w:rsid w:val="002D632D"/>
    <w:rsid w:val="002D68E6"/>
    <w:rsid w:val="002D6E8B"/>
    <w:rsid w:val="002D6FC7"/>
    <w:rsid w:val="002E02A1"/>
    <w:rsid w:val="002E0982"/>
    <w:rsid w:val="002E0B7A"/>
    <w:rsid w:val="002E0DB9"/>
    <w:rsid w:val="002E2CE4"/>
    <w:rsid w:val="002E34F3"/>
    <w:rsid w:val="002E383E"/>
    <w:rsid w:val="002E4217"/>
    <w:rsid w:val="002E435E"/>
    <w:rsid w:val="002E5958"/>
    <w:rsid w:val="002E73F2"/>
    <w:rsid w:val="002F0457"/>
    <w:rsid w:val="002F291A"/>
    <w:rsid w:val="002F33FB"/>
    <w:rsid w:val="002F3FBA"/>
    <w:rsid w:val="002F663A"/>
    <w:rsid w:val="002F68A4"/>
    <w:rsid w:val="002F7568"/>
    <w:rsid w:val="002F7594"/>
    <w:rsid w:val="002F7902"/>
    <w:rsid w:val="003003E7"/>
    <w:rsid w:val="00300D6F"/>
    <w:rsid w:val="00301357"/>
    <w:rsid w:val="00301D04"/>
    <w:rsid w:val="00302C69"/>
    <w:rsid w:val="003035D4"/>
    <w:rsid w:val="00303A3C"/>
    <w:rsid w:val="00303DCB"/>
    <w:rsid w:val="00304771"/>
    <w:rsid w:val="00305736"/>
    <w:rsid w:val="0030599E"/>
    <w:rsid w:val="00305C33"/>
    <w:rsid w:val="00306C5B"/>
    <w:rsid w:val="00306E3B"/>
    <w:rsid w:val="00310ADB"/>
    <w:rsid w:val="003119B6"/>
    <w:rsid w:val="003119B7"/>
    <w:rsid w:val="00312C3D"/>
    <w:rsid w:val="003138E0"/>
    <w:rsid w:val="00314331"/>
    <w:rsid w:val="00314808"/>
    <w:rsid w:val="00317E31"/>
    <w:rsid w:val="00320146"/>
    <w:rsid w:val="00320214"/>
    <w:rsid w:val="003209D6"/>
    <w:rsid w:val="0032109A"/>
    <w:rsid w:val="0032214F"/>
    <w:rsid w:val="00322164"/>
    <w:rsid w:val="0032279C"/>
    <w:rsid w:val="00322949"/>
    <w:rsid w:val="00322CEB"/>
    <w:rsid w:val="00322D09"/>
    <w:rsid w:val="00322D80"/>
    <w:rsid w:val="00323CF7"/>
    <w:rsid w:val="00323E61"/>
    <w:rsid w:val="0032513D"/>
    <w:rsid w:val="00326251"/>
    <w:rsid w:val="0032739C"/>
    <w:rsid w:val="003277A6"/>
    <w:rsid w:val="00327DEE"/>
    <w:rsid w:val="003302DA"/>
    <w:rsid w:val="00330EB0"/>
    <w:rsid w:val="00331574"/>
    <w:rsid w:val="0033229B"/>
    <w:rsid w:val="003329F3"/>
    <w:rsid w:val="0033352E"/>
    <w:rsid w:val="00333690"/>
    <w:rsid w:val="0033390C"/>
    <w:rsid w:val="00333D20"/>
    <w:rsid w:val="00333F53"/>
    <w:rsid w:val="003340EF"/>
    <w:rsid w:val="0033463E"/>
    <w:rsid w:val="00334A49"/>
    <w:rsid w:val="0033536F"/>
    <w:rsid w:val="00335BB0"/>
    <w:rsid w:val="0033627B"/>
    <w:rsid w:val="003370B9"/>
    <w:rsid w:val="003406BD"/>
    <w:rsid w:val="00340D38"/>
    <w:rsid w:val="00342753"/>
    <w:rsid w:val="00342D7B"/>
    <w:rsid w:val="00343474"/>
    <w:rsid w:val="00343F84"/>
    <w:rsid w:val="00344135"/>
    <w:rsid w:val="00344533"/>
    <w:rsid w:val="003450E2"/>
    <w:rsid w:val="003460E3"/>
    <w:rsid w:val="00347F1E"/>
    <w:rsid w:val="00350053"/>
    <w:rsid w:val="003508B0"/>
    <w:rsid w:val="00351B63"/>
    <w:rsid w:val="00352E57"/>
    <w:rsid w:val="003541B0"/>
    <w:rsid w:val="0035422B"/>
    <w:rsid w:val="0035457E"/>
    <w:rsid w:val="00355885"/>
    <w:rsid w:val="00355B5A"/>
    <w:rsid w:val="0035605E"/>
    <w:rsid w:val="00356244"/>
    <w:rsid w:val="00357449"/>
    <w:rsid w:val="00357CC2"/>
    <w:rsid w:val="00361CEF"/>
    <w:rsid w:val="0036238B"/>
    <w:rsid w:val="003630B0"/>
    <w:rsid w:val="00364173"/>
    <w:rsid w:val="003649FC"/>
    <w:rsid w:val="003651A4"/>
    <w:rsid w:val="00365680"/>
    <w:rsid w:val="003657F3"/>
    <w:rsid w:val="00365FBC"/>
    <w:rsid w:val="00366D4D"/>
    <w:rsid w:val="00367038"/>
    <w:rsid w:val="003676C4"/>
    <w:rsid w:val="0037077A"/>
    <w:rsid w:val="00370963"/>
    <w:rsid w:val="0037144E"/>
    <w:rsid w:val="00372272"/>
    <w:rsid w:val="00373689"/>
    <w:rsid w:val="003736B5"/>
    <w:rsid w:val="00374798"/>
    <w:rsid w:val="00374F1E"/>
    <w:rsid w:val="003750BC"/>
    <w:rsid w:val="003750CF"/>
    <w:rsid w:val="0037529E"/>
    <w:rsid w:val="00375A22"/>
    <w:rsid w:val="00376DEC"/>
    <w:rsid w:val="00377200"/>
    <w:rsid w:val="00377666"/>
    <w:rsid w:val="00377FE1"/>
    <w:rsid w:val="0038034A"/>
    <w:rsid w:val="00380E04"/>
    <w:rsid w:val="00380E6C"/>
    <w:rsid w:val="00381479"/>
    <w:rsid w:val="00383227"/>
    <w:rsid w:val="003839C9"/>
    <w:rsid w:val="0038422D"/>
    <w:rsid w:val="003843F5"/>
    <w:rsid w:val="00384D8F"/>
    <w:rsid w:val="00384EEA"/>
    <w:rsid w:val="003857A2"/>
    <w:rsid w:val="003857CD"/>
    <w:rsid w:val="0038595F"/>
    <w:rsid w:val="00385D98"/>
    <w:rsid w:val="00385EC5"/>
    <w:rsid w:val="0038625E"/>
    <w:rsid w:val="0038658E"/>
    <w:rsid w:val="00387507"/>
    <w:rsid w:val="003875C2"/>
    <w:rsid w:val="0039066E"/>
    <w:rsid w:val="00391C95"/>
    <w:rsid w:val="00392110"/>
    <w:rsid w:val="00393D74"/>
    <w:rsid w:val="00394D49"/>
    <w:rsid w:val="0039598F"/>
    <w:rsid w:val="00395A52"/>
    <w:rsid w:val="00396DAC"/>
    <w:rsid w:val="003971D0"/>
    <w:rsid w:val="003A0214"/>
    <w:rsid w:val="003A027D"/>
    <w:rsid w:val="003A1D74"/>
    <w:rsid w:val="003A2B4D"/>
    <w:rsid w:val="003A2D2B"/>
    <w:rsid w:val="003A2DD4"/>
    <w:rsid w:val="003A31A9"/>
    <w:rsid w:val="003A3B1C"/>
    <w:rsid w:val="003A4088"/>
    <w:rsid w:val="003A478C"/>
    <w:rsid w:val="003A4F82"/>
    <w:rsid w:val="003A5525"/>
    <w:rsid w:val="003A57A4"/>
    <w:rsid w:val="003A663F"/>
    <w:rsid w:val="003A6B38"/>
    <w:rsid w:val="003A73EA"/>
    <w:rsid w:val="003B1781"/>
    <w:rsid w:val="003B2142"/>
    <w:rsid w:val="003B2580"/>
    <w:rsid w:val="003B2E63"/>
    <w:rsid w:val="003B2F0A"/>
    <w:rsid w:val="003B3189"/>
    <w:rsid w:val="003B3A9D"/>
    <w:rsid w:val="003B3DDD"/>
    <w:rsid w:val="003B42A1"/>
    <w:rsid w:val="003B5031"/>
    <w:rsid w:val="003B5A32"/>
    <w:rsid w:val="003B5B61"/>
    <w:rsid w:val="003B5E14"/>
    <w:rsid w:val="003B6105"/>
    <w:rsid w:val="003C0122"/>
    <w:rsid w:val="003C03CC"/>
    <w:rsid w:val="003C04C4"/>
    <w:rsid w:val="003C1F8B"/>
    <w:rsid w:val="003C26F4"/>
    <w:rsid w:val="003C2809"/>
    <w:rsid w:val="003C3686"/>
    <w:rsid w:val="003C38D4"/>
    <w:rsid w:val="003C4852"/>
    <w:rsid w:val="003C486D"/>
    <w:rsid w:val="003C505A"/>
    <w:rsid w:val="003C5BC7"/>
    <w:rsid w:val="003C601E"/>
    <w:rsid w:val="003C66C4"/>
    <w:rsid w:val="003C7928"/>
    <w:rsid w:val="003C797A"/>
    <w:rsid w:val="003C7A95"/>
    <w:rsid w:val="003C7B97"/>
    <w:rsid w:val="003D15C3"/>
    <w:rsid w:val="003D17A6"/>
    <w:rsid w:val="003D2C4E"/>
    <w:rsid w:val="003D2D51"/>
    <w:rsid w:val="003D33FD"/>
    <w:rsid w:val="003D3600"/>
    <w:rsid w:val="003D3825"/>
    <w:rsid w:val="003D3EC4"/>
    <w:rsid w:val="003D44E2"/>
    <w:rsid w:val="003D4760"/>
    <w:rsid w:val="003D49DC"/>
    <w:rsid w:val="003D4DD9"/>
    <w:rsid w:val="003D4FB5"/>
    <w:rsid w:val="003D5D7A"/>
    <w:rsid w:val="003D5E4B"/>
    <w:rsid w:val="003D653F"/>
    <w:rsid w:val="003E00D4"/>
    <w:rsid w:val="003E0663"/>
    <w:rsid w:val="003E133F"/>
    <w:rsid w:val="003E194E"/>
    <w:rsid w:val="003E42C9"/>
    <w:rsid w:val="003E49F6"/>
    <w:rsid w:val="003E4FD4"/>
    <w:rsid w:val="003E5488"/>
    <w:rsid w:val="003E699C"/>
    <w:rsid w:val="003E69F3"/>
    <w:rsid w:val="003E6EB0"/>
    <w:rsid w:val="003E7550"/>
    <w:rsid w:val="003E782E"/>
    <w:rsid w:val="003E7A0B"/>
    <w:rsid w:val="003E7B2B"/>
    <w:rsid w:val="003F116D"/>
    <w:rsid w:val="003F1749"/>
    <w:rsid w:val="003F181F"/>
    <w:rsid w:val="003F1A48"/>
    <w:rsid w:val="003F1E23"/>
    <w:rsid w:val="003F22F6"/>
    <w:rsid w:val="003F2B0A"/>
    <w:rsid w:val="003F313C"/>
    <w:rsid w:val="003F32AB"/>
    <w:rsid w:val="003F341B"/>
    <w:rsid w:val="003F37FC"/>
    <w:rsid w:val="003F3A26"/>
    <w:rsid w:val="003F49A6"/>
    <w:rsid w:val="003F5047"/>
    <w:rsid w:val="003F5098"/>
    <w:rsid w:val="003F5568"/>
    <w:rsid w:val="003F5A95"/>
    <w:rsid w:val="003F6015"/>
    <w:rsid w:val="003F6C74"/>
    <w:rsid w:val="003F6D19"/>
    <w:rsid w:val="003F7F67"/>
    <w:rsid w:val="004000D5"/>
    <w:rsid w:val="00400244"/>
    <w:rsid w:val="004005C1"/>
    <w:rsid w:val="004010ED"/>
    <w:rsid w:val="00401716"/>
    <w:rsid w:val="004018F7"/>
    <w:rsid w:val="00401A09"/>
    <w:rsid w:val="0040273A"/>
    <w:rsid w:val="00402C25"/>
    <w:rsid w:val="004036FB"/>
    <w:rsid w:val="00403CE3"/>
    <w:rsid w:val="004050D7"/>
    <w:rsid w:val="0040633F"/>
    <w:rsid w:val="0040758A"/>
    <w:rsid w:val="004078BD"/>
    <w:rsid w:val="00410132"/>
    <w:rsid w:val="004104E4"/>
    <w:rsid w:val="00410A97"/>
    <w:rsid w:val="00410BCD"/>
    <w:rsid w:val="00410DE5"/>
    <w:rsid w:val="00410E40"/>
    <w:rsid w:val="00410F03"/>
    <w:rsid w:val="00410FF4"/>
    <w:rsid w:val="0041175D"/>
    <w:rsid w:val="004117CE"/>
    <w:rsid w:val="004123BE"/>
    <w:rsid w:val="00412CC0"/>
    <w:rsid w:val="00414757"/>
    <w:rsid w:val="00414CE5"/>
    <w:rsid w:val="0041548B"/>
    <w:rsid w:val="00416673"/>
    <w:rsid w:val="00416F9E"/>
    <w:rsid w:val="004174FD"/>
    <w:rsid w:val="0042094A"/>
    <w:rsid w:val="004211D7"/>
    <w:rsid w:val="0042160D"/>
    <w:rsid w:val="00421A52"/>
    <w:rsid w:val="00421E7A"/>
    <w:rsid w:val="004233DB"/>
    <w:rsid w:val="00423A3C"/>
    <w:rsid w:val="00423C04"/>
    <w:rsid w:val="00423D69"/>
    <w:rsid w:val="004257F9"/>
    <w:rsid w:val="0042681B"/>
    <w:rsid w:val="00427193"/>
    <w:rsid w:val="0043068A"/>
    <w:rsid w:val="004306E0"/>
    <w:rsid w:val="004309CD"/>
    <w:rsid w:val="00431D54"/>
    <w:rsid w:val="00431F98"/>
    <w:rsid w:val="004325AA"/>
    <w:rsid w:val="004329BE"/>
    <w:rsid w:val="00432C38"/>
    <w:rsid w:val="00432F8F"/>
    <w:rsid w:val="004342EC"/>
    <w:rsid w:val="00434C84"/>
    <w:rsid w:val="00434DC4"/>
    <w:rsid w:val="00437C76"/>
    <w:rsid w:val="00437F4A"/>
    <w:rsid w:val="0044105C"/>
    <w:rsid w:val="00441542"/>
    <w:rsid w:val="00442197"/>
    <w:rsid w:val="00442FD6"/>
    <w:rsid w:val="00443646"/>
    <w:rsid w:val="00443DDE"/>
    <w:rsid w:val="00443E95"/>
    <w:rsid w:val="004441A0"/>
    <w:rsid w:val="00444268"/>
    <w:rsid w:val="00444326"/>
    <w:rsid w:val="004443BF"/>
    <w:rsid w:val="00444983"/>
    <w:rsid w:val="00444C19"/>
    <w:rsid w:val="00445218"/>
    <w:rsid w:val="00445CDD"/>
    <w:rsid w:val="00446892"/>
    <w:rsid w:val="00446C9F"/>
    <w:rsid w:val="00447E36"/>
    <w:rsid w:val="004504E0"/>
    <w:rsid w:val="00450700"/>
    <w:rsid w:val="00450C30"/>
    <w:rsid w:val="004529C7"/>
    <w:rsid w:val="00453C62"/>
    <w:rsid w:val="00453FD7"/>
    <w:rsid w:val="004540FF"/>
    <w:rsid w:val="004541F1"/>
    <w:rsid w:val="00455ECA"/>
    <w:rsid w:val="00457296"/>
    <w:rsid w:val="00457320"/>
    <w:rsid w:val="0045761F"/>
    <w:rsid w:val="00460164"/>
    <w:rsid w:val="0046039A"/>
    <w:rsid w:val="00460A6B"/>
    <w:rsid w:val="00461873"/>
    <w:rsid w:val="00461977"/>
    <w:rsid w:val="00461A3F"/>
    <w:rsid w:val="004629FD"/>
    <w:rsid w:val="00462AD2"/>
    <w:rsid w:val="00463B4B"/>
    <w:rsid w:val="00463F4D"/>
    <w:rsid w:val="00464658"/>
    <w:rsid w:val="0046471F"/>
    <w:rsid w:val="00464BE8"/>
    <w:rsid w:val="00464DE7"/>
    <w:rsid w:val="00465019"/>
    <w:rsid w:val="00465FA4"/>
    <w:rsid w:val="0046613F"/>
    <w:rsid w:val="0046655D"/>
    <w:rsid w:val="00466808"/>
    <w:rsid w:val="00466AAE"/>
    <w:rsid w:val="00466CE1"/>
    <w:rsid w:val="0046765E"/>
    <w:rsid w:val="004676E2"/>
    <w:rsid w:val="0047020E"/>
    <w:rsid w:val="00471EDD"/>
    <w:rsid w:val="00472B52"/>
    <w:rsid w:val="00473E94"/>
    <w:rsid w:val="0047400C"/>
    <w:rsid w:val="004745D9"/>
    <w:rsid w:val="00474B94"/>
    <w:rsid w:val="004761D2"/>
    <w:rsid w:val="004762D8"/>
    <w:rsid w:val="004765B3"/>
    <w:rsid w:val="00476D29"/>
    <w:rsid w:val="00477241"/>
    <w:rsid w:val="0047728F"/>
    <w:rsid w:val="004774F5"/>
    <w:rsid w:val="00477EAF"/>
    <w:rsid w:val="00477EE0"/>
    <w:rsid w:val="00480AB8"/>
    <w:rsid w:val="0048139F"/>
    <w:rsid w:val="00481C00"/>
    <w:rsid w:val="00483053"/>
    <w:rsid w:val="00483BFB"/>
    <w:rsid w:val="00484874"/>
    <w:rsid w:val="00484AE4"/>
    <w:rsid w:val="00485230"/>
    <w:rsid w:val="00487127"/>
    <w:rsid w:val="004879E9"/>
    <w:rsid w:val="00487BCB"/>
    <w:rsid w:val="00487F81"/>
    <w:rsid w:val="00490247"/>
    <w:rsid w:val="00490BD8"/>
    <w:rsid w:val="0049104F"/>
    <w:rsid w:val="00491218"/>
    <w:rsid w:val="00491CFD"/>
    <w:rsid w:val="00492991"/>
    <w:rsid w:val="00493362"/>
    <w:rsid w:val="00494343"/>
    <w:rsid w:val="00494AAB"/>
    <w:rsid w:val="00495456"/>
    <w:rsid w:val="004966D7"/>
    <w:rsid w:val="00496C2F"/>
    <w:rsid w:val="00496CEC"/>
    <w:rsid w:val="0049740D"/>
    <w:rsid w:val="0049778A"/>
    <w:rsid w:val="004978D3"/>
    <w:rsid w:val="004A11F8"/>
    <w:rsid w:val="004A1871"/>
    <w:rsid w:val="004A22BD"/>
    <w:rsid w:val="004A22FA"/>
    <w:rsid w:val="004A269A"/>
    <w:rsid w:val="004A26DB"/>
    <w:rsid w:val="004A2A16"/>
    <w:rsid w:val="004A30FB"/>
    <w:rsid w:val="004A35DD"/>
    <w:rsid w:val="004A37D3"/>
    <w:rsid w:val="004A3AD6"/>
    <w:rsid w:val="004A5865"/>
    <w:rsid w:val="004A6092"/>
    <w:rsid w:val="004A6EA4"/>
    <w:rsid w:val="004A7670"/>
    <w:rsid w:val="004A77DF"/>
    <w:rsid w:val="004B0295"/>
    <w:rsid w:val="004B0803"/>
    <w:rsid w:val="004B10A8"/>
    <w:rsid w:val="004B1F58"/>
    <w:rsid w:val="004B1F9D"/>
    <w:rsid w:val="004B22DA"/>
    <w:rsid w:val="004B2591"/>
    <w:rsid w:val="004B30E2"/>
    <w:rsid w:val="004B3CB7"/>
    <w:rsid w:val="004B3D55"/>
    <w:rsid w:val="004B55B7"/>
    <w:rsid w:val="004B5836"/>
    <w:rsid w:val="004B5F05"/>
    <w:rsid w:val="004B7A90"/>
    <w:rsid w:val="004C00A6"/>
    <w:rsid w:val="004C0BBB"/>
    <w:rsid w:val="004C1AD6"/>
    <w:rsid w:val="004C1B86"/>
    <w:rsid w:val="004C2316"/>
    <w:rsid w:val="004C2F2D"/>
    <w:rsid w:val="004C3382"/>
    <w:rsid w:val="004C3867"/>
    <w:rsid w:val="004C4AB7"/>
    <w:rsid w:val="004C4B88"/>
    <w:rsid w:val="004C4CD0"/>
    <w:rsid w:val="004C5186"/>
    <w:rsid w:val="004C57B5"/>
    <w:rsid w:val="004C5ADB"/>
    <w:rsid w:val="004C5C25"/>
    <w:rsid w:val="004C6717"/>
    <w:rsid w:val="004C6CFF"/>
    <w:rsid w:val="004C70DC"/>
    <w:rsid w:val="004C7268"/>
    <w:rsid w:val="004C7628"/>
    <w:rsid w:val="004C7C5C"/>
    <w:rsid w:val="004D0211"/>
    <w:rsid w:val="004D1C9C"/>
    <w:rsid w:val="004D458D"/>
    <w:rsid w:val="004D4F13"/>
    <w:rsid w:val="004D504B"/>
    <w:rsid w:val="004D536E"/>
    <w:rsid w:val="004D70B1"/>
    <w:rsid w:val="004D76CC"/>
    <w:rsid w:val="004E1839"/>
    <w:rsid w:val="004E230C"/>
    <w:rsid w:val="004E4A75"/>
    <w:rsid w:val="004E541A"/>
    <w:rsid w:val="004E5A5C"/>
    <w:rsid w:val="004E7007"/>
    <w:rsid w:val="004E76D6"/>
    <w:rsid w:val="004E7F57"/>
    <w:rsid w:val="004F06F5"/>
    <w:rsid w:val="004F15E5"/>
    <w:rsid w:val="004F191F"/>
    <w:rsid w:val="004F2A4D"/>
    <w:rsid w:val="004F2A73"/>
    <w:rsid w:val="004F33A0"/>
    <w:rsid w:val="004F4353"/>
    <w:rsid w:val="004F447D"/>
    <w:rsid w:val="004F4C28"/>
    <w:rsid w:val="004F4E82"/>
    <w:rsid w:val="004F5470"/>
    <w:rsid w:val="004F5CC5"/>
    <w:rsid w:val="004F6350"/>
    <w:rsid w:val="004F674E"/>
    <w:rsid w:val="004F7170"/>
    <w:rsid w:val="005028E1"/>
    <w:rsid w:val="00503C34"/>
    <w:rsid w:val="00504937"/>
    <w:rsid w:val="00505989"/>
    <w:rsid w:val="00506309"/>
    <w:rsid w:val="0050692E"/>
    <w:rsid w:val="00507040"/>
    <w:rsid w:val="005079F8"/>
    <w:rsid w:val="00510189"/>
    <w:rsid w:val="005108C0"/>
    <w:rsid w:val="00510DA4"/>
    <w:rsid w:val="00511873"/>
    <w:rsid w:val="00512603"/>
    <w:rsid w:val="0051367B"/>
    <w:rsid w:val="00513A89"/>
    <w:rsid w:val="00513B7E"/>
    <w:rsid w:val="005140DE"/>
    <w:rsid w:val="0051412B"/>
    <w:rsid w:val="00514474"/>
    <w:rsid w:val="005147E9"/>
    <w:rsid w:val="005151B5"/>
    <w:rsid w:val="00515400"/>
    <w:rsid w:val="00515402"/>
    <w:rsid w:val="0051593C"/>
    <w:rsid w:val="00515A90"/>
    <w:rsid w:val="00517567"/>
    <w:rsid w:val="0051778B"/>
    <w:rsid w:val="0051778E"/>
    <w:rsid w:val="005215EF"/>
    <w:rsid w:val="00521923"/>
    <w:rsid w:val="00523FA1"/>
    <w:rsid w:val="00524637"/>
    <w:rsid w:val="00524FDD"/>
    <w:rsid w:val="00525137"/>
    <w:rsid w:val="005251DD"/>
    <w:rsid w:val="00526DB6"/>
    <w:rsid w:val="0053017A"/>
    <w:rsid w:val="00530492"/>
    <w:rsid w:val="0053055E"/>
    <w:rsid w:val="005308E4"/>
    <w:rsid w:val="00532854"/>
    <w:rsid w:val="00532935"/>
    <w:rsid w:val="00533AB1"/>
    <w:rsid w:val="005350F2"/>
    <w:rsid w:val="00535152"/>
    <w:rsid w:val="00535359"/>
    <w:rsid w:val="005357A2"/>
    <w:rsid w:val="005359E3"/>
    <w:rsid w:val="00535D87"/>
    <w:rsid w:val="00535EF0"/>
    <w:rsid w:val="005363DF"/>
    <w:rsid w:val="00536BCA"/>
    <w:rsid w:val="0053734B"/>
    <w:rsid w:val="005375B1"/>
    <w:rsid w:val="00537737"/>
    <w:rsid w:val="00537AFD"/>
    <w:rsid w:val="00537CB4"/>
    <w:rsid w:val="00542636"/>
    <w:rsid w:val="005447DC"/>
    <w:rsid w:val="0054516B"/>
    <w:rsid w:val="0054559E"/>
    <w:rsid w:val="005459BD"/>
    <w:rsid w:val="00546234"/>
    <w:rsid w:val="005501E1"/>
    <w:rsid w:val="005502D6"/>
    <w:rsid w:val="00550ACF"/>
    <w:rsid w:val="005513D5"/>
    <w:rsid w:val="005523B9"/>
    <w:rsid w:val="0055240C"/>
    <w:rsid w:val="005532E5"/>
    <w:rsid w:val="005545E0"/>
    <w:rsid w:val="00554865"/>
    <w:rsid w:val="00554D1E"/>
    <w:rsid w:val="00554E57"/>
    <w:rsid w:val="0055601A"/>
    <w:rsid w:val="00557E36"/>
    <w:rsid w:val="00557E6A"/>
    <w:rsid w:val="00562749"/>
    <w:rsid w:val="00562DE9"/>
    <w:rsid w:val="00563191"/>
    <w:rsid w:val="005638A5"/>
    <w:rsid w:val="0056474F"/>
    <w:rsid w:val="00564DBF"/>
    <w:rsid w:val="00566381"/>
    <w:rsid w:val="00566837"/>
    <w:rsid w:val="00566A03"/>
    <w:rsid w:val="005703D0"/>
    <w:rsid w:val="00571932"/>
    <w:rsid w:val="00572B2C"/>
    <w:rsid w:val="00573C97"/>
    <w:rsid w:val="00574240"/>
    <w:rsid w:val="0057454C"/>
    <w:rsid w:val="005752EB"/>
    <w:rsid w:val="00575CDC"/>
    <w:rsid w:val="005765D5"/>
    <w:rsid w:val="005767FE"/>
    <w:rsid w:val="00576A3E"/>
    <w:rsid w:val="00576B86"/>
    <w:rsid w:val="0057703D"/>
    <w:rsid w:val="00581892"/>
    <w:rsid w:val="00582C84"/>
    <w:rsid w:val="00582F04"/>
    <w:rsid w:val="0058366F"/>
    <w:rsid w:val="00583D5B"/>
    <w:rsid w:val="00583FFD"/>
    <w:rsid w:val="00584150"/>
    <w:rsid w:val="0058621A"/>
    <w:rsid w:val="005867AE"/>
    <w:rsid w:val="00587451"/>
    <w:rsid w:val="00587CCD"/>
    <w:rsid w:val="005908AE"/>
    <w:rsid w:val="00590FCF"/>
    <w:rsid w:val="0059176E"/>
    <w:rsid w:val="00592854"/>
    <w:rsid w:val="00593152"/>
    <w:rsid w:val="005934CE"/>
    <w:rsid w:val="00593CA3"/>
    <w:rsid w:val="00594161"/>
    <w:rsid w:val="00594969"/>
    <w:rsid w:val="00594B91"/>
    <w:rsid w:val="00594D2B"/>
    <w:rsid w:val="00595035"/>
    <w:rsid w:val="00596AC6"/>
    <w:rsid w:val="00596C5E"/>
    <w:rsid w:val="005A2194"/>
    <w:rsid w:val="005A21E0"/>
    <w:rsid w:val="005A3210"/>
    <w:rsid w:val="005A33A1"/>
    <w:rsid w:val="005A3687"/>
    <w:rsid w:val="005A54EE"/>
    <w:rsid w:val="005A563B"/>
    <w:rsid w:val="005A5F82"/>
    <w:rsid w:val="005A6E85"/>
    <w:rsid w:val="005A7500"/>
    <w:rsid w:val="005A77E4"/>
    <w:rsid w:val="005B0262"/>
    <w:rsid w:val="005B0B8F"/>
    <w:rsid w:val="005B1BDB"/>
    <w:rsid w:val="005B22A7"/>
    <w:rsid w:val="005B2929"/>
    <w:rsid w:val="005B2944"/>
    <w:rsid w:val="005B2BAA"/>
    <w:rsid w:val="005B2D53"/>
    <w:rsid w:val="005B3247"/>
    <w:rsid w:val="005B3409"/>
    <w:rsid w:val="005B498A"/>
    <w:rsid w:val="005B7B12"/>
    <w:rsid w:val="005B7F75"/>
    <w:rsid w:val="005C16CB"/>
    <w:rsid w:val="005C21D6"/>
    <w:rsid w:val="005C3F9F"/>
    <w:rsid w:val="005C406F"/>
    <w:rsid w:val="005C4978"/>
    <w:rsid w:val="005C4A23"/>
    <w:rsid w:val="005C562C"/>
    <w:rsid w:val="005C5812"/>
    <w:rsid w:val="005C591E"/>
    <w:rsid w:val="005C6400"/>
    <w:rsid w:val="005C7F1E"/>
    <w:rsid w:val="005D073B"/>
    <w:rsid w:val="005D1966"/>
    <w:rsid w:val="005D25B4"/>
    <w:rsid w:val="005D374F"/>
    <w:rsid w:val="005D5802"/>
    <w:rsid w:val="005D6CFC"/>
    <w:rsid w:val="005D73E2"/>
    <w:rsid w:val="005D757A"/>
    <w:rsid w:val="005D7C4B"/>
    <w:rsid w:val="005E1E4B"/>
    <w:rsid w:val="005E362D"/>
    <w:rsid w:val="005E3A0C"/>
    <w:rsid w:val="005E3FAC"/>
    <w:rsid w:val="005E4483"/>
    <w:rsid w:val="005E492C"/>
    <w:rsid w:val="005E4BAA"/>
    <w:rsid w:val="005E52EF"/>
    <w:rsid w:val="005E5B56"/>
    <w:rsid w:val="005E6088"/>
    <w:rsid w:val="005E61DF"/>
    <w:rsid w:val="005E6AB8"/>
    <w:rsid w:val="005E6B65"/>
    <w:rsid w:val="005E6B78"/>
    <w:rsid w:val="005E75B8"/>
    <w:rsid w:val="005F0976"/>
    <w:rsid w:val="005F26CE"/>
    <w:rsid w:val="005F38D3"/>
    <w:rsid w:val="005F4057"/>
    <w:rsid w:val="005F4088"/>
    <w:rsid w:val="005F42F4"/>
    <w:rsid w:val="005F4C83"/>
    <w:rsid w:val="005F5916"/>
    <w:rsid w:val="005F5AD6"/>
    <w:rsid w:val="005F601D"/>
    <w:rsid w:val="005F6119"/>
    <w:rsid w:val="005F74B2"/>
    <w:rsid w:val="005F76F8"/>
    <w:rsid w:val="005F7940"/>
    <w:rsid w:val="005F7A9D"/>
    <w:rsid w:val="0060107A"/>
    <w:rsid w:val="00601AFF"/>
    <w:rsid w:val="00602D1D"/>
    <w:rsid w:val="00603BAF"/>
    <w:rsid w:val="00604307"/>
    <w:rsid w:val="0060487F"/>
    <w:rsid w:val="00605814"/>
    <w:rsid w:val="00606B93"/>
    <w:rsid w:val="00607119"/>
    <w:rsid w:val="006074D7"/>
    <w:rsid w:val="00607727"/>
    <w:rsid w:val="00607934"/>
    <w:rsid w:val="00610504"/>
    <w:rsid w:val="00610578"/>
    <w:rsid w:val="00610BD5"/>
    <w:rsid w:val="00611363"/>
    <w:rsid w:val="00611531"/>
    <w:rsid w:val="006118AA"/>
    <w:rsid w:val="00611C28"/>
    <w:rsid w:val="00612192"/>
    <w:rsid w:val="006139C7"/>
    <w:rsid w:val="006150EA"/>
    <w:rsid w:val="006153E3"/>
    <w:rsid w:val="006167AB"/>
    <w:rsid w:val="0061718A"/>
    <w:rsid w:val="00617C6F"/>
    <w:rsid w:val="00617D2D"/>
    <w:rsid w:val="00617D83"/>
    <w:rsid w:val="00620430"/>
    <w:rsid w:val="00620AC5"/>
    <w:rsid w:val="00621575"/>
    <w:rsid w:val="006215FC"/>
    <w:rsid w:val="00623EB2"/>
    <w:rsid w:val="00624093"/>
    <w:rsid w:val="00624198"/>
    <w:rsid w:val="006250B5"/>
    <w:rsid w:val="006279F0"/>
    <w:rsid w:val="00630F66"/>
    <w:rsid w:val="00631FC2"/>
    <w:rsid w:val="00632171"/>
    <w:rsid w:val="0063252F"/>
    <w:rsid w:val="006325CC"/>
    <w:rsid w:val="00632D86"/>
    <w:rsid w:val="0063332A"/>
    <w:rsid w:val="006347F9"/>
    <w:rsid w:val="0063494E"/>
    <w:rsid w:val="00634C90"/>
    <w:rsid w:val="00635818"/>
    <w:rsid w:val="00635E79"/>
    <w:rsid w:val="00636E5E"/>
    <w:rsid w:val="006379E0"/>
    <w:rsid w:val="006403DC"/>
    <w:rsid w:val="006404A7"/>
    <w:rsid w:val="006407F3"/>
    <w:rsid w:val="006408EC"/>
    <w:rsid w:val="0064129B"/>
    <w:rsid w:val="00641849"/>
    <w:rsid w:val="00641DF7"/>
    <w:rsid w:val="00643145"/>
    <w:rsid w:val="00643497"/>
    <w:rsid w:val="00643735"/>
    <w:rsid w:val="00643A80"/>
    <w:rsid w:val="006448C2"/>
    <w:rsid w:val="00644DFC"/>
    <w:rsid w:val="006451E4"/>
    <w:rsid w:val="006454B4"/>
    <w:rsid w:val="0064575F"/>
    <w:rsid w:val="00645A9C"/>
    <w:rsid w:val="00646042"/>
    <w:rsid w:val="006460B8"/>
    <w:rsid w:val="00650260"/>
    <w:rsid w:val="006504A0"/>
    <w:rsid w:val="006515D6"/>
    <w:rsid w:val="006520C7"/>
    <w:rsid w:val="006520D5"/>
    <w:rsid w:val="0065271C"/>
    <w:rsid w:val="00652CBB"/>
    <w:rsid w:val="006530B8"/>
    <w:rsid w:val="006535D6"/>
    <w:rsid w:val="006539ED"/>
    <w:rsid w:val="00655197"/>
    <w:rsid w:val="006555FE"/>
    <w:rsid w:val="00655B45"/>
    <w:rsid w:val="00656716"/>
    <w:rsid w:val="0065692B"/>
    <w:rsid w:val="006572ED"/>
    <w:rsid w:val="00657E87"/>
    <w:rsid w:val="00660457"/>
    <w:rsid w:val="00660CB4"/>
    <w:rsid w:val="00660E1E"/>
    <w:rsid w:val="00661416"/>
    <w:rsid w:val="006621EB"/>
    <w:rsid w:val="00662E05"/>
    <w:rsid w:val="0066328A"/>
    <w:rsid w:val="006637B1"/>
    <w:rsid w:val="00663CFD"/>
    <w:rsid w:val="00664B64"/>
    <w:rsid w:val="00665587"/>
    <w:rsid w:val="00665D67"/>
    <w:rsid w:val="00665D77"/>
    <w:rsid w:val="006660BB"/>
    <w:rsid w:val="006660CD"/>
    <w:rsid w:val="00666EC8"/>
    <w:rsid w:val="00666F4B"/>
    <w:rsid w:val="006676D0"/>
    <w:rsid w:val="0066796E"/>
    <w:rsid w:val="00667ED1"/>
    <w:rsid w:val="00670FAC"/>
    <w:rsid w:val="006710C9"/>
    <w:rsid w:val="006716A5"/>
    <w:rsid w:val="00672271"/>
    <w:rsid w:val="00673904"/>
    <w:rsid w:val="00674B96"/>
    <w:rsid w:val="00674D93"/>
    <w:rsid w:val="00675E37"/>
    <w:rsid w:val="006764ED"/>
    <w:rsid w:val="00676AFC"/>
    <w:rsid w:val="00676F11"/>
    <w:rsid w:val="00680079"/>
    <w:rsid w:val="00680ECC"/>
    <w:rsid w:val="00680F68"/>
    <w:rsid w:val="0068260E"/>
    <w:rsid w:val="0068373D"/>
    <w:rsid w:val="00683BFE"/>
    <w:rsid w:val="0068437D"/>
    <w:rsid w:val="006857DF"/>
    <w:rsid w:val="00685E66"/>
    <w:rsid w:val="00686B72"/>
    <w:rsid w:val="00686BF1"/>
    <w:rsid w:val="006877CC"/>
    <w:rsid w:val="00687AE5"/>
    <w:rsid w:val="0069087E"/>
    <w:rsid w:val="00690A09"/>
    <w:rsid w:val="00690A25"/>
    <w:rsid w:val="00691008"/>
    <w:rsid w:val="006927C4"/>
    <w:rsid w:val="0069281B"/>
    <w:rsid w:val="006936AD"/>
    <w:rsid w:val="00693EA1"/>
    <w:rsid w:val="00693FEA"/>
    <w:rsid w:val="00694930"/>
    <w:rsid w:val="00695170"/>
    <w:rsid w:val="00695BEF"/>
    <w:rsid w:val="006960D6"/>
    <w:rsid w:val="00696AA5"/>
    <w:rsid w:val="006977F6"/>
    <w:rsid w:val="00697A13"/>
    <w:rsid w:val="006A109C"/>
    <w:rsid w:val="006A18AE"/>
    <w:rsid w:val="006A2EE8"/>
    <w:rsid w:val="006A3CF3"/>
    <w:rsid w:val="006A4409"/>
    <w:rsid w:val="006A45B6"/>
    <w:rsid w:val="006A568F"/>
    <w:rsid w:val="006A5BA8"/>
    <w:rsid w:val="006A5C97"/>
    <w:rsid w:val="006A65EF"/>
    <w:rsid w:val="006A672B"/>
    <w:rsid w:val="006A7B27"/>
    <w:rsid w:val="006B08BB"/>
    <w:rsid w:val="006B1781"/>
    <w:rsid w:val="006B23A9"/>
    <w:rsid w:val="006B23D8"/>
    <w:rsid w:val="006B281D"/>
    <w:rsid w:val="006B2F6D"/>
    <w:rsid w:val="006B385C"/>
    <w:rsid w:val="006B3F8A"/>
    <w:rsid w:val="006B5CA3"/>
    <w:rsid w:val="006B6B3B"/>
    <w:rsid w:val="006B7248"/>
    <w:rsid w:val="006B7714"/>
    <w:rsid w:val="006B781B"/>
    <w:rsid w:val="006B78D8"/>
    <w:rsid w:val="006C07D6"/>
    <w:rsid w:val="006C090F"/>
    <w:rsid w:val="006C0935"/>
    <w:rsid w:val="006C0BCE"/>
    <w:rsid w:val="006C113F"/>
    <w:rsid w:val="006C1B8C"/>
    <w:rsid w:val="006C2AED"/>
    <w:rsid w:val="006C38DD"/>
    <w:rsid w:val="006C457F"/>
    <w:rsid w:val="006C53C7"/>
    <w:rsid w:val="006C5577"/>
    <w:rsid w:val="006C559A"/>
    <w:rsid w:val="006C58FA"/>
    <w:rsid w:val="006C5FB6"/>
    <w:rsid w:val="006D004F"/>
    <w:rsid w:val="006D0366"/>
    <w:rsid w:val="006D042D"/>
    <w:rsid w:val="006D06BF"/>
    <w:rsid w:val="006D06EF"/>
    <w:rsid w:val="006D142E"/>
    <w:rsid w:val="006D1B43"/>
    <w:rsid w:val="006D3B87"/>
    <w:rsid w:val="006D4178"/>
    <w:rsid w:val="006D4497"/>
    <w:rsid w:val="006D4E6F"/>
    <w:rsid w:val="006D61F6"/>
    <w:rsid w:val="006D710C"/>
    <w:rsid w:val="006E0EB0"/>
    <w:rsid w:val="006E182C"/>
    <w:rsid w:val="006E1F4C"/>
    <w:rsid w:val="006E22C8"/>
    <w:rsid w:val="006E279A"/>
    <w:rsid w:val="006E2C28"/>
    <w:rsid w:val="006E2F3F"/>
    <w:rsid w:val="006E313B"/>
    <w:rsid w:val="006E3B2F"/>
    <w:rsid w:val="006E442A"/>
    <w:rsid w:val="006E4434"/>
    <w:rsid w:val="006E59FC"/>
    <w:rsid w:val="006E5CFD"/>
    <w:rsid w:val="006E7E2C"/>
    <w:rsid w:val="006F0367"/>
    <w:rsid w:val="006F1326"/>
    <w:rsid w:val="006F1A67"/>
    <w:rsid w:val="006F21A0"/>
    <w:rsid w:val="006F2280"/>
    <w:rsid w:val="006F2BEE"/>
    <w:rsid w:val="006F3531"/>
    <w:rsid w:val="006F3708"/>
    <w:rsid w:val="006F376C"/>
    <w:rsid w:val="006F3E6B"/>
    <w:rsid w:val="006F4619"/>
    <w:rsid w:val="006F4A59"/>
    <w:rsid w:val="006F6968"/>
    <w:rsid w:val="006F69A1"/>
    <w:rsid w:val="0070009B"/>
    <w:rsid w:val="00700232"/>
    <w:rsid w:val="00701382"/>
    <w:rsid w:val="007014C7"/>
    <w:rsid w:val="007016E8"/>
    <w:rsid w:val="00702100"/>
    <w:rsid w:val="00702401"/>
    <w:rsid w:val="00702D6F"/>
    <w:rsid w:val="00703B6C"/>
    <w:rsid w:val="00703B9F"/>
    <w:rsid w:val="00703C6B"/>
    <w:rsid w:val="007047D5"/>
    <w:rsid w:val="00704A71"/>
    <w:rsid w:val="00705CA7"/>
    <w:rsid w:val="00705D98"/>
    <w:rsid w:val="00707891"/>
    <w:rsid w:val="00707D43"/>
    <w:rsid w:val="00710F7C"/>
    <w:rsid w:val="00711D33"/>
    <w:rsid w:val="00711D7C"/>
    <w:rsid w:val="00711EF1"/>
    <w:rsid w:val="007120ED"/>
    <w:rsid w:val="0071229A"/>
    <w:rsid w:val="00712572"/>
    <w:rsid w:val="00713355"/>
    <w:rsid w:val="00713477"/>
    <w:rsid w:val="00713495"/>
    <w:rsid w:val="00713EEB"/>
    <w:rsid w:val="007159D2"/>
    <w:rsid w:val="007175F6"/>
    <w:rsid w:val="00717726"/>
    <w:rsid w:val="0072050E"/>
    <w:rsid w:val="00720958"/>
    <w:rsid w:val="00720FA2"/>
    <w:rsid w:val="007211F5"/>
    <w:rsid w:val="00721B11"/>
    <w:rsid w:val="00722286"/>
    <w:rsid w:val="00724428"/>
    <w:rsid w:val="00724666"/>
    <w:rsid w:val="00724E80"/>
    <w:rsid w:val="0072526D"/>
    <w:rsid w:val="00725492"/>
    <w:rsid w:val="007256B7"/>
    <w:rsid w:val="00726043"/>
    <w:rsid w:val="007268D0"/>
    <w:rsid w:val="0072704A"/>
    <w:rsid w:val="00727457"/>
    <w:rsid w:val="007274A9"/>
    <w:rsid w:val="00730AE8"/>
    <w:rsid w:val="007315DA"/>
    <w:rsid w:val="00731963"/>
    <w:rsid w:val="00732706"/>
    <w:rsid w:val="00732F10"/>
    <w:rsid w:val="00734321"/>
    <w:rsid w:val="0073532E"/>
    <w:rsid w:val="00735B01"/>
    <w:rsid w:val="007374FC"/>
    <w:rsid w:val="00740310"/>
    <w:rsid w:val="00740652"/>
    <w:rsid w:val="00740F02"/>
    <w:rsid w:val="00740FEC"/>
    <w:rsid w:val="0074132E"/>
    <w:rsid w:val="00741493"/>
    <w:rsid w:val="0074261C"/>
    <w:rsid w:val="007426B3"/>
    <w:rsid w:val="007426FD"/>
    <w:rsid w:val="007430AB"/>
    <w:rsid w:val="0074329D"/>
    <w:rsid w:val="007436AD"/>
    <w:rsid w:val="00744376"/>
    <w:rsid w:val="007449EA"/>
    <w:rsid w:val="00744D00"/>
    <w:rsid w:val="00744D2B"/>
    <w:rsid w:val="00745273"/>
    <w:rsid w:val="00745F3C"/>
    <w:rsid w:val="007468BC"/>
    <w:rsid w:val="00746AA2"/>
    <w:rsid w:val="00746DC9"/>
    <w:rsid w:val="00746DD9"/>
    <w:rsid w:val="0075057A"/>
    <w:rsid w:val="007515E0"/>
    <w:rsid w:val="00751771"/>
    <w:rsid w:val="00751C1C"/>
    <w:rsid w:val="00752180"/>
    <w:rsid w:val="007521A1"/>
    <w:rsid w:val="00752BC3"/>
    <w:rsid w:val="0075315D"/>
    <w:rsid w:val="00753518"/>
    <w:rsid w:val="007538F9"/>
    <w:rsid w:val="00754253"/>
    <w:rsid w:val="00754593"/>
    <w:rsid w:val="007552BB"/>
    <w:rsid w:val="007558D3"/>
    <w:rsid w:val="007559D7"/>
    <w:rsid w:val="00755D3A"/>
    <w:rsid w:val="0075747F"/>
    <w:rsid w:val="00760141"/>
    <w:rsid w:val="007609C6"/>
    <w:rsid w:val="007610A0"/>
    <w:rsid w:val="00762036"/>
    <w:rsid w:val="007620F2"/>
    <w:rsid w:val="00762EBA"/>
    <w:rsid w:val="0076359D"/>
    <w:rsid w:val="007678F9"/>
    <w:rsid w:val="0077058D"/>
    <w:rsid w:val="00770931"/>
    <w:rsid w:val="00772536"/>
    <w:rsid w:val="007732D4"/>
    <w:rsid w:val="00773613"/>
    <w:rsid w:val="00774782"/>
    <w:rsid w:val="00775219"/>
    <w:rsid w:val="00776476"/>
    <w:rsid w:val="00776527"/>
    <w:rsid w:val="00777268"/>
    <w:rsid w:val="007805E1"/>
    <w:rsid w:val="0078113E"/>
    <w:rsid w:val="00781834"/>
    <w:rsid w:val="007821DB"/>
    <w:rsid w:val="00782818"/>
    <w:rsid w:val="0078337E"/>
    <w:rsid w:val="007838F1"/>
    <w:rsid w:val="007845FB"/>
    <w:rsid w:val="007846DB"/>
    <w:rsid w:val="00784AE5"/>
    <w:rsid w:val="00784C4A"/>
    <w:rsid w:val="007856E9"/>
    <w:rsid w:val="007859BB"/>
    <w:rsid w:val="00787432"/>
    <w:rsid w:val="00787507"/>
    <w:rsid w:val="007877B5"/>
    <w:rsid w:val="007879F2"/>
    <w:rsid w:val="00787AC5"/>
    <w:rsid w:val="00790393"/>
    <w:rsid w:val="007909B8"/>
    <w:rsid w:val="00791804"/>
    <w:rsid w:val="00791CF8"/>
    <w:rsid w:val="00791D4B"/>
    <w:rsid w:val="00791EF9"/>
    <w:rsid w:val="00792262"/>
    <w:rsid w:val="00793387"/>
    <w:rsid w:val="00793BAE"/>
    <w:rsid w:val="00794216"/>
    <w:rsid w:val="00794870"/>
    <w:rsid w:val="00794E0A"/>
    <w:rsid w:val="00795B04"/>
    <w:rsid w:val="00796642"/>
    <w:rsid w:val="007A11D9"/>
    <w:rsid w:val="007A186E"/>
    <w:rsid w:val="007A327B"/>
    <w:rsid w:val="007A4048"/>
    <w:rsid w:val="007A45B1"/>
    <w:rsid w:val="007A4606"/>
    <w:rsid w:val="007A4C99"/>
    <w:rsid w:val="007A4D58"/>
    <w:rsid w:val="007A4FAF"/>
    <w:rsid w:val="007A51A8"/>
    <w:rsid w:val="007A7976"/>
    <w:rsid w:val="007A7EA4"/>
    <w:rsid w:val="007B011D"/>
    <w:rsid w:val="007B0D67"/>
    <w:rsid w:val="007B1584"/>
    <w:rsid w:val="007B1966"/>
    <w:rsid w:val="007B1A8F"/>
    <w:rsid w:val="007B1BA5"/>
    <w:rsid w:val="007B2257"/>
    <w:rsid w:val="007B22B6"/>
    <w:rsid w:val="007B2779"/>
    <w:rsid w:val="007B2AF7"/>
    <w:rsid w:val="007B3A9B"/>
    <w:rsid w:val="007B3DCC"/>
    <w:rsid w:val="007B400B"/>
    <w:rsid w:val="007B4427"/>
    <w:rsid w:val="007B4518"/>
    <w:rsid w:val="007B5031"/>
    <w:rsid w:val="007B573F"/>
    <w:rsid w:val="007B58A7"/>
    <w:rsid w:val="007B72AC"/>
    <w:rsid w:val="007B78F8"/>
    <w:rsid w:val="007C0065"/>
    <w:rsid w:val="007C010B"/>
    <w:rsid w:val="007C0BF1"/>
    <w:rsid w:val="007C297B"/>
    <w:rsid w:val="007C2C5A"/>
    <w:rsid w:val="007C3191"/>
    <w:rsid w:val="007C32B6"/>
    <w:rsid w:val="007C3AE3"/>
    <w:rsid w:val="007C605B"/>
    <w:rsid w:val="007C6EBA"/>
    <w:rsid w:val="007D08EF"/>
    <w:rsid w:val="007D2A5A"/>
    <w:rsid w:val="007D2AD8"/>
    <w:rsid w:val="007D2C47"/>
    <w:rsid w:val="007D2C61"/>
    <w:rsid w:val="007D2F81"/>
    <w:rsid w:val="007D3167"/>
    <w:rsid w:val="007D3CF7"/>
    <w:rsid w:val="007D4128"/>
    <w:rsid w:val="007D4281"/>
    <w:rsid w:val="007D42F5"/>
    <w:rsid w:val="007D44C3"/>
    <w:rsid w:val="007D5947"/>
    <w:rsid w:val="007D5A68"/>
    <w:rsid w:val="007D65C1"/>
    <w:rsid w:val="007E00F7"/>
    <w:rsid w:val="007E030F"/>
    <w:rsid w:val="007E0D49"/>
    <w:rsid w:val="007E0E59"/>
    <w:rsid w:val="007E0F4B"/>
    <w:rsid w:val="007E12C1"/>
    <w:rsid w:val="007E1EF7"/>
    <w:rsid w:val="007E24C1"/>
    <w:rsid w:val="007E3715"/>
    <w:rsid w:val="007E5F3D"/>
    <w:rsid w:val="007E6588"/>
    <w:rsid w:val="007E69F5"/>
    <w:rsid w:val="007E7063"/>
    <w:rsid w:val="007E74EA"/>
    <w:rsid w:val="007E7E61"/>
    <w:rsid w:val="007E7E88"/>
    <w:rsid w:val="007F0316"/>
    <w:rsid w:val="007F0845"/>
    <w:rsid w:val="007F1092"/>
    <w:rsid w:val="007F12B6"/>
    <w:rsid w:val="007F16F9"/>
    <w:rsid w:val="007F27D2"/>
    <w:rsid w:val="007F2801"/>
    <w:rsid w:val="007F3D55"/>
    <w:rsid w:val="007F3E3E"/>
    <w:rsid w:val="007F42E0"/>
    <w:rsid w:val="007F500D"/>
    <w:rsid w:val="007F5F14"/>
    <w:rsid w:val="007F6CEB"/>
    <w:rsid w:val="007F7A39"/>
    <w:rsid w:val="007F7B54"/>
    <w:rsid w:val="007F7C60"/>
    <w:rsid w:val="00800073"/>
    <w:rsid w:val="008000EB"/>
    <w:rsid w:val="008005D7"/>
    <w:rsid w:val="00801FB7"/>
    <w:rsid w:val="00801FDD"/>
    <w:rsid w:val="008020C2"/>
    <w:rsid w:val="00802259"/>
    <w:rsid w:val="0080255C"/>
    <w:rsid w:val="00802D68"/>
    <w:rsid w:val="00806088"/>
    <w:rsid w:val="00806231"/>
    <w:rsid w:val="00806D07"/>
    <w:rsid w:val="008100E2"/>
    <w:rsid w:val="0081019B"/>
    <w:rsid w:val="00810A42"/>
    <w:rsid w:val="0081100A"/>
    <w:rsid w:val="0081187C"/>
    <w:rsid w:val="00811E24"/>
    <w:rsid w:val="00812386"/>
    <w:rsid w:val="00812A9C"/>
    <w:rsid w:val="00812E2B"/>
    <w:rsid w:val="00813A70"/>
    <w:rsid w:val="00813FE6"/>
    <w:rsid w:val="00815C6E"/>
    <w:rsid w:val="00815DD0"/>
    <w:rsid w:val="00815F10"/>
    <w:rsid w:val="0081645F"/>
    <w:rsid w:val="00816D15"/>
    <w:rsid w:val="008173D2"/>
    <w:rsid w:val="00817755"/>
    <w:rsid w:val="008178C2"/>
    <w:rsid w:val="008178CF"/>
    <w:rsid w:val="00817C98"/>
    <w:rsid w:val="00820C9F"/>
    <w:rsid w:val="00821AAE"/>
    <w:rsid w:val="00821FF6"/>
    <w:rsid w:val="00823AAF"/>
    <w:rsid w:val="00824081"/>
    <w:rsid w:val="0082409A"/>
    <w:rsid w:val="008252D7"/>
    <w:rsid w:val="00825B92"/>
    <w:rsid w:val="00825C0F"/>
    <w:rsid w:val="00826376"/>
    <w:rsid w:val="00826ED1"/>
    <w:rsid w:val="00827181"/>
    <w:rsid w:val="0082733C"/>
    <w:rsid w:val="00827746"/>
    <w:rsid w:val="00830191"/>
    <w:rsid w:val="0083102D"/>
    <w:rsid w:val="00831296"/>
    <w:rsid w:val="0083143E"/>
    <w:rsid w:val="0083159D"/>
    <w:rsid w:val="008318FF"/>
    <w:rsid w:val="00832187"/>
    <w:rsid w:val="00832493"/>
    <w:rsid w:val="008329BD"/>
    <w:rsid w:val="0083330B"/>
    <w:rsid w:val="008334C3"/>
    <w:rsid w:val="008336D8"/>
    <w:rsid w:val="008339C4"/>
    <w:rsid w:val="008339DC"/>
    <w:rsid w:val="008341B5"/>
    <w:rsid w:val="00834F0A"/>
    <w:rsid w:val="00834FAA"/>
    <w:rsid w:val="00835181"/>
    <w:rsid w:val="00835606"/>
    <w:rsid w:val="00835991"/>
    <w:rsid w:val="00836086"/>
    <w:rsid w:val="00837280"/>
    <w:rsid w:val="00837763"/>
    <w:rsid w:val="00840699"/>
    <w:rsid w:val="00841924"/>
    <w:rsid w:val="00841D9F"/>
    <w:rsid w:val="00842078"/>
    <w:rsid w:val="00842604"/>
    <w:rsid w:val="008426B1"/>
    <w:rsid w:val="00843ECF"/>
    <w:rsid w:val="00844AFC"/>
    <w:rsid w:val="00845AB1"/>
    <w:rsid w:val="00846673"/>
    <w:rsid w:val="008508A9"/>
    <w:rsid w:val="0085188D"/>
    <w:rsid w:val="008525F9"/>
    <w:rsid w:val="0085281A"/>
    <w:rsid w:val="00852939"/>
    <w:rsid w:val="00853421"/>
    <w:rsid w:val="00853A25"/>
    <w:rsid w:val="00853F33"/>
    <w:rsid w:val="008544C2"/>
    <w:rsid w:val="00854A82"/>
    <w:rsid w:val="00854BD5"/>
    <w:rsid w:val="008550EA"/>
    <w:rsid w:val="008559FE"/>
    <w:rsid w:val="00857339"/>
    <w:rsid w:val="00857A2F"/>
    <w:rsid w:val="00860706"/>
    <w:rsid w:val="008612B0"/>
    <w:rsid w:val="00862A7A"/>
    <w:rsid w:val="00862FBD"/>
    <w:rsid w:val="00863104"/>
    <w:rsid w:val="008636CD"/>
    <w:rsid w:val="00863702"/>
    <w:rsid w:val="00863D9E"/>
    <w:rsid w:val="00863FDC"/>
    <w:rsid w:val="0086405D"/>
    <w:rsid w:val="008642AF"/>
    <w:rsid w:val="00865286"/>
    <w:rsid w:val="00865729"/>
    <w:rsid w:val="00865ED4"/>
    <w:rsid w:val="008669A7"/>
    <w:rsid w:val="00867464"/>
    <w:rsid w:val="00867D15"/>
    <w:rsid w:val="00867E29"/>
    <w:rsid w:val="00870F2B"/>
    <w:rsid w:val="00871594"/>
    <w:rsid w:val="00873B2E"/>
    <w:rsid w:val="008746E6"/>
    <w:rsid w:val="0087515D"/>
    <w:rsid w:val="0087594C"/>
    <w:rsid w:val="00876086"/>
    <w:rsid w:val="008765FA"/>
    <w:rsid w:val="008768D6"/>
    <w:rsid w:val="008775D1"/>
    <w:rsid w:val="008777A6"/>
    <w:rsid w:val="008777BB"/>
    <w:rsid w:val="00877BA6"/>
    <w:rsid w:val="00877D68"/>
    <w:rsid w:val="00877E5D"/>
    <w:rsid w:val="00880150"/>
    <w:rsid w:val="00880ABA"/>
    <w:rsid w:val="00880BD4"/>
    <w:rsid w:val="00882D1B"/>
    <w:rsid w:val="008834D6"/>
    <w:rsid w:val="00883A67"/>
    <w:rsid w:val="00883CB5"/>
    <w:rsid w:val="00883D45"/>
    <w:rsid w:val="0088446A"/>
    <w:rsid w:val="00884D69"/>
    <w:rsid w:val="00884E13"/>
    <w:rsid w:val="0088503D"/>
    <w:rsid w:val="008850F7"/>
    <w:rsid w:val="008856E1"/>
    <w:rsid w:val="00885891"/>
    <w:rsid w:val="00885EC6"/>
    <w:rsid w:val="008869D2"/>
    <w:rsid w:val="00886A8F"/>
    <w:rsid w:val="0088733A"/>
    <w:rsid w:val="00890114"/>
    <w:rsid w:val="0089107B"/>
    <w:rsid w:val="00891BE0"/>
    <w:rsid w:val="00893302"/>
    <w:rsid w:val="00893648"/>
    <w:rsid w:val="0089368A"/>
    <w:rsid w:val="00893F3C"/>
    <w:rsid w:val="008945A1"/>
    <w:rsid w:val="00894A63"/>
    <w:rsid w:val="00895A54"/>
    <w:rsid w:val="00896776"/>
    <w:rsid w:val="0089690C"/>
    <w:rsid w:val="00896916"/>
    <w:rsid w:val="00896BDE"/>
    <w:rsid w:val="0089763E"/>
    <w:rsid w:val="008A03DE"/>
    <w:rsid w:val="008A0861"/>
    <w:rsid w:val="008A0BB2"/>
    <w:rsid w:val="008A1662"/>
    <w:rsid w:val="008A1AB3"/>
    <w:rsid w:val="008A1D5C"/>
    <w:rsid w:val="008A3047"/>
    <w:rsid w:val="008A3292"/>
    <w:rsid w:val="008A349F"/>
    <w:rsid w:val="008A3A85"/>
    <w:rsid w:val="008A43E9"/>
    <w:rsid w:val="008A4CB1"/>
    <w:rsid w:val="008A6103"/>
    <w:rsid w:val="008A615E"/>
    <w:rsid w:val="008A632B"/>
    <w:rsid w:val="008A69A7"/>
    <w:rsid w:val="008A6BFE"/>
    <w:rsid w:val="008A73DA"/>
    <w:rsid w:val="008A76BD"/>
    <w:rsid w:val="008B00C2"/>
    <w:rsid w:val="008B051B"/>
    <w:rsid w:val="008B05E8"/>
    <w:rsid w:val="008B07EF"/>
    <w:rsid w:val="008B0862"/>
    <w:rsid w:val="008B16DE"/>
    <w:rsid w:val="008B190E"/>
    <w:rsid w:val="008B1A8A"/>
    <w:rsid w:val="008B1FC9"/>
    <w:rsid w:val="008B24AF"/>
    <w:rsid w:val="008B2D93"/>
    <w:rsid w:val="008B531F"/>
    <w:rsid w:val="008B54A3"/>
    <w:rsid w:val="008B634C"/>
    <w:rsid w:val="008B6B67"/>
    <w:rsid w:val="008B7306"/>
    <w:rsid w:val="008B775F"/>
    <w:rsid w:val="008B7C02"/>
    <w:rsid w:val="008B7D13"/>
    <w:rsid w:val="008B7F9E"/>
    <w:rsid w:val="008C034E"/>
    <w:rsid w:val="008C0595"/>
    <w:rsid w:val="008C083D"/>
    <w:rsid w:val="008C0E88"/>
    <w:rsid w:val="008C1399"/>
    <w:rsid w:val="008C173D"/>
    <w:rsid w:val="008C1AA8"/>
    <w:rsid w:val="008C22A8"/>
    <w:rsid w:val="008C2BDA"/>
    <w:rsid w:val="008C46D8"/>
    <w:rsid w:val="008C478D"/>
    <w:rsid w:val="008C5B43"/>
    <w:rsid w:val="008C5DC6"/>
    <w:rsid w:val="008C63FD"/>
    <w:rsid w:val="008C6B40"/>
    <w:rsid w:val="008C6CB8"/>
    <w:rsid w:val="008C6D92"/>
    <w:rsid w:val="008C777A"/>
    <w:rsid w:val="008C7815"/>
    <w:rsid w:val="008C7A07"/>
    <w:rsid w:val="008C7E90"/>
    <w:rsid w:val="008C7EB3"/>
    <w:rsid w:val="008D0171"/>
    <w:rsid w:val="008D0462"/>
    <w:rsid w:val="008D068A"/>
    <w:rsid w:val="008D0AC2"/>
    <w:rsid w:val="008D13EA"/>
    <w:rsid w:val="008D1DD9"/>
    <w:rsid w:val="008D2671"/>
    <w:rsid w:val="008D2A16"/>
    <w:rsid w:val="008D2ECF"/>
    <w:rsid w:val="008D347D"/>
    <w:rsid w:val="008D3F3D"/>
    <w:rsid w:val="008D3F95"/>
    <w:rsid w:val="008D4376"/>
    <w:rsid w:val="008D4D5E"/>
    <w:rsid w:val="008D5058"/>
    <w:rsid w:val="008D6244"/>
    <w:rsid w:val="008E0367"/>
    <w:rsid w:val="008E1FBE"/>
    <w:rsid w:val="008E308D"/>
    <w:rsid w:val="008E31FF"/>
    <w:rsid w:val="008E46A3"/>
    <w:rsid w:val="008E4E44"/>
    <w:rsid w:val="008E4FC2"/>
    <w:rsid w:val="008E5DE6"/>
    <w:rsid w:val="008E6113"/>
    <w:rsid w:val="008E6AB3"/>
    <w:rsid w:val="008E6AD3"/>
    <w:rsid w:val="008E6EBD"/>
    <w:rsid w:val="008E71A6"/>
    <w:rsid w:val="008E77B6"/>
    <w:rsid w:val="008E7C55"/>
    <w:rsid w:val="008F032E"/>
    <w:rsid w:val="008F0F14"/>
    <w:rsid w:val="008F2097"/>
    <w:rsid w:val="008F2342"/>
    <w:rsid w:val="008F2F44"/>
    <w:rsid w:val="008F4FCE"/>
    <w:rsid w:val="008F5301"/>
    <w:rsid w:val="008F6967"/>
    <w:rsid w:val="008F6A0C"/>
    <w:rsid w:val="008F6F38"/>
    <w:rsid w:val="008F7721"/>
    <w:rsid w:val="008F77B5"/>
    <w:rsid w:val="008F7D28"/>
    <w:rsid w:val="009003A8"/>
    <w:rsid w:val="009010A7"/>
    <w:rsid w:val="009010E3"/>
    <w:rsid w:val="00901703"/>
    <w:rsid w:val="00901AF3"/>
    <w:rsid w:val="009029C8"/>
    <w:rsid w:val="00902CBE"/>
    <w:rsid w:val="00902D74"/>
    <w:rsid w:val="00902EFF"/>
    <w:rsid w:val="009030F3"/>
    <w:rsid w:val="00903126"/>
    <w:rsid w:val="00903E06"/>
    <w:rsid w:val="00903F54"/>
    <w:rsid w:val="009045D1"/>
    <w:rsid w:val="00904B9D"/>
    <w:rsid w:val="009050C0"/>
    <w:rsid w:val="00905A11"/>
    <w:rsid w:val="00905FE8"/>
    <w:rsid w:val="009060A1"/>
    <w:rsid w:val="00906225"/>
    <w:rsid w:val="009066E1"/>
    <w:rsid w:val="00906F67"/>
    <w:rsid w:val="00907A41"/>
    <w:rsid w:val="009102BD"/>
    <w:rsid w:val="00910F93"/>
    <w:rsid w:val="0091174F"/>
    <w:rsid w:val="00911E87"/>
    <w:rsid w:val="0091255A"/>
    <w:rsid w:val="0091339E"/>
    <w:rsid w:val="00913547"/>
    <w:rsid w:val="00914426"/>
    <w:rsid w:val="00914962"/>
    <w:rsid w:val="0091675F"/>
    <w:rsid w:val="00917709"/>
    <w:rsid w:val="00917918"/>
    <w:rsid w:val="00920874"/>
    <w:rsid w:val="009209D9"/>
    <w:rsid w:val="00921F14"/>
    <w:rsid w:val="00923750"/>
    <w:rsid w:val="00923C17"/>
    <w:rsid w:val="009243A5"/>
    <w:rsid w:val="0092500F"/>
    <w:rsid w:val="009250D2"/>
    <w:rsid w:val="0092519D"/>
    <w:rsid w:val="0092540B"/>
    <w:rsid w:val="009256C5"/>
    <w:rsid w:val="00926283"/>
    <w:rsid w:val="009262D6"/>
    <w:rsid w:val="009306BE"/>
    <w:rsid w:val="00930CFB"/>
    <w:rsid w:val="00931208"/>
    <w:rsid w:val="00931324"/>
    <w:rsid w:val="00931C13"/>
    <w:rsid w:val="00934963"/>
    <w:rsid w:val="00934D36"/>
    <w:rsid w:val="009360FE"/>
    <w:rsid w:val="00937B11"/>
    <w:rsid w:val="009408E8"/>
    <w:rsid w:val="00940F1F"/>
    <w:rsid w:val="00941250"/>
    <w:rsid w:val="00941339"/>
    <w:rsid w:val="009416D5"/>
    <w:rsid w:val="0094396E"/>
    <w:rsid w:val="0094427A"/>
    <w:rsid w:val="00944380"/>
    <w:rsid w:val="009459C5"/>
    <w:rsid w:val="00945E5E"/>
    <w:rsid w:val="0094626C"/>
    <w:rsid w:val="0094681E"/>
    <w:rsid w:val="009475DB"/>
    <w:rsid w:val="0095013A"/>
    <w:rsid w:val="00953070"/>
    <w:rsid w:val="00953AEF"/>
    <w:rsid w:val="00953F0A"/>
    <w:rsid w:val="009546B0"/>
    <w:rsid w:val="009551E2"/>
    <w:rsid w:val="00955783"/>
    <w:rsid w:val="009558A6"/>
    <w:rsid w:val="00955E5F"/>
    <w:rsid w:val="009560B0"/>
    <w:rsid w:val="00956722"/>
    <w:rsid w:val="00956F23"/>
    <w:rsid w:val="009576AC"/>
    <w:rsid w:val="00957871"/>
    <w:rsid w:val="00960077"/>
    <w:rsid w:val="00960719"/>
    <w:rsid w:val="00960769"/>
    <w:rsid w:val="00962D2E"/>
    <w:rsid w:val="009632E3"/>
    <w:rsid w:val="00963724"/>
    <w:rsid w:val="00963F41"/>
    <w:rsid w:val="00964498"/>
    <w:rsid w:val="00964AF4"/>
    <w:rsid w:val="0096504D"/>
    <w:rsid w:val="00965795"/>
    <w:rsid w:val="00965830"/>
    <w:rsid w:val="00965A2D"/>
    <w:rsid w:val="009663EB"/>
    <w:rsid w:val="0096650F"/>
    <w:rsid w:val="00967801"/>
    <w:rsid w:val="00967AD2"/>
    <w:rsid w:val="009700DB"/>
    <w:rsid w:val="009714B0"/>
    <w:rsid w:val="00971DC6"/>
    <w:rsid w:val="00972263"/>
    <w:rsid w:val="00972502"/>
    <w:rsid w:val="00972B1B"/>
    <w:rsid w:val="00972D8D"/>
    <w:rsid w:val="00973AAE"/>
    <w:rsid w:val="0097476C"/>
    <w:rsid w:val="00974923"/>
    <w:rsid w:val="00974A3C"/>
    <w:rsid w:val="00974D48"/>
    <w:rsid w:val="00974D5F"/>
    <w:rsid w:val="00975017"/>
    <w:rsid w:val="009757E6"/>
    <w:rsid w:val="009759DF"/>
    <w:rsid w:val="00977A58"/>
    <w:rsid w:val="00977EAC"/>
    <w:rsid w:val="00980373"/>
    <w:rsid w:val="00980621"/>
    <w:rsid w:val="0098095B"/>
    <w:rsid w:val="0098121F"/>
    <w:rsid w:val="00982072"/>
    <w:rsid w:val="009833FA"/>
    <w:rsid w:val="00983DBB"/>
    <w:rsid w:val="00983ECF"/>
    <w:rsid w:val="00985767"/>
    <w:rsid w:val="00985A99"/>
    <w:rsid w:val="00986375"/>
    <w:rsid w:val="00986745"/>
    <w:rsid w:val="009867BC"/>
    <w:rsid w:val="00987109"/>
    <w:rsid w:val="00987309"/>
    <w:rsid w:val="0099012D"/>
    <w:rsid w:val="00990363"/>
    <w:rsid w:val="00993BE6"/>
    <w:rsid w:val="00993D9C"/>
    <w:rsid w:val="00993F56"/>
    <w:rsid w:val="00994C29"/>
    <w:rsid w:val="009954FF"/>
    <w:rsid w:val="00995E2F"/>
    <w:rsid w:val="00995FEC"/>
    <w:rsid w:val="009961BC"/>
    <w:rsid w:val="00996355"/>
    <w:rsid w:val="00996D79"/>
    <w:rsid w:val="0099788F"/>
    <w:rsid w:val="00997ADD"/>
    <w:rsid w:val="009A1374"/>
    <w:rsid w:val="009A2014"/>
    <w:rsid w:val="009A2030"/>
    <w:rsid w:val="009A3A87"/>
    <w:rsid w:val="009A4E12"/>
    <w:rsid w:val="009A5C68"/>
    <w:rsid w:val="009A5DE2"/>
    <w:rsid w:val="009A6EF7"/>
    <w:rsid w:val="009B04D0"/>
    <w:rsid w:val="009B052C"/>
    <w:rsid w:val="009B093D"/>
    <w:rsid w:val="009B0975"/>
    <w:rsid w:val="009B0B1C"/>
    <w:rsid w:val="009B0EF2"/>
    <w:rsid w:val="009B23A3"/>
    <w:rsid w:val="009B24D3"/>
    <w:rsid w:val="009B2C0E"/>
    <w:rsid w:val="009B4925"/>
    <w:rsid w:val="009B4B41"/>
    <w:rsid w:val="009B4B4B"/>
    <w:rsid w:val="009B4CE3"/>
    <w:rsid w:val="009B6FD3"/>
    <w:rsid w:val="009B70BD"/>
    <w:rsid w:val="009B7B36"/>
    <w:rsid w:val="009C07A5"/>
    <w:rsid w:val="009C24A3"/>
    <w:rsid w:val="009C32EC"/>
    <w:rsid w:val="009C3705"/>
    <w:rsid w:val="009C41EA"/>
    <w:rsid w:val="009C63FE"/>
    <w:rsid w:val="009C7388"/>
    <w:rsid w:val="009C74C2"/>
    <w:rsid w:val="009C76F6"/>
    <w:rsid w:val="009D0CFF"/>
    <w:rsid w:val="009D1551"/>
    <w:rsid w:val="009D1796"/>
    <w:rsid w:val="009D2859"/>
    <w:rsid w:val="009D2958"/>
    <w:rsid w:val="009D36EC"/>
    <w:rsid w:val="009D3CD0"/>
    <w:rsid w:val="009D4173"/>
    <w:rsid w:val="009D51CA"/>
    <w:rsid w:val="009D57D7"/>
    <w:rsid w:val="009D6095"/>
    <w:rsid w:val="009D6306"/>
    <w:rsid w:val="009D6A6F"/>
    <w:rsid w:val="009E048A"/>
    <w:rsid w:val="009E0CB1"/>
    <w:rsid w:val="009E1124"/>
    <w:rsid w:val="009E198E"/>
    <w:rsid w:val="009E1FBA"/>
    <w:rsid w:val="009E22F0"/>
    <w:rsid w:val="009E2C54"/>
    <w:rsid w:val="009E3710"/>
    <w:rsid w:val="009E4826"/>
    <w:rsid w:val="009E6698"/>
    <w:rsid w:val="009E6F65"/>
    <w:rsid w:val="009E7340"/>
    <w:rsid w:val="009E7B1F"/>
    <w:rsid w:val="009F2A39"/>
    <w:rsid w:val="009F346F"/>
    <w:rsid w:val="009F371A"/>
    <w:rsid w:val="009F3F25"/>
    <w:rsid w:val="009F3FC3"/>
    <w:rsid w:val="009F41C4"/>
    <w:rsid w:val="009F458F"/>
    <w:rsid w:val="009F4DA8"/>
    <w:rsid w:val="009F5846"/>
    <w:rsid w:val="009F63D2"/>
    <w:rsid w:val="009F6537"/>
    <w:rsid w:val="009F777A"/>
    <w:rsid w:val="009F7B52"/>
    <w:rsid w:val="009F7D77"/>
    <w:rsid w:val="00A0019E"/>
    <w:rsid w:val="00A00476"/>
    <w:rsid w:val="00A004D2"/>
    <w:rsid w:val="00A015EA"/>
    <w:rsid w:val="00A02257"/>
    <w:rsid w:val="00A03996"/>
    <w:rsid w:val="00A05B91"/>
    <w:rsid w:val="00A10D66"/>
    <w:rsid w:val="00A12BA8"/>
    <w:rsid w:val="00A12F7C"/>
    <w:rsid w:val="00A133F2"/>
    <w:rsid w:val="00A13993"/>
    <w:rsid w:val="00A13BA6"/>
    <w:rsid w:val="00A1420C"/>
    <w:rsid w:val="00A1456C"/>
    <w:rsid w:val="00A14821"/>
    <w:rsid w:val="00A1698D"/>
    <w:rsid w:val="00A17754"/>
    <w:rsid w:val="00A2055B"/>
    <w:rsid w:val="00A20995"/>
    <w:rsid w:val="00A20E22"/>
    <w:rsid w:val="00A2253C"/>
    <w:rsid w:val="00A23545"/>
    <w:rsid w:val="00A23A55"/>
    <w:rsid w:val="00A23DE5"/>
    <w:rsid w:val="00A23E43"/>
    <w:rsid w:val="00A23EF0"/>
    <w:rsid w:val="00A24136"/>
    <w:rsid w:val="00A24F8C"/>
    <w:rsid w:val="00A25F1A"/>
    <w:rsid w:val="00A262BF"/>
    <w:rsid w:val="00A26802"/>
    <w:rsid w:val="00A271AD"/>
    <w:rsid w:val="00A276D5"/>
    <w:rsid w:val="00A30336"/>
    <w:rsid w:val="00A3041C"/>
    <w:rsid w:val="00A30BB5"/>
    <w:rsid w:val="00A3128F"/>
    <w:rsid w:val="00A326D0"/>
    <w:rsid w:val="00A35287"/>
    <w:rsid w:val="00A378F8"/>
    <w:rsid w:val="00A40965"/>
    <w:rsid w:val="00A40B19"/>
    <w:rsid w:val="00A41D07"/>
    <w:rsid w:val="00A42487"/>
    <w:rsid w:val="00A424F8"/>
    <w:rsid w:val="00A42883"/>
    <w:rsid w:val="00A437B7"/>
    <w:rsid w:val="00A43EA2"/>
    <w:rsid w:val="00A457B8"/>
    <w:rsid w:val="00A46A7F"/>
    <w:rsid w:val="00A46C70"/>
    <w:rsid w:val="00A46D48"/>
    <w:rsid w:val="00A46DE0"/>
    <w:rsid w:val="00A4778A"/>
    <w:rsid w:val="00A47C74"/>
    <w:rsid w:val="00A47C94"/>
    <w:rsid w:val="00A504C0"/>
    <w:rsid w:val="00A5067F"/>
    <w:rsid w:val="00A508A2"/>
    <w:rsid w:val="00A5171F"/>
    <w:rsid w:val="00A517C1"/>
    <w:rsid w:val="00A518E0"/>
    <w:rsid w:val="00A537CA"/>
    <w:rsid w:val="00A5408A"/>
    <w:rsid w:val="00A55301"/>
    <w:rsid w:val="00A56DD4"/>
    <w:rsid w:val="00A572FB"/>
    <w:rsid w:val="00A57B3C"/>
    <w:rsid w:val="00A57F1B"/>
    <w:rsid w:val="00A600D2"/>
    <w:rsid w:val="00A6128E"/>
    <w:rsid w:val="00A62CE1"/>
    <w:rsid w:val="00A631FA"/>
    <w:rsid w:val="00A63EE7"/>
    <w:rsid w:val="00A64203"/>
    <w:rsid w:val="00A64348"/>
    <w:rsid w:val="00A644E1"/>
    <w:rsid w:val="00A65E41"/>
    <w:rsid w:val="00A700C4"/>
    <w:rsid w:val="00A711B0"/>
    <w:rsid w:val="00A71279"/>
    <w:rsid w:val="00A718BC"/>
    <w:rsid w:val="00A721FB"/>
    <w:rsid w:val="00A727BA"/>
    <w:rsid w:val="00A72D4B"/>
    <w:rsid w:val="00A730A5"/>
    <w:rsid w:val="00A732AE"/>
    <w:rsid w:val="00A74192"/>
    <w:rsid w:val="00A75837"/>
    <w:rsid w:val="00A75E40"/>
    <w:rsid w:val="00A76B12"/>
    <w:rsid w:val="00A76EF2"/>
    <w:rsid w:val="00A7727E"/>
    <w:rsid w:val="00A77654"/>
    <w:rsid w:val="00A77E9F"/>
    <w:rsid w:val="00A77EB2"/>
    <w:rsid w:val="00A80458"/>
    <w:rsid w:val="00A80E64"/>
    <w:rsid w:val="00A81094"/>
    <w:rsid w:val="00A810BA"/>
    <w:rsid w:val="00A82B66"/>
    <w:rsid w:val="00A83308"/>
    <w:rsid w:val="00A83B58"/>
    <w:rsid w:val="00A84179"/>
    <w:rsid w:val="00A84FAF"/>
    <w:rsid w:val="00A851B6"/>
    <w:rsid w:val="00A85729"/>
    <w:rsid w:val="00A8574B"/>
    <w:rsid w:val="00A857C0"/>
    <w:rsid w:val="00A90343"/>
    <w:rsid w:val="00A91336"/>
    <w:rsid w:val="00A9221C"/>
    <w:rsid w:val="00A92277"/>
    <w:rsid w:val="00A92916"/>
    <w:rsid w:val="00A93106"/>
    <w:rsid w:val="00A94628"/>
    <w:rsid w:val="00A94954"/>
    <w:rsid w:val="00A9497A"/>
    <w:rsid w:val="00A950B5"/>
    <w:rsid w:val="00A96463"/>
    <w:rsid w:val="00A97E3F"/>
    <w:rsid w:val="00AA0243"/>
    <w:rsid w:val="00AA09D3"/>
    <w:rsid w:val="00AA220F"/>
    <w:rsid w:val="00AA23FB"/>
    <w:rsid w:val="00AA29BB"/>
    <w:rsid w:val="00AA34FE"/>
    <w:rsid w:val="00AA42AB"/>
    <w:rsid w:val="00AA5283"/>
    <w:rsid w:val="00AA5290"/>
    <w:rsid w:val="00AA559A"/>
    <w:rsid w:val="00AA57A4"/>
    <w:rsid w:val="00AA5F10"/>
    <w:rsid w:val="00AB043E"/>
    <w:rsid w:val="00AB0BB9"/>
    <w:rsid w:val="00AB104D"/>
    <w:rsid w:val="00AB1441"/>
    <w:rsid w:val="00AB24E7"/>
    <w:rsid w:val="00AB2797"/>
    <w:rsid w:val="00AB2AF1"/>
    <w:rsid w:val="00AB2EE8"/>
    <w:rsid w:val="00AB2FF7"/>
    <w:rsid w:val="00AB38B7"/>
    <w:rsid w:val="00AB440B"/>
    <w:rsid w:val="00AB47E3"/>
    <w:rsid w:val="00AB6383"/>
    <w:rsid w:val="00AB74C5"/>
    <w:rsid w:val="00AB7BEE"/>
    <w:rsid w:val="00AB7DF2"/>
    <w:rsid w:val="00AC1E3F"/>
    <w:rsid w:val="00AC219A"/>
    <w:rsid w:val="00AC3D02"/>
    <w:rsid w:val="00AC4F18"/>
    <w:rsid w:val="00AC556E"/>
    <w:rsid w:val="00AC7965"/>
    <w:rsid w:val="00AD0B46"/>
    <w:rsid w:val="00AD1094"/>
    <w:rsid w:val="00AD2565"/>
    <w:rsid w:val="00AD2C0A"/>
    <w:rsid w:val="00AD306C"/>
    <w:rsid w:val="00AD3424"/>
    <w:rsid w:val="00AD3E3F"/>
    <w:rsid w:val="00AD4E15"/>
    <w:rsid w:val="00AD4FEF"/>
    <w:rsid w:val="00AD50D1"/>
    <w:rsid w:val="00AD54F4"/>
    <w:rsid w:val="00AD59BB"/>
    <w:rsid w:val="00AD5D68"/>
    <w:rsid w:val="00AD6C73"/>
    <w:rsid w:val="00AD72A6"/>
    <w:rsid w:val="00AD7D49"/>
    <w:rsid w:val="00AE06D0"/>
    <w:rsid w:val="00AE1207"/>
    <w:rsid w:val="00AE1B8A"/>
    <w:rsid w:val="00AE20E2"/>
    <w:rsid w:val="00AE39DC"/>
    <w:rsid w:val="00AE3CDA"/>
    <w:rsid w:val="00AE43C2"/>
    <w:rsid w:val="00AE481D"/>
    <w:rsid w:val="00AE6734"/>
    <w:rsid w:val="00AE76E4"/>
    <w:rsid w:val="00AE7968"/>
    <w:rsid w:val="00AE7B2B"/>
    <w:rsid w:val="00AE7C46"/>
    <w:rsid w:val="00AE7DFF"/>
    <w:rsid w:val="00AF082A"/>
    <w:rsid w:val="00AF0B8E"/>
    <w:rsid w:val="00AF128B"/>
    <w:rsid w:val="00AF1AEA"/>
    <w:rsid w:val="00AF2536"/>
    <w:rsid w:val="00AF2852"/>
    <w:rsid w:val="00AF2B31"/>
    <w:rsid w:val="00AF3225"/>
    <w:rsid w:val="00AF4590"/>
    <w:rsid w:val="00AF4983"/>
    <w:rsid w:val="00AF4FD6"/>
    <w:rsid w:val="00AF518B"/>
    <w:rsid w:val="00AF5275"/>
    <w:rsid w:val="00AF581A"/>
    <w:rsid w:val="00AF5D62"/>
    <w:rsid w:val="00AF6367"/>
    <w:rsid w:val="00AF6684"/>
    <w:rsid w:val="00AF6753"/>
    <w:rsid w:val="00AF6A79"/>
    <w:rsid w:val="00AF724E"/>
    <w:rsid w:val="00AF73A9"/>
    <w:rsid w:val="00B00724"/>
    <w:rsid w:val="00B01436"/>
    <w:rsid w:val="00B019C6"/>
    <w:rsid w:val="00B01C2C"/>
    <w:rsid w:val="00B0231C"/>
    <w:rsid w:val="00B05E75"/>
    <w:rsid w:val="00B07372"/>
    <w:rsid w:val="00B07C2A"/>
    <w:rsid w:val="00B11BEE"/>
    <w:rsid w:val="00B128E5"/>
    <w:rsid w:val="00B12CC1"/>
    <w:rsid w:val="00B13681"/>
    <w:rsid w:val="00B13D32"/>
    <w:rsid w:val="00B153F4"/>
    <w:rsid w:val="00B15DCD"/>
    <w:rsid w:val="00B16F0F"/>
    <w:rsid w:val="00B17E71"/>
    <w:rsid w:val="00B17FDE"/>
    <w:rsid w:val="00B208FC"/>
    <w:rsid w:val="00B209FC"/>
    <w:rsid w:val="00B20C65"/>
    <w:rsid w:val="00B22E17"/>
    <w:rsid w:val="00B243A3"/>
    <w:rsid w:val="00B25567"/>
    <w:rsid w:val="00B266C5"/>
    <w:rsid w:val="00B27293"/>
    <w:rsid w:val="00B278E8"/>
    <w:rsid w:val="00B301BB"/>
    <w:rsid w:val="00B310C4"/>
    <w:rsid w:val="00B321E3"/>
    <w:rsid w:val="00B3229E"/>
    <w:rsid w:val="00B326A9"/>
    <w:rsid w:val="00B32DDB"/>
    <w:rsid w:val="00B337AA"/>
    <w:rsid w:val="00B33D0C"/>
    <w:rsid w:val="00B3447A"/>
    <w:rsid w:val="00B3448C"/>
    <w:rsid w:val="00B34931"/>
    <w:rsid w:val="00B34CCE"/>
    <w:rsid w:val="00B35174"/>
    <w:rsid w:val="00B35BEA"/>
    <w:rsid w:val="00B35F7F"/>
    <w:rsid w:val="00B36817"/>
    <w:rsid w:val="00B37915"/>
    <w:rsid w:val="00B3793D"/>
    <w:rsid w:val="00B41BE6"/>
    <w:rsid w:val="00B42831"/>
    <w:rsid w:val="00B428A4"/>
    <w:rsid w:val="00B42D8A"/>
    <w:rsid w:val="00B4516E"/>
    <w:rsid w:val="00B457E7"/>
    <w:rsid w:val="00B45969"/>
    <w:rsid w:val="00B45D1B"/>
    <w:rsid w:val="00B46D25"/>
    <w:rsid w:val="00B47430"/>
    <w:rsid w:val="00B47AC6"/>
    <w:rsid w:val="00B506BE"/>
    <w:rsid w:val="00B52D2D"/>
    <w:rsid w:val="00B534EF"/>
    <w:rsid w:val="00B53EA6"/>
    <w:rsid w:val="00B54645"/>
    <w:rsid w:val="00B55BA8"/>
    <w:rsid w:val="00B55F15"/>
    <w:rsid w:val="00B561A6"/>
    <w:rsid w:val="00B56FCD"/>
    <w:rsid w:val="00B57CC4"/>
    <w:rsid w:val="00B60062"/>
    <w:rsid w:val="00B62960"/>
    <w:rsid w:val="00B62A47"/>
    <w:rsid w:val="00B63A11"/>
    <w:rsid w:val="00B63FD0"/>
    <w:rsid w:val="00B651EC"/>
    <w:rsid w:val="00B6553E"/>
    <w:rsid w:val="00B65C84"/>
    <w:rsid w:val="00B6608F"/>
    <w:rsid w:val="00B73180"/>
    <w:rsid w:val="00B74317"/>
    <w:rsid w:val="00B74B99"/>
    <w:rsid w:val="00B75700"/>
    <w:rsid w:val="00B75AC6"/>
    <w:rsid w:val="00B760C1"/>
    <w:rsid w:val="00B767DF"/>
    <w:rsid w:val="00B76D1E"/>
    <w:rsid w:val="00B77BC8"/>
    <w:rsid w:val="00B800EB"/>
    <w:rsid w:val="00B80BB5"/>
    <w:rsid w:val="00B822D2"/>
    <w:rsid w:val="00B823F1"/>
    <w:rsid w:val="00B83D46"/>
    <w:rsid w:val="00B84820"/>
    <w:rsid w:val="00B848B8"/>
    <w:rsid w:val="00B84A41"/>
    <w:rsid w:val="00B84D57"/>
    <w:rsid w:val="00B84E5C"/>
    <w:rsid w:val="00B8504B"/>
    <w:rsid w:val="00B853C2"/>
    <w:rsid w:val="00B854A8"/>
    <w:rsid w:val="00B85689"/>
    <w:rsid w:val="00B86748"/>
    <w:rsid w:val="00B907EA"/>
    <w:rsid w:val="00B9167B"/>
    <w:rsid w:val="00B9183E"/>
    <w:rsid w:val="00B91EC9"/>
    <w:rsid w:val="00B924CA"/>
    <w:rsid w:val="00B929A5"/>
    <w:rsid w:val="00B92A4B"/>
    <w:rsid w:val="00B93384"/>
    <w:rsid w:val="00B93616"/>
    <w:rsid w:val="00B9423B"/>
    <w:rsid w:val="00B94417"/>
    <w:rsid w:val="00B95566"/>
    <w:rsid w:val="00B95940"/>
    <w:rsid w:val="00B95EF8"/>
    <w:rsid w:val="00B95F50"/>
    <w:rsid w:val="00B96BD9"/>
    <w:rsid w:val="00B979A0"/>
    <w:rsid w:val="00BA0DED"/>
    <w:rsid w:val="00BA0F99"/>
    <w:rsid w:val="00BB0274"/>
    <w:rsid w:val="00BB0B13"/>
    <w:rsid w:val="00BB1CFD"/>
    <w:rsid w:val="00BB2C53"/>
    <w:rsid w:val="00BB32DA"/>
    <w:rsid w:val="00BB3A54"/>
    <w:rsid w:val="00BB4D26"/>
    <w:rsid w:val="00BB4E21"/>
    <w:rsid w:val="00BB65DD"/>
    <w:rsid w:val="00BB7707"/>
    <w:rsid w:val="00BB7746"/>
    <w:rsid w:val="00BB7AF1"/>
    <w:rsid w:val="00BC00E5"/>
    <w:rsid w:val="00BC1484"/>
    <w:rsid w:val="00BC1D93"/>
    <w:rsid w:val="00BC22EB"/>
    <w:rsid w:val="00BC2E09"/>
    <w:rsid w:val="00BC4B2D"/>
    <w:rsid w:val="00BC4FB2"/>
    <w:rsid w:val="00BC682B"/>
    <w:rsid w:val="00BC68BA"/>
    <w:rsid w:val="00BC6B04"/>
    <w:rsid w:val="00BC6D27"/>
    <w:rsid w:val="00BD059A"/>
    <w:rsid w:val="00BD0BAF"/>
    <w:rsid w:val="00BD0D6D"/>
    <w:rsid w:val="00BD186B"/>
    <w:rsid w:val="00BD1EAC"/>
    <w:rsid w:val="00BD254C"/>
    <w:rsid w:val="00BD2F39"/>
    <w:rsid w:val="00BD3428"/>
    <w:rsid w:val="00BD366B"/>
    <w:rsid w:val="00BD5298"/>
    <w:rsid w:val="00BD534C"/>
    <w:rsid w:val="00BD55A9"/>
    <w:rsid w:val="00BD56BC"/>
    <w:rsid w:val="00BD5BE0"/>
    <w:rsid w:val="00BD5D91"/>
    <w:rsid w:val="00BD6445"/>
    <w:rsid w:val="00BD65BF"/>
    <w:rsid w:val="00BD6615"/>
    <w:rsid w:val="00BD6967"/>
    <w:rsid w:val="00BD6D50"/>
    <w:rsid w:val="00BD7C60"/>
    <w:rsid w:val="00BE0D79"/>
    <w:rsid w:val="00BE0DB0"/>
    <w:rsid w:val="00BE15B9"/>
    <w:rsid w:val="00BE264F"/>
    <w:rsid w:val="00BE2C15"/>
    <w:rsid w:val="00BE3381"/>
    <w:rsid w:val="00BE3F09"/>
    <w:rsid w:val="00BE4A3B"/>
    <w:rsid w:val="00BE670A"/>
    <w:rsid w:val="00BE6906"/>
    <w:rsid w:val="00BE6EA2"/>
    <w:rsid w:val="00BE7AB8"/>
    <w:rsid w:val="00BF18F4"/>
    <w:rsid w:val="00BF1A69"/>
    <w:rsid w:val="00BF3BC8"/>
    <w:rsid w:val="00BF3DF1"/>
    <w:rsid w:val="00BF4BEE"/>
    <w:rsid w:val="00BF4C31"/>
    <w:rsid w:val="00BF4C48"/>
    <w:rsid w:val="00BF4E57"/>
    <w:rsid w:val="00BF53B8"/>
    <w:rsid w:val="00BF786A"/>
    <w:rsid w:val="00BF7CB8"/>
    <w:rsid w:val="00C00831"/>
    <w:rsid w:val="00C00F20"/>
    <w:rsid w:val="00C01354"/>
    <w:rsid w:val="00C01700"/>
    <w:rsid w:val="00C01B84"/>
    <w:rsid w:val="00C034E6"/>
    <w:rsid w:val="00C041FA"/>
    <w:rsid w:val="00C05715"/>
    <w:rsid w:val="00C05926"/>
    <w:rsid w:val="00C05CCD"/>
    <w:rsid w:val="00C0784A"/>
    <w:rsid w:val="00C07DF0"/>
    <w:rsid w:val="00C108CE"/>
    <w:rsid w:val="00C10B28"/>
    <w:rsid w:val="00C10D62"/>
    <w:rsid w:val="00C10EC1"/>
    <w:rsid w:val="00C10FAE"/>
    <w:rsid w:val="00C1135D"/>
    <w:rsid w:val="00C11DAF"/>
    <w:rsid w:val="00C123B4"/>
    <w:rsid w:val="00C12A69"/>
    <w:rsid w:val="00C13150"/>
    <w:rsid w:val="00C132F3"/>
    <w:rsid w:val="00C13737"/>
    <w:rsid w:val="00C13BE8"/>
    <w:rsid w:val="00C14A8D"/>
    <w:rsid w:val="00C14BDD"/>
    <w:rsid w:val="00C150BE"/>
    <w:rsid w:val="00C158B0"/>
    <w:rsid w:val="00C15A0C"/>
    <w:rsid w:val="00C15CEB"/>
    <w:rsid w:val="00C15DCB"/>
    <w:rsid w:val="00C16208"/>
    <w:rsid w:val="00C1711F"/>
    <w:rsid w:val="00C17E38"/>
    <w:rsid w:val="00C20100"/>
    <w:rsid w:val="00C2038A"/>
    <w:rsid w:val="00C20549"/>
    <w:rsid w:val="00C205BF"/>
    <w:rsid w:val="00C20744"/>
    <w:rsid w:val="00C20B1C"/>
    <w:rsid w:val="00C20C4D"/>
    <w:rsid w:val="00C21D46"/>
    <w:rsid w:val="00C21F94"/>
    <w:rsid w:val="00C222A1"/>
    <w:rsid w:val="00C2299F"/>
    <w:rsid w:val="00C22C59"/>
    <w:rsid w:val="00C23371"/>
    <w:rsid w:val="00C23CBD"/>
    <w:rsid w:val="00C23D22"/>
    <w:rsid w:val="00C2463B"/>
    <w:rsid w:val="00C24E77"/>
    <w:rsid w:val="00C250AF"/>
    <w:rsid w:val="00C26D9B"/>
    <w:rsid w:val="00C2732D"/>
    <w:rsid w:val="00C273C6"/>
    <w:rsid w:val="00C27773"/>
    <w:rsid w:val="00C27913"/>
    <w:rsid w:val="00C300C6"/>
    <w:rsid w:val="00C30828"/>
    <w:rsid w:val="00C30924"/>
    <w:rsid w:val="00C31DD8"/>
    <w:rsid w:val="00C3271C"/>
    <w:rsid w:val="00C34E6F"/>
    <w:rsid w:val="00C34FDE"/>
    <w:rsid w:val="00C3543D"/>
    <w:rsid w:val="00C35530"/>
    <w:rsid w:val="00C35C16"/>
    <w:rsid w:val="00C36EA7"/>
    <w:rsid w:val="00C37A94"/>
    <w:rsid w:val="00C40E09"/>
    <w:rsid w:val="00C40F33"/>
    <w:rsid w:val="00C40F81"/>
    <w:rsid w:val="00C41463"/>
    <w:rsid w:val="00C41A72"/>
    <w:rsid w:val="00C4216C"/>
    <w:rsid w:val="00C42714"/>
    <w:rsid w:val="00C42D45"/>
    <w:rsid w:val="00C42F9C"/>
    <w:rsid w:val="00C4341C"/>
    <w:rsid w:val="00C4422D"/>
    <w:rsid w:val="00C44A71"/>
    <w:rsid w:val="00C44B84"/>
    <w:rsid w:val="00C45BA1"/>
    <w:rsid w:val="00C46600"/>
    <w:rsid w:val="00C476C5"/>
    <w:rsid w:val="00C4775E"/>
    <w:rsid w:val="00C503B0"/>
    <w:rsid w:val="00C5076B"/>
    <w:rsid w:val="00C511C2"/>
    <w:rsid w:val="00C525A5"/>
    <w:rsid w:val="00C527C6"/>
    <w:rsid w:val="00C53CDB"/>
    <w:rsid w:val="00C53D82"/>
    <w:rsid w:val="00C53EBE"/>
    <w:rsid w:val="00C54748"/>
    <w:rsid w:val="00C55C5D"/>
    <w:rsid w:val="00C564B9"/>
    <w:rsid w:val="00C574CF"/>
    <w:rsid w:val="00C575FB"/>
    <w:rsid w:val="00C60696"/>
    <w:rsid w:val="00C60943"/>
    <w:rsid w:val="00C60EEF"/>
    <w:rsid w:val="00C6121D"/>
    <w:rsid w:val="00C615F1"/>
    <w:rsid w:val="00C61627"/>
    <w:rsid w:val="00C63B1A"/>
    <w:rsid w:val="00C64453"/>
    <w:rsid w:val="00C64E60"/>
    <w:rsid w:val="00C657A4"/>
    <w:rsid w:val="00C66589"/>
    <w:rsid w:val="00C6736C"/>
    <w:rsid w:val="00C70422"/>
    <w:rsid w:val="00C709FD"/>
    <w:rsid w:val="00C7179C"/>
    <w:rsid w:val="00C71A1D"/>
    <w:rsid w:val="00C71EC4"/>
    <w:rsid w:val="00C726EA"/>
    <w:rsid w:val="00C73485"/>
    <w:rsid w:val="00C7410A"/>
    <w:rsid w:val="00C743FD"/>
    <w:rsid w:val="00C74791"/>
    <w:rsid w:val="00C7591E"/>
    <w:rsid w:val="00C75C7E"/>
    <w:rsid w:val="00C75C9B"/>
    <w:rsid w:val="00C75F90"/>
    <w:rsid w:val="00C76D8E"/>
    <w:rsid w:val="00C77833"/>
    <w:rsid w:val="00C77E7B"/>
    <w:rsid w:val="00C80C9B"/>
    <w:rsid w:val="00C81019"/>
    <w:rsid w:val="00C82DEC"/>
    <w:rsid w:val="00C8335E"/>
    <w:rsid w:val="00C83C1A"/>
    <w:rsid w:val="00C83F9C"/>
    <w:rsid w:val="00C84CE3"/>
    <w:rsid w:val="00C85614"/>
    <w:rsid w:val="00C85686"/>
    <w:rsid w:val="00C86127"/>
    <w:rsid w:val="00C9068F"/>
    <w:rsid w:val="00C90975"/>
    <w:rsid w:val="00C90CF4"/>
    <w:rsid w:val="00C91C19"/>
    <w:rsid w:val="00C929A0"/>
    <w:rsid w:val="00C92AE8"/>
    <w:rsid w:val="00C93389"/>
    <w:rsid w:val="00C937DB"/>
    <w:rsid w:val="00C94519"/>
    <w:rsid w:val="00C94847"/>
    <w:rsid w:val="00C94E11"/>
    <w:rsid w:val="00C94E83"/>
    <w:rsid w:val="00C9567E"/>
    <w:rsid w:val="00C97038"/>
    <w:rsid w:val="00C975FC"/>
    <w:rsid w:val="00CA02B2"/>
    <w:rsid w:val="00CA0883"/>
    <w:rsid w:val="00CA1085"/>
    <w:rsid w:val="00CA140F"/>
    <w:rsid w:val="00CA25C2"/>
    <w:rsid w:val="00CA37BB"/>
    <w:rsid w:val="00CA37CA"/>
    <w:rsid w:val="00CA3C24"/>
    <w:rsid w:val="00CA5016"/>
    <w:rsid w:val="00CA5724"/>
    <w:rsid w:val="00CA6508"/>
    <w:rsid w:val="00CA6BA1"/>
    <w:rsid w:val="00CA6CD5"/>
    <w:rsid w:val="00CA6D0B"/>
    <w:rsid w:val="00CA799B"/>
    <w:rsid w:val="00CB09D5"/>
    <w:rsid w:val="00CB0AE1"/>
    <w:rsid w:val="00CB0F6B"/>
    <w:rsid w:val="00CB1910"/>
    <w:rsid w:val="00CB1F9F"/>
    <w:rsid w:val="00CB2150"/>
    <w:rsid w:val="00CB28EE"/>
    <w:rsid w:val="00CB43A7"/>
    <w:rsid w:val="00CB4CD7"/>
    <w:rsid w:val="00CB4DF1"/>
    <w:rsid w:val="00CB55C2"/>
    <w:rsid w:val="00CB5695"/>
    <w:rsid w:val="00CB5996"/>
    <w:rsid w:val="00CB6809"/>
    <w:rsid w:val="00CB6CE5"/>
    <w:rsid w:val="00CB7452"/>
    <w:rsid w:val="00CB76C9"/>
    <w:rsid w:val="00CC0E10"/>
    <w:rsid w:val="00CC1DAF"/>
    <w:rsid w:val="00CC2642"/>
    <w:rsid w:val="00CC2967"/>
    <w:rsid w:val="00CC2A1E"/>
    <w:rsid w:val="00CC2A36"/>
    <w:rsid w:val="00CC2E15"/>
    <w:rsid w:val="00CC3440"/>
    <w:rsid w:val="00CC351B"/>
    <w:rsid w:val="00CC3908"/>
    <w:rsid w:val="00CC41BF"/>
    <w:rsid w:val="00CC44C9"/>
    <w:rsid w:val="00CC4DF5"/>
    <w:rsid w:val="00CC509A"/>
    <w:rsid w:val="00CC62AD"/>
    <w:rsid w:val="00CC67E5"/>
    <w:rsid w:val="00CC6CA2"/>
    <w:rsid w:val="00CC7968"/>
    <w:rsid w:val="00CC7B80"/>
    <w:rsid w:val="00CD2B3C"/>
    <w:rsid w:val="00CD30F6"/>
    <w:rsid w:val="00CD3469"/>
    <w:rsid w:val="00CD4B29"/>
    <w:rsid w:val="00CD5E48"/>
    <w:rsid w:val="00CD67CA"/>
    <w:rsid w:val="00CD6954"/>
    <w:rsid w:val="00CD6DA3"/>
    <w:rsid w:val="00CD6EF1"/>
    <w:rsid w:val="00CD715D"/>
    <w:rsid w:val="00CD7A45"/>
    <w:rsid w:val="00CD7E35"/>
    <w:rsid w:val="00CD7EEE"/>
    <w:rsid w:val="00CE21C7"/>
    <w:rsid w:val="00CE2682"/>
    <w:rsid w:val="00CE2756"/>
    <w:rsid w:val="00CE3F72"/>
    <w:rsid w:val="00CE442A"/>
    <w:rsid w:val="00CE4674"/>
    <w:rsid w:val="00CE57D8"/>
    <w:rsid w:val="00CE5B96"/>
    <w:rsid w:val="00CE5F03"/>
    <w:rsid w:val="00CE617A"/>
    <w:rsid w:val="00CE692E"/>
    <w:rsid w:val="00CE6E3C"/>
    <w:rsid w:val="00CE76A1"/>
    <w:rsid w:val="00CE797F"/>
    <w:rsid w:val="00CF107E"/>
    <w:rsid w:val="00CF15BF"/>
    <w:rsid w:val="00CF25D2"/>
    <w:rsid w:val="00CF28C2"/>
    <w:rsid w:val="00CF294A"/>
    <w:rsid w:val="00CF42BD"/>
    <w:rsid w:val="00CF51EC"/>
    <w:rsid w:val="00CF6A9D"/>
    <w:rsid w:val="00CF6CD7"/>
    <w:rsid w:val="00CF7276"/>
    <w:rsid w:val="00CF75EC"/>
    <w:rsid w:val="00D002DF"/>
    <w:rsid w:val="00D0037A"/>
    <w:rsid w:val="00D0061E"/>
    <w:rsid w:val="00D006AD"/>
    <w:rsid w:val="00D00DAF"/>
    <w:rsid w:val="00D017EC"/>
    <w:rsid w:val="00D01CDA"/>
    <w:rsid w:val="00D020FC"/>
    <w:rsid w:val="00D03866"/>
    <w:rsid w:val="00D040DD"/>
    <w:rsid w:val="00D04E1B"/>
    <w:rsid w:val="00D0547B"/>
    <w:rsid w:val="00D076DB"/>
    <w:rsid w:val="00D07EFF"/>
    <w:rsid w:val="00D1067C"/>
    <w:rsid w:val="00D11329"/>
    <w:rsid w:val="00D11CBB"/>
    <w:rsid w:val="00D136D4"/>
    <w:rsid w:val="00D13830"/>
    <w:rsid w:val="00D13ECF"/>
    <w:rsid w:val="00D141CA"/>
    <w:rsid w:val="00D142E5"/>
    <w:rsid w:val="00D148CD"/>
    <w:rsid w:val="00D1611E"/>
    <w:rsid w:val="00D163CC"/>
    <w:rsid w:val="00D16E69"/>
    <w:rsid w:val="00D177E9"/>
    <w:rsid w:val="00D17F4A"/>
    <w:rsid w:val="00D205A9"/>
    <w:rsid w:val="00D217EE"/>
    <w:rsid w:val="00D24299"/>
    <w:rsid w:val="00D245BA"/>
    <w:rsid w:val="00D25411"/>
    <w:rsid w:val="00D25E9E"/>
    <w:rsid w:val="00D26923"/>
    <w:rsid w:val="00D27856"/>
    <w:rsid w:val="00D27D34"/>
    <w:rsid w:val="00D3006B"/>
    <w:rsid w:val="00D301CA"/>
    <w:rsid w:val="00D30740"/>
    <w:rsid w:val="00D31075"/>
    <w:rsid w:val="00D31445"/>
    <w:rsid w:val="00D31932"/>
    <w:rsid w:val="00D32AE0"/>
    <w:rsid w:val="00D33273"/>
    <w:rsid w:val="00D360DA"/>
    <w:rsid w:val="00D37689"/>
    <w:rsid w:val="00D378CC"/>
    <w:rsid w:val="00D4042C"/>
    <w:rsid w:val="00D40B9E"/>
    <w:rsid w:val="00D41281"/>
    <w:rsid w:val="00D42312"/>
    <w:rsid w:val="00D431F4"/>
    <w:rsid w:val="00D433F5"/>
    <w:rsid w:val="00D43998"/>
    <w:rsid w:val="00D439C2"/>
    <w:rsid w:val="00D451E0"/>
    <w:rsid w:val="00D45A1D"/>
    <w:rsid w:val="00D4615E"/>
    <w:rsid w:val="00D4651F"/>
    <w:rsid w:val="00D478E2"/>
    <w:rsid w:val="00D507A3"/>
    <w:rsid w:val="00D5082E"/>
    <w:rsid w:val="00D50ED8"/>
    <w:rsid w:val="00D5264C"/>
    <w:rsid w:val="00D53987"/>
    <w:rsid w:val="00D547BA"/>
    <w:rsid w:val="00D55626"/>
    <w:rsid w:val="00D556BC"/>
    <w:rsid w:val="00D5626D"/>
    <w:rsid w:val="00D56631"/>
    <w:rsid w:val="00D60277"/>
    <w:rsid w:val="00D60336"/>
    <w:rsid w:val="00D6126B"/>
    <w:rsid w:val="00D61F88"/>
    <w:rsid w:val="00D62688"/>
    <w:rsid w:val="00D62901"/>
    <w:rsid w:val="00D62CB2"/>
    <w:rsid w:val="00D6345E"/>
    <w:rsid w:val="00D6470C"/>
    <w:rsid w:val="00D64853"/>
    <w:rsid w:val="00D64CB5"/>
    <w:rsid w:val="00D66076"/>
    <w:rsid w:val="00D6607C"/>
    <w:rsid w:val="00D661B3"/>
    <w:rsid w:val="00D66D48"/>
    <w:rsid w:val="00D703E1"/>
    <w:rsid w:val="00D7128B"/>
    <w:rsid w:val="00D7162F"/>
    <w:rsid w:val="00D720DB"/>
    <w:rsid w:val="00D72897"/>
    <w:rsid w:val="00D73256"/>
    <w:rsid w:val="00D73A30"/>
    <w:rsid w:val="00D747AA"/>
    <w:rsid w:val="00D74985"/>
    <w:rsid w:val="00D74C65"/>
    <w:rsid w:val="00D74F21"/>
    <w:rsid w:val="00D75240"/>
    <w:rsid w:val="00D756C0"/>
    <w:rsid w:val="00D758D0"/>
    <w:rsid w:val="00D75DC2"/>
    <w:rsid w:val="00D75DC3"/>
    <w:rsid w:val="00D75E60"/>
    <w:rsid w:val="00D75FEA"/>
    <w:rsid w:val="00D766EF"/>
    <w:rsid w:val="00D76C03"/>
    <w:rsid w:val="00D77F8D"/>
    <w:rsid w:val="00D80E07"/>
    <w:rsid w:val="00D8119B"/>
    <w:rsid w:val="00D821BF"/>
    <w:rsid w:val="00D82462"/>
    <w:rsid w:val="00D831C6"/>
    <w:rsid w:val="00D831F5"/>
    <w:rsid w:val="00D83EF3"/>
    <w:rsid w:val="00D85886"/>
    <w:rsid w:val="00D868CE"/>
    <w:rsid w:val="00D86DAE"/>
    <w:rsid w:val="00D87732"/>
    <w:rsid w:val="00D8785B"/>
    <w:rsid w:val="00D90116"/>
    <w:rsid w:val="00D909FE"/>
    <w:rsid w:val="00D90C1E"/>
    <w:rsid w:val="00D91B07"/>
    <w:rsid w:val="00D91BDF"/>
    <w:rsid w:val="00D91F2C"/>
    <w:rsid w:val="00D92527"/>
    <w:rsid w:val="00D92B5A"/>
    <w:rsid w:val="00D93F09"/>
    <w:rsid w:val="00D94859"/>
    <w:rsid w:val="00D954C2"/>
    <w:rsid w:val="00D97BB8"/>
    <w:rsid w:val="00DA1318"/>
    <w:rsid w:val="00DA1382"/>
    <w:rsid w:val="00DA28B7"/>
    <w:rsid w:val="00DA2FE8"/>
    <w:rsid w:val="00DA41E0"/>
    <w:rsid w:val="00DA4AF6"/>
    <w:rsid w:val="00DB016E"/>
    <w:rsid w:val="00DB06E9"/>
    <w:rsid w:val="00DB0BF3"/>
    <w:rsid w:val="00DB19BD"/>
    <w:rsid w:val="00DB1D55"/>
    <w:rsid w:val="00DB2692"/>
    <w:rsid w:val="00DB36D7"/>
    <w:rsid w:val="00DB378E"/>
    <w:rsid w:val="00DB3E9D"/>
    <w:rsid w:val="00DB47B9"/>
    <w:rsid w:val="00DB4FB8"/>
    <w:rsid w:val="00DB51D8"/>
    <w:rsid w:val="00DB53CE"/>
    <w:rsid w:val="00DB549D"/>
    <w:rsid w:val="00DB5792"/>
    <w:rsid w:val="00DB63F2"/>
    <w:rsid w:val="00DB6A88"/>
    <w:rsid w:val="00DB6DA6"/>
    <w:rsid w:val="00DB7431"/>
    <w:rsid w:val="00DB74ED"/>
    <w:rsid w:val="00DB7BA4"/>
    <w:rsid w:val="00DC08D7"/>
    <w:rsid w:val="00DC18B6"/>
    <w:rsid w:val="00DC226A"/>
    <w:rsid w:val="00DC257F"/>
    <w:rsid w:val="00DC2A9F"/>
    <w:rsid w:val="00DC2FA9"/>
    <w:rsid w:val="00DC333E"/>
    <w:rsid w:val="00DC350B"/>
    <w:rsid w:val="00DC3790"/>
    <w:rsid w:val="00DC408A"/>
    <w:rsid w:val="00DC436D"/>
    <w:rsid w:val="00DC519B"/>
    <w:rsid w:val="00DC52F9"/>
    <w:rsid w:val="00DC5B3B"/>
    <w:rsid w:val="00DC5BAA"/>
    <w:rsid w:val="00DC6796"/>
    <w:rsid w:val="00DC6AA2"/>
    <w:rsid w:val="00DC6CC6"/>
    <w:rsid w:val="00DC767B"/>
    <w:rsid w:val="00DC78DF"/>
    <w:rsid w:val="00DC7928"/>
    <w:rsid w:val="00DC7D4C"/>
    <w:rsid w:val="00DD003B"/>
    <w:rsid w:val="00DD0365"/>
    <w:rsid w:val="00DD0821"/>
    <w:rsid w:val="00DD093D"/>
    <w:rsid w:val="00DD0E32"/>
    <w:rsid w:val="00DD10F4"/>
    <w:rsid w:val="00DD1878"/>
    <w:rsid w:val="00DD2872"/>
    <w:rsid w:val="00DD2A62"/>
    <w:rsid w:val="00DD2BD0"/>
    <w:rsid w:val="00DD2BFE"/>
    <w:rsid w:val="00DD373E"/>
    <w:rsid w:val="00DD3867"/>
    <w:rsid w:val="00DD57AD"/>
    <w:rsid w:val="00DD57B7"/>
    <w:rsid w:val="00DD7435"/>
    <w:rsid w:val="00DD7C6D"/>
    <w:rsid w:val="00DE009B"/>
    <w:rsid w:val="00DE08F8"/>
    <w:rsid w:val="00DE0C31"/>
    <w:rsid w:val="00DE27CE"/>
    <w:rsid w:val="00DE2ED9"/>
    <w:rsid w:val="00DE319A"/>
    <w:rsid w:val="00DE37C6"/>
    <w:rsid w:val="00DE5ABD"/>
    <w:rsid w:val="00DF046A"/>
    <w:rsid w:val="00DF0615"/>
    <w:rsid w:val="00DF07CE"/>
    <w:rsid w:val="00DF0833"/>
    <w:rsid w:val="00DF0DC3"/>
    <w:rsid w:val="00DF0E38"/>
    <w:rsid w:val="00DF21FD"/>
    <w:rsid w:val="00DF2847"/>
    <w:rsid w:val="00DF2873"/>
    <w:rsid w:val="00DF293C"/>
    <w:rsid w:val="00DF4C74"/>
    <w:rsid w:val="00DF5578"/>
    <w:rsid w:val="00DF6CF8"/>
    <w:rsid w:val="00DF78DD"/>
    <w:rsid w:val="00DF7FEC"/>
    <w:rsid w:val="00E01C0E"/>
    <w:rsid w:val="00E02086"/>
    <w:rsid w:val="00E023BE"/>
    <w:rsid w:val="00E02740"/>
    <w:rsid w:val="00E03B27"/>
    <w:rsid w:val="00E04694"/>
    <w:rsid w:val="00E049F6"/>
    <w:rsid w:val="00E04CA9"/>
    <w:rsid w:val="00E05B2B"/>
    <w:rsid w:val="00E05EAD"/>
    <w:rsid w:val="00E06A2A"/>
    <w:rsid w:val="00E06D4A"/>
    <w:rsid w:val="00E06EC9"/>
    <w:rsid w:val="00E07F05"/>
    <w:rsid w:val="00E1230E"/>
    <w:rsid w:val="00E127E1"/>
    <w:rsid w:val="00E1291F"/>
    <w:rsid w:val="00E12BCE"/>
    <w:rsid w:val="00E144D2"/>
    <w:rsid w:val="00E144D6"/>
    <w:rsid w:val="00E15346"/>
    <w:rsid w:val="00E15B7D"/>
    <w:rsid w:val="00E17233"/>
    <w:rsid w:val="00E17C5F"/>
    <w:rsid w:val="00E17F8F"/>
    <w:rsid w:val="00E202D6"/>
    <w:rsid w:val="00E2097E"/>
    <w:rsid w:val="00E215EA"/>
    <w:rsid w:val="00E2196F"/>
    <w:rsid w:val="00E21CAB"/>
    <w:rsid w:val="00E221FC"/>
    <w:rsid w:val="00E2245C"/>
    <w:rsid w:val="00E22E78"/>
    <w:rsid w:val="00E23DA4"/>
    <w:rsid w:val="00E24619"/>
    <w:rsid w:val="00E25223"/>
    <w:rsid w:val="00E25999"/>
    <w:rsid w:val="00E263A8"/>
    <w:rsid w:val="00E27B33"/>
    <w:rsid w:val="00E30BEA"/>
    <w:rsid w:val="00E3154D"/>
    <w:rsid w:val="00E3167A"/>
    <w:rsid w:val="00E31764"/>
    <w:rsid w:val="00E3288A"/>
    <w:rsid w:val="00E32BC2"/>
    <w:rsid w:val="00E33C0E"/>
    <w:rsid w:val="00E34985"/>
    <w:rsid w:val="00E34E4A"/>
    <w:rsid w:val="00E365B3"/>
    <w:rsid w:val="00E366BB"/>
    <w:rsid w:val="00E372FD"/>
    <w:rsid w:val="00E37C45"/>
    <w:rsid w:val="00E37E7D"/>
    <w:rsid w:val="00E40AAA"/>
    <w:rsid w:val="00E4152B"/>
    <w:rsid w:val="00E41A59"/>
    <w:rsid w:val="00E42444"/>
    <w:rsid w:val="00E42CB0"/>
    <w:rsid w:val="00E43276"/>
    <w:rsid w:val="00E438CF"/>
    <w:rsid w:val="00E43B06"/>
    <w:rsid w:val="00E43C41"/>
    <w:rsid w:val="00E43F01"/>
    <w:rsid w:val="00E4500E"/>
    <w:rsid w:val="00E450CE"/>
    <w:rsid w:val="00E4517F"/>
    <w:rsid w:val="00E45A00"/>
    <w:rsid w:val="00E45CE7"/>
    <w:rsid w:val="00E4631F"/>
    <w:rsid w:val="00E46A4A"/>
    <w:rsid w:val="00E47CB8"/>
    <w:rsid w:val="00E522BB"/>
    <w:rsid w:val="00E525BD"/>
    <w:rsid w:val="00E527A0"/>
    <w:rsid w:val="00E52A3D"/>
    <w:rsid w:val="00E52A9C"/>
    <w:rsid w:val="00E539E4"/>
    <w:rsid w:val="00E53C14"/>
    <w:rsid w:val="00E54D65"/>
    <w:rsid w:val="00E5515D"/>
    <w:rsid w:val="00E55E84"/>
    <w:rsid w:val="00E569C7"/>
    <w:rsid w:val="00E56D2B"/>
    <w:rsid w:val="00E571F2"/>
    <w:rsid w:val="00E57429"/>
    <w:rsid w:val="00E60FCE"/>
    <w:rsid w:val="00E61C31"/>
    <w:rsid w:val="00E61EA8"/>
    <w:rsid w:val="00E63221"/>
    <w:rsid w:val="00E63EC6"/>
    <w:rsid w:val="00E64AE4"/>
    <w:rsid w:val="00E64CFB"/>
    <w:rsid w:val="00E64CFF"/>
    <w:rsid w:val="00E64EA1"/>
    <w:rsid w:val="00E6582D"/>
    <w:rsid w:val="00E6636D"/>
    <w:rsid w:val="00E669C7"/>
    <w:rsid w:val="00E67611"/>
    <w:rsid w:val="00E70510"/>
    <w:rsid w:val="00E71262"/>
    <w:rsid w:val="00E71A58"/>
    <w:rsid w:val="00E724C6"/>
    <w:rsid w:val="00E737F6"/>
    <w:rsid w:val="00E75545"/>
    <w:rsid w:val="00E7568F"/>
    <w:rsid w:val="00E764AE"/>
    <w:rsid w:val="00E7724B"/>
    <w:rsid w:val="00E77435"/>
    <w:rsid w:val="00E80E31"/>
    <w:rsid w:val="00E81543"/>
    <w:rsid w:val="00E83DAB"/>
    <w:rsid w:val="00E84F21"/>
    <w:rsid w:val="00E8618A"/>
    <w:rsid w:val="00E90A4B"/>
    <w:rsid w:val="00E90D67"/>
    <w:rsid w:val="00E90F73"/>
    <w:rsid w:val="00E910A7"/>
    <w:rsid w:val="00E91607"/>
    <w:rsid w:val="00E921C7"/>
    <w:rsid w:val="00E92799"/>
    <w:rsid w:val="00E92995"/>
    <w:rsid w:val="00E9446C"/>
    <w:rsid w:val="00E94612"/>
    <w:rsid w:val="00E95797"/>
    <w:rsid w:val="00E962F3"/>
    <w:rsid w:val="00E9682F"/>
    <w:rsid w:val="00E96A8D"/>
    <w:rsid w:val="00E972BA"/>
    <w:rsid w:val="00E97FA2"/>
    <w:rsid w:val="00EA06CB"/>
    <w:rsid w:val="00EA0AF3"/>
    <w:rsid w:val="00EA0C68"/>
    <w:rsid w:val="00EA19E2"/>
    <w:rsid w:val="00EA2F06"/>
    <w:rsid w:val="00EA3EBE"/>
    <w:rsid w:val="00EA3FAC"/>
    <w:rsid w:val="00EA4153"/>
    <w:rsid w:val="00EA421A"/>
    <w:rsid w:val="00EA5CD6"/>
    <w:rsid w:val="00EA76FD"/>
    <w:rsid w:val="00EA77CA"/>
    <w:rsid w:val="00EA78FE"/>
    <w:rsid w:val="00EA7B7D"/>
    <w:rsid w:val="00EB03D4"/>
    <w:rsid w:val="00EB0555"/>
    <w:rsid w:val="00EB20A0"/>
    <w:rsid w:val="00EB220E"/>
    <w:rsid w:val="00EB30B6"/>
    <w:rsid w:val="00EB4FA4"/>
    <w:rsid w:val="00EB5146"/>
    <w:rsid w:val="00EB522B"/>
    <w:rsid w:val="00EB55E9"/>
    <w:rsid w:val="00EB5641"/>
    <w:rsid w:val="00EB5CA9"/>
    <w:rsid w:val="00EB5ED4"/>
    <w:rsid w:val="00EB6063"/>
    <w:rsid w:val="00EB6537"/>
    <w:rsid w:val="00EB6DD2"/>
    <w:rsid w:val="00EB70E1"/>
    <w:rsid w:val="00EB7EB5"/>
    <w:rsid w:val="00EC0860"/>
    <w:rsid w:val="00EC0C89"/>
    <w:rsid w:val="00EC0EC1"/>
    <w:rsid w:val="00EC4133"/>
    <w:rsid w:val="00EC424C"/>
    <w:rsid w:val="00EC454B"/>
    <w:rsid w:val="00EC4941"/>
    <w:rsid w:val="00EC5626"/>
    <w:rsid w:val="00EC6153"/>
    <w:rsid w:val="00EC7F92"/>
    <w:rsid w:val="00ED00A8"/>
    <w:rsid w:val="00ED0A79"/>
    <w:rsid w:val="00ED229E"/>
    <w:rsid w:val="00ED2989"/>
    <w:rsid w:val="00ED2CA5"/>
    <w:rsid w:val="00ED2D46"/>
    <w:rsid w:val="00ED336F"/>
    <w:rsid w:val="00ED3A94"/>
    <w:rsid w:val="00ED40F0"/>
    <w:rsid w:val="00ED4AC0"/>
    <w:rsid w:val="00ED54D6"/>
    <w:rsid w:val="00ED5726"/>
    <w:rsid w:val="00ED7384"/>
    <w:rsid w:val="00EE0113"/>
    <w:rsid w:val="00EE0298"/>
    <w:rsid w:val="00EE0384"/>
    <w:rsid w:val="00EE043A"/>
    <w:rsid w:val="00EE0473"/>
    <w:rsid w:val="00EE1057"/>
    <w:rsid w:val="00EE10AA"/>
    <w:rsid w:val="00EE1637"/>
    <w:rsid w:val="00EE29C7"/>
    <w:rsid w:val="00EE2A98"/>
    <w:rsid w:val="00EE3547"/>
    <w:rsid w:val="00EE3B7A"/>
    <w:rsid w:val="00EE3E78"/>
    <w:rsid w:val="00EE4534"/>
    <w:rsid w:val="00EE495A"/>
    <w:rsid w:val="00EE4E8F"/>
    <w:rsid w:val="00EE5A5A"/>
    <w:rsid w:val="00EE5E02"/>
    <w:rsid w:val="00EE617D"/>
    <w:rsid w:val="00EE61BF"/>
    <w:rsid w:val="00EE6538"/>
    <w:rsid w:val="00EE6748"/>
    <w:rsid w:val="00EE6C6B"/>
    <w:rsid w:val="00EE7B94"/>
    <w:rsid w:val="00EE7C03"/>
    <w:rsid w:val="00EF0E75"/>
    <w:rsid w:val="00EF1DAA"/>
    <w:rsid w:val="00EF1F5A"/>
    <w:rsid w:val="00EF22F6"/>
    <w:rsid w:val="00EF3486"/>
    <w:rsid w:val="00EF4685"/>
    <w:rsid w:val="00EF5397"/>
    <w:rsid w:val="00EF563D"/>
    <w:rsid w:val="00EF6BE3"/>
    <w:rsid w:val="00EF6DDD"/>
    <w:rsid w:val="00EF7B70"/>
    <w:rsid w:val="00F00071"/>
    <w:rsid w:val="00F00D0E"/>
    <w:rsid w:val="00F00D3C"/>
    <w:rsid w:val="00F04811"/>
    <w:rsid w:val="00F0488C"/>
    <w:rsid w:val="00F0496E"/>
    <w:rsid w:val="00F04D10"/>
    <w:rsid w:val="00F053EA"/>
    <w:rsid w:val="00F0625B"/>
    <w:rsid w:val="00F06944"/>
    <w:rsid w:val="00F06C6F"/>
    <w:rsid w:val="00F06C89"/>
    <w:rsid w:val="00F10033"/>
    <w:rsid w:val="00F101FF"/>
    <w:rsid w:val="00F104DF"/>
    <w:rsid w:val="00F10A33"/>
    <w:rsid w:val="00F10B64"/>
    <w:rsid w:val="00F1186C"/>
    <w:rsid w:val="00F11AD5"/>
    <w:rsid w:val="00F126D0"/>
    <w:rsid w:val="00F12A83"/>
    <w:rsid w:val="00F14ACD"/>
    <w:rsid w:val="00F15309"/>
    <w:rsid w:val="00F15BEF"/>
    <w:rsid w:val="00F164A8"/>
    <w:rsid w:val="00F16807"/>
    <w:rsid w:val="00F16C43"/>
    <w:rsid w:val="00F172BE"/>
    <w:rsid w:val="00F1776C"/>
    <w:rsid w:val="00F2037E"/>
    <w:rsid w:val="00F20786"/>
    <w:rsid w:val="00F20D17"/>
    <w:rsid w:val="00F2103E"/>
    <w:rsid w:val="00F214FC"/>
    <w:rsid w:val="00F21C31"/>
    <w:rsid w:val="00F222AD"/>
    <w:rsid w:val="00F23825"/>
    <w:rsid w:val="00F2389A"/>
    <w:rsid w:val="00F23FFF"/>
    <w:rsid w:val="00F2441D"/>
    <w:rsid w:val="00F24467"/>
    <w:rsid w:val="00F24FAA"/>
    <w:rsid w:val="00F25226"/>
    <w:rsid w:val="00F25B99"/>
    <w:rsid w:val="00F26197"/>
    <w:rsid w:val="00F273D4"/>
    <w:rsid w:val="00F27482"/>
    <w:rsid w:val="00F307DD"/>
    <w:rsid w:val="00F30C2E"/>
    <w:rsid w:val="00F30CB4"/>
    <w:rsid w:val="00F318FC"/>
    <w:rsid w:val="00F31D53"/>
    <w:rsid w:val="00F31F76"/>
    <w:rsid w:val="00F325A3"/>
    <w:rsid w:val="00F3364D"/>
    <w:rsid w:val="00F353AE"/>
    <w:rsid w:val="00F35ACD"/>
    <w:rsid w:val="00F36598"/>
    <w:rsid w:val="00F365BF"/>
    <w:rsid w:val="00F36BF8"/>
    <w:rsid w:val="00F36FB3"/>
    <w:rsid w:val="00F375BA"/>
    <w:rsid w:val="00F37760"/>
    <w:rsid w:val="00F403D1"/>
    <w:rsid w:val="00F43921"/>
    <w:rsid w:val="00F44E1B"/>
    <w:rsid w:val="00F4524F"/>
    <w:rsid w:val="00F45530"/>
    <w:rsid w:val="00F4591F"/>
    <w:rsid w:val="00F47321"/>
    <w:rsid w:val="00F4736B"/>
    <w:rsid w:val="00F47997"/>
    <w:rsid w:val="00F47D05"/>
    <w:rsid w:val="00F50030"/>
    <w:rsid w:val="00F502F5"/>
    <w:rsid w:val="00F50B9D"/>
    <w:rsid w:val="00F51FC9"/>
    <w:rsid w:val="00F52AE1"/>
    <w:rsid w:val="00F53243"/>
    <w:rsid w:val="00F53644"/>
    <w:rsid w:val="00F541ED"/>
    <w:rsid w:val="00F54365"/>
    <w:rsid w:val="00F54641"/>
    <w:rsid w:val="00F54B31"/>
    <w:rsid w:val="00F54FD3"/>
    <w:rsid w:val="00F55605"/>
    <w:rsid w:val="00F568C5"/>
    <w:rsid w:val="00F57CD7"/>
    <w:rsid w:val="00F608FF"/>
    <w:rsid w:val="00F61637"/>
    <w:rsid w:val="00F61BFE"/>
    <w:rsid w:val="00F62F02"/>
    <w:rsid w:val="00F6339F"/>
    <w:rsid w:val="00F63DDE"/>
    <w:rsid w:val="00F63FB7"/>
    <w:rsid w:val="00F64460"/>
    <w:rsid w:val="00F64726"/>
    <w:rsid w:val="00F64F44"/>
    <w:rsid w:val="00F6561A"/>
    <w:rsid w:val="00F66243"/>
    <w:rsid w:val="00F67BDA"/>
    <w:rsid w:val="00F70309"/>
    <w:rsid w:val="00F7078A"/>
    <w:rsid w:val="00F70E45"/>
    <w:rsid w:val="00F72638"/>
    <w:rsid w:val="00F727D5"/>
    <w:rsid w:val="00F72F44"/>
    <w:rsid w:val="00F737AB"/>
    <w:rsid w:val="00F73A0C"/>
    <w:rsid w:val="00F759DC"/>
    <w:rsid w:val="00F76563"/>
    <w:rsid w:val="00F7717C"/>
    <w:rsid w:val="00F771A5"/>
    <w:rsid w:val="00F7738B"/>
    <w:rsid w:val="00F77990"/>
    <w:rsid w:val="00F80826"/>
    <w:rsid w:val="00F80D1E"/>
    <w:rsid w:val="00F817A4"/>
    <w:rsid w:val="00F81C3A"/>
    <w:rsid w:val="00F82727"/>
    <w:rsid w:val="00F835E1"/>
    <w:rsid w:val="00F835FC"/>
    <w:rsid w:val="00F8373A"/>
    <w:rsid w:val="00F83E21"/>
    <w:rsid w:val="00F83FA4"/>
    <w:rsid w:val="00F8473C"/>
    <w:rsid w:val="00F84E18"/>
    <w:rsid w:val="00F84F40"/>
    <w:rsid w:val="00F85024"/>
    <w:rsid w:val="00F852E5"/>
    <w:rsid w:val="00F86767"/>
    <w:rsid w:val="00F8750E"/>
    <w:rsid w:val="00F90350"/>
    <w:rsid w:val="00F90987"/>
    <w:rsid w:val="00F92347"/>
    <w:rsid w:val="00F9310A"/>
    <w:rsid w:val="00F94681"/>
    <w:rsid w:val="00F94C3F"/>
    <w:rsid w:val="00F95117"/>
    <w:rsid w:val="00F959AF"/>
    <w:rsid w:val="00F968ED"/>
    <w:rsid w:val="00F97ED2"/>
    <w:rsid w:val="00FA05D7"/>
    <w:rsid w:val="00FA16BD"/>
    <w:rsid w:val="00FA1992"/>
    <w:rsid w:val="00FA1C6C"/>
    <w:rsid w:val="00FA2447"/>
    <w:rsid w:val="00FA2582"/>
    <w:rsid w:val="00FA2A5B"/>
    <w:rsid w:val="00FA2C2A"/>
    <w:rsid w:val="00FA309A"/>
    <w:rsid w:val="00FA6936"/>
    <w:rsid w:val="00FA6B3F"/>
    <w:rsid w:val="00FA7132"/>
    <w:rsid w:val="00FA7644"/>
    <w:rsid w:val="00FB0A9A"/>
    <w:rsid w:val="00FB16AD"/>
    <w:rsid w:val="00FB1746"/>
    <w:rsid w:val="00FB1F21"/>
    <w:rsid w:val="00FB3D72"/>
    <w:rsid w:val="00FB40EE"/>
    <w:rsid w:val="00FB483B"/>
    <w:rsid w:val="00FB56F1"/>
    <w:rsid w:val="00FB5D61"/>
    <w:rsid w:val="00FB5FD4"/>
    <w:rsid w:val="00FB67F3"/>
    <w:rsid w:val="00FB6AF4"/>
    <w:rsid w:val="00FB6D4A"/>
    <w:rsid w:val="00FC0D8A"/>
    <w:rsid w:val="00FC0E5F"/>
    <w:rsid w:val="00FC135D"/>
    <w:rsid w:val="00FC26FB"/>
    <w:rsid w:val="00FC2AEC"/>
    <w:rsid w:val="00FC2CF4"/>
    <w:rsid w:val="00FC3C84"/>
    <w:rsid w:val="00FC4660"/>
    <w:rsid w:val="00FC56DE"/>
    <w:rsid w:val="00FC5E01"/>
    <w:rsid w:val="00FC6140"/>
    <w:rsid w:val="00FD0F51"/>
    <w:rsid w:val="00FD1261"/>
    <w:rsid w:val="00FD1627"/>
    <w:rsid w:val="00FD1BBD"/>
    <w:rsid w:val="00FD2FF9"/>
    <w:rsid w:val="00FD301F"/>
    <w:rsid w:val="00FD38B2"/>
    <w:rsid w:val="00FD419D"/>
    <w:rsid w:val="00FD43A0"/>
    <w:rsid w:val="00FD45DB"/>
    <w:rsid w:val="00FD473D"/>
    <w:rsid w:val="00FD55BA"/>
    <w:rsid w:val="00FD594D"/>
    <w:rsid w:val="00FD61C8"/>
    <w:rsid w:val="00FD63CE"/>
    <w:rsid w:val="00FD7D49"/>
    <w:rsid w:val="00FE1251"/>
    <w:rsid w:val="00FE16E6"/>
    <w:rsid w:val="00FE2F78"/>
    <w:rsid w:val="00FE3510"/>
    <w:rsid w:val="00FE371D"/>
    <w:rsid w:val="00FE375F"/>
    <w:rsid w:val="00FE3D8B"/>
    <w:rsid w:val="00FE42D4"/>
    <w:rsid w:val="00FE4BD3"/>
    <w:rsid w:val="00FE4FCB"/>
    <w:rsid w:val="00FE5BCA"/>
    <w:rsid w:val="00FE688F"/>
    <w:rsid w:val="00FE705E"/>
    <w:rsid w:val="00FF02EB"/>
    <w:rsid w:val="00FF152D"/>
    <w:rsid w:val="00FF1738"/>
    <w:rsid w:val="00FF1D20"/>
    <w:rsid w:val="00FF28E0"/>
    <w:rsid w:val="00FF2FB4"/>
    <w:rsid w:val="00FF30B3"/>
    <w:rsid w:val="00FF3DF3"/>
    <w:rsid w:val="00FF4027"/>
    <w:rsid w:val="00FF45A2"/>
    <w:rsid w:val="00FF5250"/>
    <w:rsid w:val="00FF55B1"/>
    <w:rsid w:val="00FF65DF"/>
    <w:rsid w:val="00FF7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nhideWhenUsed="0" w:qFormat="1"/>
  </w:latentStyles>
  <w:style w:type="paragraph" w:default="1" w:styleId="Normln">
    <w:name w:val="Normal"/>
    <w:qFormat/>
    <w:rsid w:val="005E492C"/>
    <w:pPr>
      <w:spacing w:line="288" w:lineRule="auto"/>
    </w:pPr>
    <w:rPr>
      <w:rFonts w:ascii="Arial" w:hAnsi="Arial"/>
      <w:szCs w:val="24"/>
    </w:rPr>
  </w:style>
  <w:style w:type="paragraph" w:styleId="Nadpis1">
    <w:name w:val="heading 1"/>
    <w:basedOn w:val="Normln"/>
    <w:next w:val="Normln"/>
    <w:link w:val="Nadpis1Char"/>
    <w:uiPriority w:val="9"/>
    <w:qFormat/>
    <w:rsid w:val="005E492C"/>
    <w:pPr>
      <w:keepNext/>
      <w:keepLines/>
      <w:spacing w:after="200"/>
      <w:outlineLvl w:val="0"/>
    </w:pPr>
    <w:rPr>
      <w:rFonts w:eastAsia="MS Gothic"/>
      <w:b/>
      <w:bCs/>
      <w:color w:val="71818C"/>
      <w:sz w:val="32"/>
      <w:szCs w:val="28"/>
    </w:rPr>
  </w:style>
  <w:style w:type="paragraph" w:styleId="Nadpis2">
    <w:name w:val="heading 2"/>
    <w:basedOn w:val="Normln"/>
    <w:next w:val="Normln"/>
    <w:link w:val="Nadpis2Char"/>
    <w:uiPriority w:val="99"/>
    <w:qFormat/>
    <w:rsid w:val="005E492C"/>
    <w:pPr>
      <w:keepNext/>
      <w:keepLines/>
      <w:outlineLvl w:val="1"/>
    </w:pPr>
    <w:rPr>
      <w:rFonts w:eastAsia="MS Gothic"/>
      <w:b/>
      <w:bCs/>
      <w:color w:val="71818C"/>
      <w:sz w:val="28"/>
      <w:szCs w:val="26"/>
    </w:rPr>
  </w:style>
  <w:style w:type="paragraph" w:styleId="Nadpis3">
    <w:name w:val="heading 3"/>
    <w:basedOn w:val="Normln"/>
    <w:next w:val="Normln"/>
    <w:link w:val="Nadpis3Char"/>
    <w:uiPriority w:val="99"/>
    <w:qFormat/>
    <w:rsid w:val="005E492C"/>
    <w:pPr>
      <w:keepNext/>
      <w:keepLines/>
      <w:outlineLvl w:val="2"/>
    </w:pPr>
    <w:rPr>
      <w:rFonts w:eastAsia="MS Gothic"/>
      <w:b/>
      <w:bCs/>
      <w:color w:val="71818C"/>
      <w:sz w:val="24"/>
    </w:rPr>
  </w:style>
  <w:style w:type="paragraph" w:styleId="Nadpis4">
    <w:name w:val="heading 4"/>
    <w:basedOn w:val="Normln"/>
    <w:next w:val="Normln"/>
    <w:link w:val="Nadpis4Char"/>
    <w:uiPriority w:val="99"/>
    <w:qFormat/>
    <w:rsid w:val="005E492C"/>
    <w:pPr>
      <w:keepNext/>
      <w:keepLines/>
      <w:outlineLvl w:val="3"/>
    </w:pPr>
    <w:rPr>
      <w:rFonts w:eastAsia="MS Gothic"/>
      <w:b/>
      <w:bCs/>
      <w:iCs/>
    </w:rPr>
  </w:style>
  <w:style w:type="paragraph" w:styleId="Nadpis5">
    <w:name w:val="heading 5"/>
    <w:basedOn w:val="Normln"/>
    <w:next w:val="Normln"/>
    <w:link w:val="Nadpis5Char"/>
    <w:uiPriority w:val="99"/>
    <w:qFormat/>
    <w:rsid w:val="007521A1"/>
    <w:pPr>
      <w:spacing w:before="240" w:after="60"/>
      <w:outlineLvl w:val="4"/>
    </w:pPr>
    <w:rPr>
      <w:rFonts w:ascii="Calibri" w:eastAsia="Times New Roman" w:hAnsi="Calibri"/>
      <w:b/>
      <w:bCs/>
      <w:i/>
      <w:iCs/>
      <w:sz w:val="26"/>
      <w:szCs w:val="26"/>
    </w:rPr>
  </w:style>
  <w:style w:type="paragraph" w:styleId="Nadpis6">
    <w:name w:val="heading 6"/>
    <w:basedOn w:val="Normln"/>
    <w:next w:val="Normln"/>
    <w:link w:val="Nadpis6Char"/>
    <w:uiPriority w:val="99"/>
    <w:qFormat/>
    <w:rsid w:val="007521A1"/>
    <w:pPr>
      <w:spacing w:before="240" w:after="60"/>
      <w:outlineLvl w:val="5"/>
    </w:pPr>
    <w:rPr>
      <w:rFonts w:ascii="Calibri" w:eastAsia="Times New Roman"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5E492C"/>
    <w:rPr>
      <w:rFonts w:ascii="Arial" w:eastAsia="MS Gothic" w:hAnsi="Arial" w:cs="Times New Roman"/>
      <w:b/>
      <w:color w:val="71818C"/>
      <w:sz w:val="28"/>
    </w:rPr>
  </w:style>
  <w:style w:type="character" w:customStyle="1" w:styleId="Nadpis2Char">
    <w:name w:val="Nadpis 2 Char"/>
    <w:basedOn w:val="Standardnpsmoodstavce"/>
    <w:link w:val="Nadpis2"/>
    <w:uiPriority w:val="99"/>
    <w:locked/>
    <w:rsid w:val="005E492C"/>
    <w:rPr>
      <w:rFonts w:ascii="Arial" w:eastAsia="MS Gothic" w:hAnsi="Arial" w:cs="Times New Roman"/>
      <w:b/>
      <w:color w:val="71818C"/>
      <w:sz w:val="26"/>
    </w:rPr>
  </w:style>
  <w:style w:type="character" w:customStyle="1" w:styleId="Nadpis3Char">
    <w:name w:val="Nadpis 3 Char"/>
    <w:basedOn w:val="Standardnpsmoodstavce"/>
    <w:link w:val="Nadpis3"/>
    <w:uiPriority w:val="99"/>
    <w:locked/>
    <w:rsid w:val="005E492C"/>
    <w:rPr>
      <w:rFonts w:ascii="Arial" w:eastAsia="MS Gothic" w:hAnsi="Arial" w:cs="Times New Roman"/>
      <w:b/>
      <w:color w:val="71818C"/>
      <w:sz w:val="24"/>
    </w:rPr>
  </w:style>
  <w:style w:type="character" w:customStyle="1" w:styleId="Nadpis4Char">
    <w:name w:val="Nadpis 4 Char"/>
    <w:basedOn w:val="Standardnpsmoodstavce"/>
    <w:link w:val="Nadpis4"/>
    <w:uiPriority w:val="99"/>
    <w:locked/>
    <w:rsid w:val="005E492C"/>
    <w:rPr>
      <w:rFonts w:ascii="Arial" w:eastAsia="MS Gothic" w:hAnsi="Arial" w:cs="Times New Roman"/>
      <w:b/>
      <w:sz w:val="24"/>
    </w:rPr>
  </w:style>
  <w:style w:type="character" w:customStyle="1" w:styleId="Nadpis5Char">
    <w:name w:val="Nadpis 5 Char"/>
    <w:basedOn w:val="Standardnpsmoodstavce"/>
    <w:link w:val="Nadpis5"/>
    <w:uiPriority w:val="99"/>
    <w:semiHidden/>
    <w:locked/>
    <w:rsid w:val="007521A1"/>
    <w:rPr>
      <w:rFonts w:ascii="Calibri" w:hAnsi="Calibri" w:cs="Times New Roman"/>
      <w:b/>
      <w:bCs/>
      <w:i/>
      <w:iCs/>
      <w:sz w:val="26"/>
      <w:szCs w:val="26"/>
    </w:rPr>
  </w:style>
  <w:style w:type="character" w:customStyle="1" w:styleId="Nadpis6Char">
    <w:name w:val="Nadpis 6 Char"/>
    <w:basedOn w:val="Standardnpsmoodstavce"/>
    <w:link w:val="Nadpis6"/>
    <w:uiPriority w:val="99"/>
    <w:semiHidden/>
    <w:locked/>
    <w:rsid w:val="007521A1"/>
    <w:rPr>
      <w:rFonts w:ascii="Calibri" w:hAnsi="Calibri" w:cs="Times New Roman"/>
      <w:b/>
      <w:bCs/>
      <w:sz w:val="22"/>
      <w:szCs w:val="22"/>
    </w:rPr>
  </w:style>
  <w:style w:type="character" w:styleId="Hypertextovodkaz">
    <w:name w:val="Hyperlink"/>
    <w:basedOn w:val="Standardnpsmoodstavce"/>
    <w:uiPriority w:val="99"/>
    <w:rsid w:val="00E71A58"/>
    <w:rPr>
      <w:rFonts w:cs="Times New Roman"/>
      <w:color w:val="0000FF"/>
      <w:u w:val="single"/>
    </w:rPr>
  </w:style>
  <w:style w:type="paragraph" w:customStyle="1" w:styleId="Styl1">
    <w:name w:val="Styl1"/>
    <w:uiPriority w:val="99"/>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rsid w:val="00E71A58"/>
    <w:pPr>
      <w:tabs>
        <w:tab w:val="center" w:pos="4536"/>
        <w:tab w:val="right" w:pos="9072"/>
      </w:tabs>
    </w:pPr>
    <w:rPr>
      <w:rFonts w:ascii="Calibri" w:hAnsi="Calibri"/>
      <w:sz w:val="22"/>
      <w:szCs w:val="22"/>
      <w:lang w:eastAsia="en-US"/>
    </w:rPr>
  </w:style>
  <w:style w:type="character" w:customStyle="1" w:styleId="ZhlavChar">
    <w:name w:val="Záhlaví Char"/>
    <w:basedOn w:val="Standardnpsmoodstavce"/>
    <w:link w:val="Zhlav"/>
    <w:uiPriority w:val="99"/>
    <w:locked/>
    <w:rsid w:val="00E71A58"/>
    <w:rPr>
      <w:rFonts w:cs="Times New Roman"/>
    </w:rPr>
  </w:style>
  <w:style w:type="paragraph" w:styleId="Zpat">
    <w:name w:val="footer"/>
    <w:basedOn w:val="Normln"/>
    <w:link w:val="ZpatChar"/>
    <w:uiPriority w:val="99"/>
    <w:rsid w:val="00E71A58"/>
    <w:pPr>
      <w:tabs>
        <w:tab w:val="center" w:pos="4536"/>
        <w:tab w:val="right" w:pos="9072"/>
      </w:tabs>
    </w:pPr>
    <w:rPr>
      <w:rFonts w:ascii="Calibri" w:hAnsi="Calibri"/>
      <w:sz w:val="22"/>
      <w:szCs w:val="22"/>
      <w:lang w:eastAsia="en-US"/>
    </w:rPr>
  </w:style>
  <w:style w:type="character" w:customStyle="1" w:styleId="ZpatChar">
    <w:name w:val="Zápatí Char"/>
    <w:basedOn w:val="Standardnpsmoodstavce"/>
    <w:link w:val="Zpat"/>
    <w:uiPriority w:val="99"/>
    <w:locked/>
    <w:rsid w:val="00E71A58"/>
    <w:rPr>
      <w:rFonts w:cs="Times New Roman"/>
    </w:rPr>
  </w:style>
  <w:style w:type="paragraph" w:styleId="Textbubliny">
    <w:name w:val="Balloon Text"/>
    <w:basedOn w:val="Normln"/>
    <w:link w:val="TextbublinyChar"/>
    <w:uiPriority w:val="99"/>
    <w:rsid w:val="00E71A58"/>
    <w:rPr>
      <w:rFonts w:ascii="Tahoma" w:hAnsi="Tahoma"/>
      <w:sz w:val="16"/>
      <w:szCs w:val="16"/>
    </w:rPr>
  </w:style>
  <w:style w:type="character" w:customStyle="1" w:styleId="TextbublinyChar">
    <w:name w:val="Text bubliny Char"/>
    <w:basedOn w:val="Standardnpsmoodstavce"/>
    <w:link w:val="Textbubliny"/>
    <w:uiPriority w:val="99"/>
    <w:semiHidden/>
    <w:locked/>
    <w:rsid w:val="00E71A58"/>
    <w:rPr>
      <w:rFonts w:ascii="Tahoma" w:hAnsi="Tahoma" w:cs="Times New Roman"/>
      <w:sz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hAnsi="Minion Pro"/>
      <w:color w:val="000000"/>
      <w:sz w:val="24"/>
      <w:szCs w:val="20"/>
    </w:rPr>
  </w:style>
  <w:style w:type="paragraph" w:styleId="Nzev">
    <w:name w:val="Title"/>
    <w:basedOn w:val="Normln"/>
    <w:next w:val="Normln"/>
    <w:link w:val="NzevChar"/>
    <w:uiPriority w:val="99"/>
    <w:qFormat/>
    <w:rsid w:val="005E492C"/>
    <w:pPr>
      <w:contextualSpacing/>
      <w:outlineLvl w:val="0"/>
    </w:pPr>
    <w:rPr>
      <w:rFonts w:eastAsia="MS Gothic"/>
      <w:b/>
      <w:caps/>
      <w:color w:val="71818C"/>
      <w:sz w:val="56"/>
      <w:szCs w:val="52"/>
    </w:rPr>
  </w:style>
  <w:style w:type="character" w:customStyle="1" w:styleId="NzevChar">
    <w:name w:val="Název Char"/>
    <w:basedOn w:val="Standardnpsmoodstavce"/>
    <w:link w:val="Nzev"/>
    <w:uiPriority w:val="99"/>
    <w:locked/>
    <w:rsid w:val="005E492C"/>
    <w:rPr>
      <w:rFonts w:ascii="Arial" w:eastAsia="MS Gothic" w:hAnsi="Arial" w:cs="Times New Roman"/>
      <w:b/>
      <w:caps/>
      <w:color w:val="71818C"/>
      <w:sz w:val="52"/>
    </w:rPr>
  </w:style>
  <w:style w:type="paragraph" w:styleId="Podtitul">
    <w:name w:val="Subtitle"/>
    <w:basedOn w:val="Normln"/>
    <w:next w:val="Normln"/>
    <w:link w:val="PodtitulChar"/>
    <w:uiPriority w:val="99"/>
    <w:qFormat/>
    <w:rsid w:val="005E492C"/>
    <w:pPr>
      <w:numPr>
        <w:ilvl w:val="1"/>
      </w:numPr>
    </w:pPr>
    <w:rPr>
      <w:rFonts w:eastAsia="MS Gothic"/>
      <w:b/>
      <w:iCs/>
      <w:color w:val="71818C"/>
      <w:sz w:val="28"/>
    </w:rPr>
  </w:style>
  <w:style w:type="character" w:customStyle="1" w:styleId="PodtitulChar">
    <w:name w:val="Podtitul Char"/>
    <w:basedOn w:val="Standardnpsmoodstavce"/>
    <w:link w:val="Podtitul"/>
    <w:uiPriority w:val="99"/>
    <w:locked/>
    <w:rsid w:val="005E492C"/>
    <w:rPr>
      <w:rFonts w:ascii="Arial" w:eastAsia="MS Gothic" w:hAnsi="Arial" w:cs="Times New Roman"/>
      <w:b/>
      <w:color w:val="71818C"/>
      <w:sz w:val="24"/>
    </w:rPr>
  </w:style>
  <w:style w:type="paragraph" w:customStyle="1" w:styleId="Bezmezer1">
    <w:name w:val="Bez mezer1"/>
    <w:aliases w:val="Bez zarážky"/>
    <w:link w:val="NoSpacingChar"/>
    <w:uiPriority w:val="99"/>
    <w:rsid w:val="005E492C"/>
    <w:pPr>
      <w:spacing w:line="288" w:lineRule="auto"/>
    </w:pPr>
    <w:rPr>
      <w:rFonts w:ascii="Arial" w:hAnsi="Arial"/>
      <w:sz w:val="22"/>
      <w:szCs w:val="22"/>
    </w:rPr>
  </w:style>
  <w:style w:type="paragraph" w:customStyle="1" w:styleId="Box1">
    <w:name w:val="Box 1"/>
    <w:basedOn w:val="Zkladnodstavec"/>
    <w:next w:val="Normln"/>
    <w:uiPriority w:val="99"/>
    <w:rsid w:val="005E492C"/>
    <w:pPr>
      <w:ind w:left="1134"/>
    </w:pPr>
    <w:rPr>
      <w:rFonts w:ascii="Arial" w:hAnsi="Arial" w:cs="Arial"/>
      <w:color w:val="71818C"/>
      <w:sz w:val="20"/>
    </w:rPr>
  </w:style>
  <w:style w:type="paragraph" w:customStyle="1" w:styleId="Box2">
    <w:name w:val="Box 2"/>
    <w:basedOn w:val="Zkladnodstavec"/>
    <w:link w:val="Box2Char"/>
    <w:uiPriority w:val="99"/>
    <w:rsid w:val="00010702"/>
    <w:pPr>
      <w:shd w:val="clear" w:color="auto" w:fill="CCC0D9"/>
      <w:tabs>
        <w:tab w:val="left" w:pos="9638"/>
      </w:tabs>
      <w:ind w:left="1134" w:right="-1"/>
      <w:jc w:val="both"/>
    </w:pPr>
    <w:rPr>
      <w:rFonts w:ascii="Arial" w:hAnsi="Arial"/>
      <w:b/>
    </w:rPr>
  </w:style>
  <w:style w:type="paragraph" w:customStyle="1" w:styleId="Box">
    <w:name w:val="Box"/>
    <w:next w:val="Normln"/>
    <w:link w:val="BoxChar"/>
    <w:uiPriority w:val="99"/>
    <w:rsid w:val="005E492C"/>
    <w:pPr>
      <w:shd w:val="clear" w:color="auto" w:fill="EAECEE"/>
      <w:spacing w:line="288" w:lineRule="auto"/>
      <w:ind w:left="1134"/>
    </w:pPr>
    <w:rPr>
      <w:rFonts w:ascii="Arial" w:hAnsi="Arial"/>
      <w:color w:val="000000"/>
      <w:sz w:val="22"/>
      <w:szCs w:val="22"/>
    </w:rPr>
  </w:style>
  <w:style w:type="paragraph" w:customStyle="1" w:styleId="TL-Kontakty">
    <w:name w:val="TL - Kontakty"/>
    <w:next w:val="Normln"/>
    <w:link w:val="TL-KontaktyChar"/>
    <w:uiPriority w:val="99"/>
    <w:rsid w:val="005E492C"/>
    <w:pPr>
      <w:spacing w:after="80"/>
    </w:pPr>
    <w:rPr>
      <w:rFonts w:ascii="Arial" w:hAnsi="Arial"/>
      <w:b/>
      <w:caps/>
      <w:color w:val="BD1B21"/>
      <w:sz w:val="22"/>
      <w:szCs w:val="22"/>
    </w:rPr>
  </w:style>
  <w:style w:type="character" w:customStyle="1" w:styleId="ZkladnodstavecChar">
    <w:name w:val="[Základní odstavec] Char"/>
    <w:link w:val="Zkladnodstavec"/>
    <w:uiPriority w:val="99"/>
    <w:locked/>
    <w:rsid w:val="006710C9"/>
    <w:rPr>
      <w:rFonts w:ascii="Minion Pro" w:hAnsi="Minion Pro"/>
      <w:color w:val="000000"/>
      <w:sz w:val="24"/>
    </w:rPr>
  </w:style>
  <w:style w:type="character" w:customStyle="1" w:styleId="Box2Char">
    <w:name w:val="Box 2 Char"/>
    <w:link w:val="Box2"/>
    <w:uiPriority w:val="99"/>
    <w:locked/>
    <w:rsid w:val="006710C9"/>
    <w:rPr>
      <w:rFonts w:ascii="Arial" w:hAnsi="Arial"/>
      <w:b/>
      <w:color w:val="000000"/>
      <w:sz w:val="24"/>
      <w:shd w:val="clear" w:color="auto" w:fill="CCC0D9"/>
    </w:rPr>
  </w:style>
  <w:style w:type="character" w:customStyle="1" w:styleId="BoxChar">
    <w:name w:val="Box Char"/>
    <w:link w:val="Box"/>
    <w:uiPriority w:val="99"/>
    <w:locked/>
    <w:rsid w:val="005E492C"/>
    <w:rPr>
      <w:rFonts w:ascii="Arial" w:hAnsi="Arial"/>
      <w:color w:val="000000"/>
      <w:sz w:val="22"/>
      <w:szCs w:val="22"/>
      <w:shd w:val="clear" w:color="auto" w:fill="EAECEE"/>
      <w:lang w:bidi="ar-SA"/>
    </w:rPr>
  </w:style>
  <w:style w:type="paragraph" w:customStyle="1" w:styleId="TL-Identifikace">
    <w:name w:val="TL - Identifikace"/>
    <w:next w:val="Normln"/>
    <w:link w:val="TL-IdentifikaceChar"/>
    <w:uiPriority w:val="99"/>
    <w:rsid w:val="005E492C"/>
    <w:pPr>
      <w:spacing w:after="200" w:line="288" w:lineRule="auto"/>
    </w:pPr>
    <w:rPr>
      <w:rFonts w:ascii="Arial" w:hAnsi="Arial"/>
      <w:sz w:val="22"/>
      <w:szCs w:val="22"/>
    </w:rPr>
  </w:style>
  <w:style w:type="character" w:customStyle="1" w:styleId="TL-KontaktyChar">
    <w:name w:val="TL - Kontakty Char"/>
    <w:link w:val="TL-Kontakty"/>
    <w:uiPriority w:val="99"/>
    <w:locked/>
    <w:rsid w:val="005E492C"/>
    <w:rPr>
      <w:rFonts w:ascii="Arial" w:hAnsi="Arial"/>
      <w:b/>
      <w:caps/>
      <w:color w:val="BD1B21"/>
      <w:sz w:val="22"/>
      <w:szCs w:val="22"/>
      <w:lang w:bidi="ar-SA"/>
    </w:rPr>
  </w:style>
  <w:style w:type="character" w:customStyle="1" w:styleId="TL-IdentifikaceChar">
    <w:name w:val="TL - Identifikace Char"/>
    <w:link w:val="TL-Identifikace"/>
    <w:uiPriority w:val="99"/>
    <w:locked/>
    <w:rsid w:val="005E492C"/>
    <w:rPr>
      <w:rFonts w:ascii="Arial" w:hAnsi="Arial"/>
      <w:sz w:val="22"/>
      <w:szCs w:val="22"/>
      <w:lang w:bidi="ar-SA"/>
    </w:rPr>
  </w:style>
  <w:style w:type="paragraph" w:customStyle="1" w:styleId="3372873BB58A4DED866D2BE34882C06C">
    <w:name w:val="3372873BB58A4DED866D2BE34882C06C"/>
    <w:uiPriority w:val="99"/>
    <w:rsid w:val="00EE3E78"/>
    <w:pPr>
      <w:spacing w:after="200" w:line="276" w:lineRule="auto"/>
    </w:pPr>
    <w:rPr>
      <w:rFonts w:eastAsia="MS Mincho"/>
      <w:sz w:val="22"/>
      <w:szCs w:val="22"/>
    </w:rPr>
  </w:style>
  <w:style w:type="paragraph" w:customStyle="1" w:styleId="233E5CD5853943F4BD7E8C4B124C0E1D">
    <w:name w:val="233E5CD5853943F4BD7E8C4B124C0E1D"/>
    <w:uiPriority w:val="99"/>
    <w:rsid w:val="00EE3E78"/>
    <w:pPr>
      <w:spacing w:after="200" w:line="276" w:lineRule="auto"/>
    </w:pPr>
    <w:rPr>
      <w:rFonts w:eastAsia="MS Mincho"/>
      <w:sz w:val="22"/>
      <w:szCs w:val="22"/>
    </w:rPr>
  </w:style>
  <w:style w:type="paragraph" w:customStyle="1" w:styleId="D345FF3D873148C5AE3FBF3267827368">
    <w:name w:val="D345FF3D873148C5AE3FBF3267827368"/>
    <w:uiPriority w:val="99"/>
    <w:rsid w:val="00EE3E78"/>
    <w:pPr>
      <w:spacing w:after="200" w:line="276" w:lineRule="auto"/>
    </w:pPr>
    <w:rPr>
      <w:rFonts w:eastAsia="MS Mincho"/>
      <w:sz w:val="22"/>
      <w:szCs w:val="22"/>
    </w:rPr>
  </w:style>
  <w:style w:type="character" w:customStyle="1" w:styleId="NoSpacingChar">
    <w:name w:val="No Spacing Char"/>
    <w:aliases w:val="Bez zarážky Char"/>
    <w:link w:val="Bezmezer1"/>
    <w:uiPriority w:val="99"/>
    <w:locked/>
    <w:rsid w:val="005E492C"/>
    <w:rPr>
      <w:rFonts w:ascii="Arial" w:hAnsi="Arial"/>
      <w:sz w:val="22"/>
      <w:szCs w:val="22"/>
      <w:lang w:bidi="ar-SA"/>
    </w:rPr>
  </w:style>
  <w:style w:type="paragraph" w:customStyle="1" w:styleId="TL-identifikace-sted">
    <w:name w:val="TL - identifikace - střed"/>
    <w:basedOn w:val="Normln"/>
    <w:link w:val="TL-identifikace-stedChar"/>
    <w:uiPriority w:val="99"/>
    <w:rsid w:val="005E492C"/>
    <w:pPr>
      <w:spacing w:after="200"/>
    </w:pPr>
    <w:rPr>
      <w:sz w:val="24"/>
      <w:szCs w:val="20"/>
    </w:rPr>
  </w:style>
  <w:style w:type="paragraph" w:customStyle="1" w:styleId="TL-Identifikace-dole">
    <w:name w:val="TL - Identifikace - dole"/>
    <w:basedOn w:val="Normln"/>
    <w:link w:val="TL-Identifikace-doleChar"/>
    <w:uiPriority w:val="99"/>
    <w:rsid w:val="005E492C"/>
    <w:pPr>
      <w:spacing w:after="200"/>
    </w:pPr>
    <w:rPr>
      <w:szCs w:val="20"/>
      <w:lang w:eastAsia="ar-SA"/>
    </w:rPr>
  </w:style>
  <w:style w:type="character" w:customStyle="1" w:styleId="TL-identifikace-stedChar">
    <w:name w:val="TL - identifikace - střed Char"/>
    <w:link w:val="TL-identifikace-sted"/>
    <w:uiPriority w:val="99"/>
    <w:locked/>
    <w:rsid w:val="005E492C"/>
    <w:rPr>
      <w:rFonts w:ascii="Arial" w:hAnsi="Arial"/>
      <w:sz w:val="24"/>
    </w:rPr>
  </w:style>
  <w:style w:type="character" w:customStyle="1" w:styleId="TL-Identifikace-doleChar">
    <w:name w:val="TL - Identifikace - dole Char"/>
    <w:link w:val="TL-Identifikace-dole"/>
    <w:uiPriority w:val="99"/>
    <w:locked/>
    <w:rsid w:val="005E492C"/>
    <w:rPr>
      <w:rFonts w:ascii="Arial" w:hAnsi="Arial"/>
      <w:lang w:eastAsia="ar-SA" w:bidi="ar-SA"/>
    </w:rPr>
  </w:style>
  <w:style w:type="paragraph" w:styleId="Nadpisobsahu">
    <w:name w:val="TOC Heading"/>
    <w:basedOn w:val="Nadpis1"/>
    <w:next w:val="Normln"/>
    <w:uiPriority w:val="99"/>
    <w:qFormat/>
    <w:rsid w:val="007521A1"/>
    <w:pPr>
      <w:keepLines w:val="0"/>
      <w:spacing w:before="240" w:after="60"/>
      <w:outlineLvl w:val="9"/>
    </w:pPr>
    <w:rPr>
      <w:rFonts w:ascii="Cambria" w:eastAsia="Times New Roman" w:hAnsi="Cambria"/>
      <w:color w:val="auto"/>
      <w:kern w:val="32"/>
      <w:szCs w:val="32"/>
    </w:rPr>
  </w:style>
  <w:style w:type="paragraph" w:styleId="Obsah1">
    <w:name w:val="toc 1"/>
    <w:basedOn w:val="Normln"/>
    <w:next w:val="Normln"/>
    <w:autoRedefine/>
    <w:uiPriority w:val="39"/>
    <w:rsid w:val="005B22A7"/>
    <w:pPr>
      <w:tabs>
        <w:tab w:val="left" w:pos="660"/>
        <w:tab w:val="right" w:leader="dot" w:pos="9628"/>
      </w:tabs>
      <w:spacing w:after="100" w:line="360" w:lineRule="auto"/>
      <w:jc w:val="both"/>
    </w:pPr>
    <w:rPr>
      <w:rFonts w:cs="Arial"/>
      <w:b/>
      <w:noProof/>
      <w:szCs w:val="20"/>
      <w:lang w:eastAsia="en-US"/>
    </w:rPr>
  </w:style>
  <w:style w:type="paragraph" w:styleId="Obsah2">
    <w:name w:val="toc 2"/>
    <w:basedOn w:val="Normln"/>
    <w:next w:val="Normln"/>
    <w:autoRedefine/>
    <w:uiPriority w:val="99"/>
    <w:rsid w:val="00D142E5"/>
    <w:pPr>
      <w:ind w:left="200"/>
    </w:pPr>
  </w:style>
  <w:style w:type="paragraph" w:styleId="Obsah3">
    <w:name w:val="toc 3"/>
    <w:basedOn w:val="Normln"/>
    <w:next w:val="Normln"/>
    <w:autoRedefine/>
    <w:uiPriority w:val="99"/>
    <w:rsid w:val="00D142E5"/>
    <w:pPr>
      <w:ind w:left="400"/>
    </w:pPr>
  </w:style>
  <w:style w:type="paragraph" w:styleId="Textpoznpodarou">
    <w:name w:val="footnote text"/>
    <w:aliases w:val="Text pozn. pod čarou_martin_ang"/>
    <w:basedOn w:val="Normln"/>
    <w:link w:val="TextpoznpodarouChar"/>
    <w:rsid w:val="00972263"/>
    <w:pPr>
      <w:spacing w:line="240" w:lineRule="auto"/>
    </w:pPr>
    <w:rPr>
      <w:szCs w:val="20"/>
    </w:rPr>
  </w:style>
  <w:style w:type="character" w:customStyle="1" w:styleId="TextpoznpodarouChar">
    <w:name w:val="Text pozn. pod čarou Char"/>
    <w:aliases w:val="Text pozn. pod čarou_martin_ang Char"/>
    <w:basedOn w:val="Standardnpsmoodstavce"/>
    <w:link w:val="Textpoznpodarou"/>
    <w:locked/>
    <w:rsid w:val="00972263"/>
    <w:rPr>
      <w:rFonts w:ascii="Arial" w:hAnsi="Arial" w:cs="Times New Roman"/>
    </w:rPr>
  </w:style>
  <w:style w:type="character" w:styleId="Znakapoznpodarou">
    <w:name w:val="footnote reference"/>
    <w:basedOn w:val="Standardnpsmoodstavce"/>
    <w:rsid w:val="00972263"/>
    <w:rPr>
      <w:rFonts w:cs="Times New Roman"/>
      <w:vertAlign w:val="superscript"/>
    </w:rPr>
  </w:style>
  <w:style w:type="paragraph" w:styleId="Rozvrendokumentu">
    <w:name w:val="Document Map"/>
    <w:basedOn w:val="Normln"/>
    <w:link w:val="RozvrendokumentuChar"/>
    <w:uiPriority w:val="99"/>
    <w:semiHidden/>
    <w:rsid w:val="00D5626D"/>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locked/>
    <w:rsid w:val="00D5626D"/>
    <w:rPr>
      <w:rFonts w:ascii="Tahoma" w:hAnsi="Tahoma" w:cs="Tahoma"/>
      <w:sz w:val="16"/>
      <w:szCs w:val="16"/>
    </w:rPr>
  </w:style>
  <w:style w:type="character" w:styleId="Siln">
    <w:name w:val="Strong"/>
    <w:basedOn w:val="Standardnpsmoodstavce"/>
    <w:uiPriority w:val="99"/>
    <w:qFormat/>
    <w:rsid w:val="00E921C7"/>
    <w:rPr>
      <w:rFonts w:cs="Times New Roman"/>
      <w:b/>
      <w:bCs/>
    </w:rPr>
  </w:style>
  <w:style w:type="paragraph" w:styleId="Odstavecseseznamem">
    <w:name w:val="List Paragraph"/>
    <w:basedOn w:val="Normln"/>
    <w:uiPriority w:val="34"/>
    <w:qFormat/>
    <w:rsid w:val="0046039A"/>
    <w:pPr>
      <w:ind w:left="708"/>
    </w:pPr>
  </w:style>
  <w:style w:type="table" w:styleId="Mkatabulky">
    <w:name w:val="Table Grid"/>
    <w:basedOn w:val="Normlntabulka"/>
    <w:uiPriority w:val="59"/>
    <w:rsid w:val="000779A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katabulky1">
    <w:name w:val="Mřížka tabulky1"/>
    <w:uiPriority w:val="59"/>
    <w:rsid w:val="003D476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mezer">
    <w:name w:val="No Spacing"/>
    <w:uiPriority w:val="1"/>
    <w:qFormat/>
    <w:rsid w:val="007D4281"/>
    <w:pPr>
      <w:jc w:val="both"/>
    </w:pPr>
    <w:rPr>
      <w:rFonts w:ascii="Arial" w:eastAsia="Times New Roman" w:hAnsi="Arial"/>
      <w:szCs w:val="24"/>
    </w:rPr>
  </w:style>
  <w:style w:type="character" w:customStyle="1" w:styleId="ssfpaarticletext">
    <w:name w:val="ssfpaarticletext"/>
    <w:basedOn w:val="Standardnpsmoodstavce"/>
    <w:rsid w:val="00EE0473"/>
  </w:style>
</w:styles>
</file>

<file path=word/webSettings.xml><?xml version="1.0" encoding="utf-8"?>
<w:webSettings xmlns:r="http://schemas.openxmlformats.org/officeDocument/2006/relationships" xmlns:w="http://schemas.openxmlformats.org/wordprocessingml/2006/main">
  <w:divs>
    <w:div w:id="891159435">
      <w:marLeft w:val="0"/>
      <w:marRight w:val="0"/>
      <w:marTop w:val="0"/>
      <w:marBottom w:val="0"/>
      <w:divBdr>
        <w:top w:val="none" w:sz="0" w:space="0" w:color="auto"/>
        <w:left w:val="none" w:sz="0" w:space="0" w:color="auto"/>
        <w:bottom w:val="none" w:sz="0" w:space="0" w:color="auto"/>
        <w:right w:val="none" w:sz="0" w:space="0" w:color="auto"/>
      </w:divBdr>
    </w:div>
    <w:div w:id="891159436">
      <w:marLeft w:val="0"/>
      <w:marRight w:val="0"/>
      <w:marTop w:val="0"/>
      <w:marBottom w:val="0"/>
      <w:divBdr>
        <w:top w:val="none" w:sz="0" w:space="0" w:color="auto"/>
        <w:left w:val="none" w:sz="0" w:space="0" w:color="auto"/>
        <w:bottom w:val="none" w:sz="0" w:space="0" w:color="auto"/>
        <w:right w:val="none" w:sz="0" w:space="0" w:color="auto"/>
      </w:divBdr>
    </w:div>
    <w:div w:id="891159437">
      <w:marLeft w:val="0"/>
      <w:marRight w:val="0"/>
      <w:marTop w:val="0"/>
      <w:marBottom w:val="0"/>
      <w:divBdr>
        <w:top w:val="none" w:sz="0" w:space="0" w:color="auto"/>
        <w:left w:val="none" w:sz="0" w:space="0" w:color="auto"/>
        <w:bottom w:val="none" w:sz="0" w:space="0" w:color="auto"/>
        <w:right w:val="none" w:sz="0" w:space="0" w:color="auto"/>
      </w:divBdr>
    </w:div>
    <w:div w:id="891159438">
      <w:marLeft w:val="0"/>
      <w:marRight w:val="0"/>
      <w:marTop w:val="0"/>
      <w:marBottom w:val="0"/>
      <w:divBdr>
        <w:top w:val="none" w:sz="0" w:space="0" w:color="auto"/>
        <w:left w:val="none" w:sz="0" w:space="0" w:color="auto"/>
        <w:bottom w:val="none" w:sz="0" w:space="0" w:color="auto"/>
        <w:right w:val="none" w:sz="0" w:space="0" w:color="auto"/>
      </w:divBdr>
    </w:div>
    <w:div w:id="891159439">
      <w:marLeft w:val="0"/>
      <w:marRight w:val="0"/>
      <w:marTop w:val="0"/>
      <w:marBottom w:val="0"/>
      <w:divBdr>
        <w:top w:val="none" w:sz="0" w:space="0" w:color="auto"/>
        <w:left w:val="none" w:sz="0" w:space="0" w:color="auto"/>
        <w:bottom w:val="none" w:sz="0" w:space="0" w:color="auto"/>
        <w:right w:val="none" w:sz="0" w:space="0" w:color="auto"/>
      </w:divBdr>
    </w:div>
    <w:div w:id="891159440">
      <w:marLeft w:val="0"/>
      <w:marRight w:val="0"/>
      <w:marTop w:val="0"/>
      <w:marBottom w:val="0"/>
      <w:divBdr>
        <w:top w:val="none" w:sz="0" w:space="0" w:color="auto"/>
        <w:left w:val="none" w:sz="0" w:space="0" w:color="auto"/>
        <w:bottom w:val="none" w:sz="0" w:space="0" w:color="auto"/>
        <w:right w:val="none" w:sz="0" w:space="0" w:color="auto"/>
      </w:divBdr>
    </w:div>
    <w:div w:id="891159441">
      <w:marLeft w:val="0"/>
      <w:marRight w:val="0"/>
      <w:marTop w:val="0"/>
      <w:marBottom w:val="0"/>
      <w:divBdr>
        <w:top w:val="none" w:sz="0" w:space="0" w:color="auto"/>
        <w:left w:val="none" w:sz="0" w:space="0" w:color="auto"/>
        <w:bottom w:val="none" w:sz="0" w:space="0" w:color="auto"/>
        <w:right w:val="none" w:sz="0" w:space="0" w:color="auto"/>
      </w:divBdr>
    </w:div>
    <w:div w:id="891159442">
      <w:marLeft w:val="0"/>
      <w:marRight w:val="0"/>
      <w:marTop w:val="0"/>
      <w:marBottom w:val="0"/>
      <w:divBdr>
        <w:top w:val="none" w:sz="0" w:space="0" w:color="auto"/>
        <w:left w:val="none" w:sz="0" w:space="0" w:color="auto"/>
        <w:bottom w:val="none" w:sz="0" w:space="0" w:color="auto"/>
        <w:right w:val="none" w:sz="0" w:space="0" w:color="auto"/>
      </w:divBdr>
    </w:div>
    <w:div w:id="891159443">
      <w:marLeft w:val="0"/>
      <w:marRight w:val="0"/>
      <w:marTop w:val="0"/>
      <w:marBottom w:val="0"/>
      <w:divBdr>
        <w:top w:val="none" w:sz="0" w:space="0" w:color="auto"/>
        <w:left w:val="none" w:sz="0" w:space="0" w:color="auto"/>
        <w:bottom w:val="none" w:sz="0" w:space="0" w:color="auto"/>
        <w:right w:val="none" w:sz="0" w:space="0" w:color="auto"/>
      </w:divBdr>
    </w:div>
    <w:div w:id="891159444">
      <w:marLeft w:val="0"/>
      <w:marRight w:val="0"/>
      <w:marTop w:val="0"/>
      <w:marBottom w:val="0"/>
      <w:divBdr>
        <w:top w:val="none" w:sz="0" w:space="0" w:color="auto"/>
        <w:left w:val="none" w:sz="0" w:space="0" w:color="auto"/>
        <w:bottom w:val="none" w:sz="0" w:space="0" w:color="auto"/>
        <w:right w:val="none" w:sz="0" w:space="0" w:color="auto"/>
      </w:divBdr>
    </w:div>
    <w:div w:id="891159445">
      <w:marLeft w:val="0"/>
      <w:marRight w:val="0"/>
      <w:marTop w:val="0"/>
      <w:marBottom w:val="0"/>
      <w:divBdr>
        <w:top w:val="none" w:sz="0" w:space="0" w:color="auto"/>
        <w:left w:val="none" w:sz="0" w:space="0" w:color="auto"/>
        <w:bottom w:val="none" w:sz="0" w:space="0" w:color="auto"/>
        <w:right w:val="none" w:sz="0" w:space="0" w:color="auto"/>
      </w:divBdr>
    </w:div>
    <w:div w:id="891159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VA~1\AppData\Local\Temp\publikace%20bar_vicetematicke.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D094A-8B05-4983-9F02-975B2C46FD6E}">
  <ds:schemaRefs>
    <ds:schemaRef ds:uri="http://schemas.openxmlformats.org/officeDocument/2006/bibliography"/>
  </ds:schemaRefs>
</ds:datastoreItem>
</file>

<file path=customXml/itemProps2.xml><?xml version="1.0" encoding="utf-8"?>
<ds:datastoreItem xmlns:ds="http://schemas.openxmlformats.org/officeDocument/2006/customXml" ds:itemID="{8689DB4C-B922-49CC-8243-8B55C276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bar_vicetematicke</Template>
  <TotalTime>3</TotalTime>
  <Pages>4</Pages>
  <Words>1873</Words>
  <Characters>11054</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CSU</Company>
  <LinksUpToDate>false</LinksUpToDate>
  <CharactersWithSpaces>12902</CharactersWithSpaces>
  <SharedDoc>false</SharedDoc>
  <HLinks>
    <vt:vector size="66" baseType="variant">
      <vt:variant>
        <vt:i4>1376311</vt:i4>
      </vt:variant>
      <vt:variant>
        <vt:i4>50</vt:i4>
      </vt:variant>
      <vt:variant>
        <vt:i4>0</vt:i4>
      </vt:variant>
      <vt:variant>
        <vt:i4>5</vt:i4>
      </vt:variant>
      <vt:variant>
        <vt:lpwstr/>
      </vt:variant>
      <vt:variant>
        <vt:lpwstr>_Toc469327805</vt:lpwstr>
      </vt:variant>
      <vt:variant>
        <vt:i4>1376311</vt:i4>
      </vt:variant>
      <vt:variant>
        <vt:i4>44</vt:i4>
      </vt:variant>
      <vt:variant>
        <vt:i4>0</vt:i4>
      </vt:variant>
      <vt:variant>
        <vt:i4>5</vt:i4>
      </vt:variant>
      <vt:variant>
        <vt:lpwstr/>
      </vt:variant>
      <vt:variant>
        <vt:lpwstr>_Toc469327804</vt:lpwstr>
      </vt:variant>
      <vt:variant>
        <vt:i4>1376311</vt:i4>
      </vt:variant>
      <vt:variant>
        <vt:i4>38</vt:i4>
      </vt:variant>
      <vt:variant>
        <vt:i4>0</vt:i4>
      </vt:variant>
      <vt:variant>
        <vt:i4>5</vt:i4>
      </vt:variant>
      <vt:variant>
        <vt:lpwstr/>
      </vt:variant>
      <vt:variant>
        <vt:lpwstr>_Toc469327803</vt:lpwstr>
      </vt:variant>
      <vt:variant>
        <vt:i4>1376311</vt:i4>
      </vt:variant>
      <vt:variant>
        <vt:i4>32</vt:i4>
      </vt:variant>
      <vt:variant>
        <vt:i4>0</vt:i4>
      </vt:variant>
      <vt:variant>
        <vt:i4>5</vt:i4>
      </vt:variant>
      <vt:variant>
        <vt:lpwstr/>
      </vt:variant>
      <vt:variant>
        <vt:lpwstr>_Toc469327802</vt:lpwstr>
      </vt:variant>
      <vt:variant>
        <vt:i4>1376311</vt:i4>
      </vt:variant>
      <vt:variant>
        <vt:i4>26</vt:i4>
      </vt:variant>
      <vt:variant>
        <vt:i4>0</vt:i4>
      </vt:variant>
      <vt:variant>
        <vt:i4>5</vt:i4>
      </vt:variant>
      <vt:variant>
        <vt:lpwstr/>
      </vt:variant>
      <vt:variant>
        <vt:lpwstr>_Toc469327801</vt:lpwstr>
      </vt:variant>
      <vt:variant>
        <vt:i4>1376311</vt:i4>
      </vt:variant>
      <vt:variant>
        <vt:i4>20</vt:i4>
      </vt:variant>
      <vt:variant>
        <vt:i4>0</vt:i4>
      </vt:variant>
      <vt:variant>
        <vt:i4>5</vt:i4>
      </vt:variant>
      <vt:variant>
        <vt:lpwstr/>
      </vt:variant>
      <vt:variant>
        <vt:lpwstr>_Toc469327800</vt:lpwstr>
      </vt:variant>
      <vt:variant>
        <vt:i4>1835064</vt:i4>
      </vt:variant>
      <vt:variant>
        <vt:i4>14</vt:i4>
      </vt:variant>
      <vt:variant>
        <vt:i4>0</vt:i4>
      </vt:variant>
      <vt:variant>
        <vt:i4>5</vt:i4>
      </vt:variant>
      <vt:variant>
        <vt:lpwstr/>
      </vt:variant>
      <vt:variant>
        <vt:lpwstr>_Toc469327799</vt:lpwstr>
      </vt:variant>
      <vt:variant>
        <vt:i4>1835064</vt:i4>
      </vt:variant>
      <vt:variant>
        <vt:i4>8</vt:i4>
      </vt:variant>
      <vt:variant>
        <vt:i4>0</vt:i4>
      </vt:variant>
      <vt:variant>
        <vt:i4>5</vt:i4>
      </vt:variant>
      <vt:variant>
        <vt:lpwstr/>
      </vt:variant>
      <vt:variant>
        <vt:lpwstr>_Toc469327798</vt:lpwstr>
      </vt:variant>
      <vt:variant>
        <vt:i4>1835064</vt:i4>
      </vt:variant>
      <vt:variant>
        <vt:i4>2</vt:i4>
      </vt:variant>
      <vt:variant>
        <vt:i4>0</vt:i4>
      </vt:variant>
      <vt:variant>
        <vt:i4>5</vt:i4>
      </vt:variant>
      <vt:variant>
        <vt:lpwstr/>
      </vt:variant>
      <vt:variant>
        <vt:lpwstr>_Toc469327797</vt:lpwstr>
      </vt:variant>
      <vt:variant>
        <vt:i4>6553606</vt:i4>
      </vt:variant>
      <vt:variant>
        <vt:i4>3</vt:i4>
      </vt:variant>
      <vt:variant>
        <vt:i4>0</vt:i4>
      </vt:variant>
      <vt:variant>
        <vt:i4>5</vt:i4>
      </vt:variant>
      <vt:variant>
        <vt:lpwstr>mailto:jiri.kamenicky@czso.cz</vt:lpwstr>
      </vt:variant>
      <vt:variant>
        <vt:lpwstr/>
      </vt:variant>
      <vt:variant>
        <vt:i4>6553606</vt:i4>
      </vt:variant>
      <vt:variant>
        <vt:i4>0</vt:i4>
      </vt:variant>
      <vt:variant>
        <vt:i4>0</vt:i4>
      </vt:variant>
      <vt:variant>
        <vt:i4>5</vt:i4>
      </vt:variant>
      <vt:variant>
        <vt:lpwstr>mailto:jiri.kamenicky@czso.cz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Jašová</dc:creator>
  <cp:lastModifiedBy>kamenicky3604</cp:lastModifiedBy>
  <cp:revision>4</cp:revision>
  <cp:lastPrinted>2017-03-16T10:07:00Z</cp:lastPrinted>
  <dcterms:created xsi:type="dcterms:W3CDTF">2017-04-24T09:58:00Z</dcterms:created>
  <dcterms:modified xsi:type="dcterms:W3CDTF">2017-04-24T10:06:00Z</dcterms:modified>
</cp:coreProperties>
</file>