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6D" w:rsidRPr="006E4CC9" w:rsidRDefault="00D7626D" w:rsidP="006E4CC9">
      <w:pPr>
        <w:pStyle w:val="Nadpis1"/>
        <w:rPr>
          <w:szCs w:val="24"/>
        </w:rPr>
      </w:pPr>
      <w:bookmarkStart w:id="0" w:name="_Toc451166913"/>
      <w:bookmarkStart w:id="1" w:name="_Toc451166929"/>
      <w:bookmarkStart w:id="2" w:name="_Toc451175102"/>
      <w:bookmarkStart w:id="3" w:name="_Toc451180158"/>
      <w:bookmarkStart w:id="4" w:name="_Toc483227180"/>
      <w:r w:rsidRPr="006E4CC9">
        <w:t>2. Hospodaření kulturních institucí v roce 201</w:t>
      </w:r>
      <w:bookmarkEnd w:id="0"/>
      <w:bookmarkEnd w:id="1"/>
      <w:bookmarkEnd w:id="2"/>
      <w:bookmarkEnd w:id="3"/>
      <w:bookmarkEnd w:id="4"/>
      <w:r w:rsidR="002315E3">
        <w:t>5</w:t>
      </w:r>
    </w:p>
    <w:p w:rsidR="00D7626D" w:rsidRPr="00DF5C19" w:rsidRDefault="00D7626D" w:rsidP="00DF5C19">
      <w:pPr>
        <w:pStyle w:val="Nadpis2"/>
        <w:rPr>
          <w:szCs w:val="24"/>
        </w:rPr>
      </w:pPr>
      <w:bookmarkStart w:id="5" w:name="_Toc451166914"/>
      <w:bookmarkStart w:id="6" w:name="_Toc451166930"/>
      <w:bookmarkStart w:id="7" w:name="_Toc451175103"/>
      <w:bookmarkStart w:id="8" w:name="_Toc451180159"/>
      <w:bookmarkStart w:id="9" w:name="_Toc483227181"/>
      <w:r w:rsidRPr="00DF5C19">
        <w:t>2.1. Zdroje financování kultury</w:t>
      </w:r>
      <w:bookmarkEnd w:id="5"/>
      <w:bookmarkEnd w:id="6"/>
      <w:bookmarkEnd w:id="7"/>
      <w:bookmarkEnd w:id="8"/>
      <w:bookmarkEnd w:id="9"/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spacing w:after="360"/>
        <w:ind w:right="102"/>
        <w:jc w:val="both"/>
        <w:rPr>
          <w:rFonts w:cs="Arial"/>
        </w:rPr>
      </w:pPr>
      <w:r w:rsidRPr="00722C25">
        <w:rPr>
          <w:rFonts w:cs="Arial"/>
        </w:rPr>
        <w:t xml:space="preserve">Celková výše finančních zdrojů vstupujících do sektoru kultury dosáhla v roce 2015 více než 226,6 mld. Kč (viz tab. </w:t>
      </w:r>
      <w:proofErr w:type="gramStart"/>
      <w:r w:rsidRPr="00722C25">
        <w:rPr>
          <w:rFonts w:cs="Arial"/>
        </w:rPr>
        <w:t>č.1 v příloze</w:t>
      </w:r>
      <w:proofErr w:type="gramEnd"/>
      <w:r w:rsidRPr="00722C25">
        <w:rPr>
          <w:rFonts w:cs="Arial"/>
        </w:rPr>
        <w:t xml:space="preserve">). V porovnání s rokem předcházejícím to bylo o 0,8 mld. Kč (o téměř 0,4 %) více. Použitelnými zdroji se rozumí veškeré provozní příjmy (snížené o zaplacené daně), investiční dotace, přijaté úvěry a půjčky (bez splacených), dary apod. získané institucemi s převažujícími kulturními </w:t>
      </w:r>
      <w:r w:rsidR="00EC42F4" w:rsidRPr="00722C25">
        <w:rPr>
          <w:rFonts w:cs="Arial"/>
        </w:rPr>
        <w:t>aktivitami během</w:t>
      </w:r>
      <w:r w:rsidRPr="00722C25">
        <w:rPr>
          <w:rFonts w:cs="Arial"/>
        </w:rPr>
        <w:t xml:space="preserve"> refe</w:t>
      </w:r>
      <w:r w:rsidRPr="00722C25">
        <w:rPr>
          <w:rFonts w:cs="Arial"/>
        </w:rPr>
        <w:softHyphen/>
        <w:t xml:space="preserve">renčního roku.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spacing w:after="360"/>
        <w:ind w:right="102"/>
        <w:jc w:val="both"/>
        <w:rPr>
          <w:rFonts w:cs="Arial"/>
        </w:rPr>
      </w:pPr>
      <w:r w:rsidRPr="00722C25">
        <w:rPr>
          <w:rFonts w:cs="Arial"/>
        </w:rPr>
        <w:t xml:space="preserve">Co se původu finančních zdrojů týče, největší část jich pochází z oblasti finančních a nefinančních podniků (dále také “podniky”), na druhém místě jsou domácnosti, na třetím veřejné rozpočty, dále neziskové instituce a na posledním místě je mezinárodní prostředí (uvedené pořadí se po řadu let nemění).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spacing w:after="360"/>
        <w:ind w:right="102"/>
        <w:jc w:val="both"/>
        <w:rPr>
          <w:rFonts w:cs="Arial"/>
        </w:rPr>
      </w:pPr>
      <w:r w:rsidRPr="00722C25">
        <w:rPr>
          <w:rFonts w:cs="Arial"/>
        </w:rPr>
        <w:t>V jednotlivých oblastech (odvětvích) kultury je obrázek podílů zdrojů financování poněkud odlišný. Zatímco</w:t>
      </w:r>
      <w:r w:rsidR="00B86977">
        <w:rPr>
          <w:rFonts w:cs="Arial"/>
        </w:rPr>
        <w:t> </w:t>
      </w:r>
      <w:r w:rsidRPr="00722C25">
        <w:rPr>
          <w:rFonts w:cs="Arial"/>
        </w:rPr>
        <w:t>v kulturním dě</w:t>
      </w:r>
      <w:r w:rsidRPr="00722C25">
        <w:rPr>
          <w:rFonts w:cs="Arial"/>
        </w:rPr>
        <w:softHyphen/>
        <w:t xml:space="preserve">dictví, interpretačním umění, uměleckém vzdělávání a v činnostech správního </w:t>
      </w:r>
      <w:r w:rsidR="00EC42F4" w:rsidRPr="00722C25">
        <w:rPr>
          <w:rFonts w:cs="Arial"/>
        </w:rPr>
        <w:t>charakteru</w:t>
      </w:r>
      <w:r w:rsidRPr="00722C25">
        <w:rPr>
          <w:rFonts w:cs="Arial"/>
        </w:rPr>
        <w:t xml:space="preserve"> jsou rozhodující veřejné rozpočty (se zhruba dvoutřetinovým podílem), v tržně orientovaných odvětvích (výtvarné umění, tisk, média, architektura, reklama) to jsou zdroje podniků a domácností. </w:t>
      </w:r>
    </w:p>
    <w:p w:rsidR="00DF5C19" w:rsidRDefault="00722C25" w:rsidP="00D14FA7">
      <w:pPr>
        <w:widowControl w:val="0"/>
        <w:overflowPunct w:val="0"/>
        <w:autoSpaceDE w:val="0"/>
        <w:autoSpaceDN w:val="0"/>
        <w:adjustRightInd w:val="0"/>
        <w:spacing w:after="360"/>
        <w:ind w:right="102"/>
        <w:jc w:val="both"/>
        <w:rPr>
          <w:rFonts w:cs="Arial"/>
        </w:rPr>
      </w:pPr>
      <w:r w:rsidRPr="00722C25">
        <w:rPr>
          <w:rFonts w:cs="Arial"/>
        </w:rPr>
        <w:t xml:space="preserve">Jak ukazuje následující tabulka, v pětileté časové řadě (2010 - 2015) jsou patrné tendence růstu podílu domácností a zejména zahraničí na celkových zdrojích, stagnace podílu veřejných rozpočtů a naopak poklesu (či v posledním roce stagnace) podílu podniků. S ohledem na poměrně nízkou absolutní úroveň jsou výkyvy podílů ostatních zdrojů velmi vysoké. </w:t>
      </w:r>
    </w:p>
    <w:p w:rsidR="00DF5C19" w:rsidRDefault="00DF5C19" w:rsidP="00D14FA7">
      <w:pPr>
        <w:widowControl w:val="0"/>
        <w:overflowPunct w:val="0"/>
        <w:autoSpaceDE w:val="0"/>
        <w:autoSpaceDN w:val="0"/>
        <w:adjustRightInd w:val="0"/>
        <w:spacing w:after="360"/>
        <w:ind w:right="102"/>
        <w:jc w:val="both"/>
        <w:rPr>
          <w:rFonts w:cs="Aria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299"/>
        <w:gridCol w:w="544"/>
        <w:gridCol w:w="755"/>
        <w:gridCol w:w="521"/>
        <w:gridCol w:w="779"/>
        <w:gridCol w:w="496"/>
        <w:gridCol w:w="803"/>
        <w:gridCol w:w="473"/>
        <w:gridCol w:w="826"/>
        <w:gridCol w:w="308"/>
        <w:gridCol w:w="992"/>
      </w:tblGrid>
      <w:tr w:rsidR="000D418C" w:rsidRPr="00FC56DE" w:rsidTr="00C73D1B">
        <w:trPr>
          <w:trHeight w:val="465"/>
        </w:trPr>
        <w:tc>
          <w:tcPr>
            <w:tcW w:w="9654" w:type="dxa"/>
            <w:gridSpan w:val="12"/>
            <w:tcBorders>
              <w:left w:val="nil"/>
              <w:bottom w:val="single" w:sz="4" w:space="0" w:color="auto"/>
            </w:tcBorders>
          </w:tcPr>
          <w:p w:rsidR="000D418C" w:rsidRDefault="000D418C" w:rsidP="00435C42">
            <w:pPr>
              <w:pStyle w:val="Zkladnodstavec"/>
              <w:spacing w:line="240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</w:rPr>
              <w:br w:type="page"/>
            </w:r>
            <w:r>
              <w:rPr>
                <w:rFonts w:eastAsia="Times New Roman"/>
                <w:color w:val="auto"/>
              </w:rPr>
              <w:br w:type="page"/>
            </w:r>
            <w:r>
              <w:rPr>
                <w:rFonts w:cs="Arial"/>
                <w:b/>
                <w:szCs w:val="16"/>
              </w:rPr>
              <w:t>Podíly jednotlivých zdrojů na financování kultury</w:t>
            </w:r>
          </w:p>
          <w:p w:rsidR="000D418C" w:rsidRPr="00435C42" w:rsidRDefault="000D418C" w:rsidP="00435C42">
            <w:pPr>
              <w:pStyle w:val="Zkladnodstavec"/>
              <w:spacing w:line="240" w:lineRule="auto"/>
              <w:jc w:val="right"/>
              <w:rPr>
                <w:rFonts w:cs="Arial"/>
                <w:szCs w:val="16"/>
                <w:lang w:val="en-US"/>
              </w:rPr>
            </w:pPr>
            <w:r w:rsidRPr="00435C42">
              <w:rPr>
                <w:rFonts w:cs="Arial"/>
                <w:sz w:val="16"/>
                <w:szCs w:val="16"/>
              </w:rPr>
              <w:t xml:space="preserve">v </w:t>
            </w:r>
            <w:r w:rsidRPr="00435C42">
              <w:rPr>
                <w:rFonts w:cs="Arial"/>
                <w:sz w:val="16"/>
                <w:szCs w:val="16"/>
                <w:lang w:val="en-US"/>
              </w:rPr>
              <w:t>%</w:t>
            </w:r>
            <w:r w:rsidRPr="00435C42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22C25" w:rsidRPr="00FC56DE" w:rsidTr="00722C25">
        <w:trPr>
          <w:trHeight w:val="465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722C25" w:rsidRPr="006C123E" w:rsidRDefault="00722C25" w:rsidP="00D14FA7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Původ zdroje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DADD"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5DADD"/>
            <w:vAlign w:val="center"/>
          </w:tcPr>
          <w:p w:rsidR="00722C25" w:rsidRDefault="00722C25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2015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5DADD"/>
            <w:vAlign w:val="center"/>
            <w:hideMark/>
          </w:tcPr>
          <w:p w:rsidR="00722C25" w:rsidRPr="00D14FA7" w:rsidRDefault="002315E3" w:rsidP="00722C25">
            <w:pPr>
              <w:pStyle w:val="Zkladnodstavec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t>Index 2015</w:t>
            </w:r>
            <w:r w:rsidR="00722C25">
              <w:rPr>
                <w:rFonts w:cs="Arial"/>
                <w:b/>
                <w:sz w:val="16"/>
                <w:szCs w:val="16"/>
              </w:rPr>
              <w:t>/10</w:t>
            </w:r>
          </w:p>
        </w:tc>
      </w:tr>
      <w:tr w:rsidR="00722C25" w:rsidRPr="006C123E" w:rsidTr="00722C25">
        <w:trPr>
          <w:trHeight w:val="28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Veřejné rozpočty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13,5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14,5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15,8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15,9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22C25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15,1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111,9</w:t>
            </w:r>
          </w:p>
        </w:tc>
      </w:tr>
      <w:tr w:rsidR="00722C25" w:rsidRPr="006C123E" w:rsidTr="00722C25">
        <w:trPr>
          <w:trHeight w:val="28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Domácnosti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16,8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19,5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20,2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C25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19,8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117,9</w:t>
            </w:r>
          </w:p>
        </w:tc>
      </w:tr>
      <w:tr w:rsidR="00722C25" w:rsidRPr="006C123E" w:rsidTr="00722C25">
        <w:trPr>
          <w:trHeight w:val="28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Podniky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66,7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62,2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62,5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61,8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C25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62,3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93,4</w:t>
            </w:r>
          </w:p>
        </w:tc>
      </w:tr>
      <w:tr w:rsidR="00722C25" w:rsidRPr="006C123E" w:rsidTr="00722C25">
        <w:trPr>
          <w:trHeight w:val="28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Neziskové instituce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2,8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3,2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C25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1,6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57,1</w:t>
            </w:r>
          </w:p>
        </w:tc>
      </w:tr>
      <w:tr w:rsidR="00722C25" w:rsidRPr="006C123E" w:rsidTr="00722C25">
        <w:trPr>
          <w:trHeight w:val="28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D14FA7">
            <w:pPr>
              <w:pStyle w:val="Zkladnodstavec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 svět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0,2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1,0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C25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25" w:rsidRPr="006C123E" w:rsidRDefault="00722C25" w:rsidP="00722C25">
            <w:pPr>
              <w:pStyle w:val="Zkladnodstavec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600,0</w:t>
            </w:r>
          </w:p>
        </w:tc>
      </w:tr>
      <w:tr w:rsidR="00722C25" w:rsidRPr="006C123E" w:rsidTr="00722C25">
        <w:trPr>
          <w:trHeight w:val="1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25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25" w:rsidRPr="006C123E" w:rsidRDefault="00722C25" w:rsidP="003B4B72">
            <w:pPr>
              <w:pStyle w:val="Zkladnodstavec"/>
              <w:rPr>
                <w:rFonts w:cs="Arial"/>
                <w:sz w:val="16"/>
                <w:szCs w:val="16"/>
              </w:rPr>
            </w:pPr>
          </w:p>
        </w:tc>
      </w:tr>
    </w:tbl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Z veřejných rozpočtů bylo v roce 2015 věnováno na kulturu téměř 34,3 mld. Kč, tj. o 1 599 mil. Kč (o 4,5 %) méně než v roce předcházejícím. Tato částka představuje konsolidované provozní a investiční výdaje organizačních složek státu, územních samosprávných celků a státních mimorozpočtových fondů (fondu kultury a fondu pro podporu a rozvoj české kinematografie) na bázi po</w:t>
      </w:r>
      <w:r w:rsidRPr="00722C25">
        <w:rPr>
          <w:rFonts w:cs="Arial"/>
        </w:rPr>
        <w:softHyphen/>
        <w:t xml:space="preserve">kladního plnění.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Z celkové výše výdajů bylo více než 28,2 mld. Kč určeno na provozní účely a necelých 6,1 mld. Kč na investice. Z pohledu úrovně veřejných zdrojů bylo nejvíce - jak provozních, tak i investičních prostředků - vydáno na kulturu z obecních a městských rozpočtů (téměř 49 %) a to zejména do oblasti kulturního dědictví, interpretačního umění a uměleckého vzdělávání.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 xml:space="preserve">Celková finanční částka věnovaná kultuře v roce 2015 představovala 1,93 % veřejných rozpočtů.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 xml:space="preserve">Nepřímou pomoc státu kultuře je nemožné kvantifikovat, mimo jiné i proto, že její část může přicházet </w:t>
      </w:r>
      <w:r w:rsidRPr="00722C25">
        <w:rPr>
          <w:rFonts w:cs="Arial"/>
        </w:rPr>
        <w:lastRenderedPageBreak/>
        <w:t>i prostřednictvím vý</w:t>
      </w:r>
      <w:r w:rsidRPr="00722C25">
        <w:rPr>
          <w:rFonts w:cs="Arial"/>
        </w:rPr>
        <w:softHyphen/>
        <w:t xml:space="preserve">dajů domácností a podniků (snížení základu daně v případě daru kulturní instituci).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Výdaje domácností na kulturu se v roce 2015 v porovnání s předcházejícím rokem mírně poklesly (o 1,5 %) a dosáhly 44,9 mld. Kč. Jejich váha v celkových finančních zdrojích kul</w:t>
      </w:r>
      <w:r w:rsidRPr="00722C25">
        <w:rPr>
          <w:rFonts w:cs="Arial"/>
        </w:rPr>
        <w:softHyphen/>
        <w:t xml:space="preserve">tury však v posledních pěti letech rostla (s výjimkou zahraničních zdrojů nejvíce).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 xml:space="preserve">Výdaje domácností směřovaly zejména do sféry médií a tisku (televize, rozhlas, kino, knihy a tisk atd.) a to ve výši 31,4 mld. Kč, což představuje podíl téměř 70 %. Mnohem méně prostředků domácnosti vydaly v oblasti kulturního dědictví, živé umělecké tvorby (interpretační a výtvarné umění) a uměleckého vzdělávání (celkem 8,5 mld. Kč). Výdaje domácností na kulturu mají nejčastěji podobu vstupného, nákupu občerstvení a upomínkových předmětů, řemeslných výrobků, koncesionářských poplatků, jiných poplatků za služby, úhrad školného, zápisného a úhrad nákupů zboží kulturní povahy (knihy, časopisy, obrazy, starožitnosti atd.). 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Podíl výdajů domácností na kulturu na celkových čistých peněžních výdajích domácností dosáhl v roce 2015 zhruba 3,2 %.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V rámci ostatních zdrojů financování kultury (65 % podíl na celkových zdrojích) mají nejvýznamnější postavení fi</w:t>
      </w:r>
      <w:r w:rsidRPr="00722C25">
        <w:rPr>
          <w:rFonts w:cs="Arial"/>
        </w:rPr>
        <w:softHyphen/>
        <w:t>nanční a nefinanční podniky (141,1 mld. Kč), dále nevládní neziskové instituce (3,5 mld. Kč). Rostoucím zdrojem doplňkového charakteru byly prostředky ze zahraničí (2,7 mld. Kč). V porovnání s předcházejícím rokem byly ostatní zdroje o 3,1 mld. Kč (2,1 %) vyšší.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Co se týče jejich rozdělení do jednotlivých oblastí, směřovaly ostatní zdroje zejména do reklamy (67,4</w:t>
      </w:r>
      <w:r w:rsidR="000D418C">
        <w:rPr>
          <w:rFonts w:cs="Arial"/>
        </w:rPr>
        <w:t> </w:t>
      </w:r>
      <w:r w:rsidRPr="00722C25">
        <w:rPr>
          <w:rFonts w:cs="Arial"/>
        </w:rPr>
        <w:t>mld. Kč), médií (22,8 mld. Kč) a tisku (20,7 mld. Kč). Na druhé straně mnohem méně do oborů živé umělecké tvorby, ve kterých tradičně převa</w:t>
      </w:r>
      <w:r w:rsidRPr="00722C25">
        <w:rPr>
          <w:rFonts w:cs="Arial"/>
        </w:rPr>
        <w:softHyphen/>
        <w:t>žuje účast zdrojů veřejných.</w:t>
      </w:r>
    </w:p>
    <w:p w:rsidR="00722C25" w:rsidRPr="00722C25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Mírné zvýšení celkových finančních zdrojů kultury má bezesporu souvislost s </w:t>
      </w:r>
      <w:r w:rsidR="00EC42F4" w:rsidRPr="00722C25">
        <w:rPr>
          <w:rFonts w:cs="Arial"/>
        </w:rPr>
        <w:t>postupným návratem</w:t>
      </w:r>
      <w:r w:rsidRPr="00722C25">
        <w:rPr>
          <w:rFonts w:cs="Arial"/>
        </w:rPr>
        <w:t xml:space="preserve"> reálného eko</w:t>
      </w:r>
      <w:r w:rsidRPr="00722C25">
        <w:rPr>
          <w:rFonts w:cs="Arial"/>
        </w:rPr>
        <w:softHyphen/>
        <w:t>nomického růstu počínajícím již v roce 2013.</w:t>
      </w:r>
    </w:p>
    <w:p w:rsidR="00D7626D" w:rsidRDefault="00722C25" w:rsidP="00722C25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cs="Arial"/>
        </w:rPr>
      </w:pPr>
      <w:r w:rsidRPr="00722C25">
        <w:rPr>
          <w:rFonts w:cs="Arial"/>
        </w:rPr>
        <w:t>Rozdílná míra uplatnění zdrojů v jednotlivých kulturních oblastech je odrazem odlišné úrovně rozvoje tržních vztahů v kulturním sektoru. Zatímco se veřejné zdroje nejvíce angažují v oblasti kulturního dědictví, uměleckého vzdělávání, interpre</w:t>
      </w:r>
      <w:r w:rsidRPr="00722C25">
        <w:rPr>
          <w:rFonts w:cs="Arial"/>
        </w:rPr>
        <w:softHyphen/>
        <w:t xml:space="preserve">tačního umění a správy, tak domácnosti a zejména podniky v oblastech tisku, audiovize, reklamy a architektury. </w:t>
      </w:r>
    </w:p>
    <w:p w:rsidR="00D7626D" w:rsidRDefault="00D7626D" w:rsidP="006E4CC9">
      <w:pPr>
        <w:pStyle w:val="Nadpis2"/>
      </w:pPr>
      <w:bookmarkStart w:id="10" w:name="_Toc451166915"/>
      <w:bookmarkStart w:id="11" w:name="_Toc451166931"/>
      <w:bookmarkStart w:id="12" w:name="_Toc451175104"/>
      <w:bookmarkStart w:id="13" w:name="_Toc451180160"/>
      <w:bookmarkStart w:id="14" w:name="_Toc483227182"/>
      <w:r w:rsidRPr="006E4CC9">
        <w:t>2.2. Mikroekonomický pohled</w:t>
      </w:r>
      <w:bookmarkEnd w:id="10"/>
      <w:bookmarkEnd w:id="11"/>
      <w:bookmarkEnd w:id="12"/>
      <w:bookmarkEnd w:id="13"/>
      <w:bookmarkEnd w:id="14"/>
    </w:p>
    <w:p w:rsidR="00722C25" w:rsidRPr="00722C25" w:rsidRDefault="00722C25" w:rsidP="00722C25">
      <w:pPr>
        <w:pStyle w:val="Nadpis3"/>
        <w:spacing w:after="240"/>
      </w:pPr>
      <w:bookmarkStart w:id="15" w:name="_Toc483227183"/>
      <w:r>
        <w:t>2.2.1. Finanční hospodaření</w:t>
      </w:r>
      <w:bookmarkEnd w:id="15"/>
    </w:p>
    <w:p w:rsidR="00722C25" w:rsidRPr="00722C25" w:rsidRDefault="00722C25" w:rsidP="00EC42F4">
      <w:pPr>
        <w:jc w:val="both"/>
      </w:pPr>
      <w:r w:rsidRPr="00722C25">
        <w:t>Tabulky č. 3 a  4 uvedené v příloze umožňují hodnotit základní ekonomické ukazatele z výkazů zisku a ztrát kulturních institucí získané zejména z ročních zjišťování podniko</w:t>
      </w:r>
      <w:r w:rsidRPr="00722C25">
        <w:softHyphen/>
        <w:t>vého charakteru (výkazy P 5 – 01, NI a KULT). Je třeba dodat, že podniky jsou v rámci těchto šetření zařazovány do jednotlivých odvětví či oborů dle zásady převažující části tržeb, a tak jejich veškeré tržby nutně nepocházejí z aktivit kulturního charakteru. Na druhé straně nejsou zahrnuty podniky, které mohou provozovat i kulturní činnosti, avšak převažující část jejic</w:t>
      </w:r>
      <w:r w:rsidR="000D418C">
        <w:t>h tržeb souvisí s aktivitami ne</w:t>
      </w:r>
      <w:r w:rsidRPr="00722C25">
        <w:t xml:space="preserve">-kulturními. Cenou za úplnější pohled, který tak získáváme, je nižší přesnost (resp. „odvětvová“ jemnost či čistota) zjištěných dat. </w:t>
      </w:r>
    </w:p>
    <w:p w:rsidR="00722C25" w:rsidRPr="00722C25" w:rsidRDefault="00722C25" w:rsidP="00EC42F4">
      <w:pPr>
        <w:jc w:val="both"/>
      </w:pPr>
      <w:r w:rsidRPr="00722C25">
        <w:t xml:space="preserve">Jak ukazují tab. </w:t>
      </w:r>
      <w:proofErr w:type="gramStart"/>
      <w:r w:rsidRPr="00722C25">
        <w:t>č.</w:t>
      </w:r>
      <w:proofErr w:type="gramEnd"/>
      <w:r w:rsidRPr="00722C25">
        <w:t> 3, 4 a 10 hospodaření sektoru kultury skončilo v roce 2015 kladným hospodářským výsledkem ve výši 16,6 mld. Kč. Tato částka zhruba odpovídá ziskové marži (zisk po zdanění dělený tržbami) ve výši 8,4 % (tj. o 1,5 </w:t>
      </w:r>
      <w:proofErr w:type="spellStart"/>
      <w:proofErr w:type="gramStart"/>
      <w:r w:rsidRPr="00722C25">
        <w:t>p.b</w:t>
      </w:r>
      <w:proofErr w:type="spellEnd"/>
      <w:r w:rsidRPr="00722C25">
        <w:t>. více</w:t>
      </w:r>
      <w:proofErr w:type="gramEnd"/>
      <w:r w:rsidRPr="00722C25">
        <w:t xml:space="preserve"> než v roce 2014). Také tento výsledek svědčí o tom, že ekonomické oživení patrné od roku 2014 neminulo ani kulturu. </w:t>
      </w:r>
    </w:p>
    <w:p w:rsidR="00722C25" w:rsidRPr="00722C25" w:rsidRDefault="00722C25" w:rsidP="00EC42F4">
      <w:pPr>
        <w:jc w:val="both"/>
      </w:pPr>
      <w:r w:rsidRPr="00722C25">
        <w:lastRenderedPageBreak/>
        <w:t>Hospodaření jednotlivých oblastí kultury a poskytovatelů kulturních služeb je tradičně velmi nevyrovnané. Zatímco v kulturním dědictví a částečně i v interpretačním umění bylo dosaženo nemalé ztráty (archivy,</w:t>
      </w:r>
      <w:r w:rsidR="000D418C">
        <w:t> </w:t>
      </w:r>
      <w:r w:rsidRPr="00722C25">
        <w:t>knihovny či festivaly), jiná odvětví byla naopak značně zisková (reklama, architektura, média, tisk). Podle stupně ekonomické soběstačnosti (relace mezi tržbami za vlastní výkony a celkovými výdaji) lze v rámci sektoru kultury odlišit dvě rozdílné sféry hospodaření. Do prvé patří oblasti tradičního umění orientované spíše na publikum a návštěvnost, pro které je nepostradatelná finanční podpora z veřejných zdrojů (kulturní dědictví, divadla, soubory, festivaly atd.) a do druhé – orientované na trh – lze zařadit sféru krea</w:t>
      </w:r>
      <w:r w:rsidRPr="00722C25">
        <w:softHyphen/>
        <w:t>tivních aktivit (reklama, architektura, design) a dále média a tisk.</w:t>
      </w:r>
    </w:p>
    <w:p w:rsidR="00D7626D" w:rsidRDefault="00722C25" w:rsidP="00EC42F4">
      <w:pPr>
        <w:jc w:val="both"/>
      </w:pPr>
      <w:r w:rsidRPr="00722C25">
        <w:t>To je zřejmé i na úrovni stupně soběstačnosti (relace tržeb za vlastní výkony k celkovým výdajům), který při průměrné úrovni 87,9 % dosahuje v např. v tvorbě videoher 143 %, v designu 111,7 %. Na druhé straně v interpretačním umění pouze 36,6 %.</w:t>
      </w:r>
    </w:p>
    <w:p w:rsidR="00B405D1" w:rsidRDefault="00B405D1" w:rsidP="00B405D1">
      <w:pPr>
        <w:pStyle w:val="Nadpis3"/>
        <w:spacing w:after="240"/>
      </w:pPr>
      <w:bookmarkStart w:id="16" w:name="_Toc483227184"/>
      <w:r>
        <w:t>2.2.2. Spotřeba živé práce</w:t>
      </w:r>
      <w:bookmarkEnd w:id="16"/>
    </w:p>
    <w:p w:rsidR="00B405D1" w:rsidRPr="00B405D1" w:rsidRDefault="00B405D1" w:rsidP="00EC42F4">
      <w:pPr>
        <w:jc w:val="both"/>
      </w:pPr>
      <w:r w:rsidRPr="00B405D1">
        <w:t xml:space="preserve">Kvantifikace rozsahu práce vstupující do kulturních aktivit je poměrně složitá. Pracovní zapojení má více forem a skutečností je, že relativně nejpřesněji je evidován rozsah práce zaměstnanců s pracovní smlouvou. Problematičtější je postižení prací na základě dohod, prací dobrovolníků a také zapojení OSVČ či podnikatelů a jejich rodinných příslušníků. </w:t>
      </w:r>
    </w:p>
    <w:p w:rsidR="00B405D1" w:rsidRPr="00B405D1" w:rsidRDefault="00B405D1" w:rsidP="00EC42F4">
      <w:pPr>
        <w:jc w:val="both"/>
      </w:pPr>
      <w:r w:rsidRPr="00B405D1">
        <w:t xml:space="preserve">Počínaje referenčním rokem 2015 je možné využít dvou rozdílných zdrojů dat. Spolu s klasickými statistickými šetřeními v kulturních institucích (KULT, SBS, NI a doplňková zjišťování) přichází nově v úvahu tzv. Výběrové šetření pracovních sil (dále také „VŠPS“), které má </w:t>
      </w:r>
      <w:r w:rsidR="000D418C" w:rsidRPr="00B405D1">
        <w:t>-</w:t>
      </w:r>
      <w:r w:rsidRPr="00B405D1">
        <w:t xml:space="preserve"> za cenu nižší přesnosti - širší záběr. Umožňuje tak postihnout různorodé pracovní zapojení v kulturních aktivitách, i mimo ně. </w:t>
      </w:r>
    </w:p>
    <w:p w:rsidR="00B405D1" w:rsidRPr="00B405D1" w:rsidRDefault="00B405D1" w:rsidP="00EC42F4">
      <w:pPr>
        <w:jc w:val="both"/>
      </w:pPr>
      <w:r w:rsidRPr="00B405D1">
        <w:t>Tabulka č. 7a obsahuje údaje o zaměstnanosti a mzdách v kultuře vycházející z klasických šetření podnikového charakteru. Podle jejích výsledků v kultuře v roce 2015 pracovalo více než 98 tis. pracovníků, z toho zhruba 89 tis zaměstnanců (přepočtený stav) a zbytek dobrovolníků bez nároku na odměnu. Nad</w:t>
      </w:r>
      <w:r w:rsidR="000D418C">
        <w:t> </w:t>
      </w:r>
      <w:r w:rsidRPr="00B405D1">
        <w:t>tento počet lze zřejmě předpo</w:t>
      </w:r>
      <w:r w:rsidRPr="00B405D1">
        <w:softHyphen/>
        <w:t>kládat dalších několik tisíc osob pracujících v resortu na základě dohod o pracovní činnosti či v postavení osoby samo</w:t>
      </w:r>
      <w:r w:rsidRPr="00B405D1">
        <w:softHyphen/>
        <w:t>statně výdělečně činné (jejich počet výše uvedená zjišťování nepostihují). Pokud bychom přepočetli výši vykázaných ostatních osobních výdajů a honorářů v kultuře pomocí průměrných mezd, dojdeme k počtu dalších cca 8 tis. pracovníků zapojených na základě dohod a autorských smluv. To je celkem cca 100 tis. osob pracujících v institucích s převažující kulturní činností (v</w:t>
      </w:r>
      <w:r w:rsidR="000D418C">
        <w:t> </w:t>
      </w:r>
      <w:r w:rsidRPr="00B405D1">
        <w:t xml:space="preserve">přepočtu na plnou pracovní dobu). </w:t>
      </w:r>
    </w:p>
    <w:p w:rsidR="00B405D1" w:rsidRPr="00B405D1" w:rsidRDefault="00B405D1" w:rsidP="00EC42F4">
      <w:pPr>
        <w:jc w:val="both"/>
      </w:pPr>
      <w:r w:rsidRPr="00B405D1">
        <w:t>Průměrná hrubá měsíční mzda v kultuře v roce 2015 dosáhla 25 966 Kč. V porovnání s předcházejícím rokem se zvýšila o 1,5 % (reálně jen o 1,1</w:t>
      </w:r>
      <w:r w:rsidR="000D418C">
        <w:t xml:space="preserve"> </w:t>
      </w:r>
      <w:r w:rsidRPr="00B405D1">
        <w:t xml:space="preserve">%), avšak ve srovnání s průměrnou mzdou dosaženou v celé ekonomice (26 467 Kč) byla o 501 Kč (o 1,9 %) nižší. Zejména v případě kultury platí, že průměr (jako charakteristika celého souboru) má velmi nízkou vypovídací schopnost. Také do oblasti mezd se promítají podstatné rozdíly v úrovni hospodaření dvou odlišných sfér sektoru kultury - tradičních odvětví na straně jedné - a médií, tisku a kreativních oborů na straně druhé (viz tab. </w:t>
      </w:r>
      <w:proofErr w:type="gramStart"/>
      <w:r w:rsidRPr="00B405D1">
        <w:t>č.</w:t>
      </w:r>
      <w:proofErr w:type="gramEnd"/>
      <w:r w:rsidRPr="00B405D1">
        <w:t> 10). Zatímco v sektoru klasických kulturních odvětví průměrná měsíční mzda mírně přesáhla 20 tis. Kč, tak v kulturních průmyslech (tisk,</w:t>
      </w:r>
      <w:r w:rsidR="000D418C">
        <w:t> </w:t>
      </w:r>
      <w:r w:rsidRPr="00B405D1">
        <w:t>audio</w:t>
      </w:r>
      <w:r w:rsidR="000D418C">
        <w:t>-</w:t>
      </w:r>
      <w:r w:rsidRPr="00B405D1">
        <w:t xml:space="preserve">video) to bylo více než 31 tis. Kč. Celkově platí, že více než 70 % zaměstnanců v sektoru kultury pracuje v odvětvích s nižší než celostátní průměrnou mzdou (tab. </w:t>
      </w:r>
      <w:proofErr w:type="gramStart"/>
      <w:r w:rsidRPr="00B405D1">
        <w:t>č.</w:t>
      </w:r>
      <w:proofErr w:type="gramEnd"/>
      <w:r w:rsidRPr="00B405D1">
        <w:t xml:space="preserve"> 7 a). </w:t>
      </w:r>
    </w:p>
    <w:p w:rsidR="00B405D1" w:rsidRPr="00B405D1" w:rsidRDefault="00B405D1" w:rsidP="00EC42F4">
      <w:pPr>
        <w:jc w:val="both"/>
      </w:pPr>
      <w:r w:rsidRPr="00B405D1">
        <w:t>Výběrové šetření pracovních sil prováděné ČSÚ rozšiřuje pohled na spotřebu živé práce vynaložené v kulturních aktivitách o instituce s převažující jinou než kulturní činností a dále o zapojení podnikatelů, popř.</w:t>
      </w:r>
      <w:r w:rsidR="000D418C">
        <w:t> </w:t>
      </w:r>
      <w:r w:rsidRPr="00B405D1">
        <w:t xml:space="preserve">jejich rodinných příslušníků (viz tab. </w:t>
      </w:r>
      <w:proofErr w:type="gramStart"/>
      <w:r w:rsidRPr="00B405D1">
        <w:t>č.</w:t>
      </w:r>
      <w:proofErr w:type="gramEnd"/>
      <w:r w:rsidRPr="00B405D1">
        <w:t xml:space="preserve"> 7 b). Určité omezení spočívá ve skutečnosti, že neposkytuje údaje o finančních nákladech vynaložené práce a o počtu dobrovolných pracovníků. </w:t>
      </w:r>
    </w:p>
    <w:p w:rsidR="00B405D1" w:rsidRPr="00B405D1" w:rsidRDefault="00B405D1" w:rsidP="00EC42F4">
      <w:pPr>
        <w:jc w:val="both"/>
      </w:pPr>
      <w:r w:rsidRPr="00B405D1">
        <w:lastRenderedPageBreak/>
        <w:t>Celkový rozsah pracovního zapojení v kulturních ak</w:t>
      </w:r>
      <w:r w:rsidR="000D418C">
        <w:t xml:space="preserve">tivitách (včetně institucí </w:t>
      </w:r>
      <w:proofErr w:type="gramStart"/>
      <w:r w:rsidR="000D418C">
        <w:t>ne–</w:t>
      </w:r>
      <w:r w:rsidRPr="00B405D1">
        <w:t>kulturního</w:t>
      </w:r>
      <w:proofErr w:type="gramEnd"/>
      <w:r w:rsidRPr="00B405D1">
        <w:t xml:space="preserve"> zaměření) představoval - dle výše uvedeného zdroje dat </w:t>
      </w:r>
      <w:r w:rsidR="000D418C" w:rsidRPr="00B405D1">
        <w:t>-</w:t>
      </w:r>
      <w:r w:rsidRPr="00B405D1">
        <w:t xml:space="preserve"> téměř 211 tis. pracujících osob. Z tohoto počtu bylo necelých 76 tis. podnikatelů.  Ze zbývajícího počtu 134,8 tis. osob bylo 112,5 tis. osob zaměstnáno na plný pracovní úvazek a 22,3 tis. osob na úvazek částečný či formou dohody o pracovní činnosti (popř. dohody o proved</w:t>
      </w:r>
      <w:r w:rsidR="00A0370B">
        <w:t>e</w:t>
      </w:r>
      <w:r w:rsidRPr="00B405D1">
        <w:t>ní práce), nebo pracovali jako pomáhající rodinní příslušníci.</w:t>
      </w:r>
    </w:p>
    <w:p w:rsidR="00B405D1" w:rsidRPr="00B405D1" w:rsidRDefault="00B405D1" w:rsidP="00EC42F4">
      <w:pPr>
        <w:jc w:val="both"/>
      </w:pPr>
      <w:r w:rsidRPr="00B405D1">
        <w:t>Výsledky uvedeného šetření umožňují kvantifikovat spotřebu živé práce v členění na instituce (právnické či fyz</w:t>
      </w:r>
      <w:r w:rsidR="000D418C">
        <w:t xml:space="preserve">ické osoby) s kulturní a s </w:t>
      </w:r>
      <w:proofErr w:type="gramStart"/>
      <w:r w:rsidR="000D418C">
        <w:t>ne–</w:t>
      </w:r>
      <w:r w:rsidRPr="00B405D1">
        <w:t>kulturní</w:t>
      </w:r>
      <w:proofErr w:type="gramEnd"/>
      <w:r w:rsidRPr="00B405D1">
        <w:t xml:space="preserve"> převažující činností. Z celkového </w:t>
      </w:r>
      <w:proofErr w:type="gramStart"/>
      <w:r w:rsidRPr="00B405D1">
        <w:t>počtu  téměř</w:t>
      </w:r>
      <w:proofErr w:type="gramEnd"/>
      <w:r w:rsidRPr="00B405D1">
        <w:t xml:space="preserve">  211 tis. pracujících osob jich v jiných než kulturních institucích pracovalo 37,5 tis., </w:t>
      </w:r>
      <w:proofErr w:type="spellStart"/>
      <w:r w:rsidRPr="00B405D1">
        <w:t>tj</w:t>
      </w:r>
      <w:proofErr w:type="spellEnd"/>
      <w:r w:rsidRPr="00B405D1">
        <w:t xml:space="preserve"> necelých 18 %. Ze zbývajícího počtu 173,1</w:t>
      </w:r>
      <w:r w:rsidR="000D418C">
        <w:t> </w:t>
      </w:r>
      <w:r w:rsidRPr="00B405D1">
        <w:t>tis. pracovníků kulturních institucí bylo aktivních 89 tis. (51,4%) v povoláních ku</w:t>
      </w:r>
      <w:r w:rsidR="00A0370B">
        <w:t>l</w:t>
      </w:r>
      <w:r w:rsidRPr="00B405D1">
        <w:t xml:space="preserve">turního charakteru (např. jako zpěváci, herci či designéři) a 84,1 </w:t>
      </w:r>
      <w:r w:rsidR="000D418C">
        <w:t>tis. (48,6 %) v povoláních ne-</w:t>
      </w:r>
      <w:r w:rsidRPr="00B405D1">
        <w:t xml:space="preserve">kulturního zaměření (administrativa, účetnictví, IT profese atd.). </w:t>
      </w:r>
    </w:p>
    <w:p w:rsidR="00B405D1" w:rsidRPr="00B405D1" w:rsidRDefault="00B405D1" w:rsidP="00EC42F4">
      <w:pPr>
        <w:jc w:val="both"/>
      </w:pPr>
      <w:r w:rsidRPr="00B405D1">
        <w:t>Jak je zřejmé, kulturní činnosti (povolání) nejsou zvlášť silně centralizovány do kulturního sektoru, resp.</w:t>
      </w:r>
      <w:r w:rsidR="000D418C">
        <w:t> </w:t>
      </w:r>
      <w:r w:rsidRPr="00B405D1">
        <w:t>institucí, jejichž větší část příjmů je generována kulturními aktivitami. Z celkového počtu těch, jejichž</w:t>
      </w:r>
      <w:r w:rsidR="000D418C">
        <w:t> </w:t>
      </w:r>
      <w:r w:rsidRPr="00B405D1">
        <w:t>náplň práce má kulturní obsah (126,6 tis. osob) jich patří do kulturního sekt</w:t>
      </w:r>
      <w:r w:rsidR="00A0370B">
        <w:t>o</w:t>
      </w:r>
      <w:r w:rsidRPr="00B405D1">
        <w:t xml:space="preserve">ru zhruba 70 %. </w:t>
      </w:r>
    </w:p>
    <w:p w:rsidR="00B405D1" w:rsidRPr="00B405D1" w:rsidRDefault="00B405D1" w:rsidP="00EC42F4">
      <w:pPr>
        <w:jc w:val="both"/>
      </w:pPr>
      <w:r w:rsidRPr="00B405D1">
        <w:t>Přepočtený počet zaměstnanců kulturního sektoru představuje 2,3 % z počtu zaměstnanců pracujících v celé ekonomice (měřeno mzdovými náklady by byla váha ku</w:t>
      </w:r>
      <w:r w:rsidR="00A0370B">
        <w:t>l</w:t>
      </w:r>
      <w:r w:rsidRPr="00B405D1">
        <w:t>turního sektoru mírně nižší - 2,2 %).</w:t>
      </w:r>
    </w:p>
    <w:p w:rsidR="00B405D1" w:rsidRDefault="00B405D1" w:rsidP="00EC42F4">
      <w:pPr>
        <w:jc w:val="both"/>
      </w:pPr>
      <w:r w:rsidRPr="00B405D1">
        <w:t>Pokud bychom k institucím s převažující kulturní činností připočetli i zaměstnance ku</w:t>
      </w:r>
      <w:r w:rsidR="00A0370B">
        <w:t>l</w:t>
      </w:r>
      <w:r w:rsidRPr="00B405D1">
        <w:t>turních pro</w:t>
      </w:r>
      <w:r w:rsidRPr="00B405D1">
        <w:softHyphen/>
        <w:t>fesí mimo ku</w:t>
      </w:r>
      <w:r w:rsidR="00A0370B">
        <w:t>l</w:t>
      </w:r>
      <w:r w:rsidRPr="00B405D1">
        <w:t xml:space="preserve">turní sektor (z výsledků VŠPS), došli bychom k podílu 2,9 %. Konečně po započtení všech osob pracujících jak na plný pracovní úvazek či na základě dohod, tak i dobrovolníků a </w:t>
      </w:r>
      <w:proofErr w:type="gramStart"/>
      <w:r w:rsidRPr="00B405D1">
        <w:t>podnikatelů  by</w:t>
      </w:r>
      <w:proofErr w:type="gramEnd"/>
      <w:r w:rsidRPr="00B405D1">
        <w:t xml:space="preserve">  dosáhl  podíl kulturních aktivit v ekonomice </w:t>
      </w:r>
      <w:r>
        <w:t xml:space="preserve">téměř </w:t>
      </w:r>
      <w:r w:rsidRPr="00B405D1">
        <w:t>4,4 %.</w:t>
      </w:r>
    </w:p>
    <w:p w:rsidR="00B405D1" w:rsidRDefault="00B405D1" w:rsidP="00B405D1">
      <w:pPr>
        <w:pStyle w:val="Nadpis3"/>
        <w:spacing w:after="240"/>
      </w:pPr>
      <w:bookmarkStart w:id="17" w:name="_Toc483227185"/>
      <w:r>
        <w:t>2.2.3. Investice</w:t>
      </w:r>
      <w:bookmarkEnd w:id="17"/>
    </w:p>
    <w:p w:rsidR="00B405D1" w:rsidRPr="00B405D1" w:rsidRDefault="00B405D1" w:rsidP="00EC42F4">
      <w:pPr>
        <w:jc w:val="both"/>
      </w:pPr>
      <w:r w:rsidRPr="00B405D1">
        <w:t>V p</w:t>
      </w:r>
      <w:r w:rsidR="00A0370B">
        <w:t>o</w:t>
      </w:r>
      <w:r w:rsidRPr="00B405D1">
        <w:t>rovnání s rokem 2014 se objem investičních výdajů zvýšil o 12,5 % (o 1,5 mld. Kč).</w:t>
      </w:r>
    </w:p>
    <w:p w:rsidR="00B405D1" w:rsidRPr="00B405D1" w:rsidRDefault="00B405D1" w:rsidP="00EC42F4">
      <w:pPr>
        <w:jc w:val="both"/>
      </w:pPr>
      <w:r w:rsidRPr="00B405D1">
        <w:t>Rozdílné ekonomické podmínky a výsledky kulturních institucí mají svůj odraz také v investiční aktivitě. Při</w:t>
      </w:r>
      <w:r w:rsidR="000D418C">
        <w:t> </w:t>
      </w:r>
      <w:r w:rsidRPr="00B405D1">
        <w:t xml:space="preserve">průměrné intenzitě investic v přepočtu 152 tis. Kč na zaměstnance v celém kulturním sektoru, to bylo v oborech tradičního umění jen 95,9 tis. Kč, v kreativních průmyslech 196,9 tis. Kč a v kulturních průmyslech (tisk a média) až 205,6 tis. Kč (viz tab. </w:t>
      </w:r>
      <w:proofErr w:type="gramStart"/>
      <w:r w:rsidRPr="00B405D1">
        <w:t>č.</w:t>
      </w:r>
      <w:proofErr w:type="gramEnd"/>
      <w:r w:rsidRPr="00B405D1">
        <w:t> 10). Intenzita investic se v porovnání s rokem 2014 zvýšila nejvíce v tradičních kulturních odvětvích (o 1,6 %), v menší míře také v kulturních průmyslech, naopak poklesla v kreativních průmyslech.</w:t>
      </w:r>
    </w:p>
    <w:p w:rsidR="00B405D1" w:rsidRDefault="00B405D1" w:rsidP="00EC42F4">
      <w:pPr>
        <w:jc w:val="both"/>
      </w:pPr>
      <w:r w:rsidRPr="00B405D1">
        <w:t xml:space="preserve">Co se týče zdrojového krytí investičních výdajů, veřejné finanční zdroje se na něm podílely zhruba ze 45 % (v oblasti kulturního dědictví to bylo 58 %), zahraniční zdroje z 5 % a vlastní popř. jiné ze zbývajících téměř 50 %. V porovnání s rokem 2014 se podíl veřejných zdrojů téměř o 3 </w:t>
      </w:r>
      <w:proofErr w:type="spellStart"/>
      <w:r w:rsidRPr="00B405D1">
        <w:t>p.b</w:t>
      </w:r>
      <w:proofErr w:type="spellEnd"/>
      <w:r w:rsidRPr="00B405D1">
        <w:t xml:space="preserve">. snížil, podíl zahraničních zdrojů se naopak o více než 4 </w:t>
      </w:r>
      <w:proofErr w:type="spellStart"/>
      <w:r w:rsidRPr="00B405D1">
        <w:t>p.b</w:t>
      </w:r>
      <w:proofErr w:type="spellEnd"/>
      <w:r w:rsidRPr="00B405D1">
        <w:t xml:space="preserve">. zvýšil (viz tab. </w:t>
      </w:r>
      <w:proofErr w:type="gramStart"/>
      <w:r w:rsidRPr="00B405D1">
        <w:t>č.</w:t>
      </w:r>
      <w:proofErr w:type="gramEnd"/>
      <w:r w:rsidRPr="00B405D1">
        <w:t> 8).</w:t>
      </w:r>
    </w:p>
    <w:p w:rsidR="00B405D1" w:rsidRDefault="00B405D1" w:rsidP="00B405D1">
      <w:pPr>
        <w:pStyle w:val="Nadpis3"/>
        <w:spacing w:after="240"/>
      </w:pPr>
      <w:bookmarkStart w:id="18" w:name="_Toc483227186"/>
      <w:r>
        <w:t>2.2.4. Zahraniční obchod</w:t>
      </w:r>
      <w:bookmarkEnd w:id="18"/>
    </w:p>
    <w:p w:rsidR="00B405D1" w:rsidRPr="00B405D1" w:rsidRDefault="00B405D1" w:rsidP="00EC42F4">
      <w:pPr>
        <w:jc w:val="both"/>
      </w:pPr>
      <w:r w:rsidRPr="00B405D1">
        <w:t>Pohled na hospodaření sektoru lze částečně doplnit daty o vývozu a dovozu kulturního zboží a služeb (viz</w:t>
      </w:r>
      <w:r w:rsidR="000D418C">
        <w:t> </w:t>
      </w:r>
      <w:r w:rsidRPr="00B405D1">
        <w:t xml:space="preserve">tab. </w:t>
      </w:r>
      <w:proofErr w:type="gramStart"/>
      <w:r w:rsidRPr="00B405D1">
        <w:t>č.</w:t>
      </w:r>
      <w:proofErr w:type="gramEnd"/>
      <w:r w:rsidRPr="00B405D1">
        <w:t xml:space="preserve"> 9). V zahraničním obchodu se zbožím a službami kulturního charakteru bylo dosaženo </w:t>
      </w:r>
      <w:r w:rsidR="000D418C" w:rsidRPr="00B405D1">
        <w:t>-</w:t>
      </w:r>
      <w:r w:rsidRPr="00B405D1">
        <w:t xml:space="preserve"> podobně jako v předcházejících letech </w:t>
      </w:r>
      <w:r w:rsidR="000D418C" w:rsidRPr="00B405D1">
        <w:t>-</w:t>
      </w:r>
      <w:r w:rsidRPr="00B405D1">
        <w:t xml:space="preserve"> kladného salda (2,1 mld. Kč). V porovnání s rokem 2014 se kladný přebytek obchodní výměny snížil o 40% (1,4 mld. Kč), zejména pak v důsledku slabších výsledků v oblasti interpretačního umění, audiovizuální a interaktivní techniky a reklamy. Z územního pohledu mělo na snížení aktivního salda nemalý vliv zvýšení dovozu z mimoevropských teritorií. </w:t>
      </w:r>
    </w:p>
    <w:p w:rsidR="00B405D1" w:rsidRPr="00B405D1" w:rsidRDefault="00B405D1" w:rsidP="00EC42F4">
      <w:pPr>
        <w:jc w:val="both"/>
      </w:pPr>
      <w:r w:rsidRPr="00B405D1">
        <w:t xml:space="preserve">K věrohodnosti výše uvedených výsledků je však třeba dodat, že uvedené údaje neodrážejí celý rozsah obchodní výměny v oblasti kultury (příslušná šetření jsou výběrová). </w:t>
      </w:r>
    </w:p>
    <w:p w:rsidR="00B405D1" w:rsidRPr="00B405D1" w:rsidRDefault="00B405D1" w:rsidP="00EC42F4">
      <w:pPr>
        <w:jc w:val="both"/>
      </w:pPr>
      <w:r w:rsidRPr="00B405D1">
        <w:lastRenderedPageBreak/>
        <w:t xml:space="preserve">Případné porovnání s léty předcházejícími roku 2014 je ztíženo navíc tím, že metodika propočtu ukazatelů zahraničního obchodu byla v roce 2014 aktualizována v návaznosti na záměry </w:t>
      </w:r>
      <w:proofErr w:type="spellStart"/>
      <w:r w:rsidRPr="00B405D1">
        <w:t>Eurostatu</w:t>
      </w:r>
      <w:proofErr w:type="spellEnd"/>
      <w:r w:rsidRPr="00B405D1">
        <w:t xml:space="preserve"> v této oblasti a dále podle specifikace výrobků uměleckých řemesel provedené Národním ústavem lidové kultury.</w:t>
      </w:r>
    </w:p>
    <w:p w:rsidR="00D7626D" w:rsidRPr="006E4CC9" w:rsidRDefault="00D7626D" w:rsidP="006E4CC9">
      <w:pPr>
        <w:pStyle w:val="Nadpis2"/>
        <w:rPr>
          <w:szCs w:val="24"/>
        </w:rPr>
      </w:pPr>
      <w:bookmarkStart w:id="19" w:name="_Toc451166916"/>
      <w:bookmarkStart w:id="20" w:name="_Toc451166932"/>
      <w:bookmarkStart w:id="21" w:name="_Toc451175105"/>
      <w:bookmarkStart w:id="22" w:name="_Toc451180161"/>
      <w:bookmarkStart w:id="23" w:name="_Toc483227187"/>
      <w:r w:rsidRPr="006E4CC9">
        <w:t>2.3. Makroekonomický pohled</w:t>
      </w:r>
      <w:bookmarkEnd w:id="19"/>
      <w:bookmarkEnd w:id="20"/>
      <w:bookmarkEnd w:id="21"/>
      <w:bookmarkEnd w:id="22"/>
      <w:bookmarkEnd w:id="23"/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bookmarkStart w:id="24" w:name="page15"/>
      <w:bookmarkEnd w:id="24"/>
      <w:r w:rsidRPr="00B405D1">
        <w:rPr>
          <w:rFonts w:cs="Arial"/>
        </w:rPr>
        <w:t>Charakteristiku úrovně hospodaření kultury, jako celku i jejích jednotlivých částí, zcela při</w:t>
      </w:r>
      <w:r w:rsidRPr="00B405D1">
        <w:rPr>
          <w:rFonts w:cs="Arial"/>
        </w:rPr>
        <w:softHyphen/>
        <w:t xml:space="preserve">rozeně provází otázka místa a váhy tohoto sektoru v ekonomice. Při hledání odpovědi je třeba využít údajů a metod národního účetnictví. 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S ohledem na disponibilní data o sektoru kultury se jeví jako nejvhodnější pro vyčíslení makroekonomických ukazatelů vý</w:t>
      </w:r>
      <w:r w:rsidRPr="00B405D1">
        <w:rPr>
          <w:rFonts w:cs="Arial"/>
        </w:rPr>
        <w:softHyphen/>
        <w:t xml:space="preserve">robní (odvětvová) metoda výpočtu hrubého domácího produktu (HDP). Podle ní se tento ukazatel rovná součtu hrubé přidané hodnoty zjištěné odpočtem </w:t>
      </w:r>
      <w:proofErr w:type="spellStart"/>
      <w:r w:rsidRPr="00B405D1">
        <w:rPr>
          <w:rFonts w:cs="Arial"/>
        </w:rPr>
        <w:t>mezispotřeby</w:t>
      </w:r>
      <w:proofErr w:type="spellEnd"/>
      <w:r w:rsidRPr="00B405D1">
        <w:rPr>
          <w:rFonts w:cs="Arial"/>
        </w:rPr>
        <w:t xml:space="preserve"> od hodnoty produkce (HPH) a čistých daní, tj. daní z daného odvětví snížených o dotace poskytnuté tomuto odvětví. 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Vstupní data do propočtu by měla vycházet z údajů národního účetnictví, zejména pak z tabulek dodávek a užití. Tyto údaje představují svým způsobem optimální informační soustavu co do své komplexnosti, konzistence a mezinárodní srov</w:t>
      </w:r>
      <w:r w:rsidRPr="00B405D1">
        <w:rPr>
          <w:rFonts w:cs="Arial"/>
        </w:rPr>
        <w:softHyphen/>
        <w:t xml:space="preserve">natelnosti. Uvedené přednosti jsou však vykoupeny vysokou pracností a z pohledu uživatelů dat dlouhou dobou čekání na (postupně upřesňované) výsledky. 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Nutno dodat, že na základě těchto údajů lze makroekonomické ukazatele sektoru kultury spíše odhadovat než přesně kal</w:t>
      </w:r>
      <w:r w:rsidRPr="00B405D1">
        <w:rPr>
          <w:rFonts w:cs="Arial"/>
        </w:rPr>
        <w:softHyphen/>
        <w:t>kulova</w:t>
      </w:r>
      <w:proofErr w:type="spellStart"/>
      <w:r w:rsidRPr="00B405D1">
        <w:rPr>
          <w:rFonts w:cs="Arial"/>
        </w:rPr>
        <w:t>t</w:t>
      </w:r>
      <w:proofErr w:type="spellEnd"/>
      <w:r w:rsidRPr="00B405D1">
        <w:rPr>
          <w:rFonts w:cs="Arial"/>
        </w:rPr>
        <w:t xml:space="preserve">. Je tomu tak zejména pro </w:t>
      </w:r>
      <w:r w:rsidR="00B86977" w:rsidRPr="00B405D1">
        <w:t>-</w:t>
      </w:r>
      <w:r w:rsidRPr="00B405D1">
        <w:rPr>
          <w:rFonts w:cs="Arial"/>
        </w:rPr>
        <w:t xml:space="preserve"> z našeho pohledu - nevhodné členění dat v tabulkách dodávek a užití pouze do úrovně oddílů (na 2 místa NACE), zatímco jsou kulturní aktivity často až na úrovni tříd (4 místa NACE). Jedním příkladem za všechny mohou být architektonické činnosti v tabulkách dodávek a užití, které zahrnují celý oddíl 71 CZ-NACE. Za součást kulturního sektoru je však považována pouze třída 71.11. Data odpovídající kulturním aktivitám je nutno získávat složitým postupem s využitím znalosti různých vztahů </w:t>
      </w:r>
      <w:r w:rsidR="00B86977" w:rsidRPr="00B405D1">
        <w:t>-</w:t>
      </w:r>
      <w:r w:rsidRPr="00B405D1">
        <w:rPr>
          <w:rFonts w:cs="Arial"/>
        </w:rPr>
        <w:t xml:space="preserve"> např. v úrovni produktivity práce mezi třídami či podílu spotřeby materiálu, energie a služeb na výnosech atd. - mezi údaji zjištěnými v rámci statistických šetření (podniková šetření, KULT, NI). 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Z předběžných údajů obsažených v tabulkách dodávek a užití byla propočtena váha kulturního sektoru na celkové pro</w:t>
      </w:r>
      <w:r w:rsidRPr="00B405D1">
        <w:rPr>
          <w:rFonts w:cs="Arial"/>
        </w:rPr>
        <w:softHyphen/>
        <w:t xml:space="preserve">dukci ČR v roce 2014 v rozsahu 1,97 % (201,2 mld. Kč) a na hrubé přidané hodnotě v úrovni 2,17 % (83,5 mld. Kč). 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Pomocí upřesněných údajů lze tato data poopravit. Podíl kulturního sek</w:t>
      </w:r>
      <w:r w:rsidR="00B86977">
        <w:rPr>
          <w:rFonts w:cs="Arial"/>
        </w:rPr>
        <w:t>toru na celkové produkci lze od</w:t>
      </w:r>
      <w:r w:rsidRPr="00B405D1">
        <w:rPr>
          <w:rFonts w:cs="Arial"/>
        </w:rPr>
        <w:t xml:space="preserve">hadovat na 2,01 % (204,4 mld. Kč), jeho podíl na HPH ve výši 2,1 % (82 mld. Kč) a  na HDP v úrovni 1,35 % (58,1 mld. Kč). Poměrně nižší objem HDP v porovnání s HPH je dán relativně nízkou úrovní daní vztahujících se ke kulturnímu sektoru a naopak vysokou částkou přijatých provozních dotací. 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Z předběžných dat lze za rok 2015 předpokládat (odhadovat), že objem produkce v kulturním sektoru dosáhl 213 mld. Kč (2,01 % na celostátní produkci) a úroveň HPH 87,4 mld. Kč (tj. 2,13 % z celkové HPH vytvořené v ekonomice). Objem HDP vytvořeného v kultuře lze odhadovat v úrovni 65,6 mld. Kč (1,44 % z celkového HDP). Výchozí předběžné údaje budou dále zpřesňovány a výše uvedený odhad zřejmě mírně pozmění.</w:t>
      </w:r>
    </w:p>
    <w:p w:rsidR="00B405D1" w:rsidRPr="00B405D1" w:rsidRDefault="00B405D1" w:rsidP="00B405D1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B405D1">
        <w:rPr>
          <w:rFonts w:cs="Arial"/>
        </w:rPr>
        <w:t>Nicméně, tato předběžná data nasvědčují tomu, že v rámci růstu celé ekonomiky v roce 2015 se zvýšila i ekonomická vý</w:t>
      </w:r>
      <w:r w:rsidRPr="00B405D1">
        <w:rPr>
          <w:rFonts w:cs="Arial"/>
        </w:rPr>
        <w:softHyphen/>
        <w:t xml:space="preserve">konnost a efektivnost subjektů v kultuře. Výrazný nárůst produkce mezi léta 2014 a 2015, doprovázený mírnějším zvýšením </w:t>
      </w:r>
      <w:proofErr w:type="spellStart"/>
      <w:r w:rsidRPr="00B405D1">
        <w:rPr>
          <w:rFonts w:cs="Arial"/>
        </w:rPr>
        <w:t>mezispotřeby</w:t>
      </w:r>
      <w:proofErr w:type="spellEnd"/>
      <w:r w:rsidRPr="00B405D1">
        <w:rPr>
          <w:rFonts w:cs="Arial"/>
        </w:rPr>
        <w:t>, vedl k celkovému zvýšení hrubé přidané hodno</w:t>
      </w:r>
      <w:r>
        <w:rPr>
          <w:rFonts w:cs="Arial"/>
        </w:rPr>
        <w:t>ty a hrubého domácího produktu.</w:t>
      </w:r>
    </w:p>
    <w:p w:rsidR="00D83178" w:rsidRPr="004F69CE" w:rsidRDefault="00D83178" w:rsidP="004F69CE"/>
    <w:sectPr w:rsidR="00D83178" w:rsidRPr="004F69CE" w:rsidSect="003175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C2" w:rsidRDefault="009D7AC2" w:rsidP="00E71A58">
      <w:r>
        <w:separator/>
      </w:r>
    </w:p>
  </w:endnote>
  <w:endnote w:type="continuationSeparator" w:id="0">
    <w:p w:rsidR="009D7AC2" w:rsidRDefault="009D7AC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B35DA3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04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17566">
      <w:rPr>
        <w:szCs w:val="16"/>
      </w:rPr>
      <w:t>12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B35DA3" w:rsidP="00317566">
    <w:pPr>
      <w:pStyle w:val="Zpat"/>
      <w:tabs>
        <w:tab w:val="clear" w:pos="4820"/>
        <w:tab w:val="clear" w:pos="9639"/>
        <w:tab w:val="left" w:pos="4253"/>
        <w:tab w:val="left" w:pos="4536"/>
        <w:tab w:val="left" w:pos="8671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="00317566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17566">
      <w:rPr>
        <w:rStyle w:val="ZpatChar"/>
        <w:szCs w:val="16"/>
      </w:rPr>
      <w:t>13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C2" w:rsidRPr="00311229" w:rsidRDefault="009D7AC2" w:rsidP="00311229">
      <w:pPr>
        <w:pStyle w:val="Zpat"/>
      </w:pPr>
    </w:p>
  </w:footnote>
  <w:footnote w:type="continuationSeparator" w:id="0">
    <w:p w:rsidR="009D7AC2" w:rsidRPr="00311229" w:rsidRDefault="009D7AC2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17566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D7AC2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35DA3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206F1-A1B2-4B5C-9885-D9468D61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5</TotalTime>
  <Pages>5</Pages>
  <Words>2543</Words>
  <Characters>15007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2017-05-25T10:40:00Z</dcterms:created>
  <dcterms:modified xsi:type="dcterms:W3CDTF">2017-05-25T10:40:00Z</dcterms:modified>
</cp:coreProperties>
</file>